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b/>
          <w:bCs w:val="0"/>
          <w:color w:val="auto"/>
          <w:spacing w:val="-8"/>
          <w:sz w:val="52"/>
          <w:szCs w:val="52"/>
          <w:lang w:eastAsia="zh-CN"/>
        </w:rPr>
      </w:pPr>
      <w:r>
        <w:rPr>
          <w:rFonts w:hint="eastAsia" w:ascii="仿宋" w:hAnsi="仿宋" w:eastAsia="仿宋" w:cs="仿宋"/>
          <w:b/>
          <w:bCs w:val="0"/>
          <w:color w:val="auto"/>
          <w:spacing w:val="-8"/>
          <w:sz w:val="52"/>
          <w:szCs w:val="52"/>
          <w:lang w:eastAsia="zh-CN"/>
        </w:rPr>
        <w:t>建德市“安心返”系统及“17防”平台项目</w:t>
      </w:r>
    </w:p>
    <w:p>
      <w:pPr>
        <w:rPr>
          <w:rFonts w:ascii="仿宋" w:hAnsi="仿宋" w:eastAsia="仿宋" w:cs="仿宋"/>
          <w:b/>
          <w:color w:val="auto"/>
          <w:szCs w:val="21"/>
        </w:rPr>
      </w:pPr>
    </w:p>
    <w:p>
      <w:pPr>
        <w:spacing w:line="600" w:lineRule="exact"/>
        <w:jc w:val="center"/>
        <w:rPr>
          <w:rFonts w:ascii="仿宋" w:hAnsi="仿宋" w:eastAsia="仿宋" w:cs="仿宋"/>
          <w:b/>
          <w:color w:val="auto"/>
          <w:sz w:val="32"/>
          <w:szCs w:val="32"/>
        </w:rPr>
      </w:pPr>
      <w:r>
        <w:rPr>
          <w:rFonts w:hint="eastAsia" w:ascii="仿宋" w:hAnsi="仿宋" w:eastAsia="仿宋" w:cs="仿宋"/>
          <w:b/>
          <w:color w:val="auto"/>
          <w:sz w:val="32"/>
          <w:szCs w:val="32"/>
        </w:rPr>
        <w:t>招标编号：</w:t>
      </w:r>
      <w:r>
        <w:rPr>
          <w:rFonts w:hint="eastAsia" w:ascii="仿宋" w:hAnsi="仿宋" w:eastAsia="仿宋" w:cs="仿宋"/>
          <w:b/>
          <w:color w:val="auto"/>
          <w:sz w:val="32"/>
          <w:szCs w:val="32"/>
          <w:lang w:eastAsia="zh-CN"/>
        </w:rPr>
        <w:t>JDOBCG2021B-45</w:t>
      </w:r>
      <w:r>
        <w:rPr>
          <w:rFonts w:hint="eastAsia" w:ascii="仿宋" w:hAnsi="仿宋" w:eastAsia="仿宋" w:cs="仿宋"/>
          <w:b/>
          <w:color w:val="auto"/>
          <w:sz w:val="32"/>
          <w:szCs w:val="32"/>
        </w:rPr>
        <w:t xml:space="preserve">  </w:t>
      </w:r>
    </w:p>
    <w:p>
      <w:pPr>
        <w:pStyle w:val="57"/>
        <w:ind w:firstLine="420"/>
        <w:rPr>
          <w:color w:val="auto"/>
        </w:rPr>
      </w:pPr>
    </w:p>
    <w:p>
      <w:pPr>
        <w:spacing w:line="1360" w:lineRule="exact"/>
        <w:jc w:val="center"/>
        <w:rPr>
          <w:rFonts w:ascii="仿宋" w:hAnsi="仿宋" w:eastAsia="仿宋" w:cs="仿宋"/>
          <w:b/>
          <w:color w:val="auto"/>
          <w:sz w:val="84"/>
        </w:rPr>
      </w:pPr>
      <w:r>
        <w:rPr>
          <w:rFonts w:hint="eastAsia" w:ascii="仿宋" w:hAnsi="仿宋" w:eastAsia="仿宋" w:cs="仿宋"/>
          <w:b/>
          <w:color w:val="auto"/>
          <w:sz w:val="84"/>
        </w:rPr>
        <w:t>招</w:t>
      </w:r>
    </w:p>
    <w:p>
      <w:pPr>
        <w:spacing w:line="1360" w:lineRule="exact"/>
        <w:jc w:val="center"/>
        <w:rPr>
          <w:rFonts w:ascii="仿宋" w:hAnsi="仿宋" w:eastAsia="仿宋" w:cs="仿宋"/>
          <w:b/>
          <w:color w:val="auto"/>
          <w:sz w:val="84"/>
        </w:rPr>
      </w:pPr>
      <w:r>
        <w:rPr>
          <w:rFonts w:hint="eastAsia" w:ascii="仿宋" w:hAnsi="仿宋" w:eastAsia="仿宋" w:cs="仿宋"/>
          <w:b/>
          <w:color w:val="auto"/>
          <w:sz w:val="84"/>
        </w:rPr>
        <w:t>标</w:t>
      </w:r>
    </w:p>
    <w:p>
      <w:pPr>
        <w:spacing w:line="1360" w:lineRule="exact"/>
        <w:jc w:val="center"/>
        <w:rPr>
          <w:rFonts w:ascii="仿宋" w:hAnsi="仿宋" w:eastAsia="仿宋" w:cs="仿宋"/>
          <w:b/>
          <w:color w:val="auto"/>
          <w:sz w:val="84"/>
        </w:rPr>
      </w:pPr>
      <w:r>
        <w:rPr>
          <w:rFonts w:hint="eastAsia" w:ascii="仿宋" w:hAnsi="仿宋" w:eastAsia="仿宋" w:cs="仿宋"/>
          <w:b/>
          <w:color w:val="auto"/>
          <w:sz w:val="84"/>
        </w:rPr>
        <w:t>文</w:t>
      </w:r>
    </w:p>
    <w:p>
      <w:pPr>
        <w:spacing w:line="1360" w:lineRule="exact"/>
        <w:jc w:val="center"/>
        <w:rPr>
          <w:rFonts w:ascii="仿宋" w:hAnsi="仿宋" w:eastAsia="仿宋" w:cs="仿宋"/>
          <w:b/>
          <w:color w:val="auto"/>
          <w:sz w:val="32"/>
          <w:szCs w:val="32"/>
        </w:rPr>
      </w:pPr>
      <w:r>
        <w:rPr>
          <w:rFonts w:hint="eastAsia" w:ascii="仿宋" w:hAnsi="仿宋" w:eastAsia="仿宋" w:cs="仿宋"/>
          <w:b/>
          <w:color w:val="auto"/>
          <w:sz w:val="84"/>
        </w:rPr>
        <w:t>件</w:t>
      </w:r>
    </w:p>
    <w:p>
      <w:pPr>
        <w:widowControl/>
        <w:spacing w:line="360" w:lineRule="auto"/>
        <w:jc w:val="center"/>
        <w:rPr>
          <w:rFonts w:ascii="仿宋" w:hAnsi="仿宋" w:eastAsia="仿宋" w:cs="仿宋"/>
          <w:b/>
          <w:color w:val="auto"/>
          <w:sz w:val="32"/>
          <w:szCs w:val="32"/>
        </w:rPr>
      </w:pPr>
    </w:p>
    <w:p>
      <w:pPr>
        <w:widowControl/>
        <w:spacing w:line="360" w:lineRule="auto"/>
        <w:jc w:val="center"/>
        <w:rPr>
          <w:rFonts w:hint="eastAsia" w:ascii="仿宋" w:hAnsi="仿宋" w:eastAsia="仿宋" w:cs="仿宋"/>
          <w:b/>
          <w:color w:val="auto"/>
          <w:kern w:val="0"/>
          <w:sz w:val="32"/>
          <w:szCs w:val="32"/>
          <w:lang w:val="en-US" w:eastAsia="zh-CN" w:bidi="ar-SA"/>
        </w:rPr>
      </w:pPr>
      <w:r>
        <w:rPr>
          <w:rFonts w:hint="eastAsia" w:ascii="仿宋" w:hAnsi="仿宋" w:eastAsia="仿宋" w:cs="仿宋"/>
          <w:b/>
          <w:color w:val="auto"/>
          <w:kern w:val="0"/>
          <w:sz w:val="32"/>
          <w:szCs w:val="32"/>
          <w:lang w:val="en-US" w:eastAsia="zh-CN" w:bidi="ar-SA"/>
        </w:rPr>
        <w:t>采购单位：建德市数字信息有限责任公司</w:t>
      </w:r>
    </w:p>
    <w:p>
      <w:pPr>
        <w:pStyle w:val="28"/>
        <w:spacing w:line="600" w:lineRule="exact"/>
        <w:ind w:left="1"/>
        <w:jc w:val="center"/>
        <w:rPr>
          <w:rFonts w:hint="eastAsia" w:ascii="仿宋" w:hAnsi="仿宋" w:eastAsia="仿宋" w:cs="仿宋"/>
          <w:b/>
          <w:color w:val="auto"/>
          <w:sz w:val="32"/>
          <w:szCs w:val="32"/>
          <w:lang w:eastAsia="zh-CN"/>
        </w:rPr>
      </w:pPr>
      <w:r>
        <w:rPr>
          <w:rFonts w:hint="eastAsia" w:ascii="仿宋" w:hAnsi="仿宋" w:eastAsia="仿宋" w:cs="仿宋"/>
          <w:b/>
          <w:color w:val="auto"/>
          <w:sz w:val="32"/>
          <w:szCs w:val="32"/>
        </w:rPr>
        <w:t>招标代理机构：</w:t>
      </w:r>
      <w:r>
        <w:rPr>
          <w:rFonts w:hint="eastAsia" w:ascii="仿宋" w:hAnsi="仿宋" w:eastAsia="仿宋" w:cs="仿宋"/>
          <w:b/>
          <w:color w:val="auto"/>
          <w:sz w:val="32"/>
          <w:szCs w:val="32"/>
          <w:lang w:eastAsia="zh-CN"/>
        </w:rPr>
        <w:t>欧邦工程管理集团有限公司</w:t>
      </w:r>
    </w:p>
    <w:p>
      <w:pPr>
        <w:pStyle w:val="28"/>
        <w:spacing w:line="600" w:lineRule="exact"/>
        <w:ind w:left="1"/>
        <w:jc w:val="center"/>
        <w:rPr>
          <w:color w:val="auto"/>
        </w:rPr>
      </w:pPr>
      <w:r>
        <w:rPr>
          <w:rFonts w:ascii="仿宋" w:hAnsi="仿宋" w:eastAsia="仿宋" w:cs="仿宋"/>
          <w:b/>
          <w:color w:val="auto"/>
          <w:sz w:val="32"/>
          <w:szCs w:val="32"/>
        </w:rPr>
        <w:t>2021</w:t>
      </w:r>
      <w:r>
        <w:rPr>
          <w:rFonts w:hint="eastAsia" w:ascii="仿宋" w:hAnsi="仿宋" w:eastAsia="仿宋" w:cs="仿宋"/>
          <w:b/>
          <w:color w:val="auto"/>
          <w:sz w:val="32"/>
          <w:szCs w:val="32"/>
        </w:rPr>
        <w:t>年</w:t>
      </w:r>
      <w:r>
        <w:rPr>
          <w:rFonts w:hint="eastAsia" w:ascii="仿宋" w:hAnsi="仿宋" w:eastAsia="仿宋" w:cs="仿宋"/>
          <w:b/>
          <w:color w:val="auto"/>
          <w:sz w:val="32"/>
          <w:szCs w:val="32"/>
          <w:lang w:val="en-US" w:eastAsia="zh-CN"/>
        </w:rPr>
        <w:t>10</w:t>
      </w:r>
      <w:r>
        <w:rPr>
          <w:rFonts w:hint="eastAsia" w:ascii="仿宋" w:hAnsi="仿宋" w:eastAsia="仿宋" w:cs="仿宋"/>
          <w:b/>
          <w:color w:val="auto"/>
          <w:sz w:val="32"/>
          <w:szCs w:val="32"/>
        </w:rPr>
        <w:t>月</w:t>
      </w:r>
      <w:r>
        <w:rPr>
          <w:rFonts w:hint="eastAsia" w:ascii="仿宋" w:hAnsi="仿宋" w:eastAsia="仿宋" w:cs="仿宋"/>
          <w:b/>
          <w:color w:val="auto"/>
          <w:sz w:val="32"/>
          <w:szCs w:val="32"/>
          <w:lang w:val="en-US" w:eastAsia="zh-CN"/>
        </w:rPr>
        <w:t>26</w:t>
      </w:r>
      <w:r>
        <w:rPr>
          <w:rFonts w:hint="eastAsia" w:ascii="仿宋" w:hAnsi="仿宋" w:eastAsia="仿宋" w:cs="仿宋"/>
          <w:b/>
          <w:color w:val="auto"/>
          <w:sz w:val="32"/>
          <w:szCs w:val="32"/>
        </w:rPr>
        <w:t>日</w:t>
      </w:r>
    </w:p>
    <w:tbl>
      <w:tblPr>
        <w:tblStyle w:val="47"/>
        <w:tblW w:w="94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8"/>
        <w:gridCol w:w="4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trPr>
        <w:tc>
          <w:tcPr>
            <w:tcW w:w="4798" w:type="dxa"/>
            <w:vAlign w:val="center"/>
          </w:tcPr>
          <w:p>
            <w:pPr>
              <w:autoSpaceDE w:val="0"/>
              <w:adjustRightInd w:val="0"/>
              <w:rPr>
                <w:rFonts w:ascii="仿宋" w:hAnsi="仿宋" w:eastAsia="仿宋" w:cs="仿宋"/>
                <w:b/>
                <w:bCs/>
                <w:color w:val="auto"/>
                <w:kern w:val="0"/>
                <w:sz w:val="28"/>
                <w:szCs w:val="28"/>
              </w:rPr>
            </w:pPr>
            <w:r>
              <w:rPr>
                <w:rFonts w:hint="eastAsia" w:ascii="仿宋" w:hAnsi="仿宋" w:eastAsia="仿宋" w:cs="仿宋"/>
                <w:b/>
                <w:bCs/>
                <w:color w:val="auto"/>
                <w:kern w:val="0"/>
                <w:sz w:val="28"/>
                <w:szCs w:val="28"/>
              </w:rPr>
              <w:t>采购单位确认（公章）：</w:t>
            </w:r>
          </w:p>
          <w:p>
            <w:pPr>
              <w:autoSpaceDE w:val="0"/>
              <w:adjustRightInd w:val="0"/>
              <w:rPr>
                <w:rFonts w:ascii="仿宋" w:hAnsi="仿宋" w:eastAsia="仿宋" w:cs="仿宋"/>
                <w:b/>
                <w:bCs/>
                <w:color w:val="auto"/>
                <w:kern w:val="0"/>
                <w:sz w:val="28"/>
                <w:szCs w:val="28"/>
              </w:rPr>
            </w:pPr>
            <w:r>
              <w:rPr>
                <w:rFonts w:hint="eastAsia" w:ascii="仿宋" w:hAnsi="仿宋" w:eastAsia="仿宋" w:cs="仿宋"/>
                <w:b/>
                <w:bCs/>
                <w:color w:val="auto"/>
                <w:kern w:val="0"/>
                <w:sz w:val="28"/>
                <w:szCs w:val="28"/>
              </w:rPr>
              <w:t>该采购文件已经我单位审核确认。</w:t>
            </w:r>
          </w:p>
          <w:p>
            <w:pPr>
              <w:autoSpaceDE w:val="0"/>
              <w:adjustRightInd w:val="0"/>
              <w:rPr>
                <w:rFonts w:ascii="仿宋" w:hAnsi="仿宋" w:eastAsia="仿宋" w:cs="仿宋"/>
                <w:b/>
                <w:bCs/>
                <w:color w:val="auto"/>
                <w:kern w:val="0"/>
                <w:sz w:val="28"/>
                <w:szCs w:val="28"/>
              </w:rPr>
            </w:pPr>
            <w:r>
              <w:rPr>
                <w:rFonts w:hint="eastAsia" w:ascii="仿宋" w:hAnsi="仿宋" w:eastAsia="仿宋" w:cs="仿宋"/>
                <w:b/>
                <w:bCs/>
                <w:color w:val="auto"/>
                <w:kern w:val="0"/>
                <w:sz w:val="28"/>
                <w:szCs w:val="28"/>
              </w:rPr>
              <w:t>经办人（签名）：</w:t>
            </w:r>
          </w:p>
          <w:p>
            <w:pPr>
              <w:autoSpaceDE w:val="0"/>
              <w:adjustRightInd w:val="0"/>
              <w:rPr>
                <w:rFonts w:ascii="仿宋" w:hAnsi="仿宋" w:eastAsia="仿宋" w:cs="仿宋"/>
                <w:b/>
                <w:bCs/>
                <w:color w:val="auto"/>
                <w:kern w:val="0"/>
                <w:sz w:val="28"/>
                <w:szCs w:val="28"/>
              </w:rPr>
            </w:pPr>
            <w:r>
              <w:rPr>
                <w:rFonts w:hint="eastAsia" w:ascii="仿宋" w:hAnsi="仿宋" w:eastAsia="仿宋" w:cs="仿宋"/>
                <w:b/>
                <w:bCs/>
                <w:color w:val="auto"/>
                <w:kern w:val="0"/>
                <w:sz w:val="28"/>
                <w:szCs w:val="28"/>
              </w:rPr>
              <w:t>日期：</w:t>
            </w:r>
            <w:r>
              <w:rPr>
                <w:rFonts w:ascii="仿宋" w:hAnsi="仿宋" w:eastAsia="仿宋" w:cs="仿宋"/>
                <w:b/>
                <w:bCs/>
                <w:color w:val="auto"/>
                <w:kern w:val="0"/>
                <w:sz w:val="28"/>
                <w:szCs w:val="28"/>
              </w:rPr>
              <w:t>2021</w:t>
            </w:r>
            <w:r>
              <w:rPr>
                <w:rFonts w:hint="eastAsia" w:ascii="仿宋" w:hAnsi="仿宋" w:eastAsia="仿宋" w:cs="仿宋"/>
                <w:b/>
                <w:bCs/>
                <w:color w:val="auto"/>
                <w:kern w:val="0"/>
                <w:sz w:val="28"/>
                <w:szCs w:val="28"/>
              </w:rPr>
              <w:t>年</w:t>
            </w:r>
            <w:r>
              <w:rPr>
                <w:rFonts w:hint="eastAsia" w:ascii="仿宋" w:hAnsi="仿宋" w:eastAsia="仿宋" w:cs="仿宋"/>
                <w:b/>
                <w:bCs/>
                <w:color w:val="auto"/>
                <w:kern w:val="0"/>
                <w:sz w:val="28"/>
                <w:szCs w:val="28"/>
                <w:lang w:val="en-US" w:eastAsia="zh-CN"/>
              </w:rPr>
              <w:t>10</w:t>
            </w:r>
            <w:r>
              <w:rPr>
                <w:rFonts w:hint="eastAsia" w:ascii="仿宋" w:hAnsi="仿宋" w:eastAsia="仿宋" w:cs="仿宋"/>
                <w:b/>
                <w:bCs/>
                <w:color w:val="auto"/>
                <w:kern w:val="0"/>
                <w:sz w:val="28"/>
                <w:szCs w:val="28"/>
              </w:rPr>
              <w:t>月</w:t>
            </w:r>
            <w:r>
              <w:rPr>
                <w:rFonts w:hint="eastAsia" w:ascii="仿宋" w:hAnsi="仿宋" w:eastAsia="仿宋" w:cs="仿宋"/>
                <w:b/>
                <w:bCs/>
                <w:color w:val="auto"/>
                <w:kern w:val="0"/>
                <w:sz w:val="28"/>
                <w:szCs w:val="28"/>
                <w:lang w:val="en-US" w:eastAsia="zh-CN"/>
              </w:rPr>
              <w:t>26</w:t>
            </w:r>
            <w:r>
              <w:rPr>
                <w:rFonts w:hint="eastAsia" w:ascii="仿宋" w:hAnsi="仿宋" w:eastAsia="仿宋" w:cs="仿宋"/>
                <w:b/>
                <w:bCs/>
                <w:color w:val="auto"/>
                <w:kern w:val="0"/>
                <w:sz w:val="28"/>
                <w:szCs w:val="28"/>
              </w:rPr>
              <w:t>日</w:t>
            </w:r>
          </w:p>
        </w:tc>
        <w:tc>
          <w:tcPr>
            <w:tcW w:w="4621" w:type="dxa"/>
            <w:vAlign w:val="center"/>
          </w:tcPr>
          <w:p>
            <w:pPr>
              <w:autoSpaceDE w:val="0"/>
              <w:adjustRightInd w:val="0"/>
              <w:rPr>
                <w:rFonts w:ascii="仿宋" w:hAnsi="仿宋" w:eastAsia="仿宋" w:cs="仿宋"/>
                <w:b/>
                <w:bCs/>
                <w:color w:val="auto"/>
                <w:kern w:val="0"/>
                <w:sz w:val="28"/>
                <w:szCs w:val="28"/>
              </w:rPr>
            </w:pPr>
            <w:r>
              <w:rPr>
                <w:rFonts w:hint="eastAsia" w:ascii="仿宋" w:hAnsi="仿宋" w:eastAsia="仿宋" w:cs="仿宋"/>
                <w:b/>
                <w:bCs/>
                <w:color w:val="auto"/>
                <w:kern w:val="0"/>
                <w:sz w:val="28"/>
                <w:szCs w:val="28"/>
              </w:rPr>
              <w:t>代理机构审批（章）：</w:t>
            </w:r>
          </w:p>
          <w:p>
            <w:pPr>
              <w:autoSpaceDE w:val="0"/>
              <w:adjustRightInd w:val="0"/>
              <w:rPr>
                <w:rFonts w:ascii="仿宋" w:hAnsi="仿宋" w:eastAsia="仿宋" w:cs="仿宋"/>
                <w:b/>
                <w:bCs/>
                <w:color w:val="auto"/>
                <w:kern w:val="0"/>
                <w:sz w:val="28"/>
                <w:szCs w:val="28"/>
              </w:rPr>
            </w:pPr>
            <w:r>
              <w:rPr>
                <w:rFonts w:hint="eastAsia" w:ascii="仿宋" w:hAnsi="仿宋" w:eastAsia="仿宋" w:cs="仿宋"/>
                <w:b/>
                <w:bCs/>
                <w:color w:val="auto"/>
                <w:kern w:val="0"/>
                <w:sz w:val="28"/>
                <w:szCs w:val="28"/>
              </w:rPr>
              <w:t>同意发布。</w:t>
            </w:r>
          </w:p>
          <w:p>
            <w:pPr>
              <w:autoSpaceDE w:val="0"/>
              <w:adjustRightInd w:val="0"/>
              <w:rPr>
                <w:rFonts w:hint="eastAsia" w:ascii="仿宋" w:hAnsi="仿宋" w:eastAsia="仿宋" w:cs="仿宋"/>
                <w:b/>
                <w:bCs/>
                <w:color w:val="auto"/>
                <w:kern w:val="0"/>
                <w:sz w:val="28"/>
                <w:szCs w:val="28"/>
                <w:lang w:val="en-US" w:eastAsia="zh-CN"/>
              </w:rPr>
            </w:pPr>
            <w:r>
              <w:rPr>
                <w:rFonts w:hint="eastAsia" w:ascii="仿宋" w:hAnsi="仿宋" w:eastAsia="仿宋" w:cs="仿宋"/>
                <w:b/>
                <w:bCs/>
                <w:color w:val="auto"/>
                <w:kern w:val="0"/>
                <w:sz w:val="28"/>
                <w:szCs w:val="28"/>
              </w:rPr>
              <w:t>经办人（签名）：</w:t>
            </w:r>
          </w:p>
          <w:p>
            <w:pPr>
              <w:autoSpaceDE w:val="0"/>
              <w:adjustRightInd w:val="0"/>
              <w:rPr>
                <w:rFonts w:ascii="仿宋" w:hAnsi="仿宋" w:eastAsia="仿宋" w:cs="仿宋"/>
                <w:b/>
                <w:bCs/>
                <w:color w:val="auto"/>
                <w:kern w:val="0"/>
                <w:sz w:val="28"/>
                <w:szCs w:val="28"/>
              </w:rPr>
            </w:pPr>
            <w:r>
              <w:rPr>
                <w:rFonts w:hint="eastAsia" w:ascii="仿宋" w:hAnsi="仿宋" w:eastAsia="仿宋" w:cs="仿宋"/>
                <w:b/>
                <w:bCs/>
                <w:color w:val="auto"/>
                <w:kern w:val="0"/>
                <w:sz w:val="28"/>
                <w:szCs w:val="28"/>
              </w:rPr>
              <w:t>日期：</w:t>
            </w:r>
            <w:r>
              <w:rPr>
                <w:rFonts w:ascii="仿宋" w:hAnsi="仿宋" w:eastAsia="仿宋" w:cs="仿宋"/>
                <w:b/>
                <w:bCs/>
                <w:color w:val="auto"/>
                <w:kern w:val="0"/>
                <w:sz w:val="28"/>
                <w:szCs w:val="28"/>
              </w:rPr>
              <w:t>2021</w:t>
            </w:r>
            <w:r>
              <w:rPr>
                <w:rFonts w:hint="eastAsia" w:ascii="仿宋" w:hAnsi="仿宋" w:eastAsia="仿宋" w:cs="仿宋"/>
                <w:b/>
                <w:bCs/>
                <w:color w:val="auto"/>
                <w:kern w:val="0"/>
                <w:sz w:val="28"/>
                <w:szCs w:val="28"/>
              </w:rPr>
              <w:t>年</w:t>
            </w:r>
            <w:r>
              <w:rPr>
                <w:rFonts w:hint="eastAsia" w:ascii="仿宋" w:hAnsi="仿宋" w:eastAsia="仿宋" w:cs="仿宋"/>
                <w:b/>
                <w:bCs/>
                <w:color w:val="auto"/>
                <w:kern w:val="0"/>
                <w:sz w:val="28"/>
                <w:szCs w:val="28"/>
                <w:lang w:val="en-US" w:eastAsia="zh-CN"/>
              </w:rPr>
              <w:t>10</w:t>
            </w:r>
            <w:r>
              <w:rPr>
                <w:rFonts w:hint="eastAsia" w:ascii="仿宋" w:hAnsi="仿宋" w:eastAsia="仿宋" w:cs="仿宋"/>
                <w:b/>
                <w:bCs/>
                <w:color w:val="auto"/>
                <w:kern w:val="0"/>
                <w:sz w:val="28"/>
                <w:szCs w:val="28"/>
              </w:rPr>
              <w:t>月</w:t>
            </w:r>
            <w:r>
              <w:rPr>
                <w:rFonts w:hint="eastAsia" w:ascii="仿宋" w:hAnsi="仿宋" w:eastAsia="仿宋" w:cs="仿宋"/>
                <w:b/>
                <w:bCs/>
                <w:color w:val="auto"/>
                <w:kern w:val="0"/>
                <w:sz w:val="28"/>
                <w:szCs w:val="28"/>
                <w:lang w:val="en-US" w:eastAsia="zh-CN"/>
              </w:rPr>
              <w:t>26</w:t>
            </w:r>
            <w:r>
              <w:rPr>
                <w:rFonts w:hint="eastAsia" w:ascii="仿宋" w:hAnsi="仿宋" w:eastAsia="仿宋" w:cs="仿宋"/>
                <w:b/>
                <w:bCs/>
                <w:color w:val="auto"/>
                <w:kern w:val="0"/>
                <w:sz w:val="28"/>
                <w:szCs w:val="28"/>
              </w:rPr>
              <w:t>日</w:t>
            </w:r>
          </w:p>
        </w:tc>
      </w:tr>
    </w:tbl>
    <w:p>
      <w:pPr>
        <w:autoSpaceDE w:val="0"/>
        <w:adjustRightInd w:val="0"/>
        <w:spacing w:after="100" w:afterAutospacing="1"/>
        <w:rPr>
          <w:rFonts w:ascii="仿宋" w:hAnsi="仿宋" w:eastAsia="仿宋" w:cs="仿宋"/>
          <w:b/>
          <w:bCs/>
          <w:color w:val="auto"/>
          <w:kern w:val="0"/>
          <w:sz w:val="36"/>
          <w:szCs w:val="36"/>
        </w:rPr>
        <w:sectPr>
          <w:headerReference r:id="rId3" w:type="default"/>
          <w:footerReference r:id="rId5" w:type="default"/>
          <w:headerReference r:id="rId4" w:type="even"/>
          <w:footerReference r:id="rId6" w:type="even"/>
          <w:pgSz w:w="11906" w:h="16838"/>
          <w:pgMar w:top="1361" w:right="1361" w:bottom="1361" w:left="1361" w:header="851" w:footer="992" w:gutter="0"/>
          <w:pgNumType w:start="0"/>
          <w:cols w:space="720" w:num="1"/>
          <w:titlePg/>
          <w:docGrid w:type="lines" w:linePitch="312" w:charSpace="0"/>
        </w:sectPr>
      </w:pPr>
    </w:p>
    <w:p>
      <w:pPr>
        <w:rPr>
          <w:rFonts w:ascii="仿宋" w:hAnsi="仿宋" w:eastAsia="仿宋" w:cs="仿宋"/>
          <w:color w:val="auto"/>
        </w:rPr>
      </w:pPr>
    </w:p>
    <w:p>
      <w:pPr>
        <w:spacing w:line="480" w:lineRule="auto"/>
        <w:jc w:val="center"/>
        <w:rPr>
          <w:rFonts w:ascii="仿宋" w:hAnsi="仿宋" w:eastAsia="仿宋" w:cs="仿宋"/>
          <w:b/>
          <w:color w:val="auto"/>
          <w:sz w:val="44"/>
        </w:rPr>
      </w:pPr>
      <w:r>
        <w:rPr>
          <w:rFonts w:hint="eastAsia" w:ascii="仿宋" w:hAnsi="仿宋" w:eastAsia="仿宋" w:cs="仿宋"/>
          <w:b/>
          <w:color w:val="auto"/>
          <w:sz w:val="44"/>
        </w:rPr>
        <w:t>目</w:t>
      </w:r>
      <w:r>
        <w:rPr>
          <w:rFonts w:ascii="仿宋" w:hAnsi="仿宋" w:eastAsia="仿宋" w:cs="仿宋"/>
          <w:b/>
          <w:color w:val="auto"/>
          <w:sz w:val="44"/>
        </w:rPr>
        <w:t xml:space="preserve">  </w:t>
      </w:r>
      <w:r>
        <w:rPr>
          <w:rFonts w:hint="eastAsia" w:ascii="仿宋" w:hAnsi="仿宋" w:eastAsia="仿宋" w:cs="仿宋"/>
          <w:b/>
          <w:color w:val="auto"/>
          <w:sz w:val="44"/>
        </w:rPr>
        <w:t>录</w:t>
      </w:r>
    </w:p>
    <w:p>
      <w:pPr>
        <w:spacing w:line="480" w:lineRule="auto"/>
        <w:jc w:val="center"/>
        <w:rPr>
          <w:rFonts w:ascii="仿宋" w:hAnsi="仿宋" w:eastAsia="仿宋" w:cs="仿宋"/>
          <w:b/>
          <w:color w:val="auto"/>
          <w:sz w:val="44"/>
        </w:rPr>
      </w:pPr>
    </w:p>
    <w:p>
      <w:pPr>
        <w:spacing w:line="800" w:lineRule="exact"/>
        <w:rPr>
          <w:rFonts w:ascii="仿宋" w:hAnsi="仿宋" w:eastAsia="仿宋" w:cs="仿宋"/>
          <w:color w:val="auto"/>
          <w:sz w:val="36"/>
        </w:rPr>
      </w:pPr>
      <w:r>
        <w:rPr>
          <w:rFonts w:hint="eastAsia" w:ascii="仿宋" w:hAnsi="仿宋" w:eastAsia="仿宋" w:cs="仿宋"/>
          <w:color w:val="auto"/>
          <w:sz w:val="36"/>
        </w:rPr>
        <w:t>第一章、招标公告……………………………………2</w:t>
      </w:r>
    </w:p>
    <w:p>
      <w:pPr>
        <w:spacing w:line="800" w:lineRule="exact"/>
        <w:rPr>
          <w:rFonts w:ascii="仿宋" w:hAnsi="仿宋" w:eastAsia="仿宋" w:cs="仿宋"/>
          <w:color w:val="auto"/>
          <w:sz w:val="36"/>
        </w:rPr>
      </w:pPr>
      <w:r>
        <w:rPr>
          <w:rFonts w:hint="eastAsia" w:ascii="仿宋" w:hAnsi="仿宋" w:eastAsia="仿宋" w:cs="仿宋"/>
          <w:color w:val="auto"/>
          <w:sz w:val="36"/>
        </w:rPr>
        <w:t>第二章、投标须知……………………………………4</w:t>
      </w:r>
    </w:p>
    <w:p>
      <w:pPr>
        <w:spacing w:line="800" w:lineRule="exact"/>
        <w:rPr>
          <w:rFonts w:ascii="仿宋" w:hAnsi="仿宋" w:eastAsia="仿宋" w:cs="仿宋"/>
          <w:color w:val="auto"/>
          <w:sz w:val="36"/>
        </w:rPr>
      </w:pPr>
      <w:r>
        <w:rPr>
          <w:rFonts w:hint="eastAsia" w:ascii="仿宋" w:hAnsi="仿宋" w:eastAsia="仿宋" w:cs="仿宋"/>
          <w:color w:val="auto"/>
          <w:sz w:val="36"/>
        </w:rPr>
        <w:t>第三章、开标和评标须知……………………………</w:t>
      </w:r>
      <w:r>
        <w:rPr>
          <w:rFonts w:ascii="仿宋" w:hAnsi="仿宋" w:eastAsia="仿宋" w:cs="仿宋"/>
          <w:color w:val="auto"/>
          <w:sz w:val="36"/>
        </w:rPr>
        <w:t>1</w:t>
      </w:r>
      <w:r>
        <w:rPr>
          <w:rFonts w:hint="eastAsia" w:ascii="仿宋" w:hAnsi="仿宋" w:eastAsia="仿宋" w:cs="仿宋"/>
          <w:color w:val="auto"/>
          <w:sz w:val="36"/>
        </w:rPr>
        <w:t>4</w:t>
      </w:r>
    </w:p>
    <w:p>
      <w:pPr>
        <w:spacing w:line="800" w:lineRule="exact"/>
        <w:rPr>
          <w:rFonts w:ascii="仿宋" w:hAnsi="仿宋" w:eastAsia="仿宋" w:cs="仿宋"/>
          <w:color w:val="auto"/>
          <w:sz w:val="36"/>
        </w:rPr>
      </w:pPr>
      <w:r>
        <w:rPr>
          <w:rFonts w:hint="eastAsia" w:ascii="仿宋" w:hAnsi="仿宋" w:eastAsia="仿宋" w:cs="仿宋"/>
          <w:color w:val="auto"/>
          <w:sz w:val="36"/>
        </w:rPr>
        <w:t>第四章、评分标准……………………………………</w:t>
      </w:r>
      <w:r>
        <w:rPr>
          <w:rFonts w:ascii="仿宋" w:hAnsi="仿宋" w:eastAsia="仿宋" w:cs="仿宋"/>
          <w:color w:val="auto"/>
          <w:sz w:val="36"/>
        </w:rPr>
        <w:t>1</w:t>
      </w:r>
      <w:r>
        <w:rPr>
          <w:rFonts w:hint="eastAsia" w:ascii="仿宋" w:hAnsi="仿宋" w:eastAsia="仿宋" w:cs="仿宋"/>
          <w:color w:val="auto"/>
          <w:sz w:val="36"/>
        </w:rPr>
        <w:t>6</w:t>
      </w:r>
    </w:p>
    <w:p>
      <w:pPr>
        <w:spacing w:line="800" w:lineRule="exact"/>
        <w:rPr>
          <w:rFonts w:hint="eastAsia" w:ascii="仿宋" w:hAnsi="仿宋" w:eastAsia="仿宋" w:cs="仿宋"/>
          <w:color w:val="auto"/>
          <w:sz w:val="36"/>
          <w:lang w:eastAsia="zh-CN"/>
        </w:rPr>
      </w:pPr>
      <w:r>
        <w:rPr>
          <w:rFonts w:hint="eastAsia" w:ascii="仿宋" w:hAnsi="仿宋" w:eastAsia="仿宋" w:cs="仿宋"/>
          <w:color w:val="auto"/>
          <w:sz w:val="36"/>
        </w:rPr>
        <w:t>第五章、招标内容与技术要求………………………</w:t>
      </w:r>
      <w:r>
        <w:rPr>
          <w:rFonts w:ascii="仿宋" w:hAnsi="仿宋" w:eastAsia="仿宋" w:cs="仿宋"/>
          <w:color w:val="auto"/>
          <w:sz w:val="36"/>
        </w:rPr>
        <w:t>1</w:t>
      </w:r>
      <w:r>
        <w:rPr>
          <w:rFonts w:hint="eastAsia" w:ascii="仿宋" w:hAnsi="仿宋" w:eastAsia="仿宋" w:cs="仿宋"/>
          <w:color w:val="auto"/>
          <w:sz w:val="36"/>
          <w:lang w:val="en-US" w:eastAsia="zh-CN"/>
        </w:rPr>
        <w:t>8</w:t>
      </w:r>
    </w:p>
    <w:p>
      <w:pPr>
        <w:spacing w:line="800" w:lineRule="exact"/>
        <w:rPr>
          <w:rFonts w:hint="eastAsia" w:ascii="仿宋" w:hAnsi="仿宋" w:eastAsia="仿宋" w:cs="仿宋"/>
          <w:color w:val="auto"/>
          <w:sz w:val="36"/>
          <w:lang w:eastAsia="zh-CN"/>
        </w:rPr>
      </w:pPr>
      <w:r>
        <w:rPr>
          <w:rFonts w:hint="eastAsia" w:ascii="仿宋" w:hAnsi="仿宋" w:eastAsia="仿宋" w:cs="仿宋"/>
          <w:color w:val="auto"/>
          <w:sz w:val="36"/>
        </w:rPr>
        <w:t>第六章、商务条款……………………………………2</w:t>
      </w:r>
      <w:r>
        <w:rPr>
          <w:rFonts w:hint="eastAsia" w:ascii="仿宋" w:hAnsi="仿宋" w:eastAsia="仿宋" w:cs="仿宋"/>
          <w:color w:val="auto"/>
          <w:sz w:val="36"/>
          <w:lang w:val="en-US" w:eastAsia="zh-CN"/>
        </w:rPr>
        <w:t>3</w:t>
      </w:r>
    </w:p>
    <w:p>
      <w:pPr>
        <w:spacing w:line="800" w:lineRule="exact"/>
        <w:rPr>
          <w:rFonts w:hint="default" w:ascii="仿宋" w:hAnsi="仿宋" w:eastAsia="仿宋" w:cs="仿宋"/>
          <w:color w:val="auto"/>
          <w:sz w:val="36"/>
          <w:lang w:val="en-US" w:eastAsia="zh-CN"/>
        </w:rPr>
      </w:pPr>
      <w:r>
        <w:rPr>
          <w:rFonts w:hint="eastAsia" w:ascii="仿宋" w:hAnsi="仿宋" w:eastAsia="仿宋" w:cs="仿宋"/>
          <w:color w:val="auto"/>
          <w:sz w:val="36"/>
        </w:rPr>
        <w:t>第七章、财务结算程序………………………………</w:t>
      </w:r>
      <w:r>
        <w:rPr>
          <w:rFonts w:hint="eastAsia" w:ascii="仿宋" w:hAnsi="仿宋" w:eastAsia="仿宋" w:cs="仿宋"/>
          <w:color w:val="auto"/>
          <w:sz w:val="36"/>
          <w:lang w:val="en-US" w:eastAsia="zh-CN"/>
        </w:rPr>
        <w:t>26</w:t>
      </w:r>
    </w:p>
    <w:p>
      <w:pPr>
        <w:spacing w:line="800" w:lineRule="exact"/>
        <w:rPr>
          <w:rFonts w:hint="default" w:ascii="仿宋" w:hAnsi="仿宋" w:eastAsia="仿宋" w:cs="仿宋"/>
          <w:color w:val="auto"/>
          <w:sz w:val="36"/>
          <w:lang w:val="en-US" w:eastAsia="zh-CN"/>
        </w:rPr>
      </w:pPr>
      <w:r>
        <w:rPr>
          <w:rFonts w:hint="eastAsia" w:ascii="仿宋" w:hAnsi="仿宋" w:eastAsia="仿宋" w:cs="仿宋"/>
          <w:color w:val="auto"/>
          <w:sz w:val="36"/>
        </w:rPr>
        <w:t>第八章、合同范本……………………………………</w:t>
      </w:r>
      <w:r>
        <w:rPr>
          <w:rFonts w:hint="eastAsia" w:ascii="仿宋" w:hAnsi="仿宋" w:eastAsia="仿宋" w:cs="仿宋"/>
          <w:color w:val="auto"/>
          <w:sz w:val="36"/>
          <w:lang w:val="en-US" w:eastAsia="zh-CN"/>
        </w:rPr>
        <w:t>27</w:t>
      </w:r>
    </w:p>
    <w:p>
      <w:pPr>
        <w:spacing w:line="800" w:lineRule="exact"/>
        <w:rPr>
          <w:rFonts w:hint="default" w:ascii="仿宋" w:hAnsi="仿宋" w:eastAsia="仿宋" w:cs="仿宋"/>
          <w:color w:val="auto"/>
          <w:sz w:val="36"/>
          <w:lang w:val="en-US" w:eastAsia="zh-CN"/>
        </w:rPr>
      </w:pPr>
      <w:r>
        <w:rPr>
          <w:rFonts w:hint="eastAsia" w:ascii="仿宋" w:hAnsi="仿宋" w:eastAsia="仿宋" w:cs="仿宋"/>
          <w:color w:val="auto"/>
          <w:sz w:val="36"/>
        </w:rPr>
        <w:t>第九章、附件…………………………………………</w:t>
      </w:r>
      <w:r>
        <w:rPr>
          <w:rFonts w:hint="eastAsia" w:ascii="仿宋" w:hAnsi="仿宋" w:eastAsia="仿宋" w:cs="仿宋"/>
          <w:color w:val="auto"/>
          <w:sz w:val="36"/>
          <w:lang w:val="en-US" w:eastAsia="zh-CN"/>
        </w:rPr>
        <w:t>35</w:t>
      </w:r>
    </w:p>
    <w:p>
      <w:pPr>
        <w:spacing w:line="800" w:lineRule="exact"/>
        <w:ind w:firstLine="727" w:firstLineChars="202"/>
        <w:rPr>
          <w:rFonts w:ascii="仿宋" w:hAnsi="仿宋" w:eastAsia="仿宋" w:cs="仿宋"/>
          <w:color w:val="auto"/>
          <w:sz w:val="36"/>
        </w:rPr>
      </w:pPr>
    </w:p>
    <w:p>
      <w:pPr>
        <w:spacing w:line="720" w:lineRule="auto"/>
        <w:ind w:left="2682"/>
        <w:rPr>
          <w:rFonts w:ascii="仿宋" w:hAnsi="仿宋" w:eastAsia="仿宋" w:cs="仿宋"/>
          <w:color w:val="auto"/>
          <w:sz w:val="36"/>
        </w:rPr>
      </w:pPr>
    </w:p>
    <w:p>
      <w:pPr>
        <w:spacing w:line="720" w:lineRule="auto"/>
        <w:ind w:left="2682"/>
        <w:rPr>
          <w:rFonts w:ascii="仿宋" w:hAnsi="仿宋" w:eastAsia="仿宋" w:cs="仿宋"/>
          <w:color w:val="auto"/>
          <w:sz w:val="36"/>
        </w:rPr>
      </w:pPr>
    </w:p>
    <w:p>
      <w:pPr>
        <w:spacing w:line="360" w:lineRule="auto"/>
        <w:jc w:val="center"/>
        <w:rPr>
          <w:rStyle w:val="97"/>
          <w:rFonts w:ascii="仿宋" w:hAnsi="仿宋" w:eastAsia="仿宋" w:cs="仿宋"/>
          <w:color w:val="auto"/>
          <w:sz w:val="36"/>
          <w:szCs w:val="36"/>
        </w:rPr>
        <w:sectPr>
          <w:footerReference r:id="rId7" w:type="default"/>
          <w:pgSz w:w="11906" w:h="16838"/>
          <w:pgMar w:top="1247" w:right="1247" w:bottom="1559" w:left="1247" w:header="851" w:footer="851" w:gutter="170"/>
          <w:pgNumType w:fmt="decimal" w:start="1"/>
          <w:cols w:space="720" w:num="1"/>
          <w:docGrid w:type="lines" w:linePitch="312" w:charSpace="0"/>
        </w:sectPr>
      </w:pPr>
    </w:p>
    <w:p>
      <w:pPr>
        <w:spacing w:line="360" w:lineRule="auto"/>
        <w:jc w:val="center"/>
        <w:rPr>
          <w:rFonts w:ascii="仿宋" w:hAnsi="仿宋" w:eastAsia="仿宋" w:cs="仿宋"/>
          <w:b/>
          <w:bCs/>
          <w:color w:val="auto"/>
          <w:spacing w:val="-2"/>
          <w:sz w:val="36"/>
          <w:szCs w:val="36"/>
        </w:rPr>
      </w:pPr>
      <w:r>
        <w:rPr>
          <w:rStyle w:val="97"/>
          <w:rFonts w:hint="eastAsia" w:ascii="仿宋" w:hAnsi="仿宋" w:eastAsia="仿宋" w:cs="仿宋"/>
          <w:b/>
          <w:bCs/>
          <w:color w:val="auto"/>
          <w:sz w:val="36"/>
          <w:szCs w:val="36"/>
        </w:rPr>
        <w:t>第一章</w:t>
      </w:r>
      <w:r>
        <w:rPr>
          <w:rStyle w:val="97"/>
          <w:rFonts w:ascii="仿宋" w:hAnsi="仿宋" w:eastAsia="仿宋" w:cs="仿宋"/>
          <w:b/>
          <w:bCs/>
          <w:color w:val="auto"/>
          <w:sz w:val="36"/>
          <w:szCs w:val="36"/>
        </w:rPr>
        <w:t xml:space="preserve">   </w:t>
      </w:r>
      <w:r>
        <w:rPr>
          <w:rStyle w:val="97"/>
          <w:rFonts w:hint="eastAsia" w:ascii="仿宋" w:hAnsi="仿宋" w:eastAsia="仿宋" w:cs="仿宋"/>
          <w:b/>
          <w:bCs/>
          <w:color w:val="auto"/>
          <w:sz w:val="36"/>
          <w:szCs w:val="36"/>
        </w:rPr>
        <w:t>招标公告</w:t>
      </w:r>
    </w:p>
    <w:p>
      <w:pPr>
        <w:keepNext w:val="0"/>
        <w:keepLines w:val="0"/>
        <w:pageBreakBefore w:val="0"/>
        <w:widowControl/>
        <w:kinsoku/>
        <w:wordWrap/>
        <w:overflowPunct/>
        <w:topLinePunct w:val="0"/>
        <w:bidi w:val="0"/>
        <w:adjustRightInd/>
        <w:spacing w:line="336" w:lineRule="auto"/>
        <w:jc w:val="left"/>
        <w:textAlignment w:val="auto"/>
        <w:rPr>
          <w:rFonts w:ascii="仿宋" w:hAnsi="仿宋" w:eastAsia="仿宋" w:cs="仿宋"/>
          <w:b/>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依据《中华人民共和国招标投标法》，参照《中华人民共和国政府采购法》、《政府采购货物和服务招标投标管理办法》等有关法律法规规定，经</w:t>
      </w:r>
      <w:r>
        <w:rPr>
          <w:rFonts w:hint="eastAsia" w:ascii="仿宋" w:hAnsi="仿宋" w:eastAsia="仿宋" w:cs="仿宋"/>
          <w:color w:val="auto"/>
          <w:sz w:val="24"/>
          <w:szCs w:val="24"/>
          <w:lang w:eastAsia="zh-CN"/>
        </w:rPr>
        <w:t>建德市数字信息有限责任公司监察室</w:t>
      </w:r>
      <w:r>
        <w:rPr>
          <w:rFonts w:hint="eastAsia" w:ascii="仿宋" w:hAnsi="仿宋" w:eastAsia="仿宋" w:cs="仿宋"/>
          <w:color w:val="auto"/>
          <w:sz w:val="24"/>
          <w:szCs w:val="24"/>
        </w:rPr>
        <w:t>批准，受采购单位的委托，</w:t>
      </w:r>
      <w:r>
        <w:rPr>
          <w:rFonts w:hint="eastAsia" w:ascii="仿宋" w:hAnsi="仿宋" w:eastAsia="仿宋" w:cs="仿宋"/>
          <w:color w:val="auto"/>
          <w:sz w:val="24"/>
          <w:szCs w:val="24"/>
          <w:lang w:eastAsia="zh-CN"/>
        </w:rPr>
        <w:t>欧邦工程管理集团有限公司</w:t>
      </w:r>
      <w:r>
        <w:rPr>
          <w:rFonts w:hint="eastAsia" w:ascii="仿宋" w:hAnsi="仿宋" w:eastAsia="仿宋" w:cs="仿宋"/>
          <w:color w:val="auto"/>
          <w:sz w:val="24"/>
          <w:szCs w:val="24"/>
        </w:rPr>
        <w:t>就</w:t>
      </w:r>
      <w:r>
        <w:rPr>
          <w:rFonts w:hint="eastAsia" w:ascii="仿宋" w:hAnsi="仿宋" w:eastAsia="仿宋" w:cs="仿宋"/>
          <w:color w:val="auto"/>
          <w:sz w:val="24"/>
          <w:szCs w:val="24"/>
          <w:lang w:eastAsia="zh-CN"/>
        </w:rPr>
        <w:t>建德市“安心返”系统及“17防”平台项目</w:t>
      </w:r>
      <w:r>
        <w:rPr>
          <w:rFonts w:hint="eastAsia" w:ascii="仿宋" w:hAnsi="仿宋" w:eastAsia="仿宋" w:cs="仿宋"/>
          <w:color w:val="auto"/>
          <w:sz w:val="24"/>
          <w:szCs w:val="24"/>
        </w:rPr>
        <w:t>进行公开招标，欢迎国内符合要求的供应商前来投标。</w:t>
      </w:r>
    </w:p>
    <w:p>
      <w:pPr>
        <w:keepNext w:val="0"/>
        <w:keepLines w:val="0"/>
        <w:pageBreakBefore w:val="0"/>
        <w:kinsoku/>
        <w:wordWrap/>
        <w:overflowPunct/>
        <w:topLinePunct w:val="0"/>
        <w:bidi w:val="0"/>
        <w:adjustRightInd/>
        <w:spacing w:line="336" w:lineRule="auto"/>
        <w:ind w:firstLine="482" w:firstLineChars="200"/>
        <w:textAlignment w:val="auto"/>
        <w:rPr>
          <w:rFonts w:ascii="仿宋" w:hAnsi="仿宋" w:eastAsia="仿宋" w:cs="仿宋"/>
          <w:b/>
          <w:color w:val="auto"/>
          <w:sz w:val="24"/>
          <w:szCs w:val="24"/>
        </w:rPr>
      </w:pPr>
      <w:r>
        <w:rPr>
          <w:rFonts w:hint="eastAsia" w:ascii="仿宋" w:hAnsi="仿宋" w:eastAsia="仿宋" w:cs="仿宋"/>
          <w:b/>
          <w:color w:val="auto"/>
          <w:sz w:val="24"/>
          <w:szCs w:val="24"/>
        </w:rPr>
        <w:t>一、项目编号：</w:t>
      </w:r>
      <w:r>
        <w:rPr>
          <w:rFonts w:hint="eastAsia" w:ascii="仿宋" w:hAnsi="仿宋" w:eastAsia="仿宋" w:cs="仿宋"/>
          <w:b/>
          <w:color w:val="auto"/>
          <w:sz w:val="24"/>
          <w:szCs w:val="24"/>
          <w:lang w:eastAsia="zh-CN"/>
        </w:rPr>
        <w:t>JDOBCG2021B-45</w:t>
      </w:r>
      <w:r>
        <w:rPr>
          <w:rFonts w:hint="eastAsia" w:ascii="仿宋" w:hAnsi="仿宋" w:eastAsia="仿宋" w:cs="仿宋"/>
          <w:b/>
          <w:color w:val="auto"/>
          <w:sz w:val="24"/>
          <w:szCs w:val="24"/>
        </w:rPr>
        <w:t xml:space="preserve">  </w:t>
      </w:r>
      <w:r>
        <w:rPr>
          <w:rFonts w:ascii="仿宋" w:hAnsi="仿宋" w:eastAsia="仿宋" w:cs="仿宋"/>
          <w:b/>
          <w:color w:val="auto"/>
          <w:sz w:val="24"/>
          <w:szCs w:val="24"/>
        </w:rPr>
        <w:t xml:space="preserve"> </w:t>
      </w:r>
    </w:p>
    <w:p>
      <w:pPr>
        <w:keepNext w:val="0"/>
        <w:keepLines w:val="0"/>
        <w:pageBreakBefore w:val="0"/>
        <w:kinsoku/>
        <w:wordWrap/>
        <w:overflowPunct/>
        <w:topLinePunct w:val="0"/>
        <w:bidi w:val="0"/>
        <w:adjustRightInd/>
        <w:spacing w:line="336" w:lineRule="auto"/>
        <w:ind w:firstLine="482" w:firstLineChars="200"/>
        <w:textAlignment w:val="auto"/>
        <w:rPr>
          <w:rFonts w:ascii="仿宋" w:hAnsi="仿宋" w:eastAsia="仿宋" w:cs="仿宋"/>
          <w:b/>
          <w:color w:val="auto"/>
          <w:sz w:val="24"/>
          <w:szCs w:val="24"/>
        </w:rPr>
      </w:pPr>
      <w:r>
        <w:rPr>
          <w:rFonts w:hint="eastAsia" w:ascii="仿宋" w:hAnsi="仿宋" w:eastAsia="仿宋" w:cs="仿宋"/>
          <w:b/>
          <w:color w:val="auto"/>
          <w:sz w:val="24"/>
          <w:szCs w:val="24"/>
        </w:rPr>
        <w:t>二、招标内容：</w:t>
      </w:r>
    </w:p>
    <w:p>
      <w:pPr>
        <w:keepNext w:val="0"/>
        <w:keepLines w:val="0"/>
        <w:pageBreakBefore w:val="0"/>
        <w:kinsoku/>
        <w:wordWrap/>
        <w:overflowPunct/>
        <w:topLinePunct w:val="0"/>
        <w:bidi w:val="0"/>
        <w:adjustRightInd/>
        <w:spacing w:line="336" w:lineRule="auto"/>
        <w:ind w:firstLine="480" w:firstLineChars="200"/>
        <w:textAlignment w:val="auto"/>
        <w:rPr>
          <w:rFonts w:ascii="仿宋" w:hAnsi="仿宋" w:eastAsia="仿宋" w:cs="仿宋"/>
          <w:color w:val="auto"/>
          <w:sz w:val="24"/>
          <w:szCs w:val="24"/>
        </w:rPr>
      </w:pPr>
      <w:r>
        <w:rPr>
          <w:rFonts w:hint="eastAsia" w:ascii="仿宋" w:hAnsi="仿宋" w:eastAsia="仿宋" w:cs="仿宋"/>
          <w:color w:val="auto"/>
          <w:sz w:val="24"/>
          <w:szCs w:val="24"/>
        </w:rPr>
        <w:t>选择</w:t>
      </w:r>
      <w:r>
        <w:rPr>
          <w:rFonts w:ascii="仿宋" w:hAnsi="仿宋" w:eastAsia="仿宋" w:cs="仿宋"/>
          <w:color w:val="auto"/>
          <w:sz w:val="24"/>
          <w:szCs w:val="24"/>
        </w:rPr>
        <w:t>1</w:t>
      </w:r>
      <w:r>
        <w:rPr>
          <w:rFonts w:hint="eastAsia" w:ascii="仿宋" w:hAnsi="仿宋" w:eastAsia="仿宋" w:cs="仿宋"/>
          <w:color w:val="auto"/>
          <w:sz w:val="24"/>
          <w:szCs w:val="24"/>
        </w:rPr>
        <w:t>家合格供应商进行</w:t>
      </w:r>
      <w:r>
        <w:rPr>
          <w:rFonts w:hint="eastAsia" w:ascii="仿宋" w:hAnsi="仿宋" w:eastAsia="仿宋" w:cs="仿宋"/>
          <w:color w:val="auto"/>
          <w:sz w:val="24"/>
          <w:szCs w:val="24"/>
          <w:lang w:eastAsia="zh-CN"/>
        </w:rPr>
        <w:t>建德市“安心返”系统及“17防”平台项目</w:t>
      </w:r>
      <w:r>
        <w:rPr>
          <w:rFonts w:hint="eastAsia" w:ascii="仿宋" w:hAnsi="仿宋" w:eastAsia="仿宋" w:cs="仿宋"/>
          <w:color w:val="auto"/>
          <w:sz w:val="24"/>
          <w:szCs w:val="24"/>
          <w:lang w:val="zh-CN"/>
        </w:rPr>
        <w:t>（包括系统设计、开发、数据同步、整理、人工费、验收、培训、辅助工作及售后服务等），</w:t>
      </w:r>
      <w:r>
        <w:rPr>
          <w:rFonts w:hint="eastAsia" w:ascii="仿宋" w:hAnsi="仿宋" w:eastAsia="仿宋" w:cs="仿宋"/>
          <w:color w:val="auto"/>
          <w:sz w:val="24"/>
          <w:szCs w:val="24"/>
        </w:rPr>
        <w:t>具体内容详见《招标内容与技术要求》。</w:t>
      </w:r>
    </w:p>
    <w:p>
      <w:pPr>
        <w:keepNext w:val="0"/>
        <w:keepLines w:val="0"/>
        <w:pageBreakBefore w:val="0"/>
        <w:numPr>
          <w:ilvl w:val="0"/>
          <w:numId w:val="10"/>
        </w:numPr>
        <w:kinsoku/>
        <w:wordWrap/>
        <w:overflowPunct/>
        <w:topLinePunct w:val="0"/>
        <w:bidi w:val="0"/>
        <w:adjustRightInd/>
        <w:spacing w:line="336" w:lineRule="auto"/>
        <w:ind w:firstLine="482" w:firstLineChars="200"/>
        <w:textAlignment w:val="auto"/>
        <w:rPr>
          <w:rFonts w:ascii="仿宋" w:hAnsi="仿宋" w:eastAsia="仿宋" w:cs="仿宋"/>
          <w:b/>
          <w:color w:val="auto"/>
          <w:sz w:val="24"/>
          <w:szCs w:val="24"/>
        </w:rPr>
      </w:pPr>
      <w:r>
        <w:rPr>
          <w:rFonts w:hint="eastAsia" w:ascii="仿宋" w:hAnsi="仿宋" w:eastAsia="仿宋" w:cs="仿宋"/>
          <w:b/>
          <w:color w:val="auto"/>
          <w:sz w:val="24"/>
          <w:szCs w:val="24"/>
        </w:rPr>
        <w:t>投标供应商的资格要求：</w:t>
      </w:r>
    </w:p>
    <w:p>
      <w:pPr>
        <w:keepNext w:val="0"/>
        <w:keepLines w:val="0"/>
        <w:pageBreakBefore w:val="0"/>
        <w:kinsoku/>
        <w:wordWrap/>
        <w:overflowPunct/>
        <w:topLinePunct w:val="0"/>
        <w:bidi w:val="0"/>
        <w:adjustRightInd/>
        <w:snapToGrid w:val="0"/>
        <w:spacing w:line="336" w:lineRule="auto"/>
        <w:ind w:firstLine="600" w:firstLineChars="250"/>
        <w:textAlignment w:val="auto"/>
        <w:rPr>
          <w:rFonts w:ascii="仿宋" w:hAnsi="仿宋" w:eastAsia="仿宋" w:cs="仿宋"/>
          <w:color w:val="auto"/>
          <w:sz w:val="24"/>
          <w:szCs w:val="24"/>
        </w:rPr>
      </w:pPr>
      <w:r>
        <w:rPr>
          <w:rFonts w:ascii="仿宋" w:hAnsi="仿宋" w:eastAsia="仿宋" w:cs="仿宋"/>
          <w:color w:val="auto"/>
          <w:sz w:val="24"/>
          <w:szCs w:val="24"/>
        </w:rPr>
        <w:t>1</w:t>
      </w:r>
      <w:r>
        <w:rPr>
          <w:rFonts w:hint="eastAsia" w:ascii="仿宋" w:hAnsi="仿宋" w:eastAsia="仿宋" w:cs="仿宋"/>
          <w:color w:val="auto"/>
          <w:sz w:val="24"/>
          <w:szCs w:val="24"/>
        </w:rPr>
        <w:t>、符合《中华人民共和国政府采购法》第二十二条对投标主体的要求；</w:t>
      </w:r>
    </w:p>
    <w:p>
      <w:pPr>
        <w:keepNext w:val="0"/>
        <w:keepLines w:val="0"/>
        <w:pageBreakBefore w:val="0"/>
        <w:kinsoku/>
        <w:wordWrap/>
        <w:overflowPunct/>
        <w:topLinePunct w:val="0"/>
        <w:bidi w:val="0"/>
        <w:adjustRightInd/>
        <w:snapToGrid w:val="0"/>
        <w:spacing w:line="336" w:lineRule="auto"/>
        <w:ind w:firstLine="600" w:firstLineChars="250"/>
        <w:textAlignment w:val="auto"/>
        <w:rPr>
          <w:rFonts w:ascii="仿宋" w:hAnsi="仿宋" w:eastAsia="仿宋" w:cs="仿宋"/>
          <w:color w:val="auto"/>
          <w:sz w:val="24"/>
          <w:szCs w:val="24"/>
        </w:rPr>
      </w:pPr>
      <w:r>
        <w:rPr>
          <w:rFonts w:ascii="仿宋" w:hAnsi="仿宋" w:eastAsia="仿宋" w:cs="仿宋"/>
          <w:color w:val="auto"/>
          <w:sz w:val="24"/>
          <w:szCs w:val="24"/>
        </w:rPr>
        <w:t>2</w:t>
      </w:r>
      <w:r>
        <w:rPr>
          <w:rFonts w:hint="eastAsia" w:ascii="仿宋" w:hAnsi="仿宋" w:eastAsia="仿宋" w:cs="仿宋"/>
          <w:color w:val="auto"/>
          <w:sz w:val="24"/>
          <w:szCs w:val="24"/>
        </w:rPr>
        <w:t>、本项目不接受联合体投标；</w:t>
      </w:r>
    </w:p>
    <w:p>
      <w:pPr>
        <w:keepNext w:val="0"/>
        <w:keepLines w:val="0"/>
        <w:pageBreakBefore w:val="0"/>
        <w:kinsoku/>
        <w:wordWrap/>
        <w:overflowPunct/>
        <w:topLinePunct w:val="0"/>
        <w:bidi w:val="0"/>
        <w:adjustRightInd/>
        <w:snapToGrid w:val="0"/>
        <w:spacing w:line="336" w:lineRule="auto"/>
        <w:ind w:firstLine="600" w:firstLineChars="250"/>
        <w:textAlignment w:val="auto"/>
        <w:rPr>
          <w:rFonts w:ascii="仿宋" w:hAnsi="仿宋" w:eastAsia="仿宋" w:cs="仿宋"/>
          <w:color w:val="auto"/>
          <w:sz w:val="24"/>
          <w:szCs w:val="24"/>
        </w:rPr>
      </w:pPr>
      <w:r>
        <w:rPr>
          <w:rFonts w:ascii="仿宋" w:hAnsi="仿宋" w:eastAsia="仿宋" w:cs="仿宋"/>
          <w:color w:val="auto"/>
          <w:sz w:val="24"/>
          <w:szCs w:val="24"/>
        </w:rPr>
        <w:t>3</w:t>
      </w:r>
      <w:r>
        <w:rPr>
          <w:rFonts w:hint="eastAsia" w:ascii="仿宋" w:hAnsi="仿宋" w:eastAsia="仿宋" w:cs="仿宋"/>
          <w:color w:val="auto"/>
          <w:sz w:val="24"/>
          <w:szCs w:val="24"/>
        </w:rPr>
        <w:t>、本项目不允许转包、分包。</w:t>
      </w:r>
    </w:p>
    <w:p>
      <w:pPr>
        <w:keepNext w:val="0"/>
        <w:keepLines w:val="0"/>
        <w:pageBreakBefore w:val="0"/>
        <w:numPr>
          <w:ilvl w:val="0"/>
          <w:numId w:val="10"/>
        </w:numPr>
        <w:kinsoku/>
        <w:wordWrap/>
        <w:overflowPunct/>
        <w:topLinePunct w:val="0"/>
        <w:bidi w:val="0"/>
        <w:adjustRightInd/>
        <w:spacing w:line="336" w:lineRule="auto"/>
        <w:ind w:firstLine="482" w:firstLineChars="200"/>
        <w:textAlignment w:val="auto"/>
        <w:rPr>
          <w:rFonts w:ascii="仿宋" w:hAnsi="仿宋" w:eastAsia="仿宋" w:cs="仿宋"/>
          <w:b/>
          <w:color w:val="auto"/>
          <w:sz w:val="24"/>
          <w:szCs w:val="24"/>
        </w:rPr>
      </w:pPr>
      <w:r>
        <w:rPr>
          <w:rFonts w:hint="eastAsia" w:ascii="仿宋" w:hAnsi="仿宋" w:eastAsia="仿宋" w:cs="仿宋"/>
          <w:b/>
          <w:color w:val="auto"/>
          <w:sz w:val="24"/>
          <w:szCs w:val="24"/>
        </w:rPr>
        <w:t>本项目的报名、招标文件的发售时间、地址、售价：</w:t>
      </w:r>
    </w:p>
    <w:p>
      <w:pPr>
        <w:keepNext w:val="0"/>
        <w:keepLines w:val="0"/>
        <w:pageBreakBefore w:val="0"/>
        <w:kinsoku/>
        <w:wordWrap/>
        <w:overflowPunct/>
        <w:topLinePunct w:val="0"/>
        <w:bidi w:val="0"/>
        <w:adjustRightInd/>
        <w:spacing w:line="336" w:lineRule="auto"/>
        <w:ind w:firstLine="482" w:firstLineChars="200"/>
        <w:textAlignment w:val="auto"/>
        <w:rPr>
          <w:rStyle w:val="303"/>
          <w:rFonts w:hint="eastAsia" w:ascii="仿宋" w:hAnsi="仿宋" w:eastAsia="仿宋" w:cs="仿宋"/>
          <w:color w:val="auto"/>
          <w:sz w:val="24"/>
          <w:szCs w:val="24"/>
          <w:lang w:eastAsia="zh-CN"/>
        </w:rPr>
      </w:pPr>
      <w:r>
        <w:rPr>
          <w:rFonts w:ascii="仿宋" w:hAnsi="仿宋" w:eastAsia="仿宋" w:cs="仿宋"/>
          <w:b/>
          <w:color w:val="auto"/>
          <w:sz w:val="24"/>
          <w:szCs w:val="24"/>
        </w:rPr>
        <w:t xml:space="preserve"> </w:t>
      </w:r>
      <w:r>
        <w:rPr>
          <w:rStyle w:val="303"/>
          <w:rFonts w:ascii="仿宋" w:hAnsi="仿宋" w:eastAsia="仿宋" w:cs="仿宋"/>
          <w:color w:val="auto"/>
          <w:sz w:val="24"/>
          <w:szCs w:val="24"/>
        </w:rPr>
        <w:t>1</w:t>
      </w:r>
      <w:r>
        <w:rPr>
          <w:rStyle w:val="303"/>
          <w:rFonts w:hint="eastAsia" w:ascii="仿宋" w:hAnsi="仿宋" w:eastAsia="仿宋" w:cs="仿宋"/>
          <w:color w:val="auto"/>
          <w:sz w:val="24"/>
          <w:szCs w:val="24"/>
        </w:rPr>
        <w:t>、本项目无需报名。</w:t>
      </w:r>
    </w:p>
    <w:p>
      <w:pPr>
        <w:keepNext w:val="0"/>
        <w:keepLines w:val="0"/>
        <w:pageBreakBefore w:val="0"/>
        <w:kinsoku/>
        <w:wordWrap/>
        <w:overflowPunct/>
        <w:topLinePunct w:val="0"/>
        <w:bidi w:val="0"/>
        <w:adjustRightInd/>
        <w:spacing w:line="336" w:lineRule="auto"/>
        <w:ind w:firstLine="480" w:firstLineChars="200"/>
        <w:textAlignment w:val="auto"/>
        <w:rPr>
          <w:rStyle w:val="303"/>
          <w:rFonts w:hint="eastAsia" w:ascii="仿宋" w:hAnsi="仿宋" w:eastAsia="仿宋" w:cs="仿宋"/>
          <w:color w:val="auto"/>
          <w:sz w:val="24"/>
          <w:szCs w:val="24"/>
          <w:lang w:eastAsia="zh-CN"/>
        </w:rPr>
      </w:pPr>
      <w:r>
        <w:rPr>
          <w:rStyle w:val="303"/>
          <w:rFonts w:ascii="仿宋" w:hAnsi="仿宋" w:eastAsia="仿宋" w:cs="仿宋"/>
          <w:color w:val="auto"/>
          <w:sz w:val="24"/>
          <w:szCs w:val="24"/>
        </w:rPr>
        <w:t xml:space="preserve"> 2</w:t>
      </w:r>
      <w:r>
        <w:rPr>
          <w:rStyle w:val="303"/>
          <w:rFonts w:hint="eastAsia" w:ascii="仿宋" w:hAnsi="仿宋" w:eastAsia="仿宋" w:cs="仿宋"/>
          <w:color w:val="auto"/>
          <w:sz w:val="24"/>
          <w:szCs w:val="24"/>
        </w:rPr>
        <w:t>、发售</w:t>
      </w:r>
      <w:r>
        <w:rPr>
          <w:rStyle w:val="303"/>
          <w:rFonts w:ascii="仿宋" w:hAnsi="仿宋" w:eastAsia="仿宋" w:cs="仿宋"/>
          <w:color w:val="auto"/>
          <w:sz w:val="24"/>
          <w:szCs w:val="24"/>
        </w:rPr>
        <w:t>/</w:t>
      </w:r>
      <w:r>
        <w:rPr>
          <w:rStyle w:val="303"/>
          <w:rFonts w:hint="eastAsia" w:ascii="仿宋" w:hAnsi="仿宋" w:eastAsia="仿宋" w:cs="仿宋"/>
          <w:color w:val="auto"/>
          <w:sz w:val="24"/>
          <w:szCs w:val="24"/>
        </w:rPr>
        <w:t>获取地址：浙江政府采购网</w:t>
      </w:r>
      <w:r>
        <w:rPr>
          <w:rStyle w:val="303"/>
          <w:rFonts w:ascii="仿宋" w:hAnsi="仿宋" w:eastAsia="仿宋" w:cs="仿宋"/>
          <w:color w:val="auto"/>
          <w:sz w:val="24"/>
          <w:szCs w:val="24"/>
        </w:rPr>
        <w:t>(http://www.zjzfcg.gov.cn)</w:t>
      </w:r>
      <w:r>
        <w:rPr>
          <w:rStyle w:val="303"/>
          <w:rFonts w:hint="eastAsia" w:ascii="仿宋" w:hAnsi="仿宋" w:eastAsia="仿宋" w:cs="仿宋"/>
          <w:color w:val="auto"/>
          <w:sz w:val="24"/>
          <w:szCs w:val="24"/>
        </w:rPr>
        <w:t>和杭州市公共资源交易中心建德分中心网（</w:t>
      </w:r>
      <w:r>
        <w:rPr>
          <w:rStyle w:val="303"/>
          <w:rFonts w:ascii="仿宋" w:hAnsi="仿宋" w:eastAsia="仿宋" w:cs="仿宋"/>
          <w:color w:val="auto"/>
          <w:sz w:val="24"/>
          <w:szCs w:val="24"/>
        </w:rPr>
        <w:t>http://www.jiande.gov.cn/col/col1229346101/index.html</w:t>
      </w:r>
      <w:r>
        <w:rPr>
          <w:rStyle w:val="303"/>
          <w:rFonts w:hint="eastAsia" w:ascii="仿宋" w:hAnsi="仿宋" w:eastAsia="仿宋" w:cs="仿宋"/>
          <w:color w:val="auto"/>
          <w:sz w:val="24"/>
          <w:szCs w:val="24"/>
        </w:rPr>
        <w:t>）。</w:t>
      </w:r>
    </w:p>
    <w:p>
      <w:pPr>
        <w:keepNext w:val="0"/>
        <w:keepLines w:val="0"/>
        <w:pageBreakBefore w:val="0"/>
        <w:kinsoku/>
        <w:wordWrap/>
        <w:overflowPunct/>
        <w:topLinePunct w:val="0"/>
        <w:bidi w:val="0"/>
        <w:adjustRightInd/>
        <w:spacing w:line="336" w:lineRule="auto"/>
        <w:ind w:firstLine="480" w:firstLineChars="200"/>
        <w:textAlignment w:val="auto"/>
        <w:rPr>
          <w:rStyle w:val="303"/>
          <w:rFonts w:ascii="仿宋" w:hAnsi="仿宋" w:eastAsia="仿宋" w:cs="仿宋"/>
          <w:color w:val="auto"/>
          <w:sz w:val="24"/>
          <w:szCs w:val="24"/>
        </w:rPr>
      </w:pPr>
      <w:r>
        <w:rPr>
          <w:rStyle w:val="303"/>
          <w:rFonts w:ascii="仿宋" w:hAnsi="仿宋" w:eastAsia="仿宋" w:cs="仿宋"/>
          <w:color w:val="auto"/>
          <w:sz w:val="24"/>
          <w:szCs w:val="24"/>
        </w:rPr>
        <w:t xml:space="preserve"> 3</w:t>
      </w:r>
      <w:r>
        <w:rPr>
          <w:rStyle w:val="303"/>
          <w:rFonts w:hint="eastAsia" w:ascii="仿宋" w:hAnsi="仿宋" w:eastAsia="仿宋" w:cs="仿宋"/>
          <w:color w:val="auto"/>
          <w:sz w:val="24"/>
          <w:szCs w:val="24"/>
        </w:rPr>
        <w:t>、招标文件费用：免费下载。</w:t>
      </w:r>
    </w:p>
    <w:p>
      <w:pPr>
        <w:keepNext w:val="0"/>
        <w:keepLines w:val="0"/>
        <w:pageBreakBefore w:val="0"/>
        <w:kinsoku/>
        <w:wordWrap/>
        <w:overflowPunct/>
        <w:topLinePunct w:val="0"/>
        <w:bidi w:val="0"/>
        <w:adjustRightInd/>
        <w:spacing w:line="336" w:lineRule="auto"/>
        <w:ind w:firstLine="482" w:firstLineChars="200"/>
        <w:textAlignment w:val="auto"/>
        <w:rPr>
          <w:rFonts w:ascii="仿宋" w:hAnsi="仿宋" w:eastAsia="仿宋" w:cs="仿宋"/>
          <w:color w:val="auto"/>
          <w:sz w:val="24"/>
          <w:szCs w:val="24"/>
        </w:rPr>
      </w:pPr>
      <w:r>
        <w:rPr>
          <w:rFonts w:hint="eastAsia" w:ascii="仿宋" w:hAnsi="仿宋" w:eastAsia="仿宋" w:cs="仿宋"/>
          <w:b/>
          <w:color w:val="auto"/>
          <w:sz w:val="24"/>
          <w:szCs w:val="24"/>
        </w:rPr>
        <w:t>五、投标截止时间和地点：</w:t>
      </w:r>
      <w:r>
        <w:rPr>
          <w:rFonts w:hint="eastAsia" w:ascii="仿宋" w:hAnsi="仿宋" w:eastAsia="仿宋" w:cs="仿宋"/>
          <w:color w:val="auto"/>
          <w:sz w:val="24"/>
          <w:szCs w:val="24"/>
        </w:rPr>
        <w:t>投标人</w:t>
      </w:r>
      <w:r>
        <w:rPr>
          <w:rFonts w:hint="eastAsia" w:ascii="仿宋" w:hAnsi="仿宋" w:eastAsia="仿宋" w:cs="仿宋"/>
          <w:bCs/>
          <w:color w:val="auto"/>
          <w:sz w:val="24"/>
          <w:szCs w:val="24"/>
        </w:rPr>
        <w:t>应于</w:t>
      </w:r>
      <w:r>
        <w:rPr>
          <w:rFonts w:ascii="仿宋" w:hAnsi="仿宋" w:eastAsia="仿宋" w:cs="仿宋"/>
          <w:b/>
          <w:color w:val="auto"/>
          <w:sz w:val="24"/>
          <w:szCs w:val="24"/>
        </w:rPr>
        <w:t>2021</w:t>
      </w:r>
      <w:r>
        <w:rPr>
          <w:rFonts w:hint="eastAsia" w:ascii="仿宋" w:hAnsi="仿宋" w:eastAsia="仿宋" w:cs="仿宋"/>
          <w:b/>
          <w:color w:val="auto"/>
          <w:sz w:val="24"/>
          <w:szCs w:val="24"/>
        </w:rPr>
        <w:t>年</w:t>
      </w:r>
      <w:r>
        <w:rPr>
          <w:rFonts w:hint="eastAsia" w:ascii="仿宋" w:hAnsi="仿宋" w:eastAsia="仿宋" w:cs="仿宋"/>
          <w:b/>
          <w:color w:val="auto"/>
          <w:sz w:val="24"/>
          <w:szCs w:val="24"/>
          <w:lang w:val="en-US" w:eastAsia="zh-CN"/>
        </w:rPr>
        <w:t>11</w:t>
      </w:r>
      <w:r>
        <w:rPr>
          <w:rFonts w:hint="eastAsia" w:ascii="仿宋" w:hAnsi="仿宋" w:eastAsia="仿宋" w:cs="仿宋"/>
          <w:b/>
          <w:color w:val="auto"/>
          <w:sz w:val="24"/>
          <w:szCs w:val="24"/>
        </w:rPr>
        <w:t>月</w:t>
      </w:r>
      <w:r>
        <w:rPr>
          <w:rFonts w:hint="eastAsia" w:ascii="仿宋" w:hAnsi="仿宋" w:eastAsia="仿宋" w:cs="仿宋"/>
          <w:b/>
          <w:color w:val="auto"/>
          <w:sz w:val="24"/>
          <w:szCs w:val="24"/>
          <w:lang w:val="en-US" w:eastAsia="zh-CN"/>
        </w:rPr>
        <w:t>16</w:t>
      </w:r>
      <w:r>
        <w:rPr>
          <w:rFonts w:hint="eastAsia" w:ascii="仿宋" w:hAnsi="仿宋" w:eastAsia="仿宋" w:cs="仿宋"/>
          <w:b/>
          <w:color w:val="auto"/>
          <w:sz w:val="24"/>
          <w:szCs w:val="24"/>
        </w:rPr>
        <w:t>日</w:t>
      </w:r>
      <w:r>
        <w:rPr>
          <w:rFonts w:hint="eastAsia" w:ascii="仿宋" w:hAnsi="仿宋" w:eastAsia="仿宋" w:cs="仿宋"/>
          <w:b/>
          <w:color w:val="auto"/>
          <w:sz w:val="24"/>
          <w:szCs w:val="24"/>
          <w:lang w:val="en-US" w:eastAsia="zh-CN"/>
        </w:rPr>
        <w:t>13:30</w:t>
      </w:r>
      <w:r>
        <w:rPr>
          <w:rFonts w:hint="eastAsia" w:ascii="仿宋" w:hAnsi="仿宋" w:eastAsia="仿宋" w:cs="仿宋"/>
          <w:b/>
          <w:color w:val="auto"/>
          <w:sz w:val="24"/>
          <w:szCs w:val="24"/>
        </w:rPr>
        <w:t>前</w:t>
      </w:r>
      <w:r>
        <w:rPr>
          <w:rFonts w:hint="eastAsia" w:ascii="仿宋" w:hAnsi="仿宋" w:eastAsia="仿宋" w:cs="仿宋"/>
          <w:color w:val="auto"/>
          <w:sz w:val="24"/>
          <w:szCs w:val="24"/>
        </w:rPr>
        <w:t>将投标文件密封送交到杭州市公共资源交易中心建德分中心（洋安社区荷映路</w:t>
      </w:r>
      <w:r>
        <w:rPr>
          <w:rFonts w:ascii="仿宋" w:hAnsi="仿宋" w:eastAsia="仿宋" w:cs="仿宋"/>
          <w:color w:val="auto"/>
          <w:sz w:val="24"/>
          <w:szCs w:val="24"/>
        </w:rPr>
        <w:t>113</w:t>
      </w:r>
      <w:r>
        <w:rPr>
          <w:rFonts w:hint="eastAsia" w:ascii="仿宋" w:hAnsi="仿宋" w:eastAsia="仿宋" w:cs="仿宋"/>
          <w:color w:val="auto"/>
          <w:sz w:val="24"/>
          <w:szCs w:val="24"/>
        </w:rPr>
        <w:t>号</w:t>
      </w:r>
      <w:r>
        <w:rPr>
          <w:rFonts w:ascii="仿宋" w:hAnsi="仿宋" w:eastAsia="仿宋" w:cs="仿宋"/>
          <w:color w:val="auto"/>
          <w:sz w:val="24"/>
          <w:szCs w:val="24"/>
        </w:rPr>
        <w:t>3</w:t>
      </w:r>
      <w:r>
        <w:rPr>
          <w:rFonts w:hint="eastAsia" w:ascii="仿宋" w:hAnsi="仿宋" w:eastAsia="仿宋" w:cs="仿宋"/>
          <w:color w:val="auto"/>
          <w:sz w:val="24"/>
          <w:szCs w:val="24"/>
        </w:rPr>
        <w:t>楼）</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号开标室，逾期送达或未密封将予以拒收。</w:t>
      </w:r>
    </w:p>
    <w:p>
      <w:pPr>
        <w:keepNext w:val="0"/>
        <w:keepLines w:val="0"/>
        <w:pageBreakBefore w:val="0"/>
        <w:kinsoku/>
        <w:wordWrap/>
        <w:overflowPunct/>
        <w:topLinePunct w:val="0"/>
        <w:bidi w:val="0"/>
        <w:adjustRightInd/>
        <w:spacing w:line="336" w:lineRule="auto"/>
        <w:ind w:firstLine="463" w:firstLineChars="192"/>
        <w:textAlignment w:val="auto"/>
        <w:rPr>
          <w:rFonts w:ascii="仿宋" w:hAnsi="仿宋" w:eastAsia="仿宋" w:cs="仿宋"/>
          <w:color w:val="auto"/>
          <w:sz w:val="24"/>
          <w:szCs w:val="24"/>
        </w:rPr>
      </w:pPr>
      <w:r>
        <w:rPr>
          <w:rFonts w:hint="eastAsia" w:ascii="仿宋" w:hAnsi="仿宋" w:eastAsia="仿宋" w:cs="仿宋"/>
          <w:b/>
          <w:color w:val="auto"/>
          <w:sz w:val="24"/>
          <w:szCs w:val="24"/>
        </w:rPr>
        <w:t>六、开标时间及地点：</w:t>
      </w:r>
      <w:r>
        <w:rPr>
          <w:rFonts w:hint="eastAsia" w:ascii="仿宋" w:hAnsi="仿宋" w:eastAsia="仿宋" w:cs="仿宋"/>
          <w:color w:val="auto"/>
          <w:sz w:val="24"/>
          <w:szCs w:val="24"/>
        </w:rPr>
        <w:t>本次招标将于</w:t>
      </w:r>
      <w:r>
        <w:rPr>
          <w:rFonts w:ascii="仿宋" w:hAnsi="仿宋" w:eastAsia="仿宋" w:cs="仿宋"/>
          <w:b/>
          <w:color w:val="auto"/>
          <w:sz w:val="24"/>
          <w:szCs w:val="24"/>
        </w:rPr>
        <w:t>2021</w:t>
      </w:r>
      <w:r>
        <w:rPr>
          <w:rFonts w:hint="eastAsia" w:ascii="仿宋" w:hAnsi="仿宋" w:eastAsia="仿宋" w:cs="仿宋"/>
          <w:b/>
          <w:color w:val="auto"/>
          <w:sz w:val="24"/>
          <w:szCs w:val="24"/>
        </w:rPr>
        <w:t>年</w:t>
      </w:r>
      <w:r>
        <w:rPr>
          <w:rFonts w:hint="eastAsia" w:ascii="仿宋" w:hAnsi="仿宋" w:eastAsia="仿宋" w:cs="仿宋"/>
          <w:b/>
          <w:color w:val="auto"/>
          <w:sz w:val="24"/>
          <w:szCs w:val="24"/>
          <w:lang w:val="en-US" w:eastAsia="zh-CN"/>
        </w:rPr>
        <w:t>11</w:t>
      </w:r>
      <w:r>
        <w:rPr>
          <w:rFonts w:hint="eastAsia" w:ascii="仿宋" w:hAnsi="仿宋" w:eastAsia="仿宋" w:cs="仿宋"/>
          <w:b/>
          <w:color w:val="auto"/>
          <w:sz w:val="24"/>
          <w:szCs w:val="24"/>
        </w:rPr>
        <w:t>月</w:t>
      </w:r>
      <w:r>
        <w:rPr>
          <w:rFonts w:hint="eastAsia" w:ascii="仿宋" w:hAnsi="仿宋" w:eastAsia="仿宋" w:cs="仿宋"/>
          <w:b/>
          <w:color w:val="auto"/>
          <w:sz w:val="24"/>
          <w:szCs w:val="24"/>
          <w:lang w:val="en-US" w:eastAsia="zh-CN"/>
        </w:rPr>
        <w:t>16</w:t>
      </w:r>
      <w:r>
        <w:rPr>
          <w:rFonts w:hint="eastAsia" w:ascii="仿宋" w:hAnsi="仿宋" w:eastAsia="仿宋" w:cs="仿宋"/>
          <w:b/>
          <w:color w:val="auto"/>
          <w:sz w:val="24"/>
          <w:szCs w:val="24"/>
        </w:rPr>
        <w:t>日</w:t>
      </w:r>
      <w:r>
        <w:rPr>
          <w:rFonts w:hint="eastAsia" w:ascii="仿宋" w:hAnsi="仿宋" w:eastAsia="仿宋" w:cs="仿宋"/>
          <w:b/>
          <w:color w:val="auto"/>
          <w:sz w:val="24"/>
          <w:szCs w:val="24"/>
          <w:lang w:val="en-US" w:eastAsia="zh-CN"/>
        </w:rPr>
        <w:t>13:30</w:t>
      </w:r>
      <w:r>
        <w:rPr>
          <w:rFonts w:hint="eastAsia" w:ascii="仿宋" w:hAnsi="仿宋" w:eastAsia="仿宋" w:cs="仿宋"/>
          <w:b/>
          <w:color w:val="auto"/>
          <w:sz w:val="24"/>
          <w:szCs w:val="24"/>
        </w:rPr>
        <w:t>时</w:t>
      </w:r>
      <w:r>
        <w:rPr>
          <w:rFonts w:hint="eastAsia" w:ascii="仿宋" w:hAnsi="仿宋" w:eastAsia="仿宋" w:cs="仿宋"/>
          <w:color w:val="auto"/>
          <w:sz w:val="24"/>
          <w:szCs w:val="24"/>
        </w:rPr>
        <w:t>整在杭州市公共资源交易中心建德分中心（洋安社区荷映路</w:t>
      </w:r>
      <w:r>
        <w:rPr>
          <w:rFonts w:ascii="仿宋" w:hAnsi="仿宋" w:eastAsia="仿宋" w:cs="仿宋"/>
          <w:color w:val="auto"/>
          <w:sz w:val="24"/>
          <w:szCs w:val="24"/>
        </w:rPr>
        <w:t>113</w:t>
      </w:r>
      <w:r>
        <w:rPr>
          <w:rFonts w:hint="eastAsia" w:ascii="仿宋" w:hAnsi="仿宋" w:eastAsia="仿宋" w:cs="仿宋"/>
          <w:color w:val="auto"/>
          <w:sz w:val="24"/>
          <w:szCs w:val="24"/>
        </w:rPr>
        <w:t>号</w:t>
      </w:r>
      <w:r>
        <w:rPr>
          <w:rFonts w:ascii="仿宋" w:hAnsi="仿宋" w:eastAsia="仿宋" w:cs="仿宋"/>
          <w:color w:val="auto"/>
          <w:sz w:val="24"/>
          <w:szCs w:val="24"/>
        </w:rPr>
        <w:t>3</w:t>
      </w:r>
      <w:r>
        <w:rPr>
          <w:rFonts w:hint="eastAsia" w:ascii="仿宋" w:hAnsi="仿宋" w:eastAsia="仿宋" w:cs="仿宋"/>
          <w:color w:val="auto"/>
          <w:sz w:val="24"/>
          <w:szCs w:val="24"/>
        </w:rPr>
        <w:t>楼）</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号开标室开标，投标人代表派授权代表出席开标会议（</w:t>
      </w:r>
      <w:r>
        <w:rPr>
          <w:rFonts w:hint="eastAsia" w:ascii="仿宋" w:hAnsi="仿宋" w:eastAsia="仿宋" w:cs="仿宋"/>
          <w:b/>
          <w:bCs/>
          <w:color w:val="auto"/>
          <w:sz w:val="24"/>
          <w:szCs w:val="24"/>
        </w:rPr>
        <w:t>授权委托人携带身份证、授权委托书原件或法定代表人携带身份证等有效证明出席</w:t>
      </w:r>
      <w:r>
        <w:rPr>
          <w:rFonts w:hint="eastAsia" w:ascii="仿宋" w:hAnsi="仿宋" w:eastAsia="仿宋" w:cs="仿宋"/>
          <w:color w:val="auto"/>
          <w:sz w:val="24"/>
          <w:szCs w:val="24"/>
        </w:rPr>
        <w:t>）。</w:t>
      </w:r>
    </w:p>
    <w:p>
      <w:pPr>
        <w:keepNext w:val="0"/>
        <w:keepLines w:val="0"/>
        <w:pageBreakBefore w:val="0"/>
        <w:kinsoku/>
        <w:wordWrap/>
        <w:overflowPunct/>
        <w:topLinePunct w:val="0"/>
        <w:bidi w:val="0"/>
        <w:adjustRightInd/>
        <w:spacing w:line="336" w:lineRule="auto"/>
        <w:ind w:firstLine="463" w:firstLineChars="192"/>
        <w:textAlignment w:val="auto"/>
        <w:rPr>
          <w:rFonts w:ascii="仿宋" w:hAnsi="仿宋" w:eastAsia="仿宋" w:cs="仿宋"/>
          <w:b/>
          <w:color w:val="auto"/>
          <w:sz w:val="24"/>
          <w:szCs w:val="24"/>
        </w:rPr>
      </w:pPr>
      <w:r>
        <w:rPr>
          <w:rFonts w:hint="eastAsia" w:ascii="仿宋" w:hAnsi="仿宋" w:eastAsia="仿宋" w:cs="仿宋"/>
          <w:b/>
          <w:color w:val="auto"/>
          <w:sz w:val="24"/>
          <w:szCs w:val="24"/>
        </w:rPr>
        <w:t>七、发布媒体：</w:t>
      </w:r>
    </w:p>
    <w:p>
      <w:pPr>
        <w:keepNext w:val="0"/>
        <w:keepLines w:val="0"/>
        <w:pageBreakBefore w:val="0"/>
        <w:kinsoku/>
        <w:wordWrap/>
        <w:overflowPunct/>
        <w:topLinePunct w:val="0"/>
        <w:bidi w:val="0"/>
        <w:adjustRightInd/>
        <w:spacing w:line="336" w:lineRule="auto"/>
        <w:ind w:firstLine="460" w:firstLineChars="192"/>
        <w:textAlignment w:val="auto"/>
        <w:rPr>
          <w:rFonts w:ascii="仿宋" w:hAnsi="仿宋" w:eastAsia="仿宋" w:cs="仿宋"/>
          <w:color w:val="auto"/>
          <w:sz w:val="24"/>
          <w:szCs w:val="24"/>
        </w:rPr>
      </w:pPr>
      <w:r>
        <w:rPr>
          <w:rFonts w:hint="eastAsia" w:ascii="仿宋" w:hAnsi="仿宋" w:eastAsia="仿宋" w:cs="仿宋"/>
          <w:color w:val="auto"/>
          <w:sz w:val="24"/>
          <w:szCs w:val="24"/>
        </w:rPr>
        <w:t>浙江政府采购网</w:t>
      </w:r>
      <w:r>
        <w:rPr>
          <w:rFonts w:ascii="仿宋" w:hAnsi="仿宋" w:eastAsia="仿宋" w:cs="仿宋"/>
          <w:color w:val="auto"/>
          <w:sz w:val="24"/>
          <w:szCs w:val="24"/>
        </w:rPr>
        <w:t>(</w:t>
      </w:r>
      <w:r>
        <w:rPr>
          <w:color w:val="auto"/>
        </w:rPr>
        <w:fldChar w:fldCharType="begin"/>
      </w:r>
      <w:r>
        <w:rPr>
          <w:color w:val="auto"/>
        </w:rPr>
        <w:instrText xml:space="preserve"> HYPERLINK "http://www.zjzfcg.gov.cn/" </w:instrText>
      </w:r>
      <w:r>
        <w:rPr>
          <w:color w:val="auto"/>
        </w:rPr>
        <w:fldChar w:fldCharType="separate"/>
      </w:r>
      <w:r>
        <w:rPr>
          <w:rFonts w:ascii="仿宋" w:hAnsi="仿宋" w:eastAsia="仿宋" w:cs="仿宋"/>
          <w:color w:val="auto"/>
          <w:sz w:val="24"/>
          <w:szCs w:val="24"/>
        </w:rPr>
        <w:t>http://www.zjzfcg.gov.cn</w:t>
      </w:r>
      <w:r>
        <w:rPr>
          <w:rFonts w:ascii="仿宋" w:hAnsi="仿宋" w:eastAsia="仿宋" w:cs="仿宋"/>
          <w:color w:val="auto"/>
          <w:sz w:val="24"/>
          <w:szCs w:val="24"/>
        </w:rPr>
        <w:fldChar w:fldCharType="end"/>
      </w:r>
      <w:r>
        <w:rPr>
          <w:rFonts w:ascii="仿宋" w:hAnsi="仿宋" w:eastAsia="仿宋" w:cs="仿宋"/>
          <w:color w:val="auto"/>
          <w:sz w:val="24"/>
          <w:szCs w:val="24"/>
        </w:rPr>
        <w:t>)</w:t>
      </w:r>
      <w:r>
        <w:rPr>
          <w:rFonts w:hint="eastAsia" w:ascii="仿宋" w:hAnsi="仿宋" w:eastAsia="仿宋" w:cs="仿宋"/>
          <w:color w:val="auto"/>
          <w:sz w:val="24"/>
          <w:szCs w:val="24"/>
        </w:rPr>
        <w:t>；</w:t>
      </w:r>
    </w:p>
    <w:p>
      <w:pPr>
        <w:keepNext w:val="0"/>
        <w:keepLines w:val="0"/>
        <w:pageBreakBefore w:val="0"/>
        <w:kinsoku/>
        <w:wordWrap/>
        <w:overflowPunct/>
        <w:topLinePunct w:val="0"/>
        <w:bidi w:val="0"/>
        <w:adjustRightInd/>
        <w:spacing w:line="336" w:lineRule="auto"/>
        <w:ind w:firstLine="460" w:firstLineChars="192"/>
        <w:textAlignment w:val="auto"/>
        <w:rPr>
          <w:rFonts w:ascii="仿宋" w:hAnsi="仿宋" w:eastAsia="仿宋" w:cs="仿宋"/>
          <w:color w:val="auto"/>
          <w:sz w:val="24"/>
          <w:szCs w:val="24"/>
        </w:rPr>
      </w:pPr>
      <w:r>
        <w:rPr>
          <w:rFonts w:hint="eastAsia" w:ascii="仿宋" w:hAnsi="仿宋" w:eastAsia="仿宋" w:cs="仿宋"/>
          <w:color w:val="auto"/>
          <w:sz w:val="24"/>
          <w:szCs w:val="24"/>
        </w:rPr>
        <w:t>杭州市公共资源交易中心建德分中心网（</w:t>
      </w:r>
      <w:r>
        <w:rPr>
          <w:rFonts w:ascii="仿宋" w:hAnsi="仿宋" w:eastAsia="仿宋" w:cs="仿宋"/>
          <w:color w:val="auto"/>
          <w:sz w:val="24"/>
          <w:szCs w:val="24"/>
        </w:rPr>
        <w:t>http://www.jiande.gov.cn/col/col1229346101/index.html</w:t>
      </w:r>
      <w:r>
        <w:rPr>
          <w:rFonts w:hint="eastAsia" w:ascii="仿宋" w:hAnsi="仿宋" w:eastAsia="仿宋" w:cs="仿宋"/>
          <w:color w:val="auto"/>
          <w:sz w:val="24"/>
          <w:szCs w:val="24"/>
        </w:rPr>
        <w:t>）。</w:t>
      </w:r>
    </w:p>
    <w:p>
      <w:pPr>
        <w:keepNext w:val="0"/>
        <w:keepLines w:val="0"/>
        <w:pageBreakBefore w:val="0"/>
        <w:kinsoku/>
        <w:wordWrap/>
        <w:overflowPunct/>
        <w:topLinePunct w:val="0"/>
        <w:bidi w:val="0"/>
        <w:adjustRightInd/>
        <w:spacing w:line="336" w:lineRule="auto"/>
        <w:ind w:firstLine="463" w:firstLineChars="192"/>
        <w:textAlignment w:val="auto"/>
        <w:rPr>
          <w:rFonts w:ascii="仿宋" w:hAnsi="仿宋" w:eastAsia="仿宋" w:cs="仿宋"/>
          <w:b/>
          <w:color w:val="auto"/>
          <w:sz w:val="24"/>
          <w:szCs w:val="24"/>
        </w:rPr>
      </w:pPr>
      <w:r>
        <w:rPr>
          <w:rFonts w:hint="eastAsia" w:ascii="仿宋" w:hAnsi="仿宋" w:eastAsia="仿宋" w:cs="仿宋"/>
          <w:b/>
          <w:color w:val="auto"/>
          <w:sz w:val="24"/>
          <w:szCs w:val="24"/>
        </w:rPr>
        <w:t>八、信用记录</w:t>
      </w:r>
    </w:p>
    <w:p>
      <w:pPr>
        <w:keepNext w:val="0"/>
        <w:keepLines w:val="0"/>
        <w:pageBreakBefore w:val="0"/>
        <w:kinsoku/>
        <w:wordWrap/>
        <w:overflowPunct/>
        <w:topLinePunct w:val="0"/>
        <w:bidi w:val="0"/>
        <w:adjustRightInd/>
        <w:spacing w:line="336" w:lineRule="auto"/>
        <w:ind w:firstLine="482" w:firstLineChars="200"/>
        <w:textAlignment w:val="auto"/>
        <w:rPr>
          <w:rFonts w:ascii="仿宋" w:hAnsi="仿宋" w:eastAsia="仿宋" w:cs="仿宋"/>
          <w:b/>
          <w:color w:val="auto"/>
          <w:sz w:val="24"/>
          <w:szCs w:val="24"/>
        </w:rPr>
      </w:pPr>
      <w:r>
        <w:rPr>
          <w:rFonts w:hint="eastAsia" w:ascii="仿宋" w:hAnsi="仿宋" w:eastAsia="仿宋" w:cs="仿宋"/>
          <w:b/>
          <w:color w:val="auto"/>
          <w:sz w:val="24"/>
          <w:szCs w:val="24"/>
        </w:rPr>
        <w:t>根据财库</w:t>
      </w:r>
      <w:r>
        <w:rPr>
          <w:rFonts w:ascii="仿宋" w:hAnsi="仿宋" w:eastAsia="仿宋" w:cs="仿宋"/>
          <w:b/>
          <w:color w:val="auto"/>
          <w:sz w:val="24"/>
          <w:szCs w:val="24"/>
        </w:rPr>
        <w:t>[2016]125</w:t>
      </w:r>
      <w:r>
        <w:rPr>
          <w:rFonts w:hint="eastAsia" w:ascii="仿宋" w:hAnsi="仿宋" w:eastAsia="仿宋" w:cs="仿宋"/>
          <w:b/>
          <w:color w:val="auto"/>
          <w:sz w:val="24"/>
          <w:szCs w:val="24"/>
        </w:rPr>
        <w:t>号《关于在政府采购活动中查询及使用信用记录有关问题的通知》要求，采购代理机构会对采购响应方的信用记录进行查询并甄别，响应方存在不良信用记录的，其投标文件将被拒绝。（不良信用记录指：被列入失信被执行人、重大税收违法案件当事人名单、政府采购严重违法失信行为记录名单或浙江政府采购网曝光台中尚在行政处罚期内的）</w:t>
      </w:r>
    </w:p>
    <w:p>
      <w:pPr>
        <w:keepNext w:val="0"/>
        <w:keepLines w:val="0"/>
        <w:pageBreakBefore w:val="0"/>
        <w:kinsoku/>
        <w:wordWrap/>
        <w:overflowPunct/>
        <w:topLinePunct w:val="0"/>
        <w:bidi w:val="0"/>
        <w:adjustRightInd/>
        <w:spacing w:line="336" w:lineRule="auto"/>
        <w:ind w:firstLine="354" w:firstLineChars="147"/>
        <w:textAlignment w:val="auto"/>
        <w:rPr>
          <w:rFonts w:ascii="仿宋" w:hAnsi="仿宋" w:eastAsia="仿宋" w:cs="仿宋"/>
          <w:b/>
          <w:color w:val="auto"/>
          <w:sz w:val="24"/>
          <w:szCs w:val="24"/>
        </w:rPr>
      </w:pPr>
      <w:r>
        <w:rPr>
          <w:rFonts w:ascii="仿宋" w:hAnsi="仿宋" w:eastAsia="仿宋" w:cs="仿宋"/>
          <w:b/>
          <w:color w:val="auto"/>
          <w:sz w:val="24"/>
          <w:szCs w:val="24"/>
        </w:rPr>
        <w:t>1</w:t>
      </w:r>
      <w:r>
        <w:rPr>
          <w:rFonts w:hint="eastAsia" w:ascii="仿宋" w:hAnsi="仿宋" w:eastAsia="仿宋" w:cs="仿宋"/>
          <w:b/>
          <w:color w:val="auto"/>
          <w:sz w:val="24"/>
          <w:szCs w:val="24"/>
        </w:rPr>
        <w:t>、信用信息查询的截止时点：投标截止时间；</w:t>
      </w:r>
    </w:p>
    <w:p>
      <w:pPr>
        <w:keepNext w:val="0"/>
        <w:keepLines w:val="0"/>
        <w:pageBreakBefore w:val="0"/>
        <w:kinsoku/>
        <w:wordWrap/>
        <w:overflowPunct/>
        <w:topLinePunct w:val="0"/>
        <w:bidi w:val="0"/>
        <w:adjustRightInd/>
        <w:spacing w:line="336" w:lineRule="auto"/>
        <w:ind w:firstLine="354" w:firstLineChars="147"/>
        <w:textAlignment w:val="auto"/>
        <w:rPr>
          <w:rFonts w:ascii="仿宋" w:hAnsi="仿宋" w:eastAsia="仿宋" w:cs="仿宋"/>
          <w:b/>
          <w:color w:val="auto"/>
          <w:sz w:val="24"/>
          <w:szCs w:val="24"/>
        </w:rPr>
      </w:pPr>
      <w:r>
        <w:rPr>
          <w:rFonts w:ascii="仿宋" w:hAnsi="仿宋" w:eastAsia="仿宋" w:cs="仿宋"/>
          <w:b/>
          <w:color w:val="auto"/>
          <w:sz w:val="24"/>
          <w:szCs w:val="24"/>
        </w:rPr>
        <w:t>2</w:t>
      </w:r>
      <w:r>
        <w:rPr>
          <w:rFonts w:hint="eastAsia" w:ascii="仿宋" w:hAnsi="仿宋" w:eastAsia="仿宋" w:cs="仿宋"/>
          <w:b/>
          <w:color w:val="auto"/>
          <w:sz w:val="24"/>
          <w:szCs w:val="24"/>
        </w:rPr>
        <w:t>、查询渠道：</w:t>
      </w:r>
    </w:p>
    <w:p>
      <w:pPr>
        <w:keepNext w:val="0"/>
        <w:keepLines w:val="0"/>
        <w:pageBreakBefore w:val="0"/>
        <w:kinsoku/>
        <w:wordWrap/>
        <w:overflowPunct/>
        <w:topLinePunct w:val="0"/>
        <w:bidi w:val="0"/>
        <w:adjustRightInd/>
        <w:spacing w:line="336" w:lineRule="auto"/>
        <w:ind w:firstLine="354" w:firstLineChars="147"/>
        <w:textAlignment w:val="auto"/>
        <w:rPr>
          <w:rFonts w:ascii="仿宋" w:hAnsi="仿宋" w:eastAsia="仿宋" w:cs="仿宋"/>
          <w:b/>
          <w:color w:val="auto"/>
          <w:sz w:val="24"/>
          <w:szCs w:val="24"/>
        </w:rPr>
      </w:pPr>
      <w:r>
        <w:rPr>
          <w:rFonts w:hint="eastAsia" w:ascii="仿宋" w:hAnsi="仿宋" w:eastAsia="仿宋" w:cs="仿宋"/>
          <w:b/>
          <w:color w:val="auto"/>
          <w:sz w:val="24"/>
          <w:szCs w:val="24"/>
        </w:rPr>
        <w:t>中国政府采购网（</w:t>
      </w:r>
      <w:r>
        <w:rPr>
          <w:rFonts w:ascii="仿宋" w:hAnsi="仿宋" w:eastAsia="仿宋" w:cs="仿宋"/>
          <w:b/>
          <w:color w:val="auto"/>
          <w:sz w:val="24"/>
          <w:szCs w:val="24"/>
        </w:rPr>
        <w:t>www.ccgp.gov.cn</w:t>
      </w:r>
      <w:r>
        <w:rPr>
          <w:rFonts w:hint="eastAsia" w:ascii="仿宋" w:hAnsi="仿宋" w:eastAsia="仿宋" w:cs="仿宋"/>
          <w:b/>
          <w:color w:val="auto"/>
          <w:sz w:val="24"/>
          <w:szCs w:val="24"/>
        </w:rPr>
        <w:t>）；</w:t>
      </w:r>
    </w:p>
    <w:p>
      <w:pPr>
        <w:keepNext w:val="0"/>
        <w:keepLines w:val="0"/>
        <w:pageBreakBefore w:val="0"/>
        <w:kinsoku/>
        <w:wordWrap/>
        <w:overflowPunct/>
        <w:topLinePunct w:val="0"/>
        <w:bidi w:val="0"/>
        <w:adjustRightInd/>
        <w:spacing w:line="336" w:lineRule="auto"/>
        <w:ind w:firstLine="354" w:firstLineChars="147"/>
        <w:textAlignment w:val="auto"/>
        <w:rPr>
          <w:rFonts w:ascii="仿宋" w:hAnsi="仿宋" w:eastAsia="仿宋" w:cs="仿宋"/>
          <w:b/>
          <w:color w:val="auto"/>
          <w:sz w:val="24"/>
          <w:szCs w:val="24"/>
        </w:rPr>
      </w:pPr>
      <w:r>
        <w:rPr>
          <w:rFonts w:hint="eastAsia" w:ascii="仿宋" w:hAnsi="仿宋" w:eastAsia="仿宋" w:cs="仿宋"/>
          <w:b/>
          <w:color w:val="auto"/>
          <w:sz w:val="24"/>
          <w:szCs w:val="24"/>
        </w:rPr>
        <w:t>浙江政府采购网（</w:t>
      </w:r>
      <w:r>
        <w:rPr>
          <w:rFonts w:ascii="仿宋" w:hAnsi="仿宋" w:eastAsia="仿宋" w:cs="仿宋"/>
          <w:b/>
          <w:color w:val="auto"/>
          <w:sz w:val="24"/>
          <w:szCs w:val="24"/>
        </w:rPr>
        <w:t>www.zjzfcg.gov.cn</w:t>
      </w:r>
      <w:r>
        <w:rPr>
          <w:rFonts w:hint="eastAsia" w:ascii="仿宋" w:hAnsi="仿宋" w:eastAsia="仿宋" w:cs="仿宋"/>
          <w:b/>
          <w:color w:val="auto"/>
          <w:sz w:val="24"/>
          <w:szCs w:val="24"/>
        </w:rPr>
        <w:t>）。</w:t>
      </w:r>
    </w:p>
    <w:p>
      <w:pPr>
        <w:keepNext w:val="0"/>
        <w:keepLines w:val="0"/>
        <w:pageBreakBefore w:val="0"/>
        <w:kinsoku/>
        <w:wordWrap/>
        <w:overflowPunct/>
        <w:topLinePunct w:val="0"/>
        <w:bidi w:val="0"/>
        <w:adjustRightInd/>
        <w:spacing w:line="336" w:lineRule="auto"/>
        <w:ind w:firstLine="354" w:firstLineChars="147"/>
        <w:textAlignment w:val="auto"/>
        <w:rPr>
          <w:rFonts w:ascii="仿宋" w:hAnsi="仿宋" w:eastAsia="仿宋" w:cs="仿宋"/>
          <w:b/>
          <w:color w:val="auto"/>
          <w:sz w:val="24"/>
          <w:szCs w:val="24"/>
        </w:rPr>
      </w:pPr>
      <w:r>
        <w:rPr>
          <w:rFonts w:hint="eastAsia" w:ascii="仿宋" w:hAnsi="仿宋" w:eastAsia="仿宋" w:cs="仿宋"/>
          <w:b/>
          <w:color w:val="auto"/>
          <w:sz w:val="24"/>
          <w:szCs w:val="24"/>
        </w:rPr>
        <w:t>信用中国（</w:t>
      </w:r>
      <w:r>
        <w:rPr>
          <w:color w:val="auto"/>
        </w:rPr>
        <w:fldChar w:fldCharType="begin"/>
      </w:r>
      <w:r>
        <w:rPr>
          <w:color w:val="auto"/>
        </w:rPr>
        <w:instrText xml:space="preserve"> HYPERLINK "http://www.creditchina.gov.cn/）和企业所在的省、市、区（县）四级信用平台查询投标截止日期前7天之内（不含投标当天）的信用信息，打印查询结果页面内容并加盖投标单位公章。信用信息查询因网站原因无法提供记录的，到所在区（县）信用办开具相关证明。" </w:instrText>
      </w:r>
      <w:r>
        <w:rPr>
          <w:color w:val="auto"/>
        </w:rPr>
        <w:fldChar w:fldCharType="separate"/>
      </w:r>
      <w:r>
        <w:rPr>
          <w:rFonts w:ascii="仿宋" w:hAnsi="仿宋" w:eastAsia="仿宋" w:cs="仿宋"/>
          <w:b/>
          <w:color w:val="auto"/>
          <w:sz w:val="24"/>
          <w:szCs w:val="24"/>
        </w:rPr>
        <w:t>http://www.creditchina.gov.cn/</w:t>
      </w:r>
      <w:r>
        <w:rPr>
          <w:rFonts w:hint="eastAsia" w:ascii="仿宋" w:hAnsi="仿宋" w:eastAsia="仿宋" w:cs="仿宋"/>
          <w:b/>
          <w:color w:val="auto"/>
          <w:sz w:val="24"/>
          <w:szCs w:val="24"/>
        </w:rPr>
        <w:t>）和企业所在的省二级信用查询平台</w:t>
      </w:r>
      <w:r>
        <w:rPr>
          <w:rFonts w:hint="eastAsia" w:ascii="仿宋" w:hAnsi="仿宋" w:eastAsia="仿宋" w:cs="仿宋"/>
          <w:b/>
          <w:color w:val="auto"/>
          <w:sz w:val="24"/>
          <w:szCs w:val="24"/>
        </w:rPr>
        <w:fldChar w:fldCharType="end"/>
      </w:r>
      <w:r>
        <w:rPr>
          <w:rFonts w:hint="eastAsia" w:ascii="仿宋" w:hAnsi="仿宋" w:eastAsia="仿宋" w:cs="仿宋"/>
          <w:b/>
          <w:color w:val="auto"/>
          <w:sz w:val="24"/>
          <w:szCs w:val="24"/>
        </w:rPr>
        <w:t>。</w:t>
      </w:r>
    </w:p>
    <w:p>
      <w:pPr>
        <w:keepNext w:val="0"/>
        <w:keepLines w:val="0"/>
        <w:pageBreakBefore w:val="0"/>
        <w:kinsoku/>
        <w:wordWrap/>
        <w:overflowPunct/>
        <w:topLinePunct w:val="0"/>
        <w:bidi w:val="0"/>
        <w:adjustRightInd/>
        <w:spacing w:line="336" w:lineRule="auto"/>
        <w:ind w:firstLine="354" w:firstLineChars="147"/>
        <w:textAlignment w:val="auto"/>
        <w:rPr>
          <w:rFonts w:ascii="仿宋" w:hAnsi="仿宋" w:eastAsia="仿宋" w:cs="仿宋"/>
          <w:b/>
          <w:color w:val="auto"/>
          <w:sz w:val="24"/>
          <w:szCs w:val="24"/>
        </w:rPr>
      </w:pPr>
      <w:r>
        <w:rPr>
          <w:rFonts w:ascii="仿宋" w:hAnsi="仿宋" w:eastAsia="仿宋" w:cs="仿宋"/>
          <w:b/>
          <w:color w:val="auto"/>
          <w:sz w:val="24"/>
          <w:szCs w:val="24"/>
        </w:rPr>
        <w:t>3</w:t>
      </w:r>
      <w:r>
        <w:rPr>
          <w:rFonts w:hint="eastAsia" w:ascii="仿宋" w:hAnsi="仿宋" w:eastAsia="仿宋" w:cs="仿宋"/>
          <w:b/>
          <w:color w:val="auto"/>
          <w:sz w:val="24"/>
          <w:szCs w:val="24"/>
        </w:rPr>
        <w:t>、信用信息查询记录和证据留存具体方式：采购代理机构经办人和现场管理员将查询网页打印、签字与其他采购文件一并保存。</w:t>
      </w:r>
    </w:p>
    <w:p>
      <w:pPr>
        <w:keepNext w:val="0"/>
        <w:keepLines w:val="0"/>
        <w:pageBreakBefore w:val="0"/>
        <w:kinsoku/>
        <w:wordWrap/>
        <w:overflowPunct/>
        <w:topLinePunct w:val="0"/>
        <w:bidi w:val="0"/>
        <w:adjustRightInd/>
        <w:spacing w:line="336" w:lineRule="auto"/>
        <w:ind w:firstLine="463" w:firstLineChars="192"/>
        <w:textAlignment w:val="auto"/>
        <w:rPr>
          <w:rFonts w:ascii="仿宋" w:hAnsi="仿宋" w:eastAsia="仿宋" w:cs="仿宋"/>
          <w:b/>
          <w:color w:val="auto"/>
          <w:sz w:val="24"/>
          <w:szCs w:val="24"/>
        </w:rPr>
      </w:pPr>
      <w:r>
        <w:rPr>
          <w:rFonts w:hint="eastAsia" w:ascii="仿宋" w:hAnsi="仿宋" w:eastAsia="仿宋" w:cs="仿宋"/>
          <w:b/>
          <w:color w:val="auto"/>
          <w:sz w:val="24"/>
          <w:szCs w:val="24"/>
        </w:rPr>
        <w:t>九、本项目为非政府采购项目。</w:t>
      </w:r>
    </w:p>
    <w:p>
      <w:pPr>
        <w:keepNext w:val="0"/>
        <w:keepLines w:val="0"/>
        <w:pageBreakBefore w:val="0"/>
        <w:kinsoku/>
        <w:wordWrap/>
        <w:overflowPunct/>
        <w:topLinePunct w:val="0"/>
        <w:bidi w:val="0"/>
        <w:adjustRightInd/>
        <w:spacing w:line="336" w:lineRule="auto"/>
        <w:ind w:firstLine="463" w:firstLineChars="192"/>
        <w:textAlignment w:val="auto"/>
        <w:rPr>
          <w:rFonts w:ascii="仿宋" w:hAnsi="仿宋" w:eastAsia="仿宋" w:cs="仿宋"/>
          <w:b/>
          <w:color w:val="auto"/>
          <w:sz w:val="24"/>
          <w:szCs w:val="24"/>
        </w:rPr>
      </w:pPr>
      <w:r>
        <w:rPr>
          <w:rFonts w:hint="eastAsia" w:ascii="仿宋" w:hAnsi="仿宋" w:eastAsia="仿宋" w:cs="仿宋"/>
          <w:b/>
          <w:color w:val="auto"/>
          <w:sz w:val="24"/>
          <w:szCs w:val="24"/>
        </w:rPr>
        <w:t>十、疫情防控期间，参加投标活动的相关人员进入开标场所时需按工作人员要求出示绿色健康码并佩戴口罩，若未能满足上述要求导致不能按时进入本项目开标现场的，责任自负。递交标书时须携带《开评标人员健康信息登记表》并加盖投标单位公章，进入开标场所时原则上只限</w:t>
      </w:r>
      <w:r>
        <w:rPr>
          <w:rFonts w:ascii="仿宋" w:hAnsi="仿宋" w:eastAsia="仿宋" w:cs="仿宋"/>
          <w:b/>
          <w:color w:val="auto"/>
          <w:sz w:val="24"/>
          <w:szCs w:val="24"/>
        </w:rPr>
        <w:t>1</w:t>
      </w:r>
      <w:r>
        <w:rPr>
          <w:rFonts w:hint="eastAsia" w:ascii="仿宋" w:hAnsi="仿宋" w:eastAsia="仿宋" w:cs="仿宋"/>
          <w:b/>
          <w:color w:val="auto"/>
          <w:sz w:val="24"/>
          <w:szCs w:val="24"/>
        </w:rPr>
        <w:t>人。</w:t>
      </w:r>
    </w:p>
    <w:p>
      <w:pPr>
        <w:keepNext w:val="0"/>
        <w:keepLines w:val="0"/>
        <w:pageBreakBefore w:val="0"/>
        <w:kinsoku/>
        <w:wordWrap/>
        <w:overflowPunct/>
        <w:topLinePunct w:val="0"/>
        <w:bidi w:val="0"/>
        <w:adjustRightInd/>
        <w:spacing w:line="336" w:lineRule="auto"/>
        <w:ind w:firstLine="463" w:firstLineChars="192"/>
        <w:textAlignment w:val="auto"/>
        <w:rPr>
          <w:rFonts w:ascii="仿宋" w:hAnsi="仿宋" w:eastAsia="仿宋" w:cs="仿宋"/>
          <w:b/>
          <w:color w:val="auto"/>
          <w:sz w:val="24"/>
          <w:szCs w:val="24"/>
        </w:rPr>
      </w:pPr>
      <w:r>
        <w:rPr>
          <w:rFonts w:hint="eastAsia" w:ascii="仿宋" w:hAnsi="仿宋" w:eastAsia="仿宋" w:cs="仿宋"/>
          <w:b/>
          <w:color w:val="auto"/>
          <w:sz w:val="24"/>
          <w:szCs w:val="24"/>
        </w:rPr>
        <w:t>十一、业务咨询：</w:t>
      </w:r>
    </w:p>
    <w:p>
      <w:pPr>
        <w:keepNext w:val="0"/>
        <w:keepLines w:val="0"/>
        <w:pageBreakBefore w:val="0"/>
        <w:kinsoku/>
        <w:wordWrap/>
        <w:overflowPunct/>
        <w:topLinePunct w:val="0"/>
        <w:bidi w:val="0"/>
        <w:adjustRightInd/>
        <w:spacing w:line="336" w:lineRule="auto"/>
        <w:ind w:firstLine="480" w:firstLineChars="200"/>
        <w:textAlignment w:val="auto"/>
        <w:rPr>
          <w:rFonts w:ascii="仿宋" w:hAnsi="仿宋" w:eastAsia="仿宋" w:cs="仿宋"/>
          <w:color w:val="auto"/>
          <w:sz w:val="24"/>
          <w:szCs w:val="24"/>
        </w:rPr>
      </w:pPr>
      <w:r>
        <w:rPr>
          <w:rFonts w:hint="eastAsia" w:ascii="仿宋" w:hAnsi="仿宋" w:eastAsia="仿宋" w:cs="仿宋"/>
          <w:color w:val="auto"/>
          <w:sz w:val="24"/>
          <w:szCs w:val="24"/>
        </w:rPr>
        <w:t>采购单位</w:t>
      </w:r>
      <w:r>
        <w:rPr>
          <w:rFonts w:ascii="仿宋" w:hAnsi="仿宋" w:eastAsia="仿宋" w:cs="仿宋"/>
          <w:color w:val="auto"/>
          <w:sz w:val="24"/>
          <w:szCs w:val="24"/>
        </w:rPr>
        <w:t xml:space="preserve">: </w:t>
      </w:r>
      <w:r>
        <w:rPr>
          <w:rFonts w:hint="eastAsia" w:ascii="仿宋" w:hAnsi="仿宋" w:eastAsia="仿宋" w:cs="仿宋"/>
          <w:color w:val="auto"/>
          <w:kern w:val="0"/>
          <w:sz w:val="24"/>
          <w:szCs w:val="24"/>
        </w:rPr>
        <w:t>建德市数字信息有限责任公司</w:t>
      </w:r>
    </w:p>
    <w:p>
      <w:pPr>
        <w:keepNext w:val="0"/>
        <w:keepLines w:val="0"/>
        <w:pageBreakBefore w:val="0"/>
        <w:kinsoku/>
        <w:wordWrap/>
        <w:overflowPunct/>
        <w:topLinePunct w:val="0"/>
        <w:bidi w:val="0"/>
        <w:adjustRightInd/>
        <w:spacing w:line="336" w:lineRule="auto"/>
        <w:ind w:firstLine="480" w:firstLineChars="200"/>
        <w:textAlignment w:val="auto"/>
        <w:rPr>
          <w:rFonts w:ascii="仿宋" w:hAnsi="仿宋" w:eastAsia="仿宋" w:cs="仿宋"/>
          <w:color w:val="auto"/>
          <w:sz w:val="24"/>
          <w:szCs w:val="24"/>
        </w:rPr>
      </w:pPr>
      <w:r>
        <w:rPr>
          <w:rFonts w:hint="eastAsia" w:ascii="仿宋" w:hAnsi="仿宋" w:eastAsia="仿宋" w:cs="仿宋"/>
          <w:color w:val="auto"/>
          <w:sz w:val="24"/>
          <w:szCs w:val="24"/>
        </w:rPr>
        <w:t>联系人：张剑</w:t>
      </w:r>
      <w:r>
        <w:rPr>
          <w:rFonts w:ascii="仿宋" w:hAnsi="仿宋" w:eastAsia="仿宋" w:cs="仿宋"/>
          <w:color w:val="auto"/>
          <w:sz w:val="24"/>
          <w:szCs w:val="24"/>
        </w:rPr>
        <w:t xml:space="preserve">    </w:t>
      </w:r>
      <w:r>
        <w:rPr>
          <w:rFonts w:hint="eastAsia" w:ascii="仿宋" w:hAnsi="仿宋" w:eastAsia="仿宋" w:cs="仿宋"/>
          <w:color w:val="auto"/>
          <w:sz w:val="24"/>
          <w:szCs w:val="24"/>
        </w:rPr>
        <w:t>联系电话：</w:t>
      </w:r>
      <w:r>
        <w:rPr>
          <w:rFonts w:ascii="仿宋" w:hAnsi="仿宋" w:eastAsia="仿宋" w:cs="仿宋"/>
          <w:color w:val="auto"/>
          <w:sz w:val="24"/>
          <w:szCs w:val="24"/>
        </w:rPr>
        <w:t>13868102428</w:t>
      </w:r>
    </w:p>
    <w:p>
      <w:pPr>
        <w:pStyle w:val="57"/>
        <w:keepNext w:val="0"/>
        <w:keepLines w:val="0"/>
        <w:pageBreakBefore w:val="0"/>
        <w:kinsoku/>
        <w:wordWrap/>
        <w:overflowPunct/>
        <w:topLinePunct w:val="0"/>
        <w:bidi w:val="0"/>
        <w:adjustRightInd/>
        <w:spacing w:line="336" w:lineRule="auto"/>
        <w:textAlignment w:val="auto"/>
        <w:rPr>
          <w:rFonts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质疑联系人：赖勤    联系电话：15024413311</w:t>
      </w:r>
    </w:p>
    <w:p>
      <w:pPr>
        <w:keepNext w:val="0"/>
        <w:keepLines w:val="0"/>
        <w:pageBreakBefore w:val="0"/>
        <w:kinsoku/>
        <w:wordWrap/>
        <w:overflowPunct/>
        <w:topLinePunct w:val="0"/>
        <w:bidi w:val="0"/>
        <w:adjustRightInd/>
        <w:spacing w:line="336" w:lineRule="auto"/>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招标代理单位：</w:t>
      </w:r>
      <w:r>
        <w:rPr>
          <w:rFonts w:hint="eastAsia" w:ascii="仿宋" w:hAnsi="仿宋" w:eastAsia="仿宋" w:cs="仿宋"/>
          <w:color w:val="auto"/>
          <w:sz w:val="24"/>
          <w:szCs w:val="24"/>
          <w:lang w:eastAsia="zh-CN"/>
        </w:rPr>
        <w:t>欧邦工程管理集团有限公司</w:t>
      </w:r>
    </w:p>
    <w:p>
      <w:pPr>
        <w:keepNext w:val="0"/>
        <w:keepLines w:val="0"/>
        <w:pageBreakBefore w:val="0"/>
        <w:kinsoku/>
        <w:wordWrap/>
        <w:overflowPunct/>
        <w:topLinePunct w:val="0"/>
        <w:bidi w:val="0"/>
        <w:adjustRightInd/>
        <w:spacing w:line="336" w:lineRule="auto"/>
        <w:ind w:firstLine="480" w:firstLineChars="200"/>
        <w:textAlignment w:val="auto"/>
        <w:rPr>
          <w:rFonts w:ascii="仿宋" w:hAnsi="仿宋" w:eastAsia="仿宋" w:cs="仿宋"/>
          <w:color w:val="auto"/>
          <w:sz w:val="24"/>
          <w:szCs w:val="24"/>
        </w:rPr>
      </w:pPr>
      <w:r>
        <w:rPr>
          <w:rFonts w:hint="eastAsia" w:ascii="仿宋" w:hAnsi="仿宋" w:eastAsia="仿宋" w:cs="仿宋"/>
          <w:color w:val="auto"/>
          <w:sz w:val="24"/>
          <w:szCs w:val="24"/>
        </w:rPr>
        <w:t>联系人：</w:t>
      </w:r>
      <w:r>
        <w:rPr>
          <w:rFonts w:hint="eastAsia" w:ascii="仿宋" w:hAnsi="仿宋" w:eastAsia="仿宋" w:cs="仿宋"/>
          <w:color w:val="auto"/>
          <w:sz w:val="24"/>
          <w:szCs w:val="24"/>
          <w:lang w:val="en-US" w:eastAsia="zh-CN"/>
        </w:rPr>
        <w:t>陈悦</w:t>
      </w:r>
      <w:r>
        <w:rPr>
          <w:rFonts w:ascii="仿宋" w:hAnsi="仿宋" w:eastAsia="仿宋" w:cs="仿宋"/>
          <w:color w:val="auto"/>
          <w:sz w:val="24"/>
          <w:szCs w:val="24"/>
        </w:rPr>
        <w:t xml:space="preserve">  </w:t>
      </w:r>
      <w:r>
        <w:rPr>
          <w:rFonts w:hint="eastAsia" w:ascii="仿宋" w:hAnsi="仿宋" w:eastAsia="仿宋" w:cs="仿宋"/>
          <w:color w:val="auto"/>
          <w:sz w:val="24"/>
          <w:szCs w:val="24"/>
        </w:rPr>
        <w:t>联系电话：</w:t>
      </w:r>
      <w:r>
        <w:rPr>
          <w:rFonts w:hint="eastAsia" w:ascii="仿宋" w:hAnsi="仿宋" w:eastAsia="仿宋" w:cs="仿宋"/>
          <w:color w:val="auto"/>
          <w:sz w:val="24"/>
          <w:szCs w:val="24"/>
          <w:lang w:val="en-US" w:eastAsia="zh-CN"/>
        </w:rPr>
        <w:t>18258679015</w:t>
      </w:r>
      <w:r>
        <w:rPr>
          <w:rFonts w:ascii="仿宋" w:hAnsi="仿宋" w:eastAsia="仿宋" w:cs="仿宋"/>
          <w:color w:val="auto"/>
          <w:sz w:val="24"/>
          <w:szCs w:val="24"/>
        </w:rPr>
        <w:t xml:space="preserve">  </w:t>
      </w:r>
    </w:p>
    <w:p>
      <w:pPr>
        <w:keepNext w:val="0"/>
        <w:keepLines w:val="0"/>
        <w:pageBreakBefore w:val="0"/>
        <w:kinsoku/>
        <w:wordWrap/>
        <w:overflowPunct/>
        <w:topLinePunct w:val="0"/>
        <w:bidi w:val="0"/>
        <w:adjustRightInd/>
        <w:spacing w:line="336" w:lineRule="auto"/>
        <w:ind w:firstLine="480" w:firstLineChars="200"/>
        <w:textAlignment w:val="auto"/>
        <w:rPr>
          <w:rFonts w:hint="default"/>
          <w:lang w:val="en-US"/>
        </w:rPr>
      </w:pPr>
      <w:r>
        <w:rPr>
          <w:rFonts w:hint="eastAsia" w:ascii="仿宋" w:hAnsi="仿宋" w:eastAsia="仿宋" w:cs="仿宋"/>
          <w:color w:val="auto"/>
          <w:sz w:val="24"/>
          <w:szCs w:val="24"/>
          <w:lang w:eastAsia="zh-CN"/>
        </w:rPr>
        <w:t>质疑联系人：</w:t>
      </w:r>
      <w:r>
        <w:rPr>
          <w:rFonts w:hint="eastAsia" w:ascii="仿宋" w:hAnsi="仿宋" w:eastAsia="仿宋" w:cs="仿宋"/>
          <w:color w:val="auto"/>
          <w:sz w:val="24"/>
          <w:szCs w:val="24"/>
          <w:lang w:val="en-US" w:eastAsia="zh-CN"/>
        </w:rPr>
        <w:t>缪明月</w:t>
      </w:r>
      <w:r>
        <w:rPr>
          <w:rFonts w:hint="eastAsia" w:ascii="仿宋" w:hAnsi="仿宋" w:eastAsia="仿宋" w:cs="仿宋"/>
          <w:color w:val="auto"/>
          <w:sz w:val="24"/>
          <w:szCs w:val="24"/>
          <w:lang w:eastAsia="zh-CN"/>
        </w:rPr>
        <w:t xml:space="preserve">  联系电话：</w:t>
      </w:r>
      <w:r>
        <w:rPr>
          <w:rFonts w:hint="eastAsia" w:ascii="仿宋" w:hAnsi="仿宋" w:eastAsia="仿宋" w:cs="仿宋"/>
          <w:color w:val="auto"/>
          <w:sz w:val="24"/>
          <w:szCs w:val="24"/>
          <w:lang w:val="en-US" w:eastAsia="zh-CN"/>
        </w:rPr>
        <w:t>18042314650</w:t>
      </w:r>
    </w:p>
    <w:p>
      <w:pPr>
        <w:keepNext w:val="0"/>
        <w:keepLines w:val="0"/>
        <w:pageBreakBefore w:val="0"/>
        <w:kinsoku/>
        <w:wordWrap/>
        <w:overflowPunct/>
        <w:topLinePunct w:val="0"/>
        <w:bidi w:val="0"/>
        <w:adjustRightInd/>
        <w:spacing w:line="336" w:lineRule="auto"/>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采购争议处理机构：</w:t>
      </w:r>
      <w:r>
        <w:rPr>
          <w:rFonts w:hint="eastAsia" w:ascii="仿宋" w:hAnsi="仿宋" w:eastAsia="仿宋" w:cs="仿宋"/>
          <w:color w:val="auto"/>
          <w:sz w:val="24"/>
          <w:szCs w:val="24"/>
          <w:lang w:eastAsia="zh-CN"/>
        </w:rPr>
        <w:t>建德市数字信息有限责任公司监察室</w:t>
      </w:r>
    </w:p>
    <w:p>
      <w:pPr>
        <w:keepNext w:val="0"/>
        <w:keepLines w:val="0"/>
        <w:pageBreakBefore w:val="0"/>
        <w:kinsoku/>
        <w:wordWrap/>
        <w:overflowPunct/>
        <w:topLinePunct w:val="0"/>
        <w:bidi w:val="0"/>
        <w:adjustRightInd/>
        <w:spacing w:line="336" w:lineRule="auto"/>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地址：</w:t>
      </w:r>
      <w:r>
        <w:rPr>
          <w:rFonts w:hint="eastAsia" w:ascii="仿宋" w:hAnsi="仿宋" w:eastAsia="仿宋" w:cs="仿宋"/>
          <w:color w:val="auto"/>
          <w:sz w:val="24"/>
          <w:szCs w:val="24"/>
          <w:lang w:eastAsia="zh-CN"/>
        </w:rPr>
        <w:t>建德市新安江街道溪头路168号</w:t>
      </w:r>
    </w:p>
    <w:p>
      <w:pPr>
        <w:keepNext w:val="0"/>
        <w:keepLines w:val="0"/>
        <w:pageBreakBefore w:val="0"/>
        <w:kinsoku/>
        <w:wordWrap/>
        <w:overflowPunct/>
        <w:topLinePunct w:val="0"/>
        <w:bidi w:val="0"/>
        <w:adjustRightInd/>
        <w:spacing w:line="336" w:lineRule="auto"/>
        <w:ind w:firstLine="480" w:firstLineChars="200"/>
        <w:textAlignment w:val="auto"/>
        <w:rPr>
          <w:rFonts w:ascii="仿宋" w:hAnsi="仿宋" w:eastAsia="仿宋" w:cs="仿宋"/>
          <w:color w:val="auto"/>
          <w:sz w:val="24"/>
          <w:szCs w:val="24"/>
        </w:rPr>
      </w:pPr>
      <w:r>
        <w:rPr>
          <w:rFonts w:hint="eastAsia" w:ascii="仿宋" w:hAnsi="仿宋" w:eastAsia="仿宋" w:cs="仿宋"/>
          <w:color w:val="auto"/>
          <w:sz w:val="24"/>
          <w:szCs w:val="24"/>
          <w:lang w:eastAsia="zh-CN"/>
        </w:rPr>
        <w:t>联系人：唐玉君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lang w:eastAsia="zh-CN"/>
        </w:rPr>
        <w:t>联系电话：0571-64716209 </w:t>
      </w:r>
      <w:r>
        <w:rPr>
          <w:color w:val="auto"/>
        </w:rPr>
        <w:t xml:space="preserve"> </w:t>
      </w:r>
    </w:p>
    <w:p>
      <w:pPr>
        <w:pStyle w:val="28"/>
        <w:keepNext w:val="0"/>
        <w:keepLines w:val="0"/>
        <w:pageBreakBefore w:val="0"/>
        <w:kinsoku/>
        <w:wordWrap/>
        <w:overflowPunct/>
        <w:topLinePunct w:val="0"/>
        <w:bidi w:val="0"/>
        <w:adjustRightInd/>
        <w:spacing w:line="336" w:lineRule="auto"/>
        <w:ind w:left="0"/>
        <w:jc w:val="right"/>
        <w:textAlignment w:val="auto"/>
        <w:rPr>
          <w:rFonts w:ascii="仿宋" w:hAnsi="仿宋" w:eastAsia="仿宋" w:cs="仿宋"/>
          <w:color w:val="auto"/>
          <w:sz w:val="24"/>
          <w:szCs w:val="24"/>
        </w:rPr>
      </w:pPr>
      <w:r>
        <w:rPr>
          <w:rFonts w:ascii="仿宋" w:hAnsi="仿宋" w:eastAsia="仿宋" w:cs="仿宋"/>
          <w:color w:val="auto"/>
          <w:sz w:val="24"/>
          <w:szCs w:val="24"/>
        </w:rPr>
        <w:t xml:space="preserve">      2021</w:t>
      </w:r>
      <w:r>
        <w:rPr>
          <w:rFonts w:hint="eastAsia" w:ascii="仿宋" w:hAnsi="仿宋" w:eastAsia="仿宋" w:cs="仿宋"/>
          <w:color w:val="auto"/>
          <w:sz w:val="24"/>
          <w:szCs w:val="24"/>
        </w:rPr>
        <w:t>年</w:t>
      </w: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rPr>
        <w:t>月</w:t>
      </w:r>
      <w:r>
        <w:rPr>
          <w:rFonts w:hint="eastAsia" w:ascii="仿宋" w:hAnsi="仿宋" w:eastAsia="仿宋" w:cs="仿宋"/>
          <w:color w:val="auto"/>
          <w:sz w:val="24"/>
          <w:szCs w:val="24"/>
          <w:lang w:val="en-US" w:eastAsia="zh-CN"/>
        </w:rPr>
        <w:t>26</w:t>
      </w:r>
      <w:r>
        <w:rPr>
          <w:rFonts w:hint="eastAsia" w:ascii="仿宋" w:hAnsi="仿宋" w:eastAsia="仿宋" w:cs="仿宋"/>
          <w:color w:val="auto"/>
          <w:sz w:val="24"/>
          <w:szCs w:val="24"/>
        </w:rPr>
        <w:t>日</w:t>
      </w:r>
    </w:p>
    <w:p>
      <w:pPr>
        <w:pStyle w:val="28"/>
        <w:keepNext w:val="0"/>
        <w:keepLines w:val="0"/>
        <w:pageBreakBefore w:val="0"/>
        <w:kinsoku/>
        <w:wordWrap/>
        <w:overflowPunct/>
        <w:topLinePunct w:val="0"/>
        <w:bidi w:val="0"/>
        <w:adjustRightInd/>
        <w:spacing w:line="336" w:lineRule="auto"/>
        <w:ind w:left="0"/>
        <w:jc w:val="center"/>
        <w:textAlignment w:val="auto"/>
        <w:rPr>
          <w:rStyle w:val="97"/>
          <w:rFonts w:ascii="仿宋" w:hAnsi="仿宋" w:eastAsia="仿宋" w:cs="仿宋"/>
          <w:color w:val="auto"/>
          <w:sz w:val="36"/>
          <w:szCs w:val="36"/>
        </w:rPr>
      </w:pPr>
      <w:r>
        <w:rPr>
          <w:rFonts w:ascii="仿宋" w:hAnsi="仿宋" w:eastAsia="仿宋" w:cs="仿宋"/>
          <w:color w:val="auto"/>
        </w:rPr>
        <w:br w:type="page"/>
      </w:r>
      <w:r>
        <w:rPr>
          <w:rStyle w:val="97"/>
          <w:rFonts w:hint="eastAsia" w:ascii="仿宋" w:hAnsi="仿宋" w:eastAsia="仿宋" w:cs="仿宋"/>
          <w:b/>
          <w:bCs/>
          <w:color w:val="auto"/>
          <w:sz w:val="36"/>
          <w:szCs w:val="36"/>
        </w:rPr>
        <w:t>第二章</w:t>
      </w:r>
      <w:r>
        <w:rPr>
          <w:rStyle w:val="97"/>
          <w:rFonts w:ascii="仿宋" w:hAnsi="仿宋" w:eastAsia="仿宋" w:cs="仿宋"/>
          <w:b/>
          <w:bCs/>
          <w:color w:val="auto"/>
          <w:sz w:val="36"/>
          <w:szCs w:val="36"/>
        </w:rPr>
        <w:t xml:space="preserve">   </w:t>
      </w:r>
      <w:r>
        <w:rPr>
          <w:rStyle w:val="97"/>
          <w:rFonts w:hint="eastAsia" w:ascii="仿宋" w:hAnsi="仿宋" w:eastAsia="仿宋" w:cs="仿宋"/>
          <w:b/>
          <w:bCs/>
          <w:color w:val="auto"/>
          <w:sz w:val="36"/>
          <w:szCs w:val="36"/>
        </w:rPr>
        <w:t>投标须知</w:t>
      </w:r>
    </w:p>
    <w:p>
      <w:pPr>
        <w:spacing w:line="500" w:lineRule="exact"/>
        <w:jc w:val="center"/>
        <w:rPr>
          <w:rStyle w:val="97"/>
          <w:rFonts w:ascii="仿宋" w:hAnsi="仿宋" w:eastAsia="仿宋" w:cs="仿宋"/>
          <w:b/>
          <w:bCs/>
          <w:color w:val="auto"/>
          <w:sz w:val="36"/>
          <w:szCs w:val="36"/>
        </w:rPr>
      </w:pPr>
      <w:r>
        <w:rPr>
          <w:rStyle w:val="97"/>
          <w:rFonts w:hint="eastAsia" w:ascii="仿宋" w:hAnsi="仿宋" w:eastAsia="仿宋" w:cs="仿宋"/>
          <w:b/>
          <w:bCs/>
          <w:color w:val="auto"/>
          <w:sz w:val="36"/>
          <w:szCs w:val="36"/>
        </w:rPr>
        <w:t>前附表</w:t>
      </w:r>
    </w:p>
    <w:tbl>
      <w:tblPr>
        <w:tblStyle w:val="47"/>
        <w:tblW w:w="94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8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799" w:type="dxa"/>
            <w:vAlign w:val="center"/>
          </w:tcPr>
          <w:p>
            <w:pPr>
              <w:snapToGrid w:val="0"/>
              <w:jc w:val="center"/>
              <w:rPr>
                <w:rStyle w:val="97"/>
                <w:rFonts w:ascii="仿宋" w:hAnsi="仿宋" w:eastAsia="仿宋" w:cs="仿宋"/>
                <w:color w:val="auto"/>
                <w:sz w:val="24"/>
                <w:szCs w:val="24"/>
              </w:rPr>
            </w:pPr>
            <w:r>
              <w:rPr>
                <w:rStyle w:val="97"/>
                <w:rFonts w:hint="eastAsia" w:ascii="仿宋" w:hAnsi="仿宋" w:eastAsia="仿宋" w:cs="仿宋"/>
                <w:color w:val="auto"/>
                <w:sz w:val="24"/>
                <w:szCs w:val="24"/>
              </w:rPr>
              <w:t>序号</w:t>
            </w:r>
          </w:p>
        </w:tc>
        <w:tc>
          <w:tcPr>
            <w:tcW w:w="8689" w:type="dxa"/>
            <w:vAlign w:val="center"/>
          </w:tcPr>
          <w:p>
            <w:pPr>
              <w:snapToGrid w:val="0"/>
              <w:jc w:val="center"/>
              <w:rPr>
                <w:rStyle w:val="97"/>
                <w:rFonts w:ascii="仿宋" w:hAnsi="仿宋" w:eastAsia="仿宋" w:cs="仿宋"/>
                <w:color w:val="auto"/>
                <w:sz w:val="24"/>
                <w:szCs w:val="24"/>
              </w:rPr>
            </w:pPr>
            <w:r>
              <w:rPr>
                <w:rStyle w:val="97"/>
                <w:rFonts w:hint="eastAsia" w:ascii="仿宋" w:hAnsi="仿宋" w:eastAsia="仿宋" w:cs="仿宋"/>
                <w:color w:val="auto"/>
                <w:sz w:val="24"/>
                <w:szCs w:val="24"/>
              </w:rPr>
              <w:t>内容、要求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799" w:type="dxa"/>
            <w:vAlign w:val="center"/>
          </w:tcPr>
          <w:p>
            <w:pPr>
              <w:snapToGrid w:val="0"/>
              <w:jc w:val="center"/>
              <w:rPr>
                <w:rStyle w:val="97"/>
                <w:rFonts w:ascii="仿宋" w:hAnsi="仿宋" w:eastAsia="仿宋" w:cs="仿宋"/>
                <w:color w:val="auto"/>
                <w:sz w:val="24"/>
                <w:szCs w:val="24"/>
              </w:rPr>
            </w:pPr>
            <w:r>
              <w:rPr>
                <w:rStyle w:val="97"/>
                <w:rFonts w:ascii="仿宋" w:hAnsi="仿宋" w:eastAsia="仿宋" w:cs="仿宋"/>
                <w:color w:val="auto"/>
                <w:sz w:val="24"/>
                <w:szCs w:val="24"/>
              </w:rPr>
              <w:t>1</w:t>
            </w:r>
          </w:p>
        </w:tc>
        <w:tc>
          <w:tcPr>
            <w:tcW w:w="8689" w:type="dxa"/>
            <w:vAlign w:val="center"/>
          </w:tcPr>
          <w:p>
            <w:pPr>
              <w:snapToGrid w:val="0"/>
              <w:rPr>
                <w:rStyle w:val="97"/>
                <w:rFonts w:hint="eastAsia" w:ascii="仿宋" w:hAnsi="仿宋" w:eastAsia="仿宋" w:cs="仿宋"/>
                <w:color w:val="auto"/>
                <w:sz w:val="24"/>
                <w:szCs w:val="24"/>
                <w:lang w:eastAsia="zh-CN"/>
              </w:rPr>
            </w:pPr>
            <w:r>
              <w:rPr>
                <w:rStyle w:val="97"/>
                <w:rFonts w:hint="eastAsia" w:ascii="仿宋" w:hAnsi="仿宋" w:eastAsia="仿宋" w:cs="仿宋"/>
                <w:color w:val="auto"/>
                <w:sz w:val="24"/>
                <w:szCs w:val="24"/>
              </w:rPr>
              <w:t>项目名称：</w:t>
            </w:r>
            <w:r>
              <w:rPr>
                <w:rFonts w:hint="eastAsia" w:ascii="仿宋" w:hAnsi="仿宋" w:eastAsia="仿宋" w:cs="仿宋"/>
                <w:color w:val="auto"/>
                <w:sz w:val="24"/>
                <w:szCs w:val="24"/>
                <w:lang w:eastAsia="zh-CN"/>
              </w:rPr>
              <w:t>建德市“安心返”系统及“17防”平台项目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799" w:type="dxa"/>
            <w:vAlign w:val="center"/>
          </w:tcPr>
          <w:p>
            <w:pPr>
              <w:snapToGrid w:val="0"/>
              <w:jc w:val="center"/>
              <w:rPr>
                <w:rStyle w:val="97"/>
                <w:rFonts w:ascii="仿宋" w:hAnsi="仿宋" w:eastAsia="仿宋" w:cs="仿宋"/>
                <w:color w:val="auto"/>
                <w:sz w:val="24"/>
                <w:szCs w:val="24"/>
              </w:rPr>
            </w:pPr>
            <w:r>
              <w:rPr>
                <w:rStyle w:val="97"/>
                <w:rFonts w:ascii="仿宋" w:hAnsi="仿宋" w:eastAsia="仿宋" w:cs="仿宋"/>
                <w:color w:val="auto"/>
                <w:sz w:val="24"/>
                <w:szCs w:val="24"/>
              </w:rPr>
              <w:t>2</w:t>
            </w:r>
          </w:p>
        </w:tc>
        <w:tc>
          <w:tcPr>
            <w:tcW w:w="8689" w:type="dxa"/>
            <w:vAlign w:val="center"/>
          </w:tcPr>
          <w:p>
            <w:pPr>
              <w:snapToGrid w:val="0"/>
              <w:rPr>
                <w:rStyle w:val="97"/>
                <w:rFonts w:ascii="仿宋" w:hAnsi="仿宋" w:eastAsia="仿宋" w:cs="仿宋"/>
                <w:color w:val="auto"/>
                <w:sz w:val="24"/>
                <w:szCs w:val="24"/>
              </w:rPr>
            </w:pPr>
            <w:r>
              <w:rPr>
                <w:rStyle w:val="97"/>
                <w:rFonts w:hint="eastAsia" w:ascii="仿宋" w:hAnsi="仿宋" w:eastAsia="仿宋" w:cs="仿宋"/>
                <w:color w:val="auto"/>
                <w:sz w:val="24"/>
                <w:szCs w:val="24"/>
              </w:rPr>
              <w:t>项目编号：</w:t>
            </w:r>
            <w:r>
              <w:rPr>
                <w:rStyle w:val="97"/>
                <w:rFonts w:hint="eastAsia" w:ascii="仿宋" w:hAnsi="仿宋" w:eastAsia="仿宋" w:cs="仿宋"/>
                <w:bCs/>
                <w:color w:val="auto"/>
                <w:sz w:val="24"/>
                <w:szCs w:val="24"/>
              </w:rPr>
              <w:t xml:space="preserve">JDOBCG2021B-45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799" w:type="dxa"/>
            <w:vAlign w:val="center"/>
          </w:tcPr>
          <w:p>
            <w:pPr>
              <w:snapToGrid w:val="0"/>
              <w:jc w:val="center"/>
              <w:rPr>
                <w:rStyle w:val="97"/>
                <w:rFonts w:ascii="仿宋" w:hAnsi="仿宋" w:eastAsia="仿宋" w:cs="仿宋"/>
                <w:color w:val="auto"/>
                <w:sz w:val="24"/>
                <w:szCs w:val="24"/>
              </w:rPr>
            </w:pPr>
            <w:r>
              <w:rPr>
                <w:rStyle w:val="97"/>
                <w:rFonts w:ascii="仿宋" w:hAnsi="仿宋" w:eastAsia="仿宋" w:cs="仿宋"/>
                <w:color w:val="auto"/>
                <w:sz w:val="24"/>
                <w:szCs w:val="24"/>
              </w:rPr>
              <w:t>3</w:t>
            </w:r>
          </w:p>
        </w:tc>
        <w:tc>
          <w:tcPr>
            <w:tcW w:w="8689" w:type="dxa"/>
            <w:vAlign w:val="center"/>
          </w:tcPr>
          <w:p>
            <w:pPr>
              <w:snapToGrid w:val="0"/>
              <w:rPr>
                <w:rStyle w:val="97"/>
                <w:rFonts w:ascii="仿宋" w:hAnsi="仿宋" w:eastAsia="仿宋" w:cs="仿宋"/>
                <w:color w:val="auto"/>
                <w:sz w:val="24"/>
                <w:szCs w:val="24"/>
              </w:rPr>
            </w:pPr>
            <w:r>
              <w:rPr>
                <w:rStyle w:val="97"/>
                <w:rFonts w:hint="eastAsia" w:ascii="仿宋" w:hAnsi="仿宋" w:eastAsia="仿宋" w:cs="仿宋"/>
                <w:color w:val="auto"/>
                <w:sz w:val="24"/>
                <w:szCs w:val="24"/>
              </w:rPr>
              <w:t>投标报价及费用：</w:t>
            </w:r>
            <w:r>
              <w:rPr>
                <w:rStyle w:val="97"/>
                <w:rFonts w:ascii="仿宋" w:hAnsi="仿宋" w:eastAsia="仿宋" w:cs="仿宋"/>
                <w:bCs/>
                <w:color w:val="auto"/>
                <w:sz w:val="24"/>
                <w:szCs w:val="24"/>
              </w:rPr>
              <w:t>1</w:t>
            </w:r>
            <w:r>
              <w:rPr>
                <w:rStyle w:val="97"/>
                <w:rFonts w:hint="eastAsia" w:ascii="仿宋" w:hAnsi="仿宋" w:eastAsia="仿宋" w:cs="仿宋"/>
                <w:bCs/>
                <w:color w:val="auto"/>
                <w:sz w:val="24"/>
                <w:szCs w:val="24"/>
              </w:rPr>
              <w:t>、本项目投标应以人民币报价；</w:t>
            </w:r>
            <w:r>
              <w:rPr>
                <w:rStyle w:val="97"/>
                <w:rFonts w:ascii="仿宋" w:hAnsi="仿宋" w:eastAsia="仿宋" w:cs="仿宋"/>
                <w:bCs/>
                <w:color w:val="auto"/>
                <w:sz w:val="24"/>
                <w:szCs w:val="24"/>
              </w:rPr>
              <w:t>2</w:t>
            </w:r>
            <w:r>
              <w:rPr>
                <w:rStyle w:val="97"/>
                <w:rFonts w:hint="eastAsia" w:ascii="仿宋" w:hAnsi="仿宋" w:eastAsia="仿宋" w:cs="仿宋"/>
                <w:bCs/>
                <w:color w:val="auto"/>
                <w:sz w:val="24"/>
                <w:szCs w:val="24"/>
              </w:rPr>
              <w:t>、不论投标结果如何，投标人均应自行承担所有与投标有关的全部费用。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4" w:hRule="atLeast"/>
        </w:trPr>
        <w:tc>
          <w:tcPr>
            <w:tcW w:w="799" w:type="dxa"/>
            <w:vAlign w:val="center"/>
          </w:tcPr>
          <w:p>
            <w:pPr>
              <w:snapToGrid w:val="0"/>
              <w:jc w:val="center"/>
              <w:rPr>
                <w:rStyle w:val="97"/>
                <w:rFonts w:ascii="仿宋" w:hAnsi="仿宋" w:eastAsia="仿宋" w:cs="仿宋"/>
                <w:color w:val="auto"/>
                <w:sz w:val="24"/>
                <w:szCs w:val="24"/>
              </w:rPr>
            </w:pPr>
            <w:r>
              <w:rPr>
                <w:rStyle w:val="97"/>
                <w:rFonts w:ascii="仿宋" w:hAnsi="仿宋" w:eastAsia="仿宋" w:cs="仿宋"/>
                <w:color w:val="auto"/>
                <w:sz w:val="24"/>
                <w:szCs w:val="24"/>
              </w:rPr>
              <w:t>4</w:t>
            </w:r>
          </w:p>
        </w:tc>
        <w:tc>
          <w:tcPr>
            <w:tcW w:w="8689" w:type="dxa"/>
            <w:vAlign w:val="center"/>
          </w:tcPr>
          <w:p>
            <w:pPr>
              <w:rPr>
                <w:rStyle w:val="97"/>
                <w:rFonts w:ascii="仿宋" w:hAnsi="仿宋" w:eastAsia="仿宋" w:cs="仿宋"/>
                <w:color w:val="auto"/>
                <w:sz w:val="24"/>
                <w:szCs w:val="24"/>
              </w:rPr>
            </w:pPr>
            <w:r>
              <w:rPr>
                <w:rStyle w:val="97"/>
                <w:rFonts w:hint="eastAsia" w:ascii="仿宋" w:hAnsi="仿宋" w:eastAsia="仿宋" w:cs="仿宋"/>
                <w:color w:val="auto"/>
                <w:sz w:val="24"/>
                <w:szCs w:val="24"/>
              </w:rPr>
              <w:t>答疑与澄清：</w:t>
            </w:r>
            <w:r>
              <w:rPr>
                <w:rStyle w:val="97"/>
                <w:rFonts w:hint="eastAsia" w:ascii="仿宋" w:hAnsi="仿宋" w:eastAsia="仿宋" w:cs="仿宋"/>
                <w:bCs/>
                <w:color w:val="auto"/>
                <w:sz w:val="24"/>
                <w:szCs w:val="24"/>
              </w:rPr>
              <w:t>投标人如认为招标文件表述不清晰、存在歧视性或者其他违法内容的，应当于</w:t>
            </w:r>
            <w:r>
              <w:rPr>
                <w:rStyle w:val="97"/>
                <w:rFonts w:ascii="仿宋" w:hAnsi="仿宋" w:eastAsia="仿宋" w:cs="仿宋"/>
                <w:bCs/>
                <w:color w:val="auto"/>
                <w:sz w:val="24"/>
                <w:szCs w:val="24"/>
              </w:rPr>
              <w:t>2021</w:t>
            </w:r>
            <w:r>
              <w:rPr>
                <w:rStyle w:val="97"/>
                <w:rFonts w:hint="eastAsia" w:ascii="仿宋" w:hAnsi="仿宋" w:eastAsia="仿宋" w:cs="仿宋"/>
                <w:bCs/>
                <w:color w:val="auto"/>
                <w:sz w:val="24"/>
                <w:szCs w:val="24"/>
              </w:rPr>
              <w:t>年</w:t>
            </w:r>
            <w:r>
              <w:rPr>
                <w:rStyle w:val="97"/>
                <w:rFonts w:hint="eastAsia" w:ascii="仿宋" w:hAnsi="仿宋" w:eastAsia="仿宋" w:cs="仿宋"/>
                <w:bCs/>
                <w:color w:val="auto"/>
                <w:sz w:val="24"/>
                <w:szCs w:val="24"/>
                <w:lang w:val="en-US"/>
              </w:rPr>
              <w:t>11</w:t>
            </w:r>
            <w:r>
              <w:rPr>
                <w:rStyle w:val="97"/>
                <w:rFonts w:hint="eastAsia" w:ascii="仿宋" w:hAnsi="仿宋" w:eastAsia="仿宋" w:cs="仿宋"/>
                <w:bCs/>
                <w:color w:val="auto"/>
                <w:sz w:val="24"/>
                <w:szCs w:val="24"/>
              </w:rPr>
              <w:t>月</w:t>
            </w:r>
            <w:r>
              <w:rPr>
                <w:rStyle w:val="97"/>
                <w:rFonts w:hint="eastAsia" w:ascii="仿宋" w:hAnsi="仿宋" w:eastAsia="仿宋" w:cs="仿宋"/>
                <w:bCs/>
                <w:color w:val="auto"/>
                <w:sz w:val="24"/>
                <w:szCs w:val="24"/>
                <w:lang w:val="en-US"/>
              </w:rPr>
              <w:t>8</w:t>
            </w:r>
            <w:r>
              <w:rPr>
                <w:rStyle w:val="97"/>
                <w:rFonts w:hint="eastAsia" w:ascii="仿宋" w:hAnsi="仿宋" w:eastAsia="仿宋" w:cs="仿宋"/>
                <w:bCs/>
                <w:color w:val="auto"/>
                <w:sz w:val="24"/>
                <w:szCs w:val="24"/>
              </w:rPr>
              <w:t>日</w:t>
            </w:r>
            <w:r>
              <w:rPr>
                <w:rStyle w:val="97"/>
                <w:rFonts w:ascii="仿宋" w:hAnsi="仿宋" w:eastAsia="仿宋" w:cs="仿宋"/>
                <w:bCs/>
                <w:color w:val="auto"/>
                <w:sz w:val="24"/>
                <w:szCs w:val="24"/>
              </w:rPr>
              <w:t>11</w:t>
            </w:r>
            <w:r>
              <w:rPr>
                <w:rStyle w:val="97"/>
                <w:rFonts w:hint="eastAsia" w:ascii="仿宋" w:hAnsi="仿宋" w:eastAsia="仿宋" w:cs="仿宋"/>
                <w:bCs/>
                <w:color w:val="auto"/>
                <w:sz w:val="24"/>
                <w:szCs w:val="24"/>
              </w:rPr>
              <w:t>时前，以书面形式要求招标采购单位作出书面解释、澄清或者向招标采购单位提出书面质疑；如有投标人提出质疑的，招标采购单位将于</w:t>
            </w:r>
            <w:r>
              <w:rPr>
                <w:rStyle w:val="97"/>
                <w:rFonts w:ascii="仿宋" w:hAnsi="仿宋" w:eastAsia="仿宋" w:cs="仿宋"/>
                <w:bCs/>
                <w:color w:val="auto"/>
                <w:sz w:val="24"/>
                <w:szCs w:val="24"/>
              </w:rPr>
              <w:t>2021</w:t>
            </w:r>
            <w:r>
              <w:rPr>
                <w:rStyle w:val="97"/>
                <w:rFonts w:hint="eastAsia" w:ascii="仿宋" w:hAnsi="仿宋" w:eastAsia="仿宋" w:cs="仿宋"/>
                <w:bCs/>
                <w:color w:val="auto"/>
                <w:sz w:val="24"/>
                <w:szCs w:val="24"/>
              </w:rPr>
              <w:t>年</w:t>
            </w:r>
            <w:r>
              <w:rPr>
                <w:rStyle w:val="97"/>
                <w:rFonts w:hint="eastAsia" w:ascii="仿宋" w:hAnsi="仿宋" w:eastAsia="仿宋" w:cs="仿宋"/>
                <w:bCs/>
                <w:color w:val="auto"/>
                <w:sz w:val="24"/>
                <w:szCs w:val="24"/>
                <w:lang w:val="en-US"/>
              </w:rPr>
              <w:t>11</w:t>
            </w:r>
            <w:r>
              <w:rPr>
                <w:rStyle w:val="97"/>
                <w:rFonts w:hint="eastAsia" w:ascii="仿宋" w:hAnsi="仿宋" w:eastAsia="仿宋" w:cs="仿宋"/>
                <w:bCs/>
                <w:color w:val="auto"/>
                <w:sz w:val="24"/>
                <w:szCs w:val="24"/>
              </w:rPr>
              <w:t>月</w:t>
            </w:r>
            <w:r>
              <w:rPr>
                <w:rStyle w:val="97"/>
                <w:rFonts w:hint="eastAsia" w:ascii="仿宋" w:hAnsi="仿宋" w:eastAsia="仿宋" w:cs="仿宋"/>
                <w:bCs/>
                <w:color w:val="auto"/>
                <w:sz w:val="24"/>
                <w:szCs w:val="24"/>
                <w:lang w:val="en-US"/>
              </w:rPr>
              <w:t>9</w:t>
            </w:r>
            <w:r>
              <w:rPr>
                <w:rStyle w:val="97"/>
                <w:rFonts w:hint="eastAsia" w:ascii="仿宋" w:hAnsi="仿宋" w:eastAsia="仿宋" w:cs="仿宋"/>
                <w:bCs/>
                <w:color w:val="auto"/>
                <w:sz w:val="24"/>
                <w:szCs w:val="24"/>
              </w:rPr>
              <w:t>日</w:t>
            </w:r>
            <w:r>
              <w:rPr>
                <w:rStyle w:val="97"/>
                <w:rFonts w:ascii="仿宋" w:hAnsi="仿宋" w:eastAsia="仿宋" w:cs="仿宋"/>
                <w:bCs/>
                <w:color w:val="auto"/>
                <w:sz w:val="24"/>
                <w:szCs w:val="24"/>
              </w:rPr>
              <w:t>17:00</w:t>
            </w:r>
            <w:r>
              <w:rPr>
                <w:rStyle w:val="97"/>
                <w:rFonts w:hint="eastAsia" w:ascii="仿宋" w:hAnsi="仿宋" w:eastAsia="仿宋" w:cs="仿宋"/>
                <w:bCs/>
                <w:color w:val="auto"/>
                <w:sz w:val="24"/>
                <w:szCs w:val="24"/>
              </w:rPr>
              <w:t>时统一组织答疑；答疑内容是招标文件的组成部分，将在招标文件发售的网站进行发布。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799" w:type="dxa"/>
            <w:vAlign w:val="center"/>
          </w:tcPr>
          <w:p>
            <w:pPr>
              <w:snapToGrid w:val="0"/>
              <w:jc w:val="center"/>
              <w:rPr>
                <w:rStyle w:val="97"/>
                <w:rFonts w:ascii="仿宋" w:hAnsi="仿宋" w:eastAsia="仿宋" w:cs="仿宋"/>
                <w:color w:val="auto"/>
                <w:sz w:val="24"/>
                <w:szCs w:val="24"/>
              </w:rPr>
            </w:pPr>
            <w:r>
              <w:rPr>
                <w:rStyle w:val="97"/>
                <w:rFonts w:ascii="仿宋" w:hAnsi="仿宋" w:eastAsia="仿宋" w:cs="仿宋"/>
                <w:color w:val="auto"/>
                <w:sz w:val="24"/>
                <w:szCs w:val="24"/>
              </w:rPr>
              <w:t>5</w:t>
            </w:r>
          </w:p>
        </w:tc>
        <w:tc>
          <w:tcPr>
            <w:tcW w:w="8689" w:type="dxa"/>
            <w:vAlign w:val="center"/>
          </w:tcPr>
          <w:p>
            <w:pPr>
              <w:snapToGrid w:val="0"/>
              <w:rPr>
                <w:rStyle w:val="97"/>
                <w:rFonts w:ascii="仿宋" w:hAnsi="仿宋" w:eastAsia="仿宋" w:cs="仿宋"/>
                <w:color w:val="auto"/>
                <w:sz w:val="24"/>
                <w:szCs w:val="24"/>
              </w:rPr>
            </w:pPr>
            <w:r>
              <w:rPr>
                <w:rStyle w:val="97"/>
                <w:rFonts w:hint="eastAsia" w:ascii="仿宋" w:hAnsi="仿宋" w:eastAsia="仿宋" w:cs="仿宋"/>
                <w:bCs/>
                <w:color w:val="auto"/>
                <w:sz w:val="24"/>
                <w:szCs w:val="24"/>
              </w:rPr>
              <w:t>本项目不接受联合体投标，不允许转包分包。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99" w:type="dxa"/>
            <w:vAlign w:val="center"/>
          </w:tcPr>
          <w:p>
            <w:pPr>
              <w:snapToGrid w:val="0"/>
              <w:jc w:val="center"/>
              <w:rPr>
                <w:rStyle w:val="97"/>
                <w:rFonts w:ascii="仿宋" w:hAnsi="仿宋" w:eastAsia="仿宋" w:cs="仿宋"/>
                <w:color w:val="auto"/>
                <w:sz w:val="24"/>
                <w:szCs w:val="24"/>
              </w:rPr>
            </w:pPr>
            <w:r>
              <w:rPr>
                <w:rStyle w:val="97"/>
                <w:rFonts w:ascii="仿宋" w:hAnsi="仿宋" w:eastAsia="仿宋" w:cs="仿宋"/>
                <w:color w:val="auto"/>
                <w:sz w:val="24"/>
                <w:szCs w:val="24"/>
              </w:rPr>
              <w:t>6</w:t>
            </w:r>
          </w:p>
        </w:tc>
        <w:tc>
          <w:tcPr>
            <w:tcW w:w="8689" w:type="dxa"/>
            <w:vAlign w:val="center"/>
          </w:tcPr>
          <w:p>
            <w:pPr>
              <w:snapToGrid w:val="0"/>
              <w:rPr>
                <w:rStyle w:val="97"/>
                <w:rFonts w:ascii="仿宋" w:hAnsi="仿宋" w:eastAsia="仿宋" w:cs="仿宋"/>
                <w:color w:val="auto"/>
                <w:sz w:val="24"/>
                <w:szCs w:val="24"/>
              </w:rPr>
            </w:pPr>
            <w:r>
              <w:rPr>
                <w:rStyle w:val="97"/>
                <w:rFonts w:hint="eastAsia" w:ascii="仿宋" w:hAnsi="仿宋" w:eastAsia="仿宋" w:cs="仿宋"/>
                <w:bCs/>
                <w:color w:val="auto"/>
                <w:sz w:val="24"/>
                <w:szCs w:val="24"/>
              </w:rPr>
              <w:t>现场踏勘：</w:t>
            </w:r>
            <w:r>
              <w:rPr>
                <w:rFonts w:hint="eastAsia" w:ascii="仿宋" w:hAnsi="仿宋" w:eastAsia="仿宋" w:cs="仿宋"/>
                <w:bCs/>
                <w:color w:val="auto"/>
                <w:spacing w:val="-2"/>
                <w:sz w:val="24"/>
                <w:szCs w:val="24"/>
              </w:rPr>
              <w:t>各潜在供应商自行与采购单位联系，不统一组织。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99" w:type="dxa"/>
            <w:vAlign w:val="center"/>
          </w:tcPr>
          <w:p>
            <w:pPr>
              <w:snapToGrid w:val="0"/>
              <w:jc w:val="center"/>
              <w:rPr>
                <w:rStyle w:val="97"/>
                <w:rFonts w:ascii="仿宋" w:hAnsi="仿宋" w:eastAsia="仿宋" w:cs="仿宋"/>
                <w:color w:val="auto"/>
                <w:sz w:val="24"/>
                <w:szCs w:val="24"/>
                <w:highlight w:val="none"/>
              </w:rPr>
            </w:pPr>
            <w:r>
              <w:rPr>
                <w:rStyle w:val="97"/>
                <w:rFonts w:ascii="仿宋" w:hAnsi="仿宋" w:eastAsia="仿宋" w:cs="仿宋"/>
                <w:color w:val="auto"/>
                <w:sz w:val="24"/>
                <w:szCs w:val="24"/>
                <w:highlight w:val="none"/>
              </w:rPr>
              <w:t>7</w:t>
            </w:r>
          </w:p>
        </w:tc>
        <w:tc>
          <w:tcPr>
            <w:tcW w:w="8689" w:type="dxa"/>
            <w:vAlign w:val="center"/>
          </w:tcPr>
          <w:p>
            <w:pPr>
              <w:snapToGrid w:val="0"/>
              <w:rPr>
                <w:rStyle w:val="97"/>
                <w:rFonts w:ascii="仿宋" w:hAnsi="仿宋" w:eastAsia="仿宋" w:cs="仿宋"/>
                <w:color w:val="auto"/>
                <w:sz w:val="24"/>
                <w:szCs w:val="24"/>
                <w:highlight w:val="none"/>
              </w:rPr>
            </w:pPr>
            <w:r>
              <w:rPr>
                <w:rStyle w:val="97"/>
                <w:rFonts w:hint="eastAsia" w:ascii="仿宋" w:hAnsi="仿宋" w:eastAsia="仿宋" w:cs="仿宋"/>
                <w:bCs/>
                <w:color w:val="auto"/>
                <w:sz w:val="24"/>
                <w:szCs w:val="24"/>
                <w:highlight w:val="none"/>
              </w:rPr>
              <w:t>演示时间及地点：</w:t>
            </w:r>
            <w:r>
              <w:rPr>
                <w:rStyle w:val="97"/>
                <w:rFonts w:ascii="仿宋" w:hAnsi="仿宋" w:eastAsia="仿宋" w:cs="仿宋"/>
                <w:bCs/>
                <w:color w:val="auto"/>
                <w:sz w:val="24"/>
                <w:szCs w:val="24"/>
              </w:rPr>
              <w:t>2021</w:t>
            </w:r>
            <w:r>
              <w:rPr>
                <w:rStyle w:val="97"/>
                <w:rFonts w:hint="eastAsia" w:ascii="仿宋" w:hAnsi="仿宋" w:eastAsia="仿宋" w:cs="仿宋"/>
                <w:bCs/>
                <w:color w:val="auto"/>
                <w:sz w:val="24"/>
                <w:szCs w:val="24"/>
              </w:rPr>
              <w:t>年</w:t>
            </w:r>
            <w:r>
              <w:rPr>
                <w:rStyle w:val="97"/>
                <w:rFonts w:hint="eastAsia" w:ascii="仿宋" w:hAnsi="仿宋" w:eastAsia="仿宋" w:cs="仿宋"/>
                <w:bCs/>
                <w:color w:val="auto"/>
                <w:sz w:val="24"/>
                <w:szCs w:val="24"/>
                <w:lang w:val="en-US"/>
              </w:rPr>
              <w:t>11</w:t>
            </w:r>
            <w:r>
              <w:rPr>
                <w:rStyle w:val="97"/>
                <w:rFonts w:hint="eastAsia" w:ascii="仿宋" w:hAnsi="仿宋" w:eastAsia="仿宋" w:cs="仿宋"/>
                <w:bCs/>
                <w:color w:val="auto"/>
                <w:sz w:val="24"/>
                <w:szCs w:val="24"/>
              </w:rPr>
              <w:t>月</w:t>
            </w:r>
            <w:r>
              <w:rPr>
                <w:rStyle w:val="97"/>
                <w:rFonts w:hint="eastAsia" w:ascii="仿宋" w:hAnsi="仿宋" w:eastAsia="仿宋" w:cs="仿宋"/>
                <w:bCs/>
                <w:color w:val="auto"/>
                <w:sz w:val="24"/>
                <w:szCs w:val="24"/>
                <w:lang w:val="en-US"/>
              </w:rPr>
              <w:t>16</w:t>
            </w:r>
            <w:r>
              <w:rPr>
                <w:rStyle w:val="97"/>
                <w:rFonts w:hint="eastAsia" w:ascii="仿宋" w:hAnsi="仿宋" w:eastAsia="仿宋" w:cs="仿宋"/>
                <w:bCs/>
                <w:color w:val="auto"/>
                <w:sz w:val="24"/>
                <w:szCs w:val="24"/>
              </w:rPr>
              <w:t>日</w:t>
            </w:r>
            <w:r>
              <w:rPr>
                <w:rStyle w:val="97"/>
                <w:rFonts w:hint="eastAsia" w:ascii="仿宋" w:hAnsi="仿宋" w:eastAsia="仿宋" w:cs="仿宋"/>
                <w:bCs/>
                <w:color w:val="auto"/>
                <w:sz w:val="24"/>
                <w:szCs w:val="24"/>
                <w:lang w:val="en-US"/>
              </w:rPr>
              <w:t>13</w:t>
            </w:r>
            <w:r>
              <w:rPr>
                <w:rStyle w:val="97"/>
                <w:rFonts w:ascii="仿宋" w:hAnsi="仿宋" w:eastAsia="仿宋" w:cs="仿宋"/>
                <w:bCs/>
                <w:color w:val="auto"/>
                <w:sz w:val="24"/>
                <w:szCs w:val="24"/>
              </w:rPr>
              <w:t>:30</w:t>
            </w:r>
            <w:r>
              <w:rPr>
                <w:rStyle w:val="97"/>
                <w:rFonts w:hint="eastAsia" w:ascii="仿宋" w:hAnsi="仿宋" w:eastAsia="仿宋" w:cs="仿宋"/>
                <w:bCs/>
                <w:color w:val="auto"/>
                <w:sz w:val="24"/>
                <w:szCs w:val="24"/>
              </w:rPr>
              <w:t>时，杭州市公共资源交易中心建德分中心</w:t>
            </w:r>
            <w:r>
              <w:rPr>
                <w:rStyle w:val="97"/>
                <w:rFonts w:hint="eastAsia" w:ascii="仿宋" w:hAnsi="仿宋" w:eastAsia="仿宋" w:cs="仿宋"/>
                <w:bCs/>
                <w:color w:val="auto"/>
                <w:sz w:val="24"/>
                <w:szCs w:val="24"/>
                <w:lang w:val="en-US"/>
              </w:rPr>
              <w:t>2</w:t>
            </w:r>
            <w:r>
              <w:rPr>
                <w:rStyle w:val="97"/>
                <w:rFonts w:hint="eastAsia" w:ascii="仿宋" w:hAnsi="仿宋" w:eastAsia="仿宋" w:cs="仿宋"/>
                <w:bCs/>
                <w:color w:val="auto"/>
                <w:sz w:val="24"/>
                <w:szCs w:val="24"/>
              </w:rPr>
              <w:t>号开标室（洋安社区荷映路</w:t>
            </w:r>
            <w:r>
              <w:rPr>
                <w:rStyle w:val="97"/>
                <w:rFonts w:ascii="仿宋" w:hAnsi="仿宋" w:eastAsia="仿宋" w:cs="仿宋"/>
                <w:bCs/>
                <w:color w:val="auto"/>
                <w:sz w:val="24"/>
                <w:szCs w:val="24"/>
              </w:rPr>
              <w:t>113</w:t>
            </w:r>
            <w:r>
              <w:rPr>
                <w:rStyle w:val="97"/>
                <w:rFonts w:hint="eastAsia" w:ascii="仿宋" w:hAnsi="仿宋" w:eastAsia="仿宋" w:cs="仿宋"/>
                <w:bCs/>
                <w:color w:val="auto"/>
                <w:sz w:val="24"/>
                <w:szCs w:val="24"/>
              </w:rPr>
              <w:t>号</w:t>
            </w:r>
            <w:r>
              <w:rPr>
                <w:rStyle w:val="97"/>
                <w:rFonts w:ascii="仿宋" w:hAnsi="仿宋" w:eastAsia="仿宋" w:cs="仿宋"/>
                <w:bCs/>
                <w:color w:val="auto"/>
                <w:sz w:val="24"/>
                <w:szCs w:val="24"/>
              </w:rPr>
              <w:t>3</w:t>
            </w:r>
            <w:r>
              <w:rPr>
                <w:rStyle w:val="97"/>
                <w:rFonts w:hint="eastAsia" w:ascii="仿宋" w:hAnsi="仿宋" w:eastAsia="仿宋" w:cs="仿宋"/>
                <w:bCs/>
                <w:color w:val="auto"/>
                <w:sz w:val="24"/>
                <w:szCs w:val="24"/>
              </w:rPr>
              <w:t>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99" w:type="dxa"/>
            <w:vAlign w:val="center"/>
          </w:tcPr>
          <w:p>
            <w:pPr>
              <w:snapToGrid w:val="0"/>
              <w:jc w:val="center"/>
              <w:rPr>
                <w:rStyle w:val="97"/>
                <w:rFonts w:ascii="仿宋" w:hAnsi="仿宋" w:eastAsia="仿宋" w:cs="仿宋"/>
                <w:color w:val="auto"/>
                <w:sz w:val="24"/>
                <w:szCs w:val="24"/>
              </w:rPr>
            </w:pPr>
            <w:r>
              <w:rPr>
                <w:rStyle w:val="97"/>
                <w:rFonts w:ascii="仿宋" w:hAnsi="仿宋" w:eastAsia="仿宋" w:cs="仿宋"/>
                <w:color w:val="auto"/>
                <w:sz w:val="24"/>
                <w:szCs w:val="24"/>
              </w:rPr>
              <w:t>8</w:t>
            </w:r>
          </w:p>
        </w:tc>
        <w:tc>
          <w:tcPr>
            <w:tcW w:w="8689" w:type="dxa"/>
            <w:vAlign w:val="center"/>
          </w:tcPr>
          <w:p>
            <w:pPr>
              <w:snapToGrid w:val="0"/>
              <w:rPr>
                <w:rStyle w:val="97"/>
                <w:rFonts w:ascii="仿宋" w:hAnsi="仿宋" w:eastAsia="仿宋" w:cs="仿宋"/>
                <w:color w:val="auto"/>
                <w:sz w:val="24"/>
                <w:szCs w:val="24"/>
              </w:rPr>
            </w:pPr>
            <w:r>
              <w:rPr>
                <w:rStyle w:val="97"/>
                <w:rFonts w:hint="eastAsia" w:ascii="仿宋" w:hAnsi="仿宋" w:eastAsia="仿宋" w:cs="仿宋"/>
                <w:color w:val="auto"/>
                <w:sz w:val="24"/>
                <w:szCs w:val="24"/>
              </w:rPr>
              <w:t>投标文件的组成：</w:t>
            </w:r>
            <w:r>
              <w:rPr>
                <w:rStyle w:val="97"/>
                <w:rFonts w:hint="eastAsia" w:ascii="仿宋" w:hAnsi="仿宋" w:eastAsia="仿宋" w:cs="仿宋"/>
                <w:b/>
                <w:color w:val="auto"/>
                <w:sz w:val="24"/>
                <w:szCs w:val="24"/>
              </w:rPr>
              <w:t>由报价文件、技术文件、商务资信文件各正本</w:t>
            </w:r>
            <w:r>
              <w:rPr>
                <w:rStyle w:val="97"/>
                <w:rFonts w:ascii="仿宋" w:hAnsi="仿宋" w:eastAsia="仿宋" w:cs="仿宋"/>
                <w:b/>
                <w:color w:val="auto"/>
                <w:sz w:val="24"/>
                <w:szCs w:val="24"/>
              </w:rPr>
              <w:t>1</w:t>
            </w:r>
            <w:r>
              <w:rPr>
                <w:rStyle w:val="97"/>
                <w:rFonts w:hint="eastAsia" w:ascii="仿宋" w:hAnsi="仿宋" w:eastAsia="仿宋" w:cs="仿宋"/>
                <w:b/>
                <w:color w:val="auto"/>
                <w:sz w:val="24"/>
                <w:szCs w:val="24"/>
              </w:rPr>
              <w:t>份，副本各</w:t>
            </w:r>
            <w:r>
              <w:rPr>
                <w:rStyle w:val="97"/>
                <w:rFonts w:ascii="仿宋" w:hAnsi="仿宋" w:eastAsia="仿宋" w:cs="仿宋"/>
                <w:b/>
                <w:color w:val="auto"/>
                <w:sz w:val="24"/>
                <w:szCs w:val="24"/>
              </w:rPr>
              <w:t>5</w:t>
            </w:r>
            <w:r>
              <w:rPr>
                <w:rStyle w:val="97"/>
                <w:rFonts w:hint="eastAsia" w:ascii="仿宋" w:hAnsi="仿宋" w:eastAsia="仿宋" w:cs="仿宋"/>
                <w:b/>
                <w:color w:val="auto"/>
                <w:sz w:val="24"/>
                <w:szCs w:val="24"/>
              </w:rPr>
              <w:t>份（副本为正本的复印件，投标文件封面必须加盖单位公章）及资格审查文件正本</w:t>
            </w:r>
            <w:r>
              <w:rPr>
                <w:rStyle w:val="97"/>
                <w:rFonts w:ascii="仿宋" w:hAnsi="仿宋" w:eastAsia="仿宋" w:cs="仿宋"/>
                <w:b/>
                <w:color w:val="auto"/>
                <w:sz w:val="24"/>
                <w:szCs w:val="24"/>
              </w:rPr>
              <w:t>1</w:t>
            </w:r>
            <w:r>
              <w:rPr>
                <w:rStyle w:val="97"/>
                <w:rFonts w:hint="eastAsia" w:ascii="仿宋" w:hAnsi="仿宋" w:eastAsia="仿宋" w:cs="仿宋"/>
                <w:b/>
                <w:color w:val="auto"/>
                <w:sz w:val="24"/>
                <w:szCs w:val="24"/>
              </w:rPr>
              <w:t>份组成</w:t>
            </w:r>
            <w:r>
              <w:rPr>
                <w:rStyle w:val="97"/>
                <w:rFonts w:hint="eastAsia" w:ascii="仿宋" w:hAnsi="仿宋" w:eastAsia="仿宋" w:cs="仿宋"/>
                <w:bCs/>
                <w:color w:val="auto"/>
                <w:sz w:val="24"/>
                <w:szCs w:val="24"/>
              </w:rPr>
              <w:t>（详见第二章第十一条）。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799" w:type="dxa"/>
            <w:vAlign w:val="center"/>
          </w:tcPr>
          <w:p>
            <w:pPr>
              <w:snapToGrid w:val="0"/>
              <w:jc w:val="center"/>
              <w:rPr>
                <w:rStyle w:val="97"/>
                <w:rFonts w:ascii="仿宋" w:hAnsi="仿宋" w:eastAsia="仿宋" w:cs="仿宋"/>
                <w:color w:val="auto"/>
                <w:sz w:val="24"/>
                <w:szCs w:val="24"/>
              </w:rPr>
            </w:pPr>
            <w:r>
              <w:rPr>
                <w:rStyle w:val="97"/>
                <w:rFonts w:ascii="仿宋" w:hAnsi="仿宋" w:eastAsia="仿宋" w:cs="仿宋"/>
                <w:color w:val="auto"/>
                <w:sz w:val="24"/>
                <w:szCs w:val="24"/>
              </w:rPr>
              <w:t>9</w:t>
            </w:r>
          </w:p>
        </w:tc>
        <w:tc>
          <w:tcPr>
            <w:tcW w:w="8689" w:type="dxa"/>
            <w:vAlign w:val="center"/>
          </w:tcPr>
          <w:p>
            <w:pPr>
              <w:snapToGrid w:val="0"/>
              <w:rPr>
                <w:rStyle w:val="97"/>
                <w:rFonts w:ascii="仿宋" w:hAnsi="仿宋" w:eastAsia="仿宋" w:cs="仿宋"/>
                <w:color w:val="auto"/>
                <w:sz w:val="24"/>
                <w:szCs w:val="24"/>
              </w:rPr>
            </w:pPr>
            <w:r>
              <w:rPr>
                <w:rStyle w:val="97"/>
                <w:rFonts w:hint="eastAsia" w:ascii="仿宋" w:hAnsi="仿宋" w:eastAsia="仿宋" w:cs="仿宋"/>
                <w:color w:val="auto"/>
                <w:sz w:val="24"/>
                <w:szCs w:val="24"/>
              </w:rPr>
              <w:t>提供的样品：</w:t>
            </w:r>
            <w:r>
              <w:rPr>
                <w:rStyle w:val="97"/>
                <w:rFonts w:hint="eastAsia" w:ascii="仿宋" w:hAnsi="仿宋" w:eastAsia="仿宋" w:cs="仿宋"/>
                <w:bCs/>
                <w:color w:val="auto"/>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799" w:type="dxa"/>
            <w:vAlign w:val="center"/>
          </w:tcPr>
          <w:p>
            <w:pPr>
              <w:snapToGrid w:val="0"/>
              <w:jc w:val="center"/>
              <w:rPr>
                <w:rStyle w:val="97"/>
                <w:rFonts w:ascii="仿宋" w:hAnsi="仿宋" w:eastAsia="仿宋" w:cs="仿宋"/>
                <w:color w:val="auto"/>
                <w:sz w:val="24"/>
                <w:szCs w:val="24"/>
              </w:rPr>
            </w:pPr>
            <w:r>
              <w:rPr>
                <w:rStyle w:val="97"/>
                <w:rFonts w:ascii="仿宋" w:hAnsi="仿宋" w:eastAsia="仿宋" w:cs="仿宋"/>
                <w:color w:val="auto"/>
                <w:sz w:val="24"/>
                <w:szCs w:val="24"/>
              </w:rPr>
              <w:t>10</w:t>
            </w:r>
          </w:p>
        </w:tc>
        <w:tc>
          <w:tcPr>
            <w:tcW w:w="8689" w:type="dxa"/>
            <w:vAlign w:val="center"/>
          </w:tcPr>
          <w:p>
            <w:pPr>
              <w:snapToGrid w:val="0"/>
              <w:rPr>
                <w:rStyle w:val="97"/>
                <w:rFonts w:ascii="仿宋" w:hAnsi="仿宋" w:eastAsia="仿宋" w:cs="仿宋"/>
                <w:color w:val="auto"/>
                <w:sz w:val="24"/>
                <w:szCs w:val="24"/>
              </w:rPr>
            </w:pPr>
            <w:r>
              <w:rPr>
                <w:rStyle w:val="97"/>
                <w:rFonts w:hint="eastAsia" w:ascii="仿宋" w:hAnsi="仿宋" w:eastAsia="仿宋" w:cs="仿宋"/>
                <w:color w:val="auto"/>
                <w:sz w:val="24"/>
                <w:szCs w:val="24"/>
              </w:rPr>
              <w:t>投标截止时间：</w:t>
            </w:r>
            <w:r>
              <w:rPr>
                <w:rStyle w:val="97"/>
                <w:rFonts w:ascii="仿宋" w:hAnsi="仿宋" w:eastAsia="仿宋" w:cs="仿宋"/>
                <w:bCs/>
                <w:color w:val="auto"/>
                <w:sz w:val="24"/>
                <w:szCs w:val="24"/>
              </w:rPr>
              <w:t>2021</w:t>
            </w:r>
            <w:r>
              <w:rPr>
                <w:rStyle w:val="97"/>
                <w:rFonts w:hint="eastAsia" w:ascii="仿宋" w:hAnsi="仿宋" w:eastAsia="仿宋" w:cs="仿宋"/>
                <w:bCs/>
                <w:color w:val="auto"/>
                <w:sz w:val="24"/>
                <w:szCs w:val="24"/>
              </w:rPr>
              <w:t>年</w:t>
            </w:r>
            <w:r>
              <w:rPr>
                <w:rStyle w:val="97"/>
                <w:rFonts w:hint="eastAsia" w:ascii="仿宋" w:hAnsi="仿宋" w:eastAsia="仿宋" w:cs="仿宋"/>
                <w:bCs/>
                <w:color w:val="auto"/>
                <w:sz w:val="24"/>
                <w:szCs w:val="24"/>
                <w:lang w:val="en-US"/>
              </w:rPr>
              <w:t>11</w:t>
            </w:r>
            <w:r>
              <w:rPr>
                <w:rStyle w:val="97"/>
                <w:rFonts w:hint="eastAsia" w:ascii="仿宋" w:hAnsi="仿宋" w:eastAsia="仿宋" w:cs="仿宋"/>
                <w:bCs/>
                <w:color w:val="auto"/>
                <w:sz w:val="24"/>
                <w:szCs w:val="24"/>
              </w:rPr>
              <w:t>月</w:t>
            </w:r>
            <w:r>
              <w:rPr>
                <w:rStyle w:val="97"/>
                <w:rFonts w:hint="eastAsia" w:ascii="仿宋" w:hAnsi="仿宋" w:eastAsia="仿宋" w:cs="仿宋"/>
                <w:bCs/>
                <w:color w:val="auto"/>
                <w:sz w:val="24"/>
                <w:szCs w:val="24"/>
                <w:lang w:val="en-US"/>
              </w:rPr>
              <w:t>16</w:t>
            </w:r>
            <w:r>
              <w:rPr>
                <w:rStyle w:val="97"/>
                <w:rFonts w:hint="eastAsia" w:ascii="仿宋" w:hAnsi="仿宋" w:eastAsia="仿宋" w:cs="仿宋"/>
                <w:bCs/>
                <w:color w:val="auto"/>
                <w:sz w:val="24"/>
                <w:szCs w:val="24"/>
              </w:rPr>
              <w:t>日</w:t>
            </w:r>
            <w:r>
              <w:rPr>
                <w:rStyle w:val="97"/>
                <w:rFonts w:hint="eastAsia" w:ascii="仿宋" w:hAnsi="仿宋" w:eastAsia="仿宋" w:cs="仿宋"/>
                <w:bCs/>
                <w:color w:val="auto"/>
                <w:sz w:val="24"/>
                <w:szCs w:val="24"/>
                <w:lang w:val="en-US"/>
              </w:rPr>
              <w:t>13</w:t>
            </w:r>
            <w:r>
              <w:rPr>
                <w:rStyle w:val="97"/>
                <w:rFonts w:ascii="仿宋" w:hAnsi="仿宋" w:eastAsia="仿宋" w:cs="仿宋"/>
                <w:bCs/>
                <w:color w:val="auto"/>
                <w:sz w:val="24"/>
                <w:szCs w:val="24"/>
              </w:rPr>
              <w:t>:30</w:t>
            </w:r>
            <w:r>
              <w:rPr>
                <w:rStyle w:val="97"/>
                <w:rFonts w:hint="eastAsia" w:ascii="仿宋" w:hAnsi="仿宋" w:eastAsia="仿宋" w:cs="仿宋"/>
                <w:bCs/>
                <w:color w:val="auto"/>
                <w:sz w:val="24"/>
                <w:szCs w:val="24"/>
              </w:rPr>
              <w:t>时</w:t>
            </w:r>
            <w:r>
              <w:rPr>
                <w:rStyle w:val="97"/>
                <w:rFonts w:ascii="仿宋" w:hAnsi="仿宋" w:eastAsia="仿宋" w:cs="仿宋"/>
                <w:bCs/>
                <w:color w:val="auto"/>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799" w:type="dxa"/>
            <w:vAlign w:val="center"/>
          </w:tcPr>
          <w:p>
            <w:pPr>
              <w:snapToGrid w:val="0"/>
              <w:jc w:val="center"/>
              <w:rPr>
                <w:rStyle w:val="97"/>
                <w:rFonts w:ascii="仿宋" w:hAnsi="仿宋" w:eastAsia="仿宋" w:cs="仿宋"/>
                <w:color w:val="auto"/>
                <w:sz w:val="24"/>
                <w:szCs w:val="24"/>
              </w:rPr>
            </w:pPr>
            <w:r>
              <w:rPr>
                <w:rStyle w:val="97"/>
                <w:rFonts w:ascii="仿宋" w:hAnsi="仿宋" w:eastAsia="仿宋" w:cs="仿宋"/>
                <w:color w:val="auto"/>
                <w:sz w:val="24"/>
                <w:szCs w:val="24"/>
              </w:rPr>
              <w:t>11</w:t>
            </w:r>
          </w:p>
        </w:tc>
        <w:tc>
          <w:tcPr>
            <w:tcW w:w="8689" w:type="dxa"/>
            <w:vAlign w:val="center"/>
          </w:tcPr>
          <w:p>
            <w:pPr>
              <w:snapToGrid w:val="0"/>
              <w:rPr>
                <w:rStyle w:val="97"/>
                <w:rFonts w:ascii="仿宋" w:hAnsi="仿宋" w:eastAsia="仿宋" w:cs="仿宋"/>
                <w:color w:val="auto"/>
                <w:sz w:val="24"/>
                <w:szCs w:val="24"/>
              </w:rPr>
            </w:pPr>
            <w:r>
              <w:rPr>
                <w:rStyle w:val="97"/>
                <w:rFonts w:hint="eastAsia" w:ascii="仿宋" w:hAnsi="仿宋" w:eastAsia="仿宋" w:cs="仿宋"/>
                <w:color w:val="auto"/>
                <w:sz w:val="24"/>
                <w:szCs w:val="24"/>
              </w:rPr>
              <w:t>投标地点：</w:t>
            </w:r>
            <w:r>
              <w:rPr>
                <w:rStyle w:val="97"/>
                <w:rFonts w:hint="eastAsia" w:ascii="仿宋" w:hAnsi="仿宋" w:eastAsia="仿宋" w:cs="仿宋"/>
                <w:bCs/>
                <w:color w:val="auto"/>
                <w:sz w:val="24"/>
                <w:szCs w:val="24"/>
              </w:rPr>
              <w:t>杭州市公共资源交易中心建德分中心</w:t>
            </w:r>
            <w:r>
              <w:rPr>
                <w:rStyle w:val="97"/>
                <w:rFonts w:hint="eastAsia" w:ascii="仿宋" w:hAnsi="仿宋" w:eastAsia="仿宋" w:cs="仿宋"/>
                <w:bCs/>
                <w:color w:val="auto"/>
                <w:sz w:val="24"/>
                <w:szCs w:val="24"/>
                <w:lang w:val="en-US"/>
              </w:rPr>
              <w:t>2</w:t>
            </w:r>
            <w:r>
              <w:rPr>
                <w:rStyle w:val="97"/>
                <w:rFonts w:hint="eastAsia" w:ascii="仿宋" w:hAnsi="仿宋" w:eastAsia="仿宋" w:cs="仿宋"/>
                <w:bCs/>
                <w:color w:val="auto"/>
                <w:sz w:val="24"/>
                <w:szCs w:val="24"/>
              </w:rPr>
              <w:t>号开标室（洋安社区荷映路</w:t>
            </w:r>
            <w:r>
              <w:rPr>
                <w:rStyle w:val="97"/>
                <w:rFonts w:ascii="仿宋" w:hAnsi="仿宋" w:eastAsia="仿宋" w:cs="仿宋"/>
                <w:bCs/>
                <w:color w:val="auto"/>
                <w:sz w:val="24"/>
                <w:szCs w:val="24"/>
              </w:rPr>
              <w:t>113</w:t>
            </w:r>
            <w:r>
              <w:rPr>
                <w:rStyle w:val="97"/>
                <w:rFonts w:hint="eastAsia" w:ascii="仿宋" w:hAnsi="仿宋" w:eastAsia="仿宋" w:cs="仿宋"/>
                <w:bCs/>
                <w:color w:val="auto"/>
                <w:sz w:val="24"/>
                <w:szCs w:val="24"/>
              </w:rPr>
              <w:t>号</w:t>
            </w:r>
            <w:r>
              <w:rPr>
                <w:rStyle w:val="97"/>
                <w:rFonts w:ascii="仿宋" w:hAnsi="仿宋" w:eastAsia="仿宋" w:cs="仿宋"/>
                <w:bCs/>
                <w:color w:val="auto"/>
                <w:sz w:val="24"/>
                <w:szCs w:val="24"/>
              </w:rPr>
              <w:t>3</w:t>
            </w:r>
            <w:r>
              <w:rPr>
                <w:rStyle w:val="97"/>
                <w:rFonts w:hint="eastAsia" w:ascii="仿宋" w:hAnsi="仿宋" w:eastAsia="仿宋" w:cs="仿宋"/>
                <w:bCs/>
                <w:color w:val="auto"/>
                <w:sz w:val="24"/>
                <w:szCs w:val="24"/>
              </w:rPr>
              <w:t>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799" w:type="dxa"/>
            <w:vAlign w:val="center"/>
          </w:tcPr>
          <w:p>
            <w:pPr>
              <w:snapToGrid w:val="0"/>
              <w:jc w:val="center"/>
              <w:rPr>
                <w:rStyle w:val="97"/>
                <w:rFonts w:ascii="仿宋" w:hAnsi="仿宋" w:eastAsia="仿宋" w:cs="仿宋"/>
                <w:color w:val="auto"/>
                <w:sz w:val="24"/>
                <w:szCs w:val="24"/>
              </w:rPr>
            </w:pPr>
            <w:r>
              <w:rPr>
                <w:rStyle w:val="97"/>
                <w:rFonts w:ascii="仿宋" w:hAnsi="仿宋" w:eastAsia="仿宋" w:cs="仿宋"/>
                <w:color w:val="auto"/>
                <w:sz w:val="24"/>
                <w:szCs w:val="24"/>
              </w:rPr>
              <w:t>12</w:t>
            </w:r>
          </w:p>
        </w:tc>
        <w:tc>
          <w:tcPr>
            <w:tcW w:w="8689" w:type="dxa"/>
            <w:vAlign w:val="center"/>
          </w:tcPr>
          <w:p>
            <w:pPr>
              <w:snapToGrid w:val="0"/>
              <w:rPr>
                <w:rStyle w:val="97"/>
                <w:rFonts w:ascii="仿宋" w:hAnsi="仿宋" w:eastAsia="仿宋" w:cs="仿宋"/>
                <w:color w:val="auto"/>
                <w:sz w:val="24"/>
                <w:szCs w:val="24"/>
              </w:rPr>
            </w:pPr>
            <w:r>
              <w:rPr>
                <w:rStyle w:val="97"/>
                <w:rFonts w:hint="eastAsia" w:ascii="仿宋" w:hAnsi="仿宋" w:eastAsia="仿宋" w:cs="仿宋"/>
                <w:color w:val="auto"/>
                <w:sz w:val="24"/>
                <w:szCs w:val="24"/>
              </w:rPr>
              <w:t>开标时间及地点：</w:t>
            </w:r>
            <w:r>
              <w:rPr>
                <w:rStyle w:val="97"/>
                <w:rFonts w:ascii="仿宋" w:hAnsi="仿宋" w:eastAsia="仿宋" w:cs="仿宋"/>
                <w:bCs/>
                <w:color w:val="auto"/>
                <w:sz w:val="24"/>
                <w:szCs w:val="24"/>
              </w:rPr>
              <w:t>2021</w:t>
            </w:r>
            <w:r>
              <w:rPr>
                <w:rStyle w:val="97"/>
                <w:rFonts w:hint="eastAsia" w:ascii="仿宋" w:hAnsi="仿宋" w:eastAsia="仿宋" w:cs="仿宋"/>
                <w:bCs/>
                <w:color w:val="auto"/>
                <w:sz w:val="24"/>
                <w:szCs w:val="24"/>
              </w:rPr>
              <w:t>年</w:t>
            </w:r>
            <w:r>
              <w:rPr>
                <w:rStyle w:val="97"/>
                <w:rFonts w:hint="eastAsia" w:ascii="仿宋" w:hAnsi="仿宋" w:eastAsia="仿宋" w:cs="仿宋"/>
                <w:bCs/>
                <w:color w:val="auto"/>
                <w:sz w:val="24"/>
                <w:szCs w:val="24"/>
                <w:lang w:val="en-US"/>
              </w:rPr>
              <w:t>11</w:t>
            </w:r>
            <w:r>
              <w:rPr>
                <w:rStyle w:val="97"/>
                <w:rFonts w:hint="eastAsia" w:ascii="仿宋" w:hAnsi="仿宋" w:eastAsia="仿宋" w:cs="仿宋"/>
                <w:bCs/>
                <w:color w:val="auto"/>
                <w:sz w:val="24"/>
                <w:szCs w:val="24"/>
              </w:rPr>
              <w:t>月</w:t>
            </w:r>
            <w:r>
              <w:rPr>
                <w:rStyle w:val="97"/>
                <w:rFonts w:hint="eastAsia" w:ascii="仿宋" w:hAnsi="仿宋" w:eastAsia="仿宋" w:cs="仿宋"/>
                <w:bCs/>
                <w:color w:val="auto"/>
                <w:sz w:val="24"/>
                <w:szCs w:val="24"/>
                <w:lang w:val="en-US"/>
              </w:rPr>
              <w:t>16</w:t>
            </w:r>
            <w:r>
              <w:rPr>
                <w:rStyle w:val="97"/>
                <w:rFonts w:hint="eastAsia" w:ascii="仿宋" w:hAnsi="仿宋" w:eastAsia="仿宋" w:cs="仿宋"/>
                <w:bCs/>
                <w:color w:val="auto"/>
                <w:sz w:val="24"/>
                <w:szCs w:val="24"/>
              </w:rPr>
              <w:t>日</w:t>
            </w:r>
            <w:r>
              <w:rPr>
                <w:rStyle w:val="97"/>
                <w:rFonts w:hint="eastAsia" w:ascii="仿宋" w:hAnsi="仿宋" w:eastAsia="仿宋" w:cs="仿宋"/>
                <w:bCs/>
                <w:color w:val="auto"/>
                <w:sz w:val="24"/>
                <w:szCs w:val="24"/>
                <w:lang w:val="en-US"/>
              </w:rPr>
              <w:t>13</w:t>
            </w:r>
            <w:r>
              <w:rPr>
                <w:rStyle w:val="97"/>
                <w:rFonts w:ascii="仿宋" w:hAnsi="仿宋" w:eastAsia="仿宋" w:cs="仿宋"/>
                <w:bCs/>
                <w:color w:val="auto"/>
                <w:sz w:val="24"/>
                <w:szCs w:val="24"/>
              </w:rPr>
              <w:t>:30</w:t>
            </w:r>
            <w:r>
              <w:rPr>
                <w:rStyle w:val="97"/>
                <w:rFonts w:hint="eastAsia" w:ascii="仿宋" w:hAnsi="仿宋" w:eastAsia="仿宋" w:cs="仿宋"/>
                <w:bCs/>
                <w:color w:val="auto"/>
                <w:sz w:val="24"/>
                <w:szCs w:val="24"/>
              </w:rPr>
              <w:t>时，杭州市公共资源交易中心建德分中心</w:t>
            </w:r>
            <w:r>
              <w:rPr>
                <w:rStyle w:val="97"/>
                <w:rFonts w:hint="eastAsia" w:ascii="仿宋" w:hAnsi="仿宋" w:eastAsia="仿宋" w:cs="仿宋"/>
                <w:bCs/>
                <w:color w:val="auto"/>
                <w:sz w:val="24"/>
                <w:szCs w:val="24"/>
                <w:lang w:val="en-US"/>
              </w:rPr>
              <w:t>2</w:t>
            </w:r>
            <w:r>
              <w:rPr>
                <w:rStyle w:val="97"/>
                <w:rFonts w:hint="eastAsia" w:ascii="仿宋" w:hAnsi="仿宋" w:eastAsia="仿宋" w:cs="仿宋"/>
                <w:bCs/>
                <w:color w:val="auto"/>
                <w:sz w:val="24"/>
                <w:szCs w:val="24"/>
              </w:rPr>
              <w:t>号开标室（洋安社区荷映路</w:t>
            </w:r>
            <w:r>
              <w:rPr>
                <w:rStyle w:val="97"/>
                <w:rFonts w:ascii="仿宋" w:hAnsi="仿宋" w:eastAsia="仿宋" w:cs="仿宋"/>
                <w:bCs/>
                <w:color w:val="auto"/>
                <w:sz w:val="24"/>
                <w:szCs w:val="24"/>
              </w:rPr>
              <w:t>113</w:t>
            </w:r>
            <w:r>
              <w:rPr>
                <w:rStyle w:val="97"/>
                <w:rFonts w:hint="eastAsia" w:ascii="仿宋" w:hAnsi="仿宋" w:eastAsia="仿宋" w:cs="仿宋"/>
                <w:bCs/>
                <w:color w:val="auto"/>
                <w:sz w:val="24"/>
                <w:szCs w:val="24"/>
              </w:rPr>
              <w:t>号</w:t>
            </w:r>
            <w:r>
              <w:rPr>
                <w:rStyle w:val="97"/>
                <w:rFonts w:ascii="仿宋" w:hAnsi="仿宋" w:eastAsia="仿宋" w:cs="仿宋"/>
                <w:bCs/>
                <w:color w:val="auto"/>
                <w:sz w:val="24"/>
                <w:szCs w:val="24"/>
              </w:rPr>
              <w:t>3</w:t>
            </w:r>
            <w:r>
              <w:rPr>
                <w:rStyle w:val="97"/>
                <w:rFonts w:hint="eastAsia" w:ascii="仿宋" w:hAnsi="仿宋" w:eastAsia="仿宋" w:cs="仿宋"/>
                <w:bCs/>
                <w:color w:val="auto"/>
                <w:sz w:val="24"/>
                <w:szCs w:val="24"/>
              </w:rPr>
              <w:t>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799" w:type="dxa"/>
            <w:vAlign w:val="center"/>
          </w:tcPr>
          <w:p>
            <w:pPr>
              <w:snapToGrid w:val="0"/>
              <w:jc w:val="center"/>
              <w:rPr>
                <w:rStyle w:val="97"/>
                <w:rFonts w:ascii="仿宋" w:hAnsi="仿宋" w:eastAsia="仿宋" w:cs="仿宋"/>
                <w:color w:val="auto"/>
                <w:sz w:val="24"/>
                <w:szCs w:val="24"/>
              </w:rPr>
            </w:pPr>
            <w:r>
              <w:rPr>
                <w:rStyle w:val="97"/>
                <w:rFonts w:ascii="仿宋" w:hAnsi="仿宋" w:eastAsia="仿宋" w:cs="仿宋"/>
                <w:color w:val="auto"/>
                <w:sz w:val="24"/>
                <w:szCs w:val="24"/>
              </w:rPr>
              <w:t>13</w:t>
            </w:r>
          </w:p>
        </w:tc>
        <w:tc>
          <w:tcPr>
            <w:tcW w:w="8689" w:type="dxa"/>
            <w:vAlign w:val="center"/>
          </w:tcPr>
          <w:p>
            <w:pPr>
              <w:snapToGrid w:val="0"/>
              <w:rPr>
                <w:rStyle w:val="97"/>
                <w:rFonts w:ascii="仿宋" w:hAnsi="仿宋" w:eastAsia="仿宋" w:cs="仿宋"/>
                <w:color w:val="auto"/>
                <w:sz w:val="24"/>
                <w:szCs w:val="24"/>
              </w:rPr>
            </w:pPr>
            <w:r>
              <w:rPr>
                <w:rStyle w:val="97"/>
                <w:rFonts w:hint="eastAsia" w:ascii="仿宋" w:hAnsi="仿宋" w:eastAsia="仿宋" w:cs="仿宋"/>
                <w:bCs/>
                <w:color w:val="auto"/>
                <w:sz w:val="24"/>
                <w:szCs w:val="24"/>
              </w:rPr>
              <w:t>评标结果公示：</w:t>
            </w:r>
            <w:r>
              <w:rPr>
                <w:rStyle w:val="97"/>
                <w:rFonts w:hint="eastAsia" w:ascii="仿宋" w:hAnsi="仿宋" w:eastAsia="仿宋" w:cs="仿宋"/>
                <w:color w:val="auto"/>
                <w:sz w:val="24"/>
                <w:szCs w:val="24"/>
              </w:rPr>
              <w:t>评标结果公示于杭州市公共资源交易中心建德分中心（</w:t>
            </w:r>
            <w:r>
              <w:rPr>
                <w:rStyle w:val="97"/>
                <w:rFonts w:ascii="仿宋" w:hAnsi="仿宋" w:eastAsia="仿宋" w:cs="仿宋"/>
                <w:color w:val="auto"/>
                <w:sz w:val="24"/>
                <w:szCs w:val="24"/>
              </w:rPr>
              <w:t>http://www.jiande.gov.cn/col/col1229346101/index.html</w:t>
            </w:r>
            <w:r>
              <w:rPr>
                <w:rStyle w:val="97"/>
                <w:rFonts w:hint="eastAsia" w:ascii="仿宋" w:hAnsi="仿宋" w:eastAsia="仿宋" w:cs="仿宋"/>
                <w:color w:val="auto"/>
                <w:sz w:val="24"/>
                <w:szCs w:val="24"/>
              </w:rPr>
              <w:t>）和浙江政府采购网</w:t>
            </w:r>
            <w:r>
              <w:rPr>
                <w:rStyle w:val="97"/>
                <w:rFonts w:ascii="仿宋" w:hAnsi="仿宋" w:eastAsia="仿宋" w:cs="仿宋"/>
                <w:color w:val="auto"/>
                <w:sz w:val="24"/>
                <w:szCs w:val="24"/>
              </w:rPr>
              <w:t>(</w:t>
            </w:r>
            <w:r>
              <w:rPr>
                <w:rFonts w:ascii="仿宋" w:hAnsi="仿宋" w:eastAsia="仿宋" w:cs="仿宋"/>
                <w:color w:val="auto"/>
                <w:spacing w:val="-2"/>
                <w:sz w:val="24"/>
                <w:szCs w:val="24"/>
              </w:rPr>
              <w:t>http://www.zjzfcg.gov.cn/</w:t>
            </w:r>
            <w:r>
              <w:rPr>
                <w:rStyle w:val="97"/>
                <w:rFonts w:ascii="仿宋" w:hAnsi="仿宋" w:eastAsia="仿宋" w:cs="仿宋"/>
                <w:color w:val="auto"/>
                <w:sz w:val="24"/>
                <w:szCs w:val="24"/>
              </w:rPr>
              <w:t>)</w:t>
            </w:r>
            <w:r>
              <w:rPr>
                <w:rStyle w:val="97"/>
                <w:rFonts w:hint="eastAsia" w:ascii="仿宋" w:hAnsi="仿宋" w:eastAsia="仿宋" w:cs="仿宋"/>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799" w:type="dxa"/>
            <w:vAlign w:val="center"/>
          </w:tcPr>
          <w:p>
            <w:pPr>
              <w:snapToGrid w:val="0"/>
              <w:jc w:val="center"/>
              <w:rPr>
                <w:rStyle w:val="97"/>
                <w:rFonts w:ascii="仿宋" w:hAnsi="仿宋" w:eastAsia="仿宋" w:cs="仿宋"/>
                <w:color w:val="auto"/>
                <w:sz w:val="24"/>
                <w:szCs w:val="24"/>
              </w:rPr>
            </w:pPr>
            <w:r>
              <w:rPr>
                <w:rStyle w:val="97"/>
                <w:rFonts w:ascii="仿宋" w:hAnsi="仿宋" w:eastAsia="仿宋" w:cs="仿宋"/>
                <w:color w:val="auto"/>
                <w:sz w:val="24"/>
                <w:szCs w:val="24"/>
              </w:rPr>
              <w:t>14</w:t>
            </w:r>
          </w:p>
        </w:tc>
        <w:tc>
          <w:tcPr>
            <w:tcW w:w="8689" w:type="dxa"/>
            <w:vAlign w:val="center"/>
          </w:tcPr>
          <w:p>
            <w:pPr>
              <w:snapToGrid w:val="0"/>
              <w:rPr>
                <w:rStyle w:val="97"/>
                <w:rFonts w:ascii="仿宋" w:hAnsi="仿宋" w:eastAsia="仿宋" w:cs="仿宋"/>
                <w:color w:val="auto"/>
                <w:sz w:val="24"/>
                <w:szCs w:val="24"/>
              </w:rPr>
            </w:pPr>
            <w:r>
              <w:rPr>
                <w:rStyle w:val="97"/>
                <w:rFonts w:hint="eastAsia" w:ascii="仿宋" w:hAnsi="仿宋" w:eastAsia="仿宋" w:cs="仿宋"/>
                <w:color w:val="auto"/>
                <w:sz w:val="24"/>
                <w:szCs w:val="24"/>
              </w:rPr>
              <w:t>评标办法及标准：</w:t>
            </w:r>
            <w:r>
              <w:rPr>
                <w:rStyle w:val="97"/>
                <w:rFonts w:hint="eastAsia" w:ascii="仿宋" w:hAnsi="仿宋" w:eastAsia="仿宋" w:cs="仿宋"/>
                <w:bCs/>
                <w:color w:val="auto"/>
                <w:sz w:val="24"/>
                <w:szCs w:val="24"/>
              </w:rPr>
              <w:t>按照招标文件第四章评标办法及评分标准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99" w:type="dxa"/>
            <w:vAlign w:val="center"/>
          </w:tcPr>
          <w:p>
            <w:pPr>
              <w:snapToGrid w:val="0"/>
              <w:jc w:val="center"/>
              <w:rPr>
                <w:rStyle w:val="97"/>
                <w:rFonts w:ascii="仿宋" w:hAnsi="仿宋" w:eastAsia="仿宋" w:cs="仿宋"/>
                <w:color w:val="auto"/>
                <w:sz w:val="24"/>
                <w:szCs w:val="24"/>
              </w:rPr>
            </w:pPr>
            <w:r>
              <w:rPr>
                <w:rStyle w:val="97"/>
                <w:rFonts w:ascii="仿宋" w:hAnsi="仿宋" w:eastAsia="仿宋" w:cs="仿宋"/>
                <w:color w:val="auto"/>
                <w:sz w:val="24"/>
                <w:szCs w:val="24"/>
              </w:rPr>
              <w:t>15</w:t>
            </w:r>
          </w:p>
        </w:tc>
        <w:tc>
          <w:tcPr>
            <w:tcW w:w="8689" w:type="dxa"/>
            <w:vAlign w:val="center"/>
          </w:tcPr>
          <w:p>
            <w:pPr>
              <w:snapToGrid w:val="0"/>
              <w:rPr>
                <w:rStyle w:val="97"/>
                <w:rFonts w:ascii="仿宋" w:hAnsi="仿宋" w:eastAsia="仿宋" w:cs="仿宋"/>
                <w:color w:val="auto"/>
                <w:sz w:val="24"/>
                <w:szCs w:val="24"/>
              </w:rPr>
            </w:pPr>
            <w:r>
              <w:rPr>
                <w:rStyle w:val="97"/>
                <w:rFonts w:hint="eastAsia" w:ascii="仿宋" w:hAnsi="仿宋" w:eastAsia="仿宋" w:cs="仿宋"/>
                <w:color w:val="auto"/>
                <w:sz w:val="24"/>
                <w:szCs w:val="24"/>
              </w:rPr>
              <w:t>中标通知书：</w:t>
            </w:r>
            <w:r>
              <w:rPr>
                <w:rStyle w:val="97"/>
                <w:rFonts w:hint="eastAsia" w:ascii="仿宋" w:hAnsi="仿宋" w:eastAsia="仿宋" w:cs="仿宋"/>
                <w:bCs/>
                <w:color w:val="auto"/>
                <w:sz w:val="24"/>
                <w:szCs w:val="24"/>
              </w:rPr>
              <w:t>中标公示结束后</w:t>
            </w:r>
            <w:r>
              <w:rPr>
                <w:rStyle w:val="97"/>
                <w:rFonts w:ascii="仿宋" w:hAnsi="仿宋" w:eastAsia="仿宋" w:cs="仿宋"/>
                <w:bCs/>
                <w:color w:val="auto"/>
                <w:sz w:val="24"/>
                <w:szCs w:val="24"/>
              </w:rPr>
              <w:t>2</w:t>
            </w:r>
            <w:r>
              <w:rPr>
                <w:rStyle w:val="97"/>
                <w:rFonts w:hint="eastAsia" w:ascii="仿宋" w:hAnsi="仿宋" w:eastAsia="仿宋" w:cs="仿宋"/>
                <w:bCs/>
                <w:color w:val="auto"/>
                <w:sz w:val="24"/>
                <w:szCs w:val="24"/>
              </w:rPr>
              <w:t>个工作日内签发中标通知书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799" w:type="dxa"/>
            <w:vAlign w:val="center"/>
          </w:tcPr>
          <w:p>
            <w:pPr>
              <w:snapToGrid w:val="0"/>
              <w:jc w:val="center"/>
              <w:rPr>
                <w:rStyle w:val="97"/>
                <w:rFonts w:ascii="仿宋" w:hAnsi="仿宋" w:eastAsia="仿宋" w:cs="仿宋"/>
                <w:color w:val="auto"/>
                <w:sz w:val="24"/>
                <w:szCs w:val="24"/>
              </w:rPr>
            </w:pPr>
            <w:r>
              <w:rPr>
                <w:rStyle w:val="97"/>
                <w:rFonts w:ascii="仿宋" w:hAnsi="仿宋" w:eastAsia="仿宋" w:cs="仿宋"/>
                <w:color w:val="auto"/>
                <w:sz w:val="24"/>
                <w:szCs w:val="24"/>
              </w:rPr>
              <w:t>16</w:t>
            </w:r>
          </w:p>
        </w:tc>
        <w:tc>
          <w:tcPr>
            <w:tcW w:w="8689" w:type="dxa"/>
            <w:vAlign w:val="center"/>
          </w:tcPr>
          <w:p>
            <w:pPr>
              <w:snapToGrid w:val="0"/>
              <w:rPr>
                <w:rStyle w:val="97"/>
                <w:rFonts w:ascii="仿宋" w:hAnsi="仿宋" w:eastAsia="仿宋" w:cs="仿宋"/>
                <w:color w:val="auto"/>
                <w:sz w:val="24"/>
                <w:szCs w:val="24"/>
              </w:rPr>
            </w:pPr>
            <w:r>
              <w:rPr>
                <w:rStyle w:val="97"/>
                <w:rFonts w:hint="eastAsia" w:ascii="仿宋" w:hAnsi="仿宋" w:eastAsia="仿宋" w:cs="仿宋"/>
                <w:color w:val="auto"/>
                <w:sz w:val="24"/>
                <w:szCs w:val="24"/>
              </w:rPr>
              <w:t>签订合同：</w:t>
            </w:r>
            <w:r>
              <w:rPr>
                <w:rStyle w:val="97"/>
                <w:rFonts w:hint="eastAsia" w:ascii="仿宋" w:hAnsi="仿宋" w:eastAsia="仿宋" w:cs="仿宋"/>
                <w:bCs/>
                <w:color w:val="auto"/>
                <w:sz w:val="24"/>
                <w:szCs w:val="24"/>
              </w:rPr>
              <w:t>中标通知书发出后</w:t>
            </w:r>
            <w:r>
              <w:rPr>
                <w:rStyle w:val="97"/>
                <w:rFonts w:ascii="仿宋" w:hAnsi="仿宋" w:eastAsia="仿宋" w:cs="仿宋"/>
                <w:bCs/>
                <w:color w:val="auto"/>
                <w:sz w:val="24"/>
                <w:szCs w:val="24"/>
              </w:rPr>
              <w:t>30</w:t>
            </w:r>
            <w:r>
              <w:rPr>
                <w:rStyle w:val="97"/>
                <w:rFonts w:hint="eastAsia" w:ascii="仿宋" w:hAnsi="仿宋" w:eastAsia="仿宋" w:cs="仿宋"/>
                <w:bCs/>
                <w:color w:val="auto"/>
                <w:sz w:val="24"/>
                <w:szCs w:val="24"/>
              </w:rPr>
              <w:t>日内（具体时间按中标通知书）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799" w:type="dxa"/>
            <w:vAlign w:val="center"/>
          </w:tcPr>
          <w:p>
            <w:pPr>
              <w:snapToGrid w:val="0"/>
              <w:jc w:val="center"/>
              <w:rPr>
                <w:rStyle w:val="97"/>
                <w:rFonts w:ascii="仿宋" w:hAnsi="仿宋" w:eastAsia="仿宋" w:cs="仿宋"/>
                <w:color w:val="auto"/>
                <w:sz w:val="24"/>
                <w:szCs w:val="24"/>
              </w:rPr>
            </w:pPr>
            <w:r>
              <w:rPr>
                <w:rStyle w:val="97"/>
                <w:rFonts w:ascii="仿宋" w:hAnsi="仿宋" w:eastAsia="仿宋" w:cs="仿宋"/>
                <w:color w:val="auto"/>
                <w:sz w:val="24"/>
                <w:szCs w:val="24"/>
              </w:rPr>
              <w:t>17</w:t>
            </w:r>
          </w:p>
        </w:tc>
        <w:tc>
          <w:tcPr>
            <w:tcW w:w="8689" w:type="dxa"/>
            <w:vAlign w:val="center"/>
          </w:tcPr>
          <w:p>
            <w:pPr>
              <w:snapToGrid w:val="0"/>
              <w:rPr>
                <w:rStyle w:val="97"/>
                <w:rFonts w:ascii="仿宋" w:hAnsi="仿宋" w:eastAsia="仿宋" w:cs="仿宋"/>
                <w:color w:val="auto"/>
                <w:sz w:val="24"/>
                <w:szCs w:val="24"/>
              </w:rPr>
            </w:pPr>
            <w:r>
              <w:rPr>
                <w:rStyle w:val="97"/>
                <w:rFonts w:hint="eastAsia" w:ascii="仿宋" w:hAnsi="仿宋" w:eastAsia="仿宋" w:cs="仿宋"/>
                <w:color w:val="auto"/>
                <w:sz w:val="24"/>
                <w:szCs w:val="24"/>
              </w:rPr>
              <w:t>接受投标文件时间：</w:t>
            </w:r>
            <w:r>
              <w:rPr>
                <w:rStyle w:val="97"/>
                <w:rFonts w:hint="eastAsia" w:ascii="仿宋" w:hAnsi="仿宋" w:eastAsia="仿宋" w:cs="仿宋"/>
                <w:bCs/>
                <w:color w:val="auto"/>
                <w:sz w:val="24"/>
                <w:szCs w:val="24"/>
              </w:rPr>
              <w:t>投标截止时间前半小时内接收投标文件，逾期送达或未密封将予以拒收。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799" w:type="dxa"/>
            <w:vAlign w:val="center"/>
          </w:tcPr>
          <w:p>
            <w:pPr>
              <w:snapToGrid w:val="0"/>
              <w:jc w:val="center"/>
              <w:rPr>
                <w:rStyle w:val="97"/>
                <w:rFonts w:ascii="仿宋" w:hAnsi="仿宋" w:eastAsia="仿宋" w:cs="仿宋"/>
                <w:color w:val="auto"/>
                <w:sz w:val="24"/>
                <w:szCs w:val="24"/>
              </w:rPr>
            </w:pPr>
            <w:r>
              <w:rPr>
                <w:rStyle w:val="97"/>
                <w:rFonts w:ascii="仿宋" w:hAnsi="仿宋" w:eastAsia="仿宋" w:cs="仿宋"/>
                <w:color w:val="auto"/>
                <w:sz w:val="24"/>
                <w:szCs w:val="24"/>
              </w:rPr>
              <w:t>18</w:t>
            </w:r>
          </w:p>
        </w:tc>
        <w:tc>
          <w:tcPr>
            <w:tcW w:w="8689" w:type="dxa"/>
            <w:vAlign w:val="center"/>
          </w:tcPr>
          <w:p>
            <w:pPr>
              <w:snapToGrid w:val="0"/>
              <w:rPr>
                <w:rStyle w:val="97"/>
                <w:rFonts w:ascii="仿宋" w:hAnsi="仿宋" w:eastAsia="仿宋" w:cs="仿宋"/>
                <w:b/>
                <w:bCs/>
                <w:color w:val="auto"/>
                <w:sz w:val="24"/>
                <w:szCs w:val="24"/>
              </w:rPr>
            </w:pPr>
            <w:r>
              <w:rPr>
                <w:rStyle w:val="97"/>
                <w:rFonts w:hint="eastAsia" w:ascii="仿宋" w:hAnsi="仿宋" w:eastAsia="仿宋" w:cs="仿宋"/>
                <w:b/>
                <w:bCs/>
                <w:color w:val="auto"/>
                <w:sz w:val="24"/>
                <w:szCs w:val="24"/>
              </w:rPr>
              <w:t>最高限价：</w:t>
            </w:r>
            <w:r>
              <w:rPr>
                <w:rFonts w:hint="eastAsia" w:ascii="仿宋" w:hAnsi="仿宋" w:eastAsia="仿宋" w:cs="仿宋"/>
                <w:b/>
                <w:bCs/>
                <w:color w:val="auto"/>
                <w:sz w:val="24"/>
                <w:szCs w:val="24"/>
              </w:rPr>
              <w:t>本项目最高限价（预算总价）为人民币</w:t>
            </w:r>
            <w:r>
              <w:rPr>
                <w:rFonts w:hint="eastAsia" w:ascii="仿宋" w:hAnsi="仿宋" w:eastAsia="仿宋" w:cs="仿宋"/>
                <w:b/>
                <w:bCs/>
                <w:color w:val="auto"/>
                <w:sz w:val="24"/>
                <w:szCs w:val="24"/>
                <w:lang w:eastAsia="zh-CN"/>
              </w:rPr>
              <w:t>玖拾壹万元</w:t>
            </w:r>
            <w:r>
              <w:rPr>
                <w:rFonts w:hint="eastAsia" w:ascii="仿宋" w:hAnsi="仿宋" w:eastAsia="仿宋" w:cs="仿宋"/>
                <w:b/>
                <w:bCs/>
                <w:color w:val="auto"/>
                <w:sz w:val="24"/>
                <w:szCs w:val="24"/>
              </w:rPr>
              <w:t>整（￥：</w:t>
            </w:r>
            <w:r>
              <w:rPr>
                <w:rFonts w:hint="eastAsia" w:ascii="仿宋" w:hAnsi="仿宋" w:eastAsia="仿宋" w:cs="仿宋"/>
                <w:b/>
                <w:bCs/>
                <w:color w:val="auto"/>
                <w:sz w:val="24"/>
                <w:szCs w:val="24"/>
                <w:lang w:eastAsia="zh-CN"/>
              </w:rPr>
              <w:t>910000.00</w:t>
            </w:r>
            <w:r>
              <w:rPr>
                <w:rFonts w:hint="eastAsia" w:ascii="仿宋" w:hAnsi="仿宋" w:eastAsia="仿宋" w:cs="仿宋"/>
                <w:b/>
                <w:bCs/>
                <w:color w:val="auto"/>
                <w:sz w:val="24"/>
                <w:szCs w:val="24"/>
              </w:rPr>
              <w:t>元），投标报价超过最高限价（预算总价）的，按无效标处理。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8" w:hRule="atLeast"/>
        </w:trPr>
        <w:tc>
          <w:tcPr>
            <w:tcW w:w="799" w:type="dxa"/>
            <w:vAlign w:val="center"/>
          </w:tcPr>
          <w:p>
            <w:pPr>
              <w:snapToGrid w:val="0"/>
              <w:jc w:val="center"/>
              <w:rPr>
                <w:rStyle w:val="97"/>
                <w:rFonts w:ascii="仿宋" w:hAnsi="仿宋" w:eastAsia="仿宋" w:cs="仿宋"/>
                <w:color w:val="auto"/>
                <w:sz w:val="24"/>
                <w:szCs w:val="24"/>
              </w:rPr>
            </w:pPr>
            <w:r>
              <w:rPr>
                <w:rStyle w:val="97"/>
                <w:rFonts w:ascii="仿宋" w:hAnsi="仿宋" w:eastAsia="仿宋" w:cs="仿宋"/>
                <w:color w:val="auto"/>
                <w:sz w:val="24"/>
                <w:szCs w:val="24"/>
              </w:rPr>
              <w:t>19</w:t>
            </w:r>
          </w:p>
        </w:tc>
        <w:tc>
          <w:tcPr>
            <w:tcW w:w="8689" w:type="dxa"/>
            <w:vAlign w:val="center"/>
          </w:tcPr>
          <w:p>
            <w:pPr>
              <w:snapToGrid w:val="0"/>
              <w:rPr>
                <w:rStyle w:val="97"/>
                <w:rFonts w:ascii="仿宋" w:hAnsi="仿宋" w:eastAsia="仿宋" w:cs="仿宋"/>
                <w:color w:val="auto"/>
                <w:sz w:val="24"/>
                <w:szCs w:val="24"/>
              </w:rPr>
            </w:pPr>
            <w:r>
              <w:rPr>
                <w:rStyle w:val="97"/>
                <w:rFonts w:hint="eastAsia" w:ascii="仿宋" w:hAnsi="仿宋" w:eastAsia="仿宋" w:cs="仿宋"/>
                <w:color w:val="auto"/>
                <w:sz w:val="24"/>
                <w:szCs w:val="24"/>
              </w:rPr>
              <w:t>履约保证金：</w:t>
            </w:r>
            <w:r>
              <w:rPr>
                <w:rStyle w:val="97"/>
                <w:rFonts w:hint="eastAsia" w:ascii="仿宋" w:hAnsi="仿宋" w:eastAsia="仿宋" w:cs="仿宋"/>
                <w:bCs/>
                <w:color w:val="auto"/>
                <w:sz w:val="24"/>
                <w:szCs w:val="24"/>
              </w:rPr>
              <w:t>在合同签订前</w:t>
            </w:r>
            <w:r>
              <w:rPr>
                <w:rStyle w:val="97"/>
                <w:rFonts w:ascii="仿宋" w:hAnsi="仿宋" w:eastAsia="仿宋" w:cs="仿宋"/>
                <w:bCs/>
                <w:color w:val="auto"/>
                <w:sz w:val="24"/>
                <w:szCs w:val="24"/>
              </w:rPr>
              <w:t>,</w:t>
            </w:r>
            <w:r>
              <w:rPr>
                <w:rStyle w:val="97"/>
                <w:rFonts w:hint="eastAsia" w:ascii="仿宋" w:hAnsi="仿宋" w:eastAsia="仿宋" w:cs="仿宋"/>
                <w:bCs/>
                <w:color w:val="auto"/>
                <w:sz w:val="24"/>
                <w:szCs w:val="24"/>
              </w:rPr>
              <w:t>由中标单位将成交总金额的</w:t>
            </w:r>
            <w:r>
              <w:rPr>
                <w:rStyle w:val="97"/>
                <w:rFonts w:ascii="仿宋" w:hAnsi="仿宋" w:eastAsia="仿宋" w:cs="仿宋"/>
                <w:bCs/>
                <w:color w:val="auto"/>
                <w:sz w:val="24"/>
                <w:szCs w:val="24"/>
              </w:rPr>
              <w:t xml:space="preserve">5% </w:t>
            </w:r>
            <w:r>
              <w:rPr>
                <w:rStyle w:val="97"/>
                <w:rFonts w:hint="eastAsia" w:ascii="仿宋" w:hAnsi="仿宋" w:eastAsia="仿宋" w:cs="仿宋"/>
                <w:bCs/>
                <w:color w:val="auto"/>
                <w:sz w:val="24"/>
                <w:szCs w:val="24"/>
              </w:rPr>
              <w:t>缴纳至采购单位指定帐户作为</w:t>
            </w:r>
            <w:r>
              <w:rPr>
                <w:rStyle w:val="97"/>
                <w:rFonts w:hint="eastAsia" w:ascii="仿宋" w:hAnsi="仿宋" w:eastAsia="仿宋" w:cs="仿宋"/>
                <w:color w:val="auto"/>
                <w:sz w:val="24"/>
                <w:szCs w:val="24"/>
              </w:rPr>
              <w:t>履约</w:t>
            </w:r>
            <w:r>
              <w:rPr>
                <w:rStyle w:val="97"/>
                <w:rFonts w:hint="eastAsia" w:ascii="仿宋" w:hAnsi="仿宋" w:eastAsia="仿宋" w:cs="仿宋"/>
                <w:bCs/>
                <w:color w:val="auto"/>
                <w:sz w:val="24"/>
                <w:szCs w:val="24"/>
              </w:rPr>
              <w:t>保证金，经验收合格且质保期满后</w:t>
            </w:r>
            <w:r>
              <w:rPr>
                <w:rFonts w:hint="eastAsia" w:ascii="仿宋" w:hAnsi="仿宋" w:eastAsia="仿宋" w:cs="仿宋"/>
                <w:bCs/>
                <w:color w:val="auto"/>
                <w:sz w:val="24"/>
                <w:szCs w:val="24"/>
              </w:rPr>
              <w:t>无息退还。</w:t>
            </w:r>
            <w:r>
              <w:rPr>
                <w:rStyle w:val="97"/>
                <w:rFonts w:hint="eastAsia" w:ascii="仿宋" w:hAnsi="仿宋" w:eastAsia="仿宋" w:cs="仿宋"/>
                <w:bCs/>
                <w:color w:val="auto"/>
                <w:sz w:val="24"/>
                <w:szCs w:val="24"/>
              </w:rPr>
              <w:t>回访无质量问题，中标单位凭正式收款收据、</w:t>
            </w:r>
            <w:r>
              <w:rPr>
                <w:rStyle w:val="97"/>
                <w:rFonts w:hint="eastAsia" w:ascii="仿宋" w:hAnsi="仿宋" w:eastAsia="仿宋" w:cs="仿宋"/>
                <w:color w:val="auto"/>
                <w:sz w:val="24"/>
                <w:szCs w:val="24"/>
              </w:rPr>
              <w:t>履约</w:t>
            </w:r>
            <w:r>
              <w:rPr>
                <w:rStyle w:val="97"/>
                <w:rFonts w:hint="eastAsia" w:ascii="仿宋" w:hAnsi="仿宋" w:eastAsia="仿宋" w:cs="仿宋"/>
                <w:bCs/>
                <w:color w:val="auto"/>
                <w:sz w:val="24"/>
                <w:szCs w:val="24"/>
              </w:rPr>
              <w:t>保证金缴纳凭证复印件、《建德市政府采购回访意见单》办理结算手续（不计息）。因供应商所供商品质量原因造成采购单位损失的，采购单位有权要求供应商以其</w:t>
            </w:r>
            <w:r>
              <w:rPr>
                <w:rStyle w:val="97"/>
                <w:rFonts w:hint="eastAsia" w:ascii="仿宋" w:hAnsi="仿宋" w:eastAsia="仿宋" w:cs="仿宋"/>
                <w:color w:val="auto"/>
                <w:sz w:val="24"/>
                <w:szCs w:val="24"/>
              </w:rPr>
              <w:t>履约</w:t>
            </w:r>
            <w:r>
              <w:rPr>
                <w:rStyle w:val="97"/>
                <w:rFonts w:hint="eastAsia" w:ascii="仿宋" w:hAnsi="仿宋" w:eastAsia="仿宋" w:cs="仿宋"/>
                <w:bCs/>
                <w:color w:val="auto"/>
                <w:sz w:val="24"/>
                <w:szCs w:val="24"/>
              </w:rPr>
              <w:t>保证金作出补偿。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799" w:type="dxa"/>
            <w:vAlign w:val="center"/>
          </w:tcPr>
          <w:p>
            <w:pPr>
              <w:snapToGrid w:val="0"/>
              <w:jc w:val="center"/>
              <w:rPr>
                <w:rStyle w:val="97"/>
                <w:rFonts w:ascii="仿宋" w:hAnsi="仿宋" w:eastAsia="仿宋" w:cs="仿宋"/>
                <w:color w:val="auto"/>
                <w:sz w:val="24"/>
                <w:szCs w:val="24"/>
              </w:rPr>
            </w:pPr>
            <w:r>
              <w:rPr>
                <w:rStyle w:val="97"/>
                <w:rFonts w:ascii="仿宋" w:hAnsi="仿宋" w:eastAsia="仿宋" w:cs="仿宋"/>
                <w:color w:val="auto"/>
                <w:sz w:val="24"/>
                <w:szCs w:val="24"/>
              </w:rPr>
              <w:t>20</w:t>
            </w:r>
          </w:p>
        </w:tc>
        <w:tc>
          <w:tcPr>
            <w:tcW w:w="8689" w:type="dxa"/>
            <w:vAlign w:val="center"/>
          </w:tcPr>
          <w:p>
            <w:pPr>
              <w:snapToGrid w:val="0"/>
              <w:rPr>
                <w:rStyle w:val="97"/>
                <w:rFonts w:ascii="仿宋" w:hAnsi="仿宋" w:eastAsia="仿宋" w:cs="仿宋"/>
                <w:bCs/>
                <w:color w:val="auto"/>
                <w:sz w:val="24"/>
                <w:szCs w:val="24"/>
              </w:rPr>
            </w:pPr>
            <w:r>
              <w:rPr>
                <w:rStyle w:val="97"/>
                <w:rFonts w:hint="eastAsia" w:ascii="仿宋" w:hAnsi="仿宋" w:eastAsia="仿宋" w:cs="仿宋"/>
                <w:bCs/>
                <w:color w:val="auto"/>
                <w:sz w:val="24"/>
                <w:szCs w:val="24"/>
              </w:rPr>
              <w:t>付款方式：</w:t>
            </w:r>
            <w:r>
              <w:rPr>
                <w:rStyle w:val="97"/>
                <w:rFonts w:hint="eastAsia" w:ascii="仿宋" w:hAnsi="仿宋" w:eastAsia="仿宋" w:cs="仿宋"/>
                <w:color w:val="auto"/>
                <w:sz w:val="24"/>
                <w:szCs w:val="24"/>
              </w:rPr>
              <w:t>按财务结算要求，通过银行划帐方式结算。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799" w:type="dxa"/>
            <w:vAlign w:val="center"/>
          </w:tcPr>
          <w:p>
            <w:pPr>
              <w:snapToGrid w:val="0"/>
              <w:jc w:val="center"/>
              <w:rPr>
                <w:rStyle w:val="97"/>
                <w:rFonts w:ascii="仿宋" w:hAnsi="仿宋" w:eastAsia="仿宋" w:cs="仿宋"/>
                <w:color w:val="auto"/>
                <w:sz w:val="24"/>
                <w:szCs w:val="24"/>
              </w:rPr>
            </w:pPr>
            <w:r>
              <w:rPr>
                <w:rStyle w:val="97"/>
                <w:rFonts w:ascii="仿宋" w:hAnsi="仿宋" w:eastAsia="仿宋" w:cs="仿宋"/>
                <w:color w:val="auto"/>
                <w:sz w:val="24"/>
                <w:szCs w:val="24"/>
              </w:rPr>
              <w:t>21</w:t>
            </w:r>
          </w:p>
        </w:tc>
        <w:tc>
          <w:tcPr>
            <w:tcW w:w="8689" w:type="dxa"/>
            <w:vAlign w:val="center"/>
          </w:tcPr>
          <w:p>
            <w:pPr>
              <w:snapToGrid w:val="0"/>
              <w:rPr>
                <w:rStyle w:val="97"/>
                <w:rFonts w:ascii="仿宋" w:hAnsi="仿宋" w:eastAsia="仿宋" w:cs="仿宋"/>
                <w:color w:val="auto"/>
                <w:sz w:val="24"/>
                <w:szCs w:val="24"/>
              </w:rPr>
            </w:pPr>
            <w:r>
              <w:rPr>
                <w:rStyle w:val="97"/>
                <w:rFonts w:hint="eastAsia" w:ascii="仿宋" w:hAnsi="仿宋" w:eastAsia="仿宋" w:cs="仿宋"/>
                <w:color w:val="auto"/>
                <w:sz w:val="24"/>
                <w:szCs w:val="24"/>
              </w:rPr>
              <w:t>投标文件的有效期：</w:t>
            </w:r>
            <w:r>
              <w:rPr>
                <w:rStyle w:val="97"/>
                <w:rFonts w:ascii="仿宋" w:hAnsi="仿宋" w:eastAsia="仿宋" w:cs="仿宋"/>
                <w:bCs/>
                <w:color w:val="auto"/>
                <w:sz w:val="24"/>
                <w:szCs w:val="24"/>
              </w:rPr>
              <w:t>90</w:t>
            </w:r>
            <w:r>
              <w:rPr>
                <w:rStyle w:val="97"/>
                <w:rFonts w:hint="eastAsia" w:ascii="仿宋" w:hAnsi="仿宋" w:eastAsia="仿宋" w:cs="仿宋"/>
                <w:bCs/>
                <w:color w:val="auto"/>
                <w:sz w:val="24"/>
                <w:szCs w:val="24"/>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99" w:type="dxa"/>
            <w:vAlign w:val="center"/>
          </w:tcPr>
          <w:p>
            <w:pPr>
              <w:snapToGrid w:val="0"/>
              <w:jc w:val="center"/>
              <w:rPr>
                <w:rStyle w:val="97"/>
                <w:rFonts w:ascii="仿宋" w:hAnsi="仿宋" w:eastAsia="仿宋" w:cs="仿宋"/>
                <w:color w:val="auto"/>
                <w:sz w:val="24"/>
                <w:szCs w:val="24"/>
              </w:rPr>
            </w:pPr>
            <w:r>
              <w:rPr>
                <w:rStyle w:val="97"/>
                <w:rFonts w:ascii="仿宋" w:hAnsi="仿宋" w:eastAsia="仿宋" w:cs="仿宋"/>
                <w:color w:val="auto"/>
                <w:sz w:val="24"/>
                <w:szCs w:val="24"/>
              </w:rPr>
              <w:t>22</w:t>
            </w:r>
          </w:p>
        </w:tc>
        <w:tc>
          <w:tcPr>
            <w:tcW w:w="8689" w:type="dxa"/>
            <w:vAlign w:val="center"/>
          </w:tcPr>
          <w:p>
            <w:pPr>
              <w:snapToGrid w:val="0"/>
              <w:rPr>
                <w:rStyle w:val="97"/>
                <w:rFonts w:ascii="仿宋" w:hAnsi="仿宋" w:eastAsia="仿宋" w:cs="仿宋"/>
                <w:color w:val="auto"/>
                <w:sz w:val="24"/>
                <w:szCs w:val="24"/>
              </w:rPr>
            </w:pPr>
            <w:r>
              <w:rPr>
                <w:rStyle w:val="97"/>
                <w:rFonts w:hint="eastAsia" w:ascii="仿宋" w:hAnsi="仿宋" w:eastAsia="仿宋" w:cs="仿宋"/>
                <w:color w:val="auto"/>
                <w:sz w:val="24"/>
                <w:szCs w:val="24"/>
              </w:rPr>
              <w:t>解释：</w:t>
            </w:r>
            <w:r>
              <w:rPr>
                <w:rStyle w:val="97"/>
                <w:rFonts w:hint="eastAsia" w:ascii="仿宋" w:hAnsi="仿宋" w:eastAsia="仿宋" w:cs="仿宋"/>
                <w:bCs/>
                <w:color w:val="auto"/>
                <w:sz w:val="24"/>
                <w:szCs w:val="24"/>
              </w:rPr>
              <w:t>本招标文件的解释权属于招标采购单位</w:t>
            </w:r>
            <w:r>
              <w:rPr>
                <w:rStyle w:val="97"/>
                <w:rFonts w:hint="eastAsia" w:ascii="仿宋" w:hAnsi="仿宋" w:eastAsia="仿宋" w:cs="仿宋"/>
                <w:color w:val="auto"/>
                <w:sz w:val="24"/>
                <w:szCs w:val="24"/>
              </w:rPr>
              <w:t>。</w:t>
            </w:r>
          </w:p>
        </w:tc>
      </w:tr>
    </w:tbl>
    <w:p>
      <w:pPr>
        <w:spacing w:line="360" w:lineRule="auto"/>
        <w:ind w:firstLine="523" w:firstLineChars="217"/>
        <w:rPr>
          <w:rFonts w:ascii="仿宋" w:hAnsi="仿宋" w:eastAsia="仿宋" w:cs="仿宋"/>
          <w:b/>
          <w:color w:val="auto"/>
          <w:sz w:val="24"/>
          <w:szCs w:val="24"/>
        </w:rPr>
      </w:pPr>
      <w:r>
        <w:rPr>
          <w:rFonts w:hint="eastAsia" w:ascii="仿宋" w:hAnsi="仿宋" w:eastAsia="仿宋" w:cs="仿宋"/>
          <w:b/>
          <w:color w:val="auto"/>
          <w:sz w:val="24"/>
          <w:szCs w:val="24"/>
        </w:rPr>
        <w:t>一、适用范围</w:t>
      </w:r>
    </w:p>
    <w:p>
      <w:pPr>
        <w:spacing w:line="360" w:lineRule="auto"/>
        <w:ind w:firstLine="520" w:firstLineChars="217"/>
        <w:rPr>
          <w:rFonts w:ascii="仿宋" w:hAnsi="仿宋" w:eastAsia="仿宋" w:cs="仿宋"/>
          <w:color w:val="auto"/>
          <w:sz w:val="24"/>
          <w:szCs w:val="24"/>
        </w:rPr>
      </w:pPr>
      <w:r>
        <w:rPr>
          <w:rFonts w:hint="eastAsia" w:ascii="仿宋" w:hAnsi="仿宋" w:eastAsia="仿宋" w:cs="仿宋"/>
          <w:color w:val="auto"/>
          <w:sz w:val="24"/>
          <w:szCs w:val="24"/>
        </w:rPr>
        <w:t>本招标文件仅适用于本项目的招标、评标、定标、验收、合同履约、付款等（法律、法规另有规定的，从其规定）。</w:t>
      </w:r>
    </w:p>
    <w:p>
      <w:pPr>
        <w:spacing w:line="360" w:lineRule="auto"/>
        <w:ind w:firstLine="523" w:firstLineChars="217"/>
        <w:rPr>
          <w:rFonts w:ascii="仿宋" w:hAnsi="仿宋" w:eastAsia="仿宋" w:cs="仿宋"/>
          <w:b/>
          <w:bCs/>
          <w:color w:val="auto"/>
          <w:sz w:val="24"/>
          <w:szCs w:val="24"/>
        </w:rPr>
      </w:pPr>
      <w:r>
        <w:rPr>
          <w:rFonts w:hint="eastAsia" w:ascii="仿宋" w:hAnsi="仿宋" w:eastAsia="仿宋" w:cs="仿宋"/>
          <w:b/>
          <w:bCs/>
          <w:color w:val="auto"/>
          <w:sz w:val="24"/>
          <w:szCs w:val="24"/>
        </w:rPr>
        <w:t>二、定义</w:t>
      </w:r>
    </w:p>
    <w:p>
      <w:pPr>
        <w:snapToGrid w:val="0"/>
        <w:spacing w:line="360" w:lineRule="auto"/>
        <w:ind w:firstLine="573"/>
        <w:jc w:val="left"/>
        <w:rPr>
          <w:rFonts w:ascii="仿宋" w:hAnsi="仿宋" w:eastAsia="仿宋" w:cs="仿宋"/>
          <w:color w:val="auto"/>
          <w:sz w:val="24"/>
          <w:szCs w:val="24"/>
        </w:rPr>
      </w:pPr>
      <w:r>
        <w:rPr>
          <w:rFonts w:hint="eastAsia" w:ascii="仿宋" w:hAnsi="仿宋" w:eastAsia="仿宋" w:cs="仿宋"/>
          <w:color w:val="auto"/>
          <w:sz w:val="24"/>
          <w:szCs w:val="24"/>
        </w:rPr>
        <w:t>（一）“招标方”系指组织本次招标的</w:t>
      </w:r>
      <w:r>
        <w:rPr>
          <w:rFonts w:hint="eastAsia" w:ascii="仿宋" w:hAnsi="仿宋" w:eastAsia="仿宋" w:cs="仿宋"/>
          <w:color w:val="auto"/>
          <w:sz w:val="24"/>
          <w:szCs w:val="24"/>
          <w:lang w:eastAsia="zh-CN"/>
        </w:rPr>
        <w:t>欧邦工程管理集团有限公司</w:t>
      </w:r>
      <w:r>
        <w:rPr>
          <w:rFonts w:hint="eastAsia" w:ascii="仿宋" w:hAnsi="仿宋" w:eastAsia="仿宋" w:cs="仿宋"/>
          <w:color w:val="auto"/>
          <w:sz w:val="24"/>
          <w:szCs w:val="24"/>
        </w:rPr>
        <w:t>。</w:t>
      </w:r>
    </w:p>
    <w:p>
      <w:pPr>
        <w:snapToGrid w:val="0"/>
        <w:spacing w:line="360" w:lineRule="auto"/>
        <w:ind w:firstLine="573"/>
        <w:jc w:val="left"/>
        <w:rPr>
          <w:rFonts w:ascii="仿宋" w:hAnsi="仿宋" w:eastAsia="仿宋" w:cs="仿宋"/>
          <w:color w:val="auto"/>
          <w:sz w:val="24"/>
          <w:szCs w:val="24"/>
        </w:rPr>
      </w:pPr>
      <w:r>
        <w:rPr>
          <w:rFonts w:hint="eastAsia" w:ascii="仿宋" w:hAnsi="仿宋" w:eastAsia="仿宋" w:cs="仿宋"/>
          <w:color w:val="auto"/>
          <w:sz w:val="24"/>
          <w:szCs w:val="24"/>
        </w:rPr>
        <w:t>（二）“投标人”系指向招标方提交投标文件的单位。</w:t>
      </w:r>
    </w:p>
    <w:p>
      <w:pPr>
        <w:snapToGrid w:val="0"/>
        <w:spacing w:line="360" w:lineRule="auto"/>
        <w:ind w:firstLine="573"/>
        <w:jc w:val="left"/>
        <w:rPr>
          <w:rFonts w:ascii="仿宋" w:hAnsi="仿宋" w:eastAsia="仿宋" w:cs="仿宋"/>
          <w:color w:val="auto"/>
          <w:sz w:val="24"/>
          <w:szCs w:val="24"/>
        </w:rPr>
      </w:pPr>
      <w:r>
        <w:rPr>
          <w:rFonts w:hint="eastAsia" w:ascii="仿宋" w:hAnsi="仿宋" w:eastAsia="仿宋" w:cs="仿宋"/>
          <w:color w:val="auto"/>
          <w:sz w:val="24"/>
          <w:szCs w:val="24"/>
        </w:rPr>
        <w:t>（三）“采购人”系指委托招标方采购本次项目的建德市数字信息有限责任公司。</w:t>
      </w:r>
    </w:p>
    <w:p>
      <w:pPr>
        <w:snapToGrid w:val="0"/>
        <w:spacing w:line="360" w:lineRule="auto"/>
        <w:ind w:firstLine="573"/>
        <w:jc w:val="left"/>
        <w:rPr>
          <w:rFonts w:ascii="仿宋" w:hAnsi="仿宋" w:eastAsia="仿宋" w:cs="仿宋"/>
          <w:color w:val="auto"/>
          <w:sz w:val="24"/>
          <w:szCs w:val="24"/>
        </w:rPr>
      </w:pPr>
      <w:r>
        <w:rPr>
          <w:rFonts w:hint="eastAsia" w:ascii="仿宋" w:hAnsi="仿宋" w:eastAsia="仿宋" w:cs="仿宋"/>
          <w:color w:val="auto"/>
          <w:sz w:val="24"/>
          <w:szCs w:val="24"/>
        </w:rPr>
        <w:t>（四）“产品”系指供方按招标文件规定，须向采购人提供的一切设备、备品备件、工具、手册及其它有关技术资料和材料。</w:t>
      </w:r>
    </w:p>
    <w:p>
      <w:pPr>
        <w:snapToGrid w:val="0"/>
        <w:spacing w:line="360" w:lineRule="auto"/>
        <w:ind w:firstLine="573"/>
        <w:jc w:val="left"/>
        <w:rPr>
          <w:rFonts w:ascii="仿宋" w:hAnsi="仿宋" w:eastAsia="仿宋" w:cs="仿宋"/>
          <w:color w:val="auto"/>
          <w:sz w:val="24"/>
          <w:szCs w:val="24"/>
        </w:rPr>
      </w:pPr>
      <w:r>
        <w:rPr>
          <w:rFonts w:hint="eastAsia" w:ascii="仿宋" w:hAnsi="仿宋" w:eastAsia="仿宋" w:cs="仿宋"/>
          <w:color w:val="auto"/>
          <w:sz w:val="24"/>
          <w:szCs w:val="24"/>
        </w:rPr>
        <w:t>（五）“服务”系指招标文件规定投标人须承担的供货、运输、安装、调试、技术协助、校准、培训、技术指导以及其他类似的义务。</w:t>
      </w:r>
    </w:p>
    <w:p>
      <w:pPr>
        <w:snapToGrid w:val="0"/>
        <w:spacing w:line="360" w:lineRule="auto"/>
        <w:ind w:firstLine="573"/>
        <w:jc w:val="left"/>
        <w:rPr>
          <w:rFonts w:ascii="仿宋" w:hAnsi="仿宋" w:eastAsia="仿宋" w:cs="仿宋"/>
          <w:color w:val="auto"/>
          <w:sz w:val="24"/>
          <w:szCs w:val="24"/>
        </w:rPr>
      </w:pPr>
      <w:r>
        <w:rPr>
          <w:rFonts w:hint="eastAsia" w:ascii="仿宋" w:hAnsi="仿宋" w:eastAsia="仿宋" w:cs="仿宋"/>
          <w:color w:val="auto"/>
          <w:sz w:val="24"/>
          <w:szCs w:val="24"/>
        </w:rPr>
        <w:t>（六）“项目”系指投标人按招标文件规定向采购人提供的产品和服务。</w:t>
      </w:r>
    </w:p>
    <w:p>
      <w:pPr>
        <w:spacing w:line="360" w:lineRule="auto"/>
        <w:ind w:firstLine="523" w:firstLineChars="217"/>
        <w:rPr>
          <w:rFonts w:ascii="仿宋" w:hAnsi="仿宋" w:eastAsia="仿宋" w:cs="仿宋"/>
          <w:b/>
          <w:color w:val="auto"/>
          <w:sz w:val="24"/>
          <w:szCs w:val="24"/>
        </w:rPr>
      </w:pPr>
      <w:r>
        <w:rPr>
          <w:rFonts w:hint="eastAsia" w:ascii="仿宋" w:hAnsi="仿宋" w:eastAsia="仿宋" w:cs="仿宋"/>
          <w:b/>
          <w:color w:val="auto"/>
          <w:sz w:val="24"/>
          <w:szCs w:val="24"/>
        </w:rPr>
        <w:t>三、投标委托</w:t>
      </w:r>
    </w:p>
    <w:p>
      <w:pPr>
        <w:spacing w:line="360" w:lineRule="auto"/>
        <w:ind w:firstLine="537" w:firstLineChars="224"/>
        <w:rPr>
          <w:rFonts w:ascii="仿宋" w:hAnsi="仿宋" w:eastAsia="仿宋" w:cs="仿宋"/>
          <w:color w:val="auto"/>
          <w:sz w:val="24"/>
          <w:szCs w:val="24"/>
        </w:rPr>
      </w:pPr>
      <w:r>
        <w:rPr>
          <w:rFonts w:hint="eastAsia" w:ascii="仿宋" w:hAnsi="仿宋" w:eastAsia="仿宋" w:cs="仿宋"/>
          <w:color w:val="auto"/>
          <w:sz w:val="24"/>
          <w:szCs w:val="24"/>
        </w:rPr>
        <w:t>全权代表须携带有效身份证件。如全权代表不是法定代表人，须有法定代表人出具的授权委托书（格式见第九章附件八）。</w:t>
      </w:r>
    </w:p>
    <w:p>
      <w:pPr>
        <w:spacing w:line="360" w:lineRule="auto"/>
        <w:ind w:firstLine="523" w:firstLineChars="217"/>
        <w:rPr>
          <w:rFonts w:ascii="仿宋" w:hAnsi="仿宋" w:eastAsia="仿宋" w:cs="仿宋"/>
          <w:b/>
          <w:color w:val="auto"/>
          <w:sz w:val="24"/>
          <w:szCs w:val="24"/>
        </w:rPr>
      </w:pPr>
      <w:r>
        <w:rPr>
          <w:rFonts w:hint="eastAsia" w:ascii="仿宋" w:hAnsi="仿宋" w:eastAsia="仿宋" w:cs="仿宋"/>
          <w:b/>
          <w:color w:val="auto"/>
          <w:sz w:val="24"/>
          <w:szCs w:val="24"/>
        </w:rPr>
        <w:t>四、投标费用</w:t>
      </w:r>
    </w:p>
    <w:p>
      <w:pPr>
        <w:spacing w:line="360" w:lineRule="auto"/>
        <w:ind w:firstLine="570"/>
        <w:jc w:val="left"/>
        <w:rPr>
          <w:rFonts w:ascii="仿宋" w:hAnsi="仿宋" w:eastAsia="仿宋" w:cs="仿宋"/>
          <w:color w:val="auto"/>
          <w:sz w:val="24"/>
          <w:szCs w:val="24"/>
        </w:rPr>
      </w:pPr>
      <w:r>
        <w:rPr>
          <w:rFonts w:hint="eastAsia" w:ascii="仿宋" w:hAnsi="仿宋" w:eastAsia="仿宋" w:cs="仿宋"/>
          <w:color w:val="auto"/>
          <w:sz w:val="24"/>
          <w:szCs w:val="24"/>
        </w:rPr>
        <w:t>无论投标过程和结果如何，投标方自行承担与投标有关的全部费用（招标文件有其他相反规定除外）。</w:t>
      </w:r>
    </w:p>
    <w:p>
      <w:pPr>
        <w:spacing w:line="360" w:lineRule="auto"/>
        <w:ind w:firstLine="570"/>
        <w:jc w:val="left"/>
        <w:rPr>
          <w:rFonts w:ascii="仿宋" w:hAnsi="仿宋" w:eastAsia="仿宋" w:cs="仿宋"/>
          <w:b/>
          <w:color w:val="auto"/>
          <w:sz w:val="24"/>
          <w:szCs w:val="24"/>
        </w:rPr>
      </w:pPr>
      <w:r>
        <w:rPr>
          <w:rFonts w:hint="eastAsia" w:ascii="仿宋" w:hAnsi="仿宋" w:eastAsia="仿宋" w:cs="仿宋"/>
          <w:b/>
          <w:color w:val="auto"/>
          <w:sz w:val="24"/>
          <w:szCs w:val="24"/>
        </w:rPr>
        <w:t>五、投标报价及修正</w:t>
      </w:r>
    </w:p>
    <w:p>
      <w:pPr>
        <w:snapToGrid w:val="0"/>
        <w:spacing w:line="360" w:lineRule="auto"/>
        <w:ind w:firstLine="360" w:firstLineChars="150"/>
        <w:jc w:val="left"/>
        <w:rPr>
          <w:rFonts w:ascii="仿宋" w:hAnsi="仿宋" w:eastAsia="仿宋" w:cs="仿宋"/>
          <w:color w:val="auto"/>
          <w:sz w:val="24"/>
          <w:szCs w:val="24"/>
        </w:rPr>
      </w:pPr>
      <w:r>
        <w:rPr>
          <w:rFonts w:hint="eastAsia" w:ascii="仿宋" w:hAnsi="仿宋" w:eastAsia="仿宋" w:cs="仿宋"/>
          <w:color w:val="auto"/>
          <w:sz w:val="24"/>
          <w:szCs w:val="24"/>
        </w:rPr>
        <w:t>（一）投标报价以人民币为结算货币。</w:t>
      </w:r>
    </w:p>
    <w:p>
      <w:pPr>
        <w:snapToGrid w:val="0"/>
        <w:spacing w:line="360" w:lineRule="auto"/>
        <w:ind w:firstLine="360" w:firstLineChars="150"/>
        <w:jc w:val="left"/>
        <w:rPr>
          <w:rFonts w:ascii="仿宋" w:hAnsi="仿宋" w:eastAsia="仿宋" w:cs="仿宋"/>
          <w:color w:val="auto"/>
          <w:sz w:val="24"/>
          <w:szCs w:val="24"/>
        </w:rPr>
      </w:pPr>
      <w:r>
        <w:rPr>
          <w:rFonts w:hint="eastAsia" w:ascii="仿宋" w:hAnsi="仿宋" w:eastAsia="仿宋" w:cs="仿宋"/>
          <w:color w:val="auto"/>
          <w:sz w:val="24"/>
          <w:szCs w:val="24"/>
        </w:rPr>
        <w:t>（二）供应商应按招标文件要求认真填写《开标一览表》，开标时，投标文件中开标一览表内容与投标文件中明细表内容不一致的，以开标一览表为准。</w:t>
      </w:r>
    </w:p>
    <w:p>
      <w:pPr>
        <w:snapToGrid w:val="0"/>
        <w:spacing w:line="360" w:lineRule="auto"/>
        <w:ind w:firstLine="360" w:firstLineChars="150"/>
        <w:jc w:val="left"/>
        <w:rPr>
          <w:rFonts w:ascii="仿宋" w:hAnsi="仿宋" w:eastAsia="仿宋" w:cs="仿宋"/>
          <w:color w:val="auto"/>
          <w:sz w:val="24"/>
          <w:szCs w:val="24"/>
        </w:rPr>
      </w:pPr>
      <w:r>
        <w:rPr>
          <w:rFonts w:hint="eastAsia" w:ascii="仿宋" w:hAnsi="仿宋" w:eastAsia="仿宋" w:cs="仿宋"/>
          <w:color w:val="auto"/>
          <w:sz w:val="24"/>
          <w:szCs w:val="24"/>
        </w:rPr>
        <w:t>投标文件的大写金额和小写金额不一致的，以大写金额为准；总价金额与按单价汇总金额不一致的，以单价金额计算结果为准；单价金额小数点有明显错位的，以总价为准，并修改单价；对不同文字文本投档文件的解释发生异议的，以中文文本为准。</w:t>
      </w:r>
    </w:p>
    <w:p>
      <w:pPr>
        <w:snapToGrid w:val="0"/>
        <w:spacing w:line="360" w:lineRule="auto"/>
        <w:ind w:firstLine="360" w:firstLineChars="150"/>
        <w:jc w:val="left"/>
        <w:rPr>
          <w:rFonts w:ascii="仿宋" w:hAnsi="仿宋" w:eastAsia="仿宋" w:cs="仿宋"/>
          <w:color w:val="auto"/>
          <w:sz w:val="24"/>
          <w:szCs w:val="24"/>
        </w:rPr>
      </w:pPr>
      <w:r>
        <w:rPr>
          <w:rFonts w:hint="eastAsia" w:ascii="仿宋" w:hAnsi="仿宋" w:eastAsia="仿宋" w:cs="仿宋"/>
          <w:color w:val="auto"/>
          <w:sz w:val="24"/>
          <w:szCs w:val="24"/>
        </w:rPr>
        <w:t>（三）供应商的报价是供应商响应招标项目要求的全部工作内容的价格体现，包括</w:t>
      </w:r>
      <w:r>
        <w:rPr>
          <w:rFonts w:hint="eastAsia" w:ascii="仿宋" w:hAnsi="仿宋" w:eastAsia="仿宋" w:cs="仿宋"/>
          <w:color w:val="auto"/>
          <w:sz w:val="24"/>
          <w:szCs w:val="24"/>
          <w:lang w:val="zh-CN"/>
        </w:rPr>
        <w:t>包括系统设计、开发、数据同步、整理、人工费、验收、培训、辅助工作及售后服务等</w:t>
      </w:r>
      <w:r>
        <w:rPr>
          <w:rFonts w:hint="eastAsia" w:ascii="仿宋" w:hAnsi="仿宋" w:eastAsia="仿宋" w:cs="仿宋"/>
          <w:color w:val="auto"/>
          <w:sz w:val="24"/>
          <w:szCs w:val="24"/>
        </w:rPr>
        <w:t>完成整个项目所需的一切费用，以及招标文件未列明、而投标单位认为必需的费用也需列入报价。</w:t>
      </w:r>
    </w:p>
    <w:p>
      <w:pPr>
        <w:snapToGrid w:val="0"/>
        <w:spacing w:line="360" w:lineRule="auto"/>
        <w:ind w:firstLine="360" w:firstLineChars="150"/>
        <w:jc w:val="left"/>
        <w:rPr>
          <w:rFonts w:ascii="仿宋" w:hAnsi="仿宋" w:eastAsia="仿宋" w:cs="仿宋"/>
          <w:color w:val="auto"/>
          <w:sz w:val="24"/>
          <w:szCs w:val="24"/>
        </w:rPr>
      </w:pPr>
      <w:r>
        <w:rPr>
          <w:rFonts w:hint="eastAsia" w:ascii="仿宋" w:hAnsi="仿宋" w:eastAsia="仿宋" w:cs="仿宋"/>
          <w:color w:val="auto"/>
          <w:sz w:val="24"/>
          <w:szCs w:val="24"/>
        </w:rPr>
        <w:t>（四）供应商只允许有一个报价，并且在合同履行过程中是固定不变的，任何有选择或可调整的报价将不予接受，并按无效投标处理。</w:t>
      </w:r>
    </w:p>
    <w:p>
      <w:pPr>
        <w:spacing w:line="360" w:lineRule="auto"/>
        <w:ind w:firstLine="472" w:firstLineChars="196"/>
        <w:jc w:val="left"/>
        <w:rPr>
          <w:rFonts w:ascii="仿宋" w:hAnsi="仿宋" w:eastAsia="仿宋" w:cs="仿宋"/>
          <w:b/>
          <w:color w:val="auto"/>
          <w:sz w:val="24"/>
          <w:szCs w:val="24"/>
        </w:rPr>
      </w:pPr>
      <w:r>
        <w:rPr>
          <w:rFonts w:hint="eastAsia" w:ascii="仿宋" w:hAnsi="仿宋" w:eastAsia="仿宋" w:cs="仿宋"/>
          <w:b/>
          <w:color w:val="auto"/>
          <w:sz w:val="24"/>
          <w:szCs w:val="24"/>
        </w:rPr>
        <w:t>六、投标有效期</w:t>
      </w:r>
    </w:p>
    <w:p>
      <w:pPr>
        <w:spacing w:line="360" w:lineRule="auto"/>
        <w:ind w:firstLine="480" w:firstLineChars="200"/>
        <w:jc w:val="left"/>
        <w:rPr>
          <w:rFonts w:ascii="仿宋" w:hAnsi="仿宋" w:eastAsia="仿宋" w:cs="仿宋"/>
          <w:b/>
          <w:color w:val="auto"/>
          <w:sz w:val="24"/>
          <w:szCs w:val="24"/>
        </w:rPr>
      </w:pPr>
      <w:r>
        <w:rPr>
          <w:rFonts w:hint="eastAsia" w:ascii="仿宋" w:hAnsi="仿宋" w:eastAsia="仿宋" w:cs="仿宋"/>
          <w:color w:val="auto"/>
          <w:sz w:val="24"/>
          <w:szCs w:val="24"/>
        </w:rPr>
        <w:t>〈一〉投标文件从开标之日起，投标有效期为</w:t>
      </w:r>
      <w:r>
        <w:rPr>
          <w:rFonts w:ascii="仿宋" w:hAnsi="仿宋" w:eastAsia="仿宋" w:cs="仿宋"/>
          <w:b/>
          <w:color w:val="auto"/>
          <w:sz w:val="24"/>
          <w:szCs w:val="24"/>
        </w:rPr>
        <w:t>90</w:t>
      </w:r>
      <w:r>
        <w:rPr>
          <w:rFonts w:hint="eastAsia" w:ascii="仿宋" w:hAnsi="仿宋" w:eastAsia="仿宋" w:cs="仿宋"/>
          <w:b/>
          <w:color w:val="auto"/>
          <w:sz w:val="24"/>
          <w:szCs w:val="24"/>
        </w:rPr>
        <w:t>日</w:t>
      </w:r>
      <w:r>
        <w:rPr>
          <w:rFonts w:hint="eastAsia" w:ascii="仿宋" w:hAnsi="仿宋" w:eastAsia="仿宋" w:cs="仿宋"/>
          <w:color w:val="auto"/>
          <w:sz w:val="24"/>
          <w:szCs w:val="24"/>
        </w:rPr>
        <w:t>。</w:t>
      </w:r>
    </w:p>
    <w:p>
      <w:pPr>
        <w:spacing w:line="360" w:lineRule="auto"/>
        <w:ind w:firstLine="480" w:firstLineChars="200"/>
        <w:jc w:val="left"/>
        <w:rPr>
          <w:rFonts w:ascii="仿宋" w:hAnsi="仿宋" w:eastAsia="仿宋" w:cs="仿宋"/>
          <w:b/>
          <w:color w:val="auto"/>
          <w:sz w:val="24"/>
          <w:szCs w:val="24"/>
        </w:rPr>
      </w:pPr>
      <w:r>
        <w:rPr>
          <w:rFonts w:hint="eastAsia" w:ascii="仿宋" w:hAnsi="仿宋" w:eastAsia="仿宋" w:cs="仿宋"/>
          <w:color w:val="auto"/>
          <w:sz w:val="24"/>
          <w:szCs w:val="24"/>
        </w:rPr>
        <w:t>〈二〉特殊情况下，招标方可与投标方协商延缓投标书的有效期，这种要求和答复均以书面形式进行。</w:t>
      </w:r>
    </w:p>
    <w:p>
      <w:pPr>
        <w:spacing w:line="360" w:lineRule="auto"/>
        <w:ind w:firstLine="482" w:firstLineChars="200"/>
        <w:jc w:val="left"/>
        <w:rPr>
          <w:rFonts w:ascii="仿宋" w:hAnsi="仿宋" w:eastAsia="仿宋" w:cs="仿宋"/>
          <w:b/>
          <w:color w:val="auto"/>
          <w:sz w:val="24"/>
          <w:szCs w:val="24"/>
        </w:rPr>
      </w:pPr>
      <w:bookmarkStart w:id="0" w:name="_Toc177870542"/>
      <w:r>
        <w:rPr>
          <w:rFonts w:hint="eastAsia" w:ascii="仿宋" w:hAnsi="仿宋" w:eastAsia="仿宋" w:cs="仿宋"/>
          <w:b/>
          <w:color w:val="auto"/>
          <w:sz w:val="24"/>
          <w:szCs w:val="24"/>
        </w:rPr>
        <w:t>七、特别说明：</w:t>
      </w:r>
      <w:bookmarkEnd w:id="0"/>
    </w:p>
    <w:p>
      <w:pPr>
        <w:pStyle w:val="26"/>
        <w:snapToGrid w:val="0"/>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1</w:t>
      </w:r>
      <w:r>
        <w:rPr>
          <w:rFonts w:hint="eastAsia" w:ascii="仿宋" w:hAnsi="仿宋" w:eastAsia="仿宋" w:cs="仿宋"/>
          <w:color w:val="auto"/>
          <w:sz w:val="24"/>
          <w:szCs w:val="24"/>
        </w:rPr>
        <w:t>、投标人不得为本次采购进行设计或编制规范和其他文件的当事人；也不得直接或间接地与为本次采购进行设计或编制规范、其他文件的个人、企业、采购代理机构或其附属机构有任何关联。</w:t>
      </w:r>
    </w:p>
    <w:p>
      <w:pPr>
        <w:pStyle w:val="26"/>
        <w:snapToGrid w:val="0"/>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2</w:t>
      </w:r>
      <w:r>
        <w:rPr>
          <w:rFonts w:hint="eastAsia" w:ascii="仿宋" w:hAnsi="仿宋" w:eastAsia="仿宋" w:cs="仿宋"/>
          <w:color w:val="auto"/>
          <w:sz w:val="24"/>
          <w:szCs w:val="24"/>
        </w:rPr>
        <w:t>、投标人投标所使用的资格、信誉、荣誉、业绩与企业认证必须为本法人所拥有。投标人投标所使用的采购项目实施人员可以为其控股公司的工作人员。</w:t>
      </w:r>
    </w:p>
    <w:p>
      <w:pPr>
        <w:pStyle w:val="26"/>
        <w:snapToGrid w:val="0"/>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3</w:t>
      </w:r>
      <w:r>
        <w:rPr>
          <w:rFonts w:hint="eastAsia" w:ascii="仿宋" w:hAnsi="仿宋" w:eastAsia="仿宋" w:cs="仿宋"/>
          <w:color w:val="auto"/>
          <w:sz w:val="24"/>
          <w:szCs w:val="24"/>
        </w:rPr>
        <w:t>、投标人在投标活动中提供任何虚假材料或从事其他违法活动的</w:t>
      </w:r>
      <w:r>
        <w:rPr>
          <w:rFonts w:ascii="仿宋" w:hAnsi="仿宋" w:eastAsia="仿宋" w:cs="仿宋"/>
          <w:color w:val="auto"/>
          <w:sz w:val="24"/>
          <w:szCs w:val="24"/>
        </w:rPr>
        <w:t>,</w:t>
      </w:r>
      <w:r>
        <w:rPr>
          <w:rFonts w:hint="eastAsia" w:ascii="仿宋" w:hAnsi="仿宋" w:eastAsia="仿宋" w:cs="仿宋"/>
          <w:color w:val="auto"/>
          <w:sz w:val="24"/>
          <w:szCs w:val="24"/>
        </w:rPr>
        <w:t>其投标无效，并报监管部门查处；中标后发现的</w:t>
      </w:r>
      <w:r>
        <w:rPr>
          <w:rFonts w:ascii="仿宋" w:hAnsi="仿宋" w:eastAsia="仿宋" w:cs="仿宋"/>
          <w:color w:val="auto"/>
          <w:sz w:val="24"/>
          <w:szCs w:val="24"/>
        </w:rPr>
        <w:t>,</w:t>
      </w:r>
      <w:r>
        <w:rPr>
          <w:rFonts w:hint="eastAsia" w:ascii="仿宋" w:hAnsi="仿宋" w:eastAsia="仿宋" w:cs="仿宋"/>
          <w:color w:val="auto"/>
          <w:sz w:val="24"/>
          <w:szCs w:val="24"/>
        </w:rPr>
        <w:t>中标人须依照《中华人民共和国消费者权益保护法》第</w:t>
      </w:r>
      <w:r>
        <w:rPr>
          <w:rFonts w:ascii="仿宋" w:hAnsi="仿宋" w:eastAsia="仿宋" w:cs="仿宋"/>
          <w:color w:val="auto"/>
          <w:sz w:val="24"/>
          <w:szCs w:val="24"/>
        </w:rPr>
        <w:t>49</w:t>
      </w:r>
      <w:r>
        <w:rPr>
          <w:rFonts w:hint="eastAsia" w:ascii="仿宋" w:hAnsi="仿宋" w:eastAsia="仿宋" w:cs="仿宋"/>
          <w:color w:val="auto"/>
          <w:sz w:val="24"/>
          <w:szCs w:val="24"/>
        </w:rPr>
        <w:t>条之规定双倍赔偿采购人。且民事赔偿并不免除违法投标人的行政与刑事责任。</w:t>
      </w:r>
    </w:p>
    <w:p>
      <w:pPr>
        <w:widowControl/>
        <w:spacing w:line="360" w:lineRule="auto"/>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4</w:t>
      </w:r>
      <w:r>
        <w:rPr>
          <w:rFonts w:hint="eastAsia" w:ascii="仿宋" w:hAnsi="仿宋" w:eastAsia="仿宋" w:cs="仿宋"/>
          <w:color w:val="auto"/>
          <w:sz w:val="24"/>
          <w:szCs w:val="24"/>
        </w:rPr>
        <w:t>、多家供应商参加投标，如其中两家或两家以上供应商的法定代表人为同一人或相互之间存在投资关系且达到控股的，同时提供的是同一品牌产品的，应当按一个供应商认定。评审时，取其中通过资格审查后的报价最低一家为有效供应商；当报价相同时，则以技术标最优一家为有效供应商；均相同时，由评标委员会集体决定。</w:t>
      </w:r>
    </w:p>
    <w:p>
      <w:pPr>
        <w:widowControl/>
        <w:spacing w:line="360" w:lineRule="auto"/>
        <w:ind w:firstLine="240" w:firstLineChars="100"/>
        <w:jc w:val="left"/>
        <w:rPr>
          <w:rFonts w:ascii="仿宋" w:hAnsi="仿宋" w:eastAsia="仿宋" w:cs="仿宋"/>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多家代理商或经销商参加投标，如其中两家或两家以上供应商存在分级代理或代销关系，且提供的是其所代理品牌产品的，评审时，按上述规定确定其中一家为有效供应商。</w:t>
      </w:r>
    </w:p>
    <w:p>
      <w:pPr>
        <w:pStyle w:val="26"/>
        <w:snapToGrid w:val="0"/>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同一家原生产厂商授权多家代理商参加投标的，评审时，按上述规定确定其中一家为有效供应商。</w:t>
      </w:r>
    </w:p>
    <w:p>
      <w:pPr>
        <w:pStyle w:val="26"/>
        <w:snapToGrid w:val="0"/>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5</w:t>
      </w:r>
      <w:r>
        <w:rPr>
          <w:rFonts w:hint="eastAsia" w:ascii="仿宋" w:hAnsi="仿宋" w:eastAsia="仿宋" w:cs="仿宋"/>
          <w:color w:val="auto"/>
          <w:sz w:val="24"/>
          <w:szCs w:val="24"/>
        </w:rPr>
        <w:t>、投标人应仔细阅读招标文件的所有内容，按照招标文件的要求提交投标文件。投标文件应对招标文件的要求作出实质性响应，并对所提供的全部资料的真实性承担法律责任。</w:t>
      </w:r>
    </w:p>
    <w:p>
      <w:pPr>
        <w:widowControl/>
        <w:spacing w:line="360" w:lineRule="auto"/>
        <w:ind w:firstLine="241" w:firstLineChars="100"/>
        <w:jc w:val="left"/>
        <w:rPr>
          <w:rFonts w:ascii="仿宋" w:hAnsi="仿宋" w:eastAsia="仿宋" w:cs="仿宋"/>
          <w:b/>
          <w:color w:val="auto"/>
          <w:sz w:val="24"/>
          <w:szCs w:val="24"/>
        </w:rPr>
      </w:pPr>
      <w:bookmarkStart w:id="1" w:name="_Toc177870543"/>
      <w:r>
        <w:rPr>
          <w:rFonts w:ascii="仿宋" w:hAnsi="仿宋" w:eastAsia="仿宋" w:cs="仿宋"/>
          <w:b/>
          <w:color w:val="auto"/>
          <w:sz w:val="24"/>
          <w:szCs w:val="24"/>
        </w:rPr>
        <w:t xml:space="preserve">  </w:t>
      </w:r>
      <w:r>
        <w:rPr>
          <w:rFonts w:hint="eastAsia" w:ascii="仿宋" w:hAnsi="仿宋" w:eastAsia="仿宋" w:cs="仿宋"/>
          <w:b/>
          <w:color w:val="auto"/>
          <w:sz w:val="24"/>
          <w:szCs w:val="24"/>
        </w:rPr>
        <w:t>八、质疑</w:t>
      </w:r>
      <w:bookmarkEnd w:id="1"/>
    </w:p>
    <w:p>
      <w:pPr>
        <w:widowControl/>
        <w:spacing w:line="360" w:lineRule="auto"/>
        <w:ind w:firstLine="240" w:firstLineChars="100"/>
        <w:jc w:val="left"/>
        <w:rPr>
          <w:rFonts w:ascii="仿宋" w:hAnsi="仿宋" w:eastAsia="仿宋" w:cs="仿宋"/>
          <w:color w:val="auto"/>
          <w:sz w:val="24"/>
          <w:szCs w:val="24"/>
        </w:rPr>
      </w:pPr>
      <w:r>
        <w:rPr>
          <w:rFonts w:ascii="仿宋" w:hAnsi="仿宋" w:eastAsia="仿宋" w:cs="仿宋"/>
          <w:color w:val="auto"/>
          <w:sz w:val="24"/>
          <w:szCs w:val="24"/>
        </w:rPr>
        <w:t xml:space="preserve">  1</w:t>
      </w:r>
      <w:r>
        <w:rPr>
          <w:rFonts w:hint="eastAsia" w:ascii="仿宋" w:hAnsi="仿宋" w:eastAsia="仿宋" w:cs="仿宋"/>
          <w:color w:val="auto"/>
          <w:sz w:val="24"/>
          <w:szCs w:val="24"/>
        </w:rPr>
        <w:t>、投标人认为招标文件、招标过程和中标结果使自己的合法权益受到损害的，应当在知道或者应知其权益受到损害之日起七个工作日内，以书面形式向</w:t>
      </w:r>
      <w:r>
        <w:rPr>
          <w:rFonts w:hint="eastAsia" w:ascii="仿宋" w:hAnsi="仿宋" w:eastAsia="仿宋" w:cs="仿宋"/>
          <w:color w:val="auto"/>
          <w:sz w:val="24"/>
          <w:szCs w:val="24"/>
          <w:lang w:eastAsia="zh-CN"/>
        </w:rPr>
        <w:t>欧邦工程管理集团有限公司</w:t>
      </w:r>
      <w:r>
        <w:rPr>
          <w:rFonts w:hint="eastAsia" w:ascii="仿宋" w:hAnsi="仿宋" w:eastAsia="仿宋" w:cs="仿宋"/>
          <w:color w:val="auto"/>
          <w:sz w:val="24"/>
          <w:szCs w:val="24"/>
        </w:rPr>
        <w:t>提出质疑。</w:t>
      </w:r>
    </w:p>
    <w:p>
      <w:pPr>
        <w:pStyle w:val="3"/>
        <w:snapToGrid w:val="0"/>
        <w:spacing w:line="360" w:lineRule="auto"/>
        <w:ind w:firstLine="0"/>
        <w:rPr>
          <w:rFonts w:ascii="仿宋" w:hAnsi="仿宋" w:eastAsia="仿宋" w:cs="仿宋"/>
          <w:color w:val="auto"/>
          <w:sz w:val="24"/>
          <w:szCs w:val="24"/>
        </w:rPr>
      </w:pPr>
      <w:r>
        <w:rPr>
          <w:rFonts w:ascii="仿宋" w:hAnsi="仿宋" w:eastAsia="仿宋" w:cs="仿宋"/>
          <w:color w:val="auto"/>
          <w:sz w:val="24"/>
          <w:szCs w:val="24"/>
        </w:rPr>
        <w:t xml:space="preserve">    2</w:t>
      </w:r>
      <w:r>
        <w:rPr>
          <w:rFonts w:hint="eastAsia" w:ascii="仿宋" w:hAnsi="仿宋" w:eastAsia="仿宋" w:cs="仿宋"/>
          <w:color w:val="auto"/>
          <w:sz w:val="24"/>
          <w:szCs w:val="24"/>
        </w:rPr>
        <w:t>、投标人提出质疑期限的计算，依照下列规定办理：</w:t>
      </w:r>
    </w:p>
    <w:p>
      <w:pPr>
        <w:pStyle w:val="3"/>
        <w:snapToGrid w:val="0"/>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1</w:t>
      </w:r>
      <w:r>
        <w:rPr>
          <w:rFonts w:hint="eastAsia" w:ascii="仿宋" w:hAnsi="仿宋" w:eastAsia="仿宋" w:cs="仿宋"/>
          <w:color w:val="auto"/>
          <w:sz w:val="24"/>
          <w:szCs w:val="24"/>
        </w:rPr>
        <w:t>）对采购文件提出质疑的，应当在前附表规定的时间前提出。</w:t>
      </w:r>
    </w:p>
    <w:p>
      <w:pPr>
        <w:pStyle w:val="3"/>
        <w:snapToGrid w:val="0"/>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2</w:t>
      </w:r>
      <w:r>
        <w:rPr>
          <w:rFonts w:hint="eastAsia" w:ascii="仿宋" w:hAnsi="仿宋" w:eastAsia="仿宋" w:cs="仿宋"/>
          <w:color w:val="auto"/>
          <w:sz w:val="24"/>
          <w:szCs w:val="24"/>
        </w:rPr>
        <w:t>）对采购过程提出质疑的，自采购程序环节结束之日起计算。</w:t>
      </w:r>
    </w:p>
    <w:p>
      <w:pPr>
        <w:pStyle w:val="26"/>
        <w:snapToGrid w:val="0"/>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3</w:t>
      </w:r>
      <w:r>
        <w:rPr>
          <w:rFonts w:hint="eastAsia" w:ascii="仿宋" w:hAnsi="仿宋" w:eastAsia="仿宋" w:cs="仿宋"/>
          <w:color w:val="auto"/>
          <w:sz w:val="24"/>
          <w:szCs w:val="24"/>
        </w:rPr>
        <w:t>）对中标结果以及评标委员会组成人员提出质疑的，自中标结果公告之日起计算。</w:t>
      </w:r>
    </w:p>
    <w:p>
      <w:pPr>
        <w:widowControl/>
        <w:spacing w:line="360" w:lineRule="auto"/>
        <w:ind w:firstLine="480" w:firstLineChars="200"/>
        <w:jc w:val="left"/>
        <w:rPr>
          <w:rFonts w:ascii="仿宋" w:hAnsi="仿宋" w:eastAsia="仿宋" w:cs="仿宋"/>
          <w:color w:val="auto"/>
          <w:sz w:val="24"/>
          <w:szCs w:val="24"/>
        </w:rPr>
      </w:pPr>
      <w:r>
        <w:rPr>
          <w:rFonts w:ascii="仿宋" w:hAnsi="仿宋" w:eastAsia="仿宋" w:cs="仿宋"/>
          <w:color w:val="auto"/>
          <w:sz w:val="24"/>
          <w:szCs w:val="24"/>
        </w:rPr>
        <w:t>3.</w:t>
      </w:r>
      <w:r>
        <w:rPr>
          <w:rFonts w:hint="eastAsia" w:ascii="仿宋" w:hAnsi="仿宋" w:eastAsia="仿宋" w:cs="仿宋"/>
          <w:color w:val="auto"/>
          <w:sz w:val="24"/>
          <w:szCs w:val="24"/>
        </w:rPr>
        <w:t>质疑应当采用加盖投标人公章的书面形式，质疑书应明确阐述招标过程或中标结果中使自己合法权益受到损害的实质性内容，提供相关事实、依据和证据及其来源或线索，便于有关单位调查、答复和处理，否则，</w:t>
      </w:r>
      <w:r>
        <w:rPr>
          <w:rFonts w:hint="eastAsia" w:ascii="仿宋" w:hAnsi="仿宋" w:eastAsia="仿宋" w:cs="仿宋"/>
          <w:color w:val="auto"/>
          <w:sz w:val="24"/>
          <w:szCs w:val="24"/>
          <w:lang w:eastAsia="zh-CN"/>
        </w:rPr>
        <w:t>欧邦工程管理集团有限公司</w:t>
      </w:r>
      <w:r>
        <w:rPr>
          <w:rFonts w:hint="eastAsia" w:ascii="仿宋" w:hAnsi="仿宋" w:eastAsia="仿宋" w:cs="仿宋"/>
          <w:color w:val="auto"/>
          <w:sz w:val="24"/>
          <w:szCs w:val="24"/>
        </w:rPr>
        <w:t>将不予受理。</w:t>
      </w:r>
    </w:p>
    <w:p>
      <w:pPr>
        <w:spacing w:line="360" w:lineRule="auto"/>
        <w:jc w:val="left"/>
        <w:rPr>
          <w:rFonts w:ascii="仿宋" w:hAnsi="仿宋" w:eastAsia="仿宋" w:cs="仿宋"/>
          <w:b/>
          <w:color w:val="auto"/>
          <w:sz w:val="24"/>
          <w:szCs w:val="24"/>
        </w:rPr>
      </w:pPr>
      <w:r>
        <w:rPr>
          <w:rFonts w:ascii="仿宋" w:hAnsi="仿宋" w:eastAsia="仿宋" w:cs="仿宋"/>
          <w:b/>
          <w:color w:val="auto"/>
          <w:sz w:val="24"/>
          <w:szCs w:val="24"/>
        </w:rPr>
        <w:t xml:space="preserve">   </w:t>
      </w:r>
      <w:r>
        <w:rPr>
          <w:rFonts w:hint="eastAsia" w:ascii="仿宋" w:hAnsi="仿宋" w:eastAsia="仿宋" w:cs="仿宋"/>
          <w:b/>
          <w:color w:val="auto"/>
          <w:sz w:val="24"/>
          <w:szCs w:val="24"/>
        </w:rPr>
        <w:t>九、招标文件的澄清和修改</w:t>
      </w:r>
    </w:p>
    <w:p>
      <w:pPr>
        <w:pStyle w:val="26"/>
        <w:snapToGrid w:val="0"/>
        <w:spacing w:line="360" w:lineRule="auto"/>
        <w:ind w:firstLine="480" w:firstLineChars="200"/>
        <w:rPr>
          <w:rFonts w:ascii="仿宋" w:hAnsi="仿宋" w:eastAsia="仿宋" w:cs="仿宋"/>
          <w:color w:val="auto"/>
          <w:sz w:val="24"/>
          <w:szCs w:val="24"/>
        </w:rPr>
      </w:pPr>
      <w:r>
        <w:rPr>
          <w:rFonts w:ascii="仿宋" w:hAnsi="仿宋" w:eastAsia="仿宋" w:cs="仿宋"/>
          <w:color w:val="auto"/>
          <w:sz w:val="24"/>
          <w:szCs w:val="24"/>
        </w:rPr>
        <w:t>1</w:t>
      </w:r>
      <w:r>
        <w:rPr>
          <w:rFonts w:hint="eastAsia" w:ascii="仿宋" w:hAnsi="仿宋" w:eastAsia="仿宋" w:cs="仿宋"/>
          <w:color w:val="auto"/>
          <w:sz w:val="24"/>
          <w:szCs w:val="24"/>
        </w:rPr>
        <w:t>、投标人应认真阅读本招标文件，发现其中有误或有要求不合理的，投标人必须在前附表规定的时间内以书面形式向</w:t>
      </w:r>
      <w:r>
        <w:rPr>
          <w:rFonts w:hint="eastAsia" w:ascii="仿宋" w:hAnsi="仿宋" w:eastAsia="仿宋" w:cs="仿宋"/>
          <w:color w:val="auto"/>
          <w:sz w:val="24"/>
          <w:szCs w:val="24"/>
          <w:lang w:eastAsia="zh-CN"/>
        </w:rPr>
        <w:t>欧邦工程管理集团有限公司</w:t>
      </w:r>
      <w:r>
        <w:rPr>
          <w:rFonts w:hint="eastAsia" w:ascii="仿宋" w:hAnsi="仿宋" w:eastAsia="仿宋" w:cs="仿宋"/>
          <w:color w:val="auto"/>
          <w:sz w:val="24"/>
          <w:szCs w:val="24"/>
        </w:rPr>
        <w:t>提出。</w:t>
      </w:r>
    </w:p>
    <w:p>
      <w:pPr>
        <w:pStyle w:val="26"/>
        <w:snapToGrid w:val="0"/>
        <w:spacing w:line="360" w:lineRule="auto"/>
        <w:ind w:firstLine="482" w:firstLineChars="200"/>
        <w:rPr>
          <w:rFonts w:ascii="仿宋" w:hAnsi="仿宋" w:eastAsia="仿宋" w:cs="仿宋"/>
          <w:b/>
          <w:color w:val="auto"/>
          <w:sz w:val="24"/>
          <w:szCs w:val="24"/>
        </w:rPr>
      </w:pPr>
      <w:r>
        <w:rPr>
          <w:rFonts w:ascii="仿宋" w:hAnsi="仿宋" w:eastAsia="仿宋" w:cs="仿宋"/>
          <w:b/>
          <w:color w:val="auto"/>
          <w:sz w:val="24"/>
          <w:szCs w:val="24"/>
        </w:rPr>
        <w:t>2</w:t>
      </w:r>
      <w:r>
        <w:rPr>
          <w:rFonts w:hint="eastAsia" w:ascii="仿宋" w:hAnsi="仿宋" w:eastAsia="仿宋" w:cs="仿宋"/>
          <w:b/>
          <w:color w:val="auto"/>
          <w:sz w:val="24"/>
          <w:szCs w:val="24"/>
        </w:rPr>
        <w:t>、</w:t>
      </w:r>
      <w:r>
        <w:rPr>
          <w:rFonts w:hint="eastAsia" w:ascii="仿宋" w:hAnsi="仿宋" w:eastAsia="仿宋" w:cs="仿宋"/>
          <w:b/>
          <w:color w:val="auto"/>
          <w:sz w:val="24"/>
          <w:szCs w:val="24"/>
          <w:lang w:eastAsia="zh-CN"/>
        </w:rPr>
        <w:t>欧邦工程管理集团有限公司</w:t>
      </w:r>
      <w:r>
        <w:rPr>
          <w:rFonts w:hint="eastAsia" w:ascii="仿宋" w:hAnsi="仿宋" w:eastAsia="仿宋" w:cs="仿宋"/>
          <w:b/>
          <w:color w:val="auto"/>
          <w:sz w:val="24"/>
          <w:szCs w:val="24"/>
        </w:rPr>
        <w:t>对已发出的招标文件进行必要澄清、答复、修改或补充的，应当在前附表规定的统一组织答疑时间前，在政府采购信息发布媒体上发布更正公告，并以书面形式通知所有已经提供报名资料的招标文件收受人，否则将延期组织开标，请在投标前关注相关信息。</w:t>
      </w:r>
    </w:p>
    <w:p>
      <w:pPr>
        <w:pStyle w:val="26"/>
        <w:snapToGrid w:val="0"/>
        <w:spacing w:line="360" w:lineRule="auto"/>
        <w:ind w:firstLine="480" w:firstLineChars="200"/>
        <w:rPr>
          <w:rFonts w:ascii="仿宋" w:hAnsi="仿宋" w:eastAsia="仿宋" w:cs="仿宋"/>
          <w:color w:val="auto"/>
          <w:sz w:val="24"/>
          <w:szCs w:val="24"/>
        </w:rPr>
      </w:pPr>
      <w:r>
        <w:rPr>
          <w:rFonts w:ascii="仿宋" w:hAnsi="仿宋" w:eastAsia="仿宋" w:cs="仿宋"/>
          <w:color w:val="auto"/>
          <w:sz w:val="24"/>
          <w:szCs w:val="24"/>
        </w:rPr>
        <w:t>3</w:t>
      </w:r>
      <w:r>
        <w:rPr>
          <w:rFonts w:hint="eastAsia" w:ascii="仿宋" w:hAnsi="仿宋" w:eastAsia="仿宋" w:cs="仿宋"/>
          <w:color w:val="auto"/>
          <w:sz w:val="24"/>
          <w:szCs w:val="24"/>
        </w:rPr>
        <w:t>、招标文件澄清、答复、修改、补充的内容为招标文件的组成部分。当招标文件与招标文件的答复、澄清、修改、补充通知就同一内容的表述不一致时，以最后发出的书面文件为准。</w:t>
      </w:r>
    </w:p>
    <w:p>
      <w:pPr>
        <w:spacing w:line="360" w:lineRule="auto"/>
        <w:ind w:firstLine="570"/>
        <w:jc w:val="left"/>
        <w:rPr>
          <w:rFonts w:ascii="仿宋" w:hAnsi="仿宋" w:eastAsia="仿宋" w:cs="仿宋"/>
          <w:b/>
          <w:color w:val="auto"/>
          <w:sz w:val="24"/>
          <w:szCs w:val="24"/>
        </w:rPr>
      </w:pPr>
      <w:r>
        <w:rPr>
          <w:rFonts w:hint="eastAsia" w:ascii="仿宋" w:hAnsi="仿宋" w:eastAsia="仿宋" w:cs="仿宋"/>
          <w:b/>
          <w:color w:val="auto"/>
          <w:sz w:val="24"/>
          <w:szCs w:val="24"/>
        </w:rPr>
        <w:t>十、投标文件的组成</w:t>
      </w:r>
    </w:p>
    <w:p>
      <w:pPr>
        <w:spacing w:line="380" w:lineRule="exact"/>
        <w:ind w:firstLine="523" w:firstLineChars="217"/>
        <w:rPr>
          <w:rFonts w:ascii="仿宋" w:hAnsi="仿宋" w:eastAsia="仿宋" w:cs="仿宋"/>
          <w:b/>
          <w:color w:val="auto"/>
          <w:sz w:val="24"/>
          <w:szCs w:val="24"/>
        </w:rPr>
      </w:pPr>
      <w:r>
        <w:rPr>
          <w:rFonts w:ascii="仿宋" w:hAnsi="仿宋" w:eastAsia="仿宋" w:cs="仿宋"/>
          <w:b/>
          <w:color w:val="auto"/>
          <w:sz w:val="24"/>
          <w:szCs w:val="24"/>
        </w:rPr>
        <w:t>A</w:t>
      </w:r>
      <w:r>
        <w:rPr>
          <w:rFonts w:hint="eastAsia" w:ascii="仿宋" w:hAnsi="仿宋" w:eastAsia="仿宋" w:cs="仿宋"/>
          <w:b/>
          <w:color w:val="auto"/>
          <w:sz w:val="24"/>
          <w:szCs w:val="24"/>
        </w:rPr>
        <w:t>、资格审查文件内容（单独包封递交）；</w:t>
      </w:r>
    </w:p>
    <w:p>
      <w:pPr>
        <w:autoSpaceDN w:val="0"/>
        <w:spacing w:line="440" w:lineRule="exact"/>
        <w:ind w:firstLine="600" w:firstLineChars="250"/>
        <w:jc w:val="left"/>
        <w:rPr>
          <w:rFonts w:ascii="仿宋" w:hAnsi="仿宋" w:eastAsia="仿宋" w:cs="仿宋"/>
          <w:color w:val="auto"/>
          <w:sz w:val="24"/>
          <w:szCs w:val="24"/>
        </w:rPr>
      </w:pPr>
      <w:r>
        <w:rPr>
          <w:rFonts w:hint="eastAsia" w:ascii="仿宋" w:hAnsi="仿宋" w:eastAsia="仿宋" w:cs="仿宋"/>
          <w:color w:val="auto"/>
          <w:sz w:val="24"/>
        </w:rPr>
        <w:t>（</w:t>
      </w:r>
      <w:r>
        <w:rPr>
          <w:rFonts w:hint="eastAsia" w:ascii="仿宋" w:hAnsi="仿宋" w:eastAsia="仿宋" w:cs="仿宋"/>
          <w:color w:val="auto"/>
          <w:sz w:val="24"/>
          <w:szCs w:val="24"/>
        </w:rPr>
        <w:t>一）法定代表人授权委托书原件</w:t>
      </w:r>
      <w:r>
        <w:rPr>
          <w:rFonts w:hint="eastAsia" w:ascii="仿宋" w:hAnsi="仿宋" w:eastAsia="仿宋" w:cs="仿宋"/>
          <w:b/>
          <w:bCs/>
          <w:color w:val="auto"/>
          <w:sz w:val="24"/>
          <w:szCs w:val="24"/>
        </w:rPr>
        <w:t>（如法定代表人参加开标，无需提供此项）；</w:t>
      </w:r>
    </w:p>
    <w:p>
      <w:pPr>
        <w:autoSpaceDN w:val="0"/>
        <w:spacing w:line="440" w:lineRule="exact"/>
        <w:ind w:firstLine="600" w:firstLineChars="250"/>
        <w:jc w:val="left"/>
        <w:rPr>
          <w:rFonts w:ascii="仿宋" w:hAnsi="仿宋" w:eastAsia="仿宋" w:cs="仿宋"/>
          <w:color w:val="auto"/>
          <w:sz w:val="24"/>
          <w:szCs w:val="24"/>
        </w:rPr>
      </w:pPr>
      <w:r>
        <w:rPr>
          <w:rFonts w:hint="eastAsia" w:ascii="仿宋" w:hAnsi="仿宋" w:eastAsia="仿宋" w:cs="仿宋"/>
          <w:color w:val="auto"/>
          <w:sz w:val="24"/>
          <w:szCs w:val="24"/>
        </w:rPr>
        <w:t>（二）有效的营业执照复</w:t>
      </w:r>
      <w:r>
        <w:rPr>
          <w:rFonts w:hint="eastAsia" w:ascii="仿宋" w:hAnsi="仿宋" w:eastAsia="仿宋" w:cs="仿宋"/>
          <w:bCs/>
          <w:color w:val="auto"/>
          <w:sz w:val="24"/>
          <w:szCs w:val="24"/>
        </w:rPr>
        <w:t>印件</w:t>
      </w:r>
      <w:r>
        <w:rPr>
          <w:rFonts w:hint="eastAsia" w:ascii="仿宋" w:hAnsi="仿宋" w:eastAsia="仿宋" w:cs="仿宋"/>
          <w:color w:val="auto"/>
          <w:sz w:val="24"/>
          <w:szCs w:val="24"/>
        </w:rPr>
        <w:t>并加盖公章</w:t>
      </w:r>
      <w:r>
        <w:rPr>
          <w:rFonts w:hint="eastAsia" w:ascii="仿宋" w:hAnsi="仿宋" w:eastAsia="仿宋" w:cs="仿宋"/>
          <w:b/>
          <w:bCs/>
          <w:color w:val="auto"/>
          <w:sz w:val="24"/>
          <w:szCs w:val="24"/>
        </w:rPr>
        <w:t>（原件备查）；</w:t>
      </w:r>
    </w:p>
    <w:p>
      <w:pPr>
        <w:autoSpaceDE w:val="0"/>
        <w:autoSpaceDN w:val="0"/>
        <w:adjustRightInd w:val="0"/>
        <w:spacing w:line="380" w:lineRule="exact"/>
        <w:ind w:left="124" w:leftChars="59"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（三）被授权人（或法定代表人）身份证复印件并加盖公章</w:t>
      </w:r>
      <w:r>
        <w:rPr>
          <w:rFonts w:hint="eastAsia" w:ascii="仿宋" w:hAnsi="仿宋" w:eastAsia="仿宋" w:cs="仿宋"/>
          <w:b/>
          <w:bCs/>
          <w:color w:val="auto"/>
          <w:sz w:val="24"/>
          <w:szCs w:val="24"/>
        </w:rPr>
        <w:t>（原件备查）</w:t>
      </w:r>
      <w:r>
        <w:rPr>
          <w:rFonts w:hint="eastAsia" w:ascii="仿宋" w:hAnsi="仿宋" w:eastAsia="仿宋" w:cs="仿宋"/>
          <w:color w:val="auto"/>
          <w:sz w:val="24"/>
          <w:szCs w:val="24"/>
        </w:rPr>
        <w:t>；</w:t>
      </w:r>
      <w:r>
        <w:rPr>
          <w:rFonts w:ascii="仿宋" w:hAnsi="仿宋" w:eastAsia="仿宋" w:cs="仿宋"/>
          <w:bCs/>
          <w:color w:val="auto"/>
          <w:sz w:val="24"/>
          <w:szCs w:val="24"/>
        </w:rPr>
        <w:t xml:space="preserve"> </w:t>
      </w:r>
    </w:p>
    <w:p>
      <w:pPr>
        <w:autoSpaceDN w:val="0"/>
        <w:spacing w:line="440" w:lineRule="exact"/>
        <w:jc w:val="left"/>
        <w:rPr>
          <w:rFonts w:ascii="仿宋" w:hAnsi="仿宋" w:eastAsia="仿宋" w:cs="仿宋"/>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（四）由社保部门出具的被授权人在投标单位连续缴纳近三个月社保的证明材料复印件并加盖公章（</w:t>
      </w:r>
      <w:r>
        <w:rPr>
          <w:rFonts w:hint="eastAsia" w:ascii="仿宋" w:hAnsi="仿宋" w:eastAsia="仿宋" w:cs="仿宋"/>
          <w:b/>
          <w:bCs/>
          <w:color w:val="auto"/>
          <w:sz w:val="24"/>
          <w:szCs w:val="24"/>
        </w:rPr>
        <w:t>原件备查，如法定代表人参加开标，无需提供此项）；</w:t>
      </w:r>
    </w:p>
    <w:p>
      <w:pPr>
        <w:snapToGrid w:val="0"/>
        <w:spacing w:line="440" w:lineRule="exact"/>
        <w:ind w:firstLine="482" w:firstLineChars="200"/>
        <w:rPr>
          <w:rFonts w:ascii="仿宋" w:hAnsi="仿宋" w:eastAsia="仿宋" w:cs="仿宋"/>
          <w:b/>
          <w:color w:val="auto"/>
          <w:sz w:val="24"/>
          <w:szCs w:val="24"/>
          <w:u w:val="single"/>
        </w:rPr>
      </w:pPr>
      <w:r>
        <w:rPr>
          <w:rFonts w:hint="eastAsia" w:ascii="仿宋" w:hAnsi="仿宋" w:eastAsia="仿宋" w:cs="仿宋"/>
          <w:b/>
          <w:color w:val="auto"/>
          <w:sz w:val="24"/>
          <w:szCs w:val="24"/>
          <w:u w:val="single"/>
        </w:rPr>
        <w:t>资格审查文件注意点：</w:t>
      </w:r>
    </w:p>
    <w:p>
      <w:pPr>
        <w:spacing w:line="440" w:lineRule="exact"/>
        <w:ind w:firstLine="570"/>
        <w:jc w:val="left"/>
        <w:rPr>
          <w:rFonts w:ascii="仿宋" w:hAnsi="仿宋" w:eastAsia="仿宋" w:cs="仿宋"/>
          <w:b/>
          <w:color w:val="auto"/>
          <w:sz w:val="24"/>
          <w:szCs w:val="24"/>
          <w:u w:val="single"/>
        </w:rPr>
      </w:pPr>
      <w:r>
        <w:rPr>
          <w:rFonts w:ascii="仿宋" w:hAnsi="仿宋" w:eastAsia="仿宋" w:cs="仿宋"/>
          <w:b/>
          <w:color w:val="auto"/>
          <w:sz w:val="24"/>
          <w:szCs w:val="24"/>
          <w:u w:val="single"/>
        </w:rPr>
        <w:t xml:space="preserve">1. </w:t>
      </w:r>
      <w:r>
        <w:rPr>
          <w:rFonts w:hint="eastAsia" w:ascii="仿宋" w:hAnsi="仿宋" w:eastAsia="仿宋" w:cs="仿宋"/>
          <w:b/>
          <w:color w:val="auto"/>
          <w:sz w:val="24"/>
          <w:szCs w:val="24"/>
          <w:u w:val="single"/>
        </w:rPr>
        <w:t>已经在浙江省供应商库注册的且上传了相关营业执照、资质证书资料的供应商可以不提供备查文件原件，但需在浙江政府采购外网上能够正常查询；</w:t>
      </w:r>
    </w:p>
    <w:p>
      <w:pPr>
        <w:spacing w:line="440" w:lineRule="exact"/>
        <w:ind w:firstLine="570"/>
        <w:jc w:val="left"/>
        <w:rPr>
          <w:rFonts w:ascii="仿宋" w:hAnsi="仿宋" w:eastAsia="仿宋" w:cs="仿宋"/>
          <w:b/>
          <w:color w:val="auto"/>
          <w:sz w:val="24"/>
          <w:szCs w:val="24"/>
          <w:u w:val="single"/>
        </w:rPr>
      </w:pPr>
      <w:r>
        <w:rPr>
          <w:rFonts w:ascii="仿宋" w:hAnsi="仿宋" w:eastAsia="仿宋" w:cs="仿宋"/>
          <w:b/>
          <w:color w:val="auto"/>
          <w:sz w:val="24"/>
          <w:szCs w:val="24"/>
          <w:u w:val="single"/>
        </w:rPr>
        <w:t xml:space="preserve">2. </w:t>
      </w:r>
      <w:r>
        <w:rPr>
          <w:rFonts w:hint="eastAsia" w:ascii="仿宋" w:hAnsi="仿宋" w:eastAsia="仿宋" w:cs="仿宋"/>
          <w:b/>
          <w:color w:val="auto"/>
          <w:sz w:val="24"/>
          <w:szCs w:val="24"/>
          <w:u w:val="single"/>
        </w:rPr>
        <w:t>非浙江省供应商库注册单位或未上传相关资质证书的单位需随身携带相关原件备查（无需密封入资格后审证明文件内）；</w:t>
      </w:r>
    </w:p>
    <w:p>
      <w:pPr>
        <w:spacing w:line="440" w:lineRule="exact"/>
        <w:ind w:firstLine="570"/>
        <w:jc w:val="left"/>
        <w:rPr>
          <w:rFonts w:ascii="仿宋" w:hAnsi="仿宋" w:eastAsia="仿宋" w:cs="仿宋"/>
          <w:b/>
          <w:color w:val="auto"/>
          <w:sz w:val="24"/>
          <w:szCs w:val="24"/>
          <w:u w:val="single"/>
        </w:rPr>
      </w:pPr>
      <w:r>
        <w:rPr>
          <w:rFonts w:ascii="仿宋" w:hAnsi="仿宋" w:eastAsia="仿宋" w:cs="仿宋"/>
          <w:b/>
          <w:color w:val="auto"/>
          <w:sz w:val="24"/>
          <w:szCs w:val="24"/>
          <w:u w:val="single"/>
        </w:rPr>
        <w:t xml:space="preserve">3. </w:t>
      </w:r>
      <w:r>
        <w:rPr>
          <w:rFonts w:hint="eastAsia" w:ascii="仿宋" w:hAnsi="仿宋" w:eastAsia="仿宋" w:cs="仿宋"/>
          <w:b/>
          <w:color w:val="auto"/>
          <w:sz w:val="24"/>
          <w:szCs w:val="24"/>
          <w:u w:val="single"/>
        </w:rPr>
        <w:t>未按以上要求提供资格审查文件及备查原件的，按未提供合格的资格文件处理。</w:t>
      </w:r>
    </w:p>
    <w:p>
      <w:pPr>
        <w:spacing w:line="440" w:lineRule="exact"/>
        <w:ind w:firstLine="570"/>
        <w:jc w:val="left"/>
        <w:rPr>
          <w:rFonts w:ascii="仿宋" w:hAnsi="仿宋" w:eastAsia="仿宋" w:cs="仿宋"/>
          <w:color w:val="auto"/>
        </w:rPr>
      </w:pPr>
      <w:r>
        <w:rPr>
          <w:rFonts w:hint="eastAsia" w:ascii="仿宋" w:hAnsi="仿宋" w:eastAsia="仿宋" w:cs="仿宋"/>
          <w:b/>
          <w:color w:val="auto"/>
          <w:sz w:val="24"/>
          <w:szCs w:val="24"/>
        </w:rPr>
        <w:t>以上资格审查文件正本</w:t>
      </w:r>
      <w:r>
        <w:rPr>
          <w:rFonts w:ascii="仿宋" w:hAnsi="仿宋" w:eastAsia="仿宋" w:cs="仿宋"/>
          <w:b/>
          <w:color w:val="auto"/>
          <w:sz w:val="24"/>
          <w:szCs w:val="24"/>
        </w:rPr>
        <w:t>1</w:t>
      </w:r>
      <w:r>
        <w:rPr>
          <w:rFonts w:hint="eastAsia" w:ascii="仿宋" w:hAnsi="仿宋" w:eastAsia="仿宋" w:cs="仿宋"/>
          <w:b/>
          <w:color w:val="auto"/>
          <w:sz w:val="24"/>
          <w:szCs w:val="24"/>
        </w:rPr>
        <w:t>份单独密封成</w:t>
      </w:r>
      <w:r>
        <w:rPr>
          <w:rFonts w:ascii="仿宋" w:hAnsi="仿宋" w:eastAsia="仿宋" w:cs="仿宋"/>
          <w:b/>
          <w:color w:val="auto"/>
          <w:sz w:val="24"/>
          <w:szCs w:val="24"/>
        </w:rPr>
        <w:t>1</w:t>
      </w:r>
      <w:r>
        <w:rPr>
          <w:rFonts w:hint="eastAsia" w:ascii="仿宋" w:hAnsi="仿宋" w:eastAsia="仿宋" w:cs="仿宋"/>
          <w:b/>
          <w:color w:val="auto"/>
          <w:sz w:val="24"/>
          <w:szCs w:val="24"/>
        </w:rPr>
        <w:t>包，密封处须加盖投标供应商的单位公章（外包封封面格式参考“附件十三</w:t>
      </w:r>
      <w:r>
        <w:rPr>
          <w:rFonts w:ascii="仿宋" w:hAnsi="仿宋" w:eastAsia="仿宋" w:cs="仿宋"/>
          <w:b/>
          <w:color w:val="auto"/>
          <w:sz w:val="24"/>
          <w:szCs w:val="24"/>
        </w:rPr>
        <w:t xml:space="preserve">(2) </w:t>
      </w:r>
      <w:r>
        <w:rPr>
          <w:rFonts w:hint="eastAsia" w:ascii="仿宋" w:hAnsi="仿宋" w:eastAsia="仿宋" w:cs="仿宋"/>
          <w:b/>
          <w:color w:val="auto"/>
          <w:sz w:val="24"/>
          <w:szCs w:val="24"/>
        </w:rPr>
        <w:t>”）</w:t>
      </w:r>
    </w:p>
    <w:p>
      <w:pPr>
        <w:spacing w:line="360" w:lineRule="auto"/>
        <w:ind w:firstLine="570"/>
        <w:jc w:val="left"/>
        <w:rPr>
          <w:rFonts w:ascii="仿宋" w:hAnsi="仿宋" w:eastAsia="仿宋" w:cs="仿宋"/>
          <w:b/>
          <w:color w:val="auto"/>
          <w:sz w:val="24"/>
          <w:szCs w:val="24"/>
        </w:rPr>
      </w:pPr>
      <w:r>
        <w:rPr>
          <w:rFonts w:ascii="仿宋" w:hAnsi="仿宋" w:eastAsia="仿宋" w:cs="仿宋"/>
          <w:b/>
          <w:color w:val="auto"/>
          <w:sz w:val="24"/>
          <w:szCs w:val="24"/>
        </w:rPr>
        <w:t>B</w:t>
      </w:r>
      <w:r>
        <w:rPr>
          <w:rFonts w:hint="eastAsia" w:ascii="仿宋" w:hAnsi="仿宋" w:eastAsia="仿宋" w:cs="仿宋"/>
          <w:b/>
          <w:color w:val="auto"/>
          <w:sz w:val="24"/>
          <w:szCs w:val="24"/>
        </w:rPr>
        <w:t>、报价文件包括：</w:t>
      </w:r>
    </w:p>
    <w:p>
      <w:pPr>
        <w:numPr>
          <w:ilvl w:val="0"/>
          <w:numId w:val="11"/>
        </w:numPr>
        <w:autoSpaceDN w:val="0"/>
        <w:spacing w:line="360" w:lineRule="auto"/>
        <w:jc w:val="left"/>
        <w:rPr>
          <w:rFonts w:ascii="仿宋" w:hAnsi="仿宋" w:eastAsia="仿宋" w:cs="仿宋"/>
          <w:color w:val="auto"/>
          <w:sz w:val="24"/>
          <w:szCs w:val="24"/>
        </w:rPr>
      </w:pPr>
      <w:r>
        <w:rPr>
          <w:rFonts w:hint="eastAsia" w:ascii="仿宋" w:hAnsi="仿宋" w:eastAsia="仿宋" w:cs="仿宋"/>
          <w:color w:val="auto"/>
          <w:sz w:val="24"/>
          <w:szCs w:val="24"/>
        </w:rPr>
        <w:t>投标报价函（附件一）</w:t>
      </w:r>
    </w:p>
    <w:p>
      <w:pPr>
        <w:numPr>
          <w:ilvl w:val="0"/>
          <w:numId w:val="11"/>
        </w:numPr>
        <w:autoSpaceDN w:val="0"/>
        <w:spacing w:line="360" w:lineRule="auto"/>
        <w:jc w:val="left"/>
        <w:rPr>
          <w:rFonts w:ascii="仿宋" w:hAnsi="仿宋" w:eastAsia="仿宋" w:cs="仿宋"/>
          <w:color w:val="auto"/>
          <w:sz w:val="24"/>
          <w:szCs w:val="24"/>
        </w:rPr>
      </w:pPr>
      <w:r>
        <w:rPr>
          <w:rFonts w:hint="eastAsia" w:ascii="仿宋" w:hAnsi="仿宋" w:eastAsia="仿宋" w:cs="仿宋"/>
          <w:color w:val="auto"/>
          <w:sz w:val="24"/>
          <w:szCs w:val="24"/>
        </w:rPr>
        <w:t>开标一览表（附件二）</w:t>
      </w:r>
    </w:p>
    <w:p>
      <w:pPr>
        <w:numPr>
          <w:ilvl w:val="0"/>
          <w:numId w:val="11"/>
        </w:numPr>
        <w:autoSpaceDN w:val="0"/>
        <w:spacing w:line="360" w:lineRule="auto"/>
        <w:jc w:val="left"/>
        <w:rPr>
          <w:rFonts w:ascii="仿宋" w:hAnsi="仿宋" w:eastAsia="仿宋" w:cs="仿宋"/>
          <w:color w:val="auto"/>
          <w:sz w:val="24"/>
          <w:szCs w:val="24"/>
        </w:rPr>
      </w:pPr>
      <w:r>
        <w:rPr>
          <w:rFonts w:hint="eastAsia" w:ascii="仿宋" w:hAnsi="仿宋" w:eastAsia="仿宋" w:cs="仿宋"/>
          <w:color w:val="auto"/>
          <w:sz w:val="24"/>
          <w:szCs w:val="24"/>
        </w:rPr>
        <w:t>投标报价明细表</w:t>
      </w:r>
    </w:p>
    <w:p>
      <w:pPr>
        <w:numPr>
          <w:ilvl w:val="0"/>
          <w:numId w:val="11"/>
        </w:numPr>
        <w:autoSpaceDN w:val="0"/>
        <w:spacing w:line="360" w:lineRule="auto"/>
        <w:jc w:val="left"/>
        <w:rPr>
          <w:rFonts w:ascii="仿宋" w:hAnsi="仿宋" w:eastAsia="仿宋" w:cs="仿宋"/>
          <w:color w:val="auto"/>
          <w:sz w:val="24"/>
          <w:szCs w:val="24"/>
        </w:rPr>
      </w:pPr>
      <w:r>
        <w:rPr>
          <w:rFonts w:hint="eastAsia" w:ascii="仿宋" w:hAnsi="仿宋" w:eastAsia="仿宋" w:cs="仿宋"/>
          <w:color w:val="auto"/>
          <w:sz w:val="24"/>
          <w:szCs w:val="24"/>
        </w:rPr>
        <w:t>投标人针对报价需要说明的其他文件和说明（格式自拟）</w:t>
      </w:r>
    </w:p>
    <w:p>
      <w:pPr>
        <w:spacing w:line="360" w:lineRule="auto"/>
        <w:ind w:left="723" w:hanging="723" w:hangingChars="300"/>
        <w:jc w:val="left"/>
        <w:rPr>
          <w:rFonts w:ascii="仿宋" w:hAnsi="仿宋" w:eastAsia="仿宋" w:cs="仿宋"/>
          <w:b/>
          <w:bCs/>
          <w:color w:val="auto"/>
          <w:sz w:val="24"/>
          <w:szCs w:val="24"/>
        </w:rPr>
      </w:pPr>
      <w:r>
        <w:rPr>
          <w:rFonts w:hint="eastAsia" w:ascii="仿宋" w:hAnsi="仿宋" w:eastAsia="仿宋" w:cs="仿宋"/>
          <w:b/>
          <w:color w:val="auto"/>
          <w:sz w:val="24"/>
          <w:szCs w:val="24"/>
        </w:rPr>
        <w:t>注：</w:t>
      </w:r>
      <w:r>
        <w:rPr>
          <w:rFonts w:ascii="仿宋" w:hAnsi="仿宋" w:eastAsia="仿宋" w:cs="仿宋"/>
          <w:b/>
          <w:color w:val="auto"/>
          <w:sz w:val="24"/>
          <w:szCs w:val="24"/>
        </w:rPr>
        <w:t>1</w:t>
      </w:r>
      <w:r>
        <w:rPr>
          <w:rFonts w:hint="eastAsia" w:ascii="仿宋" w:hAnsi="仿宋" w:eastAsia="仿宋" w:cs="仿宋"/>
          <w:b/>
          <w:color w:val="auto"/>
          <w:sz w:val="24"/>
          <w:szCs w:val="24"/>
        </w:rPr>
        <w:t>、将报价文件正本</w:t>
      </w:r>
      <w:r>
        <w:rPr>
          <w:rFonts w:ascii="仿宋" w:hAnsi="仿宋" w:eastAsia="仿宋" w:cs="仿宋"/>
          <w:b/>
          <w:color w:val="auto"/>
          <w:sz w:val="24"/>
          <w:szCs w:val="24"/>
        </w:rPr>
        <w:t>1</w:t>
      </w:r>
      <w:r>
        <w:rPr>
          <w:rFonts w:hint="eastAsia" w:ascii="仿宋" w:hAnsi="仿宋" w:eastAsia="仿宋" w:cs="仿宋"/>
          <w:b/>
          <w:color w:val="auto"/>
          <w:sz w:val="24"/>
          <w:szCs w:val="24"/>
        </w:rPr>
        <w:t>份、副本</w:t>
      </w:r>
      <w:r>
        <w:rPr>
          <w:rFonts w:ascii="仿宋" w:hAnsi="仿宋" w:eastAsia="仿宋" w:cs="仿宋"/>
          <w:b/>
          <w:color w:val="auto"/>
          <w:sz w:val="24"/>
          <w:szCs w:val="24"/>
        </w:rPr>
        <w:t>5</w:t>
      </w:r>
      <w:r>
        <w:rPr>
          <w:rFonts w:hint="eastAsia" w:ascii="仿宋" w:hAnsi="仿宋" w:eastAsia="仿宋" w:cs="仿宋"/>
          <w:b/>
          <w:color w:val="auto"/>
          <w:sz w:val="24"/>
          <w:szCs w:val="24"/>
        </w:rPr>
        <w:t>份同时</w:t>
      </w:r>
      <w:r>
        <w:rPr>
          <w:rFonts w:hint="eastAsia" w:ascii="仿宋" w:hAnsi="仿宋" w:eastAsia="仿宋" w:cs="仿宋"/>
          <w:b/>
          <w:color w:val="auto"/>
          <w:kern w:val="0"/>
          <w:sz w:val="24"/>
          <w:szCs w:val="24"/>
        </w:rPr>
        <w:t>密封于一个密封袋内，并在密封袋上标明《报价文件》字样。资格审查文件、</w:t>
      </w:r>
      <w:r>
        <w:rPr>
          <w:rFonts w:hint="eastAsia" w:ascii="仿宋" w:hAnsi="仿宋" w:eastAsia="仿宋" w:cs="仿宋"/>
          <w:b/>
          <w:bCs/>
          <w:color w:val="auto"/>
          <w:sz w:val="24"/>
          <w:szCs w:val="24"/>
        </w:rPr>
        <w:t>商务资信及技术文件中不得出现价格信息。</w:t>
      </w:r>
    </w:p>
    <w:p>
      <w:pPr>
        <w:spacing w:line="360" w:lineRule="auto"/>
        <w:ind w:left="720" w:leftChars="228" w:hanging="241" w:hangingChars="100"/>
        <w:jc w:val="left"/>
        <w:rPr>
          <w:rFonts w:ascii="仿宋" w:hAnsi="仿宋" w:eastAsia="仿宋" w:cs="仿宋"/>
          <w:color w:val="auto"/>
          <w:sz w:val="24"/>
          <w:szCs w:val="24"/>
          <w:highlight w:val="none"/>
        </w:rPr>
      </w:pPr>
      <w:r>
        <w:rPr>
          <w:rFonts w:ascii="仿宋" w:hAnsi="仿宋" w:eastAsia="仿宋" w:cs="仿宋"/>
          <w:b/>
          <w:bCs/>
          <w:color w:val="auto"/>
          <w:sz w:val="24"/>
          <w:szCs w:val="24"/>
        </w:rPr>
        <w:t>2</w:t>
      </w:r>
      <w:r>
        <w:rPr>
          <w:rFonts w:hint="eastAsia" w:ascii="仿宋" w:hAnsi="仿宋" w:eastAsia="仿宋" w:cs="仿宋"/>
          <w:b/>
          <w:bCs/>
          <w:color w:val="auto"/>
          <w:sz w:val="24"/>
          <w:szCs w:val="24"/>
        </w:rPr>
        <w:t>、本项目的投标总报价应含采购服</w:t>
      </w:r>
      <w:r>
        <w:rPr>
          <w:rFonts w:hint="eastAsia" w:ascii="仿宋" w:hAnsi="仿宋" w:eastAsia="仿宋" w:cs="仿宋"/>
          <w:b/>
          <w:bCs/>
          <w:color w:val="auto"/>
          <w:sz w:val="24"/>
          <w:szCs w:val="24"/>
          <w:highlight w:val="none"/>
        </w:rPr>
        <w:t>务费，采购服务费为人民币</w:t>
      </w:r>
      <w:r>
        <w:rPr>
          <w:rFonts w:hint="eastAsia" w:ascii="仿宋" w:hAnsi="仿宋" w:eastAsia="仿宋" w:cs="仿宋"/>
          <w:b/>
          <w:bCs/>
          <w:color w:val="auto"/>
          <w:sz w:val="24"/>
          <w:szCs w:val="24"/>
          <w:highlight w:val="none"/>
          <w:lang w:eastAsia="zh-CN"/>
        </w:rPr>
        <w:t>柒仟肆佰伍拾贰</w:t>
      </w:r>
      <w:r>
        <w:rPr>
          <w:rFonts w:hint="eastAsia" w:ascii="仿宋" w:hAnsi="仿宋" w:eastAsia="仿宋" w:cs="仿宋"/>
          <w:b/>
          <w:bCs/>
          <w:color w:val="auto"/>
          <w:sz w:val="24"/>
          <w:szCs w:val="24"/>
          <w:highlight w:val="none"/>
        </w:rPr>
        <w:t>元整（￥：</w:t>
      </w:r>
      <w:r>
        <w:rPr>
          <w:rFonts w:hint="eastAsia" w:ascii="仿宋" w:hAnsi="仿宋" w:eastAsia="仿宋" w:cs="仿宋"/>
          <w:b/>
          <w:bCs/>
          <w:color w:val="auto"/>
          <w:sz w:val="24"/>
          <w:szCs w:val="24"/>
          <w:u w:val="single"/>
          <w:lang w:val="en-US" w:eastAsia="zh-CN"/>
        </w:rPr>
        <w:t>7452</w:t>
      </w:r>
      <w:r>
        <w:rPr>
          <w:rFonts w:ascii="仿宋" w:hAnsi="仿宋" w:eastAsia="仿宋" w:cs="仿宋"/>
          <w:b/>
          <w:bCs/>
          <w:color w:val="auto"/>
          <w:sz w:val="24"/>
          <w:szCs w:val="24"/>
          <w:highlight w:val="none"/>
          <w:u w:val="single"/>
        </w:rPr>
        <w:t>.00</w:t>
      </w:r>
      <w:r>
        <w:rPr>
          <w:rFonts w:hint="eastAsia" w:ascii="仿宋" w:hAnsi="仿宋" w:eastAsia="仿宋" w:cs="仿宋"/>
          <w:b/>
          <w:bCs/>
          <w:color w:val="auto"/>
          <w:sz w:val="24"/>
          <w:szCs w:val="24"/>
          <w:highlight w:val="none"/>
        </w:rPr>
        <w:t>元），由中标单位在领取中标通知书时支付给采购代理公司。投标供应商在报价时应考虑包含上述费用。</w:t>
      </w:r>
    </w:p>
    <w:p>
      <w:pPr>
        <w:spacing w:line="360" w:lineRule="auto"/>
        <w:ind w:firstLine="463" w:firstLineChars="192"/>
        <w:jc w:val="left"/>
        <w:rPr>
          <w:rFonts w:ascii="仿宋" w:hAnsi="仿宋" w:eastAsia="仿宋" w:cs="仿宋"/>
          <w:b/>
          <w:bCs/>
          <w:color w:val="auto"/>
          <w:sz w:val="24"/>
          <w:szCs w:val="24"/>
        </w:rPr>
      </w:pPr>
      <w:r>
        <w:rPr>
          <w:rFonts w:ascii="仿宋" w:hAnsi="仿宋" w:eastAsia="仿宋" w:cs="仿宋"/>
          <w:b/>
          <w:bCs/>
          <w:color w:val="auto"/>
          <w:sz w:val="24"/>
          <w:szCs w:val="24"/>
        </w:rPr>
        <w:t>C</w:t>
      </w:r>
      <w:r>
        <w:rPr>
          <w:rFonts w:hint="eastAsia" w:ascii="仿宋" w:hAnsi="仿宋" w:eastAsia="仿宋" w:cs="仿宋"/>
          <w:b/>
          <w:bCs/>
          <w:color w:val="auto"/>
          <w:sz w:val="24"/>
          <w:szCs w:val="24"/>
        </w:rPr>
        <w:t>、技术文件包括：</w:t>
      </w:r>
    </w:p>
    <w:p>
      <w:pPr>
        <w:spacing w:line="360" w:lineRule="auto"/>
        <w:ind w:firstLine="460" w:firstLineChars="192"/>
        <w:jc w:val="left"/>
        <w:rPr>
          <w:rFonts w:ascii="仿宋" w:hAnsi="仿宋" w:eastAsia="仿宋" w:cs="仿宋"/>
          <w:color w:val="auto"/>
          <w:sz w:val="24"/>
          <w:szCs w:val="24"/>
        </w:rPr>
      </w:pPr>
      <w:r>
        <w:rPr>
          <w:rFonts w:hint="eastAsia" w:ascii="仿宋" w:hAnsi="仿宋" w:eastAsia="仿宋" w:cs="仿宋"/>
          <w:color w:val="auto"/>
          <w:sz w:val="24"/>
          <w:szCs w:val="24"/>
        </w:rPr>
        <w:t>〈一〉投标函（附件三）；</w:t>
      </w:r>
    </w:p>
    <w:p>
      <w:pPr>
        <w:spacing w:line="360" w:lineRule="auto"/>
        <w:ind w:firstLine="460" w:firstLineChars="192"/>
        <w:jc w:val="left"/>
        <w:rPr>
          <w:rFonts w:ascii="仿宋" w:hAnsi="仿宋" w:eastAsia="仿宋" w:cs="仿宋"/>
          <w:color w:val="auto"/>
          <w:sz w:val="24"/>
          <w:szCs w:val="24"/>
        </w:rPr>
      </w:pPr>
      <w:r>
        <w:rPr>
          <w:rFonts w:hint="eastAsia" w:ascii="仿宋" w:hAnsi="仿宋" w:eastAsia="仿宋" w:cs="仿宋"/>
          <w:color w:val="auto"/>
          <w:sz w:val="24"/>
          <w:szCs w:val="24"/>
        </w:rPr>
        <w:t>〈二〉投标方的技术文件：</w:t>
      </w:r>
    </w:p>
    <w:p>
      <w:pPr>
        <w:widowControl/>
        <w:snapToGrid w:val="0"/>
        <w:spacing w:line="360" w:lineRule="auto"/>
        <w:ind w:left="2" w:leftChars="1" w:firstLine="525" w:firstLineChars="219"/>
        <w:rPr>
          <w:rFonts w:ascii="仿宋" w:hAnsi="仿宋" w:eastAsia="仿宋" w:cs="仿宋"/>
          <w:color w:val="auto"/>
          <w:kern w:val="0"/>
          <w:sz w:val="24"/>
          <w:szCs w:val="24"/>
        </w:rPr>
      </w:pPr>
      <w:r>
        <w:rPr>
          <w:rFonts w:hint="eastAsia" w:ascii="仿宋" w:hAnsi="仿宋" w:eastAsia="仿宋" w:cs="仿宋"/>
          <w:color w:val="auto"/>
          <w:kern w:val="0"/>
          <w:sz w:val="24"/>
          <w:szCs w:val="24"/>
        </w:rPr>
        <w:t>投标方技术文件由投标方视需要自行编制。技术文件应能够证明投标方提供的设备且符合招标文件规定。技术（参数）文件应包含以下内容：</w:t>
      </w:r>
    </w:p>
    <w:p>
      <w:pPr>
        <w:widowControl/>
        <w:snapToGrid w:val="0"/>
        <w:spacing w:line="360" w:lineRule="auto"/>
        <w:ind w:left="2" w:leftChars="1" w:firstLine="525" w:firstLineChars="219"/>
        <w:rPr>
          <w:rFonts w:ascii="仿宋" w:hAnsi="仿宋" w:eastAsia="仿宋" w:cs="仿宋"/>
          <w:color w:val="auto"/>
          <w:sz w:val="24"/>
          <w:szCs w:val="24"/>
        </w:rPr>
      </w:pPr>
      <w:r>
        <w:rPr>
          <w:rFonts w:ascii="仿宋" w:hAnsi="仿宋" w:eastAsia="仿宋" w:cs="仿宋"/>
          <w:color w:val="auto"/>
          <w:sz w:val="24"/>
          <w:szCs w:val="24"/>
        </w:rPr>
        <w:t>1</w:t>
      </w:r>
      <w:r>
        <w:rPr>
          <w:rFonts w:hint="eastAsia" w:ascii="仿宋" w:hAnsi="仿宋" w:eastAsia="仿宋" w:cs="仿宋"/>
          <w:color w:val="auto"/>
          <w:sz w:val="24"/>
          <w:szCs w:val="24"/>
        </w:rPr>
        <w:t>、投标产品技术参数对照表（附件四）；</w:t>
      </w:r>
    </w:p>
    <w:p>
      <w:pPr>
        <w:widowControl/>
        <w:snapToGrid w:val="0"/>
        <w:spacing w:line="360" w:lineRule="auto"/>
        <w:ind w:left="2" w:leftChars="1" w:firstLine="525" w:firstLineChars="219"/>
        <w:rPr>
          <w:rFonts w:ascii="仿宋" w:hAnsi="仿宋" w:eastAsia="仿宋" w:cs="仿宋"/>
          <w:color w:val="auto"/>
          <w:sz w:val="24"/>
          <w:szCs w:val="24"/>
        </w:rPr>
      </w:pPr>
      <w:r>
        <w:rPr>
          <w:rFonts w:ascii="仿宋" w:hAnsi="仿宋" w:eastAsia="仿宋" w:cs="仿宋"/>
          <w:color w:val="auto"/>
          <w:sz w:val="24"/>
          <w:szCs w:val="24"/>
        </w:rPr>
        <w:t>2</w:t>
      </w:r>
      <w:r>
        <w:rPr>
          <w:rFonts w:hint="eastAsia" w:ascii="仿宋" w:hAnsi="仿宋" w:eastAsia="仿宋" w:cs="仿宋"/>
          <w:color w:val="auto"/>
          <w:sz w:val="24"/>
          <w:szCs w:val="24"/>
        </w:rPr>
        <w:t>、现有经营场地、服务机构等情况资料；</w:t>
      </w:r>
    </w:p>
    <w:p>
      <w:pPr>
        <w:widowControl/>
        <w:snapToGrid w:val="0"/>
        <w:spacing w:line="360" w:lineRule="auto"/>
        <w:ind w:left="2" w:leftChars="1" w:firstLine="525" w:firstLineChars="219"/>
        <w:rPr>
          <w:rFonts w:ascii="仿宋" w:hAnsi="仿宋" w:eastAsia="仿宋" w:cs="仿宋"/>
          <w:color w:val="auto"/>
          <w:sz w:val="24"/>
          <w:szCs w:val="24"/>
        </w:rPr>
      </w:pPr>
      <w:r>
        <w:rPr>
          <w:rFonts w:ascii="仿宋" w:hAnsi="仿宋" w:eastAsia="仿宋" w:cs="仿宋"/>
          <w:color w:val="auto"/>
          <w:sz w:val="24"/>
          <w:szCs w:val="24"/>
        </w:rPr>
        <w:t>3</w:t>
      </w:r>
      <w:r>
        <w:rPr>
          <w:rFonts w:hint="eastAsia" w:ascii="仿宋" w:hAnsi="仿宋" w:eastAsia="仿宋" w:cs="仿宋"/>
          <w:color w:val="auto"/>
          <w:sz w:val="24"/>
          <w:szCs w:val="24"/>
        </w:rPr>
        <w:t>、保证供货及服务项目实施方案；</w:t>
      </w:r>
    </w:p>
    <w:p>
      <w:pPr>
        <w:widowControl/>
        <w:snapToGrid w:val="0"/>
        <w:spacing w:line="360" w:lineRule="auto"/>
        <w:ind w:left="2" w:leftChars="1" w:firstLine="525" w:firstLineChars="219"/>
        <w:rPr>
          <w:rFonts w:hint="eastAsia" w:ascii="仿宋" w:hAnsi="仿宋" w:eastAsia="仿宋" w:cs="仿宋"/>
          <w:color w:val="auto"/>
          <w:sz w:val="24"/>
          <w:szCs w:val="24"/>
        </w:rPr>
      </w:pPr>
      <w:r>
        <w:rPr>
          <w:rFonts w:ascii="仿宋" w:hAnsi="仿宋" w:eastAsia="仿宋" w:cs="仿宋"/>
          <w:color w:val="auto"/>
          <w:sz w:val="24"/>
          <w:szCs w:val="24"/>
        </w:rPr>
        <w:t>4</w:t>
      </w:r>
      <w:r>
        <w:rPr>
          <w:rFonts w:hint="eastAsia" w:ascii="仿宋" w:hAnsi="仿宋" w:eastAsia="仿宋" w:cs="仿宋"/>
          <w:color w:val="auto"/>
          <w:sz w:val="24"/>
          <w:szCs w:val="24"/>
        </w:rPr>
        <w:t>、项目实施人员一览表（附件五）；</w:t>
      </w:r>
    </w:p>
    <w:p>
      <w:pPr>
        <w:bidi w:val="0"/>
        <w:ind w:firstLine="369" w:firstLineChars="0"/>
        <w:jc w:val="left"/>
        <w:rPr>
          <w:rFonts w:hint="eastAsia" w:ascii="Times New Roman" w:hAnsi="Times New Roman" w:eastAsia="宋体" w:cs="Times New Roman"/>
          <w:color w:val="auto"/>
          <w:kern w:val="2"/>
          <w:sz w:val="21"/>
          <w:lang w:val="en-US" w:eastAsia="zh-CN" w:bidi="ar-SA"/>
        </w:rPr>
      </w:pPr>
    </w:p>
    <w:p>
      <w:pPr>
        <w:widowControl/>
        <w:snapToGrid w:val="0"/>
        <w:spacing w:line="360" w:lineRule="auto"/>
        <w:rPr>
          <w:rFonts w:ascii="仿宋" w:hAnsi="仿宋" w:eastAsia="仿宋" w:cs="仿宋"/>
          <w:color w:val="auto"/>
          <w:sz w:val="24"/>
          <w:szCs w:val="24"/>
        </w:rPr>
      </w:pPr>
      <w:r>
        <w:rPr>
          <w:rFonts w:ascii="仿宋" w:hAnsi="仿宋" w:eastAsia="仿宋" w:cs="仿宋"/>
          <w:color w:val="auto"/>
          <w:sz w:val="24"/>
          <w:szCs w:val="24"/>
        </w:rPr>
        <w:t>5</w:t>
      </w:r>
      <w:r>
        <w:rPr>
          <w:rFonts w:hint="eastAsia" w:ascii="仿宋" w:hAnsi="仿宋" w:eastAsia="仿宋" w:cs="仿宋"/>
          <w:color w:val="auto"/>
          <w:sz w:val="24"/>
          <w:szCs w:val="24"/>
        </w:rPr>
        <w:t>、对本次招标项目需提供技术方案以及设备情况，技术方案包括硬件、软件、投标产品的详细技术参数、印刷产品等（产品及原材料的品牌、产地、规格）、备品备件清单（若有）；</w:t>
      </w:r>
      <w:r>
        <w:rPr>
          <w:rFonts w:ascii="仿宋" w:hAnsi="仿宋" w:eastAsia="仿宋" w:cs="仿宋"/>
          <w:color w:val="auto"/>
          <w:sz w:val="24"/>
          <w:szCs w:val="24"/>
        </w:rPr>
        <w:t xml:space="preserve"> </w:t>
      </w:r>
    </w:p>
    <w:p>
      <w:pPr>
        <w:widowControl/>
        <w:snapToGrid w:val="0"/>
        <w:spacing w:line="360" w:lineRule="auto"/>
        <w:ind w:left="2" w:leftChars="1" w:firstLine="525" w:firstLineChars="219"/>
        <w:rPr>
          <w:rFonts w:ascii="仿宋" w:hAnsi="仿宋" w:eastAsia="仿宋" w:cs="仿宋"/>
          <w:color w:val="auto"/>
          <w:kern w:val="0"/>
          <w:sz w:val="24"/>
          <w:szCs w:val="24"/>
        </w:rPr>
      </w:pPr>
      <w:r>
        <w:rPr>
          <w:rFonts w:ascii="仿宋" w:hAnsi="仿宋" w:eastAsia="仿宋" w:cs="仿宋"/>
          <w:color w:val="auto"/>
          <w:kern w:val="0"/>
          <w:sz w:val="24"/>
          <w:szCs w:val="24"/>
        </w:rPr>
        <w:t>6</w:t>
      </w:r>
      <w:r>
        <w:rPr>
          <w:rFonts w:hint="eastAsia" w:ascii="仿宋" w:hAnsi="仿宋" w:eastAsia="仿宋" w:cs="仿宋"/>
          <w:color w:val="auto"/>
          <w:kern w:val="0"/>
          <w:sz w:val="24"/>
          <w:szCs w:val="24"/>
        </w:rPr>
        <w:t>、</w:t>
      </w:r>
      <w:r>
        <w:rPr>
          <w:rFonts w:hint="eastAsia" w:ascii="仿宋" w:hAnsi="仿宋" w:eastAsia="仿宋" w:cs="仿宋"/>
          <w:color w:val="auto"/>
          <w:sz w:val="24"/>
          <w:szCs w:val="24"/>
        </w:rPr>
        <w:t>项目实施计划等</w:t>
      </w:r>
      <w:r>
        <w:rPr>
          <w:rFonts w:hint="eastAsia" w:ascii="仿宋" w:hAnsi="仿宋" w:eastAsia="仿宋" w:cs="仿宋"/>
          <w:color w:val="auto"/>
          <w:kern w:val="0"/>
          <w:sz w:val="24"/>
          <w:szCs w:val="24"/>
        </w:rPr>
        <w:t>。</w:t>
      </w:r>
    </w:p>
    <w:p>
      <w:pPr>
        <w:widowControl/>
        <w:snapToGrid w:val="0"/>
        <w:spacing w:line="360" w:lineRule="auto"/>
        <w:ind w:left="2" w:leftChars="1" w:firstLine="525" w:firstLineChars="219"/>
        <w:rPr>
          <w:rFonts w:ascii="仿宋" w:hAnsi="仿宋" w:eastAsia="仿宋" w:cs="仿宋"/>
          <w:color w:val="auto"/>
          <w:sz w:val="24"/>
          <w:szCs w:val="24"/>
        </w:rPr>
      </w:pPr>
      <w:r>
        <w:rPr>
          <w:rFonts w:hint="eastAsia" w:ascii="仿宋" w:hAnsi="仿宋" w:eastAsia="仿宋" w:cs="仿宋"/>
          <w:color w:val="auto"/>
          <w:sz w:val="24"/>
          <w:szCs w:val="24"/>
        </w:rPr>
        <w:t>〈三〉商务条款应对表（附件六）；</w:t>
      </w:r>
    </w:p>
    <w:p>
      <w:pPr>
        <w:widowControl/>
        <w:snapToGrid w:val="0"/>
        <w:spacing w:line="360" w:lineRule="auto"/>
        <w:ind w:left="2" w:leftChars="1" w:firstLine="525" w:firstLineChars="219"/>
        <w:rPr>
          <w:rFonts w:ascii="仿宋" w:hAnsi="仿宋" w:eastAsia="仿宋" w:cs="仿宋"/>
          <w:color w:val="auto"/>
          <w:sz w:val="24"/>
          <w:szCs w:val="24"/>
        </w:rPr>
      </w:pPr>
      <w:r>
        <w:rPr>
          <w:rFonts w:hint="eastAsia" w:ascii="仿宋" w:hAnsi="仿宋" w:eastAsia="仿宋" w:cs="仿宋"/>
          <w:color w:val="auto"/>
          <w:sz w:val="24"/>
          <w:szCs w:val="24"/>
        </w:rPr>
        <w:t>〈四〉售后服务及培训承诺；</w:t>
      </w:r>
    </w:p>
    <w:p>
      <w:pPr>
        <w:spacing w:line="360" w:lineRule="auto"/>
        <w:ind w:firstLine="460" w:firstLineChars="192"/>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格式由投标供应商自定，以不低于技术规格及服务要求中提出的标准填写，原则上由两部分组成：</w:t>
      </w:r>
    </w:p>
    <w:p>
      <w:pPr>
        <w:spacing w:line="360" w:lineRule="auto"/>
        <w:ind w:firstLine="460" w:firstLineChars="192"/>
        <w:jc w:val="left"/>
        <w:rPr>
          <w:rFonts w:ascii="仿宋" w:hAnsi="仿宋" w:eastAsia="仿宋" w:cs="仿宋"/>
          <w:color w:val="auto"/>
          <w:kern w:val="0"/>
          <w:sz w:val="24"/>
          <w:szCs w:val="24"/>
        </w:rPr>
      </w:pPr>
      <w:r>
        <w:rPr>
          <w:rFonts w:ascii="仿宋" w:hAnsi="仿宋" w:eastAsia="仿宋" w:cs="仿宋"/>
          <w:color w:val="auto"/>
          <w:kern w:val="0"/>
          <w:sz w:val="24"/>
          <w:szCs w:val="24"/>
        </w:rPr>
        <w:t>1</w:t>
      </w:r>
      <w:r>
        <w:rPr>
          <w:rFonts w:hint="eastAsia" w:ascii="仿宋" w:hAnsi="仿宋" w:eastAsia="仿宋" w:cs="仿宋"/>
          <w:color w:val="auto"/>
          <w:kern w:val="0"/>
          <w:sz w:val="24"/>
          <w:szCs w:val="24"/>
        </w:rPr>
        <w:t>、标准服务，按行业常规服务填列；</w:t>
      </w:r>
    </w:p>
    <w:p>
      <w:pPr>
        <w:spacing w:line="360" w:lineRule="auto"/>
        <w:ind w:firstLine="460" w:firstLineChars="192"/>
        <w:jc w:val="left"/>
        <w:rPr>
          <w:rFonts w:ascii="仿宋" w:hAnsi="仿宋" w:eastAsia="仿宋" w:cs="仿宋"/>
          <w:color w:val="auto"/>
          <w:kern w:val="0"/>
          <w:sz w:val="24"/>
          <w:szCs w:val="24"/>
        </w:rPr>
      </w:pPr>
      <w:r>
        <w:rPr>
          <w:rFonts w:ascii="仿宋" w:hAnsi="仿宋" w:eastAsia="仿宋" w:cs="仿宋"/>
          <w:color w:val="auto"/>
          <w:kern w:val="0"/>
          <w:sz w:val="24"/>
          <w:szCs w:val="24"/>
        </w:rPr>
        <w:t>2</w:t>
      </w:r>
      <w:r>
        <w:rPr>
          <w:rFonts w:hint="eastAsia" w:ascii="仿宋" w:hAnsi="仿宋" w:eastAsia="仿宋" w:cs="仿宋"/>
          <w:color w:val="auto"/>
          <w:kern w:val="0"/>
          <w:sz w:val="24"/>
          <w:szCs w:val="24"/>
        </w:rPr>
        <w:t>、特色（或特殊）服务，按每个投标厂商的实际情况，针对本次招标项目进行售后服务特别承诺。</w:t>
      </w:r>
    </w:p>
    <w:p>
      <w:pPr>
        <w:spacing w:line="360" w:lineRule="auto"/>
        <w:ind w:firstLine="460" w:firstLineChars="192"/>
        <w:jc w:val="left"/>
        <w:rPr>
          <w:rFonts w:ascii="仿宋" w:hAnsi="仿宋" w:eastAsia="仿宋" w:cs="仿宋"/>
          <w:color w:val="auto"/>
          <w:sz w:val="24"/>
          <w:szCs w:val="24"/>
        </w:rPr>
      </w:pPr>
      <w:r>
        <w:rPr>
          <w:rFonts w:hint="eastAsia" w:ascii="仿宋" w:hAnsi="仿宋" w:eastAsia="仿宋" w:cs="仿宋"/>
          <w:color w:val="auto"/>
          <w:sz w:val="24"/>
          <w:szCs w:val="24"/>
        </w:rPr>
        <w:t>〈五〉服务计划表（附件七）；</w:t>
      </w:r>
    </w:p>
    <w:p>
      <w:pPr>
        <w:spacing w:line="360" w:lineRule="auto"/>
        <w:ind w:firstLine="460" w:firstLineChars="192"/>
        <w:jc w:val="left"/>
        <w:rPr>
          <w:rFonts w:ascii="仿宋" w:hAnsi="仿宋" w:eastAsia="仿宋" w:cs="仿宋"/>
          <w:color w:val="auto"/>
          <w:sz w:val="24"/>
          <w:szCs w:val="24"/>
        </w:rPr>
      </w:pPr>
      <w:r>
        <w:rPr>
          <w:rFonts w:hint="eastAsia" w:ascii="仿宋" w:hAnsi="仿宋" w:eastAsia="仿宋" w:cs="仿宋"/>
          <w:color w:val="auto"/>
          <w:sz w:val="24"/>
          <w:szCs w:val="24"/>
        </w:rPr>
        <w:t>〈六〉评分规则中涉及的所需提交的材料；</w:t>
      </w:r>
    </w:p>
    <w:p>
      <w:pPr>
        <w:spacing w:line="360" w:lineRule="auto"/>
        <w:ind w:firstLine="460" w:firstLineChars="192"/>
        <w:jc w:val="left"/>
        <w:rPr>
          <w:rFonts w:ascii="仿宋" w:hAnsi="仿宋" w:eastAsia="仿宋" w:cs="仿宋"/>
          <w:color w:val="auto"/>
          <w:sz w:val="24"/>
          <w:szCs w:val="24"/>
        </w:rPr>
      </w:pPr>
      <w:r>
        <w:rPr>
          <w:rFonts w:hint="eastAsia" w:ascii="仿宋" w:hAnsi="仿宋" w:eastAsia="仿宋" w:cs="仿宋"/>
          <w:color w:val="auto"/>
          <w:sz w:val="24"/>
          <w:szCs w:val="24"/>
        </w:rPr>
        <w:t>〈七〉投标方认为需要的其他文件资料。</w:t>
      </w:r>
    </w:p>
    <w:p>
      <w:pPr>
        <w:spacing w:line="360" w:lineRule="auto"/>
        <w:ind w:firstLine="236" w:firstLineChars="98"/>
        <w:jc w:val="left"/>
        <w:rPr>
          <w:rFonts w:ascii="仿宋" w:hAnsi="仿宋" w:eastAsia="仿宋" w:cs="仿宋"/>
          <w:b/>
          <w:color w:val="auto"/>
          <w:sz w:val="24"/>
          <w:szCs w:val="24"/>
        </w:rPr>
      </w:pPr>
      <w:r>
        <w:rPr>
          <w:rFonts w:ascii="仿宋" w:hAnsi="仿宋" w:eastAsia="仿宋" w:cs="仿宋"/>
          <w:b/>
          <w:color w:val="auto"/>
          <w:sz w:val="24"/>
          <w:szCs w:val="24"/>
        </w:rPr>
        <w:t>D</w:t>
      </w:r>
      <w:r>
        <w:rPr>
          <w:rFonts w:hint="eastAsia" w:ascii="仿宋" w:hAnsi="仿宋" w:eastAsia="仿宋" w:cs="仿宋"/>
          <w:b/>
          <w:color w:val="auto"/>
          <w:sz w:val="24"/>
          <w:szCs w:val="24"/>
        </w:rPr>
        <w:t>、商务资信文件包括：</w:t>
      </w:r>
    </w:p>
    <w:p>
      <w:pPr>
        <w:spacing w:line="360" w:lineRule="auto"/>
        <w:ind w:firstLine="360" w:firstLineChars="150"/>
        <w:jc w:val="left"/>
        <w:rPr>
          <w:rFonts w:ascii="仿宋" w:hAnsi="仿宋" w:eastAsia="仿宋" w:cs="仿宋"/>
          <w:color w:val="auto"/>
          <w:sz w:val="24"/>
          <w:szCs w:val="24"/>
        </w:rPr>
      </w:pPr>
      <w:r>
        <w:rPr>
          <w:rFonts w:hint="eastAsia" w:ascii="仿宋" w:hAnsi="仿宋" w:eastAsia="仿宋" w:cs="仿宋"/>
          <w:color w:val="auto"/>
          <w:sz w:val="24"/>
          <w:szCs w:val="24"/>
        </w:rPr>
        <w:t>〈一〉法定代表人授权书（附件八）和授权代表身份证复印件；</w:t>
      </w:r>
    </w:p>
    <w:p>
      <w:pPr>
        <w:spacing w:line="360" w:lineRule="auto"/>
        <w:ind w:firstLine="360" w:firstLineChars="150"/>
        <w:jc w:val="left"/>
        <w:rPr>
          <w:rFonts w:ascii="仿宋" w:hAnsi="仿宋" w:eastAsia="仿宋" w:cs="仿宋"/>
          <w:color w:val="auto"/>
          <w:sz w:val="24"/>
          <w:szCs w:val="24"/>
        </w:rPr>
      </w:pPr>
      <w:r>
        <w:rPr>
          <w:rFonts w:hint="eastAsia" w:ascii="仿宋" w:hAnsi="仿宋" w:eastAsia="仿宋" w:cs="仿宋"/>
          <w:color w:val="auto"/>
          <w:sz w:val="24"/>
          <w:szCs w:val="24"/>
        </w:rPr>
        <w:t>〈二〉社保登记证及授权代表社保缴费证明或由当地社险办出具的社会保险缴费人员（含授权代表）清册；</w:t>
      </w:r>
    </w:p>
    <w:p>
      <w:pPr>
        <w:spacing w:line="360" w:lineRule="auto"/>
        <w:ind w:firstLine="360" w:firstLineChars="150"/>
        <w:jc w:val="left"/>
        <w:rPr>
          <w:rFonts w:ascii="仿宋" w:hAnsi="仿宋" w:eastAsia="仿宋" w:cs="仿宋"/>
          <w:color w:val="auto"/>
          <w:sz w:val="24"/>
          <w:szCs w:val="24"/>
        </w:rPr>
      </w:pPr>
      <w:r>
        <w:rPr>
          <w:rFonts w:hint="eastAsia" w:ascii="仿宋" w:hAnsi="仿宋" w:eastAsia="仿宋" w:cs="仿宋"/>
          <w:color w:val="auto"/>
          <w:sz w:val="24"/>
          <w:szCs w:val="24"/>
        </w:rPr>
        <w:t>〈三〉关于资格的声明函（附件九）；</w:t>
      </w:r>
    </w:p>
    <w:p>
      <w:pPr>
        <w:spacing w:line="360" w:lineRule="auto"/>
        <w:ind w:firstLine="360" w:firstLineChars="150"/>
        <w:rPr>
          <w:rFonts w:ascii="仿宋" w:hAnsi="仿宋" w:eastAsia="仿宋" w:cs="仿宋"/>
          <w:color w:val="auto"/>
          <w:sz w:val="24"/>
          <w:szCs w:val="24"/>
        </w:rPr>
      </w:pPr>
      <w:r>
        <w:rPr>
          <w:rFonts w:hint="eastAsia" w:ascii="仿宋" w:hAnsi="仿宋" w:eastAsia="仿宋" w:cs="仿宋"/>
          <w:color w:val="auto"/>
          <w:sz w:val="24"/>
          <w:szCs w:val="24"/>
        </w:rPr>
        <w:t>〈四〉投标方一般情况（附件十）；</w:t>
      </w:r>
    </w:p>
    <w:p>
      <w:pPr>
        <w:spacing w:line="360" w:lineRule="auto"/>
        <w:ind w:firstLine="360" w:firstLineChars="150"/>
        <w:rPr>
          <w:rFonts w:ascii="仿宋" w:hAnsi="仿宋" w:eastAsia="仿宋" w:cs="仿宋"/>
          <w:color w:val="auto"/>
          <w:sz w:val="24"/>
          <w:szCs w:val="24"/>
        </w:rPr>
      </w:pPr>
      <w:r>
        <w:rPr>
          <w:rFonts w:hint="eastAsia" w:ascii="仿宋" w:hAnsi="仿宋" w:eastAsia="仿宋" w:cs="仿宋"/>
          <w:color w:val="auto"/>
          <w:sz w:val="24"/>
          <w:szCs w:val="24"/>
        </w:rPr>
        <w:t>〈五〉营业执照复印件</w:t>
      </w:r>
      <w:r>
        <w:rPr>
          <w:rFonts w:ascii="仿宋" w:hAnsi="仿宋" w:eastAsia="仿宋" w:cs="仿宋"/>
          <w:color w:val="auto"/>
          <w:sz w:val="24"/>
          <w:szCs w:val="24"/>
        </w:rPr>
        <w:t>[</w:t>
      </w:r>
      <w:r>
        <w:rPr>
          <w:rFonts w:hint="eastAsia" w:ascii="仿宋" w:hAnsi="仿宋" w:eastAsia="仿宋" w:cs="仿宋"/>
          <w:color w:val="auto"/>
          <w:sz w:val="24"/>
          <w:szCs w:val="24"/>
        </w:rPr>
        <w:t>若在建德有分支机构，还需提供在建德的分支机构营业执照复印件</w:t>
      </w:r>
      <w:r>
        <w:rPr>
          <w:rFonts w:ascii="仿宋" w:hAnsi="仿宋" w:eastAsia="仿宋" w:cs="仿宋"/>
          <w:color w:val="auto"/>
          <w:sz w:val="24"/>
          <w:szCs w:val="24"/>
        </w:rPr>
        <w:t>]</w:t>
      </w:r>
      <w:r>
        <w:rPr>
          <w:rFonts w:hint="eastAsia" w:ascii="仿宋" w:hAnsi="仿宋" w:eastAsia="仿宋" w:cs="仿宋"/>
          <w:color w:val="auto"/>
          <w:sz w:val="24"/>
          <w:szCs w:val="24"/>
        </w:rPr>
        <w:t>（加盖公章）；</w:t>
      </w:r>
    </w:p>
    <w:p>
      <w:pPr>
        <w:spacing w:line="360" w:lineRule="auto"/>
        <w:ind w:firstLine="360" w:firstLineChars="150"/>
        <w:rPr>
          <w:rFonts w:ascii="仿宋" w:hAnsi="仿宋" w:eastAsia="仿宋" w:cs="仿宋"/>
          <w:color w:val="auto"/>
          <w:sz w:val="24"/>
          <w:szCs w:val="24"/>
        </w:rPr>
      </w:pPr>
      <w:r>
        <w:rPr>
          <w:rFonts w:hint="eastAsia" w:ascii="仿宋" w:hAnsi="仿宋" w:eastAsia="仿宋" w:cs="仿宋"/>
          <w:color w:val="auto"/>
          <w:sz w:val="24"/>
          <w:szCs w:val="24"/>
        </w:rPr>
        <w:t>〈六〉税务登记证、企业代码证复印件（加盖公章）；</w:t>
      </w:r>
    </w:p>
    <w:p>
      <w:pPr>
        <w:spacing w:line="360" w:lineRule="auto"/>
        <w:ind w:firstLine="360" w:firstLineChars="150"/>
        <w:rPr>
          <w:rFonts w:ascii="仿宋" w:hAnsi="仿宋" w:eastAsia="仿宋" w:cs="仿宋"/>
          <w:color w:val="auto"/>
          <w:sz w:val="24"/>
          <w:szCs w:val="24"/>
        </w:rPr>
      </w:pPr>
      <w:r>
        <w:rPr>
          <w:rFonts w:hint="eastAsia" w:ascii="仿宋" w:hAnsi="仿宋" w:eastAsia="仿宋" w:cs="仿宋"/>
          <w:color w:val="auto"/>
          <w:sz w:val="24"/>
          <w:szCs w:val="24"/>
        </w:rPr>
        <w:t>〈七〉近三个季度缴纳的所得税证明材料（加盖公章）；</w:t>
      </w:r>
    </w:p>
    <w:p>
      <w:pPr>
        <w:spacing w:line="360" w:lineRule="auto"/>
        <w:ind w:firstLine="360" w:firstLineChars="150"/>
        <w:rPr>
          <w:rFonts w:ascii="仿宋" w:hAnsi="仿宋" w:eastAsia="仿宋" w:cs="仿宋"/>
          <w:color w:val="auto"/>
          <w:sz w:val="24"/>
          <w:szCs w:val="24"/>
        </w:rPr>
      </w:pPr>
      <w:r>
        <w:rPr>
          <w:rFonts w:hint="eastAsia" w:ascii="仿宋" w:hAnsi="仿宋" w:eastAsia="仿宋" w:cs="仿宋"/>
          <w:color w:val="auto"/>
          <w:sz w:val="24"/>
          <w:szCs w:val="24"/>
        </w:rPr>
        <w:t>〈八〉产品销售许可证复印件（加盖公章）（若有）；</w:t>
      </w:r>
    </w:p>
    <w:p>
      <w:pPr>
        <w:spacing w:line="360" w:lineRule="auto"/>
        <w:ind w:firstLine="360" w:firstLineChars="150"/>
        <w:rPr>
          <w:rFonts w:ascii="仿宋" w:hAnsi="仿宋" w:eastAsia="仿宋" w:cs="仿宋"/>
          <w:color w:val="auto"/>
          <w:sz w:val="24"/>
          <w:szCs w:val="24"/>
        </w:rPr>
      </w:pPr>
      <w:r>
        <w:rPr>
          <w:rFonts w:hint="eastAsia" w:ascii="仿宋" w:hAnsi="仿宋" w:eastAsia="仿宋" w:cs="仿宋"/>
          <w:color w:val="auto"/>
          <w:sz w:val="24"/>
          <w:szCs w:val="24"/>
        </w:rPr>
        <w:t>〈九〉产品代理资格证明文件复印件（加盖单位公章）（若有）；</w:t>
      </w:r>
    </w:p>
    <w:p>
      <w:pPr>
        <w:spacing w:line="360" w:lineRule="auto"/>
        <w:ind w:firstLine="360" w:firstLineChars="150"/>
        <w:rPr>
          <w:rFonts w:ascii="仿宋" w:hAnsi="仿宋" w:eastAsia="仿宋" w:cs="仿宋"/>
          <w:color w:val="auto"/>
          <w:sz w:val="24"/>
          <w:szCs w:val="24"/>
        </w:rPr>
      </w:pPr>
      <w:r>
        <w:rPr>
          <w:rFonts w:hint="eastAsia" w:ascii="仿宋" w:hAnsi="仿宋" w:eastAsia="仿宋" w:cs="仿宋"/>
          <w:color w:val="auto"/>
          <w:sz w:val="24"/>
          <w:szCs w:val="24"/>
        </w:rPr>
        <w:t>〈十〉成功案例和业绩证明（投标人类似项目实施情况一览表、合同复印件）（附件十一）；</w:t>
      </w:r>
    </w:p>
    <w:p>
      <w:pPr>
        <w:spacing w:line="360" w:lineRule="auto"/>
        <w:ind w:firstLine="360" w:firstLineChars="150"/>
        <w:rPr>
          <w:rFonts w:ascii="仿宋" w:hAnsi="仿宋" w:eastAsia="仿宋" w:cs="仿宋"/>
          <w:color w:val="auto"/>
          <w:sz w:val="24"/>
          <w:szCs w:val="24"/>
        </w:rPr>
      </w:pPr>
      <w:r>
        <w:rPr>
          <w:rFonts w:hint="eastAsia" w:ascii="仿宋" w:hAnsi="仿宋" w:eastAsia="仿宋" w:cs="仿宋"/>
          <w:color w:val="auto"/>
          <w:sz w:val="24"/>
          <w:szCs w:val="24"/>
        </w:rPr>
        <w:t>〈十一〉</w:t>
      </w:r>
      <w:r>
        <w:rPr>
          <w:rFonts w:ascii="仿宋" w:hAnsi="仿宋" w:eastAsia="仿宋" w:cs="仿宋"/>
          <w:color w:val="auto"/>
          <w:sz w:val="24"/>
          <w:szCs w:val="24"/>
        </w:rPr>
        <w:t>2020</w:t>
      </w:r>
      <w:r>
        <w:rPr>
          <w:rFonts w:hint="eastAsia" w:ascii="仿宋" w:hAnsi="仿宋" w:eastAsia="仿宋" w:cs="仿宋"/>
          <w:color w:val="auto"/>
          <w:sz w:val="24"/>
          <w:szCs w:val="24"/>
        </w:rPr>
        <w:t>年度的资产负债表、损益表或验资（出资）报告复印件；</w:t>
      </w:r>
    </w:p>
    <w:p>
      <w:pPr>
        <w:spacing w:line="360" w:lineRule="auto"/>
        <w:ind w:firstLine="360" w:firstLineChars="150"/>
        <w:rPr>
          <w:rFonts w:ascii="仿宋" w:hAnsi="仿宋" w:eastAsia="仿宋" w:cs="仿宋"/>
          <w:color w:val="auto"/>
          <w:sz w:val="24"/>
          <w:szCs w:val="24"/>
        </w:rPr>
      </w:pPr>
      <w:r>
        <w:rPr>
          <w:rFonts w:hint="eastAsia" w:ascii="仿宋" w:hAnsi="仿宋" w:eastAsia="仿宋" w:cs="仿宋"/>
          <w:color w:val="auto"/>
          <w:sz w:val="24"/>
          <w:szCs w:val="24"/>
        </w:rPr>
        <w:t>〈十二〉节能、环保等方面的资质证书（若有）；</w:t>
      </w:r>
    </w:p>
    <w:p>
      <w:pPr>
        <w:spacing w:line="360" w:lineRule="auto"/>
        <w:ind w:firstLine="360" w:firstLineChars="150"/>
        <w:rPr>
          <w:rFonts w:ascii="仿宋" w:hAnsi="仿宋" w:eastAsia="仿宋" w:cs="仿宋"/>
          <w:color w:val="auto"/>
          <w:sz w:val="24"/>
          <w:szCs w:val="24"/>
        </w:rPr>
      </w:pPr>
      <w:r>
        <w:rPr>
          <w:rFonts w:hint="eastAsia" w:ascii="仿宋" w:hAnsi="仿宋" w:eastAsia="仿宋" w:cs="仿宋"/>
          <w:color w:val="auto"/>
          <w:sz w:val="24"/>
          <w:szCs w:val="24"/>
        </w:rPr>
        <w:t>〈十三〉投标人的信誉证书（若有）；</w:t>
      </w:r>
    </w:p>
    <w:p>
      <w:pPr>
        <w:spacing w:line="360" w:lineRule="auto"/>
        <w:ind w:firstLine="360" w:firstLineChars="150"/>
        <w:rPr>
          <w:rFonts w:ascii="仿宋" w:hAnsi="仿宋" w:eastAsia="仿宋" w:cs="仿宋"/>
          <w:color w:val="auto"/>
          <w:sz w:val="24"/>
          <w:szCs w:val="24"/>
        </w:rPr>
      </w:pPr>
      <w:r>
        <w:rPr>
          <w:rFonts w:hint="eastAsia" w:ascii="仿宋" w:hAnsi="仿宋" w:eastAsia="仿宋" w:cs="仿宋"/>
          <w:color w:val="auto"/>
          <w:sz w:val="24"/>
          <w:szCs w:val="24"/>
        </w:rPr>
        <w:t>〈十四〉投标人质量管理、质量保证体系、产品安全性认证等方面的认证证书（若有）；</w:t>
      </w:r>
    </w:p>
    <w:p>
      <w:pPr>
        <w:spacing w:line="360" w:lineRule="auto"/>
        <w:ind w:firstLine="360" w:firstLineChars="150"/>
        <w:rPr>
          <w:rFonts w:ascii="仿宋" w:hAnsi="仿宋" w:eastAsia="仿宋" w:cs="仿宋"/>
          <w:color w:val="auto"/>
          <w:sz w:val="24"/>
          <w:szCs w:val="24"/>
        </w:rPr>
      </w:pPr>
      <w:r>
        <w:rPr>
          <w:rFonts w:hint="eastAsia" w:ascii="仿宋" w:hAnsi="仿宋" w:eastAsia="仿宋" w:cs="仿宋"/>
          <w:color w:val="auto"/>
          <w:sz w:val="24"/>
          <w:szCs w:val="24"/>
        </w:rPr>
        <w:t>〈十五〉距采购人最近的服务网点情况表（若有）；</w:t>
      </w:r>
    </w:p>
    <w:p>
      <w:pPr>
        <w:spacing w:line="360" w:lineRule="auto"/>
        <w:ind w:firstLine="360" w:firstLineChars="150"/>
        <w:rPr>
          <w:rFonts w:ascii="仿宋" w:hAnsi="仿宋" w:eastAsia="仿宋" w:cs="仿宋"/>
          <w:color w:val="auto"/>
          <w:sz w:val="24"/>
          <w:szCs w:val="24"/>
        </w:rPr>
      </w:pPr>
      <w:r>
        <w:rPr>
          <w:rFonts w:hint="eastAsia" w:ascii="仿宋" w:hAnsi="仿宋" w:eastAsia="仿宋" w:cs="仿宋"/>
          <w:color w:val="auto"/>
          <w:sz w:val="24"/>
          <w:szCs w:val="24"/>
        </w:rPr>
        <w:t>〈十六〉投标人认为可以证明其能力或业绩的其他材料；</w:t>
      </w:r>
    </w:p>
    <w:p>
      <w:pPr>
        <w:spacing w:line="360" w:lineRule="auto"/>
        <w:ind w:firstLine="360" w:firstLineChars="150"/>
        <w:rPr>
          <w:rFonts w:ascii="仿宋" w:hAnsi="仿宋" w:eastAsia="仿宋" w:cs="仿宋"/>
          <w:color w:val="auto"/>
          <w:sz w:val="24"/>
          <w:szCs w:val="24"/>
        </w:rPr>
      </w:pPr>
      <w:r>
        <w:rPr>
          <w:rFonts w:hint="eastAsia" w:ascii="仿宋" w:hAnsi="仿宋" w:eastAsia="仿宋" w:cs="仿宋"/>
          <w:color w:val="auto"/>
          <w:sz w:val="24"/>
          <w:szCs w:val="24"/>
        </w:rPr>
        <w:t>〈十七〉评分规则中涉及的所需提交的材料</w:t>
      </w:r>
    </w:p>
    <w:p>
      <w:pPr>
        <w:widowControl/>
        <w:snapToGrid w:val="0"/>
        <w:spacing w:line="360" w:lineRule="auto"/>
        <w:ind w:firstLine="360" w:firstLineChars="150"/>
        <w:rPr>
          <w:rFonts w:ascii="仿宋" w:hAnsi="仿宋" w:eastAsia="仿宋" w:cs="仿宋"/>
          <w:color w:val="auto"/>
          <w:sz w:val="24"/>
          <w:szCs w:val="24"/>
        </w:rPr>
      </w:pPr>
      <w:r>
        <w:rPr>
          <w:rFonts w:hint="eastAsia" w:ascii="仿宋" w:hAnsi="仿宋" w:eastAsia="仿宋" w:cs="仿宋"/>
          <w:color w:val="auto"/>
          <w:sz w:val="24"/>
          <w:szCs w:val="24"/>
        </w:rPr>
        <w:t>〈十八〉其他相关资质证明材料。</w:t>
      </w:r>
    </w:p>
    <w:p>
      <w:pPr>
        <w:spacing w:line="360" w:lineRule="auto"/>
        <w:ind w:firstLine="704" w:firstLineChars="292"/>
        <w:rPr>
          <w:rFonts w:ascii="仿宋" w:hAnsi="仿宋" w:eastAsia="仿宋" w:cs="仿宋"/>
          <w:b/>
          <w:color w:val="auto"/>
          <w:sz w:val="24"/>
          <w:szCs w:val="24"/>
        </w:rPr>
      </w:pPr>
      <w:r>
        <w:rPr>
          <w:rFonts w:hint="eastAsia" w:ascii="仿宋" w:hAnsi="仿宋" w:eastAsia="仿宋" w:cs="仿宋"/>
          <w:b/>
          <w:color w:val="auto"/>
          <w:sz w:val="24"/>
          <w:szCs w:val="24"/>
        </w:rPr>
        <w:t>以上投标文件由资格审查文件、报价文件、技术文件和商务资信文件组成，投标人应分别装订、单独密封封装，即将资格审查文件</w:t>
      </w:r>
      <w:r>
        <w:rPr>
          <w:rFonts w:ascii="仿宋" w:hAnsi="仿宋" w:eastAsia="仿宋" w:cs="仿宋"/>
          <w:b/>
          <w:color w:val="auto"/>
          <w:sz w:val="24"/>
          <w:szCs w:val="24"/>
        </w:rPr>
        <w:t>1</w:t>
      </w:r>
      <w:r>
        <w:rPr>
          <w:rFonts w:hint="eastAsia" w:ascii="仿宋" w:hAnsi="仿宋" w:eastAsia="仿宋" w:cs="仿宋"/>
          <w:b/>
          <w:color w:val="auto"/>
          <w:sz w:val="24"/>
          <w:szCs w:val="24"/>
        </w:rPr>
        <w:t>份密封成一包，报价文件</w:t>
      </w:r>
      <w:r>
        <w:rPr>
          <w:rFonts w:ascii="仿宋" w:hAnsi="仿宋" w:eastAsia="仿宋" w:cs="仿宋"/>
          <w:b/>
          <w:color w:val="auto"/>
          <w:sz w:val="24"/>
          <w:szCs w:val="24"/>
        </w:rPr>
        <w:t>1</w:t>
      </w:r>
      <w:r>
        <w:rPr>
          <w:rFonts w:hint="eastAsia" w:ascii="仿宋" w:hAnsi="仿宋" w:eastAsia="仿宋" w:cs="仿宋"/>
          <w:b/>
          <w:color w:val="auto"/>
          <w:sz w:val="24"/>
          <w:szCs w:val="24"/>
        </w:rPr>
        <w:t>份正本</w:t>
      </w:r>
      <w:r>
        <w:rPr>
          <w:rFonts w:ascii="仿宋" w:hAnsi="仿宋" w:eastAsia="仿宋" w:cs="仿宋"/>
          <w:b/>
          <w:color w:val="auto"/>
          <w:sz w:val="24"/>
          <w:szCs w:val="24"/>
        </w:rPr>
        <w:t>5</w:t>
      </w:r>
      <w:r>
        <w:rPr>
          <w:rFonts w:hint="eastAsia" w:ascii="仿宋" w:hAnsi="仿宋" w:eastAsia="仿宋" w:cs="仿宋"/>
          <w:b/>
          <w:color w:val="auto"/>
          <w:sz w:val="24"/>
          <w:szCs w:val="24"/>
        </w:rPr>
        <w:t>份副本合袋密封成一包，技术文件</w:t>
      </w:r>
      <w:r>
        <w:rPr>
          <w:rFonts w:ascii="仿宋" w:hAnsi="仿宋" w:eastAsia="仿宋" w:cs="仿宋"/>
          <w:b/>
          <w:color w:val="auto"/>
          <w:sz w:val="24"/>
          <w:szCs w:val="24"/>
        </w:rPr>
        <w:t>1</w:t>
      </w:r>
      <w:r>
        <w:rPr>
          <w:rFonts w:hint="eastAsia" w:ascii="仿宋" w:hAnsi="仿宋" w:eastAsia="仿宋" w:cs="仿宋"/>
          <w:b/>
          <w:color w:val="auto"/>
          <w:sz w:val="24"/>
          <w:szCs w:val="24"/>
        </w:rPr>
        <w:t>份正本</w:t>
      </w:r>
      <w:r>
        <w:rPr>
          <w:rFonts w:ascii="仿宋" w:hAnsi="仿宋" w:eastAsia="仿宋" w:cs="仿宋"/>
          <w:b/>
          <w:color w:val="auto"/>
          <w:sz w:val="24"/>
          <w:szCs w:val="24"/>
        </w:rPr>
        <w:t>5</w:t>
      </w:r>
      <w:r>
        <w:rPr>
          <w:rFonts w:hint="eastAsia" w:ascii="仿宋" w:hAnsi="仿宋" w:eastAsia="仿宋" w:cs="仿宋"/>
          <w:b/>
          <w:color w:val="auto"/>
          <w:sz w:val="24"/>
          <w:szCs w:val="24"/>
        </w:rPr>
        <w:t>份副本合袋密封成一包，商务资信文件</w:t>
      </w:r>
      <w:r>
        <w:rPr>
          <w:rFonts w:ascii="仿宋" w:hAnsi="仿宋" w:eastAsia="仿宋" w:cs="仿宋"/>
          <w:b/>
          <w:color w:val="auto"/>
          <w:sz w:val="24"/>
          <w:szCs w:val="24"/>
        </w:rPr>
        <w:t>1</w:t>
      </w:r>
      <w:r>
        <w:rPr>
          <w:rFonts w:hint="eastAsia" w:ascii="仿宋" w:hAnsi="仿宋" w:eastAsia="仿宋" w:cs="仿宋"/>
          <w:b/>
          <w:color w:val="auto"/>
          <w:sz w:val="24"/>
          <w:szCs w:val="24"/>
        </w:rPr>
        <w:t>份正本</w:t>
      </w:r>
      <w:r>
        <w:rPr>
          <w:rFonts w:ascii="仿宋" w:hAnsi="仿宋" w:eastAsia="仿宋" w:cs="仿宋"/>
          <w:b/>
          <w:color w:val="auto"/>
          <w:sz w:val="24"/>
          <w:szCs w:val="24"/>
        </w:rPr>
        <w:t>5</w:t>
      </w:r>
      <w:r>
        <w:rPr>
          <w:rFonts w:hint="eastAsia" w:ascii="仿宋" w:hAnsi="仿宋" w:eastAsia="仿宋" w:cs="仿宋"/>
          <w:b/>
          <w:color w:val="auto"/>
          <w:sz w:val="24"/>
          <w:szCs w:val="24"/>
        </w:rPr>
        <w:t>份副本合袋密封成一包，共递交</w:t>
      </w:r>
      <w:r>
        <w:rPr>
          <w:rFonts w:ascii="仿宋" w:hAnsi="仿宋" w:eastAsia="仿宋" w:cs="仿宋"/>
          <w:b/>
          <w:color w:val="auto"/>
          <w:sz w:val="24"/>
          <w:szCs w:val="24"/>
        </w:rPr>
        <w:t>4</w:t>
      </w:r>
      <w:r>
        <w:rPr>
          <w:rFonts w:hint="eastAsia" w:ascii="仿宋" w:hAnsi="仿宋" w:eastAsia="仿宋" w:cs="仿宋"/>
          <w:b/>
          <w:color w:val="auto"/>
          <w:sz w:val="24"/>
          <w:szCs w:val="24"/>
        </w:rPr>
        <w:t>个密封包。</w:t>
      </w:r>
    </w:p>
    <w:p>
      <w:pPr>
        <w:spacing w:line="360" w:lineRule="auto"/>
        <w:ind w:firstLine="463" w:firstLineChars="192"/>
        <w:rPr>
          <w:rFonts w:ascii="仿宋" w:hAnsi="仿宋" w:eastAsia="仿宋" w:cs="仿宋"/>
          <w:b/>
          <w:color w:val="auto"/>
          <w:sz w:val="24"/>
          <w:szCs w:val="24"/>
        </w:rPr>
      </w:pPr>
      <w:r>
        <w:rPr>
          <w:rFonts w:hint="eastAsia" w:ascii="仿宋" w:hAnsi="仿宋" w:eastAsia="仿宋" w:cs="仿宋"/>
          <w:b/>
          <w:color w:val="auto"/>
          <w:sz w:val="24"/>
          <w:szCs w:val="24"/>
        </w:rPr>
        <w:t>在密封袋封面上注明投标人名称、投标文件名称（资格审查文件、报价文件、技术文件或商务资信文件）、投标项目名称等内容，并加盖投标人公章。</w:t>
      </w:r>
      <w:r>
        <w:rPr>
          <w:rFonts w:ascii="仿宋" w:hAnsi="仿宋" w:eastAsia="仿宋" w:cs="仿宋"/>
          <w:b/>
          <w:color w:val="auto"/>
          <w:kern w:val="0"/>
          <w:sz w:val="24"/>
          <w:szCs w:val="24"/>
        </w:rPr>
        <w:t>(</w:t>
      </w:r>
      <w:r>
        <w:rPr>
          <w:rFonts w:hint="eastAsia" w:ascii="仿宋" w:hAnsi="仿宋" w:eastAsia="仿宋" w:cs="仿宋"/>
          <w:b/>
          <w:color w:val="auto"/>
          <w:kern w:val="0"/>
          <w:sz w:val="24"/>
          <w:szCs w:val="24"/>
        </w:rPr>
        <w:t>注：备查的原件由供应商自行保管不需密封，根据需要提供</w:t>
      </w:r>
      <w:r>
        <w:rPr>
          <w:rFonts w:ascii="仿宋" w:hAnsi="仿宋" w:eastAsia="仿宋" w:cs="仿宋"/>
          <w:b/>
          <w:color w:val="auto"/>
          <w:kern w:val="0"/>
          <w:sz w:val="24"/>
          <w:szCs w:val="24"/>
        </w:rPr>
        <w:t>)</w:t>
      </w:r>
      <w:r>
        <w:rPr>
          <w:rFonts w:hint="eastAsia" w:ascii="仿宋" w:hAnsi="仿宋" w:eastAsia="仿宋" w:cs="仿宋"/>
          <w:b/>
          <w:color w:val="auto"/>
          <w:sz w:val="24"/>
          <w:szCs w:val="24"/>
        </w:rPr>
        <w:t>。资格审查文件、技术文件、商务资信文件中不得出现报价文件的相关报价内容。</w:t>
      </w:r>
    </w:p>
    <w:p>
      <w:pPr>
        <w:spacing w:line="360" w:lineRule="auto"/>
        <w:ind w:left="-178" w:leftChars="-85" w:firstLine="619" w:firstLineChars="257"/>
        <w:jc w:val="left"/>
        <w:rPr>
          <w:rFonts w:ascii="仿宋" w:hAnsi="仿宋" w:eastAsia="仿宋" w:cs="仿宋"/>
          <w:b/>
          <w:color w:val="auto"/>
          <w:sz w:val="24"/>
          <w:szCs w:val="24"/>
        </w:rPr>
      </w:pPr>
      <w:r>
        <w:rPr>
          <w:rFonts w:hint="eastAsia" w:ascii="仿宋" w:hAnsi="仿宋" w:eastAsia="仿宋" w:cs="仿宋"/>
          <w:b/>
          <w:color w:val="auto"/>
          <w:sz w:val="24"/>
          <w:szCs w:val="24"/>
        </w:rPr>
        <w:t>十一、投标文件的签署</w:t>
      </w:r>
    </w:p>
    <w:p>
      <w:pPr>
        <w:tabs>
          <w:tab w:val="left" w:pos="900"/>
        </w:tabs>
        <w:spacing w:line="360" w:lineRule="auto"/>
        <w:ind w:firstLine="480" w:firstLineChars="200"/>
        <w:rPr>
          <w:rFonts w:ascii="仿宋" w:hAnsi="仿宋" w:eastAsia="仿宋" w:cs="仿宋"/>
          <w:b/>
          <w:color w:val="auto"/>
          <w:sz w:val="24"/>
          <w:szCs w:val="24"/>
        </w:rPr>
      </w:pPr>
      <w:r>
        <w:rPr>
          <w:rFonts w:hint="eastAsia" w:ascii="仿宋" w:hAnsi="仿宋" w:eastAsia="仿宋" w:cs="仿宋"/>
          <w:color w:val="auto"/>
          <w:sz w:val="24"/>
          <w:szCs w:val="24"/>
        </w:rPr>
        <w:t>〈一〉投标文件需打印或用不褪色的墨水填写。投标文件的装订顺序应按本章第十一条所叙顺序分别装订成册。</w:t>
      </w:r>
      <w:r>
        <w:rPr>
          <w:rFonts w:hint="eastAsia" w:ascii="仿宋" w:hAnsi="仿宋" w:eastAsia="仿宋" w:cs="仿宋"/>
          <w:b/>
          <w:color w:val="auto"/>
          <w:sz w:val="24"/>
          <w:szCs w:val="24"/>
        </w:rPr>
        <w:t>报价文件、技术文件和商务资信文件采用非胶印装订（是指用卡条、抽杆夹、订书机等形式装订，使标书可以拆卸或者在翻动过程中易脱落的一种装订方式）的投标文件按未装订处理。</w:t>
      </w:r>
    </w:p>
    <w:p>
      <w:pPr>
        <w:tabs>
          <w:tab w:val="left" w:pos="900"/>
        </w:tabs>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〈二〉所有投标文件均须由投标供应商盖章，并由法定代表人或法定代表人授权代表签署。投标供应商应写全称。</w:t>
      </w:r>
    </w:p>
    <w:p>
      <w:pPr>
        <w:snapToGrid w:val="0"/>
        <w:spacing w:line="360" w:lineRule="auto"/>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〈三〉投标文件不得涂改，若有修改错漏处，须加盖单位公章或者法定代表人或授权委托人签字或盖章。投标文件文件因字迹潦草或表达不清所引起的后果由投标供应商负责。</w:t>
      </w:r>
    </w:p>
    <w:p>
      <w:pPr>
        <w:snapToGrid w:val="0"/>
        <w:spacing w:line="360" w:lineRule="auto"/>
        <w:ind w:firstLine="460" w:firstLineChars="192"/>
        <w:rPr>
          <w:rFonts w:ascii="仿宋" w:hAnsi="仿宋" w:eastAsia="仿宋" w:cs="仿宋"/>
          <w:color w:val="auto"/>
          <w:sz w:val="24"/>
          <w:szCs w:val="24"/>
        </w:rPr>
      </w:pPr>
      <w:r>
        <w:rPr>
          <w:rFonts w:ascii="仿宋" w:hAnsi="仿宋" w:eastAsia="仿宋" w:cs="仿宋"/>
          <w:color w:val="auto"/>
          <w:sz w:val="24"/>
          <w:szCs w:val="24"/>
        </w:rPr>
        <w:t>&lt;</w:t>
      </w:r>
      <w:r>
        <w:rPr>
          <w:rFonts w:hint="eastAsia" w:ascii="仿宋" w:hAnsi="仿宋" w:eastAsia="仿宋" w:cs="仿宋"/>
          <w:color w:val="auto"/>
          <w:sz w:val="24"/>
          <w:szCs w:val="24"/>
        </w:rPr>
        <w:t>四</w:t>
      </w:r>
      <w:r>
        <w:rPr>
          <w:rFonts w:ascii="仿宋" w:hAnsi="仿宋" w:eastAsia="仿宋" w:cs="仿宋"/>
          <w:color w:val="auto"/>
          <w:sz w:val="24"/>
          <w:szCs w:val="24"/>
        </w:rPr>
        <w:t>&gt;</w:t>
      </w:r>
      <w:r>
        <w:rPr>
          <w:rFonts w:hint="eastAsia" w:ascii="仿宋" w:hAnsi="仿宋" w:eastAsia="仿宋" w:cs="仿宋"/>
          <w:color w:val="auto"/>
          <w:sz w:val="24"/>
          <w:szCs w:val="24"/>
        </w:rPr>
        <w:t>投标文件填写字迹必须清楚、工整，对在投标文件中的不同文字文本的解释发生异议的，以中文文本为准。</w:t>
      </w:r>
    </w:p>
    <w:p>
      <w:pPr>
        <w:spacing w:line="360" w:lineRule="auto"/>
        <w:ind w:firstLine="491" w:firstLineChars="205"/>
        <w:jc w:val="left"/>
        <w:rPr>
          <w:rFonts w:ascii="仿宋" w:hAnsi="仿宋" w:eastAsia="仿宋" w:cs="仿宋"/>
          <w:b/>
          <w:color w:val="auto"/>
          <w:sz w:val="24"/>
          <w:szCs w:val="24"/>
        </w:rPr>
      </w:pPr>
      <w:r>
        <w:rPr>
          <w:rFonts w:ascii="仿宋" w:hAnsi="仿宋" w:eastAsia="仿宋" w:cs="仿宋"/>
          <w:color w:val="auto"/>
          <w:sz w:val="24"/>
          <w:szCs w:val="24"/>
        </w:rPr>
        <w:t>&lt;</w:t>
      </w:r>
      <w:r>
        <w:rPr>
          <w:rFonts w:hint="eastAsia" w:ascii="仿宋" w:hAnsi="仿宋" w:eastAsia="仿宋" w:cs="仿宋"/>
          <w:color w:val="auto"/>
          <w:sz w:val="24"/>
          <w:szCs w:val="24"/>
        </w:rPr>
        <w:t>五</w:t>
      </w:r>
      <w:r>
        <w:rPr>
          <w:rFonts w:ascii="仿宋" w:hAnsi="仿宋" w:eastAsia="仿宋" w:cs="仿宋"/>
          <w:color w:val="auto"/>
          <w:sz w:val="24"/>
          <w:szCs w:val="24"/>
        </w:rPr>
        <w:t>&gt;</w:t>
      </w:r>
      <w:r>
        <w:rPr>
          <w:rFonts w:hint="eastAsia" w:ascii="仿宋" w:hAnsi="仿宋" w:eastAsia="仿宋" w:cs="仿宋"/>
          <w:color w:val="auto"/>
          <w:sz w:val="24"/>
          <w:szCs w:val="24"/>
        </w:rPr>
        <w:t>投标文件的组成：投标文件由相应的</w:t>
      </w:r>
      <w:r>
        <w:rPr>
          <w:rFonts w:hint="eastAsia" w:ascii="仿宋" w:hAnsi="仿宋" w:eastAsia="仿宋" w:cs="仿宋"/>
          <w:b/>
          <w:color w:val="auto"/>
          <w:sz w:val="24"/>
          <w:szCs w:val="24"/>
        </w:rPr>
        <w:t>报价文件、技术文件、商务资信文件各正本</w:t>
      </w:r>
      <w:r>
        <w:rPr>
          <w:rFonts w:ascii="仿宋" w:hAnsi="仿宋" w:eastAsia="仿宋" w:cs="仿宋"/>
          <w:b/>
          <w:color w:val="auto"/>
          <w:sz w:val="24"/>
          <w:szCs w:val="24"/>
        </w:rPr>
        <w:t>1</w:t>
      </w:r>
      <w:r>
        <w:rPr>
          <w:rFonts w:hint="eastAsia" w:ascii="仿宋" w:hAnsi="仿宋" w:eastAsia="仿宋" w:cs="仿宋"/>
          <w:b/>
          <w:color w:val="auto"/>
          <w:sz w:val="24"/>
          <w:szCs w:val="24"/>
        </w:rPr>
        <w:t>份，副本</w:t>
      </w:r>
      <w:r>
        <w:rPr>
          <w:rFonts w:ascii="仿宋" w:hAnsi="仿宋" w:eastAsia="仿宋" w:cs="仿宋"/>
          <w:b/>
          <w:color w:val="auto"/>
          <w:sz w:val="24"/>
          <w:szCs w:val="24"/>
        </w:rPr>
        <w:t>5</w:t>
      </w:r>
      <w:r>
        <w:rPr>
          <w:rFonts w:hint="eastAsia" w:ascii="仿宋" w:hAnsi="仿宋" w:eastAsia="仿宋" w:cs="仿宋"/>
          <w:b/>
          <w:color w:val="auto"/>
          <w:sz w:val="24"/>
          <w:szCs w:val="24"/>
        </w:rPr>
        <w:t>份（副本可为正本的复印件，标书封面加盖公章）及资格审查文件正本</w:t>
      </w:r>
      <w:r>
        <w:rPr>
          <w:rFonts w:ascii="仿宋" w:hAnsi="仿宋" w:eastAsia="仿宋" w:cs="仿宋"/>
          <w:b/>
          <w:color w:val="auto"/>
          <w:sz w:val="24"/>
          <w:szCs w:val="24"/>
        </w:rPr>
        <w:t>1</w:t>
      </w:r>
      <w:r>
        <w:rPr>
          <w:rFonts w:hint="eastAsia" w:ascii="仿宋" w:hAnsi="仿宋" w:eastAsia="仿宋" w:cs="仿宋"/>
          <w:b/>
          <w:color w:val="auto"/>
          <w:sz w:val="24"/>
          <w:szCs w:val="24"/>
        </w:rPr>
        <w:t>份组成。</w:t>
      </w:r>
    </w:p>
    <w:p>
      <w:pPr>
        <w:spacing w:line="360" w:lineRule="auto"/>
        <w:ind w:firstLine="491" w:firstLineChars="205"/>
        <w:jc w:val="left"/>
        <w:rPr>
          <w:rFonts w:ascii="仿宋" w:hAnsi="仿宋" w:eastAsia="仿宋" w:cs="仿宋"/>
          <w:color w:val="auto"/>
          <w:sz w:val="24"/>
          <w:szCs w:val="24"/>
        </w:rPr>
      </w:pPr>
      <w:r>
        <w:rPr>
          <w:rFonts w:ascii="仿宋" w:hAnsi="仿宋" w:eastAsia="仿宋" w:cs="仿宋"/>
          <w:color w:val="auto"/>
          <w:sz w:val="24"/>
          <w:szCs w:val="24"/>
        </w:rPr>
        <w:t>&lt;</w:t>
      </w:r>
      <w:r>
        <w:rPr>
          <w:rFonts w:hint="eastAsia" w:ascii="仿宋" w:hAnsi="仿宋" w:eastAsia="仿宋" w:cs="仿宋"/>
          <w:color w:val="auto"/>
          <w:sz w:val="24"/>
          <w:szCs w:val="24"/>
        </w:rPr>
        <w:t>六</w:t>
      </w:r>
      <w:r>
        <w:rPr>
          <w:rFonts w:ascii="仿宋" w:hAnsi="仿宋" w:eastAsia="仿宋" w:cs="仿宋"/>
          <w:color w:val="auto"/>
          <w:sz w:val="24"/>
          <w:szCs w:val="24"/>
        </w:rPr>
        <w:t>&gt;</w:t>
      </w:r>
      <w:r>
        <w:rPr>
          <w:rFonts w:hint="eastAsia" w:ascii="仿宋" w:hAnsi="仿宋" w:eastAsia="仿宋" w:cs="仿宋"/>
          <w:color w:val="auto"/>
          <w:sz w:val="24"/>
          <w:szCs w:val="24"/>
        </w:rPr>
        <w:t>投标方应将投标文件的资格审查文件、报价文件、技术文件和商务资信文件分别密封，并标明项目名称，投标货物名称。标书封面统一格式详见“第九章附件十二（</w:t>
      </w:r>
      <w:r>
        <w:rPr>
          <w:rFonts w:ascii="仿宋" w:hAnsi="仿宋" w:eastAsia="仿宋" w:cs="仿宋"/>
          <w:color w:val="auto"/>
          <w:sz w:val="24"/>
          <w:szCs w:val="24"/>
        </w:rPr>
        <w:t>1</w:t>
      </w:r>
      <w:r>
        <w:rPr>
          <w:rFonts w:hint="eastAsia" w:ascii="仿宋" w:hAnsi="仿宋" w:eastAsia="仿宋" w:cs="仿宋"/>
          <w:color w:val="auto"/>
          <w:sz w:val="24"/>
          <w:szCs w:val="24"/>
        </w:rPr>
        <w:t>）”。</w:t>
      </w:r>
    </w:p>
    <w:p>
      <w:pPr>
        <w:spacing w:line="360" w:lineRule="auto"/>
        <w:ind w:firstLine="547" w:firstLineChars="227"/>
        <w:jc w:val="left"/>
        <w:rPr>
          <w:rFonts w:ascii="仿宋" w:hAnsi="仿宋" w:eastAsia="仿宋" w:cs="仿宋"/>
          <w:b/>
          <w:color w:val="auto"/>
          <w:sz w:val="24"/>
          <w:szCs w:val="24"/>
        </w:rPr>
      </w:pPr>
      <w:r>
        <w:rPr>
          <w:rFonts w:hint="eastAsia" w:ascii="仿宋" w:hAnsi="仿宋" w:eastAsia="仿宋" w:cs="仿宋"/>
          <w:b/>
          <w:color w:val="auto"/>
          <w:sz w:val="24"/>
          <w:szCs w:val="24"/>
        </w:rPr>
        <w:t>十二、投标文件的递交、修改和撤回</w:t>
      </w:r>
    </w:p>
    <w:p>
      <w:pPr>
        <w:spacing w:line="360" w:lineRule="auto"/>
        <w:ind w:firstLine="600" w:firstLineChars="250"/>
        <w:rPr>
          <w:rFonts w:ascii="仿宋" w:hAnsi="仿宋" w:eastAsia="仿宋" w:cs="仿宋"/>
          <w:color w:val="auto"/>
          <w:sz w:val="24"/>
          <w:szCs w:val="24"/>
        </w:rPr>
      </w:pPr>
      <w:r>
        <w:rPr>
          <w:rFonts w:hint="eastAsia" w:ascii="仿宋" w:hAnsi="仿宋" w:eastAsia="仿宋" w:cs="仿宋"/>
          <w:color w:val="auto"/>
          <w:sz w:val="24"/>
          <w:szCs w:val="24"/>
        </w:rPr>
        <w:t>〈一〉投标人应将</w:t>
      </w:r>
      <w:r>
        <w:rPr>
          <w:rFonts w:hint="eastAsia" w:ascii="仿宋" w:hAnsi="仿宋" w:eastAsia="仿宋" w:cs="仿宋"/>
          <w:b/>
          <w:bCs/>
          <w:color w:val="auto"/>
          <w:sz w:val="24"/>
          <w:szCs w:val="24"/>
        </w:rPr>
        <w:t>资格审查文件、报价文件、技术文件、商务资信文件</w:t>
      </w:r>
      <w:r>
        <w:rPr>
          <w:rFonts w:hint="eastAsia" w:ascii="仿宋" w:hAnsi="仿宋" w:eastAsia="仿宋" w:cs="仿宋"/>
          <w:b/>
          <w:color w:val="auto"/>
          <w:sz w:val="24"/>
          <w:szCs w:val="24"/>
        </w:rPr>
        <w:t>分别装订、单独密封封装，即资格审查文件</w:t>
      </w:r>
      <w:r>
        <w:rPr>
          <w:rFonts w:ascii="仿宋" w:hAnsi="仿宋" w:eastAsia="仿宋" w:cs="仿宋"/>
          <w:b/>
          <w:color w:val="auto"/>
          <w:sz w:val="24"/>
          <w:szCs w:val="24"/>
        </w:rPr>
        <w:t>1</w:t>
      </w:r>
      <w:r>
        <w:rPr>
          <w:rFonts w:hint="eastAsia" w:ascii="仿宋" w:hAnsi="仿宋" w:eastAsia="仿宋" w:cs="仿宋"/>
          <w:b/>
          <w:color w:val="auto"/>
          <w:sz w:val="24"/>
          <w:szCs w:val="24"/>
        </w:rPr>
        <w:t>份密封成一包，报价文件一正伍副合袋密封成一包，技术文件一正伍副合袋密封成一包，商务资信文件一正伍副合袋密封成一包，</w:t>
      </w:r>
      <w:r>
        <w:rPr>
          <w:rFonts w:ascii="仿宋" w:hAnsi="仿宋" w:eastAsia="仿宋" w:cs="仿宋"/>
          <w:b/>
          <w:color w:val="auto"/>
          <w:sz w:val="24"/>
          <w:szCs w:val="24"/>
        </w:rPr>
        <w:t xml:space="preserve"> </w:t>
      </w:r>
      <w:r>
        <w:rPr>
          <w:rFonts w:hint="eastAsia" w:ascii="仿宋" w:hAnsi="仿宋" w:eastAsia="仿宋" w:cs="仿宋"/>
          <w:b/>
          <w:color w:val="auto"/>
          <w:sz w:val="24"/>
          <w:szCs w:val="24"/>
        </w:rPr>
        <w:t>共递交</w:t>
      </w:r>
      <w:r>
        <w:rPr>
          <w:rFonts w:ascii="仿宋" w:hAnsi="仿宋" w:eastAsia="仿宋" w:cs="仿宋"/>
          <w:b/>
          <w:color w:val="auto"/>
          <w:sz w:val="24"/>
          <w:szCs w:val="24"/>
        </w:rPr>
        <w:t>4</w:t>
      </w:r>
      <w:r>
        <w:rPr>
          <w:rFonts w:hint="eastAsia" w:ascii="仿宋" w:hAnsi="仿宋" w:eastAsia="仿宋" w:cs="仿宋"/>
          <w:b/>
          <w:color w:val="auto"/>
          <w:sz w:val="24"/>
          <w:szCs w:val="24"/>
        </w:rPr>
        <w:t>个密封包，封口处须密封并加盖投标人公章，并在各外包封封面上写明：</w:t>
      </w:r>
    </w:p>
    <w:p>
      <w:pPr>
        <w:spacing w:line="360" w:lineRule="auto"/>
        <w:ind w:firstLine="240" w:firstLineChars="100"/>
        <w:rPr>
          <w:rFonts w:ascii="仿宋" w:hAnsi="仿宋" w:eastAsia="仿宋" w:cs="仿宋"/>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采购单位名称、项目名称、项目编号</w:t>
      </w:r>
    </w:p>
    <w:p>
      <w:pPr>
        <w:spacing w:line="360" w:lineRule="auto"/>
        <w:ind w:firstLine="480" w:firstLineChars="200"/>
        <w:rPr>
          <w:rFonts w:ascii="仿宋" w:hAnsi="仿宋" w:eastAsia="仿宋" w:cs="仿宋"/>
          <w:b/>
          <w:bCs/>
          <w:color w:val="auto"/>
          <w:sz w:val="24"/>
          <w:szCs w:val="24"/>
        </w:rPr>
      </w:pPr>
      <w:r>
        <w:rPr>
          <w:rFonts w:hint="eastAsia" w:ascii="仿宋" w:hAnsi="仿宋" w:eastAsia="仿宋" w:cs="仿宋"/>
          <w:color w:val="auto"/>
          <w:sz w:val="24"/>
          <w:szCs w:val="24"/>
        </w:rPr>
        <w:t>投标供应商名称、通讯地址、邮政编码、投寄人。</w:t>
      </w:r>
      <w:r>
        <w:rPr>
          <w:rFonts w:hint="eastAsia" w:ascii="仿宋" w:hAnsi="仿宋" w:eastAsia="仿宋" w:cs="仿宋"/>
          <w:b/>
          <w:bCs/>
          <w:color w:val="auto"/>
          <w:sz w:val="24"/>
          <w:szCs w:val="24"/>
        </w:rPr>
        <w:t>（外包封封面格式参考“附件十二（</w:t>
      </w:r>
      <w:r>
        <w:rPr>
          <w:rFonts w:ascii="仿宋" w:hAnsi="仿宋" w:eastAsia="仿宋" w:cs="仿宋"/>
          <w:b/>
          <w:bCs/>
          <w:color w:val="auto"/>
          <w:sz w:val="24"/>
          <w:szCs w:val="24"/>
        </w:rPr>
        <w:t>2</w:t>
      </w:r>
      <w:r>
        <w:rPr>
          <w:rFonts w:hint="eastAsia" w:ascii="仿宋" w:hAnsi="仿宋" w:eastAsia="仿宋" w:cs="仿宋"/>
          <w:b/>
          <w:bCs/>
          <w:color w:val="auto"/>
          <w:sz w:val="24"/>
          <w:szCs w:val="24"/>
        </w:rPr>
        <w:t>）”）未按招标文件规定密封的投标文件，采购代理机构将拒收。</w:t>
      </w:r>
    </w:p>
    <w:p>
      <w:pPr>
        <w:spacing w:line="360" w:lineRule="auto"/>
        <w:ind w:firstLine="524" w:firstLineChars="226"/>
        <w:rPr>
          <w:rFonts w:ascii="仿宋" w:hAnsi="仿宋" w:eastAsia="仿宋" w:cs="仿宋"/>
          <w:color w:val="auto"/>
          <w:spacing w:val="-4"/>
          <w:sz w:val="24"/>
          <w:szCs w:val="24"/>
        </w:rPr>
      </w:pPr>
      <w:r>
        <w:rPr>
          <w:rFonts w:hint="eastAsia" w:ascii="仿宋" w:hAnsi="仿宋" w:eastAsia="仿宋" w:cs="仿宋"/>
          <w:color w:val="auto"/>
          <w:spacing w:val="-4"/>
          <w:sz w:val="24"/>
          <w:szCs w:val="24"/>
        </w:rPr>
        <w:t>〈二〉如果投标方未加写标记，招标方对投标文件的误投和提前启封不负责任。</w:t>
      </w:r>
    </w:p>
    <w:p>
      <w:pPr>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〈三〉投标文件的补充和修改</w:t>
      </w:r>
    </w:p>
    <w:p>
      <w:pPr>
        <w:pStyle w:val="3"/>
        <w:spacing w:line="360" w:lineRule="auto"/>
        <w:ind w:firstLine="544" w:firstLineChars="227"/>
        <w:rPr>
          <w:rFonts w:ascii="仿宋" w:hAnsi="仿宋" w:eastAsia="仿宋" w:cs="仿宋"/>
          <w:color w:val="auto"/>
          <w:sz w:val="24"/>
          <w:szCs w:val="24"/>
        </w:rPr>
      </w:pPr>
      <w:r>
        <w:rPr>
          <w:rFonts w:hint="eastAsia" w:ascii="仿宋" w:hAnsi="仿宋" w:eastAsia="仿宋" w:cs="仿宋"/>
          <w:color w:val="auto"/>
          <w:sz w:val="24"/>
          <w:szCs w:val="24"/>
        </w:rPr>
        <w:t>投标截止时间前，投标方可以书面向招标方已递交的投标文件提出补充和修改，相应部分以最后的补充和修改为准。该书面材料应密封，由投标方代表签字并加盖公章。</w:t>
      </w:r>
    </w:p>
    <w:p>
      <w:pPr>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〈四〉招标方接受投标方标书时间：</w:t>
      </w:r>
    </w:p>
    <w:p>
      <w:pPr>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投标文件于开标现场在投标截止时间前半小时内递交。</w:t>
      </w:r>
    </w:p>
    <w:p>
      <w:pPr>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〈五〉投标文件填写字迹必须清楚、工整，对不同文字文本投标文件的解释发生异议的，以中文文本为准。</w:t>
      </w:r>
    </w:p>
    <w:p>
      <w:pPr>
        <w:spacing w:line="360" w:lineRule="auto"/>
        <w:ind w:left="1" w:firstLine="619" w:firstLineChars="257"/>
        <w:rPr>
          <w:rFonts w:ascii="仿宋" w:hAnsi="仿宋" w:eastAsia="仿宋" w:cs="仿宋"/>
          <w:b/>
          <w:color w:val="auto"/>
          <w:sz w:val="24"/>
          <w:szCs w:val="24"/>
        </w:rPr>
      </w:pPr>
      <w:r>
        <w:rPr>
          <w:rFonts w:hint="eastAsia" w:ascii="仿宋" w:hAnsi="仿宋" w:eastAsia="仿宋" w:cs="仿宋"/>
          <w:b/>
          <w:color w:val="auto"/>
          <w:sz w:val="24"/>
          <w:szCs w:val="24"/>
        </w:rPr>
        <w:t>十三、无效投标</w:t>
      </w:r>
    </w:p>
    <w:p>
      <w:pPr>
        <w:spacing w:line="360" w:lineRule="auto"/>
        <w:ind w:firstLine="619" w:firstLineChars="257"/>
        <w:rPr>
          <w:rFonts w:ascii="仿宋" w:hAnsi="仿宋" w:eastAsia="仿宋" w:cs="仿宋"/>
          <w:b/>
          <w:color w:val="auto"/>
          <w:sz w:val="24"/>
          <w:szCs w:val="24"/>
        </w:rPr>
      </w:pPr>
      <w:r>
        <w:rPr>
          <w:rFonts w:hint="eastAsia" w:ascii="仿宋" w:hAnsi="仿宋" w:eastAsia="仿宋" w:cs="仿宋"/>
          <w:b/>
          <w:color w:val="auto"/>
          <w:sz w:val="24"/>
          <w:szCs w:val="24"/>
        </w:rPr>
        <w:t>发生下列情况之一的投标文件被视为无效：</w:t>
      </w:r>
    </w:p>
    <w:p>
      <w:pPr>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〈一〉在招标文件递交截止时间以后送达的投标文件；</w:t>
      </w:r>
    </w:p>
    <w:p>
      <w:pPr>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〈二〉由于未按规定进行装订、包装或在送交途中严重破损或失散的投标文件；</w:t>
      </w:r>
    </w:p>
    <w:p>
      <w:pPr>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〈三〉仅以非纸制文本形式的投标文件；</w:t>
      </w:r>
    </w:p>
    <w:p>
      <w:pPr>
        <w:spacing w:line="360" w:lineRule="auto"/>
        <w:ind w:firstLine="491" w:firstLineChars="205"/>
        <w:rPr>
          <w:rFonts w:ascii="仿宋" w:hAnsi="仿宋" w:eastAsia="仿宋" w:cs="仿宋"/>
          <w:color w:val="auto"/>
          <w:sz w:val="24"/>
          <w:szCs w:val="24"/>
        </w:rPr>
      </w:pPr>
      <w:r>
        <w:rPr>
          <w:rFonts w:hint="eastAsia" w:ascii="仿宋" w:hAnsi="仿宋" w:eastAsia="仿宋" w:cs="仿宋"/>
          <w:color w:val="auto"/>
          <w:sz w:val="24"/>
          <w:szCs w:val="24"/>
        </w:rPr>
        <w:t>〈四〉投标方未能提供合格的资格审查文件；</w:t>
      </w:r>
    </w:p>
    <w:p>
      <w:pPr>
        <w:spacing w:line="360" w:lineRule="auto"/>
        <w:ind w:firstLine="489" w:firstLineChars="204"/>
        <w:rPr>
          <w:rFonts w:ascii="仿宋" w:hAnsi="仿宋" w:eastAsia="仿宋" w:cs="仿宋"/>
          <w:color w:val="auto"/>
          <w:sz w:val="24"/>
          <w:szCs w:val="24"/>
        </w:rPr>
      </w:pPr>
      <w:r>
        <w:rPr>
          <w:rFonts w:hint="eastAsia" w:ascii="仿宋" w:hAnsi="仿宋" w:eastAsia="仿宋" w:cs="仿宋"/>
          <w:color w:val="auto"/>
          <w:sz w:val="24"/>
          <w:szCs w:val="24"/>
        </w:rPr>
        <w:t>〈五〉标项以赠送方式投标的，提供两个投标方案的；</w:t>
      </w:r>
    </w:p>
    <w:p>
      <w:pPr>
        <w:spacing w:line="360" w:lineRule="auto"/>
        <w:ind w:firstLine="489" w:firstLineChars="204"/>
        <w:rPr>
          <w:rFonts w:ascii="仿宋" w:hAnsi="仿宋" w:eastAsia="仿宋" w:cs="仿宋"/>
          <w:color w:val="auto"/>
          <w:sz w:val="24"/>
          <w:szCs w:val="24"/>
        </w:rPr>
      </w:pPr>
      <w:r>
        <w:rPr>
          <w:rFonts w:hint="eastAsia" w:ascii="仿宋" w:hAnsi="仿宋" w:eastAsia="仿宋" w:cs="仿宋"/>
          <w:color w:val="auto"/>
          <w:sz w:val="24"/>
          <w:szCs w:val="24"/>
        </w:rPr>
        <w:t>〈六〉未注明投标品牌及详细型号的或标明的规格型号、质量标准和技术指标的、主要功能等与招标文件有重大偏离的投标文件（技术参数中打★号的条件不满足按技术指标与招标文件有重大偏离处理）；</w:t>
      </w:r>
    </w:p>
    <w:p>
      <w:pPr>
        <w:spacing w:line="360" w:lineRule="auto"/>
        <w:ind w:firstLine="491" w:firstLineChars="205"/>
        <w:rPr>
          <w:rFonts w:ascii="仿宋" w:hAnsi="仿宋" w:eastAsia="仿宋" w:cs="仿宋"/>
          <w:color w:val="auto"/>
          <w:sz w:val="24"/>
          <w:szCs w:val="24"/>
        </w:rPr>
      </w:pPr>
      <w:r>
        <w:rPr>
          <w:rFonts w:hint="eastAsia" w:ascii="仿宋" w:hAnsi="仿宋" w:eastAsia="仿宋" w:cs="仿宋"/>
          <w:color w:val="auto"/>
          <w:sz w:val="24"/>
          <w:szCs w:val="24"/>
        </w:rPr>
        <w:t>〈七〉标书有应盖而未盖公章或盖非公司公章的、未按招标文件要求签字的、标书份数不符合招标文件要求的、未装订（报价文件、商务资信文件、技术文件采用活页装订的投标文件（是指用卡条、抽杆夹、订书机等形式装订的投标文件）、未密封、未有效授权、注册资金不符，投标书、法定代表人授权书、资格声明函等填写不完整的；</w:t>
      </w:r>
    </w:p>
    <w:p>
      <w:pPr>
        <w:spacing w:line="360" w:lineRule="auto"/>
        <w:ind w:firstLine="491" w:firstLineChars="205"/>
        <w:rPr>
          <w:rFonts w:ascii="仿宋" w:hAnsi="仿宋" w:eastAsia="仿宋" w:cs="仿宋"/>
          <w:color w:val="auto"/>
          <w:sz w:val="24"/>
          <w:szCs w:val="24"/>
        </w:rPr>
      </w:pPr>
      <w:r>
        <w:rPr>
          <w:rFonts w:hint="eastAsia" w:ascii="仿宋" w:hAnsi="仿宋" w:eastAsia="仿宋" w:cs="仿宋"/>
          <w:color w:val="auto"/>
          <w:sz w:val="24"/>
          <w:szCs w:val="24"/>
        </w:rPr>
        <w:t>〈八〉投标文件正本与副本实质性内容不一致的；</w:t>
      </w:r>
    </w:p>
    <w:p>
      <w:pPr>
        <w:spacing w:line="360" w:lineRule="auto"/>
        <w:ind w:firstLine="491" w:firstLineChars="205"/>
        <w:rPr>
          <w:rFonts w:ascii="仿宋" w:hAnsi="仿宋" w:eastAsia="仿宋" w:cs="仿宋"/>
          <w:color w:val="auto"/>
          <w:sz w:val="24"/>
          <w:szCs w:val="24"/>
        </w:rPr>
      </w:pPr>
      <w:r>
        <w:rPr>
          <w:rFonts w:hint="eastAsia" w:ascii="仿宋" w:hAnsi="仿宋" w:eastAsia="仿宋" w:cs="仿宋"/>
          <w:color w:val="auto"/>
          <w:sz w:val="24"/>
          <w:szCs w:val="24"/>
        </w:rPr>
        <w:t>〈九〉投标有效期、交货时间（工期）、质保期等商务条款不能满足招标文件要求的；</w:t>
      </w:r>
    </w:p>
    <w:p>
      <w:pPr>
        <w:spacing w:line="360" w:lineRule="auto"/>
        <w:ind w:firstLine="491" w:firstLineChars="205"/>
        <w:rPr>
          <w:rFonts w:ascii="仿宋" w:hAnsi="仿宋" w:eastAsia="仿宋" w:cs="仿宋"/>
          <w:color w:val="auto"/>
          <w:sz w:val="24"/>
          <w:szCs w:val="24"/>
        </w:rPr>
      </w:pPr>
      <w:r>
        <w:rPr>
          <w:rFonts w:hint="eastAsia" w:ascii="仿宋" w:hAnsi="仿宋" w:eastAsia="仿宋" w:cs="仿宋"/>
          <w:color w:val="auto"/>
          <w:sz w:val="24"/>
          <w:szCs w:val="24"/>
        </w:rPr>
        <w:t>〈十〉不响应或者擅自改变招标文件要求或者投标文件有招标文件不能接受的附加条件的；</w:t>
      </w:r>
    </w:p>
    <w:p>
      <w:pPr>
        <w:spacing w:line="360" w:lineRule="auto"/>
        <w:ind w:firstLine="491" w:firstLineChars="205"/>
        <w:rPr>
          <w:rFonts w:ascii="仿宋" w:hAnsi="仿宋" w:eastAsia="仿宋" w:cs="仿宋"/>
          <w:color w:val="auto"/>
          <w:sz w:val="24"/>
          <w:szCs w:val="24"/>
        </w:rPr>
      </w:pPr>
      <w:r>
        <w:rPr>
          <w:rFonts w:hint="eastAsia" w:ascii="仿宋" w:hAnsi="仿宋" w:eastAsia="仿宋" w:cs="仿宋"/>
          <w:color w:val="auto"/>
          <w:sz w:val="24"/>
          <w:szCs w:val="24"/>
        </w:rPr>
        <w:t>〈十一〉投标文件的实质性内容未使用中文表述、意思表述不明确、前后矛盾或者使用计量单位不符合招标文件要求的（经评标委员会认定允许其当场更正的笔误除外）</w:t>
      </w:r>
    </w:p>
    <w:p>
      <w:pPr>
        <w:spacing w:line="360" w:lineRule="auto"/>
        <w:ind w:firstLine="491" w:firstLineChars="205"/>
        <w:rPr>
          <w:rFonts w:ascii="仿宋" w:hAnsi="仿宋" w:eastAsia="仿宋" w:cs="仿宋"/>
          <w:color w:val="auto"/>
          <w:sz w:val="24"/>
          <w:szCs w:val="24"/>
        </w:rPr>
      </w:pPr>
      <w:r>
        <w:rPr>
          <w:rFonts w:hint="eastAsia" w:ascii="仿宋" w:hAnsi="仿宋" w:eastAsia="仿宋" w:cs="仿宋"/>
          <w:color w:val="auto"/>
          <w:sz w:val="24"/>
          <w:szCs w:val="24"/>
        </w:rPr>
        <w:t>〈十二〉投标文件的关键内容字迹模糊、无法辨认的</w:t>
      </w:r>
      <w:r>
        <w:rPr>
          <w:rFonts w:ascii="仿宋" w:hAnsi="仿宋" w:eastAsia="仿宋" w:cs="仿宋"/>
          <w:color w:val="auto"/>
          <w:sz w:val="24"/>
          <w:szCs w:val="24"/>
        </w:rPr>
        <w:t>,</w:t>
      </w:r>
      <w:r>
        <w:rPr>
          <w:rFonts w:hint="eastAsia" w:ascii="仿宋" w:hAnsi="仿宋" w:eastAsia="仿宋" w:cs="仿宋"/>
          <w:color w:val="auto"/>
          <w:sz w:val="24"/>
          <w:szCs w:val="24"/>
        </w:rPr>
        <w:t>或者投标文件中经修正的内容字迹模糊难以辩认或者修改处未按规定签名盖章的；</w:t>
      </w:r>
    </w:p>
    <w:p>
      <w:pPr>
        <w:spacing w:line="360" w:lineRule="auto"/>
        <w:ind w:firstLine="491" w:firstLineChars="205"/>
        <w:rPr>
          <w:rFonts w:ascii="仿宋" w:hAnsi="仿宋" w:eastAsia="仿宋" w:cs="仿宋"/>
          <w:color w:val="auto"/>
          <w:sz w:val="24"/>
          <w:szCs w:val="24"/>
        </w:rPr>
      </w:pPr>
      <w:r>
        <w:rPr>
          <w:rFonts w:hint="eastAsia" w:ascii="仿宋" w:hAnsi="仿宋" w:eastAsia="仿宋" w:cs="仿宋"/>
          <w:color w:val="auto"/>
          <w:sz w:val="24"/>
          <w:szCs w:val="24"/>
        </w:rPr>
        <w:t>〈十三〉投标文件内容不完整，缺少投标文件组成部分中必须提供的内容的；</w:t>
      </w:r>
    </w:p>
    <w:p>
      <w:pPr>
        <w:spacing w:line="360" w:lineRule="auto"/>
        <w:ind w:firstLine="491" w:firstLineChars="205"/>
        <w:rPr>
          <w:rFonts w:ascii="仿宋" w:hAnsi="仿宋" w:eastAsia="仿宋" w:cs="仿宋"/>
          <w:color w:val="auto"/>
          <w:sz w:val="24"/>
          <w:szCs w:val="24"/>
        </w:rPr>
      </w:pPr>
      <w:r>
        <w:rPr>
          <w:rFonts w:hint="eastAsia" w:ascii="仿宋" w:hAnsi="仿宋" w:eastAsia="仿宋" w:cs="仿宋"/>
          <w:color w:val="auto"/>
          <w:sz w:val="24"/>
          <w:szCs w:val="24"/>
        </w:rPr>
        <w:t>〈十四〉未提供或未如实提供投标货物的技术参数，或者投标文件标明的响应或偏离与事实不符的；</w:t>
      </w:r>
    </w:p>
    <w:p>
      <w:pPr>
        <w:spacing w:line="360" w:lineRule="auto"/>
        <w:ind w:firstLine="491" w:firstLineChars="205"/>
        <w:rPr>
          <w:rFonts w:ascii="仿宋" w:hAnsi="仿宋" w:eastAsia="仿宋" w:cs="仿宋"/>
          <w:color w:val="auto"/>
          <w:kern w:val="0"/>
          <w:sz w:val="24"/>
          <w:szCs w:val="24"/>
        </w:rPr>
      </w:pPr>
      <w:r>
        <w:rPr>
          <w:rFonts w:hint="eastAsia" w:ascii="仿宋" w:hAnsi="仿宋" w:eastAsia="仿宋" w:cs="仿宋"/>
          <w:color w:val="auto"/>
          <w:sz w:val="24"/>
          <w:szCs w:val="24"/>
        </w:rPr>
        <w:t>〈十五〉</w:t>
      </w:r>
      <w:r>
        <w:rPr>
          <w:rFonts w:hint="eastAsia" w:ascii="仿宋" w:hAnsi="仿宋" w:eastAsia="仿宋" w:cs="仿宋"/>
          <w:color w:val="auto"/>
          <w:kern w:val="0"/>
          <w:sz w:val="24"/>
          <w:szCs w:val="24"/>
        </w:rPr>
        <w:t>未提供《报价文件》以及在</w:t>
      </w:r>
      <w:r>
        <w:rPr>
          <w:rFonts w:hint="eastAsia" w:ascii="仿宋" w:hAnsi="仿宋" w:eastAsia="仿宋" w:cs="仿宋"/>
          <w:bCs/>
          <w:color w:val="auto"/>
          <w:sz w:val="24"/>
          <w:szCs w:val="24"/>
        </w:rPr>
        <w:t>技术文件、商务资信文件</w:t>
      </w:r>
      <w:r>
        <w:rPr>
          <w:rFonts w:hint="eastAsia" w:ascii="仿宋" w:hAnsi="仿宋" w:eastAsia="仿宋" w:cs="仿宋"/>
          <w:color w:val="auto"/>
          <w:kern w:val="0"/>
          <w:sz w:val="24"/>
          <w:szCs w:val="24"/>
        </w:rPr>
        <w:t>正副本中出现与《报价文件》的投标报价有关内容或标记的投标文件；</w:t>
      </w:r>
    </w:p>
    <w:p>
      <w:pPr>
        <w:spacing w:line="360" w:lineRule="auto"/>
        <w:ind w:firstLine="491" w:firstLineChars="205"/>
        <w:rPr>
          <w:rFonts w:ascii="仿宋" w:hAnsi="仿宋" w:eastAsia="仿宋" w:cs="仿宋"/>
          <w:color w:val="auto"/>
          <w:kern w:val="0"/>
          <w:sz w:val="24"/>
          <w:szCs w:val="24"/>
        </w:rPr>
      </w:pPr>
      <w:r>
        <w:rPr>
          <w:rFonts w:hint="eastAsia" w:ascii="仿宋" w:hAnsi="仿宋" w:eastAsia="仿宋" w:cs="仿宋"/>
          <w:color w:val="auto"/>
          <w:kern w:val="0"/>
          <w:sz w:val="24"/>
          <w:szCs w:val="24"/>
        </w:rPr>
        <w:t>〈十六〉投标报价超过最高限价（预算价）的；</w:t>
      </w:r>
    </w:p>
    <w:p>
      <w:pPr>
        <w:spacing w:line="360" w:lineRule="auto"/>
        <w:ind w:firstLine="491" w:firstLineChars="205"/>
        <w:rPr>
          <w:rFonts w:ascii="仿宋" w:hAnsi="仿宋" w:eastAsia="仿宋" w:cs="仿宋"/>
          <w:color w:val="auto"/>
          <w:kern w:val="0"/>
          <w:sz w:val="24"/>
          <w:szCs w:val="24"/>
        </w:rPr>
      </w:pPr>
      <w:r>
        <w:rPr>
          <w:rFonts w:hint="eastAsia" w:ascii="仿宋" w:hAnsi="仿宋" w:eastAsia="仿宋" w:cs="仿宋"/>
          <w:color w:val="auto"/>
          <w:sz w:val="24"/>
          <w:szCs w:val="24"/>
        </w:rPr>
        <w:t>〈十七〉不符合法律、法规和本招标文件规定的其他实质性要求的。</w:t>
      </w:r>
    </w:p>
    <w:p>
      <w:pPr>
        <w:spacing w:line="360" w:lineRule="auto"/>
        <w:ind w:left="596" w:leftChars="284" w:firstLine="12" w:firstLineChars="5"/>
        <w:rPr>
          <w:rFonts w:ascii="仿宋" w:hAnsi="仿宋" w:eastAsia="仿宋" w:cs="仿宋"/>
          <w:b/>
          <w:color w:val="auto"/>
          <w:sz w:val="24"/>
          <w:szCs w:val="24"/>
        </w:rPr>
      </w:pPr>
      <w:r>
        <w:rPr>
          <w:rFonts w:hint="eastAsia" w:ascii="仿宋" w:hAnsi="仿宋" w:eastAsia="仿宋" w:cs="仿宋"/>
          <w:b/>
          <w:color w:val="auto"/>
          <w:sz w:val="24"/>
          <w:szCs w:val="24"/>
        </w:rPr>
        <w:t>十四、标书答疑：</w:t>
      </w:r>
    </w:p>
    <w:p>
      <w:pPr>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如对本次招标文件存在疑问，请将书面文件在前附表规定的时间之前，送至</w:t>
      </w:r>
      <w:r>
        <w:rPr>
          <w:rFonts w:hint="eastAsia" w:ascii="仿宋" w:hAnsi="仿宋" w:eastAsia="仿宋" w:cs="仿宋"/>
          <w:color w:val="auto"/>
          <w:sz w:val="24"/>
          <w:szCs w:val="24"/>
          <w:lang w:eastAsia="zh-CN"/>
        </w:rPr>
        <w:t>欧邦工程管理集团有限公司</w:t>
      </w:r>
      <w:r>
        <w:rPr>
          <w:rFonts w:hint="eastAsia" w:ascii="仿宋" w:hAnsi="仿宋" w:eastAsia="仿宋" w:cs="仿宋"/>
          <w:color w:val="auto"/>
          <w:sz w:val="24"/>
          <w:szCs w:val="24"/>
        </w:rPr>
        <w:t>（浙江省建德市新安江街道</w:t>
      </w:r>
      <w:r>
        <w:rPr>
          <w:rFonts w:hint="eastAsia" w:ascii="仿宋" w:hAnsi="仿宋" w:eastAsia="仿宋" w:cs="仿宋"/>
          <w:color w:val="auto"/>
          <w:sz w:val="24"/>
          <w:szCs w:val="24"/>
          <w:lang w:eastAsia="zh-CN"/>
        </w:rPr>
        <w:t>红枫商城</w:t>
      </w:r>
      <w:r>
        <w:rPr>
          <w:rFonts w:hint="eastAsia" w:ascii="仿宋" w:hAnsi="仿宋" w:eastAsia="仿宋" w:cs="仿宋"/>
          <w:color w:val="auto"/>
          <w:sz w:val="24"/>
          <w:szCs w:val="24"/>
          <w:lang w:val="en-US" w:eastAsia="zh-CN"/>
        </w:rPr>
        <w:t>15号2层</w:t>
      </w:r>
      <w:r>
        <w:rPr>
          <w:rFonts w:hint="eastAsia" w:ascii="仿宋" w:hAnsi="仿宋" w:eastAsia="仿宋" w:cs="仿宋"/>
          <w:color w:val="auto"/>
          <w:sz w:val="24"/>
          <w:szCs w:val="24"/>
        </w:rPr>
        <w:t>），招标方将做统一答复，如规定时间内未收到任何质疑，则视为各投标方均对此无异议。</w:t>
      </w:r>
    </w:p>
    <w:p>
      <w:pPr>
        <w:widowControl/>
        <w:spacing w:line="360" w:lineRule="auto"/>
        <w:ind w:firstLine="482" w:firstLineChars="200"/>
        <w:jc w:val="left"/>
        <w:rPr>
          <w:rFonts w:ascii="仿宋" w:hAnsi="仿宋" w:eastAsia="仿宋" w:cs="仿宋"/>
          <w:b/>
          <w:color w:val="auto"/>
          <w:sz w:val="24"/>
          <w:szCs w:val="24"/>
        </w:rPr>
      </w:pPr>
      <w:r>
        <w:rPr>
          <w:rFonts w:hint="eastAsia" w:ascii="仿宋" w:hAnsi="仿宋" w:eastAsia="仿宋" w:cs="仿宋"/>
          <w:b/>
          <w:color w:val="auto"/>
          <w:sz w:val="24"/>
          <w:szCs w:val="24"/>
        </w:rPr>
        <w:t>十五、特别声明：</w:t>
      </w:r>
    </w:p>
    <w:p>
      <w:pPr>
        <w:tabs>
          <w:tab w:val="left" w:pos="1395"/>
        </w:tabs>
        <w:autoSpaceDE w:val="0"/>
        <w:autoSpaceDN w:val="0"/>
        <w:adjustRightInd w:val="0"/>
        <w:spacing w:line="360" w:lineRule="auto"/>
        <w:ind w:right="72"/>
        <w:jc w:val="left"/>
        <w:rPr>
          <w:rFonts w:ascii="仿宋" w:hAnsi="仿宋" w:eastAsia="仿宋" w:cs="仿宋"/>
          <w:b/>
          <w:color w:val="auto"/>
          <w:sz w:val="24"/>
          <w:szCs w:val="24"/>
        </w:rPr>
      </w:pPr>
      <w:r>
        <w:rPr>
          <w:rFonts w:ascii="仿宋" w:hAnsi="仿宋" w:eastAsia="仿宋" w:cs="仿宋"/>
          <w:b/>
          <w:color w:val="auto"/>
          <w:sz w:val="24"/>
          <w:szCs w:val="24"/>
        </w:rPr>
        <w:t xml:space="preserve">    &lt;</w:t>
      </w:r>
      <w:r>
        <w:rPr>
          <w:rFonts w:hint="eastAsia" w:ascii="仿宋" w:hAnsi="仿宋" w:eastAsia="仿宋" w:cs="仿宋"/>
          <w:b/>
          <w:color w:val="auto"/>
          <w:sz w:val="24"/>
          <w:szCs w:val="24"/>
        </w:rPr>
        <w:t>一</w:t>
      </w:r>
      <w:r>
        <w:rPr>
          <w:rFonts w:ascii="仿宋" w:hAnsi="仿宋" w:eastAsia="仿宋" w:cs="仿宋"/>
          <w:b/>
          <w:color w:val="auto"/>
          <w:sz w:val="24"/>
          <w:szCs w:val="24"/>
        </w:rPr>
        <w:t>&gt;</w:t>
      </w:r>
      <w:r>
        <w:rPr>
          <w:rFonts w:hint="eastAsia" w:ascii="仿宋" w:hAnsi="仿宋" w:eastAsia="仿宋" w:cs="仿宋"/>
          <w:b/>
          <w:color w:val="auto"/>
          <w:sz w:val="24"/>
          <w:szCs w:val="24"/>
        </w:rPr>
        <w:t>价格是评标的重要因素之一，但最低报价不是中标的唯一依据。</w:t>
      </w:r>
    </w:p>
    <w:p>
      <w:pPr>
        <w:tabs>
          <w:tab w:val="left" w:pos="1395"/>
        </w:tabs>
        <w:autoSpaceDE w:val="0"/>
        <w:autoSpaceDN w:val="0"/>
        <w:adjustRightInd w:val="0"/>
        <w:spacing w:line="360" w:lineRule="auto"/>
        <w:ind w:right="72"/>
        <w:jc w:val="left"/>
        <w:rPr>
          <w:rFonts w:ascii="仿宋" w:hAnsi="仿宋" w:eastAsia="仿宋" w:cs="仿宋"/>
          <w:b/>
          <w:color w:val="auto"/>
          <w:sz w:val="24"/>
          <w:szCs w:val="24"/>
        </w:rPr>
      </w:pPr>
      <w:r>
        <w:rPr>
          <w:rFonts w:ascii="仿宋" w:hAnsi="仿宋" w:eastAsia="仿宋" w:cs="仿宋"/>
          <w:b/>
          <w:color w:val="auto"/>
          <w:sz w:val="24"/>
          <w:szCs w:val="24"/>
        </w:rPr>
        <w:t xml:space="preserve">    &lt;</w:t>
      </w:r>
      <w:r>
        <w:rPr>
          <w:rFonts w:hint="eastAsia" w:ascii="仿宋" w:hAnsi="仿宋" w:eastAsia="仿宋" w:cs="仿宋"/>
          <w:b/>
          <w:color w:val="auto"/>
          <w:sz w:val="24"/>
          <w:szCs w:val="24"/>
        </w:rPr>
        <w:t>二</w:t>
      </w:r>
      <w:r>
        <w:rPr>
          <w:rFonts w:ascii="仿宋" w:hAnsi="仿宋" w:eastAsia="仿宋" w:cs="仿宋"/>
          <w:b/>
          <w:color w:val="auto"/>
          <w:sz w:val="24"/>
          <w:szCs w:val="24"/>
        </w:rPr>
        <w:t>&gt;</w:t>
      </w:r>
      <w:r>
        <w:rPr>
          <w:rFonts w:hint="eastAsia" w:ascii="仿宋" w:hAnsi="仿宋" w:eastAsia="仿宋" w:cs="仿宋"/>
          <w:b/>
          <w:color w:val="auto"/>
          <w:sz w:val="24"/>
          <w:szCs w:val="24"/>
        </w:rPr>
        <w:t>本项目设有最高限价（预算价），最高限价为人民币</w:t>
      </w:r>
      <w:r>
        <w:rPr>
          <w:rFonts w:hint="eastAsia" w:ascii="仿宋" w:hAnsi="仿宋" w:eastAsia="仿宋" w:cs="仿宋"/>
          <w:b/>
          <w:color w:val="auto"/>
          <w:sz w:val="24"/>
          <w:szCs w:val="24"/>
          <w:lang w:eastAsia="zh-CN"/>
        </w:rPr>
        <w:t>玖拾壹万元</w:t>
      </w:r>
      <w:r>
        <w:rPr>
          <w:rFonts w:hint="eastAsia" w:ascii="仿宋" w:hAnsi="仿宋" w:eastAsia="仿宋" w:cs="仿宋"/>
          <w:b/>
          <w:color w:val="auto"/>
          <w:sz w:val="24"/>
          <w:szCs w:val="24"/>
        </w:rPr>
        <w:t>整（￥：</w:t>
      </w:r>
      <w:r>
        <w:rPr>
          <w:rFonts w:hint="eastAsia" w:ascii="仿宋" w:hAnsi="仿宋" w:eastAsia="仿宋" w:cs="仿宋"/>
          <w:b/>
          <w:color w:val="auto"/>
          <w:sz w:val="24"/>
          <w:szCs w:val="24"/>
          <w:lang w:eastAsia="zh-CN"/>
        </w:rPr>
        <w:t>910000.00</w:t>
      </w:r>
      <w:r>
        <w:rPr>
          <w:rFonts w:hint="eastAsia" w:ascii="仿宋" w:hAnsi="仿宋" w:eastAsia="仿宋" w:cs="仿宋"/>
          <w:b/>
          <w:color w:val="auto"/>
          <w:sz w:val="24"/>
          <w:szCs w:val="24"/>
        </w:rPr>
        <w:t>元） ，投标报价超过最高限价（预算单价或预算总价）的，按无效标处理。</w:t>
      </w:r>
    </w:p>
    <w:p>
      <w:pPr>
        <w:spacing w:line="360" w:lineRule="auto"/>
        <w:ind w:firstLine="482" w:firstLineChars="200"/>
        <w:jc w:val="left"/>
        <w:rPr>
          <w:rFonts w:ascii="仿宋" w:hAnsi="仿宋" w:eastAsia="仿宋" w:cs="仿宋"/>
          <w:color w:val="auto"/>
          <w:sz w:val="24"/>
          <w:szCs w:val="24"/>
        </w:rPr>
      </w:pPr>
      <w:r>
        <w:rPr>
          <w:rFonts w:ascii="仿宋" w:hAnsi="仿宋" w:eastAsia="仿宋" w:cs="仿宋"/>
          <w:b/>
          <w:color w:val="auto"/>
          <w:sz w:val="24"/>
          <w:szCs w:val="24"/>
        </w:rPr>
        <w:t>&lt;</w:t>
      </w:r>
      <w:r>
        <w:rPr>
          <w:rFonts w:hint="eastAsia" w:ascii="仿宋" w:hAnsi="仿宋" w:eastAsia="仿宋" w:cs="仿宋"/>
          <w:b/>
          <w:color w:val="auto"/>
          <w:sz w:val="24"/>
          <w:szCs w:val="24"/>
        </w:rPr>
        <w:t>三</w:t>
      </w:r>
      <w:r>
        <w:rPr>
          <w:rFonts w:ascii="仿宋" w:hAnsi="仿宋" w:eastAsia="仿宋" w:cs="仿宋"/>
          <w:b/>
          <w:color w:val="auto"/>
          <w:sz w:val="24"/>
          <w:szCs w:val="24"/>
        </w:rPr>
        <w:t>&gt;</w:t>
      </w:r>
      <w:r>
        <w:rPr>
          <w:rFonts w:hint="eastAsia" w:ascii="仿宋" w:hAnsi="仿宋" w:eastAsia="仿宋" w:cs="仿宋"/>
          <w:b/>
          <w:bCs/>
          <w:color w:val="auto"/>
          <w:sz w:val="24"/>
          <w:szCs w:val="24"/>
        </w:rPr>
        <w:t>本项目的投标报价应含采购服务费，采购服务费为人民币</w:t>
      </w:r>
      <w:r>
        <w:rPr>
          <w:rFonts w:hint="eastAsia" w:ascii="仿宋" w:hAnsi="仿宋" w:eastAsia="仿宋" w:cs="仿宋"/>
          <w:b/>
          <w:bCs/>
          <w:color w:val="auto"/>
          <w:sz w:val="24"/>
          <w:szCs w:val="24"/>
          <w:lang w:eastAsia="zh-CN"/>
        </w:rPr>
        <w:t>柒仟肆佰伍拾贰元</w:t>
      </w:r>
      <w:r>
        <w:rPr>
          <w:rFonts w:hint="eastAsia" w:ascii="仿宋" w:hAnsi="仿宋" w:eastAsia="仿宋" w:cs="仿宋"/>
          <w:b/>
          <w:bCs/>
          <w:color w:val="auto"/>
          <w:sz w:val="24"/>
          <w:szCs w:val="24"/>
        </w:rPr>
        <w:t>整（￥：</w:t>
      </w:r>
      <w:r>
        <w:rPr>
          <w:rFonts w:hint="eastAsia" w:ascii="仿宋" w:hAnsi="仿宋" w:eastAsia="仿宋" w:cs="仿宋"/>
          <w:b/>
          <w:bCs/>
          <w:color w:val="auto"/>
          <w:sz w:val="24"/>
          <w:szCs w:val="24"/>
          <w:u w:val="single"/>
          <w:lang w:val="en-US" w:eastAsia="zh-CN"/>
        </w:rPr>
        <w:t>7452</w:t>
      </w:r>
      <w:r>
        <w:rPr>
          <w:rFonts w:ascii="仿宋" w:hAnsi="仿宋" w:eastAsia="仿宋" w:cs="仿宋"/>
          <w:b/>
          <w:bCs/>
          <w:color w:val="auto"/>
          <w:sz w:val="24"/>
          <w:szCs w:val="24"/>
          <w:u w:val="single"/>
        </w:rPr>
        <w:t>.00</w:t>
      </w:r>
      <w:r>
        <w:rPr>
          <w:rFonts w:hint="eastAsia" w:ascii="仿宋" w:hAnsi="仿宋" w:eastAsia="仿宋" w:cs="仿宋"/>
          <w:b/>
          <w:bCs/>
          <w:color w:val="auto"/>
          <w:sz w:val="24"/>
          <w:szCs w:val="24"/>
        </w:rPr>
        <w:t>元），由各中标单位在领取中标通知书时分别支付给采购代理公司。各投标供应商在报价时应考虑包含上述费用。</w:t>
      </w:r>
    </w:p>
    <w:p>
      <w:pPr>
        <w:spacing w:line="360" w:lineRule="auto"/>
        <w:ind w:firstLine="494" w:firstLineChars="205"/>
        <w:jc w:val="left"/>
        <w:rPr>
          <w:rFonts w:ascii="仿宋" w:hAnsi="仿宋" w:eastAsia="仿宋" w:cs="仿宋"/>
          <w:b/>
          <w:color w:val="auto"/>
          <w:sz w:val="24"/>
          <w:szCs w:val="24"/>
        </w:rPr>
      </w:pPr>
      <w:r>
        <w:rPr>
          <w:rFonts w:hint="eastAsia" w:ascii="仿宋" w:hAnsi="仿宋" w:eastAsia="仿宋" w:cs="仿宋"/>
          <w:b/>
          <w:color w:val="auto"/>
          <w:sz w:val="24"/>
          <w:szCs w:val="24"/>
        </w:rPr>
        <w:t>十六、其他</w:t>
      </w:r>
    </w:p>
    <w:p>
      <w:pPr>
        <w:autoSpaceDE w:val="0"/>
        <w:autoSpaceDN w:val="0"/>
        <w:adjustRightInd w:val="0"/>
        <w:spacing w:line="360" w:lineRule="auto"/>
        <w:ind w:firstLine="491" w:firstLineChars="205"/>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〈一〉如果有确凿证据证明各投标方之间存在串标等舞弊、违法行为，认为将损害自身利益，有权拒绝存在此行为的投标方投标或投标作废。</w:t>
      </w:r>
    </w:p>
    <w:p>
      <w:pPr>
        <w:autoSpaceDE w:val="0"/>
        <w:autoSpaceDN w:val="0"/>
        <w:adjustRightInd w:val="0"/>
        <w:spacing w:line="360" w:lineRule="auto"/>
        <w:ind w:firstLine="491" w:firstLineChars="205"/>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〈二〉本文件未及事项，在签订合同时供需及使用方友好商定。</w:t>
      </w:r>
    </w:p>
    <w:p>
      <w:pPr>
        <w:pStyle w:val="28"/>
        <w:spacing w:line="440" w:lineRule="exact"/>
        <w:ind w:left="0"/>
        <w:jc w:val="center"/>
        <w:rPr>
          <w:rStyle w:val="97"/>
          <w:rFonts w:hint="eastAsia" w:ascii="仿宋" w:hAnsi="仿宋" w:eastAsia="仿宋" w:cs="仿宋"/>
          <w:b/>
          <w:bCs/>
          <w:color w:val="auto"/>
          <w:sz w:val="36"/>
          <w:szCs w:val="36"/>
        </w:rPr>
      </w:pPr>
    </w:p>
    <w:p>
      <w:pPr>
        <w:pStyle w:val="28"/>
        <w:spacing w:line="440" w:lineRule="exact"/>
        <w:ind w:left="0"/>
        <w:jc w:val="center"/>
        <w:rPr>
          <w:rStyle w:val="97"/>
          <w:rFonts w:hint="eastAsia" w:ascii="仿宋" w:hAnsi="仿宋" w:eastAsia="仿宋" w:cs="仿宋"/>
          <w:b/>
          <w:bCs/>
          <w:color w:val="auto"/>
          <w:sz w:val="36"/>
          <w:szCs w:val="36"/>
        </w:rPr>
      </w:pPr>
    </w:p>
    <w:p>
      <w:pPr>
        <w:pStyle w:val="28"/>
        <w:spacing w:line="440" w:lineRule="exact"/>
        <w:ind w:left="0"/>
        <w:jc w:val="center"/>
        <w:rPr>
          <w:rStyle w:val="97"/>
          <w:rFonts w:hint="eastAsia" w:ascii="仿宋" w:hAnsi="仿宋" w:eastAsia="仿宋" w:cs="仿宋"/>
          <w:b/>
          <w:bCs/>
          <w:color w:val="auto"/>
          <w:sz w:val="36"/>
          <w:szCs w:val="36"/>
        </w:rPr>
      </w:pPr>
    </w:p>
    <w:p>
      <w:pPr>
        <w:pStyle w:val="28"/>
        <w:spacing w:line="440" w:lineRule="exact"/>
        <w:ind w:left="0"/>
        <w:jc w:val="center"/>
        <w:rPr>
          <w:rStyle w:val="97"/>
          <w:rFonts w:hint="eastAsia" w:ascii="仿宋" w:hAnsi="仿宋" w:eastAsia="仿宋" w:cs="仿宋"/>
          <w:b/>
          <w:bCs/>
          <w:color w:val="auto"/>
          <w:sz w:val="36"/>
          <w:szCs w:val="36"/>
        </w:rPr>
      </w:pPr>
    </w:p>
    <w:p>
      <w:pPr>
        <w:pStyle w:val="28"/>
        <w:spacing w:line="440" w:lineRule="exact"/>
        <w:ind w:left="0"/>
        <w:jc w:val="center"/>
        <w:rPr>
          <w:rStyle w:val="97"/>
          <w:rFonts w:hint="eastAsia" w:ascii="仿宋" w:hAnsi="仿宋" w:eastAsia="仿宋" w:cs="仿宋"/>
          <w:b/>
          <w:bCs/>
          <w:color w:val="auto"/>
          <w:sz w:val="36"/>
          <w:szCs w:val="36"/>
        </w:rPr>
      </w:pPr>
    </w:p>
    <w:p>
      <w:pPr>
        <w:pStyle w:val="58"/>
        <w:ind w:left="0" w:leftChars="0" w:firstLine="0" w:firstLineChars="0"/>
        <w:rPr>
          <w:rFonts w:hint="eastAsia"/>
          <w:color w:val="auto"/>
        </w:rPr>
      </w:pPr>
    </w:p>
    <w:p>
      <w:pPr>
        <w:pStyle w:val="28"/>
        <w:keepNext w:val="0"/>
        <w:keepLines w:val="0"/>
        <w:pageBreakBefore w:val="0"/>
        <w:kinsoku/>
        <w:wordWrap/>
        <w:topLinePunct w:val="0"/>
        <w:bidi w:val="0"/>
        <w:snapToGrid/>
        <w:spacing w:line="339" w:lineRule="auto"/>
        <w:ind w:left="0"/>
        <w:jc w:val="center"/>
        <w:rPr>
          <w:rStyle w:val="97"/>
          <w:rFonts w:ascii="仿宋" w:hAnsi="仿宋" w:eastAsia="仿宋" w:cs="仿宋"/>
          <w:b/>
          <w:bCs/>
          <w:color w:val="auto"/>
          <w:sz w:val="36"/>
          <w:szCs w:val="36"/>
        </w:rPr>
      </w:pPr>
      <w:r>
        <w:rPr>
          <w:rStyle w:val="97"/>
          <w:rFonts w:hint="eastAsia" w:ascii="仿宋" w:hAnsi="仿宋" w:eastAsia="仿宋" w:cs="仿宋"/>
          <w:b/>
          <w:bCs/>
          <w:color w:val="auto"/>
          <w:sz w:val="36"/>
          <w:szCs w:val="36"/>
        </w:rPr>
        <w:t>第三章</w:t>
      </w:r>
      <w:r>
        <w:rPr>
          <w:rStyle w:val="97"/>
          <w:rFonts w:ascii="仿宋" w:hAnsi="仿宋" w:eastAsia="仿宋" w:cs="仿宋"/>
          <w:b/>
          <w:bCs/>
          <w:color w:val="auto"/>
          <w:sz w:val="36"/>
          <w:szCs w:val="36"/>
        </w:rPr>
        <w:t xml:space="preserve">  </w:t>
      </w:r>
      <w:r>
        <w:rPr>
          <w:rStyle w:val="97"/>
          <w:rFonts w:hint="eastAsia" w:ascii="仿宋" w:hAnsi="仿宋" w:eastAsia="仿宋" w:cs="仿宋"/>
          <w:b/>
          <w:bCs/>
          <w:color w:val="auto"/>
          <w:sz w:val="36"/>
          <w:szCs w:val="36"/>
        </w:rPr>
        <w:t>开标和评标须知</w:t>
      </w:r>
    </w:p>
    <w:p>
      <w:pPr>
        <w:keepNext w:val="0"/>
        <w:keepLines w:val="0"/>
        <w:pageBreakBefore w:val="0"/>
        <w:kinsoku/>
        <w:wordWrap/>
        <w:topLinePunct w:val="0"/>
        <w:bidi w:val="0"/>
        <w:snapToGrid/>
        <w:spacing w:line="339" w:lineRule="auto"/>
        <w:ind w:right="-176" w:rightChars="-84" w:firstLine="472" w:firstLineChars="196"/>
        <w:rPr>
          <w:rFonts w:ascii="仿宋" w:hAnsi="仿宋" w:eastAsia="仿宋" w:cs="仿宋"/>
          <w:b/>
          <w:color w:val="auto"/>
          <w:sz w:val="24"/>
          <w:szCs w:val="24"/>
        </w:rPr>
      </w:pPr>
      <w:r>
        <w:rPr>
          <w:rFonts w:hint="eastAsia" w:ascii="仿宋" w:hAnsi="仿宋" w:eastAsia="仿宋" w:cs="仿宋"/>
          <w:b/>
          <w:color w:val="auto"/>
          <w:sz w:val="24"/>
          <w:szCs w:val="24"/>
        </w:rPr>
        <w:t>一、开标</w:t>
      </w:r>
    </w:p>
    <w:p>
      <w:pPr>
        <w:keepNext w:val="0"/>
        <w:keepLines w:val="0"/>
        <w:pageBreakBefore w:val="0"/>
        <w:kinsoku/>
        <w:wordWrap/>
        <w:topLinePunct w:val="0"/>
        <w:bidi w:val="0"/>
        <w:snapToGrid/>
        <w:spacing w:line="339" w:lineRule="auto"/>
        <w:ind w:left="-176" w:leftChars="-84" w:right="-176" w:rightChars="-84" w:firstLine="360" w:firstLineChars="150"/>
        <w:rPr>
          <w:rFonts w:ascii="仿宋" w:hAnsi="仿宋" w:eastAsia="仿宋" w:cs="仿宋"/>
          <w:color w:val="auto"/>
          <w:sz w:val="24"/>
          <w:szCs w:val="24"/>
        </w:rPr>
      </w:pPr>
      <w:r>
        <w:rPr>
          <w:rFonts w:hint="eastAsia" w:ascii="仿宋" w:hAnsi="仿宋" w:eastAsia="仿宋" w:cs="仿宋"/>
          <w:color w:val="auto"/>
          <w:sz w:val="24"/>
          <w:szCs w:val="24"/>
        </w:rPr>
        <w:t>〈一〉招标方在招标文件规定的时间和地点公开开标，投标方授权代表必须参加并签到。投标人的法定代表人或其委托代理人未按时签到的，视同放弃开标监督权利、默认开标结果。</w:t>
      </w:r>
    </w:p>
    <w:p>
      <w:pPr>
        <w:pStyle w:val="26"/>
        <w:keepNext w:val="0"/>
        <w:keepLines w:val="0"/>
        <w:pageBreakBefore w:val="0"/>
        <w:kinsoku/>
        <w:wordWrap/>
        <w:topLinePunct w:val="0"/>
        <w:bidi w:val="0"/>
        <w:snapToGrid/>
        <w:spacing w:line="339" w:lineRule="auto"/>
        <w:ind w:firstLine="241" w:firstLineChars="100"/>
        <w:rPr>
          <w:rFonts w:ascii="仿宋" w:hAnsi="仿宋" w:eastAsia="仿宋" w:cs="仿宋"/>
          <w:b/>
          <w:bCs/>
          <w:color w:val="auto"/>
          <w:sz w:val="24"/>
          <w:szCs w:val="24"/>
        </w:rPr>
      </w:pPr>
      <w:r>
        <w:rPr>
          <w:rFonts w:hint="eastAsia" w:ascii="仿宋" w:hAnsi="仿宋" w:eastAsia="仿宋" w:cs="仿宋"/>
          <w:b/>
          <w:bCs/>
          <w:color w:val="auto"/>
          <w:sz w:val="24"/>
          <w:szCs w:val="24"/>
        </w:rPr>
        <w:t>〈二〉开标程序：</w:t>
      </w:r>
    </w:p>
    <w:p>
      <w:pPr>
        <w:pStyle w:val="26"/>
        <w:keepNext w:val="0"/>
        <w:keepLines w:val="0"/>
        <w:pageBreakBefore w:val="0"/>
        <w:kinsoku/>
        <w:wordWrap/>
        <w:topLinePunct w:val="0"/>
        <w:bidi w:val="0"/>
        <w:snapToGrid/>
        <w:spacing w:line="339" w:lineRule="auto"/>
        <w:ind w:firstLine="480" w:firstLineChars="200"/>
        <w:rPr>
          <w:rFonts w:ascii="仿宋" w:hAnsi="仿宋" w:eastAsia="仿宋" w:cs="仿宋"/>
          <w:color w:val="auto"/>
          <w:sz w:val="24"/>
          <w:szCs w:val="24"/>
        </w:rPr>
      </w:pPr>
      <w:r>
        <w:rPr>
          <w:rFonts w:ascii="仿宋" w:hAnsi="仿宋" w:eastAsia="仿宋" w:cs="仿宋"/>
          <w:color w:val="auto"/>
          <w:sz w:val="24"/>
          <w:szCs w:val="24"/>
        </w:rPr>
        <w:t>1</w:t>
      </w:r>
      <w:r>
        <w:rPr>
          <w:rFonts w:hint="eastAsia" w:ascii="仿宋" w:hAnsi="仿宋" w:eastAsia="仿宋" w:cs="仿宋"/>
          <w:color w:val="auto"/>
          <w:sz w:val="24"/>
          <w:szCs w:val="24"/>
        </w:rPr>
        <w:t>、由采购组织机构工作人员或公证人员核对验证投标方授权代表的本人身份证或护照等能证明其有效身份的证件原件。</w:t>
      </w:r>
    </w:p>
    <w:p>
      <w:pPr>
        <w:pStyle w:val="26"/>
        <w:keepNext w:val="0"/>
        <w:keepLines w:val="0"/>
        <w:pageBreakBefore w:val="0"/>
        <w:kinsoku/>
        <w:wordWrap/>
        <w:topLinePunct w:val="0"/>
        <w:bidi w:val="0"/>
        <w:snapToGrid/>
        <w:spacing w:line="339" w:lineRule="auto"/>
        <w:ind w:firstLine="480" w:firstLineChars="200"/>
        <w:rPr>
          <w:rFonts w:ascii="仿宋" w:hAnsi="仿宋" w:eastAsia="仿宋" w:cs="仿宋"/>
          <w:color w:val="auto"/>
          <w:sz w:val="24"/>
          <w:szCs w:val="24"/>
        </w:rPr>
      </w:pPr>
      <w:r>
        <w:rPr>
          <w:rFonts w:ascii="仿宋" w:hAnsi="仿宋" w:eastAsia="仿宋" w:cs="仿宋"/>
          <w:color w:val="auto"/>
          <w:sz w:val="24"/>
          <w:szCs w:val="24"/>
        </w:rPr>
        <w:t>2</w:t>
      </w:r>
      <w:r>
        <w:rPr>
          <w:rFonts w:hint="eastAsia" w:ascii="仿宋" w:hAnsi="仿宋" w:eastAsia="仿宋" w:cs="仿宋"/>
          <w:color w:val="auto"/>
          <w:sz w:val="24"/>
          <w:szCs w:val="24"/>
        </w:rPr>
        <w:t>、开标会由</w:t>
      </w:r>
      <w:r>
        <w:rPr>
          <w:rFonts w:hint="eastAsia" w:ascii="仿宋" w:hAnsi="仿宋" w:eastAsia="仿宋" w:cs="仿宋"/>
          <w:color w:val="auto"/>
          <w:sz w:val="24"/>
          <w:szCs w:val="24"/>
          <w:lang w:eastAsia="zh-CN"/>
        </w:rPr>
        <w:t>欧邦工程管理集团有限公司</w:t>
      </w:r>
      <w:r>
        <w:rPr>
          <w:rFonts w:hint="eastAsia" w:ascii="仿宋" w:hAnsi="仿宋" w:eastAsia="仿宋" w:cs="仿宋"/>
          <w:color w:val="auto"/>
          <w:sz w:val="24"/>
          <w:szCs w:val="24"/>
        </w:rPr>
        <w:t>工作人员主持，主持人宣布开标会议开始；</w:t>
      </w:r>
    </w:p>
    <w:p>
      <w:pPr>
        <w:pStyle w:val="26"/>
        <w:keepNext w:val="0"/>
        <w:keepLines w:val="0"/>
        <w:pageBreakBefore w:val="0"/>
        <w:kinsoku/>
        <w:wordWrap/>
        <w:topLinePunct w:val="0"/>
        <w:bidi w:val="0"/>
        <w:snapToGrid/>
        <w:spacing w:line="339" w:lineRule="auto"/>
        <w:ind w:firstLine="480" w:firstLineChars="200"/>
        <w:rPr>
          <w:rFonts w:ascii="仿宋" w:hAnsi="仿宋" w:eastAsia="仿宋" w:cs="仿宋"/>
          <w:color w:val="auto"/>
          <w:sz w:val="24"/>
          <w:szCs w:val="24"/>
        </w:rPr>
      </w:pPr>
      <w:r>
        <w:rPr>
          <w:rFonts w:ascii="仿宋" w:hAnsi="仿宋" w:eastAsia="仿宋" w:cs="仿宋"/>
          <w:color w:val="auto"/>
          <w:sz w:val="24"/>
          <w:szCs w:val="24"/>
        </w:rPr>
        <w:t>3</w:t>
      </w:r>
      <w:r>
        <w:rPr>
          <w:rFonts w:hint="eastAsia" w:ascii="仿宋" w:hAnsi="仿宋" w:eastAsia="仿宋" w:cs="仿宋"/>
          <w:color w:val="auto"/>
          <w:sz w:val="24"/>
          <w:szCs w:val="24"/>
        </w:rPr>
        <w:t>、介绍参加开标会投标供应商人员名单；</w:t>
      </w:r>
    </w:p>
    <w:p>
      <w:pPr>
        <w:pStyle w:val="26"/>
        <w:keepNext w:val="0"/>
        <w:keepLines w:val="0"/>
        <w:pageBreakBefore w:val="0"/>
        <w:kinsoku/>
        <w:wordWrap/>
        <w:topLinePunct w:val="0"/>
        <w:bidi w:val="0"/>
        <w:snapToGrid/>
        <w:spacing w:line="339" w:lineRule="auto"/>
        <w:ind w:firstLine="480" w:firstLineChars="200"/>
        <w:rPr>
          <w:rFonts w:ascii="仿宋" w:hAnsi="仿宋" w:eastAsia="仿宋" w:cs="仿宋"/>
          <w:color w:val="auto"/>
          <w:sz w:val="24"/>
          <w:szCs w:val="24"/>
        </w:rPr>
      </w:pPr>
      <w:r>
        <w:rPr>
          <w:rFonts w:ascii="仿宋" w:hAnsi="仿宋" w:eastAsia="仿宋" w:cs="仿宋"/>
          <w:color w:val="auto"/>
          <w:sz w:val="24"/>
          <w:szCs w:val="24"/>
        </w:rPr>
        <w:t>4</w:t>
      </w:r>
      <w:r>
        <w:rPr>
          <w:rFonts w:hint="eastAsia" w:ascii="仿宋" w:hAnsi="仿宋" w:eastAsia="仿宋" w:cs="仿宋"/>
          <w:color w:val="auto"/>
          <w:sz w:val="24"/>
          <w:szCs w:val="24"/>
        </w:rPr>
        <w:t>、宣布评标期间的有关事项，告知应当回避的情形</w:t>
      </w:r>
      <w:r>
        <w:rPr>
          <w:rFonts w:ascii="仿宋" w:hAnsi="仿宋" w:eastAsia="仿宋" w:cs="仿宋"/>
          <w:color w:val="auto"/>
          <w:sz w:val="24"/>
          <w:szCs w:val="24"/>
        </w:rPr>
        <w:t>,</w:t>
      </w:r>
      <w:r>
        <w:rPr>
          <w:rFonts w:hint="eastAsia" w:ascii="仿宋" w:hAnsi="仿宋" w:eastAsia="仿宋" w:cs="仿宋"/>
          <w:color w:val="auto"/>
          <w:sz w:val="24"/>
          <w:szCs w:val="24"/>
        </w:rPr>
        <w:t>提请有关人员回避；</w:t>
      </w:r>
    </w:p>
    <w:p>
      <w:pPr>
        <w:pStyle w:val="26"/>
        <w:keepNext w:val="0"/>
        <w:keepLines w:val="0"/>
        <w:pageBreakBefore w:val="0"/>
        <w:kinsoku/>
        <w:wordWrap/>
        <w:topLinePunct w:val="0"/>
        <w:bidi w:val="0"/>
        <w:snapToGrid/>
        <w:spacing w:line="339" w:lineRule="auto"/>
        <w:ind w:firstLine="480" w:firstLineChars="200"/>
        <w:rPr>
          <w:rFonts w:ascii="仿宋" w:hAnsi="仿宋" w:eastAsia="仿宋" w:cs="仿宋"/>
          <w:color w:val="auto"/>
          <w:sz w:val="24"/>
          <w:szCs w:val="24"/>
        </w:rPr>
      </w:pPr>
      <w:r>
        <w:rPr>
          <w:rFonts w:ascii="仿宋" w:hAnsi="仿宋" w:eastAsia="仿宋" w:cs="仿宋"/>
          <w:color w:val="auto"/>
          <w:sz w:val="24"/>
          <w:szCs w:val="24"/>
        </w:rPr>
        <w:t>5</w:t>
      </w:r>
      <w:r>
        <w:rPr>
          <w:rFonts w:hint="eastAsia" w:ascii="仿宋" w:hAnsi="仿宋" w:eastAsia="仿宋" w:cs="仿宋"/>
          <w:color w:val="auto"/>
          <w:sz w:val="24"/>
          <w:szCs w:val="24"/>
        </w:rPr>
        <w:t>、信用查询通过后，由投标人代表或公证人员检验投标文件密封的完整性并当场宣布检验结果；</w:t>
      </w:r>
    </w:p>
    <w:p>
      <w:pPr>
        <w:pStyle w:val="26"/>
        <w:keepNext w:val="0"/>
        <w:keepLines w:val="0"/>
        <w:pageBreakBefore w:val="0"/>
        <w:kinsoku/>
        <w:wordWrap/>
        <w:topLinePunct w:val="0"/>
        <w:bidi w:val="0"/>
        <w:snapToGrid/>
        <w:spacing w:line="339" w:lineRule="auto"/>
        <w:ind w:firstLine="480" w:firstLineChars="200"/>
        <w:rPr>
          <w:rFonts w:ascii="仿宋" w:hAnsi="仿宋" w:eastAsia="仿宋" w:cs="仿宋"/>
          <w:color w:val="auto"/>
          <w:sz w:val="24"/>
          <w:szCs w:val="24"/>
        </w:rPr>
      </w:pPr>
      <w:r>
        <w:rPr>
          <w:rFonts w:ascii="仿宋" w:hAnsi="仿宋" w:eastAsia="仿宋" w:cs="仿宋"/>
          <w:color w:val="auto"/>
          <w:sz w:val="24"/>
          <w:szCs w:val="24"/>
        </w:rPr>
        <w:t>6</w:t>
      </w:r>
      <w:r>
        <w:rPr>
          <w:rFonts w:hint="eastAsia" w:ascii="仿宋" w:hAnsi="仿宋" w:eastAsia="仿宋" w:cs="仿宋"/>
          <w:color w:val="auto"/>
          <w:sz w:val="24"/>
          <w:szCs w:val="24"/>
        </w:rPr>
        <w:t>、由代理公司工作人员对资格审查文件进行评审，评审不合格的投标单位，退还其他投标文件，评审合格的供应商进入下一轮开标程序；</w:t>
      </w:r>
    </w:p>
    <w:p>
      <w:pPr>
        <w:pStyle w:val="26"/>
        <w:keepNext w:val="0"/>
        <w:keepLines w:val="0"/>
        <w:pageBreakBefore w:val="0"/>
        <w:kinsoku/>
        <w:wordWrap/>
        <w:topLinePunct w:val="0"/>
        <w:bidi w:val="0"/>
        <w:snapToGrid/>
        <w:spacing w:line="339" w:lineRule="auto"/>
        <w:ind w:firstLine="480" w:firstLineChars="200"/>
        <w:rPr>
          <w:rFonts w:ascii="仿宋" w:hAnsi="仿宋" w:eastAsia="仿宋" w:cs="仿宋"/>
          <w:color w:val="auto"/>
          <w:sz w:val="24"/>
          <w:szCs w:val="24"/>
        </w:rPr>
      </w:pPr>
      <w:r>
        <w:rPr>
          <w:rFonts w:ascii="仿宋" w:hAnsi="仿宋" w:eastAsia="仿宋" w:cs="仿宋"/>
          <w:color w:val="auto"/>
          <w:sz w:val="24"/>
          <w:szCs w:val="24"/>
        </w:rPr>
        <w:t>7</w:t>
      </w:r>
      <w:r>
        <w:rPr>
          <w:rFonts w:hint="eastAsia" w:ascii="仿宋" w:hAnsi="仿宋" w:eastAsia="仿宋" w:cs="仿宋"/>
          <w:color w:val="auto"/>
          <w:sz w:val="24"/>
          <w:szCs w:val="24"/>
        </w:rPr>
        <w:t>、打开商务资信</w:t>
      </w:r>
      <w:r>
        <w:rPr>
          <w:rFonts w:ascii="仿宋" w:hAnsi="仿宋" w:eastAsia="仿宋" w:cs="仿宋"/>
          <w:color w:val="auto"/>
          <w:sz w:val="24"/>
          <w:szCs w:val="24"/>
        </w:rPr>
        <w:t>/</w:t>
      </w:r>
      <w:r>
        <w:rPr>
          <w:rFonts w:hint="eastAsia" w:ascii="仿宋" w:hAnsi="仿宋" w:eastAsia="仿宋" w:cs="仿宋"/>
          <w:color w:val="auto"/>
          <w:sz w:val="24"/>
          <w:szCs w:val="24"/>
        </w:rPr>
        <w:t>技术文件外包装，清点投标文件正本、副本数量，符合招标文件要求的送评标室评审；不符合要求的，当场退还投标人，并由投标人代表签字确认。开标顺序按各投标人提交投标文件时间的先后顺序进行；</w:t>
      </w:r>
    </w:p>
    <w:p>
      <w:pPr>
        <w:pStyle w:val="26"/>
        <w:keepNext w:val="0"/>
        <w:keepLines w:val="0"/>
        <w:pageBreakBefore w:val="0"/>
        <w:kinsoku/>
        <w:wordWrap/>
        <w:topLinePunct w:val="0"/>
        <w:bidi w:val="0"/>
        <w:snapToGrid/>
        <w:spacing w:line="339" w:lineRule="auto"/>
        <w:ind w:firstLine="480" w:firstLineChars="200"/>
        <w:rPr>
          <w:rFonts w:ascii="仿宋" w:hAnsi="仿宋" w:eastAsia="仿宋" w:cs="仿宋"/>
          <w:color w:val="auto"/>
          <w:sz w:val="24"/>
          <w:szCs w:val="24"/>
        </w:rPr>
      </w:pPr>
      <w:r>
        <w:rPr>
          <w:rFonts w:ascii="仿宋" w:hAnsi="仿宋" w:eastAsia="仿宋" w:cs="仿宋"/>
          <w:color w:val="auto"/>
          <w:sz w:val="24"/>
          <w:szCs w:val="24"/>
        </w:rPr>
        <w:t>8</w:t>
      </w:r>
      <w:r>
        <w:rPr>
          <w:rFonts w:hint="eastAsia" w:ascii="仿宋" w:hAnsi="仿宋" w:eastAsia="仿宋" w:cs="仿宋"/>
          <w:color w:val="auto"/>
          <w:sz w:val="24"/>
          <w:szCs w:val="24"/>
        </w:rPr>
        <w:t>、商务资信、技术评分结束后，由主持人公布无效投标的投标人名单、投标无效的原因及其他有效投标的评分结果；</w:t>
      </w:r>
    </w:p>
    <w:p>
      <w:pPr>
        <w:pStyle w:val="26"/>
        <w:keepNext w:val="0"/>
        <w:keepLines w:val="0"/>
        <w:pageBreakBefore w:val="0"/>
        <w:kinsoku/>
        <w:wordWrap/>
        <w:topLinePunct w:val="0"/>
        <w:bidi w:val="0"/>
        <w:snapToGrid/>
        <w:spacing w:line="339" w:lineRule="auto"/>
        <w:ind w:firstLine="480" w:firstLineChars="200"/>
        <w:rPr>
          <w:rFonts w:ascii="仿宋" w:hAnsi="仿宋" w:eastAsia="仿宋" w:cs="仿宋"/>
          <w:color w:val="auto"/>
          <w:sz w:val="24"/>
          <w:szCs w:val="24"/>
        </w:rPr>
      </w:pPr>
      <w:r>
        <w:rPr>
          <w:rFonts w:ascii="仿宋" w:hAnsi="仿宋" w:eastAsia="仿宋" w:cs="仿宋"/>
          <w:color w:val="auto"/>
          <w:sz w:val="24"/>
          <w:szCs w:val="24"/>
        </w:rPr>
        <w:t>9</w:t>
      </w:r>
      <w:r>
        <w:rPr>
          <w:rFonts w:hint="eastAsia" w:ascii="仿宋" w:hAnsi="仿宋" w:eastAsia="仿宋" w:cs="仿宋"/>
          <w:color w:val="auto"/>
          <w:sz w:val="24"/>
          <w:szCs w:val="24"/>
        </w:rPr>
        <w:t>、由主持人宣读《投标报价》中的投标人名称及在其投标文件中承诺的投标报价、投标内容，以及认为有必要宣读的其他内容。</w:t>
      </w:r>
    </w:p>
    <w:p>
      <w:pPr>
        <w:pStyle w:val="26"/>
        <w:keepNext w:val="0"/>
        <w:keepLines w:val="0"/>
        <w:pageBreakBefore w:val="0"/>
        <w:kinsoku/>
        <w:wordWrap/>
        <w:topLinePunct w:val="0"/>
        <w:bidi w:val="0"/>
        <w:snapToGrid/>
        <w:spacing w:line="339" w:lineRule="auto"/>
        <w:ind w:firstLine="480" w:firstLineChars="200"/>
        <w:rPr>
          <w:rFonts w:ascii="仿宋" w:hAnsi="仿宋" w:eastAsia="仿宋" w:cs="仿宋"/>
          <w:color w:val="auto"/>
          <w:sz w:val="24"/>
          <w:szCs w:val="24"/>
        </w:rPr>
      </w:pPr>
      <w:r>
        <w:rPr>
          <w:rFonts w:ascii="仿宋" w:hAnsi="仿宋" w:eastAsia="仿宋" w:cs="仿宋"/>
          <w:color w:val="auto"/>
          <w:sz w:val="24"/>
          <w:szCs w:val="24"/>
        </w:rPr>
        <w:t>10</w:t>
      </w:r>
      <w:r>
        <w:rPr>
          <w:rFonts w:hint="eastAsia" w:ascii="仿宋" w:hAnsi="仿宋" w:eastAsia="仿宋" w:cs="仿宋"/>
          <w:color w:val="auto"/>
          <w:sz w:val="24"/>
          <w:szCs w:val="24"/>
        </w:rPr>
        <w:t>、工作人员做好开标记录</w:t>
      </w:r>
      <w:r>
        <w:rPr>
          <w:rFonts w:ascii="仿宋" w:hAnsi="仿宋" w:eastAsia="仿宋" w:cs="仿宋"/>
          <w:color w:val="auto"/>
          <w:sz w:val="24"/>
          <w:szCs w:val="24"/>
        </w:rPr>
        <w:t>,</w:t>
      </w:r>
      <w:r>
        <w:rPr>
          <w:rFonts w:hint="eastAsia" w:ascii="仿宋" w:hAnsi="仿宋" w:eastAsia="仿宋" w:cs="仿宋"/>
          <w:color w:val="auto"/>
          <w:sz w:val="24"/>
          <w:szCs w:val="24"/>
        </w:rPr>
        <w:t>投标人代表对开标记录进行当场校核及勘误，并签字确认；并同时由记录人、监督人当场签字确认。投标人代表未到场签字确认的，不影响评标过程。</w:t>
      </w:r>
    </w:p>
    <w:p>
      <w:pPr>
        <w:pStyle w:val="26"/>
        <w:keepNext w:val="0"/>
        <w:keepLines w:val="0"/>
        <w:pageBreakBefore w:val="0"/>
        <w:kinsoku/>
        <w:wordWrap/>
        <w:topLinePunct w:val="0"/>
        <w:bidi w:val="0"/>
        <w:snapToGrid/>
        <w:spacing w:line="339" w:lineRule="auto"/>
        <w:ind w:firstLine="480" w:firstLineChars="200"/>
        <w:rPr>
          <w:rFonts w:ascii="仿宋" w:hAnsi="仿宋" w:eastAsia="仿宋" w:cs="仿宋"/>
          <w:b/>
          <w:color w:val="auto"/>
          <w:sz w:val="24"/>
          <w:szCs w:val="24"/>
        </w:rPr>
      </w:pPr>
      <w:r>
        <w:rPr>
          <w:rFonts w:ascii="仿宋" w:hAnsi="仿宋" w:eastAsia="仿宋" w:cs="仿宋"/>
          <w:color w:val="auto"/>
          <w:sz w:val="24"/>
          <w:szCs w:val="24"/>
        </w:rPr>
        <w:t>11</w:t>
      </w:r>
      <w:r>
        <w:rPr>
          <w:rFonts w:hint="eastAsia" w:ascii="仿宋" w:hAnsi="仿宋" w:eastAsia="仿宋" w:cs="仿宋"/>
          <w:color w:val="auto"/>
          <w:sz w:val="24"/>
          <w:szCs w:val="24"/>
        </w:rPr>
        <w:t>、开标会议结束。</w:t>
      </w:r>
    </w:p>
    <w:p>
      <w:pPr>
        <w:keepNext w:val="0"/>
        <w:keepLines w:val="0"/>
        <w:pageBreakBefore w:val="0"/>
        <w:kinsoku/>
        <w:wordWrap/>
        <w:topLinePunct w:val="0"/>
        <w:bidi w:val="0"/>
        <w:snapToGrid/>
        <w:spacing w:line="339" w:lineRule="auto"/>
        <w:ind w:right="-176" w:rightChars="-84" w:firstLine="472" w:firstLineChars="196"/>
        <w:rPr>
          <w:rFonts w:ascii="仿宋" w:hAnsi="仿宋" w:eastAsia="仿宋" w:cs="仿宋"/>
          <w:b/>
          <w:color w:val="auto"/>
          <w:sz w:val="24"/>
          <w:szCs w:val="24"/>
        </w:rPr>
      </w:pPr>
      <w:r>
        <w:rPr>
          <w:rFonts w:hint="eastAsia" w:ascii="仿宋" w:hAnsi="仿宋" w:eastAsia="仿宋" w:cs="仿宋"/>
          <w:b/>
          <w:color w:val="auto"/>
          <w:sz w:val="24"/>
          <w:szCs w:val="24"/>
        </w:rPr>
        <w:t>二、评标委员会</w:t>
      </w:r>
    </w:p>
    <w:p>
      <w:pPr>
        <w:keepNext w:val="0"/>
        <w:keepLines w:val="0"/>
        <w:pageBreakBefore w:val="0"/>
        <w:kinsoku/>
        <w:wordWrap/>
        <w:topLinePunct w:val="0"/>
        <w:bidi w:val="0"/>
        <w:snapToGrid/>
        <w:spacing w:line="339" w:lineRule="auto"/>
        <w:ind w:left="-176" w:leftChars="-84" w:right="-176" w:rightChars="-84" w:firstLine="480" w:firstLineChars="200"/>
        <w:rPr>
          <w:rFonts w:ascii="仿宋" w:hAnsi="仿宋" w:eastAsia="仿宋" w:cs="仿宋"/>
          <w:b/>
          <w:color w:val="auto"/>
          <w:sz w:val="24"/>
          <w:szCs w:val="24"/>
        </w:rPr>
      </w:pPr>
      <w:r>
        <w:rPr>
          <w:rFonts w:hint="eastAsia" w:ascii="仿宋" w:hAnsi="仿宋" w:eastAsia="仿宋" w:cs="仿宋"/>
          <w:color w:val="auto"/>
          <w:sz w:val="24"/>
          <w:szCs w:val="24"/>
        </w:rPr>
        <w:t>评标委员会依法由</w:t>
      </w:r>
      <w:r>
        <w:rPr>
          <w:rFonts w:ascii="仿宋" w:hAnsi="仿宋" w:eastAsia="仿宋" w:cs="仿宋"/>
          <w:color w:val="auto"/>
          <w:sz w:val="24"/>
          <w:szCs w:val="24"/>
        </w:rPr>
        <w:t>5</w:t>
      </w:r>
      <w:r>
        <w:rPr>
          <w:rFonts w:hint="eastAsia" w:ascii="仿宋" w:hAnsi="仿宋" w:eastAsia="仿宋" w:cs="仿宋"/>
          <w:color w:val="auto"/>
          <w:sz w:val="24"/>
          <w:szCs w:val="24"/>
        </w:rPr>
        <w:t>人或以上人员组成，评标委员会对投标文件进行审查、质疑、评估和比较。质询期间，投标方法人代表或法人委托人必须在场，负责解答有关事宜。</w:t>
      </w:r>
    </w:p>
    <w:p>
      <w:pPr>
        <w:keepNext w:val="0"/>
        <w:keepLines w:val="0"/>
        <w:pageBreakBefore w:val="0"/>
        <w:kinsoku/>
        <w:wordWrap/>
        <w:topLinePunct w:val="0"/>
        <w:bidi w:val="0"/>
        <w:snapToGrid/>
        <w:spacing w:line="339" w:lineRule="auto"/>
        <w:ind w:right="-176" w:rightChars="-84" w:firstLine="472" w:firstLineChars="196"/>
        <w:rPr>
          <w:rFonts w:ascii="仿宋" w:hAnsi="仿宋" w:eastAsia="仿宋" w:cs="仿宋"/>
          <w:color w:val="auto"/>
          <w:sz w:val="24"/>
          <w:szCs w:val="24"/>
        </w:rPr>
      </w:pPr>
      <w:r>
        <w:rPr>
          <w:rFonts w:hint="eastAsia" w:ascii="仿宋" w:hAnsi="仿宋" w:eastAsia="仿宋" w:cs="仿宋"/>
          <w:b/>
          <w:color w:val="auto"/>
          <w:sz w:val="24"/>
          <w:szCs w:val="24"/>
        </w:rPr>
        <w:t>三、对投标文件的审查和响应性的确定</w:t>
      </w:r>
    </w:p>
    <w:p>
      <w:pPr>
        <w:keepNext w:val="0"/>
        <w:keepLines w:val="0"/>
        <w:pageBreakBefore w:val="0"/>
        <w:kinsoku/>
        <w:wordWrap/>
        <w:topLinePunct w:val="0"/>
        <w:bidi w:val="0"/>
        <w:snapToGrid/>
        <w:spacing w:line="339" w:lineRule="auto"/>
        <w:ind w:left="-176" w:leftChars="-84" w:right="-176" w:rightChars="-84" w:firstLine="480" w:firstLineChars="200"/>
        <w:rPr>
          <w:rFonts w:ascii="仿宋" w:hAnsi="仿宋" w:eastAsia="仿宋" w:cs="仿宋"/>
          <w:color w:val="auto"/>
          <w:sz w:val="24"/>
          <w:szCs w:val="24"/>
        </w:rPr>
      </w:pPr>
      <w:r>
        <w:rPr>
          <w:rFonts w:hint="eastAsia" w:ascii="仿宋" w:hAnsi="仿宋" w:eastAsia="仿宋" w:cs="仿宋"/>
          <w:color w:val="auto"/>
          <w:sz w:val="24"/>
          <w:szCs w:val="24"/>
        </w:rPr>
        <w:t>（一）、开标时，投标文件中开标一览表内容与投标文件中明细表内容不一致的，以开标一览表为准。</w:t>
      </w:r>
    </w:p>
    <w:p>
      <w:pPr>
        <w:keepNext w:val="0"/>
        <w:keepLines w:val="0"/>
        <w:pageBreakBefore w:val="0"/>
        <w:kinsoku/>
        <w:wordWrap/>
        <w:topLinePunct w:val="0"/>
        <w:bidi w:val="0"/>
        <w:snapToGrid/>
        <w:spacing w:line="339" w:lineRule="auto"/>
        <w:ind w:firstLine="360" w:firstLineChars="150"/>
        <w:rPr>
          <w:rFonts w:ascii="仿宋" w:hAnsi="仿宋" w:eastAsia="仿宋" w:cs="仿宋"/>
          <w:b/>
          <w:bCs/>
          <w:color w:val="auto"/>
          <w:sz w:val="24"/>
          <w:szCs w:val="24"/>
        </w:rPr>
      </w:pPr>
      <w:r>
        <w:rPr>
          <w:rFonts w:hint="eastAsia" w:ascii="仿宋" w:hAnsi="仿宋" w:eastAsia="仿宋" w:cs="仿宋"/>
          <w:color w:val="auto"/>
          <w:sz w:val="24"/>
          <w:szCs w:val="24"/>
        </w:rPr>
        <w:t>（二）、开标后，评标委员会审查投标文件是否完整，是否发现无效投标情况，是否有计算错误，要求的文件是否恰当地签署投标文件的大写金额与小写金额不一致的，以大写金额为准；单价金额与按单价汇总金额不一致的，以单价金额计算的结果为准；单价金额小数点有明显错位的，以总价为准，并修改单价；对不同文字文本投标文件的解释发生异议的，以中文文本为准。</w:t>
      </w:r>
    </w:p>
    <w:p>
      <w:pPr>
        <w:keepNext w:val="0"/>
        <w:keepLines w:val="0"/>
        <w:pageBreakBefore w:val="0"/>
        <w:kinsoku/>
        <w:wordWrap/>
        <w:topLinePunct w:val="0"/>
        <w:bidi w:val="0"/>
        <w:snapToGrid/>
        <w:spacing w:line="339" w:lineRule="auto"/>
        <w:ind w:right="-176" w:rightChars="-84" w:firstLine="426" w:firstLineChars="177"/>
        <w:rPr>
          <w:rFonts w:ascii="仿宋" w:hAnsi="仿宋" w:eastAsia="仿宋" w:cs="仿宋"/>
          <w:b/>
          <w:bCs/>
          <w:color w:val="auto"/>
          <w:sz w:val="24"/>
          <w:szCs w:val="24"/>
        </w:rPr>
      </w:pPr>
      <w:r>
        <w:rPr>
          <w:rFonts w:hint="eastAsia" w:ascii="仿宋" w:hAnsi="仿宋" w:eastAsia="仿宋" w:cs="仿宋"/>
          <w:b/>
          <w:bCs/>
          <w:color w:val="auto"/>
          <w:sz w:val="24"/>
          <w:szCs w:val="24"/>
        </w:rPr>
        <w:t>四、评标原则与方法</w:t>
      </w:r>
    </w:p>
    <w:p>
      <w:pPr>
        <w:keepNext w:val="0"/>
        <w:keepLines w:val="0"/>
        <w:pageBreakBefore w:val="0"/>
        <w:kinsoku/>
        <w:wordWrap/>
        <w:topLinePunct w:val="0"/>
        <w:bidi w:val="0"/>
        <w:snapToGrid/>
        <w:spacing w:line="339" w:lineRule="auto"/>
        <w:ind w:right="-176" w:rightChars="-84" w:firstLine="307" w:firstLineChars="128"/>
        <w:rPr>
          <w:rFonts w:ascii="仿宋" w:hAnsi="仿宋" w:eastAsia="仿宋" w:cs="仿宋"/>
          <w:color w:val="auto"/>
          <w:sz w:val="24"/>
          <w:szCs w:val="24"/>
        </w:rPr>
      </w:pPr>
      <w:r>
        <w:rPr>
          <w:rFonts w:hint="eastAsia" w:ascii="仿宋" w:hAnsi="仿宋" w:eastAsia="仿宋" w:cs="仿宋"/>
          <w:color w:val="auto"/>
          <w:sz w:val="24"/>
          <w:szCs w:val="24"/>
        </w:rPr>
        <w:t>（一）评标的依据是招标文件和投标文件。</w:t>
      </w:r>
    </w:p>
    <w:p>
      <w:pPr>
        <w:keepNext w:val="0"/>
        <w:keepLines w:val="0"/>
        <w:pageBreakBefore w:val="0"/>
        <w:kinsoku/>
        <w:wordWrap/>
        <w:topLinePunct w:val="0"/>
        <w:bidi w:val="0"/>
        <w:snapToGrid/>
        <w:spacing w:line="339" w:lineRule="auto"/>
        <w:ind w:right="-176" w:rightChars="-84" w:firstLine="307" w:firstLineChars="128"/>
        <w:rPr>
          <w:rFonts w:ascii="仿宋" w:hAnsi="仿宋" w:eastAsia="仿宋" w:cs="仿宋"/>
          <w:color w:val="auto"/>
          <w:sz w:val="24"/>
          <w:szCs w:val="24"/>
        </w:rPr>
      </w:pPr>
      <w:r>
        <w:rPr>
          <w:rFonts w:hint="eastAsia" w:ascii="仿宋" w:hAnsi="仿宋" w:eastAsia="仿宋" w:cs="仿宋"/>
          <w:color w:val="auto"/>
          <w:sz w:val="24"/>
          <w:szCs w:val="24"/>
        </w:rPr>
        <w:t>〈二〉评标方法和定标原则。评标委员会将遵循公开、公平、公正的原则，对投标者提供货物的技术性能、产品质量、交货期限、资信情况、履约能力、售后服务、供应商规模、资信情况等进行综合分析考评，由评委按照招标文件规定的评标规则（附后）记名并独立打分，按得分高低推荐中标单位。</w:t>
      </w:r>
      <w:r>
        <w:rPr>
          <w:rFonts w:hint="eastAsia" w:ascii="仿宋" w:hAnsi="仿宋" w:eastAsia="仿宋" w:cs="仿宋"/>
          <w:b/>
          <w:bCs/>
          <w:color w:val="auto"/>
          <w:sz w:val="24"/>
          <w:szCs w:val="24"/>
        </w:rPr>
        <w:t>技术、商务资信的评审由评标委员会成员独立打分，技术、商务资信得分为各评标委员会成员分值之和的算术平均值。评分值保留小数点后两位。</w:t>
      </w:r>
    </w:p>
    <w:p>
      <w:pPr>
        <w:keepNext w:val="0"/>
        <w:keepLines w:val="0"/>
        <w:pageBreakBefore w:val="0"/>
        <w:kinsoku/>
        <w:wordWrap/>
        <w:topLinePunct w:val="0"/>
        <w:bidi w:val="0"/>
        <w:snapToGrid/>
        <w:spacing w:line="339" w:lineRule="auto"/>
        <w:ind w:right="-176" w:rightChars="-84" w:firstLine="307" w:firstLineChars="128"/>
        <w:rPr>
          <w:rFonts w:ascii="仿宋" w:hAnsi="仿宋" w:eastAsia="仿宋" w:cs="仿宋"/>
          <w:color w:val="auto"/>
          <w:sz w:val="24"/>
          <w:szCs w:val="24"/>
        </w:rPr>
      </w:pPr>
      <w:r>
        <w:rPr>
          <w:rFonts w:hint="eastAsia" w:ascii="仿宋" w:hAnsi="仿宋" w:eastAsia="仿宋" w:cs="仿宋"/>
          <w:color w:val="auto"/>
          <w:sz w:val="24"/>
          <w:szCs w:val="24"/>
        </w:rPr>
        <w:t>（三）客观、公正的对待所有投标方，对所有投标评价，均采用相同的程序和标准。在开标、评标期间，投标方不得向评标委员会成员询问评标情况，不得进行旨在影响评标结果的活动，否则将废除其投标资格。</w:t>
      </w:r>
    </w:p>
    <w:p>
      <w:pPr>
        <w:keepNext w:val="0"/>
        <w:keepLines w:val="0"/>
        <w:pageBreakBefore w:val="0"/>
        <w:kinsoku/>
        <w:wordWrap/>
        <w:topLinePunct w:val="0"/>
        <w:bidi w:val="0"/>
        <w:snapToGrid/>
        <w:spacing w:line="339" w:lineRule="auto"/>
        <w:ind w:right="-176" w:rightChars="-84" w:firstLine="544" w:firstLineChars="227"/>
        <w:rPr>
          <w:rFonts w:ascii="仿宋" w:hAnsi="仿宋" w:eastAsia="仿宋" w:cs="仿宋"/>
          <w:color w:val="auto"/>
          <w:sz w:val="24"/>
          <w:szCs w:val="24"/>
        </w:rPr>
      </w:pPr>
      <w:r>
        <w:rPr>
          <w:rFonts w:hint="eastAsia" w:ascii="仿宋" w:hAnsi="仿宋" w:eastAsia="仿宋" w:cs="仿宋"/>
          <w:color w:val="auto"/>
          <w:sz w:val="24"/>
          <w:szCs w:val="24"/>
        </w:rPr>
        <w:t>在评标过程中，评标成员不得与投标方私下交换意见，在招标工作结束后，凡与评标情况有接触的人不得将评标情况扩散出评标成员之外。</w:t>
      </w:r>
    </w:p>
    <w:p>
      <w:pPr>
        <w:keepNext w:val="0"/>
        <w:keepLines w:val="0"/>
        <w:pageBreakBefore w:val="0"/>
        <w:kinsoku/>
        <w:wordWrap/>
        <w:topLinePunct w:val="0"/>
        <w:bidi w:val="0"/>
        <w:snapToGrid/>
        <w:spacing w:line="339" w:lineRule="auto"/>
        <w:ind w:right="-176" w:rightChars="-84" w:firstLine="307" w:firstLineChars="128"/>
        <w:rPr>
          <w:rFonts w:ascii="仿宋" w:hAnsi="仿宋" w:eastAsia="仿宋" w:cs="仿宋"/>
          <w:b/>
          <w:color w:val="auto"/>
          <w:sz w:val="24"/>
          <w:szCs w:val="24"/>
        </w:rPr>
      </w:pPr>
      <w:r>
        <w:rPr>
          <w:rFonts w:hint="eastAsia" w:ascii="仿宋" w:hAnsi="仿宋" w:eastAsia="仿宋" w:cs="仿宋"/>
          <w:color w:val="auto"/>
          <w:sz w:val="24"/>
          <w:szCs w:val="24"/>
        </w:rPr>
        <w:t>〈四〉招标方不向落标方解释落标原因，不退还投标文件。</w:t>
      </w:r>
    </w:p>
    <w:p>
      <w:pPr>
        <w:keepNext w:val="0"/>
        <w:keepLines w:val="0"/>
        <w:pageBreakBefore w:val="0"/>
        <w:kinsoku/>
        <w:wordWrap/>
        <w:topLinePunct w:val="0"/>
        <w:bidi w:val="0"/>
        <w:snapToGrid/>
        <w:spacing w:line="339" w:lineRule="auto"/>
        <w:ind w:left="-176" w:leftChars="-84" w:right="-176" w:rightChars="-84" w:firstLine="570"/>
        <w:rPr>
          <w:rFonts w:ascii="仿宋" w:hAnsi="仿宋" w:eastAsia="仿宋" w:cs="仿宋"/>
          <w:b/>
          <w:color w:val="auto"/>
          <w:sz w:val="24"/>
          <w:szCs w:val="24"/>
        </w:rPr>
      </w:pPr>
      <w:r>
        <w:rPr>
          <w:rFonts w:hint="eastAsia" w:ascii="仿宋" w:hAnsi="仿宋" w:eastAsia="仿宋" w:cs="仿宋"/>
          <w:b/>
          <w:color w:val="auto"/>
          <w:sz w:val="24"/>
          <w:szCs w:val="24"/>
        </w:rPr>
        <w:t>五、定标和签发中标通知书：</w:t>
      </w:r>
    </w:p>
    <w:p>
      <w:pPr>
        <w:keepNext w:val="0"/>
        <w:keepLines w:val="0"/>
        <w:pageBreakBefore w:val="0"/>
        <w:kinsoku/>
        <w:wordWrap/>
        <w:topLinePunct w:val="0"/>
        <w:bidi w:val="0"/>
        <w:snapToGrid/>
        <w:spacing w:line="339" w:lineRule="auto"/>
        <w:ind w:left="-176" w:leftChars="-84" w:right="-176" w:rightChars="-84" w:firstLine="480" w:firstLineChars="200"/>
        <w:rPr>
          <w:rFonts w:ascii="仿宋" w:hAnsi="仿宋" w:eastAsia="仿宋" w:cs="仿宋"/>
          <w:b/>
          <w:color w:val="auto"/>
          <w:sz w:val="24"/>
          <w:szCs w:val="24"/>
        </w:rPr>
      </w:pPr>
      <w:r>
        <w:rPr>
          <w:rFonts w:hint="eastAsia" w:ascii="仿宋" w:hAnsi="仿宋" w:eastAsia="仿宋" w:cs="仿宋"/>
          <w:color w:val="auto"/>
          <w:sz w:val="24"/>
          <w:szCs w:val="24"/>
        </w:rPr>
        <w:t>本项目由采购人事先授权评标委员会确定预中标人，并在杭州市公共资源交易中心建德分中心网上和浙江政府采购网上进行公示，公示时间为</w:t>
      </w:r>
      <w:r>
        <w:rPr>
          <w:rFonts w:ascii="仿宋" w:hAnsi="仿宋" w:eastAsia="仿宋" w:cs="仿宋"/>
          <w:color w:val="auto"/>
          <w:sz w:val="24"/>
          <w:szCs w:val="24"/>
        </w:rPr>
        <w:t>7</w:t>
      </w:r>
      <w:r>
        <w:rPr>
          <w:rFonts w:hint="eastAsia" w:ascii="仿宋" w:hAnsi="仿宋" w:eastAsia="仿宋" w:cs="仿宋"/>
          <w:color w:val="auto"/>
          <w:sz w:val="24"/>
          <w:szCs w:val="24"/>
        </w:rPr>
        <w:t>个工作日，公告期满，如无投标商质疑，由采购人和招标代理机构签发《中标通知书》。</w:t>
      </w:r>
    </w:p>
    <w:p>
      <w:pPr>
        <w:keepNext w:val="0"/>
        <w:keepLines w:val="0"/>
        <w:pageBreakBefore w:val="0"/>
        <w:kinsoku/>
        <w:wordWrap/>
        <w:topLinePunct w:val="0"/>
        <w:bidi w:val="0"/>
        <w:snapToGrid/>
        <w:spacing w:line="339" w:lineRule="auto"/>
        <w:ind w:right="-176" w:rightChars="-84" w:firstLine="482" w:firstLineChars="200"/>
        <w:rPr>
          <w:rFonts w:ascii="仿宋" w:hAnsi="仿宋" w:eastAsia="仿宋" w:cs="仿宋"/>
          <w:b/>
          <w:color w:val="auto"/>
          <w:sz w:val="24"/>
          <w:szCs w:val="24"/>
        </w:rPr>
      </w:pPr>
      <w:r>
        <w:rPr>
          <w:rFonts w:hint="eastAsia" w:ascii="仿宋" w:hAnsi="仿宋" w:eastAsia="仿宋" w:cs="仿宋"/>
          <w:b/>
          <w:color w:val="auto"/>
          <w:sz w:val="24"/>
          <w:szCs w:val="24"/>
        </w:rPr>
        <w:t>六、合同授予：</w:t>
      </w:r>
    </w:p>
    <w:p>
      <w:pPr>
        <w:keepNext w:val="0"/>
        <w:keepLines w:val="0"/>
        <w:pageBreakBefore w:val="0"/>
        <w:kinsoku/>
        <w:wordWrap/>
        <w:topLinePunct w:val="0"/>
        <w:bidi w:val="0"/>
        <w:snapToGrid/>
        <w:spacing w:line="339"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（一）中标人应自接到中标通知书后按中标通知书规定的时间内与采购人签定合同。同时，招标代理机构对合同内容进行审查，如发现与采购结果和投标承诺内容不一致的，应予以纠正。</w:t>
      </w:r>
    </w:p>
    <w:p>
      <w:pPr>
        <w:keepNext w:val="0"/>
        <w:keepLines w:val="0"/>
        <w:pageBreakBefore w:val="0"/>
        <w:kinsoku/>
        <w:wordWrap/>
        <w:topLinePunct w:val="0"/>
        <w:bidi w:val="0"/>
        <w:snapToGrid/>
        <w:spacing w:line="339" w:lineRule="auto"/>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（二）中标人拖延、拒签合同的</w:t>
      </w:r>
      <w:r>
        <w:rPr>
          <w:rFonts w:ascii="仿宋" w:hAnsi="仿宋" w:eastAsia="仿宋" w:cs="仿宋"/>
          <w:color w:val="auto"/>
          <w:sz w:val="24"/>
          <w:szCs w:val="24"/>
        </w:rPr>
        <w:t>,</w:t>
      </w:r>
      <w:r>
        <w:rPr>
          <w:rFonts w:hint="eastAsia" w:ascii="仿宋" w:hAnsi="仿宋" w:eastAsia="仿宋" w:cs="仿宋"/>
          <w:color w:val="auto"/>
          <w:sz w:val="24"/>
          <w:szCs w:val="24"/>
        </w:rPr>
        <w:t>将被取消中标资格。</w:t>
      </w:r>
    </w:p>
    <w:p>
      <w:pPr>
        <w:rPr>
          <w:color w:val="auto"/>
        </w:rPr>
      </w:pPr>
    </w:p>
    <w:p>
      <w:pPr>
        <w:jc w:val="center"/>
        <w:rPr>
          <w:rFonts w:hint="eastAsia"/>
          <w:color w:val="auto"/>
        </w:rPr>
      </w:pPr>
      <w:r>
        <w:rPr>
          <w:rStyle w:val="97"/>
          <w:rFonts w:hint="eastAsia" w:ascii="仿宋" w:hAnsi="仿宋" w:eastAsia="仿宋" w:cs="仿宋"/>
          <w:b/>
          <w:bCs/>
          <w:color w:val="auto"/>
          <w:sz w:val="36"/>
          <w:szCs w:val="36"/>
        </w:rPr>
        <w:t>第四章</w:t>
      </w:r>
      <w:r>
        <w:rPr>
          <w:rStyle w:val="97"/>
          <w:rFonts w:ascii="仿宋" w:hAnsi="仿宋" w:eastAsia="仿宋" w:cs="仿宋"/>
          <w:b/>
          <w:bCs/>
          <w:color w:val="auto"/>
          <w:sz w:val="36"/>
          <w:szCs w:val="36"/>
        </w:rPr>
        <w:t xml:space="preserve">  </w:t>
      </w:r>
      <w:r>
        <w:rPr>
          <w:rStyle w:val="97"/>
          <w:rFonts w:hint="eastAsia" w:ascii="仿宋" w:hAnsi="仿宋" w:eastAsia="仿宋" w:cs="仿宋"/>
          <w:b/>
          <w:bCs/>
          <w:color w:val="auto"/>
          <w:sz w:val="36"/>
          <w:szCs w:val="36"/>
        </w:rPr>
        <w:t>评分标准</w:t>
      </w:r>
    </w:p>
    <w:tbl>
      <w:tblPr>
        <w:tblStyle w:val="47"/>
        <w:tblpPr w:leftFromText="180" w:rightFromText="180" w:vertAnchor="text" w:horzAnchor="page" w:tblpX="1145" w:tblpY="725"/>
        <w:tblOverlap w:val="never"/>
        <w:tblW w:w="9611"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57" w:type="dxa"/>
          <w:left w:w="57" w:type="dxa"/>
          <w:bottom w:w="57" w:type="dxa"/>
          <w:right w:w="57" w:type="dxa"/>
        </w:tblCellMar>
      </w:tblPr>
      <w:tblGrid>
        <w:gridCol w:w="866"/>
        <w:gridCol w:w="1150"/>
        <w:gridCol w:w="654"/>
        <w:gridCol w:w="694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trHeight w:val="90" w:hRule="atLeast"/>
        </w:trPr>
        <w:tc>
          <w:tcPr>
            <w:tcW w:w="2016" w:type="dxa"/>
            <w:gridSpan w:val="2"/>
            <w:noWrap w:val="0"/>
            <w:vAlign w:val="center"/>
          </w:tcPr>
          <w:p>
            <w:pPr>
              <w:widowControl/>
              <w:spacing w:line="360" w:lineRule="auto"/>
              <w:jc w:val="center"/>
              <w:rPr>
                <w:rFonts w:ascii="宋体" w:hAnsi="宋体" w:cs="仿宋"/>
                <w:b/>
                <w:color w:val="auto"/>
                <w:szCs w:val="21"/>
              </w:rPr>
            </w:pPr>
            <w:r>
              <w:rPr>
                <w:rFonts w:hint="eastAsia" w:ascii="宋体" w:hAnsi="宋体" w:cs="仿宋"/>
                <w:b/>
                <w:color w:val="auto"/>
                <w:szCs w:val="21"/>
              </w:rPr>
              <w:t>评分项目</w:t>
            </w:r>
          </w:p>
        </w:tc>
        <w:tc>
          <w:tcPr>
            <w:tcW w:w="654" w:type="dxa"/>
            <w:tcBorders>
              <w:right w:val="single" w:color="auto" w:sz="4" w:space="0"/>
            </w:tcBorders>
            <w:noWrap w:val="0"/>
            <w:vAlign w:val="center"/>
          </w:tcPr>
          <w:p>
            <w:pPr>
              <w:widowControl/>
              <w:spacing w:line="360" w:lineRule="auto"/>
              <w:jc w:val="center"/>
              <w:rPr>
                <w:rFonts w:ascii="宋体" w:hAnsi="宋体" w:cs="仿宋"/>
                <w:b/>
                <w:color w:val="auto"/>
                <w:szCs w:val="21"/>
              </w:rPr>
            </w:pPr>
            <w:r>
              <w:rPr>
                <w:rFonts w:hint="eastAsia" w:ascii="宋体" w:hAnsi="宋体" w:cs="仿宋"/>
                <w:b/>
                <w:color w:val="auto"/>
                <w:szCs w:val="21"/>
              </w:rPr>
              <w:t>分值</w:t>
            </w:r>
          </w:p>
        </w:tc>
        <w:tc>
          <w:tcPr>
            <w:tcW w:w="6941" w:type="dxa"/>
            <w:tcBorders>
              <w:left w:val="single" w:color="auto" w:sz="4" w:space="0"/>
            </w:tcBorders>
            <w:noWrap w:val="0"/>
            <w:vAlign w:val="center"/>
          </w:tcPr>
          <w:p>
            <w:pPr>
              <w:widowControl/>
              <w:spacing w:line="360" w:lineRule="auto"/>
              <w:jc w:val="center"/>
              <w:rPr>
                <w:rFonts w:ascii="宋体" w:hAnsi="宋体" w:cs="仿宋"/>
                <w:b/>
                <w:color w:val="auto"/>
                <w:szCs w:val="21"/>
              </w:rPr>
            </w:pPr>
            <w:r>
              <w:rPr>
                <w:rFonts w:hint="eastAsia" w:ascii="宋体" w:hAnsi="宋体" w:cs="仿宋"/>
                <w:b/>
                <w:color w:val="auto"/>
                <w:szCs w:val="21"/>
              </w:rPr>
              <w:t>评分内容和标准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trHeight w:val="90" w:hRule="atLeast"/>
        </w:trPr>
        <w:tc>
          <w:tcPr>
            <w:tcW w:w="2016" w:type="dxa"/>
            <w:gridSpan w:val="2"/>
            <w:noWrap w:val="0"/>
            <w:vAlign w:val="center"/>
          </w:tcPr>
          <w:p>
            <w:pPr>
              <w:spacing w:line="300" w:lineRule="exact"/>
              <w:jc w:val="center"/>
              <w:rPr>
                <w:rFonts w:ascii="宋体" w:hAnsi="宋体" w:cs="仿宋"/>
                <w:bCs/>
                <w:color w:val="auto"/>
                <w:szCs w:val="21"/>
              </w:rPr>
            </w:pPr>
            <w:r>
              <w:rPr>
                <w:rFonts w:hint="eastAsia" w:ascii="宋体" w:hAnsi="宋体" w:cs="仿宋"/>
                <w:bCs/>
                <w:color w:val="auto"/>
                <w:szCs w:val="21"/>
              </w:rPr>
              <w:t>价格（1</w:t>
            </w:r>
            <w:r>
              <w:rPr>
                <w:rFonts w:ascii="宋体" w:hAnsi="宋体" w:cs="仿宋"/>
                <w:bCs/>
                <w:color w:val="auto"/>
                <w:szCs w:val="21"/>
              </w:rPr>
              <w:t>0</w:t>
            </w:r>
            <w:r>
              <w:rPr>
                <w:rFonts w:hint="eastAsia" w:ascii="宋体" w:hAnsi="宋体" w:cs="仿宋"/>
                <w:bCs/>
                <w:color w:val="auto"/>
                <w:szCs w:val="21"/>
              </w:rPr>
              <w:t>）</w:t>
            </w:r>
          </w:p>
        </w:tc>
        <w:tc>
          <w:tcPr>
            <w:tcW w:w="654" w:type="dxa"/>
            <w:tcBorders>
              <w:right w:val="single" w:color="auto" w:sz="4" w:space="0"/>
            </w:tcBorders>
            <w:noWrap w:val="0"/>
            <w:vAlign w:val="center"/>
          </w:tcPr>
          <w:p>
            <w:pPr>
              <w:spacing w:line="300" w:lineRule="exact"/>
              <w:jc w:val="center"/>
              <w:rPr>
                <w:rFonts w:ascii="宋体" w:hAnsi="宋体" w:cs="仿宋"/>
                <w:bCs/>
                <w:color w:val="auto"/>
                <w:szCs w:val="21"/>
              </w:rPr>
            </w:pPr>
            <w:r>
              <w:rPr>
                <w:rFonts w:hint="eastAsia" w:ascii="宋体" w:hAnsi="宋体" w:cs="仿宋"/>
                <w:bCs/>
                <w:color w:val="auto"/>
                <w:szCs w:val="21"/>
              </w:rPr>
              <w:t>1</w:t>
            </w:r>
            <w:r>
              <w:rPr>
                <w:rFonts w:ascii="宋体" w:hAnsi="宋体" w:cs="仿宋"/>
                <w:bCs/>
                <w:color w:val="auto"/>
                <w:szCs w:val="21"/>
              </w:rPr>
              <w:t>0</w:t>
            </w:r>
          </w:p>
        </w:tc>
        <w:tc>
          <w:tcPr>
            <w:tcW w:w="6941" w:type="dxa"/>
            <w:tcBorders>
              <w:left w:val="single" w:color="auto" w:sz="4" w:space="0"/>
            </w:tcBorders>
            <w:noWrap w:val="0"/>
            <w:vAlign w:val="center"/>
          </w:tcPr>
          <w:p>
            <w:pPr>
              <w:spacing w:line="300" w:lineRule="exact"/>
              <w:rPr>
                <w:rFonts w:ascii="宋体" w:hAnsi="宋体" w:cs="仿宋"/>
                <w:bCs/>
                <w:color w:val="auto"/>
                <w:szCs w:val="21"/>
              </w:rPr>
            </w:pPr>
            <w:r>
              <w:rPr>
                <w:rFonts w:hint="eastAsia" w:ascii="宋体" w:hAnsi="宋体" w:cs="仿宋"/>
                <w:bCs/>
                <w:color w:val="auto"/>
                <w:szCs w:val="21"/>
              </w:rPr>
              <w:t>满足招标文件要求且投标报价最低的作为评标基准价，其价格分为满分。其他投标人的价格分统一按照下列公式计算：投标报价得分</w:t>
            </w:r>
            <w:r>
              <w:rPr>
                <w:rFonts w:ascii="宋体" w:hAnsi="宋体" w:cs="仿宋"/>
                <w:bCs/>
                <w:color w:val="auto"/>
                <w:szCs w:val="21"/>
              </w:rPr>
              <w:t>=</w:t>
            </w:r>
            <w:r>
              <w:rPr>
                <w:rFonts w:hint="eastAsia" w:ascii="宋体" w:hAnsi="宋体" w:cs="仿宋"/>
                <w:bCs/>
                <w:color w:val="auto"/>
                <w:szCs w:val="21"/>
              </w:rPr>
              <w:t>（评标基准价</w:t>
            </w:r>
            <w:r>
              <w:rPr>
                <w:rFonts w:ascii="宋体" w:hAnsi="宋体" w:cs="仿宋"/>
                <w:bCs/>
                <w:color w:val="auto"/>
                <w:szCs w:val="21"/>
              </w:rPr>
              <w:t>/</w:t>
            </w:r>
            <w:r>
              <w:rPr>
                <w:rFonts w:hint="eastAsia" w:ascii="宋体" w:hAnsi="宋体" w:cs="仿宋"/>
                <w:bCs/>
                <w:color w:val="auto"/>
                <w:szCs w:val="21"/>
              </w:rPr>
              <w:t>投标报价）</w:t>
            </w:r>
            <w:r>
              <w:rPr>
                <w:rFonts w:ascii="宋体" w:hAnsi="宋体" w:cs="仿宋"/>
                <w:bCs/>
                <w:color w:val="auto"/>
                <w:szCs w:val="21"/>
              </w:rPr>
              <w:t>*</w:t>
            </w:r>
            <w:r>
              <w:rPr>
                <w:rFonts w:hint="eastAsia" w:ascii="宋体" w:hAnsi="宋体" w:cs="仿宋"/>
                <w:bCs/>
                <w:color w:val="auto"/>
                <w:szCs w:val="21"/>
              </w:rPr>
              <w:t>1</w:t>
            </w:r>
            <w:r>
              <w:rPr>
                <w:rFonts w:ascii="宋体" w:hAnsi="宋体" w:cs="仿宋"/>
                <w:bCs/>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trHeight w:val="917" w:hRule="atLeast"/>
        </w:trPr>
        <w:tc>
          <w:tcPr>
            <w:tcW w:w="866" w:type="dxa"/>
            <w:vMerge w:val="restart"/>
            <w:noWrap w:val="0"/>
            <w:vAlign w:val="center"/>
          </w:tcPr>
          <w:p>
            <w:pPr>
              <w:widowControl/>
              <w:spacing w:line="360" w:lineRule="auto"/>
              <w:jc w:val="left"/>
              <w:rPr>
                <w:rFonts w:ascii="宋体" w:hAnsi="宋体" w:cs="仿宋"/>
                <w:bCs/>
                <w:color w:val="auto"/>
                <w:szCs w:val="21"/>
              </w:rPr>
            </w:pPr>
            <w:r>
              <w:rPr>
                <w:rFonts w:hint="eastAsia" w:ascii="宋体" w:hAnsi="宋体" w:cs="仿宋"/>
                <w:bCs/>
                <w:color w:val="auto"/>
                <w:szCs w:val="21"/>
              </w:rPr>
              <w:t>技术和服务方案（7</w:t>
            </w:r>
            <w:r>
              <w:rPr>
                <w:rFonts w:ascii="宋体" w:hAnsi="宋体" w:cs="仿宋"/>
                <w:bCs/>
                <w:color w:val="auto"/>
                <w:szCs w:val="21"/>
              </w:rPr>
              <w:t>0</w:t>
            </w:r>
            <w:r>
              <w:rPr>
                <w:rFonts w:hint="eastAsia" w:ascii="宋体" w:hAnsi="宋体" w:cs="仿宋"/>
                <w:bCs/>
                <w:color w:val="auto"/>
                <w:szCs w:val="21"/>
              </w:rPr>
              <w:t>分）</w:t>
            </w:r>
          </w:p>
        </w:tc>
        <w:tc>
          <w:tcPr>
            <w:tcW w:w="1150" w:type="dxa"/>
            <w:vMerge w:val="restart"/>
            <w:noWrap w:val="0"/>
            <w:vAlign w:val="center"/>
          </w:tcPr>
          <w:p>
            <w:pPr>
              <w:widowControl/>
              <w:spacing w:line="360" w:lineRule="auto"/>
              <w:jc w:val="left"/>
              <w:rPr>
                <w:rFonts w:ascii="宋体" w:hAnsi="宋体" w:cs="仿宋"/>
                <w:bCs/>
                <w:color w:val="auto"/>
                <w:szCs w:val="21"/>
              </w:rPr>
            </w:pPr>
            <w:r>
              <w:rPr>
                <w:rFonts w:hint="eastAsia" w:ascii="宋体" w:hAnsi="宋体" w:cs="仿宋"/>
                <w:bCs/>
                <w:color w:val="auto"/>
                <w:szCs w:val="21"/>
              </w:rPr>
              <w:t>投标方案的科学性</w:t>
            </w:r>
            <w:r>
              <w:rPr>
                <w:rFonts w:hint="eastAsia" w:ascii="宋体" w:hAnsi="宋体" w:cs="仿宋"/>
                <w:bCs/>
                <w:color w:val="auto"/>
                <w:szCs w:val="21"/>
                <w:lang w:eastAsia="zh-CN"/>
              </w:rPr>
              <w:t>、</w:t>
            </w:r>
            <w:r>
              <w:rPr>
                <w:rFonts w:hint="eastAsia" w:ascii="宋体" w:hAnsi="宋体" w:cs="仿宋"/>
                <w:bCs/>
                <w:color w:val="auto"/>
                <w:szCs w:val="21"/>
              </w:rPr>
              <w:t>完整性</w:t>
            </w:r>
            <w:r>
              <w:rPr>
                <w:rFonts w:hint="eastAsia" w:ascii="宋体" w:hAnsi="宋体" w:cs="仿宋"/>
                <w:bCs/>
                <w:color w:val="auto"/>
                <w:szCs w:val="21"/>
                <w:lang w:eastAsia="zh-CN"/>
              </w:rPr>
              <w:t>和功能实现情况</w:t>
            </w:r>
            <w:r>
              <w:rPr>
                <w:rFonts w:hint="eastAsia" w:ascii="宋体" w:hAnsi="宋体" w:cs="仿宋"/>
                <w:bCs/>
                <w:color w:val="auto"/>
                <w:szCs w:val="21"/>
              </w:rPr>
              <w:t>（</w:t>
            </w:r>
            <w:r>
              <w:rPr>
                <w:rFonts w:hint="eastAsia" w:ascii="宋体" w:hAnsi="宋体" w:cs="仿宋"/>
                <w:bCs/>
                <w:color w:val="auto"/>
                <w:szCs w:val="21"/>
                <w:lang w:val="en-US" w:eastAsia="zh-CN"/>
              </w:rPr>
              <w:t>25</w:t>
            </w:r>
            <w:r>
              <w:rPr>
                <w:rFonts w:hint="eastAsia" w:ascii="宋体" w:hAnsi="宋体" w:cs="仿宋"/>
                <w:bCs/>
                <w:color w:val="auto"/>
                <w:szCs w:val="21"/>
              </w:rPr>
              <w:t>分）</w:t>
            </w:r>
          </w:p>
        </w:tc>
        <w:tc>
          <w:tcPr>
            <w:tcW w:w="654" w:type="dxa"/>
            <w:tcBorders>
              <w:right w:val="single" w:color="auto" w:sz="4" w:space="0"/>
            </w:tcBorders>
            <w:noWrap w:val="0"/>
            <w:vAlign w:val="center"/>
          </w:tcPr>
          <w:p>
            <w:pPr>
              <w:widowControl/>
              <w:spacing w:line="360" w:lineRule="auto"/>
              <w:jc w:val="center"/>
              <w:rPr>
                <w:rFonts w:hint="eastAsia" w:ascii="宋体" w:hAnsi="宋体" w:eastAsia="宋体" w:cs="仿宋"/>
                <w:bCs/>
                <w:color w:val="auto"/>
                <w:szCs w:val="21"/>
                <w:lang w:eastAsia="zh-CN"/>
              </w:rPr>
            </w:pPr>
            <w:r>
              <w:rPr>
                <w:rFonts w:hint="eastAsia" w:ascii="宋体" w:hAnsi="宋体" w:cs="仿宋"/>
                <w:bCs/>
                <w:color w:val="auto"/>
                <w:szCs w:val="21"/>
                <w:lang w:val="en-US" w:eastAsia="zh-CN"/>
              </w:rPr>
              <w:t>8</w:t>
            </w:r>
          </w:p>
        </w:tc>
        <w:tc>
          <w:tcPr>
            <w:tcW w:w="6941" w:type="dxa"/>
            <w:tcBorders>
              <w:left w:val="single" w:color="auto" w:sz="4" w:space="0"/>
            </w:tcBorders>
            <w:noWrap w:val="0"/>
            <w:vAlign w:val="center"/>
          </w:tcPr>
          <w:p>
            <w:pPr>
              <w:autoSpaceDE w:val="0"/>
              <w:autoSpaceDN w:val="0"/>
              <w:adjustRightInd w:val="0"/>
              <w:jc w:val="left"/>
              <w:rPr>
                <w:rFonts w:ascii="宋体" w:hAnsi="宋体" w:cs="仿宋"/>
                <w:bCs/>
                <w:color w:val="auto"/>
                <w:szCs w:val="21"/>
              </w:rPr>
            </w:pPr>
            <w:r>
              <w:rPr>
                <w:rFonts w:hint="eastAsia" w:ascii="宋体" w:hAnsi="宋体" w:cs="仿宋"/>
                <w:bCs/>
                <w:color w:val="auto"/>
                <w:szCs w:val="21"/>
              </w:rPr>
              <w:t>投标方案对总体设计、建设方案、软件开发方案等进行说明，详细阐述系统的体系架构、功能模块、实现思路和关键技术，以及对功能设计和实施计划的建议。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trHeight w:val="723" w:hRule="atLeast"/>
        </w:trPr>
        <w:tc>
          <w:tcPr>
            <w:tcW w:w="866" w:type="dxa"/>
            <w:vMerge w:val="continue"/>
            <w:noWrap w:val="0"/>
            <w:vAlign w:val="center"/>
          </w:tcPr>
          <w:p>
            <w:pPr>
              <w:spacing w:line="360" w:lineRule="auto"/>
              <w:rPr>
                <w:rFonts w:ascii="宋体" w:hAnsi="宋体" w:cs="仿宋"/>
                <w:bCs/>
                <w:color w:val="auto"/>
                <w:szCs w:val="21"/>
              </w:rPr>
            </w:pPr>
          </w:p>
        </w:tc>
        <w:tc>
          <w:tcPr>
            <w:tcW w:w="1150" w:type="dxa"/>
            <w:vMerge w:val="continue"/>
            <w:noWrap w:val="0"/>
            <w:vAlign w:val="center"/>
          </w:tcPr>
          <w:p>
            <w:pPr>
              <w:widowControl/>
              <w:spacing w:line="360" w:lineRule="auto"/>
              <w:jc w:val="left"/>
              <w:rPr>
                <w:rFonts w:ascii="宋体" w:hAnsi="宋体" w:cs="仿宋"/>
                <w:bCs/>
                <w:color w:val="auto"/>
                <w:szCs w:val="21"/>
              </w:rPr>
            </w:pPr>
          </w:p>
        </w:tc>
        <w:tc>
          <w:tcPr>
            <w:tcW w:w="654" w:type="dxa"/>
            <w:tcBorders>
              <w:bottom w:val="single" w:color="auto" w:sz="4" w:space="0"/>
              <w:right w:val="single" w:color="auto" w:sz="4" w:space="0"/>
            </w:tcBorders>
            <w:noWrap w:val="0"/>
            <w:vAlign w:val="center"/>
          </w:tcPr>
          <w:p>
            <w:pPr>
              <w:widowControl/>
              <w:spacing w:line="360" w:lineRule="auto"/>
              <w:jc w:val="center"/>
              <w:rPr>
                <w:rFonts w:hint="eastAsia" w:ascii="宋体" w:hAnsi="宋体" w:eastAsia="宋体" w:cs="仿宋"/>
                <w:bCs/>
                <w:color w:val="auto"/>
                <w:szCs w:val="21"/>
                <w:lang w:eastAsia="zh-CN"/>
              </w:rPr>
            </w:pPr>
            <w:r>
              <w:rPr>
                <w:rFonts w:hint="eastAsia" w:ascii="宋体" w:hAnsi="宋体" w:cs="仿宋"/>
                <w:bCs/>
                <w:color w:val="auto"/>
                <w:szCs w:val="21"/>
                <w:lang w:val="en-US" w:eastAsia="zh-CN"/>
              </w:rPr>
              <w:t>8</w:t>
            </w:r>
          </w:p>
        </w:tc>
        <w:tc>
          <w:tcPr>
            <w:tcW w:w="6941" w:type="dxa"/>
            <w:tcBorders>
              <w:left w:val="single" w:color="auto" w:sz="4" w:space="0"/>
              <w:bottom w:val="single" w:color="auto" w:sz="4" w:space="0"/>
            </w:tcBorders>
            <w:noWrap w:val="0"/>
            <w:vAlign w:val="center"/>
          </w:tcPr>
          <w:p>
            <w:pPr>
              <w:jc w:val="left"/>
              <w:rPr>
                <w:rFonts w:ascii="宋体" w:hAnsi="宋体" w:cs="仿宋"/>
                <w:bCs/>
                <w:color w:val="auto"/>
                <w:szCs w:val="21"/>
              </w:rPr>
            </w:pPr>
            <w:r>
              <w:rPr>
                <w:rFonts w:hint="eastAsia" w:ascii="宋体" w:hAnsi="宋体" w:cs="仿宋"/>
                <w:bCs/>
                <w:color w:val="auto"/>
                <w:szCs w:val="21"/>
              </w:rPr>
              <w:t>对项目建设思路、原则、特点、技术要求的理解情况，方案在确保阶段性任务实现的同时，是否统筹考虑了总体目标的实现。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trHeight w:val="1425" w:hRule="atLeast"/>
        </w:trPr>
        <w:tc>
          <w:tcPr>
            <w:tcW w:w="866" w:type="dxa"/>
            <w:vMerge w:val="continue"/>
            <w:noWrap w:val="0"/>
            <w:vAlign w:val="center"/>
          </w:tcPr>
          <w:p>
            <w:pPr>
              <w:widowControl/>
              <w:spacing w:line="360" w:lineRule="auto"/>
              <w:rPr>
                <w:rFonts w:ascii="宋体" w:hAnsi="宋体" w:cs="仿宋"/>
                <w:bCs/>
                <w:color w:val="auto"/>
                <w:szCs w:val="21"/>
              </w:rPr>
            </w:pPr>
          </w:p>
        </w:tc>
        <w:tc>
          <w:tcPr>
            <w:tcW w:w="1150" w:type="dxa"/>
            <w:vMerge w:val="continue"/>
            <w:noWrap w:val="0"/>
            <w:vAlign w:val="center"/>
          </w:tcPr>
          <w:p>
            <w:pPr>
              <w:widowControl/>
              <w:spacing w:line="360" w:lineRule="auto"/>
              <w:jc w:val="left"/>
              <w:rPr>
                <w:rFonts w:ascii="宋体" w:hAnsi="宋体" w:cs="仿宋"/>
                <w:bCs/>
                <w:color w:val="auto"/>
                <w:szCs w:val="21"/>
              </w:rPr>
            </w:pPr>
          </w:p>
        </w:tc>
        <w:tc>
          <w:tcPr>
            <w:tcW w:w="654" w:type="dxa"/>
            <w:tcBorders>
              <w:left w:val="single" w:color="auto" w:sz="4" w:space="0"/>
              <w:right w:val="single" w:color="auto" w:sz="4" w:space="0"/>
            </w:tcBorders>
            <w:noWrap w:val="0"/>
            <w:vAlign w:val="center"/>
          </w:tcPr>
          <w:p>
            <w:pPr>
              <w:widowControl/>
              <w:spacing w:line="360" w:lineRule="auto"/>
              <w:jc w:val="center"/>
              <w:rPr>
                <w:rFonts w:hint="default" w:ascii="宋体" w:hAnsi="宋体" w:eastAsia="宋体" w:cs="仿宋"/>
                <w:bCs/>
                <w:color w:val="auto"/>
                <w:kern w:val="0"/>
                <w:szCs w:val="21"/>
                <w:lang w:val="en-US" w:eastAsia="zh-CN" w:bidi="ar"/>
              </w:rPr>
            </w:pPr>
            <w:r>
              <w:rPr>
                <w:rFonts w:hint="eastAsia" w:ascii="宋体" w:hAnsi="宋体" w:cs="仿宋"/>
                <w:bCs/>
                <w:color w:val="auto"/>
                <w:kern w:val="0"/>
                <w:szCs w:val="21"/>
                <w:lang w:val="en-US" w:eastAsia="zh-CN" w:bidi="ar"/>
              </w:rPr>
              <w:t>9</w:t>
            </w:r>
          </w:p>
        </w:tc>
        <w:tc>
          <w:tcPr>
            <w:tcW w:w="6941" w:type="dxa"/>
            <w:tcBorders>
              <w:left w:val="single" w:color="auto" w:sz="4" w:space="0"/>
            </w:tcBorders>
            <w:noWrap w:val="0"/>
            <w:vAlign w:val="center"/>
          </w:tcPr>
          <w:p>
            <w:pPr>
              <w:jc w:val="left"/>
              <w:rPr>
                <w:rFonts w:ascii="宋体" w:hAnsi="宋体" w:cs="仿宋"/>
                <w:bCs/>
                <w:color w:val="auto"/>
                <w:szCs w:val="21"/>
              </w:rPr>
            </w:pPr>
            <w:r>
              <w:rPr>
                <w:rFonts w:hint="eastAsia" w:ascii="宋体" w:hAnsi="宋体" w:cs="仿宋"/>
                <w:bCs/>
                <w:color w:val="auto"/>
                <w:szCs w:val="21"/>
                <w:lang w:bidi="ar"/>
              </w:rPr>
              <w:t>“安心返”系统及“1</w:t>
            </w:r>
            <w:r>
              <w:rPr>
                <w:rFonts w:ascii="宋体" w:hAnsi="宋体" w:cs="仿宋"/>
                <w:bCs/>
                <w:color w:val="auto"/>
                <w:szCs w:val="21"/>
                <w:lang w:bidi="ar"/>
              </w:rPr>
              <w:t>7</w:t>
            </w:r>
            <w:r>
              <w:rPr>
                <w:rFonts w:hint="eastAsia" w:ascii="宋体" w:hAnsi="宋体" w:cs="仿宋"/>
                <w:bCs/>
                <w:color w:val="auto"/>
                <w:szCs w:val="21"/>
                <w:lang w:bidi="ar"/>
              </w:rPr>
              <w:t>防”平台的基本功能、技术指标与招标文件需求的吻合程度和偏差情况；</w:t>
            </w:r>
            <w:r>
              <w:rPr>
                <w:rFonts w:hint="eastAsia" w:ascii="宋体" w:hAnsi="宋体" w:cs="仿宋"/>
                <w:bCs/>
                <w:color w:val="auto"/>
                <w:szCs w:val="21"/>
              </w:rPr>
              <w:t>方案是否涵盖了所有功能需求，进度计划是否满足建设要求</w:t>
            </w:r>
            <w:r>
              <w:rPr>
                <w:rFonts w:hint="eastAsia" w:ascii="宋体" w:hAnsi="宋体" w:cs="仿宋"/>
                <w:bCs/>
                <w:color w:val="auto"/>
                <w:szCs w:val="21"/>
                <w:lang w:eastAsia="zh-CN"/>
              </w:rPr>
              <w:t>；</w:t>
            </w:r>
            <w:r>
              <w:rPr>
                <w:rFonts w:hint="eastAsia" w:ascii="宋体" w:hAnsi="宋体" w:cs="仿宋"/>
                <w:bCs/>
                <w:color w:val="auto"/>
                <w:szCs w:val="21"/>
              </w:rPr>
              <w:t>对重点、难点的技术环节有先进、合理的建议，是否体现一定的先进性、科学性、扩展性和安全性，解决方案是否完整、经济、安全、切实可行，措施得力。</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trHeight w:val="3254" w:hRule="atLeast"/>
        </w:trPr>
        <w:tc>
          <w:tcPr>
            <w:tcW w:w="866" w:type="dxa"/>
            <w:vMerge w:val="continue"/>
            <w:noWrap w:val="0"/>
            <w:vAlign w:val="center"/>
          </w:tcPr>
          <w:p>
            <w:pPr>
              <w:widowControl/>
              <w:spacing w:line="360" w:lineRule="auto"/>
              <w:rPr>
                <w:rFonts w:ascii="宋体" w:hAnsi="宋体" w:cs="仿宋"/>
                <w:bCs/>
                <w:color w:val="auto"/>
                <w:szCs w:val="21"/>
              </w:rPr>
            </w:pPr>
          </w:p>
        </w:tc>
        <w:tc>
          <w:tcPr>
            <w:tcW w:w="1150" w:type="dxa"/>
            <w:tcBorders>
              <w:right w:val="single" w:color="auto" w:sz="4" w:space="0"/>
            </w:tcBorders>
            <w:noWrap w:val="0"/>
            <w:vAlign w:val="center"/>
          </w:tcPr>
          <w:p>
            <w:pPr>
              <w:widowControl/>
              <w:spacing w:line="360" w:lineRule="auto"/>
              <w:jc w:val="left"/>
              <w:rPr>
                <w:rFonts w:ascii="宋体" w:hAnsi="宋体" w:cs="仿宋"/>
                <w:bCs/>
                <w:color w:val="auto"/>
                <w:szCs w:val="21"/>
              </w:rPr>
            </w:pPr>
            <w:r>
              <w:rPr>
                <w:rFonts w:hint="eastAsia" w:ascii="宋体" w:hAnsi="宋体" w:cs="仿宋"/>
                <w:bCs/>
                <w:color w:val="auto"/>
                <w:szCs w:val="21"/>
              </w:rPr>
              <w:t>系统方案讲解和演示（</w:t>
            </w:r>
            <w:r>
              <w:rPr>
                <w:rFonts w:hint="eastAsia" w:ascii="宋体" w:hAnsi="宋体" w:cs="仿宋"/>
                <w:bCs/>
                <w:color w:val="auto"/>
                <w:szCs w:val="21"/>
                <w:lang w:val="en-US" w:eastAsia="zh-CN"/>
              </w:rPr>
              <w:t>10</w:t>
            </w:r>
            <w:r>
              <w:rPr>
                <w:rFonts w:hint="eastAsia" w:ascii="宋体" w:hAnsi="宋体" w:cs="仿宋"/>
                <w:bCs/>
                <w:color w:val="auto"/>
                <w:szCs w:val="21"/>
              </w:rPr>
              <w:t>分）</w:t>
            </w:r>
          </w:p>
        </w:tc>
        <w:tc>
          <w:tcPr>
            <w:tcW w:w="654" w:type="dxa"/>
            <w:tcBorders>
              <w:top w:val="single" w:color="auto" w:sz="4" w:space="0"/>
              <w:left w:val="single" w:color="auto" w:sz="4" w:space="0"/>
              <w:right w:val="single" w:color="auto" w:sz="4" w:space="0"/>
            </w:tcBorders>
            <w:noWrap w:val="0"/>
            <w:vAlign w:val="center"/>
          </w:tcPr>
          <w:p>
            <w:pPr>
              <w:spacing w:line="360" w:lineRule="auto"/>
              <w:jc w:val="center"/>
              <w:rPr>
                <w:rFonts w:hint="eastAsia" w:ascii="宋体" w:hAnsi="宋体" w:eastAsia="宋体" w:cs="仿宋"/>
                <w:bCs/>
                <w:color w:val="auto"/>
                <w:szCs w:val="21"/>
                <w:lang w:val="zh-CN" w:eastAsia="zh-CN"/>
              </w:rPr>
            </w:pPr>
            <w:r>
              <w:rPr>
                <w:rFonts w:hint="eastAsia" w:ascii="宋体" w:hAnsi="宋体" w:cs="仿宋"/>
                <w:bCs/>
                <w:color w:val="auto"/>
                <w:szCs w:val="21"/>
              </w:rPr>
              <w:t>1</w:t>
            </w:r>
            <w:r>
              <w:rPr>
                <w:rFonts w:hint="eastAsia" w:ascii="宋体" w:hAnsi="宋体" w:cs="仿宋"/>
                <w:bCs/>
                <w:color w:val="auto"/>
                <w:szCs w:val="21"/>
                <w:lang w:val="en-US" w:eastAsia="zh-CN"/>
              </w:rPr>
              <w:t>0</w:t>
            </w:r>
          </w:p>
        </w:tc>
        <w:tc>
          <w:tcPr>
            <w:tcW w:w="6941" w:type="dxa"/>
            <w:tcBorders>
              <w:top w:val="single" w:color="auto" w:sz="4" w:space="0"/>
              <w:left w:val="single" w:color="auto" w:sz="4" w:space="0"/>
            </w:tcBorders>
            <w:noWrap w:val="0"/>
            <w:vAlign w:val="center"/>
          </w:tcPr>
          <w:p>
            <w:pPr>
              <w:jc w:val="left"/>
              <w:rPr>
                <w:color w:val="auto"/>
              </w:rPr>
            </w:pPr>
            <w:r>
              <w:rPr>
                <w:rFonts w:hint="eastAsia"/>
                <w:color w:val="auto"/>
              </w:rPr>
              <w:t>一、安心返（</w:t>
            </w:r>
            <w:r>
              <w:rPr>
                <w:rFonts w:hint="eastAsia"/>
                <w:color w:val="auto"/>
                <w:lang w:val="en-US" w:eastAsia="zh-CN"/>
              </w:rPr>
              <w:t>3</w:t>
            </w:r>
            <w:r>
              <w:rPr>
                <w:rFonts w:hint="eastAsia"/>
                <w:color w:val="auto"/>
              </w:rPr>
              <w:t>分）</w:t>
            </w:r>
          </w:p>
          <w:p>
            <w:pPr>
              <w:jc w:val="left"/>
              <w:rPr>
                <w:color w:val="auto"/>
              </w:rPr>
            </w:pPr>
            <w:r>
              <w:rPr>
                <w:rFonts w:hint="eastAsia"/>
                <w:color w:val="auto"/>
              </w:rPr>
              <w:t>1、安心返公众申报端</w:t>
            </w:r>
          </w:p>
          <w:p>
            <w:pPr>
              <w:jc w:val="left"/>
              <w:rPr>
                <w:color w:val="auto"/>
              </w:rPr>
            </w:pPr>
            <w:r>
              <w:rPr>
                <w:rFonts w:hint="eastAsia"/>
                <w:color w:val="auto"/>
              </w:rPr>
              <w:t>（1）演示注册模块，支持通过手机号注册，短信验证码方式登录。（</w:t>
            </w:r>
            <w:r>
              <w:rPr>
                <w:rFonts w:hint="eastAsia"/>
                <w:color w:val="auto"/>
                <w:lang w:val="en-US" w:eastAsia="zh-CN"/>
              </w:rPr>
              <w:t>0.5</w:t>
            </w:r>
            <w:r>
              <w:rPr>
                <w:rFonts w:hint="eastAsia"/>
                <w:color w:val="auto"/>
              </w:rPr>
              <w:t>分）</w:t>
            </w:r>
          </w:p>
          <w:p>
            <w:pPr>
              <w:jc w:val="left"/>
              <w:rPr>
                <w:color w:val="auto"/>
              </w:rPr>
            </w:pPr>
            <w:r>
              <w:rPr>
                <w:rFonts w:hint="eastAsia"/>
                <w:color w:val="auto"/>
              </w:rPr>
              <w:t>（2）演示申报模块，支持填写姓名、证件类型、证件号、到建日期、到建方式等申报信息，包括申报人申报和帮他人登记两种情况。（</w:t>
            </w:r>
            <w:r>
              <w:rPr>
                <w:rFonts w:hint="eastAsia"/>
                <w:color w:val="auto"/>
                <w:lang w:val="en-US" w:eastAsia="zh-CN"/>
              </w:rPr>
              <w:t>0.5</w:t>
            </w:r>
            <w:r>
              <w:rPr>
                <w:rFonts w:hint="eastAsia"/>
                <w:color w:val="auto"/>
              </w:rPr>
              <w:t>分）</w:t>
            </w:r>
          </w:p>
          <w:p>
            <w:pPr>
              <w:jc w:val="left"/>
              <w:rPr>
                <w:color w:val="auto"/>
              </w:rPr>
            </w:pPr>
            <w:r>
              <w:rPr>
                <w:rFonts w:hint="eastAsia"/>
                <w:color w:val="auto"/>
              </w:rPr>
              <w:t>（3）演示申报信息提交模块，信息提交后弹出提示框，向申报人展示疫情防控联系电话。（0</w:t>
            </w:r>
            <w:r>
              <w:rPr>
                <w:color w:val="auto"/>
              </w:rPr>
              <w:t>.5</w:t>
            </w:r>
            <w:r>
              <w:rPr>
                <w:rFonts w:hint="eastAsia"/>
                <w:color w:val="auto"/>
              </w:rPr>
              <w:t>分）</w:t>
            </w:r>
          </w:p>
          <w:p>
            <w:pPr>
              <w:jc w:val="left"/>
              <w:rPr>
                <w:color w:val="auto"/>
              </w:rPr>
            </w:pPr>
            <w:r>
              <w:rPr>
                <w:rFonts w:hint="eastAsia"/>
                <w:color w:val="auto"/>
              </w:rPr>
              <w:t>（4）演示修改模块，支持申报人修改本人申报信息及帮他人申报登记信息。（</w:t>
            </w:r>
            <w:r>
              <w:rPr>
                <w:color w:val="auto"/>
              </w:rPr>
              <w:t>0.5</w:t>
            </w:r>
            <w:r>
              <w:rPr>
                <w:rFonts w:hint="eastAsia"/>
                <w:color w:val="auto"/>
              </w:rPr>
              <w:t>分）</w:t>
            </w:r>
          </w:p>
          <w:p>
            <w:pPr>
              <w:jc w:val="left"/>
              <w:rPr>
                <w:color w:val="auto"/>
              </w:rPr>
            </w:pPr>
            <w:r>
              <w:rPr>
                <w:rFonts w:hint="eastAsia"/>
                <w:color w:val="auto"/>
              </w:rPr>
              <w:t>2、安心返管理端</w:t>
            </w:r>
          </w:p>
          <w:p>
            <w:pPr>
              <w:jc w:val="left"/>
              <w:rPr>
                <w:color w:val="auto"/>
              </w:rPr>
            </w:pPr>
            <w:r>
              <w:rPr>
                <w:rFonts w:hint="eastAsia"/>
                <w:color w:val="auto"/>
              </w:rPr>
              <w:t>（1）演示申报人信息列表显示，支持按姓名、身份证、归建日期、申报日期等1</w:t>
            </w:r>
            <w:r>
              <w:rPr>
                <w:color w:val="auto"/>
              </w:rPr>
              <w:t>4</w:t>
            </w:r>
            <w:r>
              <w:rPr>
                <w:rFonts w:hint="eastAsia"/>
                <w:color w:val="auto"/>
              </w:rPr>
              <w:t>种条件进行筛选。（</w:t>
            </w:r>
            <w:r>
              <w:rPr>
                <w:rFonts w:hint="eastAsia"/>
                <w:color w:val="auto"/>
                <w:lang w:val="en-US" w:eastAsia="zh-CN"/>
              </w:rPr>
              <w:t>0.5</w:t>
            </w:r>
            <w:r>
              <w:rPr>
                <w:rFonts w:hint="eastAsia"/>
                <w:color w:val="auto"/>
              </w:rPr>
              <w:t>分）</w:t>
            </w:r>
          </w:p>
          <w:p>
            <w:pPr>
              <w:jc w:val="left"/>
              <w:rPr>
                <w:color w:val="auto"/>
              </w:rPr>
            </w:pPr>
            <w:r>
              <w:rPr>
                <w:rFonts w:hint="eastAsia"/>
                <w:color w:val="auto"/>
              </w:rPr>
              <w:t>（2</w:t>
            </w:r>
            <w:r>
              <w:rPr>
                <w:color w:val="auto"/>
              </w:rPr>
              <w:t>）</w:t>
            </w:r>
            <w:r>
              <w:rPr>
                <w:rFonts w:hint="eastAsia"/>
                <w:color w:val="auto"/>
              </w:rPr>
              <w:t>演示申报信息导出、信息新增、信息修改、信息删除、结束纳管、核酸检测修改、确认抵建等功能。（</w:t>
            </w:r>
            <w:r>
              <w:rPr>
                <w:rFonts w:hint="eastAsia"/>
                <w:color w:val="auto"/>
                <w:lang w:val="en-US" w:eastAsia="zh-CN"/>
              </w:rPr>
              <w:t>0.5</w:t>
            </w:r>
            <w:r>
              <w:rPr>
                <w:rFonts w:hint="eastAsia"/>
                <w:color w:val="auto"/>
              </w:rPr>
              <w:t>分）</w:t>
            </w:r>
          </w:p>
          <w:p>
            <w:pPr>
              <w:jc w:val="left"/>
              <w:rPr>
                <w:color w:val="auto"/>
              </w:rPr>
            </w:pPr>
            <w:r>
              <w:rPr>
                <w:rFonts w:hint="eastAsia"/>
                <w:color w:val="auto"/>
              </w:rPr>
              <w:t>二、放心种(</w:t>
            </w:r>
            <w:r>
              <w:rPr>
                <w:rFonts w:hint="eastAsia"/>
                <w:color w:val="auto"/>
                <w:lang w:val="en-US" w:eastAsia="zh-CN"/>
              </w:rPr>
              <w:t>3</w:t>
            </w:r>
            <w:r>
              <w:rPr>
                <w:rFonts w:hint="eastAsia"/>
                <w:color w:val="auto"/>
              </w:rPr>
              <w:t>分</w:t>
            </w:r>
            <w:r>
              <w:rPr>
                <w:color w:val="auto"/>
              </w:rPr>
              <w:t>)</w:t>
            </w:r>
          </w:p>
          <w:p>
            <w:pPr>
              <w:jc w:val="left"/>
              <w:rPr>
                <w:color w:val="auto"/>
              </w:rPr>
            </w:pPr>
            <w:r>
              <w:rPr>
                <w:rFonts w:hint="eastAsia"/>
                <w:color w:val="auto"/>
              </w:rPr>
              <w:t>1、放心种公众预约端</w:t>
            </w:r>
          </w:p>
          <w:p>
            <w:pPr>
              <w:ind w:firstLine="210" w:firstLineChars="100"/>
              <w:jc w:val="left"/>
              <w:rPr>
                <w:color w:val="auto"/>
              </w:rPr>
            </w:pPr>
            <w:r>
              <w:rPr>
                <w:rFonts w:hint="eastAsia"/>
                <w:color w:val="auto"/>
              </w:rPr>
              <w:t>演示预约信息填写和提交，支持预约人姓名、性别、是否中国籍、身份证号、出生日期、人群分类等1</w:t>
            </w:r>
            <w:r>
              <w:rPr>
                <w:color w:val="auto"/>
              </w:rPr>
              <w:t>4</w:t>
            </w:r>
            <w:r>
              <w:rPr>
                <w:rFonts w:hint="eastAsia"/>
                <w:color w:val="auto"/>
              </w:rPr>
              <w:t>类信息的填写和提交。填写信息前显示新冠疫苗接种知情同意书，显示5秒倒计时。（1分）</w:t>
            </w:r>
          </w:p>
          <w:p>
            <w:pPr>
              <w:jc w:val="left"/>
              <w:rPr>
                <w:color w:val="auto"/>
              </w:rPr>
            </w:pPr>
            <w:r>
              <w:rPr>
                <w:rFonts w:hint="eastAsia"/>
                <w:color w:val="auto"/>
              </w:rPr>
              <w:t>2、放心种后台管理</w:t>
            </w:r>
          </w:p>
          <w:p>
            <w:pPr>
              <w:jc w:val="left"/>
              <w:rPr>
                <w:color w:val="auto"/>
              </w:rPr>
            </w:pPr>
            <w:r>
              <w:rPr>
                <w:rFonts w:hint="eastAsia"/>
                <w:color w:val="auto"/>
              </w:rPr>
              <w:t>（1）演示预约信息列表显示，支持按姓名、手机号、身份证号、性别、是否中国籍、接种状态、预约时间、人群分类、常住地址等1</w:t>
            </w:r>
            <w:r>
              <w:rPr>
                <w:color w:val="auto"/>
              </w:rPr>
              <w:t>3</w:t>
            </w:r>
            <w:r>
              <w:rPr>
                <w:rFonts w:hint="eastAsia"/>
                <w:color w:val="auto"/>
              </w:rPr>
              <w:t>种条件进行筛选。（1分）</w:t>
            </w:r>
          </w:p>
          <w:p>
            <w:pPr>
              <w:jc w:val="left"/>
              <w:rPr>
                <w:color w:val="auto"/>
              </w:rPr>
            </w:pPr>
            <w:r>
              <w:rPr>
                <w:rFonts w:hint="eastAsia"/>
                <w:color w:val="auto"/>
              </w:rPr>
              <w:t>（2）演示乡镇街道、党政机关、教育机构、医疗机构等的疫苗接种情况统计分析。（</w:t>
            </w:r>
            <w:r>
              <w:rPr>
                <w:rFonts w:hint="eastAsia"/>
                <w:color w:val="auto"/>
                <w:lang w:val="en-US" w:eastAsia="zh-CN"/>
              </w:rPr>
              <w:t>1</w:t>
            </w:r>
            <w:r>
              <w:rPr>
                <w:rFonts w:hint="eastAsia"/>
                <w:color w:val="auto"/>
              </w:rPr>
              <w:t>分）</w:t>
            </w:r>
          </w:p>
          <w:p>
            <w:pPr>
              <w:jc w:val="left"/>
              <w:rPr>
                <w:color w:val="auto"/>
              </w:rPr>
            </w:pPr>
            <w:r>
              <w:rPr>
                <w:rFonts w:hint="eastAsia"/>
                <w:color w:val="auto"/>
              </w:rPr>
              <w:t>三、数字驾驶舱(</w:t>
            </w:r>
            <w:r>
              <w:rPr>
                <w:rFonts w:hint="eastAsia"/>
                <w:color w:val="auto"/>
                <w:lang w:val="en-US" w:eastAsia="zh-CN"/>
              </w:rPr>
              <w:t>4</w:t>
            </w:r>
            <w:r>
              <w:rPr>
                <w:rFonts w:hint="eastAsia"/>
                <w:color w:val="auto"/>
              </w:rPr>
              <w:t>分</w:t>
            </w:r>
            <w:r>
              <w:rPr>
                <w:color w:val="auto"/>
              </w:rPr>
              <w:t>)</w:t>
            </w:r>
          </w:p>
          <w:p>
            <w:pPr>
              <w:jc w:val="left"/>
              <w:rPr>
                <w:color w:val="auto"/>
              </w:rPr>
            </w:pPr>
            <w:r>
              <w:rPr>
                <w:rFonts w:hint="eastAsia"/>
                <w:color w:val="auto"/>
              </w:rPr>
              <w:t>1、演示驾驶舱主屏，主屏内容包括疫情监测、人员管控、医疗服务、发热门诊走势、全市疫苗接种情况、物资供应、隔离点、核酸检测。(</w:t>
            </w:r>
            <w:r>
              <w:rPr>
                <w:rFonts w:hint="eastAsia"/>
                <w:color w:val="auto"/>
                <w:lang w:val="en-US" w:eastAsia="zh-CN"/>
              </w:rPr>
              <w:t>2</w:t>
            </w:r>
            <w:r>
              <w:rPr>
                <w:rFonts w:hint="eastAsia"/>
                <w:color w:val="auto"/>
              </w:rPr>
              <w:t>分</w:t>
            </w:r>
            <w:r>
              <w:rPr>
                <w:color w:val="auto"/>
              </w:rPr>
              <w:t>)</w:t>
            </w:r>
          </w:p>
          <w:p>
            <w:pPr>
              <w:jc w:val="left"/>
              <w:rPr>
                <w:color w:val="auto"/>
              </w:rPr>
            </w:pPr>
            <w:r>
              <w:rPr>
                <w:color w:val="auto"/>
              </w:rPr>
              <w:t>2</w:t>
            </w:r>
            <w:r>
              <w:rPr>
                <w:rFonts w:hint="eastAsia"/>
                <w:color w:val="auto"/>
              </w:rPr>
              <w:t>、演示人员防控子屏，子屏提供申报透视镜版块和管理透视镜版块，统一监测拟返人员乡镇走向、走向村镇top10、抵建纳管、健康码情况和重点管控名单。（</w:t>
            </w:r>
            <w:r>
              <w:rPr>
                <w:rFonts w:hint="eastAsia"/>
                <w:color w:val="auto"/>
                <w:lang w:val="en-US" w:eastAsia="zh-CN"/>
              </w:rPr>
              <w:t>1</w:t>
            </w:r>
            <w:r>
              <w:rPr>
                <w:rFonts w:hint="eastAsia"/>
                <w:color w:val="auto"/>
              </w:rPr>
              <w:t>分）</w:t>
            </w:r>
          </w:p>
          <w:p>
            <w:pPr>
              <w:jc w:val="left"/>
              <w:rPr>
                <w:color w:val="auto"/>
              </w:rPr>
            </w:pPr>
            <w:r>
              <w:rPr>
                <w:rFonts w:hint="eastAsia"/>
                <w:color w:val="auto"/>
              </w:rPr>
              <w:t>3、演示全市疫苗接种情况子屏，包括乡镇预约情况、乡镇各剂次接种情况、疫苗供应分析、全市疫苗每日接种趋势、接种情况、党政机关接种情况。(</w:t>
            </w:r>
            <w:r>
              <w:rPr>
                <w:rFonts w:hint="eastAsia"/>
                <w:color w:val="auto"/>
                <w:lang w:val="en-US" w:eastAsia="zh-CN"/>
              </w:rPr>
              <w:t>1</w:t>
            </w:r>
            <w:r>
              <w:rPr>
                <w:rFonts w:hint="eastAsia"/>
                <w:color w:val="auto"/>
              </w:rPr>
              <w:t>分</w:t>
            </w:r>
            <w:r>
              <w:rPr>
                <w:color w:val="auto"/>
              </w:rPr>
              <w:t>)</w:t>
            </w:r>
          </w:p>
          <w:p>
            <w:pPr>
              <w:pStyle w:val="2"/>
              <w:ind w:left="0" w:leftChars="0" w:firstLine="0" w:firstLineChars="0"/>
              <w:rPr>
                <w:color w:val="auto"/>
              </w:rPr>
            </w:pPr>
            <w:r>
              <w:rPr>
                <w:rFonts w:hint="eastAsia"/>
                <w:color w:val="auto"/>
              </w:rPr>
              <w:t>（需提供</w:t>
            </w:r>
            <w:r>
              <w:rPr>
                <w:rFonts w:hint="eastAsia"/>
                <w:color w:val="auto"/>
                <w:lang w:eastAsia="zh-CN"/>
              </w:rPr>
              <w:t>演示演说的现场拍摄的视频</w:t>
            </w:r>
            <w:r>
              <w:rPr>
                <w:rFonts w:hint="eastAsia"/>
                <w:color w:val="auto"/>
                <w:lang w:val="en-US" w:eastAsia="zh-CN"/>
              </w:rPr>
              <w:t>10分钟之内</w:t>
            </w:r>
            <w:r>
              <w:rPr>
                <w:rFonts w:hint="eastAsia"/>
                <w:color w:val="auto"/>
              </w:rPr>
              <w:t>，仅提供Demo或PPT演示不得分）；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trHeight w:val="90" w:hRule="atLeast"/>
        </w:trPr>
        <w:tc>
          <w:tcPr>
            <w:tcW w:w="866" w:type="dxa"/>
            <w:vMerge w:val="continue"/>
            <w:noWrap w:val="0"/>
            <w:vAlign w:val="center"/>
          </w:tcPr>
          <w:p>
            <w:pPr>
              <w:widowControl/>
              <w:spacing w:line="360" w:lineRule="auto"/>
              <w:rPr>
                <w:rFonts w:ascii="宋体" w:hAnsi="宋体" w:cs="仿宋"/>
                <w:bCs/>
                <w:color w:val="auto"/>
                <w:szCs w:val="21"/>
              </w:rPr>
            </w:pPr>
          </w:p>
        </w:tc>
        <w:tc>
          <w:tcPr>
            <w:tcW w:w="1150" w:type="dxa"/>
            <w:vMerge w:val="restart"/>
            <w:tcBorders>
              <w:top w:val="single" w:color="auto" w:sz="4" w:space="0"/>
              <w:right w:val="single" w:color="auto" w:sz="4" w:space="0"/>
            </w:tcBorders>
            <w:noWrap w:val="0"/>
            <w:vAlign w:val="center"/>
          </w:tcPr>
          <w:p>
            <w:pPr>
              <w:widowControl/>
              <w:spacing w:line="360" w:lineRule="auto"/>
              <w:jc w:val="left"/>
              <w:rPr>
                <w:rFonts w:ascii="宋体" w:hAnsi="宋体" w:cs="仿宋"/>
                <w:bCs/>
                <w:color w:val="auto"/>
                <w:szCs w:val="21"/>
              </w:rPr>
            </w:pPr>
            <w:r>
              <w:rPr>
                <w:rFonts w:hint="eastAsia" w:ascii="宋体" w:hAnsi="宋体" w:cs="仿宋"/>
                <w:bCs/>
                <w:color w:val="auto"/>
                <w:szCs w:val="21"/>
              </w:rPr>
              <w:t>组织实施方案（</w:t>
            </w:r>
            <w:r>
              <w:rPr>
                <w:rFonts w:ascii="宋体" w:hAnsi="宋体" w:cs="仿宋"/>
                <w:bCs/>
                <w:color w:val="auto"/>
                <w:szCs w:val="21"/>
              </w:rPr>
              <w:t>6</w:t>
            </w:r>
            <w:r>
              <w:rPr>
                <w:rFonts w:hint="eastAsia" w:ascii="宋体" w:hAnsi="宋体" w:cs="仿宋"/>
                <w:bCs/>
                <w:color w:val="auto"/>
                <w:szCs w:val="21"/>
              </w:rPr>
              <w:t>分）</w:t>
            </w:r>
          </w:p>
        </w:tc>
        <w:tc>
          <w:tcPr>
            <w:tcW w:w="654"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仿宋"/>
                <w:bCs/>
                <w:color w:val="auto"/>
                <w:szCs w:val="21"/>
              </w:rPr>
            </w:pPr>
            <w:r>
              <w:rPr>
                <w:rFonts w:ascii="宋体" w:hAnsi="宋体" w:cs="仿宋"/>
                <w:bCs/>
                <w:color w:val="auto"/>
                <w:szCs w:val="21"/>
              </w:rPr>
              <w:t>3</w:t>
            </w:r>
          </w:p>
        </w:tc>
        <w:tc>
          <w:tcPr>
            <w:tcW w:w="6941" w:type="dxa"/>
            <w:tcBorders>
              <w:top w:val="single" w:color="auto" w:sz="4" w:space="0"/>
              <w:left w:val="single" w:color="auto" w:sz="4" w:space="0"/>
              <w:bottom w:val="single" w:color="auto" w:sz="4" w:space="0"/>
            </w:tcBorders>
            <w:noWrap w:val="0"/>
            <w:vAlign w:val="center"/>
          </w:tcPr>
          <w:p>
            <w:pPr>
              <w:jc w:val="left"/>
              <w:rPr>
                <w:rFonts w:ascii="宋体" w:hAnsi="宋体" w:cs="仿宋"/>
                <w:bCs/>
                <w:color w:val="auto"/>
                <w:szCs w:val="21"/>
              </w:rPr>
            </w:pPr>
            <w:r>
              <w:rPr>
                <w:rFonts w:hint="eastAsia" w:ascii="宋体" w:hAnsi="宋体" w:cs="仿宋"/>
                <w:bCs/>
                <w:color w:val="auto"/>
                <w:szCs w:val="21"/>
              </w:rPr>
              <w:t>投标人提出项目的组织实施方案，项目组织实施方案具有科学性、合理性、规范性和可操作性，包括软件开发、系统设计、安装调试、试运行、测试、调优、应用开发培训、系统管理培训、系统运行维护培训等内容，以及组织机构、工作时间进度表、工作程序和步骤、管理和协调方法、关键步骤的思路和要点等，最高得</w:t>
            </w:r>
            <w:r>
              <w:rPr>
                <w:rFonts w:ascii="宋体" w:hAnsi="宋体" w:cs="仿宋"/>
                <w:bCs/>
                <w:color w:val="auto"/>
                <w:szCs w:val="21"/>
              </w:rPr>
              <w:t>3</w:t>
            </w:r>
            <w:r>
              <w:rPr>
                <w:rFonts w:hint="eastAsia" w:ascii="宋体" w:hAnsi="宋体" w:cs="仿宋"/>
                <w:bCs/>
                <w:color w:val="auto"/>
                <w:szCs w:val="21"/>
              </w:rPr>
              <w:t>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trHeight w:val="572" w:hRule="atLeast"/>
        </w:trPr>
        <w:tc>
          <w:tcPr>
            <w:tcW w:w="866" w:type="dxa"/>
            <w:vMerge w:val="continue"/>
            <w:noWrap w:val="0"/>
            <w:vAlign w:val="center"/>
          </w:tcPr>
          <w:p>
            <w:pPr>
              <w:widowControl/>
              <w:spacing w:line="360" w:lineRule="auto"/>
              <w:rPr>
                <w:rFonts w:ascii="宋体" w:hAnsi="宋体" w:cs="仿宋"/>
                <w:bCs/>
                <w:color w:val="auto"/>
                <w:szCs w:val="21"/>
              </w:rPr>
            </w:pPr>
          </w:p>
        </w:tc>
        <w:tc>
          <w:tcPr>
            <w:tcW w:w="1150" w:type="dxa"/>
            <w:vMerge w:val="continue"/>
            <w:tcBorders>
              <w:right w:val="single" w:color="auto" w:sz="4" w:space="0"/>
            </w:tcBorders>
            <w:noWrap w:val="0"/>
            <w:vAlign w:val="center"/>
          </w:tcPr>
          <w:p>
            <w:pPr>
              <w:widowControl/>
              <w:spacing w:line="360" w:lineRule="auto"/>
              <w:jc w:val="left"/>
              <w:rPr>
                <w:rFonts w:ascii="宋体" w:hAnsi="宋体" w:cs="仿宋"/>
                <w:bCs/>
                <w:color w:val="auto"/>
                <w:szCs w:val="21"/>
              </w:rPr>
            </w:pPr>
          </w:p>
        </w:tc>
        <w:tc>
          <w:tcPr>
            <w:tcW w:w="654" w:type="dxa"/>
            <w:tcBorders>
              <w:top w:val="single" w:color="auto" w:sz="4" w:space="0"/>
              <w:left w:val="single" w:color="auto" w:sz="4" w:space="0"/>
              <w:right w:val="single" w:color="auto" w:sz="4" w:space="0"/>
            </w:tcBorders>
            <w:noWrap w:val="0"/>
            <w:vAlign w:val="center"/>
          </w:tcPr>
          <w:p>
            <w:pPr>
              <w:widowControl/>
              <w:spacing w:line="360" w:lineRule="auto"/>
              <w:jc w:val="center"/>
              <w:rPr>
                <w:rFonts w:ascii="宋体" w:hAnsi="宋体" w:cs="仿宋"/>
                <w:bCs/>
                <w:color w:val="auto"/>
                <w:szCs w:val="21"/>
              </w:rPr>
            </w:pPr>
            <w:r>
              <w:rPr>
                <w:rFonts w:hint="eastAsia" w:ascii="宋体" w:hAnsi="宋体" w:cs="仿宋"/>
                <w:bCs/>
                <w:color w:val="auto"/>
                <w:szCs w:val="21"/>
              </w:rPr>
              <w:t>3</w:t>
            </w:r>
          </w:p>
        </w:tc>
        <w:tc>
          <w:tcPr>
            <w:tcW w:w="6941" w:type="dxa"/>
            <w:tcBorders>
              <w:top w:val="single" w:color="auto" w:sz="4" w:space="0"/>
              <w:left w:val="single" w:color="auto" w:sz="4" w:space="0"/>
            </w:tcBorders>
            <w:noWrap w:val="0"/>
            <w:vAlign w:val="center"/>
          </w:tcPr>
          <w:p>
            <w:pPr>
              <w:jc w:val="left"/>
              <w:rPr>
                <w:rFonts w:ascii="宋体" w:hAnsi="宋体" w:cs="仿宋"/>
                <w:bCs/>
                <w:color w:val="auto"/>
                <w:szCs w:val="21"/>
                <w:lang w:bidi="ar"/>
              </w:rPr>
            </w:pPr>
            <w:r>
              <w:rPr>
                <w:rFonts w:hint="eastAsia" w:ascii="宋体" w:hAnsi="宋体" w:cs="仿宋"/>
                <w:bCs/>
                <w:color w:val="auto"/>
                <w:szCs w:val="21"/>
                <w:lang w:bidi="ar"/>
              </w:rPr>
              <w:t>投标人按照采购人的要求，提供详实的进度计划。进度阶段的划分以及工作量及工期安排的合理性</w:t>
            </w:r>
            <w:r>
              <w:rPr>
                <w:rFonts w:hint="eastAsia" w:ascii="宋体" w:hAnsi="宋体" w:cs="仿宋"/>
                <w:bCs/>
                <w:color w:val="auto"/>
                <w:szCs w:val="21"/>
              </w:rPr>
              <w:t>，最高得3分。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trHeight w:val="1135" w:hRule="atLeast"/>
        </w:trPr>
        <w:tc>
          <w:tcPr>
            <w:tcW w:w="866" w:type="dxa"/>
            <w:vMerge w:val="continue"/>
            <w:noWrap w:val="0"/>
            <w:vAlign w:val="center"/>
          </w:tcPr>
          <w:p>
            <w:pPr>
              <w:widowControl/>
              <w:spacing w:line="360" w:lineRule="auto"/>
              <w:rPr>
                <w:rFonts w:ascii="宋体" w:hAnsi="宋体" w:cs="仿宋"/>
                <w:bCs/>
                <w:color w:val="auto"/>
                <w:szCs w:val="21"/>
              </w:rPr>
            </w:pPr>
          </w:p>
        </w:tc>
        <w:tc>
          <w:tcPr>
            <w:tcW w:w="1150" w:type="dxa"/>
            <w:tcBorders>
              <w:right w:val="single" w:color="auto" w:sz="4" w:space="0"/>
            </w:tcBorders>
            <w:noWrap w:val="0"/>
            <w:vAlign w:val="center"/>
          </w:tcPr>
          <w:p>
            <w:pPr>
              <w:widowControl/>
              <w:spacing w:line="360" w:lineRule="auto"/>
              <w:jc w:val="left"/>
              <w:rPr>
                <w:rFonts w:ascii="宋体" w:hAnsi="宋体" w:cs="仿宋"/>
                <w:bCs/>
                <w:color w:val="auto"/>
                <w:szCs w:val="21"/>
              </w:rPr>
            </w:pPr>
            <w:r>
              <w:rPr>
                <w:rFonts w:hint="eastAsia" w:ascii="宋体" w:hAnsi="宋体" w:cs="仿宋"/>
                <w:bCs/>
                <w:color w:val="auto"/>
                <w:szCs w:val="21"/>
              </w:rPr>
              <w:t>售后服务保障情况（4分）</w:t>
            </w:r>
          </w:p>
        </w:tc>
        <w:tc>
          <w:tcPr>
            <w:tcW w:w="654"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仿宋"/>
                <w:bCs/>
                <w:color w:val="auto"/>
                <w:szCs w:val="21"/>
              </w:rPr>
            </w:pPr>
            <w:r>
              <w:rPr>
                <w:rFonts w:hint="eastAsia" w:ascii="宋体" w:hAnsi="宋体" w:cs="仿宋"/>
                <w:bCs/>
                <w:color w:val="auto"/>
                <w:szCs w:val="21"/>
              </w:rPr>
              <w:t>4</w:t>
            </w:r>
          </w:p>
        </w:tc>
        <w:tc>
          <w:tcPr>
            <w:tcW w:w="6941" w:type="dxa"/>
            <w:tcBorders>
              <w:top w:val="single" w:color="auto" w:sz="4" w:space="0"/>
              <w:left w:val="single" w:color="auto" w:sz="4" w:space="0"/>
              <w:bottom w:val="single" w:color="auto" w:sz="4" w:space="0"/>
            </w:tcBorders>
            <w:noWrap w:val="0"/>
            <w:vAlign w:val="center"/>
          </w:tcPr>
          <w:p>
            <w:pPr>
              <w:jc w:val="left"/>
              <w:rPr>
                <w:rFonts w:ascii="宋体" w:hAnsi="宋体" w:cs="仿宋"/>
                <w:bCs/>
                <w:color w:val="auto"/>
                <w:szCs w:val="21"/>
              </w:rPr>
            </w:pPr>
            <w:r>
              <w:rPr>
                <w:rFonts w:hint="eastAsia" w:ascii="宋体" w:hAnsi="宋体" w:cs="仿宋"/>
                <w:bCs/>
                <w:color w:val="auto"/>
                <w:szCs w:val="21"/>
              </w:rPr>
              <w:t>投标人对服务承诺的保障措施，运行维护人员安排是否合理等，尤其是在系统维护期内安排开发人员及维护人员提供7*24小时的技术支持。提供的服务方案、服务承诺的可行性、完整性以及服务承诺落实的保障措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trHeight w:val="90" w:hRule="atLeast"/>
        </w:trPr>
        <w:tc>
          <w:tcPr>
            <w:tcW w:w="866" w:type="dxa"/>
            <w:vMerge w:val="continue"/>
            <w:noWrap w:val="0"/>
            <w:vAlign w:val="center"/>
          </w:tcPr>
          <w:p>
            <w:pPr>
              <w:widowControl/>
              <w:spacing w:line="360" w:lineRule="auto"/>
              <w:rPr>
                <w:rFonts w:ascii="宋体" w:hAnsi="宋体" w:cs="仿宋"/>
                <w:bCs/>
                <w:color w:val="auto"/>
                <w:szCs w:val="21"/>
              </w:rPr>
            </w:pPr>
          </w:p>
        </w:tc>
        <w:tc>
          <w:tcPr>
            <w:tcW w:w="1150" w:type="dxa"/>
            <w:vMerge w:val="restart"/>
            <w:tcBorders>
              <w:right w:val="single" w:color="auto" w:sz="4" w:space="0"/>
            </w:tcBorders>
            <w:noWrap w:val="0"/>
            <w:vAlign w:val="center"/>
          </w:tcPr>
          <w:p>
            <w:pPr>
              <w:widowControl/>
              <w:spacing w:line="360" w:lineRule="auto"/>
              <w:jc w:val="left"/>
              <w:rPr>
                <w:rFonts w:ascii="宋体" w:hAnsi="宋体" w:cs="仿宋"/>
                <w:bCs/>
                <w:color w:val="auto"/>
                <w:szCs w:val="21"/>
              </w:rPr>
            </w:pPr>
            <w:r>
              <w:rPr>
                <w:rFonts w:hint="eastAsia" w:ascii="宋体" w:hAnsi="宋体" w:cs="仿宋"/>
                <w:bCs/>
                <w:color w:val="auto"/>
                <w:szCs w:val="21"/>
              </w:rPr>
              <w:t>项目投入的服务团队情况（10分）</w:t>
            </w:r>
          </w:p>
        </w:tc>
        <w:tc>
          <w:tcPr>
            <w:tcW w:w="654"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ascii="宋体" w:hAnsi="宋体" w:eastAsia="宋体" w:cs="仿宋"/>
                <w:bCs/>
                <w:color w:val="auto"/>
                <w:szCs w:val="21"/>
                <w:lang w:eastAsia="zh-CN"/>
              </w:rPr>
            </w:pPr>
            <w:r>
              <w:rPr>
                <w:rFonts w:hint="eastAsia" w:ascii="宋体" w:hAnsi="宋体" w:cs="仿宋"/>
                <w:bCs/>
                <w:color w:val="auto"/>
                <w:szCs w:val="21"/>
                <w:lang w:val="en-US" w:eastAsia="zh-CN"/>
              </w:rPr>
              <w:t>6</w:t>
            </w:r>
          </w:p>
        </w:tc>
        <w:tc>
          <w:tcPr>
            <w:tcW w:w="6941" w:type="dxa"/>
            <w:tcBorders>
              <w:top w:val="single" w:color="auto" w:sz="4" w:space="0"/>
              <w:left w:val="single" w:color="auto" w:sz="4" w:space="0"/>
              <w:bottom w:val="single" w:color="auto" w:sz="4" w:space="0"/>
            </w:tcBorders>
            <w:noWrap w:val="0"/>
            <w:vAlign w:val="top"/>
          </w:tcPr>
          <w:p>
            <w:pPr>
              <w:jc w:val="left"/>
              <w:rPr>
                <w:rFonts w:ascii="宋体" w:hAnsi="宋体" w:cs="仿宋"/>
                <w:bCs/>
                <w:color w:val="auto"/>
                <w:szCs w:val="21"/>
              </w:rPr>
            </w:pPr>
            <w:r>
              <w:rPr>
                <w:rFonts w:hint="eastAsia" w:ascii="宋体" w:hAnsi="宋体"/>
                <w:color w:val="auto"/>
                <w:spacing w:val="-2"/>
                <w:szCs w:val="21"/>
              </w:rPr>
              <w:t>项目经理具有中级及以上工程师职称，具有信息系统项目管理师证书，硕士及以上计算机相关专业毕业，</w:t>
            </w:r>
            <w:r>
              <w:rPr>
                <w:rFonts w:hint="eastAsia" w:ascii="宋体" w:hAnsi="宋体"/>
                <w:color w:val="auto"/>
                <w:spacing w:val="-2"/>
                <w:szCs w:val="21"/>
                <w:lang w:eastAsia="zh-CN"/>
              </w:rPr>
              <w:t>满足一项得</w:t>
            </w:r>
            <w:r>
              <w:rPr>
                <w:rFonts w:hint="eastAsia" w:ascii="宋体" w:hAnsi="宋体"/>
                <w:color w:val="auto"/>
                <w:spacing w:val="-2"/>
                <w:szCs w:val="21"/>
                <w:lang w:val="en-US" w:eastAsia="zh-CN"/>
              </w:rPr>
              <w:t>2分</w:t>
            </w:r>
            <w:r>
              <w:rPr>
                <w:rFonts w:hint="eastAsia" w:ascii="宋体" w:hAnsi="宋体"/>
                <w:color w:val="auto"/>
                <w:spacing w:val="-2"/>
                <w:szCs w:val="21"/>
              </w:rPr>
              <w:t>。（需提供证书复印件、劳动合同、学历证明、近6个月的社保证明）</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trHeight w:val="90" w:hRule="atLeast"/>
        </w:trPr>
        <w:tc>
          <w:tcPr>
            <w:tcW w:w="866" w:type="dxa"/>
            <w:vMerge w:val="continue"/>
            <w:noWrap w:val="0"/>
            <w:vAlign w:val="center"/>
          </w:tcPr>
          <w:p>
            <w:pPr>
              <w:widowControl/>
              <w:spacing w:line="360" w:lineRule="auto"/>
              <w:rPr>
                <w:rFonts w:ascii="宋体" w:hAnsi="宋体" w:cs="仿宋"/>
                <w:bCs/>
                <w:color w:val="auto"/>
                <w:szCs w:val="21"/>
              </w:rPr>
            </w:pPr>
          </w:p>
        </w:tc>
        <w:tc>
          <w:tcPr>
            <w:tcW w:w="1150" w:type="dxa"/>
            <w:vMerge w:val="continue"/>
            <w:tcBorders>
              <w:right w:val="single" w:color="auto" w:sz="4" w:space="0"/>
            </w:tcBorders>
            <w:noWrap w:val="0"/>
            <w:vAlign w:val="center"/>
          </w:tcPr>
          <w:p>
            <w:pPr>
              <w:widowControl/>
              <w:spacing w:line="360" w:lineRule="auto"/>
              <w:jc w:val="left"/>
              <w:rPr>
                <w:rFonts w:ascii="宋体" w:hAnsi="宋体" w:cs="仿宋"/>
                <w:bCs/>
                <w:color w:val="auto"/>
                <w:szCs w:val="21"/>
              </w:rPr>
            </w:pPr>
          </w:p>
        </w:tc>
        <w:tc>
          <w:tcPr>
            <w:tcW w:w="654"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ascii="宋体" w:hAnsi="宋体" w:eastAsia="宋体" w:cs="仿宋"/>
                <w:bCs/>
                <w:color w:val="auto"/>
                <w:szCs w:val="21"/>
                <w:lang w:eastAsia="zh-CN"/>
              </w:rPr>
            </w:pPr>
            <w:r>
              <w:rPr>
                <w:rFonts w:hint="eastAsia" w:ascii="宋体" w:hAnsi="宋体" w:cs="仿宋"/>
                <w:bCs/>
                <w:color w:val="auto"/>
                <w:szCs w:val="21"/>
                <w:lang w:val="en-US" w:eastAsia="zh-CN"/>
              </w:rPr>
              <w:t>4</w:t>
            </w:r>
          </w:p>
        </w:tc>
        <w:tc>
          <w:tcPr>
            <w:tcW w:w="6941" w:type="dxa"/>
            <w:tcBorders>
              <w:top w:val="single" w:color="auto" w:sz="4" w:space="0"/>
              <w:left w:val="single" w:color="auto" w:sz="4" w:space="0"/>
              <w:bottom w:val="single" w:color="auto" w:sz="4" w:space="0"/>
            </w:tcBorders>
            <w:noWrap w:val="0"/>
            <w:vAlign w:val="center"/>
          </w:tcPr>
          <w:p>
            <w:pPr>
              <w:rPr>
                <w:rFonts w:ascii="宋体" w:hAnsi="宋体" w:cs="仿宋"/>
                <w:bCs/>
                <w:color w:val="auto"/>
                <w:szCs w:val="21"/>
              </w:rPr>
            </w:pPr>
            <w:r>
              <w:rPr>
                <w:rFonts w:hint="eastAsia" w:ascii="宋体" w:hAnsi="宋体" w:cs="仿宋"/>
                <w:bCs/>
                <w:color w:val="auto"/>
                <w:szCs w:val="21"/>
              </w:rPr>
              <w:t>技术负责人具有PMP证书，本科及以上计算机相关专业毕业，</w:t>
            </w:r>
            <w:r>
              <w:rPr>
                <w:rFonts w:hint="eastAsia" w:ascii="宋体" w:hAnsi="宋体" w:cs="仿宋"/>
                <w:bCs/>
                <w:color w:val="auto"/>
                <w:szCs w:val="21"/>
                <w:lang w:eastAsia="zh-CN"/>
              </w:rPr>
              <w:t>满足一项得</w:t>
            </w:r>
            <w:r>
              <w:rPr>
                <w:rFonts w:hint="eastAsia" w:ascii="宋体" w:hAnsi="宋体" w:cs="仿宋"/>
                <w:bCs/>
                <w:color w:val="auto"/>
                <w:szCs w:val="21"/>
                <w:lang w:val="en-US" w:eastAsia="zh-CN"/>
              </w:rPr>
              <w:t>2</w:t>
            </w:r>
            <w:r>
              <w:rPr>
                <w:rFonts w:hint="eastAsia" w:ascii="宋体" w:hAnsi="宋体" w:cs="仿宋"/>
                <w:bCs/>
                <w:color w:val="auto"/>
                <w:szCs w:val="21"/>
              </w:rPr>
              <w:t>分，否则不得分。（需提供证书复印件、劳动合同、学历证明、近6个月的社保证明）</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trHeight w:val="246" w:hRule="atLeast"/>
        </w:trPr>
        <w:tc>
          <w:tcPr>
            <w:tcW w:w="866" w:type="dxa"/>
            <w:vMerge w:val="continue"/>
            <w:noWrap w:val="0"/>
            <w:vAlign w:val="center"/>
          </w:tcPr>
          <w:p>
            <w:pPr>
              <w:widowControl/>
              <w:spacing w:line="360" w:lineRule="auto"/>
              <w:rPr>
                <w:rFonts w:ascii="宋体" w:hAnsi="宋体" w:cs="仿宋"/>
                <w:bCs/>
                <w:color w:val="auto"/>
                <w:szCs w:val="21"/>
              </w:rPr>
            </w:pPr>
          </w:p>
        </w:tc>
        <w:tc>
          <w:tcPr>
            <w:tcW w:w="1150" w:type="dxa"/>
            <w:vMerge w:val="restart"/>
            <w:tcBorders>
              <w:top w:val="single" w:color="auto" w:sz="4" w:space="0"/>
              <w:right w:val="single" w:color="auto" w:sz="4" w:space="0"/>
            </w:tcBorders>
            <w:noWrap w:val="0"/>
            <w:vAlign w:val="center"/>
          </w:tcPr>
          <w:p>
            <w:pPr>
              <w:widowControl/>
              <w:spacing w:line="360" w:lineRule="auto"/>
              <w:jc w:val="left"/>
              <w:rPr>
                <w:rFonts w:ascii="宋体" w:hAnsi="宋体" w:cs="仿宋"/>
                <w:bCs/>
                <w:color w:val="auto"/>
                <w:szCs w:val="21"/>
              </w:rPr>
            </w:pPr>
            <w:r>
              <w:rPr>
                <w:rFonts w:hint="eastAsia" w:ascii="宋体" w:hAnsi="宋体" w:cs="仿宋"/>
                <w:bCs/>
                <w:color w:val="auto"/>
                <w:szCs w:val="21"/>
              </w:rPr>
              <w:t>培训、测试、试运行和验收（</w:t>
            </w:r>
            <w:r>
              <w:rPr>
                <w:rFonts w:ascii="宋体" w:hAnsi="宋体" w:cs="仿宋"/>
                <w:bCs/>
                <w:color w:val="auto"/>
                <w:szCs w:val="21"/>
              </w:rPr>
              <w:t>5</w:t>
            </w:r>
            <w:r>
              <w:rPr>
                <w:rFonts w:hint="eastAsia" w:ascii="宋体" w:hAnsi="宋体" w:cs="仿宋"/>
                <w:bCs/>
                <w:color w:val="auto"/>
                <w:szCs w:val="21"/>
              </w:rPr>
              <w:t>分）</w:t>
            </w:r>
          </w:p>
        </w:tc>
        <w:tc>
          <w:tcPr>
            <w:tcW w:w="654"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仿宋"/>
                <w:bCs/>
                <w:color w:val="auto"/>
                <w:szCs w:val="21"/>
              </w:rPr>
            </w:pPr>
            <w:r>
              <w:rPr>
                <w:rFonts w:ascii="宋体" w:hAnsi="宋体" w:cs="仿宋"/>
                <w:bCs/>
                <w:color w:val="auto"/>
                <w:szCs w:val="21"/>
              </w:rPr>
              <w:t>3</w:t>
            </w:r>
          </w:p>
        </w:tc>
        <w:tc>
          <w:tcPr>
            <w:tcW w:w="6941" w:type="dxa"/>
            <w:tcBorders>
              <w:top w:val="single" w:color="auto" w:sz="4" w:space="0"/>
              <w:left w:val="single" w:color="auto" w:sz="4" w:space="0"/>
              <w:bottom w:val="single" w:color="auto" w:sz="4" w:space="0"/>
            </w:tcBorders>
            <w:noWrap w:val="0"/>
            <w:vAlign w:val="center"/>
          </w:tcPr>
          <w:p>
            <w:pPr>
              <w:snapToGrid w:val="0"/>
              <w:rPr>
                <w:rFonts w:ascii="宋体" w:hAnsi="宋体" w:cs="仿宋"/>
                <w:bCs/>
                <w:color w:val="auto"/>
                <w:szCs w:val="21"/>
              </w:rPr>
            </w:pPr>
            <w:r>
              <w:rPr>
                <w:rFonts w:hint="eastAsia" w:ascii="宋体" w:hAnsi="宋体" w:cs="仿宋"/>
                <w:bCs/>
                <w:color w:val="auto"/>
                <w:szCs w:val="21"/>
              </w:rPr>
              <w:t>投标人提出的测试、试运行及验收方案的合理性、可行性情况等，最高得3分。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trHeight w:val="1085" w:hRule="atLeast"/>
        </w:trPr>
        <w:tc>
          <w:tcPr>
            <w:tcW w:w="866" w:type="dxa"/>
            <w:vMerge w:val="continue"/>
            <w:noWrap w:val="0"/>
            <w:vAlign w:val="center"/>
          </w:tcPr>
          <w:p>
            <w:pPr>
              <w:widowControl/>
              <w:spacing w:line="360" w:lineRule="auto"/>
              <w:rPr>
                <w:rFonts w:ascii="宋体" w:hAnsi="宋体" w:cs="仿宋"/>
                <w:bCs/>
                <w:color w:val="auto"/>
                <w:szCs w:val="21"/>
              </w:rPr>
            </w:pPr>
          </w:p>
        </w:tc>
        <w:tc>
          <w:tcPr>
            <w:tcW w:w="1150" w:type="dxa"/>
            <w:vMerge w:val="continue"/>
            <w:tcBorders>
              <w:bottom w:val="single" w:color="auto" w:sz="4" w:space="0"/>
              <w:right w:val="single" w:color="auto" w:sz="4" w:space="0"/>
            </w:tcBorders>
            <w:noWrap w:val="0"/>
            <w:vAlign w:val="center"/>
          </w:tcPr>
          <w:p>
            <w:pPr>
              <w:widowControl/>
              <w:spacing w:line="360" w:lineRule="auto"/>
              <w:jc w:val="left"/>
              <w:rPr>
                <w:rFonts w:ascii="宋体" w:hAnsi="宋体" w:cs="仿宋"/>
                <w:bCs/>
                <w:color w:val="auto"/>
                <w:szCs w:val="21"/>
              </w:rPr>
            </w:pPr>
          </w:p>
        </w:tc>
        <w:tc>
          <w:tcPr>
            <w:tcW w:w="654"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仿宋"/>
                <w:bCs/>
                <w:color w:val="auto"/>
                <w:szCs w:val="21"/>
              </w:rPr>
            </w:pPr>
            <w:r>
              <w:rPr>
                <w:rFonts w:hint="eastAsia" w:ascii="宋体" w:hAnsi="宋体" w:cs="仿宋"/>
                <w:bCs/>
                <w:color w:val="auto"/>
                <w:szCs w:val="21"/>
              </w:rPr>
              <w:t>2</w:t>
            </w:r>
          </w:p>
        </w:tc>
        <w:tc>
          <w:tcPr>
            <w:tcW w:w="6941" w:type="dxa"/>
            <w:tcBorders>
              <w:top w:val="single" w:color="auto" w:sz="4" w:space="0"/>
              <w:left w:val="single" w:color="auto" w:sz="4" w:space="0"/>
              <w:bottom w:val="single" w:color="auto" w:sz="4" w:space="0"/>
            </w:tcBorders>
            <w:noWrap w:val="0"/>
            <w:vAlign w:val="center"/>
          </w:tcPr>
          <w:p>
            <w:pPr>
              <w:jc w:val="left"/>
              <w:rPr>
                <w:rFonts w:ascii="宋体" w:hAnsi="宋体" w:cs="仿宋"/>
                <w:bCs/>
                <w:color w:val="auto"/>
                <w:szCs w:val="21"/>
              </w:rPr>
            </w:pPr>
            <w:r>
              <w:rPr>
                <w:rFonts w:hint="eastAsia" w:ascii="宋体" w:hAnsi="宋体" w:cs="仿宋"/>
                <w:bCs/>
                <w:color w:val="auto"/>
                <w:szCs w:val="21"/>
              </w:rPr>
              <w:t>投标人提出的培训计划（是否提供业务人员应用培训和管理员级培训）、地点、组织、人员配备、软硬件资料等内容是否完整、科学合理，最高得2分。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trHeight w:val="272" w:hRule="atLeast"/>
        </w:trPr>
        <w:tc>
          <w:tcPr>
            <w:tcW w:w="866" w:type="dxa"/>
            <w:vMerge w:val="continue"/>
            <w:noWrap w:val="0"/>
            <w:vAlign w:val="center"/>
          </w:tcPr>
          <w:p>
            <w:pPr>
              <w:widowControl/>
              <w:spacing w:line="360" w:lineRule="auto"/>
              <w:rPr>
                <w:rFonts w:ascii="宋体" w:hAnsi="宋体" w:cs="仿宋"/>
                <w:bCs/>
                <w:color w:val="auto"/>
                <w:szCs w:val="21"/>
              </w:rPr>
            </w:pPr>
          </w:p>
        </w:tc>
        <w:tc>
          <w:tcPr>
            <w:tcW w:w="1150" w:type="dxa"/>
            <w:vMerge w:val="restart"/>
            <w:tcBorders>
              <w:top w:val="single" w:color="auto" w:sz="4" w:space="0"/>
              <w:right w:val="single" w:color="auto" w:sz="4" w:space="0"/>
            </w:tcBorders>
            <w:noWrap w:val="0"/>
            <w:vAlign w:val="center"/>
          </w:tcPr>
          <w:p>
            <w:pPr>
              <w:widowControl/>
              <w:spacing w:line="360" w:lineRule="auto"/>
              <w:jc w:val="left"/>
              <w:rPr>
                <w:rFonts w:ascii="宋体" w:hAnsi="宋体" w:cs="仿宋"/>
                <w:bCs/>
                <w:color w:val="auto"/>
                <w:szCs w:val="21"/>
              </w:rPr>
            </w:pPr>
            <w:r>
              <w:rPr>
                <w:rFonts w:hint="eastAsia" w:ascii="宋体" w:hAnsi="宋体" w:cs="仿宋"/>
                <w:bCs/>
                <w:color w:val="auto"/>
                <w:szCs w:val="21"/>
              </w:rPr>
              <w:t>质量保证措施和建设工期承诺（5分）</w:t>
            </w:r>
          </w:p>
        </w:tc>
        <w:tc>
          <w:tcPr>
            <w:tcW w:w="654"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仿宋"/>
                <w:bCs/>
                <w:color w:val="auto"/>
                <w:szCs w:val="21"/>
              </w:rPr>
            </w:pPr>
            <w:r>
              <w:rPr>
                <w:rFonts w:hint="eastAsia" w:ascii="宋体" w:hAnsi="宋体" w:cs="仿宋"/>
                <w:bCs/>
                <w:color w:val="auto"/>
                <w:szCs w:val="21"/>
              </w:rPr>
              <w:t>3</w:t>
            </w:r>
          </w:p>
        </w:tc>
        <w:tc>
          <w:tcPr>
            <w:tcW w:w="6941" w:type="dxa"/>
            <w:tcBorders>
              <w:top w:val="single" w:color="auto" w:sz="4" w:space="0"/>
              <w:left w:val="single" w:color="auto" w:sz="4" w:space="0"/>
              <w:bottom w:val="single" w:color="auto" w:sz="4" w:space="0"/>
            </w:tcBorders>
            <w:noWrap w:val="0"/>
            <w:vAlign w:val="center"/>
          </w:tcPr>
          <w:p>
            <w:pPr>
              <w:jc w:val="left"/>
              <w:rPr>
                <w:rFonts w:ascii="宋体" w:hAnsi="宋体" w:cs="仿宋"/>
                <w:bCs/>
                <w:color w:val="auto"/>
                <w:szCs w:val="21"/>
              </w:rPr>
            </w:pPr>
            <w:r>
              <w:rPr>
                <w:rFonts w:hint="eastAsia" w:ascii="宋体" w:hAnsi="宋体" w:cs="仿宋"/>
                <w:bCs/>
                <w:color w:val="auto"/>
                <w:szCs w:val="21"/>
              </w:rPr>
              <w:t>投标人按采购人要求有明确的质量保证目标，质量保证措施和体系合理先进并具有详细的实施内容等，最高得3分。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trHeight w:val="1028" w:hRule="atLeast"/>
        </w:trPr>
        <w:tc>
          <w:tcPr>
            <w:tcW w:w="866" w:type="dxa"/>
            <w:vMerge w:val="continue"/>
            <w:noWrap w:val="0"/>
            <w:vAlign w:val="center"/>
          </w:tcPr>
          <w:p>
            <w:pPr>
              <w:widowControl/>
              <w:spacing w:line="360" w:lineRule="auto"/>
              <w:rPr>
                <w:rFonts w:ascii="宋体" w:hAnsi="宋体" w:cs="仿宋"/>
                <w:bCs/>
                <w:color w:val="auto"/>
                <w:szCs w:val="21"/>
              </w:rPr>
            </w:pPr>
          </w:p>
        </w:tc>
        <w:tc>
          <w:tcPr>
            <w:tcW w:w="1150" w:type="dxa"/>
            <w:vMerge w:val="continue"/>
            <w:tcBorders>
              <w:bottom w:val="single" w:color="auto" w:sz="4" w:space="0"/>
              <w:right w:val="single" w:color="auto" w:sz="4" w:space="0"/>
            </w:tcBorders>
            <w:noWrap w:val="0"/>
            <w:vAlign w:val="center"/>
          </w:tcPr>
          <w:p>
            <w:pPr>
              <w:widowControl/>
              <w:spacing w:line="360" w:lineRule="auto"/>
              <w:jc w:val="left"/>
              <w:rPr>
                <w:rFonts w:ascii="宋体" w:hAnsi="宋体" w:cs="仿宋"/>
                <w:bCs/>
                <w:color w:val="auto"/>
                <w:szCs w:val="21"/>
              </w:rPr>
            </w:pPr>
          </w:p>
        </w:tc>
        <w:tc>
          <w:tcPr>
            <w:tcW w:w="654"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仿宋"/>
                <w:bCs/>
                <w:color w:val="auto"/>
                <w:szCs w:val="21"/>
              </w:rPr>
            </w:pPr>
            <w:r>
              <w:rPr>
                <w:rFonts w:hint="eastAsia" w:ascii="宋体" w:hAnsi="宋体" w:cs="仿宋"/>
                <w:bCs/>
                <w:color w:val="auto"/>
                <w:szCs w:val="21"/>
              </w:rPr>
              <w:t>2</w:t>
            </w:r>
          </w:p>
        </w:tc>
        <w:tc>
          <w:tcPr>
            <w:tcW w:w="6941" w:type="dxa"/>
            <w:tcBorders>
              <w:top w:val="single" w:color="auto" w:sz="4" w:space="0"/>
              <w:left w:val="single" w:color="auto" w:sz="4" w:space="0"/>
              <w:bottom w:val="single" w:color="auto" w:sz="4" w:space="0"/>
            </w:tcBorders>
            <w:noWrap w:val="0"/>
            <w:vAlign w:val="center"/>
          </w:tcPr>
          <w:p>
            <w:pPr>
              <w:jc w:val="left"/>
              <w:rPr>
                <w:rFonts w:ascii="宋体" w:hAnsi="宋体" w:cs="仿宋"/>
                <w:bCs/>
                <w:color w:val="auto"/>
                <w:szCs w:val="21"/>
              </w:rPr>
            </w:pPr>
            <w:r>
              <w:rPr>
                <w:rFonts w:hint="eastAsia" w:ascii="宋体" w:hAnsi="宋体" w:cs="仿宋"/>
                <w:bCs/>
                <w:color w:val="auto"/>
                <w:szCs w:val="21"/>
              </w:rPr>
              <w:t>投标人是否符合招标文件和采购人要求完成软件开发、安装调试、系统上线运行、验收，确保按时交付、正常运行的措施情况等，最高得2分。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trHeight w:val="272" w:hRule="atLeast"/>
        </w:trPr>
        <w:tc>
          <w:tcPr>
            <w:tcW w:w="866" w:type="dxa"/>
            <w:vMerge w:val="continue"/>
            <w:noWrap w:val="0"/>
            <w:vAlign w:val="center"/>
          </w:tcPr>
          <w:p>
            <w:pPr>
              <w:widowControl/>
              <w:spacing w:line="360" w:lineRule="auto"/>
              <w:rPr>
                <w:rFonts w:ascii="宋体" w:hAnsi="宋体" w:cs="仿宋"/>
                <w:bCs/>
                <w:color w:val="auto"/>
                <w:szCs w:val="21"/>
              </w:rPr>
            </w:pPr>
          </w:p>
        </w:tc>
        <w:tc>
          <w:tcPr>
            <w:tcW w:w="1150" w:type="dxa"/>
            <w:vMerge w:val="restart"/>
            <w:tcBorders>
              <w:right w:val="single" w:color="auto" w:sz="4" w:space="0"/>
            </w:tcBorders>
            <w:noWrap w:val="0"/>
            <w:vAlign w:val="center"/>
          </w:tcPr>
          <w:p>
            <w:pPr>
              <w:widowControl/>
              <w:spacing w:line="360" w:lineRule="auto"/>
              <w:jc w:val="left"/>
              <w:rPr>
                <w:rFonts w:ascii="宋体" w:hAnsi="宋体" w:cs="仿宋"/>
                <w:bCs/>
                <w:color w:val="auto"/>
                <w:szCs w:val="21"/>
              </w:rPr>
            </w:pPr>
            <w:r>
              <w:rPr>
                <w:rFonts w:hint="eastAsia" w:ascii="宋体" w:hAnsi="宋体" w:cs="仿宋"/>
                <w:bCs/>
                <w:color w:val="auto"/>
                <w:szCs w:val="21"/>
              </w:rPr>
              <w:t>现场踏勘及合理化建议（5）</w:t>
            </w:r>
          </w:p>
        </w:tc>
        <w:tc>
          <w:tcPr>
            <w:tcW w:w="654" w:type="dxa"/>
            <w:tcBorders>
              <w:top w:val="single" w:color="auto" w:sz="4" w:space="0"/>
              <w:left w:val="single" w:color="auto" w:sz="4" w:space="0"/>
              <w:bottom w:val="single" w:color="auto" w:sz="4" w:space="0"/>
              <w:right w:val="single" w:color="auto" w:sz="4" w:space="0"/>
            </w:tcBorders>
            <w:noWrap w:val="0"/>
            <w:vAlign w:val="top"/>
          </w:tcPr>
          <w:p>
            <w:pPr>
              <w:widowControl/>
              <w:spacing w:line="360" w:lineRule="auto"/>
              <w:jc w:val="center"/>
              <w:rPr>
                <w:rFonts w:ascii="宋体" w:hAnsi="宋体" w:cs="仿宋"/>
                <w:bCs/>
                <w:color w:val="auto"/>
                <w:szCs w:val="21"/>
              </w:rPr>
            </w:pPr>
            <w:r>
              <w:rPr>
                <w:rFonts w:hint="eastAsia"/>
                <w:color w:val="auto"/>
              </w:rPr>
              <w:t>2</w:t>
            </w:r>
          </w:p>
        </w:tc>
        <w:tc>
          <w:tcPr>
            <w:tcW w:w="6941" w:type="dxa"/>
            <w:tcBorders>
              <w:top w:val="single" w:color="auto" w:sz="4" w:space="0"/>
              <w:left w:val="single" w:color="auto" w:sz="4" w:space="0"/>
              <w:bottom w:val="single" w:color="auto" w:sz="4" w:space="0"/>
            </w:tcBorders>
            <w:noWrap w:val="0"/>
            <w:vAlign w:val="top"/>
          </w:tcPr>
          <w:p>
            <w:pPr>
              <w:jc w:val="left"/>
              <w:rPr>
                <w:rFonts w:ascii="宋体" w:hAnsi="宋体" w:cs="仿宋"/>
                <w:bCs/>
                <w:color w:val="auto"/>
                <w:szCs w:val="21"/>
              </w:rPr>
            </w:pPr>
            <w:r>
              <w:rPr>
                <w:rFonts w:hint="eastAsia"/>
                <w:color w:val="auto"/>
              </w:rPr>
              <w:t>投标人进行现场踏勘的得2分（以采购单位出具的现场踏勘证明材料为准,提供现场踏勘证明材料复印件加盖公章，原件核查，不提供原件不得分）。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trHeight w:val="272" w:hRule="atLeast"/>
        </w:trPr>
        <w:tc>
          <w:tcPr>
            <w:tcW w:w="866" w:type="dxa"/>
            <w:vMerge w:val="continue"/>
            <w:noWrap w:val="0"/>
            <w:vAlign w:val="center"/>
          </w:tcPr>
          <w:p>
            <w:pPr>
              <w:widowControl/>
              <w:spacing w:line="360" w:lineRule="auto"/>
              <w:rPr>
                <w:rFonts w:ascii="宋体" w:hAnsi="宋体" w:cs="仿宋"/>
                <w:bCs/>
                <w:color w:val="auto"/>
                <w:szCs w:val="21"/>
              </w:rPr>
            </w:pPr>
          </w:p>
        </w:tc>
        <w:tc>
          <w:tcPr>
            <w:tcW w:w="1150" w:type="dxa"/>
            <w:vMerge w:val="continue"/>
            <w:tcBorders>
              <w:bottom w:val="single" w:color="auto" w:sz="4" w:space="0"/>
              <w:right w:val="single" w:color="auto" w:sz="4" w:space="0"/>
            </w:tcBorders>
            <w:noWrap w:val="0"/>
            <w:vAlign w:val="center"/>
          </w:tcPr>
          <w:p>
            <w:pPr>
              <w:widowControl/>
              <w:spacing w:line="360" w:lineRule="auto"/>
              <w:jc w:val="left"/>
              <w:rPr>
                <w:rFonts w:ascii="宋体" w:hAnsi="宋体" w:cs="仿宋"/>
                <w:bCs/>
                <w:color w:val="auto"/>
                <w:szCs w:val="21"/>
              </w:rPr>
            </w:pPr>
          </w:p>
        </w:tc>
        <w:tc>
          <w:tcPr>
            <w:tcW w:w="654" w:type="dxa"/>
            <w:tcBorders>
              <w:top w:val="single" w:color="auto" w:sz="4" w:space="0"/>
              <w:left w:val="single" w:color="auto" w:sz="4" w:space="0"/>
              <w:bottom w:val="single" w:color="auto" w:sz="4" w:space="0"/>
              <w:right w:val="single" w:color="auto" w:sz="4" w:space="0"/>
            </w:tcBorders>
            <w:noWrap w:val="0"/>
            <w:vAlign w:val="top"/>
          </w:tcPr>
          <w:p>
            <w:pPr>
              <w:widowControl/>
              <w:spacing w:line="360" w:lineRule="auto"/>
              <w:jc w:val="center"/>
              <w:rPr>
                <w:rFonts w:ascii="宋体" w:hAnsi="宋体" w:cs="仿宋"/>
                <w:bCs/>
                <w:color w:val="auto"/>
                <w:szCs w:val="21"/>
              </w:rPr>
            </w:pPr>
            <w:r>
              <w:rPr>
                <w:rFonts w:hint="eastAsia"/>
                <w:color w:val="auto"/>
              </w:rPr>
              <w:t>3</w:t>
            </w:r>
          </w:p>
        </w:tc>
        <w:tc>
          <w:tcPr>
            <w:tcW w:w="6941" w:type="dxa"/>
            <w:tcBorders>
              <w:top w:val="single" w:color="auto" w:sz="4" w:space="0"/>
              <w:left w:val="single" w:color="auto" w:sz="4" w:space="0"/>
              <w:bottom w:val="single" w:color="auto" w:sz="4" w:space="0"/>
            </w:tcBorders>
            <w:noWrap w:val="0"/>
            <w:vAlign w:val="top"/>
          </w:tcPr>
          <w:p>
            <w:pPr>
              <w:jc w:val="left"/>
              <w:rPr>
                <w:rFonts w:ascii="宋体" w:hAnsi="宋体" w:cs="仿宋"/>
                <w:bCs/>
                <w:color w:val="auto"/>
                <w:szCs w:val="21"/>
              </w:rPr>
            </w:pPr>
            <w:r>
              <w:rPr>
                <w:rFonts w:hint="eastAsia"/>
                <w:color w:val="auto"/>
              </w:rPr>
              <w:t>投标人根据现场踏勘提出合理化建议，且提出相应措施方案，根据其内容情况打分，最高得3分。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trHeight w:val="1867" w:hRule="atLeast"/>
        </w:trPr>
        <w:tc>
          <w:tcPr>
            <w:tcW w:w="866" w:type="dxa"/>
            <w:vMerge w:val="restart"/>
            <w:noWrap w:val="0"/>
            <w:vAlign w:val="center"/>
          </w:tcPr>
          <w:p>
            <w:pPr>
              <w:widowControl/>
              <w:spacing w:line="360" w:lineRule="auto"/>
              <w:jc w:val="left"/>
              <w:rPr>
                <w:rFonts w:ascii="宋体" w:hAnsi="宋体" w:cs="仿宋"/>
                <w:bCs/>
                <w:color w:val="auto"/>
                <w:szCs w:val="21"/>
              </w:rPr>
            </w:pPr>
            <w:r>
              <w:rPr>
                <w:rFonts w:hint="eastAsia" w:ascii="宋体" w:hAnsi="宋体" w:cs="仿宋"/>
                <w:bCs/>
                <w:color w:val="auto"/>
                <w:szCs w:val="21"/>
              </w:rPr>
              <w:t>投标人的资质和业绩情况（2</w:t>
            </w:r>
            <w:r>
              <w:rPr>
                <w:rFonts w:ascii="宋体" w:hAnsi="宋体" w:cs="仿宋"/>
                <w:bCs/>
                <w:color w:val="auto"/>
                <w:szCs w:val="21"/>
              </w:rPr>
              <w:t>0</w:t>
            </w:r>
            <w:r>
              <w:rPr>
                <w:rFonts w:hint="eastAsia" w:ascii="宋体" w:hAnsi="宋体" w:cs="仿宋"/>
                <w:bCs/>
                <w:color w:val="auto"/>
                <w:szCs w:val="21"/>
              </w:rPr>
              <w:t>分）</w:t>
            </w:r>
          </w:p>
        </w:tc>
        <w:tc>
          <w:tcPr>
            <w:tcW w:w="1150" w:type="dxa"/>
            <w:tcBorders>
              <w:top w:val="single" w:color="auto" w:sz="4" w:space="0"/>
              <w:right w:val="single" w:color="auto" w:sz="4" w:space="0"/>
            </w:tcBorders>
            <w:noWrap w:val="0"/>
            <w:vAlign w:val="center"/>
          </w:tcPr>
          <w:p>
            <w:pPr>
              <w:widowControl/>
              <w:spacing w:line="360" w:lineRule="auto"/>
              <w:jc w:val="left"/>
              <w:rPr>
                <w:rFonts w:ascii="宋体" w:hAnsi="宋体" w:cs="仿宋"/>
                <w:bCs/>
                <w:color w:val="auto"/>
                <w:szCs w:val="21"/>
              </w:rPr>
            </w:pPr>
            <w:r>
              <w:rPr>
                <w:rFonts w:hint="eastAsia" w:ascii="宋体" w:hAnsi="宋体" w:cs="仿宋"/>
                <w:bCs/>
                <w:color w:val="auto"/>
                <w:szCs w:val="21"/>
              </w:rPr>
              <w:t>投标人</w:t>
            </w:r>
            <w:r>
              <w:rPr>
                <w:rFonts w:hint="eastAsia" w:ascii="宋体" w:hAnsi="宋体" w:cs="仿宋"/>
                <w:bCs/>
                <w:color w:val="auto"/>
                <w:szCs w:val="21"/>
                <w:lang w:val="en-US" w:eastAsia="zh-CN"/>
              </w:rPr>
              <w:t>资质情况</w:t>
            </w:r>
            <w:r>
              <w:rPr>
                <w:rFonts w:hint="eastAsia" w:ascii="宋体" w:hAnsi="宋体" w:cs="仿宋"/>
                <w:bCs/>
                <w:color w:val="auto"/>
                <w:szCs w:val="21"/>
              </w:rPr>
              <w:t>（6分）</w:t>
            </w:r>
          </w:p>
        </w:tc>
        <w:tc>
          <w:tcPr>
            <w:tcW w:w="654" w:type="dxa"/>
            <w:tcBorders>
              <w:top w:val="single" w:color="auto" w:sz="4" w:space="0"/>
              <w:left w:val="single" w:color="auto" w:sz="4" w:space="0"/>
              <w:right w:val="single" w:color="auto" w:sz="4" w:space="0"/>
            </w:tcBorders>
            <w:noWrap w:val="0"/>
            <w:vAlign w:val="center"/>
          </w:tcPr>
          <w:p>
            <w:pPr>
              <w:widowControl/>
              <w:spacing w:line="360" w:lineRule="auto"/>
              <w:jc w:val="center"/>
              <w:rPr>
                <w:rFonts w:ascii="宋体" w:hAnsi="宋体" w:cs="仿宋"/>
                <w:bCs/>
                <w:color w:val="auto"/>
                <w:szCs w:val="21"/>
              </w:rPr>
            </w:pPr>
            <w:r>
              <w:rPr>
                <w:rFonts w:hint="eastAsia" w:ascii="宋体" w:hAnsi="宋体" w:cs="仿宋"/>
                <w:bCs/>
                <w:color w:val="auto"/>
                <w:szCs w:val="21"/>
              </w:rPr>
              <w:t>6</w:t>
            </w:r>
          </w:p>
        </w:tc>
        <w:tc>
          <w:tcPr>
            <w:tcW w:w="6941" w:type="dxa"/>
            <w:tcBorders>
              <w:top w:val="single" w:color="auto" w:sz="4" w:space="0"/>
              <w:left w:val="single" w:color="auto" w:sz="4" w:space="0"/>
            </w:tcBorders>
            <w:noWrap w:val="0"/>
            <w:vAlign w:val="center"/>
          </w:tcPr>
          <w:p>
            <w:pPr>
              <w:jc w:val="left"/>
              <w:rPr>
                <w:rFonts w:ascii="宋体" w:hAnsi="宋体" w:cs="仿宋"/>
                <w:bCs/>
                <w:color w:val="auto"/>
                <w:kern w:val="0"/>
                <w:szCs w:val="21"/>
              </w:rPr>
            </w:pPr>
            <w:r>
              <w:rPr>
                <w:rFonts w:hint="eastAsia" w:ascii="宋体" w:hAnsi="宋体" w:cs="仿宋"/>
                <w:bCs/>
                <w:color w:val="auto"/>
                <w:kern w:val="0"/>
                <w:szCs w:val="21"/>
              </w:rPr>
              <w:t>投标人拥有以下任意一项得1分，最高6分：</w:t>
            </w:r>
          </w:p>
          <w:p>
            <w:pPr>
              <w:jc w:val="left"/>
              <w:rPr>
                <w:rFonts w:ascii="宋体" w:hAnsi="宋体" w:cs="仿宋"/>
                <w:bCs/>
                <w:color w:val="auto"/>
                <w:kern w:val="0"/>
                <w:szCs w:val="21"/>
              </w:rPr>
            </w:pPr>
            <w:r>
              <w:rPr>
                <w:rFonts w:hint="eastAsia" w:ascii="宋体" w:hAnsi="宋体" w:cs="仿宋"/>
                <w:bCs/>
                <w:color w:val="auto"/>
                <w:kern w:val="0"/>
                <w:szCs w:val="21"/>
              </w:rPr>
              <w:t>1、投标人获得国家高新技术企业资质的，得1分；</w:t>
            </w:r>
          </w:p>
          <w:p>
            <w:pPr>
              <w:jc w:val="left"/>
              <w:rPr>
                <w:rFonts w:ascii="宋体" w:hAnsi="宋体" w:cs="仿宋"/>
                <w:bCs/>
                <w:color w:val="auto"/>
                <w:kern w:val="0"/>
                <w:szCs w:val="21"/>
              </w:rPr>
            </w:pPr>
            <w:r>
              <w:rPr>
                <w:rFonts w:hint="eastAsia" w:ascii="宋体" w:hAnsi="宋体" w:cs="仿宋"/>
                <w:bCs/>
                <w:color w:val="auto"/>
                <w:kern w:val="0"/>
                <w:szCs w:val="21"/>
              </w:rPr>
              <w:t>2、投标人获得信息技术服务管理体系认证证书，得1分；</w:t>
            </w:r>
          </w:p>
          <w:p>
            <w:pPr>
              <w:jc w:val="left"/>
              <w:rPr>
                <w:rFonts w:ascii="宋体" w:hAnsi="宋体" w:cs="仿宋"/>
                <w:bCs/>
                <w:color w:val="auto"/>
                <w:kern w:val="0"/>
                <w:szCs w:val="21"/>
              </w:rPr>
            </w:pPr>
            <w:r>
              <w:rPr>
                <w:rFonts w:hint="eastAsia" w:ascii="宋体" w:hAnsi="宋体" w:cs="仿宋"/>
                <w:bCs/>
                <w:color w:val="auto"/>
                <w:kern w:val="0"/>
                <w:szCs w:val="21"/>
              </w:rPr>
              <w:t>3、投标人获得AAA级及以上信用资质的，得1分；</w:t>
            </w:r>
          </w:p>
          <w:p>
            <w:pPr>
              <w:jc w:val="left"/>
              <w:rPr>
                <w:rFonts w:ascii="宋体" w:hAnsi="宋体" w:cs="仿宋"/>
                <w:bCs/>
                <w:color w:val="auto"/>
                <w:kern w:val="0"/>
                <w:szCs w:val="21"/>
              </w:rPr>
            </w:pPr>
            <w:r>
              <w:rPr>
                <w:rFonts w:hint="eastAsia" w:ascii="宋体" w:hAnsi="宋体" w:cs="仿宋"/>
                <w:bCs/>
                <w:color w:val="auto"/>
                <w:kern w:val="0"/>
                <w:szCs w:val="21"/>
              </w:rPr>
              <w:t>4、投标人获得ISO27001信息安全管理体系认证证书的，得1分；</w:t>
            </w:r>
          </w:p>
          <w:p>
            <w:pPr>
              <w:jc w:val="left"/>
              <w:rPr>
                <w:rFonts w:ascii="宋体" w:hAnsi="宋体" w:cs="仿宋"/>
                <w:bCs/>
                <w:color w:val="auto"/>
                <w:kern w:val="0"/>
                <w:szCs w:val="21"/>
              </w:rPr>
            </w:pPr>
            <w:r>
              <w:rPr>
                <w:rFonts w:hint="eastAsia" w:ascii="宋体" w:hAnsi="宋体" w:cs="仿宋"/>
                <w:bCs/>
                <w:color w:val="auto"/>
                <w:kern w:val="0"/>
                <w:szCs w:val="21"/>
              </w:rPr>
              <w:t>5、投标人获得知识产权管理体系认证证书的，得1分；</w:t>
            </w:r>
          </w:p>
          <w:p>
            <w:pPr>
              <w:jc w:val="left"/>
              <w:rPr>
                <w:rFonts w:ascii="宋体" w:hAnsi="宋体" w:cs="仿宋"/>
                <w:bCs/>
                <w:color w:val="auto"/>
                <w:kern w:val="0"/>
                <w:szCs w:val="21"/>
              </w:rPr>
            </w:pPr>
            <w:r>
              <w:rPr>
                <w:rFonts w:hint="eastAsia" w:ascii="宋体" w:hAnsi="宋体" w:cs="仿宋"/>
                <w:bCs/>
                <w:color w:val="auto"/>
                <w:kern w:val="0"/>
                <w:szCs w:val="21"/>
              </w:rPr>
              <w:t>6、投标人获得质量管理体系认证证书的，得1分；</w:t>
            </w:r>
          </w:p>
          <w:p>
            <w:pPr>
              <w:jc w:val="left"/>
              <w:rPr>
                <w:rFonts w:ascii="宋体" w:hAnsi="宋体" w:cs="仿宋"/>
                <w:bCs/>
                <w:color w:val="auto"/>
                <w:kern w:val="0"/>
                <w:szCs w:val="21"/>
              </w:rPr>
            </w:pPr>
            <w:r>
              <w:rPr>
                <w:rFonts w:hint="eastAsia" w:ascii="宋体" w:hAnsi="宋体" w:cs="仿宋"/>
                <w:bCs/>
                <w:color w:val="auto"/>
                <w:kern w:val="0"/>
                <w:szCs w:val="21"/>
              </w:rPr>
              <w:t>（须提供资质证书扫描件并加盖公章。证书需在有效期内，过期的视同未取得相关认证证书）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trHeight w:val="965" w:hRule="atLeast"/>
        </w:trPr>
        <w:tc>
          <w:tcPr>
            <w:tcW w:w="866" w:type="dxa"/>
            <w:vMerge w:val="continue"/>
            <w:noWrap w:val="0"/>
            <w:vAlign w:val="center"/>
          </w:tcPr>
          <w:p>
            <w:pPr>
              <w:widowControl/>
              <w:spacing w:line="360" w:lineRule="auto"/>
              <w:jc w:val="left"/>
              <w:rPr>
                <w:rFonts w:ascii="宋体" w:hAnsi="宋体" w:cs="仿宋"/>
                <w:bCs/>
                <w:color w:val="auto"/>
                <w:szCs w:val="21"/>
              </w:rPr>
            </w:pPr>
          </w:p>
        </w:tc>
        <w:tc>
          <w:tcPr>
            <w:tcW w:w="1150" w:type="dxa"/>
            <w:tcBorders>
              <w:top w:val="single" w:color="auto" w:sz="4" w:space="0"/>
              <w:right w:val="single" w:color="auto" w:sz="4" w:space="0"/>
            </w:tcBorders>
            <w:noWrap w:val="0"/>
            <w:vAlign w:val="center"/>
          </w:tcPr>
          <w:p>
            <w:pPr>
              <w:jc w:val="left"/>
              <w:rPr>
                <w:rFonts w:hint="eastAsia" w:ascii="宋体" w:hAnsi="宋体" w:cs="仿宋"/>
                <w:bCs/>
                <w:color w:val="auto"/>
                <w:kern w:val="0"/>
                <w:szCs w:val="21"/>
              </w:rPr>
            </w:pPr>
            <w:r>
              <w:rPr>
                <w:rFonts w:hint="eastAsia" w:ascii="宋体" w:hAnsi="宋体" w:cs="仿宋"/>
                <w:bCs/>
                <w:color w:val="auto"/>
                <w:kern w:val="0"/>
                <w:szCs w:val="21"/>
              </w:rPr>
              <w:t>售后服务网点（2分）</w:t>
            </w:r>
          </w:p>
        </w:tc>
        <w:tc>
          <w:tcPr>
            <w:tcW w:w="654" w:type="dxa"/>
            <w:tcBorders>
              <w:top w:val="single" w:color="auto" w:sz="4" w:space="0"/>
              <w:left w:val="single" w:color="auto" w:sz="4" w:space="0"/>
              <w:right w:val="single" w:color="auto" w:sz="4" w:space="0"/>
            </w:tcBorders>
            <w:noWrap w:val="0"/>
            <w:vAlign w:val="center"/>
          </w:tcPr>
          <w:p>
            <w:pPr>
              <w:jc w:val="left"/>
              <w:rPr>
                <w:rFonts w:hint="eastAsia" w:ascii="宋体" w:hAnsi="宋体" w:cs="仿宋"/>
                <w:bCs/>
                <w:color w:val="auto"/>
                <w:kern w:val="0"/>
                <w:szCs w:val="21"/>
              </w:rPr>
            </w:pPr>
            <w:r>
              <w:rPr>
                <w:rFonts w:hint="eastAsia" w:ascii="宋体" w:hAnsi="宋体" w:cs="仿宋"/>
                <w:bCs/>
                <w:color w:val="auto"/>
                <w:kern w:val="0"/>
                <w:szCs w:val="21"/>
              </w:rPr>
              <w:t>2</w:t>
            </w:r>
          </w:p>
        </w:tc>
        <w:tc>
          <w:tcPr>
            <w:tcW w:w="6941" w:type="dxa"/>
            <w:tcBorders>
              <w:top w:val="single" w:color="auto" w:sz="4" w:space="0"/>
              <w:left w:val="single" w:color="auto" w:sz="4" w:space="0"/>
            </w:tcBorders>
            <w:noWrap w:val="0"/>
            <w:vAlign w:val="center"/>
          </w:tcPr>
          <w:p>
            <w:pPr>
              <w:jc w:val="left"/>
              <w:rPr>
                <w:rFonts w:hint="eastAsia" w:ascii="宋体" w:hAnsi="宋体" w:cs="仿宋"/>
                <w:bCs/>
                <w:color w:val="auto"/>
                <w:kern w:val="0"/>
                <w:szCs w:val="21"/>
              </w:rPr>
            </w:pPr>
            <w:r>
              <w:rPr>
                <w:rFonts w:hint="eastAsia" w:ascii="宋体" w:hAnsi="宋体" w:cs="仿宋"/>
                <w:bCs/>
                <w:color w:val="auto"/>
                <w:kern w:val="0"/>
                <w:szCs w:val="21"/>
              </w:rPr>
              <w:t>投标供应商售后服务网点设在杭州地区范围内的得2分, 在浙江省范围内的得1分,售后服务网点在浙江省外的不得分。（提供营业执照复印件或合作协议复印件）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trHeight w:val="763" w:hRule="atLeast"/>
        </w:trPr>
        <w:tc>
          <w:tcPr>
            <w:tcW w:w="866" w:type="dxa"/>
            <w:vMerge w:val="continue"/>
            <w:noWrap w:val="0"/>
            <w:vAlign w:val="center"/>
          </w:tcPr>
          <w:p>
            <w:pPr>
              <w:widowControl/>
              <w:spacing w:line="360" w:lineRule="auto"/>
              <w:jc w:val="left"/>
              <w:rPr>
                <w:rFonts w:ascii="宋体" w:hAnsi="宋体" w:cs="仿宋"/>
                <w:bCs/>
                <w:color w:val="auto"/>
                <w:szCs w:val="21"/>
              </w:rPr>
            </w:pPr>
          </w:p>
        </w:tc>
        <w:tc>
          <w:tcPr>
            <w:tcW w:w="1150" w:type="dxa"/>
            <w:tcBorders>
              <w:top w:val="single" w:color="auto" w:sz="4" w:space="0"/>
              <w:right w:val="single" w:color="auto" w:sz="4" w:space="0"/>
            </w:tcBorders>
            <w:noWrap w:val="0"/>
            <w:vAlign w:val="center"/>
          </w:tcPr>
          <w:p>
            <w:pPr>
              <w:widowControl/>
              <w:spacing w:line="360" w:lineRule="auto"/>
              <w:jc w:val="left"/>
              <w:rPr>
                <w:rFonts w:ascii="宋体" w:hAnsi="宋体" w:cs="仿宋"/>
                <w:bCs/>
                <w:color w:val="auto"/>
                <w:szCs w:val="21"/>
              </w:rPr>
            </w:pPr>
            <w:r>
              <w:rPr>
                <w:rFonts w:hint="eastAsia" w:ascii="宋体" w:hAnsi="宋体" w:cs="仿宋"/>
                <w:bCs/>
                <w:color w:val="auto"/>
                <w:szCs w:val="21"/>
              </w:rPr>
              <w:t>软件著作权（</w:t>
            </w:r>
            <w:r>
              <w:rPr>
                <w:rFonts w:ascii="宋体" w:hAnsi="宋体" w:cs="仿宋"/>
                <w:bCs/>
                <w:color w:val="auto"/>
                <w:szCs w:val="21"/>
              </w:rPr>
              <w:t>4</w:t>
            </w:r>
            <w:r>
              <w:rPr>
                <w:rFonts w:hint="eastAsia" w:ascii="宋体" w:hAnsi="宋体" w:cs="仿宋"/>
                <w:bCs/>
                <w:color w:val="auto"/>
                <w:szCs w:val="21"/>
              </w:rPr>
              <w:t>分）</w:t>
            </w:r>
          </w:p>
        </w:tc>
        <w:tc>
          <w:tcPr>
            <w:tcW w:w="654" w:type="dxa"/>
            <w:tcBorders>
              <w:top w:val="single" w:color="auto" w:sz="4" w:space="0"/>
              <w:left w:val="single" w:color="auto" w:sz="4" w:space="0"/>
              <w:right w:val="single" w:color="auto" w:sz="4" w:space="0"/>
            </w:tcBorders>
            <w:noWrap w:val="0"/>
            <w:vAlign w:val="center"/>
          </w:tcPr>
          <w:p>
            <w:pPr>
              <w:widowControl/>
              <w:spacing w:line="360" w:lineRule="auto"/>
              <w:jc w:val="center"/>
              <w:rPr>
                <w:rFonts w:hint="eastAsia" w:ascii="宋体" w:hAnsi="宋体" w:eastAsia="宋体" w:cs="仿宋"/>
                <w:bCs/>
                <w:color w:val="auto"/>
                <w:szCs w:val="21"/>
                <w:lang w:eastAsia="zh-CN"/>
              </w:rPr>
            </w:pPr>
            <w:r>
              <w:rPr>
                <w:rFonts w:hint="eastAsia" w:ascii="宋体" w:hAnsi="宋体" w:cs="仿宋"/>
                <w:bCs/>
                <w:color w:val="auto"/>
                <w:szCs w:val="21"/>
                <w:lang w:val="en-US" w:eastAsia="zh-CN"/>
              </w:rPr>
              <w:t>4</w:t>
            </w:r>
          </w:p>
        </w:tc>
        <w:tc>
          <w:tcPr>
            <w:tcW w:w="6941" w:type="dxa"/>
            <w:tcBorders>
              <w:top w:val="single" w:color="auto" w:sz="4" w:space="0"/>
              <w:left w:val="single" w:color="auto" w:sz="4" w:space="0"/>
            </w:tcBorders>
            <w:noWrap w:val="0"/>
            <w:vAlign w:val="center"/>
          </w:tcPr>
          <w:p>
            <w:pPr>
              <w:jc w:val="left"/>
              <w:rPr>
                <w:rFonts w:ascii="宋体" w:hAnsi="宋体" w:cs="仿宋"/>
                <w:bCs/>
                <w:color w:val="auto"/>
                <w:kern w:val="0"/>
                <w:szCs w:val="21"/>
              </w:rPr>
            </w:pPr>
            <w:r>
              <w:rPr>
                <w:rFonts w:hint="eastAsia" w:ascii="宋体" w:hAnsi="宋体" w:cs="仿宋"/>
                <w:bCs/>
                <w:color w:val="auto"/>
                <w:kern w:val="0"/>
                <w:szCs w:val="21"/>
              </w:rPr>
              <w:t>投标人具有相关软件著作权的，每提供</w:t>
            </w:r>
            <w:r>
              <w:rPr>
                <w:rFonts w:ascii="宋体" w:hAnsi="宋体" w:cs="仿宋"/>
                <w:bCs/>
                <w:color w:val="auto"/>
                <w:kern w:val="0"/>
                <w:szCs w:val="21"/>
              </w:rPr>
              <w:t>1</w:t>
            </w:r>
            <w:r>
              <w:rPr>
                <w:rFonts w:hint="eastAsia" w:ascii="宋体" w:hAnsi="宋体" w:cs="仿宋"/>
                <w:bCs/>
                <w:color w:val="auto"/>
                <w:kern w:val="0"/>
                <w:szCs w:val="21"/>
              </w:rPr>
              <w:t>个得</w:t>
            </w:r>
            <w:r>
              <w:rPr>
                <w:rFonts w:ascii="宋体" w:hAnsi="宋体" w:cs="仿宋"/>
                <w:bCs/>
                <w:color w:val="auto"/>
                <w:kern w:val="0"/>
                <w:szCs w:val="21"/>
              </w:rPr>
              <w:t>1</w:t>
            </w:r>
            <w:r>
              <w:rPr>
                <w:rFonts w:hint="eastAsia" w:ascii="宋体" w:hAnsi="宋体" w:cs="仿宋"/>
                <w:bCs/>
                <w:color w:val="auto"/>
                <w:kern w:val="0"/>
                <w:szCs w:val="21"/>
              </w:rPr>
              <w:t>分，最高得</w:t>
            </w:r>
            <w:r>
              <w:rPr>
                <w:rFonts w:ascii="宋体" w:hAnsi="宋体" w:cs="仿宋"/>
                <w:bCs/>
                <w:color w:val="auto"/>
                <w:kern w:val="0"/>
                <w:szCs w:val="21"/>
              </w:rPr>
              <w:t>4</w:t>
            </w:r>
            <w:r>
              <w:rPr>
                <w:rFonts w:hint="eastAsia" w:ascii="宋体" w:hAnsi="宋体" w:cs="仿宋"/>
                <w:bCs/>
                <w:color w:val="auto"/>
                <w:kern w:val="0"/>
                <w:szCs w:val="21"/>
              </w:rPr>
              <w:t>分。</w:t>
            </w:r>
            <w:r>
              <w:rPr>
                <w:rFonts w:hint="eastAsia" w:ascii="宋体" w:hAnsi="宋体" w:cs="仿宋"/>
                <w:bCs/>
                <w:color w:val="auto"/>
                <w:kern w:val="0"/>
                <w:szCs w:val="21"/>
                <w:lang w:eastAsia="zh-CN"/>
              </w:rPr>
              <w:t>（原件备查）</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trHeight w:val="1467" w:hRule="atLeast"/>
        </w:trPr>
        <w:tc>
          <w:tcPr>
            <w:tcW w:w="866" w:type="dxa"/>
            <w:vMerge w:val="continue"/>
            <w:noWrap w:val="0"/>
            <w:vAlign w:val="center"/>
          </w:tcPr>
          <w:p>
            <w:pPr>
              <w:widowControl/>
              <w:spacing w:line="360" w:lineRule="auto"/>
              <w:rPr>
                <w:rFonts w:ascii="宋体" w:hAnsi="宋体" w:cs="仿宋"/>
                <w:bCs/>
                <w:color w:val="auto"/>
                <w:szCs w:val="21"/>
              </w:rPr>
            </w:pPr>
          </w:p>
        </w:tc>
        <w:tc>
          <w:tcPr>
            <w:tcW w:w="1150" w:type="dxa"/>
            <w:tcBorders>
              <w:right w:val="single" w:color="auto" w:sz="4" w:space="0"/>
            </w:tcBorders>
            <w:noWrap w:val="0"/>
            <w:vAlign w:val="center"/>
          </w:tcPr>
          <w:p>
            <w:pPr>
              <w:jc w:val="left"/>
              <w:rPr>
                <w:rFonts w:hint="eastAsia" w:ascii="宋体" w:hAnsi="宋体" w:cs="仿宋"/>
                <w:bCs/>
                <w:color w:val="auto"/>
                <w:kern w:val="0"/>
                <w:szCs w:val="21"/>
              </w:rPr>
            </w:pPr>
            <w:r>
              <w:rPr>
                <w:rFonts w:hint="eastAsia" w:ascii="宋体" w:hAnsi="宋体" w:cs="仿宋"/>
                <w:bCs/>
                <w:color w:val="auto"/>
                <w:kern w:val="0"/>
                <w:szCs w:val="21"/>
              </w:rPr>
              <w:t>投标人类似项目建设的成功经验（</w:t>
            </w:r>
            <w:r>
              <w:rPr>
                <w:rFonts w:hint="eastAsia" w:ascii="宋体" w:hAnsi="宋体" w:cs="仿宋"/>
                <w:bCs/>
                <w:color w:val="auto"/>
                <w:kern w:val="0"/>
                <w:szCs w:val="21"/>
                <w:lang w:val="en-US" w:eastAsia="zh-CN"/>
              </w:rPr>
              <w:t>6</w:t>
            </w:r>
            <w:r>
              <w:rPr>
                <w:rFonts w:hint="eastAsia" w:ascii="宋体" w:hAnsi="宋体" w:cs="仿宋"/>
                <w:bCs/>
                <w:color w:val="auto"/>
                <w:kern w:val="0"/>
                <w:szCs w:val="21"/>
              </w:rPr>
              <w:t>分）</w:t>
            </w:r>
          </w:p>
        </w:tc>
        <w:tc>
          <w:tcPr>
            <w:tcW w:w="654"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cs="仿宋"/>
                <w:bCs/>
                <w:color w:val="auto"/>
                <w:kern w:val="0"/>
                <w:szCs w:val="21"/>
                <w:lang w:eastAsia="zh-CN"/>
              </w:rPr>
            </w:pPr>
            <w:r>
              <w:rPr>
                <w:rFonts w:hint="eastAsia" w:ascii="宋体" w:hAnsi="宋体" w:cs="仿宋"/>
                <w:bCs/>
                <w:color w:val="auto"/>
                <w:kern w:val="0"/>
                <w:szCs w:val="21"/>
                <w:lang w:val="en-US" w:eastAsia="zh-CN"/>
              </w:rPr>
              <w:t>6</w:t>
            </w:r>
          </w:p>
        </w:tc>
        <w:tc>
          <w:tcPr>
            <w:tcW w:w="6941" w:type="dxa"/>
            <w:tcBorders>
              <w:top w:val="single" w:color="auto" w:sz="4" w:space="0"/>
              <w:left w:val="single" w:color="auto" w:sz="4" w:space="0"/>
              <w:bottom w:val="single" w:color="auto" w:sz="4" w:space="0"/>
            </w:tcBorders>
            <w:noWrap w:val="0"/>
            <w:vAlign w:val="center"/>
          </w:tcPr>
          <w:p>
            <w:pPr>
              <w:jc w:val="left"/>
              <w:rPr>
                <w:rFonts w:hint="eastAsia" w:ascii="宋体" w:hAnsi="宋体" w:cs="仿宋"/>
                <w:bCs/>
                <w:color w:val="auto"/>
                <w:kern w:val="0"/>
                <w:szCs w:val="21"/>
              </w:rPr>
            </w:pPr>
            <w:r>
              <w:rPr>
                <w:rFonts w:hint="eastAsia" w:ascii="宋体" w:hAnsi="宋体" w:cs="仿宋"/>
                <w:bCs/>
                <w:color w:val="auto"/>
                <w:kern w:val="0"/>
                <w:szCs w:val="21"/>
                <w:lang w:eastAsia="zh-CN"/>
              </w:rPr>
              <w:t>近三年</w:t>
            </w:r>
            <w:r>
              <w:rPr>
                <w:rFonts w:hint="eastAsia" w:ascii="宋体" w:hAnsi="宋体" w:cs="仿宋"/>
                <w:bCs/>
                <w:color w:val="auto"/>
                <w:kern w:val="0"/>
                <w:szCs w:val="21"/>
              </w:rPr>
              <w:t>以来投标企业同类项目成功案例，每1个案例得</w:t>
            </w:r>
            <w:r>
              <w:rPr>
                <w:rFonts w:hint="eastAsia" w:ascii="宋体" w:hAnsi="宋体" w:cs="仿宋"/>
                <w:bCs/>
                <w:color w:val="auto"/>
                <w:kern w:val="0"/>
                <w:szCs w:val="21"/>
                <w:lang w:val="en-US" w:eastAsia="zh-CN"/>
              </w:rPr>
              <w:t>1</w:t>
            </w:r>
            <w:r>
              <w:rPr>
                <w:rFonts w:hint="eastAsia" w:ascii="宋体" w:hAnsi="宋体" w:cs="仿宋"/>
                <w:bCs/>
                <w:color w:val="auto"/>
                <w:kern w:val="0"/>
                <w:szCs w:val="21"/>
              </w:rPr>
              <w:t>分，最多得</w:t>
            </w:r>
            <w:r>
              <w:rPr>
                <w:rFonts w:hint="eastAsia" w:ascii="宋体" w:hAnsi="宋体" w:cs="仿宋"/>
                <w:bCs/>
                <w:color w:val="auto"/>
                <w:kern w:val="0"/>
                <w:szCs w:val="21"/>
                <w:lang w:val="en-US" w:eastAsia="zh-CN"/>
              </w:rPr>
              <w:t>6</w:t>
            </w:r>
            <w:r>
              <w:rPr>
                <w:rFonts w:hint="eastAsia" w:ascii="宋体" w:hAnsi="宋体" w:cs="仿宋"/>
                <w:bCs/>
                <w:color w:val="auto"/>
                <w:kern w:val="0"/>
                <w:szCs w:val="21"/>
              </w:rPr>
              <w:t>分（合同原件备查）。</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trHeight w:val="1516" w:hRule="atLeast"/>
        </w:trPr>
        <w:tc>
          <w:tcPr>
            <w:tcW w:w="866" w:type="dxa"/>
            <w:vMerge w:val="continue"/>
            <w:noWrap w:val="0"/>
            <w:vAlign w:val="center"/>
          </w:tcPr>
          <w:p>
            <w:pPr>
              <w:widowControl/>
              <w:spacing w:line="360" w:lineRule="auto"/>
              <w:rPr>
                <w:rFonts w:ascii="宋体" w:hAnsi="宋体" w:cs="仿宋"/>
                <w:bCs/>
                <w:color w:val="auto"/>
                <w:szCs w:val="21"/>
              </w:rPr>
            </w:pPr>
          </w:p>
        </w:tc>
        <w:tc>
          <w:tcPr>
            <w:tcW w:w="1150" w:type="dxa"/>
            <w:tcBorders>
              <w:right w:val="single" w:color="auto" w:sz="4" w:space="0"/>
            </w:tcBorders>
            <w:noWrap w:val="0"/>
            <w:vAlign w:val="center"/>
          </w:tcPr>
          <w:p>
            <w:pPr>
              <w:jc w:val="left"/>
              <w:rPr>
                <w:rFonts w:hint="eastAsia" w:ascii="宋体" w:hAnsi="宋体" w:cs="仿宋"/>
                <w:bCs/>
                <w:color w:val="auto"/>
                <w:kern w:val="0"/>
                <w:szCs w:val="21"/>
              </w:rPr>
            </w:pPr>
            <w:r>
              <w:rPr>
                <w:rFonts w:hint="eastAsia" w:ascii="宋体" w:hAnsi="宋体" w:cs="仿宋"/>
                <w:bCs/>
                <w:color w:val="auto"/>
                <w:kern w:val="0"/>
                <w:szCs w:val="21"/>
              </w:rPr>
              <w:t>投标文件编制质量（2）</w:t>
            </w:r>
          </w:p>
        </w:tc>
        <w:tc>
          <w:tcPr>
            <w:tcW w:w="654"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cs="仿宋"/>
                <w:bCs/>
                <w:color w:val="auto"/>
                <w:kern w:val="0"/>
                <w:szCs w:val="21"/>
              </w:rPr>
            </w:pPr>
            <w:r>
              <w:rPr>
                <w:rFonts w:hint="eastAsia" w:ascii="宋体" w:hAnsi="宋体" w:cs="仿宋"/>
                <w:bCs/>
                <w:color w:val="auto"/>
                <w:kern w:val="0"/>
                <w:szCs w:val="21"/>
              </w:rPr>
              <w:t>2</w:t>
            </w:r>
          </w:p>
        </w:tc>
        <w:tc>
          <w:tcPr>
            <w:tcW w:w="6941" w:type="dxa"/>
            <w:tcBorders>
              <w:top w:val="single" w:color="auto" w:sz="4" w:space="0"/>
              <w:left w:val="single" w:color="auto" w:sz="4" w:space="0"/>
              <w:bottom w:val="single" w:color="auto" w:sz="4" w:space="0"/>
            </w:tcBorders>
            <w:noWrap w:val="0"/>
            <w:vAlign w:val="center"/>
          </w:tcPr>
          <w:p>
            <w:pPr>
              <w:jc w:val="left"/>
              <w:rPr>
                <w:rFonts w:hint="eastAsia" w:ascii="宋体" w:hAnsi="宋体" w:cs="仿宋"/>
                <w:bCs/>
                <w:color w:val="auto"/>
                <w:kern w:val="0"/>
                <w:szCs w:val="21"/>
              </w:rPr>
            </w:pPr>
            <w:r>
              <w:rPr>
                <w:rFonts w:hint="eastAsia" w:ascii="宋体" w:hAnsi="宋体" w:cs="仿宋"/>
                <w:bCs/>
                <w:color w:val="auto"/>
                <w:kern w:val="0"/>
                <w:szCs w:val="21"/>
              </w:rPr>
              <w:t>编制有序、装订整齐、书面整洁、内容详实情况，有无错误、是否按招标文件要求制作等，有错误或前后矛盾的每项扣0.5分，扣完为止。</w:t>
            </w:r>
          </w:p>
        </w:tc>
      </w:tr>
    </w:tbl>
    <w:p>
      <w:pPr>
        <w:spacing w:line="360" w:lineRule="auto"/>
        <w:jc w:val="center"/>
        <w:rPr>
          <w:rStyle w:val="97"/>
          <w:rFonts w:hint="eastAsia" w:ascii="仿宋" w:hAnsi="仿宋" w:eastAsia="仿宋" w:cs="仿宋"/>
          <w:b/>
          <w:bCs/>
          <w:color w:val="auto"/>
          <w:sz w:val="36"/>
          <w:szCs w:val="36"/>
        </w:rPr>
      </w:pPr>
    </w:p>
    <w:p>
      <w:pPr>
        <w:pStyle w:val="3"/>
        <w:ind w:left="0" w:leftChars="0" w:firstLine="0" w:firstLineChars="0"/>
        <w:rPr>
          <w:rStyle w:val="97"/>
          <w:rFonts w:hint="eastAsia" w:ascii="仿宋" w:hAnsi="仿宋" w:eastAsia="仿宋" w:cs="仿宋"/>
          <w:b/>
          <w:bCs/>
          <w:color w:val="auto"/>
          <w:sz w:val="36"/>
          <w:szCs w:val="36"/>
        </w:rPr>
      </w:pPr>
    </w:p>
    <w:p>
      <w:pPr>
        <w:pStyle w:val="2"/>
        <w:rPr>
          <w:rFonts w:hint="eastAsia"/>
        </w:rPr>
      </w:pPr>
    </w:p>
    <w:p>
      <w:pPr>
        <w:pStyle w:val="3"/>
        <w:rPr>
          <w:rFonts w:hint="eastAsia"/>
        </w:rPr>
      </w:pPr>
    </w:p>
    <w:p>
      <w:pPr>
        <w:pStyle w:val="2"/>
        <w:rPr>
          <w:rFonts w:hint="eastAsia"/>
        </w:rPr>
      </w:pPr>
    </w:p>
    <w:p>
      <w:pPr>
        <w:spacing w:line="360" w:lineRule="auto"/>
        <w:jc w:val="center"/>
        <w:rPr>
          <w:rStyle w:val="97"/>
          <w:rFonts w:ascii="仿宋" w:eastAsia="仿宋" w:cs="仿宋"/>
          <w:bCs/>
          <w:color w:val="auto"/>
          <w:sz w:val="36"/>
          <w:szCs w:val="36"/>
        </w:rPr>
      </w:pPr>
      <w:r>
        <w:rPr>
          <w:rStyle w:val="97"/>
          <w:rFonts w:hint="eastAsia" w:ascii="仿宋" w:hAnsi="仿宋" w:eastAsia="仿宋" w:cs="仿宋"/>
          <w:b/>
          <w:bCs/>
          <w:color w:val="auto"/>
          <w:sz w:val="36"/>
          <w:szCs w:val="36"/>
        </w:rPr>
        <w:t>第五章 招标内容与技术要求</w:t>
      </w:r>
    </w:p>
    <w:p>
      <w:pPr>
        <w:ind w:firstLine="281" w:firstLineChars="100"/>
        <w:rPr>
          <w:rFonts w:ascii="仿宋" w:hAnsi="仿宋" w:eastAsia="仿宋" w:cs="仿宋"/>
          <w:color w:val="auto"/>
        </w:rPr>
      </w:pPr>
      <w:r>
        <w:rPr>
          <w:rFonts w:hint="eastAsia" w:ascii="仿宋" w:hAnsi="仿宋" w:eastAsia="仿宋" w:cs="仿宋"/>
          <w:b/>
          <w:color w:val="auto"/>
          <w:sz w:val="28"/>
          <w:szCs w:val="28"/>
        </w:rPr>
        <w:t>第一部分：采购内容及数量</w:t>
      </w:r>
    </w:p>
    <w:tbl>
      <w:tblPr>
        <w:tblStyle w:val="47"/>
        <w:tblW w:w="10409" w:type="dxa"/>
        <w:jc w:val="center"/>
        <w:tblLayout w:type="fixed"/>
        <w:tblCellMar>
          <w:top w:w="0" w:type="dxa"/>
          <w:left w:w="108" w:type="dxa"/>
          <w:bottom w:w="0" w:type="dxa"/>
          <w:right w:w="108" w:type="dxa"/>
        </w:tblCellMar>
      </w:tblPr>
      <w:tblGrid>
        <w:gridCol w:w="666"/>
        <w:gridCol w:w="2728"/>
        <w:gridCol w:w="2625"/>
        <w:gridCol w:w="1005"/>
        <w:gridCol w:w="975"/>
        <w:gridCol w:w="1590"/>
        <w:gridCol w:w="820"/>
      </w:tblGrid>
      <w:tr>
        <w:tblPrEx>
          <w:tblCellMar>
            <w:top w:w="0" w:type="dxa"/>
            <w:left w:w="108" w:type="dxa"/>
            <w:bottom w:w="0" w:type="dxa"/>
            <w:right w:w="108" w:type="dxa"/>
          </w:tblCellMar>
        </w:tblPrEx>
        <w:trPr>
          <w:trHeight w:val="696" w:hRule="atLeast"/>
          <w:jc w:val="center"/>
        </w:trPr>
        <w:tc>
          <w:tcPr>
            <w:tcW w:w="66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 w:val="24"/>
                <w:szCs w:val="24"/>
              </w:rPr>
            </w:pPr>
            <w:r>
              <w:rPr>
                <w:rFonts w:hint="eastAsia" w:ascii="仿宋" w:hAnsi="仿宋" w:eastAsia="仿宋" w:cs="仿宋"/>
                <w:b/>
                <w:bCs/>
                <w:color w:val="auto"/>
                <w:sz w:val="24"/>
                <w:szCs w:val="24"/>
              </w:rPr>
              <w:t>序号</w:t>
            </w:r>
          </w:p>
        </w:tc>
        <w:tc>
          <w:tcPr>
            <w:tcW w:w="272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 w:val="24"/>
                <w:szCs w:val="24"/>
              </w:rPr>
            </w:pPr>
            <w:r>
              <w:rPr>
                <w:rFonts w:hint="eastAsia" w:ascii="仿宋" w:hAnsi="仿宋" w:eastAsia="仿宋" w:cs="仿宋"/>
                <w:b/>
                <w:bCs/>
                <w:color w:val="auto"/>
                <w:sz w:val="24"/>
                <w:szCs w:val="24"/>
              </w:rPr>
              <w:t>采购内容</w:t>
            </w:r>
          </w:p>
        </w:tc>
        <w:tc>
          <w:tcPr>
            <w:tcW w:w="262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 w:val="24"/>
                <w:szCs w:val="24"/>
              </w:rPr>
            </w:pPr>
            <w:r>
              <w:rPr>
                <w:rFonts w:hint="eastAsia" w:ascii="仿宋" w:hAnsi="仿宋" w:eastAsia="仿宋" w:cs="仿宋"/>
                <w:b/>
                <w:bCs/>
                <w:color w:val="auto"/>
                <w:sz w:val="24"/>
                <w:szCs w:val="24"/>
              </w:rPr>
              <w:t>项目技术规范</w:t>
            </w:r>
          </w:p>
          <w:p>
            <w:pPr>
              <w:jc w:val="center"/>
              <w:rPr>
                <w:rFonts w:ascii="仿宋" w:hAnsi="仿宋" w:eastAsia="仿宋" w:cs="仿宋"/>
                <w:b/>
                <w:bCs/>
                <w:color w:val="auto"/>
                <w:sz w:val="24"/>
                <w:szCs w:val="24"/>
              </w:rPr>
            </w:pPr>
            <w:r>
              <w:rPr>
                <w:rFonts w:hint="eastAsia" w:ascii="仿宋" w:hAnsi="仿宋" w:eastAsia="仿宋" w:cs="仿宋"/>
                <w:b/>
                <w:bCs/>
                <w:color w:val="auto"/>
                <w:sz w:val="24"/>
                <w:szCs w:val="24"/>
              </w:rPr>
              <w:t>和服务要求</w:t>
            </w:r>
          </w:p>
        </w:tc>
        <w:tc>
          <w:tcPr>
            <w:tcW w:w="100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 w:val="24"/>
                <w:szCs w:val="24"/>
              </w:rPr>
            </w:pPr>
            <w:r>
              <w:rPr>
                <w:rFonts w:hint="eastAsia" w:ascii="仿宋" w:hAnsi="仿宋" w:eastAsia="仿宋" w:cs="仿宋"/>
                <w:b/>
                <w:bCs/>
                <w:color w:val="auto"/>
                <w:sz w:val="24"/>
                <w:szCs w:val="24"/>
              </w:rPr>
              <w:t>单位</w:t>
            </w:r>
          </w:p>
        </w:tc>
        <w:tc>
          <w:tcPr>
            <w:tcW w:w="97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 w:val="24"/>
                <w:szCs w:val="24"/>
              </w:rPr>
            </w:pPr>
            <w:r>
              <w:rPr>
                <w:rFonts w:hint="eastAsia" w:ascii="仿宋" w:hAnsi="仿宋" w:eastAsia="仿宋" w:cs="仿宋"/>
                <w:b/>
                <w:bCs/>
                <w:color w:val="auto"/>
                <w:sz w:val="24"/>
                <w:szCs w:val="24"/>
              </w:rPr>
              <w:t>数量</w:t>
            </w:r>
          </w:p>
        </w:tc>
        <w:tc>
          <w:tcPr>
            <w:tcW w:w="159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rPr>
              <w:t>预算总价</w:t>
            </w:r>
          </w:p>
          <w:p>
            <w:pPr>
              <w:jc w:val="center"/>
              <w:rPr>
                <w:rFonts w:ascii="仿宋" w:hAnsi="仿宋" w:eastAsia="仿宋" w:cs="仿宋"/>
                <w:b/>
                <w:bCs/>
                <w:color w:val="auto"/>
                <w:sz w:val="24"/>
                <w:szCs w:val="24"/>
              </w:rPr>
            </w:pPr>
            <w:r>
              <w:rPr>
                <w:rFonts w:hint="eastAsia" w:ascii="仿宋" w:hAnsi="仿宋" w:eastAsia="仿宋" w:cs="仿宋"/>
                <w:b/>
                <w:bCs/>
                <w:color w:val="auto"/>
                <w:sz w:val="24"/>
                <w:szCs w:val="24"/>
              </w:rPr>
              <w:t>（元）</w:t>
            </w:r>
          </w:p>
        </w:tc>
        <w:tc>
          <w:tcPr>
            <w:tcW w:w="82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sz w:val="24"/>
                <w:szCs w:val="24"/>
              </w:rPr>
            </w:pPr>
            <w:r>
              <w:rPr>
                <w:rFonts w:hint="eastAsia" w:ascii="仿宋" w:hAnsi="仿宋" w:eastAsia="仿宋" w:cs="仿宋"/>
                <w:b/>
                <w:bCs/>
                <w:color w:val="auto"/>
                <w:sz w:val="24"/>
                <w:szCs w:val="24"/>
              </w:rPr>
              <w:t>备注</w:t>
            </w:r>
          </w:p>
        </w:tc>
      </w:tr>
      <w:tr>
        <w:tblPrEx>
          <w:tblCellMar>
            <w:top w:w="0" w:type="dxa"/>
            <w:left w:w="108" w:type="dxa"/>
            <w:bottom w:w="0" w:type="dxa"/>
            <w:right w:w="108" w:type="dxa"/>
          </w:tblCellMar>
        </w:tblPrEx>
        <w:trPr>
          <w:cantSplit/>
          <w:trHeight w:val="1161" w:hRule="atLeast"/>
          <w:jc w:val="center"/>
        </w:trPr>
        <w:tc>
          <w:tcPr>
            <w:tcW w:w="66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szCs w:val="24"/>
              </w:rPr>
            </w:pPr>
            <w:r>
              <w:rPr>
                <w:rFonts w:ascii="仿宋" w:hAnsi="仿宋" w:eastAsia="仿宋" w:cs="仿宋"/>
                <w:color w:val="auto"/>
                <w:sz w:val="24"/>
                <w:szCs w:val="24"/>
              </w:rPr>
              <w:t>1</w:t>
            </w:r>
          </w:p>
        </w:tc>
        <w:tc>
          <w:tcPr>
            <w:tcW w:w="272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建德市“安心返”系统及“17防”平台项目</w:t>
            </w:r>
          </w:p>
        </w:tc>
        <w:tc>
          <w:tcPr>
            <w:tcW w:w="2625" w:type="dxa"/>
            <w:tcBorders>
              <w:top w:val="single" w:color="auto" w:sz="4" w:space="0"/>
              <w:left w:val="single" w:color="auto" w:sz="4" w:space="0"/>
              <w:right w:val="single" w:color="auto" w:sz="4" w:space="0"/>
            </w:tcBorders>
            <w:vAlign w:val="center"/>
          </w:tcPr>
          <w:p>
            <w:pPr>
              <w:jc w:val="center"/>
              <w:rPr>
                <w:rFonts w:ascii="仿宋" w:hAnsi="仿宋" w:eastAsia="仿宋" w:cs="仿宋"/>
                <w:color w:val="auto"/>
                <w:sz w:val="24"/>
                <w:szCs w:val="24"/>
              </w:rPr>
            </w:pPr>
            <w:r>
              <w:rPr>
                <w:rFonts w:hint="eastAsia" w:ascii="仿宋" w:hAnsi="仿宋" w:eastAsia="仿宋" w:cs="仿宋"/>
                <w:color w:val="auto"/>
                <w:sz w:val="24"/>
                <w:szCs w:val="24"/>
              </w:rPr>
              <w:t>详见本章</w:t>
            </w:r>
          </w:p>
          <w:p>
            <w:pPr>
              <w:jc w:val="center"/>
              <w:rPr>
                <w:rFonts w:ascii="仿宋" w:hAnsi="仿宋" w:eastAsia="仿宋" w:cs="仿宋"/>
                <w:color w:val="auto"/>
                <w:sz w:val="24"/>
                <w:szCs w:val="24"/>
              </w:rPr>
            </w:pPr>
            <w:r>
              <w:rPr>
                <w:rFonts w:hint="eastAsia" w:ascii="仿宋" w:hAnsi="仿宋" w:eastAsia="仿宋" w:cs="仿宋"/>
                <w:color w:val="auto"/>
                <w:sz w:val="24"/>
                <w:szCs w:val="24"/>
              </w:rPr>
              <w:t>“第二部分 附件”</w:t>
            </w:r>
          </w:p>
        </w:tc>
        <w:tc>
          <w:tcPr>
            <w:tcW w:w="100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szCs w:val="24"/>
              </w:rPr>
            </w:pPr>
            <w:r>
              <w:rPr>
                <w:rFonts w:hint="eastAsia" w:ascii="仿宋" w:hAnsi="仿宋" w:eastAsia="仿宋" w:cs="仿宋"/>
                <w:color w:val="auto"/>
                <w:sz w:val="24"/>
                <w:szCs w:val="24"/>
              </w:rPr>
              <w:t>项</w:t>
            </w:r>
          </w:p>
        </w:tc>
        <w:tc>
          <w:tcPr>
            <w:tcW w:w="97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szCs w:val="24"/>
              </w:rPr>
            </w:pPr>
            <w:r>
              <w:rPr>
                <w:rFonts w:ascii="仿宋" w:hAnsi="仿宋" w:eastAsia="仿宋" w:cs="仿宋"/>
                <w:color w:val="auto"/>
                <w:sz w:val="24"/>
                <w:szCs w:val="24"/>
              </w:rPr>
              <w:t>1</w:t>
            </w:r>
          </w:p>
        </w:tc>
        <w:tc>
          <w:tcPr>
            <w:tcW w:w="15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910000.00</w:t>
            </w:r>
          </w:p>
        </w:tc>
        <w:tc>
          <w:tcPr>
            <w:tcW w:w="82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szCs w:val="24"/>
              </w:rPr>
            </w:pPr>
          </w:p>
        </w:tc>
      </w:tr>
      <w:tr>
        <w:tblPrEx>
          <w:tblCellMar>
            <w:top w:w="0" w:type="dxa"/>
            <w:left w:w="108" w:type="dxa"/>
            <w:bottom w:w="0" w:type="dxa"/>
            <w:right w:w="108" w:type="dxa"/>
          </w:tblCellMar>
        </w:tblPrEx>
        <w:trPr>
          <w:trHeight w:val="574" w:hRule="exact"/>
          <w:jc w:val="center"/>
        </w:trPr>
        <w:tc>
          <w:tcPr>
            <w:tcW w:w="9589" w:type="dxa"/>
            <w:gridSpan w:val="6"/>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rPr>
            </w:pPr>
            <w:r>
              <w:rPr>
                <w:rFonts w:hint="eastAsia" w:ascii="仿宋" w:hAnsi="仿宋" w:eastAsia="仿宋" w:cs="仿宋"/>
                <w:color w:val="auto"/>
                <w:sz w:val="24"/>
                <w:szCs w:val="24"/>
              </w:rPr>
              <w:t>合计：人民币（大写）：</w:t>
            </w:r>
            <w:r>
              <w:rPr>
                <w:rFonts w:hint="eastAsia" w:ascii="仿宋" w:hAnsi="仿宋" w:eastAsia="仿宋" w:cs="仿宋"/>
                <w:color w:val="auto"/>
                <w:sz w:val="24"/>
                <w:szCs w:val="24"/>
                <w:lang w:eastAsia="zh-CN"/>
              </w:rPr>
              <w:t>玖拾壹万</w:t>
            </w:r>
            <w:r>
              <w:rPr>
                <w:rFonts w:hint="eastAsia" w:ascii="仿宋" w:hAnsi="仿宋" w:eastAsia="仿宋" w:cs="仿宋"/>
                <w:color w:val="auto"/>
                <w:sz w:val="24"/>
                <w:szCs w:val="24"/>
                <w:lang w:val="en-US" w:eastAsia="zh-CN"/>
              </w:rPr>
              <w:t>元</w:t>
            </w:r>
            <w:r>
              <w:rPr>
                <w:rFonts w:hint="eastAsia" w:ascii="仿宋" w:hAnsi="仿宋" w:eastAsia="仿宋" w:cs="仿宋"/>
                <w:color w:val="auto"/>
                <w:sz w:val="24"/>
                <w:szCs w:val="24"/>
              </w:rPr>
              <w:t>整（￥：</w:t>
            </w:r>
            <w:r>
              <w:rPr>
                <w:rFonts w:hint="eastAsia" w:ascii="仿宋" w:hAnsi="仿宋" w:eastAsia="仿宋" w:cs="仿宋"/>
                <w:color w:val="auto"/>
                <w:sz w:val="24"/>
                <w:szCs w:val="24"/>
                <w:lang w:val="en-US" w:eastAsia="zh-CN"/>
              </w:rPr>
              <w:t>910000.00</w:t>
            </w:r>
            <w:r>
              <w:rPr>
                <w:rFonts w:hint="eastAsia" w:ascii="仿宋" w:hAnsi="仿宋" w:eastAsia="仿宋" w:cs="仿宋"/>
                <w:color w:val="auto"/>
                <w:sz w:val="24"/>
                <w:szCs w:val="24"/>
              </w:rPr>
              <w:t>元）</w:t>
            </w:r>
          </w:p>
        </w:tc>
        <w:tc>
          <w:tcPr>
            <w:tcW w:w="82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szCs w:val="24"/>
              </w:rPr>
            </w:pPr>
          </w:p>
        </w:tc>
      </w:tr>
    </w:tbl>
    <w:p>
      <w:pPr>
        <w:spacing w:line="360" w:lineRule="auto"/>
        <w:ind w:right="-176" w:rightChars="-84"/>
        <w:rPr>
          <w:rFonts w:ascii="仿宋" w:hAnsi="仿宋" w:eastAsia="仿宋" w:cs="仿宋"/>
          <w:bCs/>
          <w:color w:val="auto"/>
          <w:szCs w:val="21"/>
        </w:rPr>
      </w:pPr>
      <w:r>
        <w:rPr>
          <w:rFonts w:hint="eastAsia" w:ascii="仿宋" w:hAnsi="仿宋" w:eastAsia="仿宋" w:cs="仿宋"/>
          <w:bCs/>
          <w:color w:val="auto"/>
          <w:szCs w:val="21"/>
        </w:rPr>
        <w:t>备注：以上金额包括系统设计、开发、数据同步、整理、人工费、验收、培训、辅助工作及售后服务等完成整个项目所需的一切费用。</w:t>
      </w:r>
    </w:p>
    <w:p>
      <w:pPr>
        <w:pStyle w:val="57"/>
        <w:rPr>
          <w:color w:val="auto"/>
        </w:rPr>
      </w:pPr>
    </w:p>
    <w:p>
      <w:pPr>
        <w:spacing w:line="300" w:lineRule="exact"/>
        <w:ind w:right="-176" w:rightChars="-84"/>
        <w:rPr>
          <w:rFonts w:ascii="仿宋" w:hAnsi="仿宋" w:eastAsia="仿宋" w:cs="仿宋"/>
          <w:b/>
          <w:color w:val="auto"/>
          <w:sz w:val="28"/>
          <w:szCs w:val="28"/>
        </w:rPr>
      </w:pPr>
    </w:p>
    <w:p>
      <w:pPr>
        <w:spacing w:line="300" w:lineRule="exact"/>
        <w:ind w:right="-176" w:rightChars="-84"/>
        <w:rPr>
          <w:color w:val="auto"/>
          <w:szCs w:val="24"/>
        </w:rPr>
      </w:pPr>
      <w:r>
        <w:rPr>
          <w:rFonts w:hint="eastAsia" w:ascii="仿宋" w:hAnsi="仿宋" w:eastAsia="仿宋" w:cs="仿宋"/>
          <w:b/>
          <w:color w:val="auto"/>
          <w:sz w:val="28"/>
          <w:szCs w:val="28"/>
        </w:rPr>
        <w:t>第二部分： 附件</w:t>
      </w:r>
    </w:p>
    <w:p>
      <w:pPr>
        <w:keepNext w:val="0"/>
        <w:keepLines w:val="0"/>
        <w:pageBreakBefore w:val="0"/>
        <w:kinsoku/>
        <w:overflowPunct/>
        <w:topLinePunct w:val="0"/>
        <w:autoSpaceDE/>
        <w:autoSpaceDN/>
        <w:bidi w:val="0"/>
        <w:adjustRightInd/>
        <w:snapToGrid/>
        <w:ind w:left="0" w:right="0" w:firstLine="562" w:firstLineChars="200"/>
        <w:jc w:val="left"/>
        <w:textAlignment w:val="auto"/>
        <w:rPr>
          <w:rFonts w:hint="default"/>
          <w:b/>
          <w:bCs/>
          <w:color w:val="auto"/>
          <w:sz w:val="28"/>
          <w:szCs w:val="24"/>
          <w:lang w:val="en-US" w:eastAsia="zh-CN"/>
        </w:rPr>
      </w:pPr>
      <w:bookmarkStart w:id="2" w:name="_Toc14753"/>
      <w:r>
        <w:rPr>
          <w:rFonts w:hint="default"/>
          <w:b/>
          <w:bCs/>
          <w:color w:val="auto"/>
          <w:sz w:val="28"/>
          <w:szCs w:val="24"/>
          <w:lang w:val="en-US" w:eastAsia="zh-CN"/>
        </w:rPr>
        <w:t>需求清单</w:t>
      </w:r>
      <w:bookmarkEnd w:id="2"/>
    </w:p>
    <w:tbl>
      <w:tblPr>
        <w:tblStyle w:val="47"/>
        <w:tblW w:w="94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1555"/>
        <w:gridCol w:w="1090"/>
        <w:gridCol w:w="6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15" w:type="dxa"/>
            <w:vMerge w:val="restart"/>
            <w:shd w:val="clear" w:color="auto" w:fill="auto"/>
            <w:vAlign w:val="center"/>
          </w:tcPr>
          <w:p>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序号</w:t>
            </w:r>
          </w:p>
        </w:tc>
        <w:tc>
          <w:tcPr>
            <w:tcW w:w="1555" w:type="dxa"/>
            <w:vMerge w:val="restart"/>
            <w:shd w:val="clear" w:color="auto" w:fill="auto"/>
            <w:vAlign w:val="center"/>
          </w:tcPr>
          <w:p>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系统名称</w:t>
            </w:r>
          </w:p>
        </w:tc>
        <w:tc>
          <w:tcPr>
            <w:tcW w:w="1090" w:type="dxa"/>
            <w:vMerge w:val="restart"/>
            <w:shd w:val="clear" w:color="auto" w:fill="auto"/>
            <w:vAlign w:val="center"/>
          </w:tcPr>
          <w:p>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模块</w:t>
            </w:r>
          </w:p>
        </w:tc>
        <w:tc>
          <w:tcPr>
            <w:tcW w:w="6210" w:type="dxa"/>
            <w:vMerge w:val="restart"/>
            <w:shd w:val="clear" w:color="auto" w:fill="auto"/>
            <w:vAlign w:val="center"/>
          </w:tcPr>
          <w:p>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15" w:type="dxa"/>
            <w:vMerge w:val="continue"/>
            <w:vAlign w:val="center"/>
          </w:tcPr>
          <w:p>
            <w:pPr>
              <w:widowControl/>
              <w:jc w:val="left"/>
              <w:rPr>
                <w:rFonts w:ascii="仿宋" w:hAnsi="仿宋" w:eastAsia="仿宋" w:cs="宋体"/>
                <w:b/>
                <w:bCs/>
                <w:color w:val="000000"/>
                <w:kern w:val="0"/>
                <w:sz w:val="18"/>
                <w:szCs w:val="18"/>
              </w:rPr>
            </w:pPr>
          </w:p>
        </w:tc>
        <w:tc>
          <w:tcPr>
            <w:tcW w:w="1555" w:type="dxa"/>
            <w:vMerge w:val="continue"/>
            <w:vAlign w:val="center"/>
          </w:tcPr>
          <w:p>
            <w:pPr>
              <w:widowControl/>
              <w:jc w:val="left"/>
              <w:rPr>
                <w:rFonts w:ascii="仿宋" w:hAnsi="仿宋" w:eastAsia="仿宋" w:cs="宋体"/>
                <w:b/>
                <w:bCs/>
                <w:color w:val="000000"/>
                <w:kern w:val="0"/>
                <w:sz w:val="18"/>
                <w:szCs w:val="18"/>
              </w:rPr>
            </w:pPr>
          </w:p>
        </w:tc>
        <w:tc>
          <w:tcPr>
            <w:tcW w:w="1090" w:type="dxa"/>
            <w:vMerge w:val="continue"/>
            <w:vAlign w:val="center"/>
          </w:tcPr>
          <w:p>
            <w:pPr>
              <w:widowControl/>
              <w:jc w:val="left"/>
              <w:rPr>
                <w:rFonts w:ascii="仿宋" w:hAnsi="仿宋" w:eastAsia="仿宋" w:cs="宋体"/>
                <w:b/>
                <w:bCs/>
                <w:color w:val="000000"/>
                <w:kern w:val="0"/>
                <w:sz w:val="18"/>
                <w:szCs w:val="18"/>
              </w:rPr>
            </w:pPr>
          </w:p>
        </w:tc>
        <w:tc>
          <w:tcPr>
            <w:tcW w:w="6210" w:type="dxa"/>
            <w:vMerge w:val="continue"/>
            <w:vAlign w:val="center"/>
          </w:tcPr>
          <w:p>
            <w:pPr>
              <w:widowControl/>
              <w:jc w:val="left"/>
              <w:rPr>
                <w:rFonts w:ascii="仿宋" w:hAnsi="仿宋" w:eastAsia="仿宋" w:cs="宋体"/>
                <w:b/>
                <w:bCs/>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615" w:type="dxa"/>
            <w:vMerge w:val="restart"/>
            <w:shd w:val="clear" w:color="auto" w:fill="auto"/>
            <w:vAlign w:val="center"/>
          </w:tcPr>
          <w:p>
            <w:pPr>
              <w:widowControl/>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555" w:type="dxa"/>
            <w:vMerge w:val="restart"/>
            <w:shd w:val="clear" w:color="auto" w:fill="auto"/>
            <w:vAlign w:val="center"/>
          </w:tcPr>
          <w:p>
            <w:pPr>
              <w:widowControl/>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“安心返”申报登记系统</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(含“放心种”)</w:t>
            </w:r>
          </w:p>
        </w:tc>
        <w:tc>
          <w:tcPr>
            <w:tcW w:w="1090" w:type="dxa"/>
            <w:shd w:val="clear" w:color="auto" w:fill="auto"/>
            <w:vAlign w:val="center"/>
          </w:tcPr>
          <w:p>
            <w:pPr>
              <w:widowControl/>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登陆模块</w:t>
            </w:r>
          </w:p>
        </w:tc>
        <w:tc>
          <w:tcPr>
            <w:tcW w:w="6210" w:type="dxa"/>
            <w:shd w:val="clear" w:color="auto" w:fill="auto"/>
            <w:vAlign w:val="center"/>
          </w:tcPr>
          <w:p>
            <w:pPr>
              <w:widowControl/>
              <w:jc w:val="left"/>
              <w:rPr>
                <w:rFonts w:ascii="仿宋" w:hAnsi="仿宋" w:eastAsia="仿宋" w:cs="宋体"/>
                <w:color w:val="000000"/>
                <w:kern w:val="0"/>
                <w:sz w:val="18"/>
                <w:szCs w:val="18"/>
              </w:rPr>
            </w:pPr>
            <w:r>
              <w:rPr>
                <w:rFonts w:hint="eastAsia" w:ascii="仿宋" w:hAnsi="仿宋" w:eastAsia="仿宋" w:cs="宋体"/>
                <w:color w:val="000000"/>
                <w:kern w:val="0"/>
                <w:sz w:val="18"/>
                <w:szCs w:val="18"/>
              </w:rPr>
              <w:t>申报登记端微信公众号应用为载体，面向返建人员（包括从境内个省、市、自治区、直辖市、港澳台和从境外返建人员）实现手机注册、信息申报、帮他人信息申报等功能。返建人员通过扫描“安心返”二维码访问“安心返”申报登记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615" w:type="dxa"/>
            <w:vMerge w:val="continue"/>
            <w:vAlign w:val="center"/>
          </w:tcPr>
          <w:p>
            <w:pPr>
              <w:widowControl/>
              <w:jc w:val="left"/>
              <w:rPr>
                <w:rFonts w:ascii="仿宋" w:hAnsi="仿宋" w:eastAsia="仿宋" w:cs="宋体"/>
                <w:color w:val="000000"/>
                <w:kern w:val="0"/>
                <w:sz w:val="18"/>
                <w:szCs w:val="18"/>
              </w:rPr>
            </w:pPr>
          </w:p>
        </w:tc>
        <w:tc>
          <w:tcPr>
            <w:tcW w:w="1555" w:type="dxa"/>
            <w:vMerge w:val="continue"/>
            <w:vAlign w:val="center"/>
          </w:tcPr>
          <w:p>
            <w:pPr>
              <w:widowControl/>
              <w:jc w:val="left"/>
              <w:rPr>
                <w:rFonts w:ascii="仿宋" w:hAnsi="仿宋" w:eastAsia="仿宋" w:cs="宋体"/>
                <w:color w:val="000000"/>
                <w:kern w:val="0"/>
                <w:sz w:val="18"/>
                <w:szCs w:val="18"/>
              </w:rPr>
            </w:pPr>
          </w:p>
        </w:tc>
        <w:tc>
          <w:tcPr>
            <w:tcW w:w="1090" w:type="dxa"/>
            <w:shd w:val="clear" w:color="auto" w:fill="auto"/>
            <w:vAlign w:val="center"/>
          </w:tcPr>
          <w:p>
            <w:pPr>
              <w:widowControl/>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注册模块</w:t>
            </w:r>
          </w:p>
        </w:tc>
        <w:tc>
          <w:tcPr>
            <w:tcW w:w="6210" w:type="dxa"/>
            <w:shd w:val="clear" w:color="auto" w:fill="auto"/>
            <w:vAlign w:val="center"/>
          </w:tcPr>
          <w:p>
            <w:pPr>
              <w:widowControl/>
              <w:jc w:val="left"/>
              <w:rPr>
                <w:rFonts w:ascii="仿宋" w:hAnsi="仿宋" w:eastAsia="仿宋" w:cs="宋体"/>
                <w:color w:val="000000"/>
                <w:kern w:val="0"/>
                <w:sz w:val="18"/>
                <w:szCs w:val="18"/>
              </w:rPr>
            </w:pPr>
            <w:r>
              <w:rPr>
                <w:rFonts w:hint="eastAsia" w:ascii="仿宋" w:hAnsi="仿宋" w:eastAsia="仿宋" w:cs="宋体"/>
                <w:color w:val="000000"/>
                <w:kern w:val="0"/>
                <w:sz w:val="18"/>
                <w:szCs w:val="18"/>
              </w:rPr>
              <w:t>支持通过手机号注册，短信验证码登录；对接移动短信网关；支持首页展示指挥中心咨询热线电话列表；支持首页展示《用户注册协议》；按照符合建德市特色进行UI图设计，体现建德市LOGO和“安心返”主题。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0" w:hRule="atLeast"/>
          <w:jc w:val="center"/>
        </w:trPr>
        <w:tc>
          <w:tcPr>
            <w:tcW w:w="615" w:type="dxa"/>
            <w:vMerge w:val="continue"/>
            <w:vAlign w:val="center"/>
          </w:tcPr>
          <w:p>
            <w:pPr>
              <w:widowControl/>
              <w:jc w:val="left"/>
              <w:rPr>
                <w:rFonts w:ascii="仿宋" w:hAnsi="仿宋" w:eastAsia="仿宋" w:cs="宋体"/>
                <w:color w:val="000000"/>
                <w:kern w:val="0"/>
                <w:sz w:val="18"/>
                <w:szCs w:val="18"/>
              </w:rPr>
            </w:pPr>
          </w:p>
        </w:tc>
        <w:tc>
          <w:tcPr>
            <w:tcW w:w="1555" w:type="dxa"/>
            <w:vMerge w:val="continue"/>
            <w:vAlign w:val="center"/>
          </w:tcPr>
          <w:p>
            <w:pPr>
              <w:widowControl/>
              <w:jc w:val="left"/>
              <w:rPr>
                <w:rFonts w:ascii="仿宋" w:hAnsi="仿宋" w:eastAsia="仿宋" w:cs="宋体"/>
                <w:color w:val="000000"/>
                <w:kern w:val="0"/>
                <w:sz w:val="18"/>
                <w:szCs w:val="18"/>
              </w:rPr>
            </w:pPr>
          </w:p>
        </w:tc>
        <w:tc>
          <w:tcPr>
            <w:tcW w:w="1090" w:type="dxa"/>
            <w:vMerge w:val="restart"/>
            <w:shd w:val="clear" w:color="auto" w:fill="auto"/>
            <w:vAlign w:val="center"/>
          </w:tcPr>
          <w:p>
            <w:pPr>
              <w:widowControl/>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申报人申报模块</w:t>
            </w:r>
          </w:p>
        </w:tc>
        <w:tc>
          <w:tcPr>
            <w:tcW w:w="6210" w:type="dxa"/>
            <w:vMerge w:val="restart"/>
            <w:shd w:val="clear" w:color="auto" w:fill="auto"/>
          </w:tcPr>
          <w:p>
            <w:pPr>
              <w:widowControl/>
              <w:jc w:val="left"/>
              <w:rPr>
                <w:rFonts w:ascii="仿宋" w:hAnsi="仿宋" w:eastAsia="仿宋" w:cs="宋体"/>
                <w:color w:val="000000"/>
                <w:kern w:val="0"/>
                <w:sz w:val="18"/>
                <w:szCs w:val="18"/>
              </w:rPr>
            </w:pPr>
            <w:r>
              <w:rPr>
                <w:rFonts w:hint="eastAsia" w:ascii="仿宋" w:hAnsi="仿宋" w:eastAsia="仿宋" w:cs="宋体"/>
                <w:color w:val="000000"/>
                <w:kern w:val="0"/>
                <w:sz w:val="18"/>
                <w:szCs w:val="18"/>
              </w:rPr>
              <w:t>1）申报人姓名</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2）申报人身份证（支持身份证正确性判定）、护照、港澳居民来往通行证、台湾居民来往通行证</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3）申报人手机号</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4）紧急联系人手机号码</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5）是否近1个月内由境外回国：是〔填写何地入境、入境日期、入境口岸、入境后解除隔离日期、最后一次核酸阴性日期）；否（无需填写内容）。</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6）申报人何地返建：省、市、区县（支持下拉选择，直辖市为下拉市、区、街道）</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7）申报人建德常住地址：乡镇/街道、村社（支持下拉框选择）</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8）申报人小区门牌号（或宾馆）：申报人输入在建德详细地址（支持输入）</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9）申报人到建日期：支持下拉框选择日期，限制选择日期为返建60天以内。</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10）申报人来建方式：支持下拉框选择（自驾、高铁、客运大巴、其他）</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11）申报人来建事由：支持选择回家、探亲、访友、商务差旅、旅游、务工、其他</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12）申报人来建从事工作：下拉选择框，分为：在建党政机关，在建事业单位，在建企业，个体经营，来建找工作，无。</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13）申报人来建工作单位：如“来建从事工作”选择前四种，必须要填写此项，支持输入。</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14）申报人是否携带7天内有效的核酸阴性检测阴性报告（支持选择是（选择核酸采样日期）、否）</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15）申报人当前从事行业（支持选择7种高风险行业及其他）</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16）申报人是否存在以下情况：下拉选择框，分为：确诊治愈（含无症状），密切接触者（2个月内），次密切接触者（接触过密切接触者），不存在以上情况。</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17）是否帮他人登记：选择是，申报登记提交后将直接进入帮他人继续登记，选择否，信息直接提交申报登记信息。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15" w:type="dxa"/>
            <w:vMerge w:val="continue"/>
            <w:vAlign w:val="center"/>
          </w:tcPr>
          <w:p>
            <w:pPr>
              <w:widowControl/>
              <w:jc w:val="left"/>
              <w:rPr>
                <w:rFonts w:ascii="仿宋" w:hAnsi="仿宋" w:eastAsia="仿宋" w:cs="宋体"/>
                <w:color w:val="000000"/>
                <w:kern w:val="0"/>
                <w:sz w:val="18"/>
                <w:szCs w:val="18"/>
              </w:rPr>
            </w:pPr>
          </w:p>
        </w:tc>
        <w:tc>
          <w:tcPr>
            <w:tcW w:w="1555" w:type="dxa"/>
            <w:vMerge w:val="continue"/>
            <w:vAlign w:val="center"/>
          </w:tcPr>
          <w:p>
            <w:pPr>
              <w:widowControl/>
              <w:jc w:val="left"/>
              <w:rPr>
                <w:rFonts w:ascii="仿宋" w:hAnsi="仿宋" w:eastAsia="仿宋" w:cs="宋体"/>
                <w:color w:val="000000"/>
                <w:kern w:val="0"/>
                <w:sz w:val="18"/>
                <w:szCs w:val="18"/>
              </w:rPr>
            </w:pPr>
          </w:p>
        </w:tc>
        <w:tc>
          <w:tcPr>
            <w:tcW w:w="1090" w:type="dxa"/>
            <w:vMerge w:val="continue"/>
            <w:vAlign w:val="center"/>
          </w:tcPr>
          <w:p>
            <w:pPr>
              <w:widowControl/>
              <w:jc w:val="left"/>
              <w:rPr>
                <w:rFonts w:ascii="仿宋" w:hAnsi="仿宋" w:eastAsia="仿宋" w:cs="宋体"/>
                <w:color w:val="000000"/>
                <w:kern w:val="0"/>
                <w:sz w:val="18"/>
                <w:szCs w:val="18"/>
              </w:rPr>
            </w:pPr>
          </w:p>
        </w:tc>
        <w:tc>
          <w:tcPr>
            <w:tcW w:w="6210" w:type="dxa"/>
            <w:vMerge w:val="continue"/>
            <w:vAlign w:val="center"/>
          </w:tcPr>
          <w:p>
            <w:pPr>
              <w:widowControl/>
              <w:jc w:val="left"/>
              <w:rPr>
                <w:rFonts w:ascii="仿宋" w:hAnsi="仿宋" w:eastAsia="仿宋" w:cs="宋体"/>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15" w:type="dxa"/>
            <w:vMerge w:val="continue"/>
            <w:vAlign w:val="center"/>
          </w:tcPr>
          <w:p>
            <w:pPr>
              <w:widowControl/>
              <w:jc w:val="left"/>
              <w:rPr>
                <w:rFonts w:ascii="仿宋" w:hAnsi="仿宋" w:eastAsia="仿宋" w:cs="宋体"/>
                <w:color w:val="000000"/>
                <w:kern w:val="0"/>
                <w:sz w:val="18"/>
                <w:szCs w:val="18"/>
              </w:rPr>
            </w:pPr>
          </w:p>
        </w:tc>
        <w:tc>
          <w:tcPr>
            <w:tcW w:w="1555" w:type="dxa"/>
            <w:vMerge w:val="continue"/>
            <w:vAlign w:val="center"/>
          </w:tcPr>
          <w:p>
            <w:pPr>
              <w:widowControl/>
              <w:jc w:val="left"/>
              <w:rPr>
                <w:rFonts w:ascii="仿宋" w:hAnsi="仿宋" w:eastAsia="仿宋" w:cs="宋体"/>
                <w:color w:val="000000"/>
                <w:kern w:val="0"/>
                <w:sz w:val="18"/>
                <w:szCs w:val="18"/>
              </w:rPr>
            </w:pPr>
          </w:p>
        </w:tc>
        <w:tc>
          <w:tcPr>
            <w:tcW w:w="1090" w:type="dxa"/>
            <w:shd w:val="clear" w:color="auto" w:fill="auto"/>
            <w:vAlign w:val="center"/>
          </w:tcPr>
          <w:p>
            <w:pPr>
              <w:widowControl/>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帮他人登记模块</w:t>
            </w:r>
          </w:p>
        </w:tc>
        <w:tc>
          <w:tcPr>
            <w:tcW w:w="6210" w:type="dxa"/>
            <w:shd w:val="clear" w:color="auto" w:fill="auto"/>
            <w:vAlign w:val="center"/>
          </w:tcPr>
          <w:p>
            <w:pPr>
              <w:widowControl/>
              <w:jc w:val="left"/>
              <w:rPr>
                <w:rFonts w:ascii="仿宋" w:hAnsi="仿宋" w:eastAsia="仿宋" w:cs="宋体"/>
                <w:color w:val="000000"/>
                <w:kern w:val="0"/>
                <w:sz w:val="18"/>
                <w:szCs w:val="18"/>
              </w:rPr>
            </w:pPr>
            <w:r>
              <w:rPr>
                <w:rFonts w:hint="eastAsia" w:ascii="仿宋" w:hAnsi="仿宋" w:eastAsia="仿宋" w:cs="宋体"/>
                <w:color w:val="000000"/>
                <w:kern w:val="0"/>
                <w:sz w:val="18"/>
                <w:szCs w:val="18"/>
              </w:rPr>
              <w:t>功能及填写的信息与申报人申报登记模块一样。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615" w:type="dxa"/>
            <w:vMerge w:val="continue"/>
            <w:vAlign w:val="center"/>
          </w:tcPr>
          <w:p>
            <w:pPr>
              <w:widowControl/>
              <w:jc w:val="left"/>
              <w:rPr>
                <w:rFonts w:ascii="仿宋" w:hAnsi="仿宋" w:eastAsia="仿宋" w:cs="宋体"/>
                <w:color w:val="000000"/>
                <w:kern w:val="0"/>
                <w:sz w:val="18"/>
                <w:szCs w:val="18"/>
              </w:rPr>
            </w:pPr>
          </w:p>
        </w:tc>
        <w:tc>
          <w:tcPr>
            <w:tcW w:w="1555" w:type="dxa"/>
            <w:vMerge w:val="continue"/>
            <w:vAlign w:val="center"/>
          </w:tcPr>
          <w:p>
            <w:pPr>
              <w:widowControl/>
              <w:jc w:val="left"/>
              <w:rPr>
                <w:rFonts w:ascii="仿宋" w:hAnsi="仿宋" w:eastAsia="仿宋" w:cs="宋体"/>
                <w:color w:val="000000"/>
                <w:kern w:val="0"/>
                <w:sz w:val="18"/>
                <w:szCs w:val="18"/>
              </w:rPr>
            </w:pPr>
          </w:p>
        </w:tc>
        <w:tc>
          <w:tcPr>
            <w:tcW w:w="1090" w:type="dxa"/>
            <w:vMerge w:val="restart"/>
            <w:shd w:val="clear" w:color="auto" w:fill="auto"/>
            <w:vAlign w:val="center"/>
          </w:tcPr>
          <w:p>
            <w:pPr>
              <w:widowControl/>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放心种模块</w:t>
            </w:r>
          </w:p>
        </w:tc>
        <w:tc>
          <w:tcPr>
            <w:tcW w:w="6210" w:type="dxa"/>
            <w:vMerge w:val="restart"/>
            <w:shd w:val="clear" w:color="auto" w:fill="auto"/>
          </w:tcPr>
          <w:p>
            <w:pPr>
              <w:widowControl/>
              <w:jc w:val="left"/>
              <w:rPr>
                <w:rFonts w:ascii="仿宋" w:hAnsi="仿宋" w:eastAsia="仿宋" w:cs="宋体"/>
                <w:color w:val="000000"/>
                <w:kern w:val="0"/>
                <w:sz w:val="18"/>
                <w:szCs w:val="18"/>
              </w:rPr>
            </w:pPr>
            <w:r>
              <w:rPr>
                <w:rFonts w:hint="eastAsia" w:ascii="仿宋" w:hAnsi="仿宋" w:eastAsia="仿宋" w:cs="宋体"/>
                <w:color w:val="000000"/>
                <w:kern w:val="0"/>
                <w:sz w:val="18"/>
                <w:szCs w:val="18"/>
              </w:rPr>
              <w:t>1）支持显示新冠疫苗接种知情同意书，显示5秒倒计时。</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2）支持登记的主要信息为受种人员的基本信息，包括姓名、年龄、身份证号码、联系方式、人群分类、建德常住地址、在建工作单位/就读学校、身体状况等。其中按照29个大类对预约接种的人员进行了分类管理。</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3）支持帮他人进行新冠疫苗预约。</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4）新冠疫苗常规接种点（镇街卫生院）和方舱接种点支持身份证读卡器自动识别登记。</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5）接种预约升级，支持外籍、港澳、台湾地区人员预约新冠疫苗接种。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615" w:type="dxa"/>
            <w:vMerge w:val="continue"/>
            <w:vAlign w:val="center"/>
          </w:tcPr>
          <w:p>
            <w:pPr>
              <w:widowControl/>
              <w:jc w:val="left"/>
              <w:rPr>
                <w:rFonts w:ascii="仿宋" w:hAnsi="仿宋" w:eastAsia="仿宋" w:cs="宋体"/>
                <w:color w:val="000000"/>
                <w:kern w:val="0"/>
                <w:sz w:val="18"/>
                <w:szCs w:val="18"/>
              </w:rPr>
            </w:pPr>
          </w:p>
        </w:tc>
        <w:tc>
          <w:tcPr>
            <w:tcW w:w="1555" w:type="dxa"/>
            <w:vMerge w:val="continue"/>
            <w:vAlign w:val="center"/>
          </w:tcPr>
          <w:p>
            <w:pPr>
              <w:widowControl/>
              <w:jc w:val="left"/>
              <w:rPr>
                <w:rFonts w:ascii="仿宋" w:hAnsi="仿宋" w:eastAsia="仿宋" w:cs="宋体"/>
                <w:color w:val="000000"/>
                <w:kern w:val="0"/>
                <w:sz w:val="18"/>
                <w:szCs w:val="18"/>
              </w:rPr>
            </w:pPr>
          </w:p>
        </w:tc>
        <w:tc>
          <w:tcPr>
            <w:tcW w:w="1090" w:type="dxa"/>
            <w:vMerge w:val="continue"/>
            <w:vAlign w:val="center"/>
          </w:tcPr>
          <w:p>
            <w:pPr>
              <w:widowControl/>
              <w:jc w:val="left"/>
              <w:rPr>
                <w:rFonts w:ascii="仿宋" w:hAnsi="仿宋" w:eastAsia="仿宋" w:cs="宋体"/>
                <w:color w:val="000000"/>
                <w:kern w:val="0"/>
                <w:sz w:val="18"/>
                <w:szCs w:val="18"/>
              </w:rPr>
            </w:pPr>
          </w:p>
        </w:tc>
        <w:tc>
          <w:tcPr>
            <w:tcW w:w="6210" w:type="dxa"/>
            <w:vMerge w:val="continue"/>
            <w:vAlign w:val="center"/>
          </w:tcPr>
          <w:p>
            <w:pPr>
              <w:widowControl/>
              <w:jc w:val="left"/>
              <w:rPr>
                <w:rFonts w:ascii="仿宋" w:hAnsi="仿宋" w:eastAsia="仿宋" w:cs="宋体"/>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15" w:type="dxa"/>
            <w:vMerge w:val="continue"/>
            <w:vAlign w:val="center"/>
          </w:tcPr>
          <w:p>
            <w:pPr>
              <w:widowControl/>
              <w:jc w:val="left"/>
              <w:rPr>
                <w:rFonts w:ascii="仿宋" w:hAnsi="仿宋" w:eastAsia="仿宋" w:cs="宋体"/>
                <w:color w:val="000000"/>
                <w:kern w:val="0"/>
                <w:sz w:val="18"/>
                <w:szCs w:val="18"/>
              </w:rPr>
            </w:pPr>
          </w:p>
        </w:tc>
        <w:tc>
          <w:tcPr>
            <w:tcW w:w="1555" w:type="dxa"/>
            <w:vMerge w:val="continue"/>
            <w:vAlign w:val="center"/>
          </w:tcPr>
          <w:p>
            <w:pPr>
              <w:widowControl/>
              <w:jc w:val="left"/>
              <w:rPr>
                <w:rFonts w:ascii="仿宋" w:hAnsi="仿宋" w:eastAsia="仿宋" w:cs="宋体"/>
                <w:color w:val="000000"/>
                <w:kern w:val="0"/>
                <w:sz w:val="18"/>
                <w:szCs w:val="18"/>
              </w:rPr>
            </w:pPr>
          </w:p>
        </w:tc>
        <w:tc>
          <w:tcPr>
            <w:tcW w:w="1090" w:type="dxa"/>
            <w:vMerge w:val="continue"/>
            <w:vAlign w:val="center"/>
          </w:tcPr>
          <w:p>
            <w:pPr>
              <w:widowControl/>
              <w:jc w:val="left"/>
              <w:rPr>
                <w:rFonts w:ascii="仿宋" w:hAnsi="仿宋" w:eastAsia="仿宋" w:cs="宋体"/>
                <w:color w:val="000000"/>
                <w:kern w:val="0"/>
                <w:sz w:val="18"/>
                <w:szCs w:val="18"/>
              </w:rPr>
            </w:pPr>
          </w:p>
        </w:tc>
        <w:tc>
          <w:tcPr>
            <w:tcW w:w="6210" w:type="dxa"/>
            <w:vMerge w:val="continue"/>
            <w:vAlign w:val="center"/>
          </w:tcPr>
          <w:p>
            <w:pPr>
              <w:widowControl/>
              <w:jc w:val="left"/>
              <w:rPr>
                <w:rFonts w:ascii="仿宋" w:hAnsi="仿宋" w:eastAsia="仿宋" w:cs="宋体"/>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615" w:type="dxa"/>
            <w:vMerge w:val="continue"/>
            <w:vAlign w:val="center"/>
          </w:tcPr>
          <w:p>
            <w:pPr>
              <w:widowControl/>
              <w:jc w:val="left"/>
              <w:rPr>
                <w:rFonts w:ascii="仿宋" w:hAnsi="仿宋" w:eastAsia="仿宋" w:cs="宋体"/>
                <w:color w:val="000000"/>
                <w:kern w:val="0"/>
                <w:sz w:val="18"/>
                <w:szCs w:val="18"/>
              </w:rPr>
            </w:pPr>
          </w:p>
        </w:tc>
        <w:tc>
          <w:tcPr>
            <w:tcW w:w="1555" w:type="dxa"/>
            <w:vMerge w:val="continue"/>
            <w:vAlign w:val="center"/>
          </w:tcPr>
          <w:p>
            <w:pPr>
              <w:widowControl/>
              <w:jc w:val="left"/>
              <w:rPr>
                <w:rFonts w:ascii="仿宋" w:hAnsi="仿宋" w:eastAsia="仿宋" w:cs="宋体"/>
                <w:color w:val="000000"/>
                <w:kern w:val="0"/>
                <w:sz w:val="18"/>
                <w:szCs w:val="18"/>
              </w:rPr>
            </w:pPr>
          </w:p>
        </w:tc>
        <w:tc>
          <w:tcPr>
            <w:tcW w:w="1090" w:type="dxa"/>
            <w:shd w:val="clear" w:color="auto" w:fill="auto"/>
            <w:vAlign w:val="center"/>
          </w:tcPr>
          <w:p>
            <w:pPr>
              <w:widowControl/>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申报信息提交模块</w:t>
            </w:r>
          </w:p>
        </w:tc>
        <w:tc>
          <w:tcPr>
            <w:tcW w:w="6210" w:type="dxa"/>
            <w:shd w:val="clear" w:color="auto" w:fill="auto"/>
            <w:vAlign w:val="center"/>
          </w:tcPr>
          <w:p>
            <w:pPr>
              <w:widowControl/>
              <w:jc w:val="left"/>
              <w:rPr>
                <w:rFonts w:ascii="仿宋" w:hAnsi="仿宋" w:eastAsia="仿宋" w:cs="宋体"/>
                <w:color w:val="000000"/>
                <w:kern w:val="0"/>
                <w:sz w:val="18"/>
                <w:szCs w:val="18"/>
              </w:rPr>
            </w:pPr>
            <w:r>
              <w:rPr>
                <w:rFonts w:hint="eastAsia" w:ascii="仿宋" w:hAnsi="仿宋" w:eastAsia="仿宋" w:cs="宋体"/>
                <w:color w:val="000000"/>
                <w:kern w:val="0"/>
                <w:sz w:val="18"/>
                <w:szCs w:val="18"/>
              </w:rPr>
              <w:t>全部信息填完提交后弹出“您的申报已登记，感谢您的配合”提示框，向申报人展示常住地所属乡镇（街道）疫情防控联系电话。如填报“何地返建”的区县（直辖市街道）选择了高中风险区域，申报登记提交后，回自动发送提醒短信给登记的手机号码，同时，申报人返回地址所对应的乡镇（街道）管理员手机也回同时收到提醒短信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15" w:type="dxa"/>
            <w:vMerge w:val="continue"/>
            <w:vAlign w:val="center"/>
          </w:tcPr>
          <w:p>
            <w:pPr>
              <w:widowControl/>
              <w:jc w:val="left"/>
              <w:rPr>
                <w:rFonts w:ascii="仿宋" w:hAnsi="仿宋" w:eastAsia="仿宋" w:cs="宋体"/>
                <w:color w:val="000000"/>
                <w:kern w:val="0"/>
                <w:sz w:val="18"/>
                <w:szCs w:val="18"/>
              </w:rPr>
            </w:pPr>
          </w:p>
        </w:tc>
        <w:tc>
          <w:tcPr>
            <w:tcW w:w="1555" w:type="dxa"/>
            <w:vMerge w:val="continue"/>
            <w:vAlign w:val="center"/>
          </w:tcPr>
          <w:p>
            <w:pPr>
              <w:widowControl/>
              <w:jc w:val="left"/>
              <w:rPr>
                <w:rFonts w:ascii="仿宋" w:hAnsi="仿宋" w:eastAsia="仿宋" w:cs="宋体"/>
                <w:color w:val="000000"/>
                <w:kern w:val="0"/>
                <w:sz w:val="18"/>
                <w:szCs w:val="18"/>
              </w:rPr>
            </w:pPr>
          </w:p>
        </w:tc>
        <w:tc>
          <w:tcPr>
            <w:tcW w:w="1090" w:type="dxa"/>
            <w:shd w:val="clear" w:color="auto" w:fill="auto"/>
            <w:vAlign w:val="center"/>
          </w:tcPr>
          <w:p>
            <w:pPr>
              <w:widowControl/>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修改模块</w:t>
            </w:r>
          </w:p>
        </w:tc>
        <w:tc>
          <w:tcPr>
            <w:tcW w:w="6210" w:type="dxa"/>
            <w:shd w:val="clear" w:color="auto" w:fill="auto"/>
            <w:vAlign w:val="center"/>
          </w:tcPr>
          <w:p>
            <w:pPr>
              <w:widowControl/>
              <w:jc w:val="left"/>
              <w:rPr>
                <w:rFonts w:ascii="仿宋" w:hAnsi="仿宋" w:eastAsia="仿宋" w:cs="宋体"/>
                <w:color w:val="000000"/>
                <w:kern w:val="0"/>
                <w:sz w:val="18"/>
                <w:szCs w:val="18"/>
              </w:rPr>
            </w:pPr>
            <w:r>
              <w:rPr>
                <w:rFonts w:hint="eastAsia" w:ascii="仿宋" w:hAnsi="仿宋" w:eastAsia="仿宋" w:cs="宋体"/>
                <w:color w:val="000000"/>
                <w:kern w:val="0"/>
                <w:sz w:val="18"/>
                <w:szCs w:val="18"/>
              </w:rPr>
              <w:t>支持申报人修改本人申报信息及帮他人申报登记信息。如果到达登记的“到建日期”,申报人返回地址所对应的乡镇（街道）管理员在管理后台进行“确认抵建”操作，则该申报信息将无法在微信端进行修改。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jc w:val="center"/>
        </w:trPr>
        <w:tc>
          <w:tcPr>
            <w:tcW w:w="615" w:type="dxa"/>
            <w:vMerge w:val="restart"/>
            <w:shd w:val="clear" w:color="auto" w:fill="auto"/>
            <w:vAlign w:val="center"/>
          </w:tcPr>
          <w:p>
            <w:pPr>
              <w:widowControl/>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555" w:type="dxa"/>
            <w:vMerge w:val="restart"/>
            <w:shd w:val="clear" w:color="auto" w:fill="auto"/>
            <w:vAlign w:val="center"/>
          </w:tcPr>
          <w:p>
            <w:pPr>
              <w:widowControl/>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“安心返”后台管理系统</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（含“放心种”</w:t>
            </w:r>
            <w:r>
              <w:rPr>
                <w:rFonts w:hint="eastAsia" w:ascii="仿宋" w:hAnsi="仿宋" w:eastAsia="仿宋" w:cs="宋体"/>
                <w:color w:val="000000"/>
                <w:kern w:val="0"/>
                <w:sz w:val="18"/>
                <w:szCs w:val="18"/>
                <w:lang w:eastAsia="zh-CN"/>
              </w:rPr>
              <w:t>、“</w:t>
            </w:r>
            <w:r>
              <w:rPr>
                <w:rFonts w:hint="eastAsia" w:ascii="仿宋" w:hAnsi="仿宋" w:eastAsia="仿宋" w:cs="宋体"/>
                <w:color w:val="000000"/>
                <w:kern w:val="0"/>
                <w:sz w:val="18"/>
                <w:szCs w:val="18"/>
                <w:lang w:val="en-US" w:eastAsia="zh-CN"/>
              </w:rPr>
              <w:t>舒心护</w:t>
            </w:r>
            <w:r>
              <w:rPr>
                <w:rFonts w:hint="eastAsia" w:ascii="仿宋" w:hAnsi="仿宋" w:eastAsia="仿宋" w:cs="宋体"/>
                <w:color w:val="000000"/>
                <w:kern w:val="0"/>
                <w:sz w:val="18"/>
                <w:szCs w:val="18"/>
                <w:lang w:eastAsia="zh-CN"/>
              </w:rPr>
              <w:t>”</w:t>
            </w:r>
            <w:r>
              <w:rPr>
                <w:rFonts w:hint="eastAsia" w:ascii="仿宋" w:hAnsi="仿宋" w:eastAsia="仿宋" w:cs="宋体"/>
                <w:color w:val="000000"/>
                <w:kern w:val="0"/>
                <w:sz w:val="18"/>
                <w:szCs w:val="18"/>
              </w:rPr>
              <w:t>）</w:t>
            </w:r>
          </w:p>
        </w:tc>
        <w:tc>
          <w:tcPr>
            <w:tcW w:w="1090" w:type="dxa"/>
            <w:vMerge w:val="restart"/>
            <w:shd w:val="clear" w:color="auto" w:fill="auto"/>
            <w:vAlign w:val="center"/>
          </w:tcPr>
          <w:p>
            <w:pPr>
              <w:widowControl/>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申报信息列表</w:t>
            </w:r>
          </w:p>
        </w:tc>
        <w:tc>
          <w:tcPr>
            <w:tcW w:w="6210" w:type="dxa"/>
            <w:vMerge w:val="restart"/>
            <w:shd w:val="clear" w:color="auto" w:fill="auto"/>
          </w:tcPr>
          <w:p>
            <w:pPr>
              <w:widowControl/>
              <w:jc w:val="left"/>
              <w:rPr>
                <w:rFonts w:ascii="仿宋" w:hAnsi="仿宋" w:eastAsia="仿宋" w:cs="宋体"/>
                <w:color w:val="000000"/>
                <w:kern w:val="0"/>
                <w:sz w:val="18"/>
                <w:szCs w:val="18"/>
              </w:rPr>
            </w:pPr>
            <w:r>
              <w:rPr>
                <w:rFonts w:hint="eastAsia" w:ascii="仿宋" w:hAnsi="仿宋" w:eastAsia="仿宋" w:cs="宋体"/>
                <w:color w:val="000000"/>
                <w:kern w:val="0"/>
                <w:sz w:val="18"/>
                <w:szCs w:val="18"/>
              </w:rPr>
              <w:t>1）支持申报信息筛选（姓名、身份证、申报日期（包含开始和结束日期）、归建日期（包含开始和结束日期）、是否纳管、抵建确认类型、是否结束纳管、来建工作类型、近一个月内由境外回国、区域预警等级分类、是否从事以下相关行业、是否粗壮乃相关情况、杭州健康码、常住地址（乡镇（街道）与村（社区）联动）、何地返建等筛选条件）</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2）支持导出，导出包含所有申报登记信息项。</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3）支持查询数据按照乡镇（街道）进行数据访问权限控制，每个乡镇（街道）管理员账户只能查询所属乡镇（街道）数据，市级管理员账号可以查询所有数据。</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4）编辑修改：每个乡镇（街道）管理员账户能能编辑修改所属乡镇（街道）数据，市级管理员账户可以编辑修改所有数据</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5）改派：经过线下摸排，如果返现申报人登记的乡镇（街道）信息错误，乡镇（街道）管理员账号可进行改派操作，改派至正确的乡镇（街道）。改派成功后，原乡镇（街道）管理员账号将无该数据查询及操作权限。</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6）确认抵建:每个乡镇（街道）管理员账号能能对所属乡镇（街道）数据进行抵建确认，市级管理员账号可以对所有数据进行抵建确认。抵建确认分为六种情况：不返建、14+7集中隔离、14+7居家隔离、7+7健康管理、14+7+7健康管理、14天健康监测。申报记录一旦进行了抵建确认，无论乡镇（街道）管理员账号还是市级管理员账号都不能再修改申报登记信息。</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7）确认抵建重置：乡镇（街道）管理员账号在进行抵建确认操作的时候，如果操作错误，确认抵建重置能清除所有确认抵建相关信息，重置记录可重新进行抵建确认操作。确认抵建重置功能仅系统管理员具有权限。</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8）结束纳管：进行了“确认抵建”操作后，申报记录从登记状态进入纳管状态，当确认申报信息满足疫情防控管理要求后，该申报记录可进行结束纳管操作。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15" w:type="dxa"/>
            <w:vMerge w:val="continue"/>
            <w:vAlign w:val="center"/>
          </w:tcPr>
          <w:p>
            <w:pPr>
              <w:widowControl/>
              <w:jc w:val="left"/>
              <w:rPr>
                <w:rFonts w:ascii="仿宋" w:hAnsi="仿宋" w:eastAsia="仿宋" w:cs="宋体"/>
                <w:color w:val="000000"/>
                <w:kern w:val="0"/>
                <w:sz w:val="18"/>
                <w:szCs w:val="18"/>
              </w:rPr>
            </w:pPr>
          </w:p>
        </w:tc>
        <w:tc>
          <w:tcPr>
            <w:tcW w:w="1555" w:type="dxa"/>
            <w:vMerge w:val="continue"/>
            <w:vAlign w:val="center"/>
          </w:tcPr>
          <w:p>
            <w:pPr>
              <w:widowControl/>
              <w:jc w:val="left"/>
              <w:rPr>
                <w:rFonts w:ascii="仿宋" w:hAnsi="仿宋" w:eastAsia="仿宋" w:cs="宋体"/>
                <w:color w:val="000000"/>
                <w:kern w:val="0"/>
                <w:sz w:val="18"/>
                <w:szCs w:val="18"/>
              </w:rPr>
            </w:pPr>
          </w:p>
        </w:tc>
        <w:tc>
          <w:tcPr>
            <w:tcW w:w="1090" w:type="dxa"/>
            <w:vMerge w:val="continue"/>
            <w:vAlign w:val="center"/>
          </w:tcPr>
          <w:p>
            <w:pPr>
              <w:widowControl/>
              <w:jc w:val="left"/>
              <w:rPr>
                <w:rFonts w:ascii="仿宋" w:hAnsi="仿宋" w:eastAsia="仿宋" w:cs="宋体"/>
                <w:color w:val="000000"/>
                <w:kern w:val="0"/>
                <w:sz w:val="18"/>
                <w:szCs w:val="18"/>
              </w:rPr>
            </w:pPr>
          </w:p>
        </w:tc>
        <w:tc>
          <w:tcPr>
            <w:tcW w:w="6210" w:type="dxa"/>
            <w:vMerge w:val="continue"/>
            <w:vAlign w:val="center"/>
          </w:tcPr>
          <w:p>
            <w:pPr>
              <w:widowControl/>
              <w:jc w:val="left"/>
              <w:rPr>
                <w:rFonts w:ascii="仿宋" w:hAnsi="仿宋" w:eastAsia="仿宋" w:cs="宋体"/>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615" w:type="dxa"/>
            <w:vMerge w:val="continue"/>
            <w:vAlign w:val="center"/>
          </w:tcPr>
          <w:p>
            <w:pPr>
              <w:widowControl/>
              <w:jc w:val="left"/>
              <w:rPr>
                <w:rFonts w:ascii="仿宋" w:hAnsi="仿宋" w:eastAsia="仿宋" w:cs="宋体"/>
                <w:color w:val="000000"/>
                <w:kern w:val="0"/>
                <w:sz w:val="18"/>
                <w:szCs w:val="18"/>
              </w:rPr>
            </w:pPr>
          </w:p>
        </w:tc>
        <w:tc>
          <w:tcPr>
            <w:tcW w:w="1555" w:type="dxa"/>
            <w:vMerge w:val="continue"/>
            <w:vAlign w:val="center"/>
          </w:tcPr>
          <w:p>
            <w:pPr>
              <w:widowControl/>
              <w:jc w:val="left"/>
              <w:rPr>
                <w:rFonts w:ascii="仿宋" w:hAnsi="仿宋" w:eastAsia="仿宋" w:cs="宋体"/>
                <w:color w:val="000000"/>
                <w:kern w:val="0"/>
                <w:sz w:val="18"/>
                <w:szCs w:val="18"/>
              </w:rPr>
            </w:pPr>
          </w:p>
        </w:tc>
        <w:tc>
          <w:tcPr>
            <w:tcW w:w="1090" w:type="dxa"/>
            <w:vMerge w:val="continue"/>
            <w:vAlign w:val="center"/>
          </w:tcPr>
          <w:p>
            <w:pPr>
              <w:widowControl/>
              <w:jc w:val="left"/>
              <w:rPr>
                <w:rFonts w:ascii="仿宋" w:hAnsi="仿宋" w:eastAsia="仿宋" w:cs="宋体"/>
                <w:color w:val="000000"/>
                <w:kern w:val="0"/>
                <w:sz w:val="18"/>
                <w:szCs w:val="18"/>
              </w:rPr>
            </w:pPr>
          </w:p>
        </w:tc>
        <w:tc>
          <w:tcPr>
            <w:tcW w:w="6210" w:type="dxa"/>
            <w:vMerge w:val="continue"/>
            <w:vAlign w:val="center"/>
          </w:tcPr>
          <w:p>
            <w:pPr>
              <w:widowControl/>
              <w:jc w:val="left"/>
              <w:rPr>
                <w:rFonts w:ascii="仿宋" w:hAnsi="仿宋" w:eastAsia="仿宋" w:cs="宋体"/>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615" w:type="dxa"/>
            <w:vMerge w:val="continue"/>
            <w:vAlign w:val="center"/>
          </w:tcPr>
          <w:p>
            <w:pPr>
              <w:widowControl/>
              <w:jc w:val="left"/>
              <w:rPr>
                <w:rFonts w:ascii="仿宋" w:hAnsi="仿宋" w:eastAsia="仿宋" w:cs="宋体"/>
                <w:color w:val="000000"/>
                <w:kern w:val="0"/>
                <w:sz w:val="18"/>
                <w:szCs w:val="18"/>
              </w:rPr>
            </w:pPr>
          </w:p>
        </w:tc>
        <w:tc>
          <w:tcPr>
            <w:tcW w:w="1555" w:type="dxa"/>
            <w:vMerge w:val="continue"/>
            <w:vAlign w:val="center"/>
          </w:tcPr>
          <w:p>
            <w:pPr>
              <w:widowControl/>
              <w:jc w:val="left"/>
              <w:rPr>
                <w:rFonts w:ascii="仿宋" w:hAnsi="仿宋" w:eastAsia="仿宋" w:cs="宋体"/>
                <w:color w:val="000000"/>
                <w:kern w:val="0"/>
                <w:sz w:val="18"/>
                <w:szCs w:val="18"/>
              </w:rPr>
            </w:pPr>
          </w:p>
        </w:tc>
        <w:tc>
          <w:tcPr>
            <w:tcW w:w="1090" w:type="dxa"/>
            <w:vMerge w:val="continue"/>
            <w:vAlign w:val="center"/>
          </w:tcPr>
          <w:p>
            <w:pPr>
              <w:widowControl/>
              <w:jc w:val="left"/>
              <w:rPr>
                <w:rFonts w:ascii="仿宋" w:hAnsi="仿宋" w:eastAsia="仿宋" w:cs="宋体"/>
                <w:color w:val="000000"/>
                <w:kern w:val="0"/>
                <w:sz w:val="18"/>
                <w:szCs w:val="18"/>
              </w:rPr>
            </w:pPr>
          </w:p>
        </w:tc>
        <w:tc>
          <w:tcPr>
            <w:tcW w:w="6210" w:type="dxa"/>
            <w:vMerge w:val="continue"/>
            <w:vAlign w:val="center"/>
          </w:tcPr>
          <w:p>
            <w:pPr>
              <w:widowControl/>
              <w:jc w:val="left"/>
              <w:rPr>
                <w:rFonts w:ascii="仿宋" w:hAnsi="仿宋" w:eastAsia="仿宋" w:cs="宋体"/>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615" w:type="dxa"/>
            <w:vMerge w:val="continue"/>
            <w:vAlign w:val="center"/>
          </w:tcPr>
          <w:p>
            <w:pPr>
              <w:widowControl/>
              <w:jc w:val="left"/>
              <w:rPr>
                <w:rFonts w:ascii="仿宋" w:hAnsi="仿宋" w:eastAsia="仿宋" w:cs="宋体"/>
                <w:color w:val="000000"/>
                <w:kern w:val="0"/>
                <w:sz w:val="18"/>
                <w:szCs w:val="18"/>
              </w:rPr>
            </w:pPr>
          </w:p>
        </w:tc>
        <w:tc>
          <w:tcPr>
            <w:tcW w:w="1555" w:type="dxa"/>
            <w:vMerge w:val="continue"/>
            <w:vAlign w:val="center"/>
          </w:tcPr>
          <w:p>
            <w:pPr>
              <w:widowControl/>
              <w:jc w:val="left"/>
              <w:rPr>
                <w:rFonts w:ascii="仿宋" w:hAnsi="仿宋" w:eastAsia="仿宋" w:cs="宋体"/>
                <w:color w:val="000000"/>
                <w:kern w:val="0"/>
                <w:sz w:val="18"/>
                <w:szCs w:val="18"/>
              </w:rPr>
            </w:pPr>
          </w:p>
        </w:tc>
        <w:tc>
          <w:tcPr>
            <w:tcW w:w="1090" w:type="dxa"/>
            <w:vMerge w:val="continue"/>
            <w:vAlign w:val="center"/>
          </w:tcPr>
          <w:p>
            <w:pPr>
              <w:widowControl/>
              <w:jc w:val="left"/>
              <w:rPr>
                <w:rFonts w:ascii="仿宋" w:hAnsi="仿宋" w:eastAsia="仿宋" w:cs="宋体"/>
                <w:color w:val="000000"/>
                <w:kern w:val="0"/>
                <w:sz w:val="18"/>
                <w:szCs w:val="18"/>
              </w:rPr>
            </w:pPr>
          </w:p>
        </w:tc>
        <w:tc>
          <w:tcPr>
            <w:tcW w:w="6210" w:type="dxa"/>
            <w:vMerge w:val="continue"/>
            <w:vAlign w:val="center"/>
          </w:tcPr>
          <w:p>
            <w:pPr>
              <w:widowControl/>
              <w:jc w:val="left"/>
              <w:rPr>
                <w:rFonts w:ascii="仿宋" w:hAnsi="仿宋" w:eastAsia="仿宋" w:cs="宋体"/>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15" w:type="dxa"/>
            <w:vMerge w:val="continue"/>
            <w:vAlign w:val="center"/>
          </w:tcPr>
          <w:p>
            <w:pPr>
              <w:widowControl/>
              <w:jc w:val="left"/>
              <w:rPr>
                <w:rFonts w:ascii="仿宋" w:hAnsi="仿宋" w:eastAsia="仿宋" w:cs="宋体"/>
                <w:color w:val="000000"/>
                <w:kern w:val="0"/>
                <w:sz w:val="18"/>
                <w:szCs w:val="18"/>
              </w:rPr>
            </w:pPr>
          </w:p>
        </w:tc>
        <w:tc>
          <w:tcPr>
            <w:tcW w:w="1555" w:type="dxa"/>
            <w:vMerge w:val="continue"/>
            <w:vAlign w:val="center"/>
          </w:tcPr>
          <w:p>
            <w:pPr>
              <w:widowControl/>
              <w:jc w:val="left"/>
              <w:rPr>
                <w:rFonts w:ascii="仿宋" w:hAnsi="仿宋" w:eastAsia="仿宋" w:cs="宋体"/>
                <w:color w:val="000000"/>
                <w:kern w:val="0"/>
                <w:sz w:val="18"/>
                <w:szCs w:val="18"/>
              </w:rPr>
            </w:pPr>
          </w:p>
        </w:tc>
        <w:tc>
          <w:tcPr>
            <w:tcW w:w="1090" w:type="dxa"/>
            <w:vMerge w:val="continue"/>
            <w:vAlign w:val="center"/>
          </w:tcPr>
          <w:p>
            <w:pPr>
              <w:widowControl/>
              <w:jc w:val="left"/>
              <w:rPr>
                <w:rFonts w:ascii="仿宋" w:hAnsi="仿宋" w:eastAsia="仿宋" w:cs="宋体"/>
                <w:color w:val="000000"/>
                <w:kern w:val="0"/>
                <w:sz w:val="18"/>
                <w:szCs w:val="18"/>
              </w:rPr>
            </w:pPr>
          </w:p>
        </w:tc>
        <w:tc>
          <w:tcPr>
            <w:tcW w:w="6210" w:type="dxa"/>
            <w:vMerge w:val="continue"/>
            <w:vAlign w:val="center"/>
          </w:tcPr>
          <w:p>
            <w:pPr>
              <w:widowControl/>
              <w:jc w:val="left"/>
              <w:rPr>
                <w:rFonts w:ascii="仿宋" w:hAnsi="仿宋" w:eastAsia="仿宋" w:cs="宋体"/>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615" w:type="dxa"/>
            <w:vMerge w:val="continue"/>
            <w:vAlign w:val="center"/>
          </w:tcPr>
          <w:p>
            <w:pPr>
              <w:widowControl/>
              <w:jc w:val="left"/>
              <w:rPr>
                <w:rFonts w:ascii="仿宋" w:hAnsi="仿宋" w:eastAsia="仿宋" w:cs="宋体"/>
                <w:color w:val="000000"/>
                <w:kern w:val="0"/>
                <w:sz w:val="18"/>
                <w:szCs w:val="18"/>
              </w:rPr>
            </w:pPr>
          </w:p>
        </w:tc>
        <w:tc>
          <w:tcPr>
            <w:tcW w:w="1555" w:type="dxa"/>
            <w:vMerge w:val="continue"/>
            <w:vAlign w:val="center"/>
          </w:tcPr>
          <w:p>
            <w:pPr>
              <w:widowControl/>
              <w:jc w:val="left"/>
              <w:rPr>
                <w:rFonts w:ascii="仿宋" w:hAnsi="仿宋" w:eastAsia="仿宋" w:cs="宋体"/>
                <w:color w:val="000000"/>
                <w:kern w:val="0"/>
                <w:sz w:val="18"/>
                <w:szCs w:val="18"/>
              </w:rPr>
            </w:pPr>
          </w:p>
        </w:tc>
        <w:tc>
          <w:tcPr>
            <w:tcW w:w="1090" w:type="dxa"/>
            <w:shd w:val="clear" w:color="auto" w:fill="auto"/>
            <w:vAlign w:val="center"/>
          </w:tcPr>
          <w:p>
            <w:pPr>
              <w:widowControl/>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杭州健康码管理</w:t>
            </w:r>
          </w:p>
        </w:tc>
        <w:tc>
          <w:tcPr>
            <w:tcW w:w="6210" w:type="dxa"/>
            <w:shd w:val="clear" w:color="auto" w:fill="auto"/>
            <w:vAlign w:val="center"/>
          </w:tcPr>
          <w:p>
            <w:pPr>
              <w:widowControl/>
              <w:jc w:val="left"/>
              <w:rPr>
                <w:rFonts w:ascii="仿宋" w:hAnsi="仿宋" w:eastAsia="仿宋" w:cs="宋体"/>
                <w:color w:val="000000"/>
                <w:kern w:val="0"/>
                <w:sz w:val="18"/>
                <w:szCs w:val="18"/>
              </w:rPr>
            </w:pPr>
            <w:r>
              <w:rPr>
                <w:rFonts w:hint="eastAsia" w:ascii="仿宋" w:hAnsi="仿宋" w:eastAsia="仿宋" w:cs="宋体"/>
                <w:color w:val="000000"/>
                <w:kern w:val="0"/>
                <w:sz w:val="18"/>
                <w:szCs w:val="18"/>
              </w:rPr>
              <w:t>对接杭州城市大脑公共数据平台杭州健康码接口，当申报人提交登记信息的时候，将根据姓名和身份证号码进行匹配查询，获取申报人最新杭州健康码状态（颜色）。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615" w:type="dxa"/>
            <w:vMerge w:val="continue"/>
            <w:vAlign w:val="center"/>
          </w:tcPr>
          <w:p>
            <w:pPr>
              <w:widowControl/>
              <w:jc w:val="left"/>
              <w:rPr>
                <w:rFonts w:ascii="仿宋" w:hAnsi="仿宋" w:eastAsia="仿宋" w:cs="宋体"/>
                <w:color w:val="000000"/>
                <w:kern w:val="0"/>
                <w:sz w:val="18"/>
                <w:szCs w:val="18"/>
              </w:rPr>
            </w:pPr>
          </w:p>
        </w:tc>
        <w:tc>
          <w:tcPr>
            <w:tcW w:w="1555" w:type="dxa"/>
            <w:vMerge w:val="continue"/>
            <w:vAlign w:val="center"/>
          </w:tcPr>
          <w:p>
            <w:pPr>
              <w:widowControl/>
              <w:jc w:val="left"/>
              <w:rPr>
                <w:rFonts w:ascii="仿宋" w:hAnsi="仿宋" w:eastAsia="仿宋" w:cs="宋体"/>
                <w:color w:val="000000"/>
                <w:kern w:val="0"/>
                <w:sz w:val="18"/>
                <w:szCs w:val="18"/>
              </w:rPr>
            </w:pPr>
          </w:p>
        </w:tc>
        <w:tc>
          <w:tcPr>
            <w:tcW w:w="1090" w:type="dxa"/>
            <w:shd w:val="clear" w:color="auto" w:fill="auto"/>
            <w:vAlign w:val="center"/>
          </w:tcPr>
          <w:p>
            <w:pPr>
              <w:widowControl/>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高中风险地区标签化预警管理</w:t>
            </w:r>
          </w:p>
        </w:tc>
        <w:tc>
          <w:tcPr>
            <w:tcW w:w="6210" w:type="dxa"/>
            <w:shd w:val="clear" w:color="auto" w:fill="auto"/>
            <w:vAlign w:val="center"/>
          </w:tcPr>
          <w:p>
            <w:pPr>
              <w:widowControl/>
              <w:jc w:val="left"/>
              <w:rPr>
                <w:rFonts w:ascii="仿宋" w:hAnsi="仿宋" w:eastAsia="仿宋" w:cs="宋体"/>
                <w:color w:val="000000"/>
                <w:kern w:val="0"/>
                <w:sz w:val="18"/>
                <w:szCs w:val="18"/>
              </w:rPr>
            </w:pPr>
            <w:r>
              <w:rPr>
                <w:rFonts w:hint="eastAsia" w:ascii="仿宋" w:hAnsi="仿宋" w:eastAsia="仿宋" w:cs="宋体"/>
                <w:color w:val="000000"/>
                <w:kern w:val="0"/>
                <w:sz w:val="18"/>
                <w:szCs w:val="18"/>
              </w:rPr>
              <w:t>当申报人提交登记信息的时候，根据最新的高中风险地区信息，对来自中高风险地区的用户进行标签化预警管理。其中高中风险地区按照区县作为最小区域进行匹配，直辖市按照乡镇（街道）作为最小区域进行匹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615" w:type="dxa"/>
            <w:vMerge w:val="continue"/>
            <w:vAlign w:val="center"/>
          </w:tcPr>
          <w:p>
            <w:pPr>
              <w:widowControl/>
              <w:jc w:val="left"/>
              <w:rPr>
                <w:rFonts w:ascii="仿宋" w:hAnsi="仿宋" w:eastAsia="仿宋" w:cs="宋体"/>
                <w:color w:val="000000"/>
                <w:kern w:val="0"/>
                <w:sz w:val="18"/>
                <w:szCs w:val="18"/>
              </w:rPr>
            </w:pPr>
          </w:p>
        </w:tc>
        <w:tc>
          <w:tcPr>
            <w:tcW w:w="1555" w:type="dxa"/>
            <w:vMerge w:val="continue"/>
            <w:vAlign w:val="center"/>
          </w:tcPr>
          <w:p>
            <w:pPr>
              <w:widowControl/>
              <w:jc w:val="left"/>
              <w:rPr>
                <w:rFonts w:ascii="仿宋" w:hAnsi="仿宋" w:eastAsia="仿宋" w:cs="宋体"/>
                <w:color w:val="000000"/>
                <w:kern w:val="0"/>
                <w:sz w:val="18"/>
                <w:szCs w:val="18"/>
              </w:rPr>
            </w:pPr>
          </w:p>
        </w:tc>
        <w:tc>
          <w:tcPr>
            <w:tcW w:w="1090" w:type="dxa"/>
            <w:shd w:val="clear" w:color="auto" w:fill="auto"/>
            <w:vAlign w:val="center"/>
          </w:tcPr>
          <w:p>
            <w:pPr>
              <w:widowControl/>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乡村红黄蓝三色预警管理</w:t>
            </w:r>
          </w:p>
        </w:tc>
        <w:tc>
          <w:tcPr>
            <w:tcW w:w="6210" w:type="dxa"/>
            <w:shd w:val="clear" w:color="auto" w:fill="auto"/>
            <w:vAlign w:val="center"/>
          </w:tcPr>
          <w:p>
            <w:pPr>
              <w:widowControl/>
              <w:jc w:val="left"/>
              <w:rPr>
                <w:rFonts w:ascii="仿宋" w:hAnsi="仿宋" w:eastAsia="仿宋" w:cs="宋体"/>
                <w:color w:val="000000"/>
                <w:kern w:val="0"/>
                <w:sz w:val="18"/>
                <w:szCs w:val="18"/>
              </w:rPr>
            </w:pPr>
            <w:r>
              <w:rPr>
                <w:rFonts w:hint="eastAsia" w:ascii="仿宋" w:hAnsi="仿宋" w:eastAsia="仿宋" w:cs="宋体"/>
                <w:color w:val="000000"/>
                <w:kern w:val="0"/>
                <w:sz w:val="18"/>
                <w:szCs w:val="18"/>
              </w:rPr>
              <w:t>按照省《浙江省新型冠状病毒肺炎疫情防控工作领导小组办公室关于印发浙江省农村地区新冠肺炎疫情防控工作方案》，对曾确诊为病例、2 个月内曾判定为密接和密接的密接、从事进口冷链食品和货品相关工作、隔离场所工作人员等在国内从事相对高风险职业的返乡人员、14 天内来自中高风险地区所在城市人员、入境人员等返乡的数据进行分级预警管理。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jc w:val="center"/>
        </w:trPr>
        <w:tc>
          <w:tcPr>
            <w:tcW w:w="615" w:type="dxa"/>
            <w:vMerge w:val="continue"/>
            <w:vAlign w:val="center"/>
          </w:tcPr>
          <w:p>
            <w:pPr>
              <w:widowControl/>
              <w:jc w:val="left"/>
              <w:rPr>
                <w:rFonts w:ascii="仿宋" w:hAnsi="仿宋" w:eastAsia="仿宋" w:cs="宋体"/>
                <w:color w:val="000000"/>
                <w:kern w:val="0"/>
                <w:sz w:val="18"/>
                <w:szCs w:val="18"/>
              </w:rPr>
            </w:pPr>
          </w:p>
        </w:tc>
        <w:tc>
          <w:tcPr>
            <w:tcW w:w="1555" w:type="dxa"/>
            <w:vMerge w:val="continue"/>
            <w:vAlign w:val="center"/>
          </w:tcPr>
          <w:p>
            <w:pPr>
              <w:widowControl/>
              <w:jc w:val="left"/>
              <w:rPr>
                <w:rFonts w:ascii="仿宋" w:hAnsi="仿宋" w:eastAsia="仿宋" w:cs="宋体"/>
                <w:color w:val="000000"/>
                <w:kern w:val="0"/>
                <w:sz w:val="18"/>
                <w:szCs w:val="18"/>
              </w:rPr>
            </w:pPr>
          </w:p>
        </w:tc>
        <w:tc>
          <w:tcPr>
            <w:tcW w:w="1090" w:type="dxa"/>
            <w:vMerge w:val="restart"/>
            <w:shd w:val="clear" w:color="auto" w:fill="auto"/>
            <w:vAlign w:val="center"/>
          </w:tcPr>
          <w:p>
            <w:pPr>
              <w:widowControl/>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核酸监测采样管理</w:t>
            </w:r>
          </w:p>
        </w:tc>
        <w:tc>
          <w:tcPr>
            <w:tcW w:w="6210" w:type="dxa"/>
            <w:vMerge w:val="restart"/>
            <w:shd w:val="clear" w:color="auto" w:fill="auto"/>
          </w:tcPr>
          <w:p>
            <w:pPr>
              <w:widowControl/>
              <w:jc w:val="left"/>
              <w:rPr>
                <w:rFonts w:ascii="仿宋" w:hAnsi="仿宋" w:eastAsia="仿宋" w:cs="宋体"/>
                <w:color w:val="000000"/>
                <w:kern w:val="0"/>
                <w:sz w:val="18"/>
                <w:szCs w:val="18"/>
              </w:rPr>
            </w:pPr>
            <w:r>
              <w:rPr>
                <w:rFonts w:hint="eastAsia" w:ascii="仿宋" w:hAnsi="仿宋" w:eastAsia="仿宋" w:cs="宋体"/>
                <w:color w:val="000000"/>
                <w:kern w:val="0"/>
                <w:sz w:val="18"/>
                <w:szCs w:val="18"/>
              </w:rPr>
              <w:t>1）根据疫情防控分级分类管理的要求，申请人抵建后可能需要做核酸监测，其中核酸监测分为上门采样监测和自行去综合服务点采样监测两种方式。“安心返”管理后台支持自行去综合服务器点核酸检查采样的在线预约。预约成功会收到提醒短信，到综合服务区点可以刷身份证进行验证并进行采样。系统按照六种情况分别支持1天、7天、14天和21天的核酸检查采样的在线预约。</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2）根据抵建确认的时间进行管控的不同类型（五种类型），进行核酸监上门采样查询，提醒乡镇（街道）管理员进行综合服务点核酸监测采样预约。</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3）读卡（身份证）核验：在每个核酸监测采样综合服务点，配备有身份证读卡器。已经在系统预约核酸监测采样的申请人通过刷身份证读卡，能识别具体预约信息，包含：姓名、何地返建、核检预约日期+时间段（上午/中午/下午及具体小时时间段）、核检医疗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615" w:type="dxa"/>
            <w:vMerge w:val="continue"/>
            <w:vAlign w:val="center"/>
          </w:tcPr>
          <w:p>
            <w:pPr>
              <w:widowControl/>
              <w:jc w:val="left"/>
              <w:rPr>
                <w:rFonts w:ascii="仿宋" w:hAnsi="仿宋" w:eastAsia="仿宋" w:cs="宋体"/>
                <w:color w:val="000000"/>
                <w:kern w:val="0"/>
                <w:sz w:val="18"/>
                <w:szCs w:val="18"/>
              </w:rPr>
            </w:pPr>
          </w:p>
        </w:tc>
        <w:tc>
          <w:tcPr>
            <w:tcW w:w="1555" w:type="dxa"/>
            <w:vMerge w:val="continue"/>
            <w:vAlign w:val="center"/>
          </w:tcPr>
          <w:p>
            <w:pPr>
              <w:widowControl/>
              <w:jc w:val="left"/>
              <w:rPr>
                <w:rFonts w:ascii="仿宋" w:hAnsi="仿宋" w:eastAsia="仿宋" w:cs="宋体"/>
                <w:color w:val="000000"/>
                <w:kern w:val="0"/>
                <w:sz w:val="18"/>
                <w:szCs w:val="18"/>
              </w:rPr>
            </w:pPr>
          </w:p>
        </w:tc>
        <w:tc>
          <w:tcPr>
            <w:tcW w:w="1090" w:type="dxa"/>
            <w:vMerge w:val="continue"/>
            <w:vAlign w:val="center"/>
          </w:tcPr>
          <w:p>
            <w:pPr>
              <w:widowControl/>
              <w:jc w:val="left"/>
              <w:rPr>
                <w:rFonts w:ascii="仿宋" w:hAnsi="仿宋" w:eastAsia="仿宋" w:cs="宋体"/>
                <w:color w:val="000000"/>
                <w:kern w:val="0"/>
                <w:sz w:val="18"/>
                <w:szCs w:val="18"/>
              </w:rPr>
            </w:pPr>
          </w:p>
        </w:tc>
        <w:tc>
          <w:tcPr>
            <w:tcW w:w="6210" w:type="dxa"/>
            <w:vMerge w:val="continue"/>
            <w:vAlign w:val="center"/>
          </w:tcPr>
          <w:p>
            <w:pPr>
              <w:widowControl/>
              <w:jc w:val="left"/>
              <w:rPr>
                <w:rFonts w:ascii="仿宋" w:hAnsi="仿宋" w:eastAsia="仿宋" w:cs="宋体"/>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15" w:type="dxa"/>
            <w:vMerge w:val="continue"/>
            <w:vAlign w:val="center"/>
          </w:tcPr>
          <w:p>
            <w:pPr>
              <w:widowControl/>
              <w:jc w:val="left"/>
              <w:rPr>
                <w:rFonts w:ascii="仿宋" w:hAnsi="仿宋" w:eastAsia="仿宋" w:cs="宋体"/>
                <w:color w:val="000000"/>
                <w:kern w:val="0"/>
                <w:sz w:val="18"/>
                <w:szCs w:val="18"/>
              </w:rPr>
            </w:pPr>
          </w:p>
        </w:tc>
        <w:tc>
          <w:tcPr>
            <w:tcW w:w="1555" w:type="dxa"/>
            <w:vMerge w:val="continue"/>
            <w:vAlign w:val="center"/>
          </w:tcPr>
          <w:p>
            <w:pPr>
              <w:widowControl/>
              <w:jc w:val="left"/>
              <w:rPr>
                <w:rFonts w:ascii="仿宋" w:hAnsi="仿宋" w:eastAsia="仿宋" w:cs="宋体"/>
                <w:color w:val="000000"/>
                <w:kern w:val="0"/>
                <w:sz w:val="18"/>
                <w:szCs w:val="18"/>
              </w:rPr>
            </w:pPr>
          </w:p>
        </w:tc>
        <w:tc>
          <w:tcPr>
            <w:tcW w:w="1090" w:type="dxa"/>
            <w:vMerge w:val="continue"/>
            <w:vAlign w:val="center"/>
          </w:tcPr>
          <w:p>
            <w:pPr>
              <w:widowControl/>
              <w:jc w:val="left"/>
              <w:rPr>
                <w:rFonts w:ascii="仿宋" w:hAnsi="仿宋" w:eastAsia="仿宋" w:cs="宋体"/>
                <w:color w:val="000000"/>
                <w:kern w:val="0"/>
                <w:sz w:val="18"/>
                <w:szCs w:val="18"/>
              </w:rPr>
            </w:pPr>
          </w:p>
        </w:tc>
        <w:tc>
          <w:tcPr>
            <w:tcW w:w="6210" w:type="dxa"/>
            <w:vMerge w:val="continue"/>
            <w:vAlign w:val="center"/>
          </w:tcPr>
          <w:p>
            <w:pPr>
              <w:widowControl/>
              <w:jc w:val="left"/>
              <w:rPr>
                <w:rFonts w:ascii="仿宋" w:hAnsi="仿宋" w:eastAsia="仿宋" w:cs="宋体"/>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jc w:val="center"/>
        </w:trPr>
        <w:tc>
          <w:tcPr>
            <w:tcW w:w="615" w:type="dxa"/>
            <w:vMerge w:val="continue"/>
            <w:vAlign w:val="center"/>
          </w:tcPr>
          <w:p>
            <w:pPr>
              <w:widowControl/>
              <w:jc w:val="left"/>
              <w:rPr>
                <w:rFonts w:ascii="仿宋" w:hAnsi="仿宋" w:eastAsia="仿宋" w:cs="宋体"/>
                <w:color w:val="000000"/>
                <w:kern w:val="0"/>
                <w:sz w:val="18"/>
                <w:szCs w:val="18"/>
              </w:rPr>
            </w:pPr>
          </w:p>
        </w:tc>
        <w:tc>
          <w:tcPr>
            <w:tcW w:w="1555" w:type="dxa"/>
            <w:vMerge w:val="continue"/>
            <w:vAlign w:val="center"/>
          </w:tcPr>
          <w:p>
            <w:pPr>
              <w:widowControl/>
              <w:jc w:val="left"/>
              <w:rPr>
                <w:rFonts w:ascii="仿宋" w:hAnsi="仿宋" w:eastAsia="仿宋" w:cs="宋体"/>
                <w:color w:val="000000"/>
                <w:kern w:val="0"/>
                <w:sz w:val="18"/>
                <w:szCs w:val="18"/>
              </w:rPr>
            </w:pPr>
          </w:p>
        </w:tc>
        <w:tc>
          <w:tcPr>
            <w:tcW w:w="1090" w:type="dxa"/>
            <w:vMerge w:val="restart"/>
            <w:shd w:val="clear" w:color="auto" w:fill="auto"/>
            <w:vAlign w:val="center"/>
          </w:tcPr>
          <w:p>
            <w:pPr>
              <w:widowControl/>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短信通知提醒管理</w:t>
            </w:r>
          </w:p>
        </w:tc>
        <w:tc>
          <w:tcPr>
            <w:tcW w:w="6210" w:type="dxa"/>
            <w:vMerge w:val="restart"/>
            <w:shd w:val="clear" w:color="auto" w:fill="auto"/>
          </w:tcPr>
          <w:p>
            <w:pPr>
              <w:widowControl/>
              <w:jc w:val="left"/>
              <w:rPr>
                <w:rFonts w:ascii="仿宋" w:hAnsi="仿宋" w:eastAsia="仿宋" w:cs="宋体"/>
                <w:color w:val="000000"/>
                <w:kern w:val="0"/>
                <w:sz w:val="18"/>
                <w:szCs w:val="18"/>
              </w:rPr>
            </w:pPr>
            <w:r>
              <w:rPr>
                <w:rFonts w:hint="eastAsia" w:ascii="仿宋" w:hAnsi="仿宋" w:eastAsia="仿宋" w:cs="宋体"/>
                <w:color w:val="000000"/>
                <w:kern w:val="0"/>
                <w:sz w:val="18"/>
                <w:szCs w:val="18"/>
              </w:rPr>
              <w:t>1）如申报人登记“何地返建”的区县（直辖市街道）选择了高中风险区域，申报登记提交后，回自动发送短信给登记的手机号码，短信提醒内容：“鉴于您目前所在城市有中高风险地区，建议暂缓来建，待风险调低后再有序来建。稍后会有防疫工作人员与您联系。感谢您的理解配合。〔建德市防疫指挥部〕”同时，申报人返回地址所对应的乡镇（街道）管理员手机也回同时收到提醒信息：“安心返系统中有中高风险地区人员“某某某”返建申报请注意查收”。</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2）每天上午八点半，对申报人登记“何地返建”的区县（直辖市街道）选择了高中风险区域，在登记的“到建日期”为当天的申报人，系统自动推送提醒短信，短信内容未：“为了您的健康和防疫需要，请在来建途中做好防控，请在抵建后立即向村、社报备，并主动配合做好相关防疫措施。感谢您的理解配合。〔建德市防疫指挥部〕”。同时，申报人返回地址所对应的乡镇（街道）管理员手机也回同时收到提醒信息：“安心返系统中有中高风险地区人员“某某某”今日返建请注意查收”。</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3）当确认抵建的时候，如果预约了综合采样服务器核酸检查，点击“保存”按钮的时候，发送短息，短信内容：“某某某，身份证尾号****，您已预约2021年某月某日号上午（或中午、下午）几点至几点到某某某综合服务点进行核酸采样，请携带本人身份证并佩戴好口罩，感谢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jc w:val="center"/>
        </w:trPr>
        <w:tc>
          <w:tcPr>
            <w:tcW w:w="615" w:type="dxa"/>
            <w:vMerge w:val="continue"/>
            <w:vAlign w:val="center"/>
          </w:tcPr>
          <w:p>
            <w:pPr>
              <w:widowControl/>
              <w:jc w:val="left"/>
              <w:rPr>
                <w:rFonts w:ascii="仿宋" w:hAnsi="仿宋" w:eastAsia="仿宋" w:cs="宋体"/>
                <w:color w:val="000000"/>
                <w:kern w:val="0"/>
                <w:sz w:val="18"/>
                <w:szCs w:val="18"/>
              </w:rPr>
            </w:pPr>
          </w:p>
        </w:tc>
        <w:tc>
          <w:tcPr>
            <w:tcW w:w="1555" w:type="dxa"/>
            <w:vMerge w:val="continue"/>
            <w:vAlign w:val="center"/>
          </w:tcPr>
          <w:p>
            <w:pPr>
              <w:widowControl/>
              <w:jc w:val="left"/>
              <w:rPr>
                <w:rFonts w:ascii="仿宋" w:hAnsi="仿宋" w:eastAsia="仿宋" w:cs="宋体"/>
                <w:color w:val="000000"/>
                <w:kern w:val="0"/>
                <w:sz w:val="18"/>
                <w:szCs w:val="18"/>
              </w:rPr>
            </w:pPr>
          </w:p>
        </w:tc>
        <w:tc>
          <w:tcPr>
            <w:tcW w:w="1090" w:type="dxa"/>
            <w:vMerge w:val="continue"/>
            <w:vAlign w:val="center"/>
          </w:tcPr>
          <w:p>
            <w:pPr>
              <w:widowControl/>
              <w:jc w:val="left"/>
              <w:rPr>
                <w:rFonts w:ascii="仿宋" w:hAnsi="仿宋" w:eastAsia="仿宋" w:cs="宋体"/>
                <w:color w:val="000000"/>
                <w:kern w:val="0"/>
                <w:sz w:val="18"/>
                <w:szCs w:val="18"/>
              </w:rPr>
            </w:pPr>
          </w:p>
        </w:tc>
        <w:tc>
          <w:tcPr>
            <w:tcW w:w="6210" w:type="dxa"/>
            <w:vMerge w:val="continue"/>
            <w:vAlign w:val="center"/>
          </w:tcPr>
          <w:p>
            <w:pPr>
              <w:widowControl/>
              <w:jc w:val="left"/>
              <w:rPr>
                <w:rFonts w:ascii="仿宋" w:hAnsi="仿宋" w:eastAsia="仿宋" w:cs="宋体"/>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15" w:type="dxa"/>
            <w:vMerge w:val="continue"/>
            <w:vAlign w:val="center"/>
          </w:tcPr>
          <w:p>
            <w:pPr>
              <w:widowControl/>
              <w:jc w:val="left"/>
              <w:rPr>
                <w:rFonts w:ascii="仿宋" w:hAnsi="仿宋" w:eastAsia="仿宋" w:cs="宋体"/>
                <w:color w:val="000000"/>
                <w:kern w:val="0"/>
                <w:sz w:val="18"/>
                <w:szCs w:val="18"/>
              </w:rPr>
            </w:pPr>
          </w:p>
        </w:tc>
        <w:tc>
          <w:tcPr>
            <w:tcW w:w="1555" w:type="dxa"/>
            <w:vMerge w:val="continue"/>
            <w:vAlign w:val="center"/>
          </w:tcPr>
          <w:p>
            <w:pPr>
              <w:widowControl/>
              <w:jc w:val="left"/>
              <w:rPr>
                <w:rFonts w:ascii="仿宋" w:hAnsi="仿宋" w:eastAsia="仿宋" w:cs="宋体"/>
                <w:color w:val="000000"/>
                <w:kern w:val="0"/>
                <w:sz w:val="18"/>
                <w:szCs w:val="18"/>
              </w:rPr>
            </w:pPr>
          </w:p>
        </w:tc>
        <w:tc>
          <w:tcPr>
            <w:tcW w:w="1090" w:type="dxa"/>
            <w:vMerge w:val="continue"/>
            <w:vAlign w:val="center"/>
          </w:tcPr>
          <w:p>
            <w:pPr>
              <w:widowControl/>
              <w:jc w:val="left"/>
              <w:rPr>
                <w:rFonts w:ascii="仿宋" w:hAnsi="仿宋" w:eastAsia="仿宋" w:cs="宋体"/>
                <w:color w:val="000000"/>
                <w:kern w:val="0"/>
                <w:sz w:val="18"/>
                <w:szCs w:val="18"/>
              </w:rPr>
            </w:pPr>
          </w:p>
        </w:tc>
        <w:tc>
          <w:tcPr>
            <w:tcW w:w="6210" w:type="dxa"/>
            <w:vMerge w:val="continue"/>
            <w:vAlign w:val="center"/>
          </w:tcPr>
          <w:p>
            <w:pPr>
              <w:widowControl/>
              <w:jc w:val="left"/>
              <w:rPr>
                <w:rFonts w:ascii="仿宋" w:hAnsi="仿宋" w:eastAsia="仿宋" w:cs="宋体"/>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jc w:val="center"/>
        </w:trPr>
        <w:tc>
          <w:tcPr>
            <w:tcW w:w="615" w:type="dxa"/>
            <w:vMerge w:val="continue"/>
            <w:vAlign w:val="center"/>
          </w:tcPr>
          <w:p>
            <w:pPr>
              <w:widowControl/>
              <w:jc w:val="left"/>
              <w:rPr>
                <w:rFonts w:ascii="仿宋" w:hAnsi="仿宋" w:eastAsia="仿宋" w:cs="宋体"/>
                <w:color w:val="000000"/>
                <w:kern w:val="0"/>
                <w:sz w:val="18"/>
                <w:szCs w:val="18"/>
              </w:rPr>
            </w:pPr>
          </w:p>
        </w:tc>
        <w:tc>
          <w:tcPr>
            <w:tcW w:w="1555" w:type="dxa"/>
            <w:vMerge w:val="continue"/>
            <w:vAlign w:val="center"/>
          </w:tcPr>
          <w:p>
            <w:pPr>
              <w:widowControl/>
              <w:jc w:val="left"/>
              <w:rPr>
                <w:rFonts w:ascii="仿宋" w:hAnsi="仿宋" w:eastAsia="仿宋" w:cs="宋体"/>
                <w:color w:val="000000"/>
                <w:kern w:val="0"/>
                <w:sz w:val="18"/>
                <w:szCs w:val="18"/>
              </w:rPr>
            </w:pPr>
          </w:p>
        </w:tc>
        <w:tc>
          <w:tcPr>
            <w:tcW w:w="1090" w:type="dxa"/>
            <w:vMerge w:val="restart"/>
            <w:shd w:val="clear" w:color="auto" w:fill="auto"/>
            <w:vAlign w:val="center"/>
          </w:tcPr>
          <w:p>
            <w:pPr>
              <w:widowControl/>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统计报表</w:t>
            </w:r>
          </w:p>
        </w:tc>
        <w:tc>
          <w:tcPr>
            <w:tcW w:w="6210" w:type="dxa"/>
            <w:vMerge w:val="restart"/>
            <w:shd w:val="clear" w:color="auto" w:fill="auto"/>
          </w:tcPr>
          <w:p>
            <w:pPr>
              <w:widowControl/>
              <w:jc w:val="left"/>
              <w:rPr>
                <w:rFonts w:ascii="仿宋" w:hAnsi="仿宋" w:eastAsia="仿宋" w:cs="宋体"/>
                <w:color w:val="000000"/>
                <w:kern w:val="0"/>
                <w:sz w:val="18"/>
                <w:szCs w:val="18"/>
              </w:rPr>
            </w:pPr>
            <w:r>
              <w:rPr>
                <w:rFonts w:hint="eastAsia" w:ascii="仿宋" w:hAnsi="仿宋" w:eastAsia="仿宋" w:cs="宋体"/>
                <w:color w:val="000000"/>
                <w:kern w:val="0"/>
                <w:sz w:val="18"/>
                <w:szCs w:val="18"/>
              </w:rPr>
              <w:t>1）申报数据统计表</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2）管理数据统计表（乡镇、街道）</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3）管理数据统计表（村、社区）</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4）返工情况统计表</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5）统计报表查询统计条件按照乡镇（街道）进行控制，各乡镇（街道）管理员账号只能查询和统计各自乡镇（街道）数据，市级管理员账号能查询和统计全市所有数据。所有统计报表支持excel导出。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15" w:type="dxa"/>
            <w:vMerge w:val="continue"/>
            <w:vAlign w:val="center"/>
          </w:tcPr>
          <w:p>
            <w:pPr>
              <w:widowControl/>
              <w:jc w:val="left"/>
              <w:rPr>
                <w:rFonts w:ascii="仿宋" w:hAnsi="仿宋" w:eastAsia="仿宋" w:cs="宋体"/>
                <w:color w:val="000000"/>
                <w:kern w:val="0"/>
                <w:sz w:val="18"/>
                <w:szCs w:val="18"/>
              </w:rPr>
            </w:pPr>
          </w:p>
        </w:tc>
        <w:tc>
          <w:tcPr>
            <w:tcW w:w="1555" w:type="dxa"/>
            <w:vMerge w:val="continue"/>
            <w:vAlign w:val="center"/>
          </w:tcPr>
          <w:p>
            <w:pPr>
              <w:widowControl/>
              <w:jc w:val="left"/>
              <w:rPr>
                <w:rFonts w:ascii="仿宋" w:hAnsi="仿宋" w:eastAsia="仿宋" w:cs="宋体"/>
                <w:color w:val="000000"/>
                <w:kern w:val="0"/>
                <w:sz w:val="18"/>
                <w:szCs w:val="18"/>
              </w:rPr>
            </w:pPr>
          </w:p>
        </w:tc>
        <w:tc>
          <w:tcPr>
            <w:tcW w:w="1090" w:type="dxa"/>
            <w:vMerge w:val="continue"/>
            <w:vAlign w:val="center"/>
          </w:tcPr>
          <w:p>
            <w:pPr>
              <w:widowControl/>
              <w:jc w:val="left"/>
              <w:rPr>
                <w:rFonts w:ascii="仿宋" w:hAnsi="仿宋" w:eastAsia="仿宋" w:cs="宋体"/>
                <w:color w:val="000000"/>
                <w:kern w:val="0"/>
                <w:sz w:val="18"/>
                <w:szCs w:val="18"/>
              </w:rPr>
            </w:pPr>
          </w:p>
        </w:tc>
        <w:tc>
          <w:tcPr>
            <w:tcW w:w="6210" w:type="dxa"/>
            <w:vMerge w:val="continue"/>
            <w:vAlign w:val="center"/>
          </w:tcPr>
          <w:p>
            <w:pPr>
              <w:widowControl/>
              <w:jc w:val="left"/>
              <w:rPr>
                <w:rFonts w:ascii="仿宋" w:hAnsi="仿宋" w:eastAsia="仿宋" w:cs="宋体"/>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615" w:type="dxa"/>
            <w:vMerge w:val="continue"/>
            <w:vAlign w:val="center"/>
          </w:tcPr>
          <w:p>
            <w:pPr>
              <w:widowControl/>
              <w:jc w:val="left"/>
              <w:rPr>
                <w:rFonts w:ascii="仿宋" w:hAnsi="仿宋" w:eastAsia="仿宋" w:cs="宋体"/>
                <w:color w:val="000000"/>
                <w:kern w:val="0"/>
                <w:sz w:val="18"/>
                <w:szCs w:val="18"/>
              </w:rPr>
            </w:pPr>
          </w:p>
        </w:tc>
        <w:tc>
          <w:tcPr>
            <w:tcW w:w="1555" w:type="dxa"/>
            <w:vMerge w:val="continue"/>
            <w:vAlign w:val="center"/>
          </w:tcPr>
          <w:p>
            <w:pPr>
              <w:widowControl/>
              <w:jc w:val="left"/>
              <w:rPr>
                <w:rFonts w:ascii="仿宋" w:hAnsi="仿宋" w:eastAsia="仿宋" w:cs="宋体"/>
                <w:color w:val="000000"/>
                <w:kern w:val="0"/>
                <w:sz w:val="18"/>
                <w:szCs w:val="18"/>
              </w:rPr>
            </w:pPr>
          </w:p>
        </w:tc>
        <w:tc>
          <w:tcPr>
            <w:tcW w:w="1090" w:type="dxa"/>
            <w:vMerge w:val="restart"/>
            <w:shd w:val="clear" w:color="auto" w:fill="auto"/>
            <w:vAlign w:val="center"/>
          </w:tcPr>
          <w:p>
            <w:pPr>
              <w:widowControl/>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放心种后台管理</w:t>
            </w:r>
          </w:p>
        </w:tc>
        <w:tc>
          <w:tcPr>
            <w:tcW w:w="6210" w:type="dxa"/>
            <w:vMerge w:val="restart"/>
            <w:shd w:val="clear" w:color="auto" w:fill="auto"/>
          </w:tcPr>
          <w:p>
            <w:pPr>
              <w:widowControl/>
              <w:jc w:val="left"/>
              <w:rPr>
                <w:rFonts w:ascii="仿宋" w:hAnsi="仿宋" w:eastAsia="仿宋" w:cs="宋体"/>
                <w:color w:val="000000"/>
                <w:kern w:val="0"/>
                <w:sz w:val="18"/>
                <w:szCs w:val="18"/>
              </w:rPr>
            </w:pPr>
            <w:r>
              <w:rPr>
                <w:rFonts w:hint="eastAsia" w:ascii="仿宋" w:hAnsi="仿宋" w:eastAsia="仿宋" w:cs="宋体"/>
                <w:color w:val="000000"/>
                <w:kern w:val="0"/>
                <w:sz w:val="18"/>
                <w:szCs w:val="18"/>
              </w:rPr>
              <w:t>1）支持申报信息筛选、查看</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2）支持Excel表格导入、导出。</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3）支持操作:第一次接种、第二次接种、第三次接种、未接种、延期接种、编辑、删除。</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4）支持信息统计报表。</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5）每剂次新增三项接种登记信息“疫苗名称”、“疫苗批号”、“疫苗生产厂家”。</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6）导出省平台接种数据，与“放心种”数据进行大数据比对，根据身份证号码（脱敏）、姓名、出生日期、联系电话等信息，进行数据匹配，更新省平台“接种医疗机构”、“接种日期”、“疫苗名称”、“疫苗批号”、“疫苗生产厂家”到“放心种”平台。数据比对工作需常态化进行（省平台每日可导出更新），以保证“放心种”平台面向公众开发查询的疫苗接种信息实时正确。</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7）新增疫苗第三剂次接种管理，包括第三剂次信息登记，信息导入，信息编辑，信息查看。</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8）接种医疗结构现场刷身份证登记增加第三剂次登记。</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9）接种医疗机构变更，删除临时方舱，把在方舱登记的接种记录归并到所属街道。</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10）修改“预约列表”查询功能，新增各类查询组合。</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11）新增详细信息展示页面，展示第一、第二、第三剂次接种信息详情。</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12）按照接种人群分类，新增三张统计表报：</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（1）党政机关、企事业单位新冠病毒疫苗接种情况统计</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（2）教育机构新冠病毒疫苗接种情况统计</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（3）医疗机构新冠病毒疫苗接种情况统计</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13）新增“全市新冠病毒疫苗接种情况统计表”，以建德市常住人口为统计基数口径，进行接种比例统计。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15" w:type="dxa"/>
            <w:vMerge w:val="continue"/>
            <w:vAlign w:val="center"/>
          </w:tcPr>
          <w:p>
            <w:pPr>
              <w:widowControl/>
              <w:jc w:val="left"/>
              <w:rPr>
                <w:rFonts w:ascii="仿宋" w:hAnsi="仿宋" w:eastAsia="仿宋" w:cs="宋体"/>
                <w:color w:val="000000"/>
                <w:kern w:val="0"/>
                <w:sz w:val="18"/>
                <w:szCs w:val="18"/>
              </w:rPr>
            </w:pPr>
          </w:p>
        </w:tc>
        <w:tc>
          <w:tcPr>
            <w:tcW w:w="1555" w:type="dxa"/>
            <w:vMerge w:val="continue"/>
            <w:vAlign w:val="center"/>
          </w:tcPr>
          <w:p>
            <w:pPr>
              <w:widowControl/>
              <w:jc w:val="left"/>
              <w:rPr>
                <w:rFonts w:ascii="仿宋" w:hAnsi="仿宋" w:eastAsia="仿宋" w:cs="宋体"/>
                <w:color w:val="000000"/>
                <w:kern w:val="0"/>
                <w:sz w:val="18"/>
                <w:szCs w:val="18"/>
              </w:rPr>
            </w:pPr>
          </w:p>
        </w:tc>
        <w:tc>
          <w:tcPr>
            <w:tcW w:w="1090" w:type="dxa"/>
            <w:vMerge w:val="continue"/>
            <w:vAlign w:val="center"/>
          </w:tcPr>
          <w:p>
            <w:pPr>
              <w:widowControl/>
              <w:jc w:val="left"/>
              <w:rPr>
                <w:rFonts w:ascii="仿宋" w:hAnsi="仿宋" w:eastAsia="仿宋" w:cs="宋体"/>
                <w:color w:val="000000"/>
                <w:kern w:val="0"/>
                <w:sz w:val="18"/>
                <w:szCs w:val="18"/>
              </w:rPr>
            </w:pPr>
          </w:p>
        </w:tc>
        <w:tc>
          <w:tcPr>
            <w:tcW w:w="6210" w:type="dxa"/>
            <w:vMerge w:val="continue"/>
            <w:vAlign w:val="center"/>
          </w:tcPr>
          <w:p>
            <w:pPr>
              <w:widowControl/>
              <w:jc w:val="left"/>
              <w:rPr>
                <w:rFonts w:ascii="仿宋" w:hAnsi="仿宋" w:eastAsia="仿宋" w:cs="宋体"/>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15" w:type="dxa"/>
            <w:vMerge w:val="continue"/>
            <w:vAlign w:val="center"/>
          </w:tcPr>
          <w:p>
            <w:pPr>
              <w:widowControl/>
              <w:jc w:val="left"/>
              <w:rPr>
                <w:rFonts w:ascii="仿宋" w:hAnsi="仿宋" w:eastAsia="仿宋" w:cs="宋体"/>
                <w:color w:val="000000"/>
                <w:kern w:val="0"/>
                <w:sz w:val="18"/>
                <w:szCs w:val="18"/>
              </w:rPr>
            </w:pPr>
          </w:p>
        </w:tc>
        <w:tc>
          <w:tcPr>
            <w:tcW w:w="1555" w:type="dxa"/>
            <w:vMerge w:val="continue"/>
            <w:vAlign w:val="center"/>
          </w:tcPr>
          <w:p>
            <w:pPr>
              <w:widowControl/>
              <w:jc w:val="left"/>
              <w:rPr>
                <w:rFonts w:ascii="仿宋" w:hAnsi="仿宋" w:eastAsia="仿宋" w:cs="宋体"/>
                <w:color w:val="000000"/>
                <w:kern w:val="0"/>
                <w:sz w:val="18"/>
                <w:szCs w:val="18"/>
              </w:rPr>
            </w:pPr>
          </w:p>
        </w:tc>
        <w:tc>
          <w:tcPr>
            <w:tcW w:w="1090" w:type="dxa"/>
            <w:shd w:val="clear" w:color="auto" w:fill="auto"/>
            <w:vAlign w:val="center"/>
          </w:tcPr>
          <w:p>
            <w:pPr>
              <w:widowControl/>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区域管理</w:t>
            </w:r>
          </w:p>
        </w:tc>
        <w:tc>
          <w:tcPr>
            <w:tcW w:w="6210" w:type="dxa"/>
            <w:shd w:val="clear" w:color="auto" w:fill="auto"/>
            <w:vAlign w:val="center"/>
          </w:tcPr>
          <w:p>
            <w:pPr>
              <w:widowControl/>
              <w:jc w:val="left"/>
              <w:rPr>
                <w:rFonts w:ascii="仿宋" w:hAnsi="仿宋" w:eastAsia="仿宋" w:cs="宋体"/>
                <w:color w:val="000000"/>
                <w:kern w:val="0"/>
                <w:sz w:val="18"/>
                <w:szCs w:val="18"/>
              </w:rPr>
            </w:pPr>
            <w:r>
              <w:rPr>
                <w:rFonts w:hint="eastAsia" w:ascii="仿宋" w:hAnsi="仿宋" w:eastAsia="仿宋" w:cs="宋体"/>
                <w:color w:val="000000"/>
                <w:kern w:val="0"/>
                <w:sz w:val="18"/>
                <w:szCs w:val="18"/>
              </w:rPr>
              <w:t>支持区域添加、编辑、删除、添加子类功能，用于乡镇（街道）、村社的信息管理，并支持搜索。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615" w:type="dxa"/>
            <w:vMerge w:val="continue"/>
            <w:vAlign w:val="center"/>
          </w:tcPr>
          <w:p>
            <w:pPr>
              <w:widowControl/>
              <w:jc w:val="left"/>
              <w:rPr>
                <w:rFonts w:ascii="仿宋" w:hAnsi="仿宋" w:eastAsia="仿宋" w:cs="宋体"/>
                <w:color w:val="000000"/>
                <w:kern w:val="0"/>
                <w:sz w:val="18"/>
                <w:szCs w:val="18"/>
              </w:rPr>
            </w:pPr>
          </w:p>
        </w:tc>
        <w:tc>
          <w:tcPr>
            <w:tcW w:w="1555" w:type="dxa"/>
            <w:vMerge w:val="continue"/>
            <w:vAlign w:val="center"/>
          </w:tcPr>
          <w:p>
            <w:pPr>
              <w:widowControl/>
              <w:jc w:val="left"/>
              <w:rPr>
                <w:rFonts w:ascii="仿宋" w:hAnsi="仿宋" w:eastAsia="仿宋" w:cs="宋体"/>
                <w:color w:val="000000"/>
                <w:kern w:val="0"/>
                <w:sz w:val="18"/>
                <w:szCs w:val="18"/>
              </w:rPr>
            </w:pPr>
          </w:p>
        </w:tc>
        <w:tc>
          <w:tcPr>
            <w:tcW w:w="1090" w:type="dxa"/>
            <w:shd w:val="clear" w:color="auto" w:fill="auto"/>
            <w:vAlign w:val="center"/>
          </w:tcPr>
          <w:p>
            <w:pPr>
              <w:widowControl/>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用户管理</w:t>
            </w:r>
          </w:p>
        </w:tc>
        <w:tc>
          <w:tcPr>
            <w:tcW w:w="6210" w:type="dxa"/>
            <w:shd w:val="clear" w:color="auto" w:fill="auto"/>
            <w:vAlign w:val="center"/>
          </w:tcPr>
          <w:p>
            <w:pPr>
              <w:widowControl/>
              <w:jc w:val="left"/>
              <w:rPr>
                <w:rFonts w:ascii="仿宋" w:hAnsi="仿宋" w:eastAsia="仿宋" w:cs="宋体"/>
                <w:color w:val="000000"/>
                <w:kern w:val="0"/>
                <w:sz w:val="18"/>
                <w:szCs w:val="18"/>
              </w:rPr>
            </w:pPr>
            <w:r>
              <w:rPr>
                <w:rFonts w:hint="eastAsia" w:ascii="仿宋" w:hAnsi="仿宋" w:eastAsia="仿宋" w:cs="宋体"/>
                <w:color w:val="000000"/>
                <w:kern w:val="0"/>
                <w:sz w:val="18"/>
                <w:szCs w:val="18"/>
              </w:rPr>
              <w:t>支持用户添加、编辑、删除功能，支持用户选择级别及授权管理。用户分为乡镇（街道）管理员账户和市级管理员账户。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615" w:type="dxa"/>
            <w:vMerge w:val="continue"/>
            <w:vAlign w:val="center"/>
          </w:tcPr>
          <w:p>
            <w:pPr>
              <w:widowControl/>
              <w:jc w:val="left"/>
              <w:rPr>
                <w:rFonts w:ascii="仿宋" w:hAnsi="仿宋" w:eastAsia="仿宋" w:cs="宋体"/>
                <w:color w:val="000000"/>
                <w:kern w:val="0"/>
                <w:sz w:val="18"/>
                <w:szCs w:val="18"/>
              </w:rPr>
            </w:pPr>
          </w:p>
        </w:tc>
        <w:tc>
          <w:tcPr>
            <w:tcW w:w="1555" w:type="dxa"/>
            <w:vMerge w:val="continue"/>
            <w:vAlign w:val="center"/>
          </w:tcPr>
          <w:p>
            <w:pPr>
              <w:widowControl/>
              <w:jc w:val="left"/>
              <w:rPr>
                <w:rFonts w:ascii="仿宋" w:hAnsi="仿宋" w:eastAsia="仿宋" w:cs="宋体"/>
                <w:color w:val="000000"/>
                <w:kern w:val="0"/>
                <w:sz w:val="18"/>
                <w:szCs w:val="18"/>
              </w:rPr>
            </w:pPr>
          </w:p>
        </w:tc>
        <w:tc>
          <w:tcPr>
            <w:tcW w:w="1090" w:type="dxa"/>
            <w:shd w:val="clear" w:color="auto" w:fill="auto"/>
            <w:vAlign w:val="center"/>
          </w:tcPr>
          <w:p>
            <w:pPr>
              <w:widowControl/>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风险区域</w:t>
            </w:r>
          </w:p>
        </w:tc>
        <w:tc>
          <w:tcPr>
            <w:tcW w:w="6210" w:type="dxa"/>
            <w:shd w:val="clear" w:color="auto" w:fill="auto"/>
            <w:vAlign w:val="center"/>
          </w:tcPr>
          <w:p>
            <w:pPr>
              <w:widowControl/>
              <w:jc w:val="left"/>
              <w:rPr>
                <w:rFonts w:ascii="仿宋" w:hAnsi="仿宋" w:eastAsia="仿宋" w:cs="宋体"/>
                <w:color w:val="000000"/>
                <w:kern w:val="0"/>
                <w:sz w:val="18"/>
                <w:szCs w:val="18"/>
              </w:rPr>
            </w:pPr>
            <w:r>
              <w:rPr>
                <w:rFonts w:hint="eastAsia" w:ascii="仿宋" w:hAnsi="仿宋" w:eastAsia="仿宋" w:cs="宋体"/>
                <w:color w:val="000000"/>
                <w:kern w:val="0"/>
                <w:sz w:val="18"/>
                <w:szCs w:val="18"/>
              </w:rPr>
              <w:t>用于根据实时变化的高中风险区域的添加、编辑、删除、查询等功能。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15" w:type="dxa"/>
            <w:vMerge w:val="continue"/>
            <w:vAlign w:val="center"/>
          </w:tcPr>
          <w:p>
            <w:pPr>
              <w:widowControl/>
              <w:jc w:val="left"/>
              <w:rPr>
                <w:rFonts w:ascii="仿宋" w:hAnsi="仿宋" w:eastAsia="仿宋" w:cs="宋体"/>
                <w:color w:val="000000"/>
                <w:kern w:val="0"/>
                <w:sz w:val="18"/>
                <w:szCs w:val="18"/>
              </w:rPr>
            </w:pPr>
          </w:p>
        </w:tc>
        <w:tc>
          <w:tcPr>
            <w:tcW w:w="1555" w:type="dxa"/>
            <w:vMerge w:val="continue"/>
            <w:vAlign w:val="center"/>
          </w:tcPr>
          <w:p>
            <w:pPr>
              <w:widowControl/>
              <w:jc w:val="left"/>
              <w:rPr>
                <w:rFonts w:ascii="仿宋" w:hAnsi="仿宋" w:eastAsia="仿宋" w:cs="宋体"/>
                <w:color w:val="000000"/>
                <w:kern w:val="0"/>
                <w:sz w:val="18"/>
                <w:szCs w:val="18"/>
              </w:rPr>
            </w:pPr>
          </w:p>
        </w:tc>
        <w:tc>
          <w:tcPr>
            <w:tcW w:w="1090" w:type="dxa"/>
            <w:shd w:val="clear" w:color="auto" w:fill="auto"/>
            <w:vAlign w:val="center"/>
          </w:tcPr>
          <w:p>
            <w:pPr>
              <w:widowControl/>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角色授权</w:t>
            </w:r>
          </w:p>
        </w:tc>
        <w:tc>
          <w:tcPr>
            <w:tcW w:w="6210" w:type="dxa"/>
            <w:shd w:val="clear" w:color="auto" w:fill="auto"/>
            <w:vAlign w:val="center"/>
          </w:tcPr>
          <w:p>
            <w:pPr>
              <w:widowControl/>
              <w:jc w:val="left"/>
              <w:rPr>
                <w:rFonts w:ascii="仿宋" w:hAnsi="仿宋" w:eastAsia="仿宋" w:cs="宋体"/>
                <w:color w:val="000000"/>
                <w:kern w:val="0"/>
                <w:sz w:val="18"/>
                <w:szCs w:val="18"/>
              </w:rPr>
            </w:pPr>
            <w:r>
              <w:rPr>
                <w:rFonts w:hint="eastAsia" w:ascii="仿宋" w:hAnsi="仿宋" w:eastAsia="仿宋" w:cs="宋体"/>
                <w:color w:val="000000"/>
                <w:kern w:val="0"/>
                <w:sz w:val="18"/>
                <w:szCs w:val="18"/>
              </w:rPr>
              <w:t>支持角色权限管理，支持添加角色、权限分配。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15" w:type="dxa"/>
            <w:vMerge w:val="continue"/>
            <w:vAlign w:val="center"/>
          </w:tcPr>
          <w:p>
            <w:pPr>
              <w:widowControl/>
              <w:jc w:val="left"/>
              <w:rPr>
                <w:rFonts w:ascii="仿宋" w:hAnsi="仿宋" w:eastAsia="仿宋" w:cs="宋体"/>
                <w:color w:val="000000"/>
                <w:kern w:val="0"/>
                <w:sz w:val="18"/>
                <w:szCs w:val="18"/>
              </w:rPr>
            </w:pPr>
          </w:p>
        </w:tc>
        <w:tc>
          <w:tcPr>
            <w:tcW w:w="1555" w:type="dxa"/>
            <w:vMerge w:val="continue"/>
            <w:vAlign w:val="center"/>
          </w:tcPr>
          <w:p>
            <w:pPr>
              <w:widowControl/>
              <w:jc w:val="left"/>
              <w:rPr>
                <w:rFonts w:ascii="仿宋" w:hAnsi="仿宋" w:eastAsia="仿宋" w:cs="宋体"/>
                <w:color w:val="000000"/>
                <w:kern w:val="0"/>
                <w:sz w:val="18"/>
                <w:szCs w:val="18"/>
              </w:rPr>
            </w:pPr>
          </w:p>
        </w:tc>
        <w:tc>
          <w:tcPr>
            <w:tcW w:w="1090" w:type="dxa"/>
            <w:shd w:val="clear" w:color="auto" w:fill="auto"/>
            <w:vAlign w:val="center"/>
          </w:tcPr>
          <w:p>
            <w:pPr>
              <w:widowControl/>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密码修改</w:t>
            </w:r>
          </w:p>
        </w:tc>
        <w:tc>
          <w:tcPr>
            <w:tcW w:w="6210" w:type="dxa"/>
            <w:shd w:val="clear" w:color="auto" w:fill="auto"/>
            <w:vAlign w:val="center"/>
          </w:tcPr>
          <w:p>
            <w:pPr>
              <w:widowControl/>
              <w:jc w:val="left"/>
              <w:rPr>
                <w:rFonts w:ascii="仿宋" w:hAnsi="仿宋" w:eastAsia="仿宋" w:cs="宋体"/>
                <w:color w:val="000000"/>
                <w:kern w:val="0"/>
                <w:sz w:val="18"/>
                <w:szCs w:val="18"/>
              </w:rPr>
            </w:pPr>
            <w:r>
              <w:rPr>
                <w:rFonts w:hint="eastAsia" w:ascii="仿宋" w:hAnsi="仿宋" w:eastAsia="仿宋" w:cs="宋体"/>
                <w:color w:val="000000"/>
                <w:kern w:val="0"/>
                <w:sz w:val="18"/>
                <w:szCs w:val="18"/>
              </w:rPr>
              <w:t>支持本人账号修改密码功能。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15" w:type="dxa"/>
            <w:vMerge w:val="continue"/>
            <w:vAlign w:val="center"/>
          </w:tcPr>
          <w:p>
            <w:pPr>
              <w:widowControl/>
              <w:jc w:val="left"/>
              <w:rPr>
                <w:rFonts w:ascii="仿宋" w:hAnsi="仿宋" w:eastAsia="仿宋" w:cs="宋体"/>
                <w:color w:val="000000"/>
                <w:kern w:val="0"/>
                <w:sz w:val="18"/>
                <w:szCs w:val="18"/>
              </w:rPr>
            </w:pPr>
          </w:p>
        </w:tc>
        <w:tc>
          <w:tcPr>
            <w:tcW w:w="1555" w:type="dxa"/>
            <w:vMerge w:val="continue"/>
            <w:vAlign w:val="center"/>
          </w:tcPr>
          <w:p>
            <w:pPr>
              <w:widowControl/>
              <w:jc w:val="left"/>
              <w:rPr>
                <w:rFonts w:ascii="仿宋" w:hAnsi="仿宋" w:eastAsia="仿宋" w:cs="宋体"/>
                <w:color w:val="000000"/>
                <w:kern w:val="0"/>
                <w:sz w:val="18"/>
                <w:szCs w:val="18"/>
              </w:rPr>
            </w:pPr>
          </w:p>
        </w:tc>
        <w:tc>
          <w:tcPr>
            <w:tcW w:w="1090" w:type="dxa"/>
            <w:shd w:val="clear" w:color="auto" w:fill="auto"/>
            <w:vAlign w:val="center"/>
          </w:tcPr>
          <w:p>
            <w:pPr>
              <w:widowControl/>
              <w:jc w:val="center"/>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舒心护管理后台</w:t>
            </w:r>
          </w:p>
        </w:tc>
        <w:tc>
          <w:tcPr>
            <w:tcW w:w="6210" w:type="dxa"/>
            <w:shd w:val="clear" w:color="auto" w:fill="auto"/>
            <w:vAlign w:val="center"/>
          </w:tcPr>
          <w:p>
            <w:pPr>
              <w:widowControl/>
              <w:jc w:val="left"/>
              <w:rPr>
                <w:rFonts w:hint="eastAsia" w:ascii="仿宋" w:hAnsi="仿宋" w:eastAsia="仿宋" w:cs="仿宋"/>
                <w:lang w:val="en-US" w:eastAsia="zh-CN"/>
              </w:rPr>
            </w:pPr>
            <w:r>
              <w:rPr>
                <w:rFonts w:hint="eastAsia" w:ascii="仿宋" w:hAnsi="仿宋" w:eastAsia="仿宋" w:cs="仿宋"/>
                <w:lang w:val="en-US" w:eastAsia="zh-CN"/>
              </w:rPr>
              <w:t>舒心护是针对市级隔离点日常工作进行管理的系统，包含如下内容：</w:t>
            </w:r>
          </w:p>
          <w:p>
            <w:pPr>
              <w:pStyle w:val="2"/>
              <w:numPr>
                <w:ilvl w:val="0"/>
                <w:numId w:val="12"/>
              </w:numPr>
              <w:ind w:left="0" w:leftChars="0" w:firstLine="0" w:firstLineChars="0"/>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隔离点管理：对市级隔离点房间进行管理，分为可用、在用和不可用状态。</w:t>
            </w:r>
          </w:p>
          <w:p>
            <w:pPr>
              <w:pStyle w:val="2"/>
              <w:numPr>
                <w:ilvl w:val="0"/>
                <w:numId w:val="12"/>
              </w:numPr>
              <w:ind w:left="0" w:leftChars="0" w:firstLine="0" w:firstLineChars="0"/>
              <w:rPr>
                <w:rFonts w:hint="default"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管控对象信息管理：对隔离点管控对象的个人信息、在建具体地址、省外地址、隔离信息进行管理。支持手动新增和根据模板批量导入。</w:t>
            </w:r>
          </w:p>
          <w:p>
            <w:pPr>
              <w:pStyle w:val="2"/>
              <w:numPr>
                <w:ilvl w:val="0"/>
                <w:numId w:val="12"/>
              </w:numPr>
              <w:ind w:left="0" w:leftChars="0" w:firstLine="0" w:firstLineChars="0"/>
              <w:rPr>
                <w:rFonts w:hint="default"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每日健康打卡：记录隔离对象和工作人员每日两次体温检测信息。支持手动新增和根据模板批量导入。</w:t>
            </w:r>
          </w:p>
          <w:p>
            <w:pPr>
              <w:pStyle w:val="2"/>
              <w:numPr>
                <w:ilvl w:val="0"/>
                <w:numId w:val="12"/>
              </w:numPr>
              <w:ind w:left="0" w:leftChars="0" w:firstLine="0" w:firstLineChars="0"/>
              <w:rPr>
                <w:rFonts w:hint="default"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工作人员信息维护：对各个市级隔离点的工作人员信息进行维护，包含姓名、身份证号码、联系电话、工作单位、人鱼类型、第一剂次接种时间、第二剂次接种实际等信息。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jc w:val="center"/>
        </w:trPr>
        <w:tc>
          <w:tcPr>
            <w:tcW w:w="615" w:type="dxa"/>
            <w:vMerge w:val="restart"/>
            <w:shd w:val="clear" w:color="auto" w:fill="auto"/>
            <w:vAlign w:val="center"/>
          </w:tcPr>
          <w:p>
            <w:pPr>
              <w:widowControl/>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w:t>
            </w:r>
          </w:p>
        </w:tc>
        <w:tc>
          <w:tcPr>
            <w:tcW w:w="1555" w:type="dxa"/>
            <w:vMerge w:val="restart"/>
            <w:shd w:val="clear" w:color="auto" w:fill="auto"/>
            <w:vAlign w:val="center"/>
          </w:tcPr>
          <w:p>
            <w:pPr>
              <w:widowControl/>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“安心返”数字驾驶舱</w:t>
            </w:r>
          </w:p>
        </w:tc>
        <w:tc>
          <w:tcPr>
            <w:tcW w:w="1090" w:type="dxa"/>
            <w:vMerge w:val="restart"/>
            <w:shd w:val="clear" w:color="auto" w:fill="auto"/>
            <w:vAlign w:val="center"/>
          </w:tcPr>
          <w:p>
            <w:pPr>
              <w:widowControl/>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数字驾驶舱PC端</w:t>
            </w:r>
          </w:p>
        </w:tc>
        <w:tc>
          <w:tcPr>
            <w:tcW w:w="6210" w:type="dxa"/>
            <w:vMerge w:val="restart"/>
            <w:shd w:val="clear" w:color="auto" w:fill="auto"/>
          </w:tcPr>
          <w:p>
            <w:pPr>
              <w:widowControl/>
              <w:jc w:val="left"/>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结合建德市疫情防控工作实际情况而开发“安心返”数字驾驶舱PC端，对接“安心返”系统数据及“杭州健康码”接口，从申报透视很管理透视两个视角，融合“农村地区疫情防控区域预警风险登记分类及管理要求”，实现了疫情防控数据实时掌控、疫情防控分类分级情况清晰明了，抵建纳管人群管理进度一目了然，赋能疫情防控。包含以下主要功能：</w:t>
            </w:r>
            <w:r>
              <w:rPr>
                <w:rFonts w:hint="eastAsia" w:ascii="仿宋" w:hAnsi="仿宋" w:eastAsia="仿宋" w:cs="仿宋"/>
                <w:color w:val="000000"/>
                <w:kern w:val="0"/>
                <w:sz w:val="18"/>
                <w:szCs w:val="18"/>
              </w:rPr>
              <w:br w:type="textWrapping"/>
            </w:r>
            <w:r>
              <w:rPr>
                <w:rFonts w:hint="eastAsia" w:ascii="仿宋" w:hAnsi="仿宋" w:eastAsia="仿宋" w:cs="仿宋"/>
                <w:color w:val="000000"/>
                <w:kern w:val="0"/>
                <w:sz w:val="18"/>
                <w:szCs w:val="18"/>
              </w:rPr>
              <w:t>1）拟返建地监测：实时监测拟返回建德市人员信息申报人数，以TOP5的形式展示来源地排行，支持入境国家或地区、入境口岸、省、市、区/县切换展示。</w:t>
            </w:r>
            <w:r>
              <w:rPr>
                <w:rFonts w:hint="eastAsia" w:ascii="仿宋" w:hAnsi="仿宋" w:eastAsia="仿宋" w:cs="仿宋"/>
                <w:color w:val="000000"/>
                <w:kern w:val="0"/>
                <w:sz w:val="18"/>
                <w:szCs w:val="18"/>
              </w:rPr>
              <w:br w:type="textWrapping"/>
            </w:r>
            <w:r>
              <w:rPr>
                <w:rFonts w:hint="eastAsia" w:ascii="仿宋" w:hAnsi="仿宋" w:eastAsia="仿宋" w:cs="仿宋"/>
                <w:color w:val="000000"/>
                <w:kern w:val="0"/>
                <w:sz w:val="18"/>
                <w:szCs w:val="18"/>
              </w:rPr>
              <w:t>2）拟返人员镇街走向监测：实时监测拟返建人员乡镇（街道）走向监测，通过高中风险地区、七类高危行业、杭州健康码红黄码直观展示16个乡镇（街道）重点高危人员统计信息。</w:t>
            </w:r>
            <w:r>
              <w:rPr>
                <w:rFonts w:hint="eastAsia" w:ascii="仿宋" w:hAnsi="仿宋" w:eastAsia="仿宋" w:cs="仿宋"/>
                <w:color w:val="000000"/>
                <w:kern w:val="0"/>
                <w:sz w:val="18"/>
                <w:szCs w:val="18"/>
              </w:rPr>
              <w:br w:type="textWrapping"/>
            </w:r>
            <w:r>
              <w:rPr>
                <w:rFonts w:hint="eastAsia" w:ascii="仿宋" w:hAnsi="仿宋" w:eastAsia="仿宋" w:cs="仿宋"/>
                <w:color w:val="000000"/>
                <w:kern w:val="0"/>
                <w:sz w:val="18"/>
                <w:szCs w:val="18"/>
              </w:rPr>
              <w:t>3）拟返人员村/社走向排名TOP10：实时监测预返建人员返回村/社区的走向TOP10情况，支持查看256个村/社区的申报、中高风险、高危行业统计人数排名（默认TOP10）。</w:t>
            </w:r>
            <w:r>
              <w:rPr>
                <w:rFonts w:hint="eastAsia" w:ascii="仿宋" w:hAnsi="仿宋" w:eastAsia="仿宋" w:cs="仿宋"/>
                <w:color w:val="000000"/>
                <w:kern w:val="0"/>
                <w:sz w:val="18"/>
                <w:szCs w:val="18"/>
              </w:rPr>
              <w:br w:type="textWrapping"/>
            </w:r>
            <w:r>
              <w:rPr>
                <w:rFonts w:hint="eastAsia" w:ascii="仿宋" w:hAnsi="仿宋" w:eastAsia="仿宋" w:cs="仿宋"/>
                <w:color w:val="000000"/>
                <w:kern w:val="0"/>
                <w:sz w:val="18"/>
                <w:szCs w:val="18"/>
              </w:rPr>
              <w:t>4）农村地区疫情防控区域分级分类预警：以村/社区为单位，根据已抵建人员类别和数量确定不同的预警级别，预判疫情发生可能由大到小依次用红色、黄色和蓝色表示，并基于地图进行监测展示。</w:t>
            </w:r>
            <w:r>
              <w:rPr>
                <w:rFonts w:hint="eastAsia" w:ascii="仿宋" w:hAnsi="仿宋" w:eastAsia="仿宋" w:cs="仿宋"/>
                <w:color w:val="000000"/>
                <w:kern w:val="0"/>
                <w:sz w:val="18"/>
                <w:szCs w:val="18"/>
              </w:rPr>
              <w:br w:type="textWrapping"/>
            </w:r>
            <w:r>
              <w:rPr>
                <w:rFonts w:hint="eastAsia" w:ascii="仿宋" w:hAnsi="仿宋" w:eastAsia="仿宋" w:cs="仿宋"/>
                <w:color w:val="000000"/>
                <w:kern w:val="0"/>
                <w:sz w:val="18"/>
                <w:szCs w:val="18"/>
              </w:rPr>
              <w:t>5）态势研判：通过统计分析当日及前10日内的申报人数、拟返建人数、抵建人数，以及未来20天的拟返建人数，研判未来20天的申报人数和实际抵建人数的趋势，对可能到来的申报和纳管峰值做出态势研判，提前做出各种必要的疫情防控应急准备。</w:t>
            </w:r>
            <w:r>
              <w:rPr>
                <w:rFonts w:hint="eastAsia" w:ascii="仿宋" w:hAnsi="仿宋" w:eastAsia="仿宋" w:cs="仿宋"/>
                <w:color w:val="000000"/>
                <w:kern w:val="0"/>
                <w:sz w:val="18"/>
                <w:szCs w:val="18"/>
              </w:rPr>
              <w:br w:type="textWrapping"/>
            </w:r>
            <w:r>
              <w:rPr>
                <w:rFonts w:hint="eastAsia" w:ascii="仿宋" w:hAnsi="仿宋" w:eastAsia="仿宋" w:cs="仿宋"/>
                <w:color w:val="000000"/>
                <w:kern w:val="0"/>
                <w:sz w:val="18"/>
                <w:szCs w:val="18"/>
              </w:rPr>
              <w:t>6）抵建纳管监测：抵建纳管分为两类人权，一类为劝留原地不返建人员，另一类为确认返建并已抵建人员。确认抵建人员正式进入纳管状态，分为五类管理：14+7集中隔离、14+7居家隔离、7+7健康管理、14+7+7健康管理、14天健康监测。</w:t>
            </w:r>
            <w:r>
              <w:rPr>
                <w:rFonts w:hint="eastAsia" w:ascii="仿宋" w:hAnsi="仿宋" w:eastAsia="仿宋" w:cs="仿宋"/>
                <w:color w:val="000000"/>
                <w:kern w:val="0"/>
                <w:sz w:val="18"/>
                <w:szCs w:val="18"/>
              </w:rPr>
              <w:br w:type="textWrapping"/>
            </w:r>
            <w:r>
              <w:rPr>
                <w:rFonts w:hint="eastAsia" w:ascii="仿宋" w:hAnsi="仿宋" w:eastAsia="仿宋" w:cs="仿宋"/>
                <w:color w:val="000000"/>
                <w:kern w:val="0"/>
                <w:sz w:val="18"/>
                <w:szCs w:val="18"/>
              </w:rPr>
              <w:t>7）抵建杭州健康码监测：将已抵建纳管人员信息与杭州城市大脑中枢数据比对，实时监测返建人员杭州健康码红、黄、绿码情况。支持查看具体人员信息。</w:t>
            </w:r>
            <w:r>
              <w:rPr>
                <w:rFonts w:hint="eastAsia" w:ascii="仿宋" w:hAnsi="仿宋" w:eastAsia="仿宋" w:cs="仿宋"/>
                <w:color w:val="000000"/>
                <w:kern w:val="0"/>
                <w:sz w:val="18"/>
                <w:szCs w:val="18"/>
              </w:rPr>
              <w:br w:type="textWrapping"/>
            </w:r>
            <w:r>
              <w:rPr>
                <w:rFonts w:hint="eastAsia" w:ascii="仿宋" w:hAnsi="仿宋" w:eastAsia="仿宋" w:cs="仿宋"/>
                <w:color w:val="000000"/>
                <w:kern w:val="0"/>
                <w:sz w:val="18"/>
                <w:szCs w:val="18"/>
              </w:rPr>
              <w:t>8）重点管控名单：通过从四个疫情防控重点管控角度：中高风险地区、高危行业、杭州健康码红黄码、密切接触/次密切接触，全量实时筛选出系统重点管控名单，并详细展示姓名，管控状态、所属乡镇（街道）、所属村（社区）、纳管状态等信息。</w:t>
            </w:r>
            <w:r>
              <w:rPr>
                <w:rFonts w:hint="eastAsia" w:ascii="仿宋" w:hAnsi="仿宋" w:eastAsia="仿宋" w:cs="仿宋"/>
                <w:color w:val="000000"/>
                <w:kern w:val="0"/>
                <w:sz w:val="18"/>
                <w:szCs w:val="18"/>
              </w:rPr>
              <w:br w:type="textWrapping"/>
            </w:r>
            <w:r>
              <w:rPr>
                <w:rFonts w:hint="eastAsia" w:ascii="仿宋" w:hAnsi="仿宋" w:eastAsia="仿宋" w:cs="仿宋"/>
                <w:color w:val="000000"/>
                <w:kern w:val="0"/>
                <w:sz w:val="18"/>
                <w:szCs w:val="18"/>
              </w:rPr>
              <w:t>9）综合分析统计：累计数据从抵建和拟返两个维度统计，分为拟返总人数、抵建总人数、当日拟返人数、当日抵建人数、中高风险抵建人数、中高风险拟返人数、高危行业抵建人数、高危行业拟返人数。</w:t>
            </w:r>
            <w:r>
              <w:rPr>
                <w:rFonts w:hint="eastAsia" w:ascii="仿宋" w:hAnsi="仿宋" w:eastAsia="仿宋" w:cs="仿宋"/>
                <w:color w:val="000000"/>
                <w:kern w:val="0"/>
                <w:sz w:val="18"/>
                <w:szCs w:val="18"/>
              </w:rPr>
              <w:br w:type="textWrapping"/>
            </w:r>
            <w:r>
              <w:rPr>
                <w:rFonts w:hint="eastAsia" w:ascii="仿宋" w:hAnsi="仿宋" w:eastAsia="仿宋" w:cs="仿宋"/>
                <w:color w:val="000000"/>
                <w:kern w:val="0"/>
                <w:sz w:val="18"/>
                <w:szCs w:val="18"/>
              </w:rPr>
              <w:t>10）展示新冠病毒疫苗预约情况。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15" w:type="dxa"/>
            <w:vMerge w:val="continue"/>
            <w:vAlign w:val="center"/>
          </w:tcPr>
          <w:p>
            <w:pPr>
              <w:widowControl/>
              <w:jc w:val="left"/>
              <w:rPr>
                <w:rFonts w:ascii="仿宋" w:hAnsi="仿宋" w:eastAsia="仿宋" w:cs="宋体"/>
                <w:color w:val="000000"/>
                <w:kern w:val="0"/>
                <w:sz w:val="18"/>
                <w:szCs w:val="18"/>
              </w:rPr>
            </w:pPr>
          </w:p>
        </w:tc>
        <w:tc>
          <w:tcPr>
            <w:tcW w:w="1555" w:type="dxa"/>
            <w:vMerge w:val="continue"/>
            <w:vAlign w:val="center"/>
          </w:tcPr>
          <w:p>
            <w:pPr>
              <w:widowControl/>
              <w:jc w:val="left"/>
              <w:rPr>
                <w:rFonts w:ascii="仿宋" w:hAnsi="仿宋" w:eastAsia="仿宋" w:cs="宋体"/>
                <w:color w:val="000000"/>
                <w:kern w:val="0"/>
                <w:sz w:val="18"/>
                <w:szCs w:val="18"/>
              </w:rPr>
            </w:pPr>
          </w:p>
        </w:tc>
        <w:tc>
          <w:tcPr>
            <w:tcW w:w="1090" w:type="dxa"/>
            <w:vMerge w:val="continue"/>
            <w:vAlign w:val="center"/>
          </w:tcPr>
          <w:p>
            <w:pPr>
              <w:widowControl/>
              <w:jc w:val="left"/>
              <w:rPr>
                <w:rFonts w:ascii="仿宋" w:hAnsi="仿宋" w:eastAsia="仿宋" w:cs="宋体"/>
                <w:color w:val="000000"/>
                <w:kern w:val="0"/>
                <w:sz w:val="18"/>
                <w:szCs w:val="18"/>
              </w:rPr>
            </w:pPr>
          </w:p>
        </w:tc>
        <w:tc>
          <w:tcPr>
            <w:tcW w:w="6210" w:type="dxa"/>
            <w:vMerge w:val="continue"/>
            <w:vAlign w:val="center"/>
          </w:tcPr>
          <w:p>
            <w:pPr>
              <w:widowControl/>
              <w:jc w:val="left"/>
              <w:rPr>
                <w:rFonts w:ascii="仿宋" w:hAnsi="仿宋" w:eastAsia="仿宋" w:cs="宋体"/>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15" w:type="dxa"/>
            <w:vMerge w:val="continue"/>
            <w:vAlign w:val="center"/>
          </w:tcPr>
          <w:p>
            <w:pPr>
              <w:widowControl/>
              <w:jc w:val="left"/>
              <w:rPr>
                <w:rFonts w:ascii="仿宋" w:hAnsi="仿宋" w:eastAsia="仿宋" w:cs="宋体"/>
                <w:color w:val="000000"/>
                <w:kern w:val="0"/>
                <w:sz w:val="18"/>
                <w:szCs w:val="18"/>
              </w:rPr>
            </w:pPr>
          </w:p>
        </w:tc>
        <w:tc>
          <w:tcPr>
            <w:tcW w:w="1555" w:type="dxa"/>
            <w:vMerge w:val="continue"/>
            <w:vAlign w:val="center"/>
          </w:tcPr>
          <w:p>
            <w:pPr>
              <w:widowControl/>
              <w:jc w:val="left"/>
              <w:rPr>
                <w:rFonts w:ascii="仿宋" w:hAnsi="仿宋" w:eastAsia="仿宋" w:cs="宋体"/>
                <w:color w:val="000000"/>
                <w:kern w:val="0"/>
                <w:sz w:val="18"/>
                <w:szCs w:val="18"/>
              </w:rPr>
            </w:pPr>
          </w:p>
        </w:tc>
        <w:tc>
          <w:tcPr>
            <w:tcW w:w="1090" w:type="dxa"/>
            <w:vMerge w:val="continue"/>
            <w:vAlign w:val="center"/>
          </w:tcPr>
          <w:p>
            <w:pPr>
              <w:widowControl/>
              <w:jc w:val="left"/>
              <w:rPr>
                <w:rFonts w:ascii="仿宋" w:hAnsi="仿宋" w:eastAsia="仿宋" w:cs="宋体"/>
                <w:color w:val="000000"/>
                <w:kern w:val="0"/>
                <w:sz w:val="18"/>
                <w:szCs w:val="18"/>
              </w:rPr>
            </w:pPr>
          </w:p>
        </w:tc>
        <w:tc>
          <w:tcPr>
            <w:tcW w:w="6210" w:type="dxa"/>
            <w:vMerge w:val="continue"/>
            <w:vAlign w:val="center"/>
          </w:tcPr>
          <w:p>
            <w:pPr>
              <w:widowControl/>
              <w:jc w:val="left"/>
              <w:rPr>
                <w:rFonts w:ascii="仿宋" w:hAnsi="仿宋" w:eastAsia="仿宋" w:cs="宋体"/>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15" w:type="dxa"/>
            <w:vMerge w:val="continue"/>
            <w:vAlign w:val="center"/>
          </w:tcPr>
          <w:p>
            <w:pPr>
              <w:widowControl/>
              <w:jc w:val="left"/>
              <w:rPr>
                <w:rFonts w:ascii="仿宋" w:hAnsi="仿宋" w:eastAsia="仿宋" w:cs="宋体"/>
                <w:color w:val="000000"/>
                <w:kern w:val="0"/>
                <w:sz w:val="18"/>
                <w:szCs w:val="18"/>
              </w:rPr>
            </w:pPr>
          </w:p>
        </w:tc>
        <w:tc>
          <w:tcPr>
            <w:tcW w:w="1555" w:type="dxa"/>
            <w:vMerge w:val="continue"/>
            <w:vAlign w:val="center"/>
          </w:tcPr>
          <w:p>
            <w:pPr>
              <w:widowControl/>
              <w:jc w:val="left"/>
              <w:rPr>
                <w:rFonts w:ascii="仿宋" w:hAnsi="仿宋" w:eastAsia="仿宋" w:cs="宋体"/>
                <w:color w:val="000000"/>
                <w:kern w:val="0"/>
                <w:sz w:val="18"/>
                <w:szCs w:val="18"/>
              </w:rPr>
            </w:pPr>
          </w:p>
        </w:tc>
        <w:tc>
          <w:tcPr>
            <w:tcW w:w="1090" w:type="dxa"/>
            <w:vMerge w:val="continue"/>
            <w:vAlign w:val="center"/>
          </w:tcPr>
          <w:p>
            <w:pPr>
              <w:widowControl/>
              <w:jc w:val="left"/>
              <w:rPr>
                <w:rFonts w:ascii="仿宋" w:hAnsi="仿宋" w:eastAsia="仿宋" w:cs="宋体"/>
                <w:color w:val="000000"/>
                <w:kern w:val="0"/>
                <w:sz w:val="18"/>
                <w:szCs w:val="18"/>
              </w:rPr>
            </w:pPr>
          </w:p>
        </w:tc>
        <w:tc>
          <w:tcPr>
            <w:tcW w:w="6210" w:type="dxa"/>
            <w:vMerge w:val="continue"/>
            <w:vAlign w:val="center"/>
          </w:tcPr>
          <w:p>
            <w:pPr>
              <w:widowControl/>
              <w:jc w:val="left"/>
              <w:rPr>
                <w:rFonts w:ascii="仿宋" w:hAnsi="仿宋" w:eastAsia="仿宋" w:cs="宋体"/>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615" w:type="dxa"/>
            <w:vMerge w:val="continue"/>
            <w:vAlign w:val="center"/>
          </w:tcPr>
          <w:p>
            <w:pPr>
              <w:widowControl/>
              <w:jc w:val="left"/>
              <w:rPr>
                <w:rFonts w:ascii="仿宋" w:hAnsi="仿宋" w:eastAsia="仿宋" w:cs="宋体"/>
                <w:color w:val="000000"/>
                <w:kern w:val="0"/>
                <w:sz w:val="18"/>
                <w:szCs w:val="18"/>
              </w:rPr>
            </w:pPr>
          </w:p>
        </w:tc>
        <w:tc>
          <w:tcPr>
            <w:tcW w:w="1555" w:type="dxa"/>
            <w:vMerge w:val="continue"/>
            <w:vAlign w:val="center"/>
          </w:tcPr>
          <w:p>
            <w:pPr>
              <w:widowControl/>
              <w:jc w:val="left"/>
              <w:rPr>
                <w:rFonts w:ascii="仿宋" w:hAnsi="仿宋" w:eastAsia="仿宋" w:cs="宋体"/>
                <w:color w:val="000000"/>
                <w:kern w:val="0"/>
                <w:sz w:val="18"/>
                <w:szCs w:val="18"/>
              </w:rPr>
            </w:pPr>
          </w:p>
        </w:tc>
        <w:tc>
          <w:tcPr>
            <w:tcW w:w="1090" w:type="dxa"/>
            <w:vMerge w:val="continue"/>
            <w:vAlign w:val="center"/>
          </w:tcPr>
          <w:p>
            <w:pPr>
              <w:widowControl/>
              <w:jc w:val="left"/>
              <w:rPr>
                <w:rFonts w:ascii="仿宋" w:hAnsi="仿宋" w:eastAsia="仿宋" w:cs="宋体"/>
                <w:color w:val="000000"/>
                <w:kern w:val="0"/>
                <w:sz w:val="18"/>
                <w:szCs w:val="18"/>
              </w:rPr>
            </w:pPr>
          </w:p>
        </w:tc>
        <w:tc>
          <w:tcPr>
            <w:tcW w:w="6210" w:type="dxa"/>
            <w:vMerge w:val="continue"/>
            <w:vAlign w:val="center"/>
          </w:tcPr>
          <w:p>
            <w:pPr>
              <w:widowControl/>
              <w:jc w:val="left"/>
              <w:rPr>
                <w:rFonts w:ascii="仿宋" w:hAnsi="仿宋" w:eastAsia="仿宋" w:cs="宋体"/>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615" w:type="dxa"/>
            <w:vMerge w:val="continue"/>
            <w:vAlign w:val="center"/>
          </w:tcPr>
          <w:p>
            <w:pPr>
              <w:widowControl/>
              <w:jc w:val="left"/>
              <w:rPr>
                <w:rFonts w:ascii="仿宋" w:hAnsi="仿宋" w:eastAsia="仿宋" w:cs="宋体"/>
                <w:color w:val="000000"/>
                <w:kern w:val="0"/>
                <w:sz w:val="18"/>
                <w:szCs w:val="18"/>
              </w:rPr>
            </w:pPr>
          </w:p>
        </w:tc>
        <w:tc>
          <w:tcPr>
            <w:tcW w:w="1555" w:type="dxa"/>
            <w:vMerge w:val="continue"/>
            <w:vAlign w:val="center"/>
          </w:tcPr>
          <w:p>
            <w:pPr>
              <w:widowControl/>
              <w:jc w:val="left"/>
              <w:rPr>
                <w:rFonts w:ascii="仿宋" w:hAnsi="仿宋" w:eastAsia="仿宋" w:cs="宋体"/>
                <w:color w:val="000000"/>
                <w:kern w:val="0"/>
                <w:sz w:val="18"/>
                <w:szCs w:val="18"/>
              </w:rPr>
            </w:pPr>
          </w:p>
        </w:tc>
        <w:tc>
          <w:tcPr>
            <w:tcW w:w="1090" w:type="dxa"/>
            <w:vMerge w:val="continue"/>
            <w:vAlign w:val="center"/>
          </w:tcPr>
          <w:p>
            <w:pPr>
              <w:widowControl/>
              <w:jc w:val="left"/>
              <w:rPr>
                <w:rFonts w:ascii="仿宋" w:hAnsi="仿宋" w:eastAsia="仿宋" w:cs="宋体"/>
                <w:color w:val="000000"/>
                <w:kern w:val="0"/>
                <w:sz w:val="18"/>
                <w:szCs w:val="18"/>
              </w:rPr>
            </w:pPr>
          </w:p>
        </w:tc>
        <w:tc>
          <w:tcPr>
            <w:tcW w:w="6210" w:type="dxa"/>
            <w:vMerge w:val="continue"/>
            <w:vAlign w:val="center"/>
          </w:tcPr>
          <w:p>
            <w:pPr>
              <w:widowControl/>
              <w:jc w:val="left"/>
              <w:rPr>
                <w:rFonts w:ascii="仿宋" w:hAnsi="仿宋" w:eastAsia="仿宋" w:cs="宋体"/>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615" w:type="dxa"/>
            <w:vMerge w:val="continue"/>
            <w:vAlign w:val="center"/>
          </w:tcPr>
          <w:p>
            <w:pPr>
              <w:widowControl/>
              <w:jc w:val="left"/>
              <w:rPr>
                <w:rFonts w:ascii="仿宋" w:hAnsi="仿宋" w:eastAsia="仿宋" w:cs="宋体"/>
                <w:color w:val="000000"/>
                <w:kern w:val="0"/>
                <w:sz w:val="18"/>
                <w:szCs w:val="18"/>
              </w:rPr>
            </w:pPr>
          </w:p>
        </w:tc>
        <w:tc>
          <w:tcPr>
            <w:tcW w:w="1555" w:type="dxa"/>
            <w:vMerge w:val="continue"/>
            <w:vAlign w:val="center"/>
          </w:tcPr>
          <w:p>
            <w:pPr>
              <w:widowControl/>
              <w:jc w:val="left"/>
              <w:rPr>
                <w:rFonts w:ascii="仿宋" w:hAnsi="仿宋" w:eastAsia="仿宋" w:cs="宋体"/>
                <w:color w:val="000000"/>
                <w:kern w:val="0"/>
                <w:sz w:val="18"/>
                <w:szCs w:val="18"/>
              </w:rPr>
            </w:pPr>
          </w:p>
        </w:tc>
        <w:tc>
          <w:tcPr>
            <w:tcW w:w="1090" w:type="dxa"/>
            <w:vMerge w:val="continue"/>
            <w:vAlign w:val="center"/>
          </w:tcPr>
          <w:p>
            <w:pPr>
              <w:widowControl/>
              <w:jc w:val="left"/>
              <w:rPr>
                <w:rFonts w:ascii="仿宋" w:hAnsi="仿宋" w:eastAsia="仿宋" w:cs="宋体"/>
                <w:color w:val="000000"/>
                <w:kern w:val="0"/>
                <w:sz w:val="18"/>
                <w:szCs w:val="18"/>
              </w:rPr>
            </w:pPr>
          </w:p>
        </w:tc>
        <w:tc>
          <w:tcPr>
            <w:tcW w:w="6210" w:type="dxa"/>
            <w:vMerge w:val="continue"/>
            <w:vAlign w:val="center"/>
          </w:tcPr>
          <w:p>
            <w:pPr>
              <w:widowControl/>
              <w:jc w:val="left"/>
              <w:rPr>
                <w:rFonts w:ascii="仿宋" w:hAnsi="仿宋" w:eastAsia="仿宋" w:cs="宋体"/>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15" w:type="dxa"/>
            <w:vMerge w:val="continue"/>
            <w:vAlign w:val="center"/>
          </w:tcPr>
          <w:p>
            <w:pPr>
              <w:widowControl/>
              <w:jc w:val="left"/>
              <w:rPr>
                <w:rFonts w:ascii="仿宋" w:hAnsi="仿宋" w:eastAsia="仿宋" w:cs="宋体"/>
                <w:color w:val="000000"/>
                <w:kern w:val="0"/>
                <w:sz w:val="18"/>
                <w:szCs w:val="18"/>
              </w:rPr>
            </w:pPr>
          </w:p>
        </w:tc>
        <w:tc>
          <w:tcPr>
            <w:tcW w:w="1555" w:type="dxa"/>
            <w:vMerge w:val="continue"/>
            <w:vAlign w:val="center"/>
          </w:tcPr>
          <w:p>
            <w:pPr>
              <w:widowControl/>
              <w:jc w:val="left"/>
              <w:rPr>
                <w:rFonts w:ascii="仿宋" w:hAnsi="仿宋" w:eastAsia="仿宋" w:cs="宋体"/>
                <w:color w:val="000000"/>
                <w:kern w:val="0"/>
                <w:sz w:val="18"/>
                <w:szCs w:val="18"/>
              </w:rPr>
            </w:pPr>
          </w:p>
        </w:tc>
        <w:tc>
          <w:tcPr>
            <w:tcW w:w="1090" w:type="dxa"/>
            <w:vMerge w:val="continue"/>
            <w:vAlign w:val="center"/>
          </w:tcPr>
          <w:p>
            <w:pPr>
              <w:widowControl/>
              <w:jc w:val="left"/>
              <w:rPr>
                <w:rFonts w:ascii="仿宋" w:hAnsi="仿宋" w:eastAsia="仿宋" w:cs="宋体"/>
                <w:color w:val="000000"/>
                <w:kern w:val="0"/>
                <w:sz w:val="18"/>
                <w:szCs w:val="18"/>
              </w:rPr>
            </w:pPr>
          </w:p>
        </w:tc>
        <w:tc>
          <w:tcPr>
            <w:tcW w:w="6210" w:type="dxa"/>
            <w:vMerge w:val="continue"/>
            <w:vAlign w:val="center"/>
          </w:tcPr>
          <w:p>
            <w:pPr>
              <w:widowControl/>
              <w:jc w:val="left"/>
              <w:rPr>
                <w:rFonts w:ascii="仿宋" w:hAnsi="仿宋" w:eastAsia="仿宋" w:cs="宋体"/>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615" w:type="dxa"/>
            <w:vMerge w:val="continue"/>
            <w:vAlign w:val="center"/>
          </w:tcPr>
          <w:p>
            <w:pPr>
              <w:widowControl/>
              <w:jc w:val="left"/>
              <w:rPr>
                <w:rFonts w:ascii="仿宋" w:hAnsi="仿宋" w:eastAsia="仿宋" w:cs="宋体"/>
                <w:color w:val="000000"/>
                <w:kern w:val="0"/>
                <w:sz w:val="18"/>
                <w:szCs w:val="18"/>
              </w:rPr>
            </w:pPr>
          </w:p>
        </w:tc>
        <w:tc>
          <w:tcPr>
            <w:tcW w:w="1555" w:type="dxa"/>
            <w:vMerge w:val="continue"/>
            <w:vAlign w:val="center"/>
          </w:tcPr>
          <w:p>
            <w:pPr>
              <w:widowControl/>
              <w:jc w:val="left"/>
              <w:rPr>
                <w:rFonts w:ascii="仿宋" w:hAnsi="仿宋" w:eastAsia="仿宋" w:cs="宋体"/>
                <w:color w:val="000000"/>
                <w:kern w:val="0"/>
                <w:sz w:val="18"/>
                <w:szCs w:val="18"/>
              </w:rPr>
            </w:pPr>
          </w:p>
        </w:tc>
        <w:tc>
          <w:tcPr>
            <w:tcW w:w="1090" w:type="dxa"/>
            <w:shd w:val="clear" w:color="auto" w:fill="auto"/>
            <w:vAlign w:val="center"/>
          </w:tcPr>
          <w:p>
            <w:pPr>
              <w:widowControl/>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数字驾驶舱移动端</w:t>
            </w:r>
          </w:p>
        </w:tc>
        <w:tc>
          <w:tcPr>
            <w:tcW w:w="6210" w:type="dxa"/>
            <w:shd w:val="clear" w:color="auto" w:fill="auto"/>
            <w:vAlign w:val="center"/>
          </w:tcPr>
          <w:p>
            <w:pPr>
              <w:widowControl/>
              <w:jc w:val="left"/>
              <w:rPr>
                <w:rFonts w:ascii="仿宋" w:hAnsi="仿宋" w:eastAsia="仿宋" w:cs="宋体"/>
                <w:color w:val="000000"/>
                <w:kern w:val="0"/>
                <w:sz w:val="18"/>
                <w:szCs w:val="18"/>
              </w:rPr>
            </w:pPr>
            <w:r>
              <w:rPr>
                <w:rFonts w:hint="eastAsia" w:ascii="仿宋" w:hAnsi="仿宋" w:eastAsia="仿宋" w:cs="宋体"/>
                <w:color w:val="000000"/>
                <w:kern w:val="0"/>
                <w:sz w:val="18"/>
                <w:szCs w:val="18"/>
              </w:rPr>
              <w:t>数字驾驶舱移动端主要针对乡镇（街道）管理员开发设计，因此数字驾驶舱移动端对所有统计分析都增加了乡镇（街道）视角，所有统计数据可以从市级进行下钻，查看具体的某一个乡镇（街道）的统计分析。此外，数字驾驶舱移动端的指标和统计维度与PC端保持一致，并针对移动端的特点进行了优化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615" w:type="dxa"/>
            <w:vMerge w:val="restart"/>
            <w:shd w:val="clear" w:color="auto" w:fill="auto"/>
            <w:vAlign w:val="center"/>
          </w:tcPr>
          <w:p>
            <w:pPr>
              <w:widowControl/>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w:t>
            </w:r>
          </w:p>
        </w:tc>
        <w:tc>
          <w:tcPr>
            <w:tcW w:w="1555" w:type="dxa"/>
            <w:vMerge w:val="restart"/>
            <w:shd w:val="clear" w:color="auto" w:fill="auto"/>
            <w:vAlign w:val="center"/>
          </w:tcPr>
          <w:p>
            <w:pPr>
              <w:widowControl/>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“17防”平台</w:t>
            </w:r>
          </w:p>
        </w:tc>
        <w:tc>
          <w:tcPr>
            <w:tcW w:w="1090" w:type="dxa"/>
            <w:shd w:val="clear" w:color="auto" w:fill="auto"/>
            <w:vAlign w:val="center"/>
          </w:tcPr>
          <w:p>
            <w:pPr>
              <w:widowControl/>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“17防”微信门户</w:t>
            </w:r>
          </w:p>
        </w:tc>
        <w:tc>
          <w:tcPr>
            <w:tcW w:w="6210" w:type="dxa"/>
            <w:shd w:val="clear" w:color="auto" w:fill="auto"/>
            <w:vAlign w:val="center"/>
          </w:tcPr>
          <w:p>
            <w:pPr>
              <w:widowControl/>
              <w:jc w:val="left"/>
              <w:rPr>
                <w:rFonts w:ascii="仿宋" w:hAnsi="仿宋" w:eastAsia="仿宋" w:cs="宋体"/>
                <w:color w:val="000000"/>
                <w:kern w:val="0"/>
                <w:sz w:val="18"/>
                <w:szCs w:val="18"/>
              </w:rPr>
            </w:pPr>
            <w:r>
              <w:rPr>
                <w:rFonts w:hint="eastAsia" w:ascii="仿宋" w:hAnsi="仿宋" w:eastAsia="仿宋" w:cs="宋体"/>
                <w:color w:val="000000"/>
                <w:kern w:val="0"/>
                <w:sz w:val="18"/>
                <w:szCs w:val="18"/>
              </w:rPr>
              <w:t>微信端从“安心返”、“放心种”升级为微信门户。微信门户作为建德市疫情防控的一体化平台，面向公众提供所有新冠疫情防控的便民服务平台，主要包含下面应用：</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1）我要接种</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（1）放心种（疫苗接种）</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（2）疫苗接种点查询（包含方舱）</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（3）疫苗接种记录查询（疫苗接种证明）</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2）我要返建</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（1）安心返（返乡、返工、返学登记）</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（2）疫情风险查询（实时高中风险地区、风险等级）</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（3）防疫行程卡</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3）我要核检</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（1）核酸检测预约</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（2）核酸检测点查询</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（3）核酸检测结果证明</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4）我要申诉</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（1）杭州健康码异常申诉</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5）咨询投诉</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6）17防资讯</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（1）防疫抗灾疫情政策宣传</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（2）新冠疫苗问答</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（3）疫情速递</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（4）疫情科普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jc w:val="center"/>
        </w:trPr>
        <w:tc>
          <w:tcPr>
            <w:tcW w:w="615" w:type="dxa"/>
            <w:vMerge w:val="continue"/>
            <w:vAlign w:val="center"/>
          </w:tcPr>
          <w:p>
            <w:pPr>
              <w:widowControl/>
              <w:jc w:val="left"/>
              <w:rPr>
                <w:rFonts w:ascii="仿宋" w:hAnsi="仿宋" w:eastAsia="仿宋" w:cs="宋体"/>
                <w:color w:val="000000"/>
                <w:kern w:val="0"/>
                <w:sz w:val="18"/>
                <w:szCs w:val="18"/>
              </w:rPr>
            </w:pPr>
          </w:p>
        </w:tc>
        <w:tc>
          <w:tcPr>
            <w:tcW w:w="1555" w:type="dxa"/>
            <w:vMerge w:val="continue"/>
            <w:vAlign w:val="center"/>
          </w:tcPr>
          <w:p>
            <w:pPr>
              <w:widowControl/>
              <w:jc w:val="left"/>
              <w:rPr>
                <w:rFonts w:ascii="仿宋" w:hAnsi="仿宋" w:eastAsia="仿宋" w:cs="宋体"/>
                <w:color w:val="000000"/>
                <w:kern w:val="0"/>
                <w:sz w:val="18"/>
                <w:szCs w:val="18"/>
              </w:rPr>
            </w:pPr>
          </w:p>
        </w:tc>
        <w:tc>
          <w:tcPr>
            <w:tcW w:w="1090" w:type="dxa"/>
            <w:shd w:val="clear" w:color="auto" w:fill="auto"/>
            <w:vAlign w:val="center"/>
          </w:tcPr>
          <w:p>
            <w:pPr>
              <w:widowControl/>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“17防”数字驾驶舱</w:t>
            </w:r>
          </w:p>
        </w:tc>
        <w:tc>
          <w:tcPr>
            <w:tcW w:w="6210" w:type="dxa"/>
            <w:shd w:val="clear" w:color="auto" w:fill="auto"/>
            <w:vAlign w:val="center"/>
          </w:tcPr>
          <w:p>
            <w:pPr>
              <w:widowControl/>
              <w:jc w:val="left"/>
              <w:rPr>
                <w:rFonts w:ascii="仿宋" w:hAnsi="仿宋" w:eastAsia="仿宋" w:cs="宋体"/>
                <w:color w:val="000000"/>
                <w:kern w:val="0"/>
                <w:sz w:val="18"/>
                <w:szCs w:val="18"/>
              </w:rPr>
            </w:pPr>
            <w:r>
              <w:rPr>
                <w:rFonts w:hint="eastAsia" w:ascii="仿宋" w:hAnsi="仿宋" w:eastAsia="仿宋" w:cs="宋体"/>
                <w:color w:val="000000"/>
                <w:kern w:val="0"/>
                <w:sz w:val="18"/>
                <w:szCs w:val="18"/>
              </w:rPr>
              <w:t>“安心返”数字驾驶舱进行全面升级。</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1）新建“17防”数字驾驶舱</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2）“安心返”数字驾驶舱嵌入“17防”数字驾驶舱，作为子屏。</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3）新建“放心种”数字驾驶舱，作为“17防”数字驾驶舱子屏。</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4）根据疫情防控需要，新增1~2个子屏，形成“17防”1+N模式数字驾驶舱。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615" w:type="dxa"/>
            <w:shd w:val="clear" w:color="auto" w:fill="auto"/>
            <w:vAlign w:val="center"/>
          </w:tcPr>
          <w:p>
            <w:pPr>
              <w:widowControl/>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w:t>
            </w:r>
          </w:p>
        </w:tc>
        <w:tc>
          <w:tcPr>
            <w:tcW w:w="2645" w:type="dxa"/>
            <w:gridSpan w:val="2"/>
            <w:shd w:val="clear" w:color="auto" w:fill="auto"/>
            <w:vAlign w:val="center"/>
          </w:tcPr>
          <w:p>
            <w:pPr>
              <w:widowControl/>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系统运维</w:t>
            </w:r>
          </w:p>
        </w:tc>
        <w:tc>
          <w:tcPr>
            <w:tcW w:w="6210" w:type="dxa"/>
            <w:shd w:val="clear" w:color="auto" w:fill="auto"/>
            <w:vAlign w:val="center"/>
          </w:tcPr>
          <w:p>
            <w:pPr>
              <w:widowControl/>
              <w:jc w:val="left"/>
              <w:rPr>
                <w:rFonts w:ascii="仿宋" w:hAnsi="仿宋" w:eastAsia="仿宋" w:cs="宋体"/>
                <w:color w:val="000000"/>
                <w:kern w:val="0"/>
                <w:sz w:val="18"/>
                <w:szCs w:val="18"/>
              </w:rPr>
            </w:pPr>
            <w:r>
              <w:rPr>
                <w:rFonts w:hint="eastAsia" w:ascii="仿宋" w:hAnsi="仿宋" w:eastAsia="仿宋" w:cs="宋体"/>
                <w:color w:val="000000"/>
                <w:kern w:val="0"/>
                <w:sz w:val="18"/>
                <w:szCs w:val="18"/>
              </w:rPr>
              <w:t>提供7*12小时技术运维服务，一年。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470" w:type="dxa"/>
            <w:gridSpan w:val="4"/>
            <w:shd w:val="clear" w:color="auto" w:fill="auto"/>
            <w:vAlign w:val="center"/>
          </w:tcPr>
          <w:p>
            <w:pPr>
              <w:widowControl/>
              <w:jc w:val="center"/>
              <w:rPr>
                <w:rFonts w:ascii="仿宋" w:hAnsi="仿宋" w:eastAsia="仿宋" w:cs="宋体"/>
                <w:color w:val="auto"/>
                <w:kern w:val="0"/>
                <w:sz w:val="18"/>
                <w:szCs w:val="18"/>
              </w:rPr>
            </w:pPr>
            <w:r>
              <w:rPr>
                <w:rFonts w:hint="eastAsia" w:ascii="仿宋" w:hAnsi="仿宋" w:eastAsia="仿宋" w:cs="宋体"/>
                <w:color w:val="auto"/>
                <w:kern w:val="0"/>
                <w:sz w:val="18"/>
                <w:szCs w:val="18"/>
              </w:rPr>
              <w:t>总价合计（含税）大写：</w:t>
            </w:r>
            <w:r>
              <w:rPr>
                <w:rFonts w:hint="eastAsia" w:ascii="仿宋" w:hAnsi="仿宋" w:eastAsia="仿宋" w:cs="宋体"/>
                <w:color w:val="auto"/>
                <w:kern w:val="0"/>
                <w:sz w:val="18"/>
                <w:szCs w:val="18"/>
                <w:lang w:val="en-US" w:eastAsia="zh-CN"/>
              </w:rPr>
              <w:t>玖拾壹万</w:t>
            </w:r>
            <w:r>
              <w:rPr>
                <w:rFonts w:hint="eastAsia" w:ascii="仿宋" w:hAnsi="仿宋" w:eastAsia="仿宋" w:cs="宋体"/>
                <w:color w:val="auto"/>
                <w:kern w:val="0"/>
                <w:sz w:val="18"/>
                <w:szCs w:val="18"/>
              </w:rPr>
              <w:t>元整</w:t>
            </w:r>
          </w:p>
        </w:tc>
      </w:tr>
    </w:tbl>
    <w:p>
      <w:pPr>
        <w:pStyle w:val="5"/>
        <w:rPr>
          <w:rFonts w:ascii="仿宋" w:hAnsi="仿宋" w:eastAsia="仿宋"/>
          <w:sz w:val="32"/>
          <w:szCs w:val="18"/>
        </w:rPr>
      </w:pPr>
      <w:bookmarkStart w:id="3" w:name="_Toc83568270"/>
      <w:r>
        <w:rPr>
          <w:rFonts w:hint="eastAsia" w:ascii="仿宋" w:hAnsi="仿宋" w:eastAsia="仿宋"/>
          <w:sz w:val="32"/>
          <w:szCs w:val="18"/>
        </w:rPr>
        <w:t>项目技术</w:t>
      </w:r>
      <w:r>
        <w:rPr>
          <w:rFonts w:ascii="仿宋" w:hAnsi="仿宋" w:eastAsia="仿宋"/>
          <w:sz w:val="32"/>
          <w:szCs w:val="18"/>
        </w:rPr>
        <w:t>方案</w:t>
      </w:r>
      <w:bookmarkEnd w:id="3"/>
    </w:p>
    <w:p>
      <w:pPr>
        <w:pStyle w:val="6"/>
        <w:tabs>
          <w:tab w:val="left" w:pos="0"/>
        </w:tabs>
        <w:rPr>
          <w:rFonts w:ascii="仿宋" w:hAnsi="仿宋" w:eastAsia="仿宋"/>
          <w:sz w:val="28"/>
          <w:szCs w:val="28"/>
        </w:rPr>
      </w:pPr>
      <w:bookmarkStart w:id="4" w:name="_Toc83568271"/>
      <w:r>
        <w:rPr>
          <w:rFonts w:hint="eastAsia" w:ascii="仿宋" w:hAnsi="仿宋" w:eastAsia="仿宋"/>
          <w:sz w:val="28"/>
          <w:szCs w:val="28"/>
        </w:rPr>
        <w:t>项目建设</w:t>
      </w:r>
      <w:r>
        <w:rPr>
          <w:rFonts w:ascii="仿宋" w:hAnsi="仿宋" w:eastAsia="仿宋"/>
          <w:sz w:val="28"/>
          <w:szCs w:val="28"/>
        </w:rPr>
        <w:t>总体规划</w:t>
      </w:r>
      <w:bookmarkEnd w:id="4"/>
    </w:p>
    <w:p>
      <w:pPr>
        <w:pStyle w:val="7"/>
        <w:tabs>
          <w:tab w:val="left" w:pos="0"/>
        </w:tabs>
        <w:ind w:left="0" w:firstLine="0"/>
        <w:rPr>
          <w:rFonts w:ascii="仿宋" w:hAnsi="仿宋" w:eastAsia="仿宋"/>
          <w:sz w:val="24"/>
          <w:szCs w:val="18"/>
        </w:rPr>
      </w:pPr>
      <w:bookmarkStart w:id="5" w:name="_Toc83568272"/>
      <w:r>
        <w:rPr>
          <w:rFonts w:hint="eastAsia" w:ascii="仿宋" w:hAnsi="仿宋" w:eastAsia="仿宋"/>
          <w:sz w:val="24"/>
          <w:szCs w:val="18"/>
        </w:rPr>
        <w:t>项目总目标</w:t>
      </w:r>
      <w:bookmarkEnd w:id="5"/>
    </w:p>
    <w:p>
      <w:pPr>
        <w:ind w:firstLine="480" w:firstLineChars="200"/>
        <w:rPr>
          <w:rFonts w:ascii="仿宋" w:hAnsi="仿宋" w:eastAsia="仿宋"/>
          <w:sz w:val="24"/>
          <w:szCs w:val="24"/>
        </w:rPr>
      </w:pPr>
      <w:r>
        <w:rPr>
          <w:rFonts w:hint="eastAsia" w:ascii="仿宋" w:hAnsi="仿宋" w:eastAsia="仿宋"/>
          <w:sz w:val="24"/>
          <w:szCs w:val="24"/>
        </w:rPr>
        <w:t>“安心返”系统及“1</w:t>
      </w:r>
      <w:r>
        <w:rPr>
          <w:rFonts w:ascii="仿宋" w:hAnsi="仿宋" w:eastAsia="仿宋"/>
          <w:sz w:val="24"/>
          <w:szCs w:val="24"/>
        </w:rPr>
        <w:t>7</w:t>
      </w:r>
      <w:r>
        <w:rPr>
          <w:rFonts w:hint="eastAsia" w:ascii="仿宋" w:hAnsi="仿宋" w:eastAsia="仿宋"/>
          <w:sz w:val="24"/>
          <w:szCs w:val="24"/>
        </w:rPr>
        <w:t>防”平台根据相关政策要求，面向返回建德人员实现主动返建申报，面向乡镇（街道）防控工作人员实现返建人员信息核验、汇总和上报，新冠疫苗预约登记，面向市防控工作领导小组和疫情防控指挥中心及相关人员实现全市返建人员及疫苗接种人员的信息监测、统计、分析和预警，实现数字防疫，助力各类人员安心返建。</w:t>
      </w:r>
    </w:p>
    <w:p>
      <w:pPr>
        <w:ind w:firstLine="480" w:firstLineChars="200"/>
        <w:rPr>
          <w:rFonts w:ascii="仿宋" w:hAnsi="仿宋" w:eastAsia="仿宋"/>
          <w:sz w:val="24"/>
          <w:szCs w:val="24"/>
        </w:rPr>
      </w:pPr>
      <w:r>
        <w:rPr>
          <w:rFonts w:hint="eastAsia" w:ascii="仿宋" w:hAnsi="仿宋" w:eastAsia="仿宋"/>
          <w:sz w:val="24"/>
          <w:szCs w:val="24"/>
        </w:rPr>
        <w:t>1、科学利用“安心返”系统及“1</w:t>
      </w:r>
      <w:r>
        <w:rPr>
          <w:rFonts w:ascii="仿宋" w:hAnsi="仿宋" w:eastAsia="仿宋"/>
          <w:sz w:val="24"/>
          <w:szCs w:val="24"/>
        </w:rPr>
        <w:t>7</w:t>
      </w:r>
      <w:r>
        <w:rPr>
          <w:rFonts w:hint="eastAsia" w:ascii="仿宋" w:hAnsi="仿宋" w:eastAsia="仿宋"/>
          <w:sz w:val="24"/>
          <w:szCs w:val="24"/>
        </w:rPr>
        <w:t>防”平台，开展社区实施全面化、精准化摸排与人员追踪工作，有效落实综合性防控措施，做到“早发现、早报告、早隔离、早诊断、早治疗”，防止疫情输入、蔓延、输出以及控制疾病传播。</w:t>
      </w:r>
    </w:p>
    <w:p>
      <w:pPr>
        <w:ind w:firstLine="480" w:firstLineChars="200"/>
        <w:rPr>
          <w:rFonts w:ascii="仿宋" w:hAnsi="仿宋" w:eastAsia="仿宋"/>
          <w:sz w:val="24"/>
          <w:szCs w:val="24"/>
        </w:rPr>
      </w:pPr>
      <w:r>
        <w:rPr>
          <w:rFonts w:hint="eastAsia" w:ascii="仿宋" w:hAnsi="仿宋" w:eastAsia="仿宋"/>
          <w:sz w:val="24"/>
          <w:szCs w:val="24"/>
        </w:rPr>
        <w:t>2、建立分级联防联控管理机制，各乡镇（街道）和社区（村）主动开展高中风险地区返建人员追踪、重点管控名单追查，对所有返建人员进行科普宣教、健康提示、信息报告。各级医疗卫生机构指导社区做好肺炎疫情的发现、防控和应急处置。</w:t>
      </w:r>
    </w:p>
    <w:p>
      <w:pPr>
        <w:ind w:firstLine="480" w:firstLineChars="200"/>
        <w:rPr>
          <w:rFonts w:ascii="仿宋" w:hAnsi="仿宋" w:eastAsia="仿宋"/>
          <w:sz w:val="24"/>
          <w:szCs w:val="24"/>
        </w:rPr>
      </w:pPr>
      <w:r>
        <w:rPr>
          <w:rFonts w:hint="eastAsia" w:ascii="仿宋" w:hAnsi="仿宋" w:eastAsia="仿宋"/>
          <w:sz w:val="24"/>
          <w:szCs w:val="24"/>
        </w:rPr>
        <w:t>3、充分利用信息化手段，有针对性地开展新型冠状病毒感染的肺炎防控知识宣传。设置疫情防控指挥部热线联系电话，精准推送短信提醒信息。</w:t>
      </w:r>
    </w:p>
    <w:p>
      <w:pPr>
        <w:ind w:firstLine="480" w:firstLineChars="200"/>
        <w:rPr>
          <w:rFonts w:ascii="仿宋" w:hAnsi="仿宋" w:eastAsia="仿宋"/>
          <w:sz w:val="24"/>
          <w:szCs w:val="24"/>
        </w:rPr>
      </w:pPr>
      <w:r>
        <w:rPr>
          <w:rFonts w:hint="eastAsia" w:ascii="仿宋" w:hAnsi="仿宋" w:eastAsia="仿宋"/>
          <w:sz w:val="24"/>
          <w:szCs w:val="24"/>
        </w:rPr>
        <w:t>4、充分利用大数据的手段，利用大数据实现精细化、精准化疫情管控，精准管理来自高中风险地区、高危行业、国外入境等重点管控人员，确保追踪到位，提高追踪的敏感性和精细化程度。</w:t>
      </w:r>
    </w:p>
    <w:p>
      <w:pPr>
        <w:pStyle w:val="7"/>
        <w:tabs>
          <w:tab w:val="left" w:pos="0"/>
        </w:tabs>
        <w:ind w:left="0" w:firstLine="0"/>
        <w:rPr>
          <w:rFonts w:ascii="仿宋" w:hAnsi="仿宋" w:eastAsia="仿宋"/>
          <w:sz w:val="24"/>
          <w:szCs w:val="18"/>
        </w:rPr>
      </w:pPr>
      <w:bookmarkStart w:id="6" w:name="_Toc83568273"/>
      <w:r>
        <w:rPr>
          <w:rFonts w:hint="eastAsia" w:ascii="仿宋" w:hAnsi="仿宋" w:eastAsia="仿宋"/>
          <w:sz w:val="24"/>
          <w:szCs w:val="18"/>
        </w:rPr>
        <w:t>建设原则</w:t>
      </w:r>
      <w:bookmarkEnd w:id="6"/>
    </w:p>
    <w:p>
      <w:pPr>
        <w:pStyle w:val="327"/>
        <w:numPr>
          <w:ilvl w:val="0"/>
          <w:numId w:val="13"/>
        </w:numPr>
        <w:spacing w:line="360" w:lineRule="auto"/>
        <w:ind w:firstLine="0" w:firstLineChars="0"/>
        <w:rPr>
          <w:rFonts w:ascii="仿宋" w:hAnsi="仿宋" w:eastAsia="仿宋"/>
          <w:sz w:val="24"/>
          <w:szCs w:val="24"/>
        </w:rPr>
      </w:pPr>
      <w:r>
        <w:rPr>
          <w:rFonts w:ascii="仿宋" w:hAnsi="仿宋" w:eastAsia="仿宋"/>
          <w:sz w:val="24"/>
          <w:szCs w:val="24"/>
        </w:rPr>
        <w:t>可靠性</w:t>
      </w:r>
    </w:p>
    <w:p>
      <w:pPr>
        <w:spacing w:line="360" w:lineRule="auto"/>
        <w:ind w:firstLine="480" w:firstLineChars="200"/>
        <w:rPr>
          <w:rFonts w:ascii="仿宋" w:hAnsi="仿宋" w:eastAsia="仿宋"/>
          <w:sz w:val="24"/>
          <w:szCs w:val="24"/>
        </w:rPr>
      </w:pPr>
      <w:r>
        <w:rPr>
          <w:rFonts w:ascii="仿宋" w:hAnsi="仿宋" w:eastAsia="仿宋"/>
          <w:sz w:val="24"/>
          <w:szCs w:val="24"/>
        </w:rPr>
        <w:t>用软件系统规模越做越大越复杂，其可靠性越来越难保证。应用本身对系统运行的可靠性要求越来越高，软件系统的可靠性也直接关系到设计自身的声誉和生存发展竞争能力。软件可靠性意味着该软件在测试运行过程中避免可能发生故障的能力，且一旦发生故障后，具有解脱和排除故障的能力。软件可靠性和硬件可靠性本质区别在于：后者为物理机理的衰变和老化所致，而前者是由于设计和实现的错误所致。故软件的可靠性必须在设计阶段就确定，在生产和测试阶段再考虑就困难了。</w:t>
      </w:r>
    </w:p>
    <w:p>
      <w:pPr>
        <w:pStyle w:val="327"/>
        <w:numPr>
          <w:ilvl w:val="0"/>
          <w:numId w:val="13"/>
        </w:numPr>
        <w:spacing w:line="360" w:lineRule="auto"/>
        <w:ind w:firstLine="0" w:firstLineChars="0"/>
        <w:rPr>
          <w:rFonts w:ascii="仿宋" w:hAnsi="仿宋" w:eastAsia="仿宋"/>
          <w:sz w:val="24"/>
          <w:szCs w:val="24"/>
        </w:rPr>
      </w:pPr>
      <w:r>
        <w:rPr>
          <w:rFonts w:ascii="仿宋" w:hAnsi="仿宋" w:eastAsia="仿宋"/>
          <w:sz w:val="24"/>
          <w:szCs w:val="24"/>
        </w:rPr>
        <w:t>健壮性</w:t>
      </w:r>
    </w:p>
    <w:p>
      <w:pPr>
        <w:spacing w:line="360" w:lineRule="auto"/>
        <w:ind w:firstLine="480" w:firstLineChars="200"/>
        <w:rPr>
          <w:rFonts w:ascii="仿宋" w:hAnsi="仿宋" w:eastAsia="仿宋"/>
          <w:sz w:val="24"/>
          <w:szCs w:val="24"/>
        </w:rPr>
      </w:pPr>
      <w:r>
        <w:rPr>
          <w:rFonts w:ascii="仿宋" w:hAnsi="仿宋" w:eastAsia="仿宋"/>
          <w:sz w:val="24"/>
          <w:szCs w:val="24"/>
        </w:rPr>
        <w:t>健壮性又称鲁棒性，是指软件对于规范要求以外的输入能够判断出这个输入不符合规范要求，并能有合理的处理方式。软件健壮性是一个比较模糊的概念，但是却是非常重要的软件外部量度标准。软件设计的健壮与否直接反应了分析设计和编码人员的水平。</w:t>
      </w:r>
    </w:p>
    <w:p>
      <w:pPr>
        <w:pStyle w:val="327"/>
        <w:numPr>
          <w:ilvl w:val="0"/>
          <w:numId w:val="13"/>
        </w:numPr>
        <w:spacing w:line="360" w:lineRule="auto"/>
        <w:ind w:firstLine="0" w:firstLineChars="0"/>
        <w:rPr>
          <w:rFonts w:ascii="仿宋" w:hAnsi="仿宋" w:eastAsia="仿宋"/>
          <w:sz w:val="24"/>
          <w:szCs w:val="24"/>
        </w:rPr>
      </w:pPr>
      <w:r>
        <w:rPr>
          <w:rFonts w:ascii="仿宋" w:hAnsi="仿宋" w:eastAsia="仿宋"/>
          <w:sz w:val="24"/>
          <w:szCs w:val="24"/>
        </w:rPr>
        <w:t>可修改性</w:t>
      </w:r>
    </w:p>
    <w:p>
      <w:pPr>
        <w:spacing w:line="360" w:lineRule="auto"/>
        <w:ind w:firstLine="480" w:firstLineChars="200"/>
        <w:rPr>
          <w:rFonts w:ascii="仿宋" w:hAnsi="仿宋" w:eastAsia="仿宋"/>
          <w:sz w:val="24"/>
          <w:szCs w:val="24"/>
        </w:rPr>
      </w:pPr>
      <w:r>
        <w:rPr>
          <w:rFonts w:ascii="仿宋" w:hAnsi="仿宋" w:eastAsia="仿宋"/>
          <w:sz w:val="24"/>
          <w:szCs w:val="24"/>
        </w:rPr>
        <w:t>要求以科学的方法设计软件，使之有良好的结构和完备的文档，系统性能易于调整。</w:t>
      </w:r>
    </w:p>
    <w:p>
      <w:pPr>
        <w:pStyle w:val="327"/>
        <w:numPr>
          <w:ilvl w:val="0"/>
          <w:numId w:val="13"/>
        </w:numPr>
        <w:spacing w:line="360" w:lineRule="auto"/>
        <w:ind w:firstLine="0" w:firstLineChars="0"/>
        <w:rPr>
          <w:rFonts w:ascii="仿宋" w:hAnsi="仿宋" w:eastAsia="仿宋"/>
          <w:sz w:val="24"/>
          <w:szCs w:val="24"/>
        </w:rPr>
      </w:pPr>
      <w:r>
        <w:rPr>
          <w:rFonts w:ascii="仿宋" w:hAnsi="仿宋" w:eastAsia="仿宋"/>
          <w:sz w:val="24"/>
          <w:szCs w:val="24"/>
        </w:rPr>
        <w:t>容易理解</w:t>
      </w:r>
    </w:p>
    <w:p>
      <w:pPr>
        <w:spacing w:line="360" w:lineRule="auto"/>
        <w:ind w:firstLine="480" w:firstLineChars="200"/>
        <w:rPr>
          <w:rFonts w:ascii="仿宋" w:hAnsi="仿宋" w:eastAsia="仿宋"/>
          <w:sz w:val="24"/>
          <w:szCs w:val="24"/>
        </w:rPr>
      </w:pPr>
      <w:r>
        <w:rPr>
          <w:rFonts w:ascii="仿宋" w:hAnsi="仿宋" w:eastAsia="仿宋"/>
          <w:sz w:val="24"/>
          <w:szCs w:val="24"/>
        </w:rPr>
        <w:t>软件的可理解性是其可靠性和可修改性的前提。它并不仅仅是文档清晰可读的问题，更要求软件本身具有简单明了的结构。这在很大程度上取决于设计者的洞察力和创造性，以及对设计对象掌握得透彻程度，当然它还依赖于设计工具和方法的适当运用。</w:t>
      </w:r>
    </w:p>
    <w:p>
      <w:pPr>
        <w:pStyle w:val="327"/>
        <w:numPr>
          <w:ilvl w:val="0"/>
          <w:numId w:val="13"/>
        </w:numPr>
        <w:spacing w:line="360" w:lineRule="auto"/>
        <w:ind w:firstLine="0" w:firstLineChars="0"/>
        <w:rPr>
          <w:rFonts w:ascii="仿宋" w:hAnsi="仿宋" w:eastAsia="仿宋"/>
          <w:sz w:val="24"/>
          <w:szCs w:val="24"/>
        </w:rPr>
      </w:pPr>
      <w:r>
        <w:rPr>
          <w:rFonts w:ascii="仿宋" w:hAnsi="仿宋" w:eastAsia="仿宋"/>
          <w:sz w:val="24"/>
          <w:szCs w:val="24"/>
        </w:rPr>
        <w:t>可测试性</w:t>
      </w:r>
    </w:p>
    <w:p>
      <w:pPr>
        <w:spacing w:line="360" w:lineRule="auto"/>
        <w:ind w:firstLine="480" w:firstLineChars="200"/>
        <w:rPr>
          <w:rFonts w:ascii="仿宋" w:hAnsi="仿宋" w:eastAsia="仿宋"/>
          <w:sz w:val="24"/>
          <w:szCs w:val="24"/>
        </w:rPr>
      </w:pPr>
      <w:r>
        <w:rPr>
          <w:rFonts w:ascii="仿宋" w:hAnsi="仿宋" w:eastAsia="仿宋"/>
          <w:sz w:val="24"/>
          <w:szCs w:val="24"/>
        </w:rPr>
        <w:t>可测试性就是设计一个适当的数据集合，用来测试所建立的系统，并保证系统得到全面的检验。</w:t>
      </w:r>
    </w:p>
    <w:p>
      <w:pPr>
        <w:pStyle w:val="327"/>
        <w:numPr>
          <w:ilvl w:val="0"/>
          <w:numId w:val="13"/>
        </w:numPr>
        <w:spacing w:line="360" w:lineRule="auto"/>
        <w:ind w:firstLine="0" w:firstLineChars="0"/>
        <w:rPr>
          <w:rFonts w:ascii="仿宋" w:hAnsi="仿宋" w:eastAsia="仿宋"/>
          <w:sz w:val="24"/>
          <w:szCs w:val="24"/>
        </w:rPr>
      </w:pPr>
      <w:r>
        <w:rPr>
          <w:rFonts w:ascii="仿宋" w:hAnsi="仿宋" w:eastAsia="仿宋"/>
          <w:sz w:val="24"/>
          <w:szCs w:val="24"/>
        </w:rPr>
        <w:t>效率性</w:t>
      </w:r>
    </w:p>
    <w:p>
      <w:pPr>
        <w:spacing w:line="360" w:lineRule="auto"/>
        <w:ind w:firstLine="480" w:firstLineChars="200"/>
        <w:rPr>
          <w:rFonts w:ascii="仿宋" w:hAnsi="仿宋" w:eastAsia="仿宋"/>
          <w:sz w:val="24"/>
          <w:szCs w:val="24"/>
        </w:rPr>
      </w:pPr>
      <w:r>
        <w:rPr>
          <w:rFonts w:ascii="仿宋" w:hAnsi="仿宋" w:eastAsia="仿宋"/>
          <w:sz w:val="24"/>
          <w:szCs w:val="24"/>
        </w:rPr>
        <w:t>软件的效率性一般用程序的执行时间和所占用的内存容量来度量。在达到原理要求功能指标的前提下，程序运行所需时间愈短和占用存储容量愈小，则效率愈高。</w:t>
      </w:r>
    </w:p>
    <w:p>
      <w:pPr>
        <w:pStyle w:val="327"/>
        <w:numPr>
          <w:ilvl w:val="0"/>
          <w:numId w:val="13"/>
        </w:numPr>
        <w:spacing w:line="360" w:lineRule="auto"/>
        <w:ind w:firstLine="0" w:firstLineChars="0"/>
        <w:rPr>
          <w:rFonts w:ascii="仿宋" w:hAnsi="仿宋" w:eastAsia="仿宋"/>
          <w:sz w:val="24"/>
          <w:szCs w:val="24"/>
        </w:rPr>
      </w:pPr>
      <w:r>
        <w:rPr>
          <w:rFonts w:ascii="仿宋" w:hAnsi="仿宋" w:eastAsia="仿宋"/>
          <w:sz w:val="24"/>
          <w:szCs w:val="24"/>
        </w:rPr>
        <w:t>标准化原则</w:t>
      </w:r>
    </w:p>
    <w:p>
      <w:pPr>
        <w:spacing w:line="360" w:lineRule="auto"/>
        <w:ind w:firstLine="480" w:firstLineChars="200"/>
        <w:rPr>
          <w:rFonts w:ascii="仿宋" w:hAnsi="仿宋" w:eastAsia="仿宋"/>
          <w:sz w:val="24"/>
          <w:szCs w:val="24"/>
        </w:rPr>
      </w:pPr>
      <w:r>
        <w:rPr>
          <w:rFonts w:ascii="仿宋" w:hAnsi="仿宋" w:eastAsia="仿宋"/>
          <w:sz w:val="24"/>
          <w:szCs w:val="24"/>
        </w:rPr>
        <w:t>在结构上实现开放，基于业界开放式标准，符合国家和信息产业部的规范。</w:t>
      </w:r>
    </w:p>
    <w:p>
      <w:pPr>
        <w:pStyle w:val="327"/>
        <w:numPr>
          <w:ilvl w:val="0"/>
          <w:numId w:val="13"/>
        </w:numPr>
        <w:spacing w:line="360" w:lineRule="auto"/>
        <w:ind w:firstLine="0" w:firstLineChars="0"/>
        <w:rPr>
          <w:rFonts w:ascii="仿宋" w:hAnsi="仿宋" w:eastAsia="仿宋"/>
          <w:sz w:val="24"/>
          <w:szCs w:val="24"/>
        </w:rPr>
      </w:pPr>
      <w:r>
        <w:rPr>
          <w:rFonts w:ascii="仿宋" w:hAnsi="仿宋" w:eastAsia="仿宋"/>
          <w:sz w:val="24"/>
          <w:szCs w:val="24"/>
        </w:rPr>
        <w:t>先进性</w:t>
      </w:r>
    </w:p>
    <w:p>
      <w:pPr>
        <w:spacing w:line="360" w:lineRule="auto"/>
        <w:ind w:firstLine="480" w:firstLineChars="200"/>
        <w:rPr>
          <w:rFonts w:ascii="仿宋" w:hAnsi="仿宋" w:eastAsia="仿宋"/>
          <w:sz w:val="24"/>
          <w:szCs w:val="24"/>
        </w:rPr>
      </w:pPr>
      <w:r>
        <w:rPr>
          <w:rFonts w:ascii="仿宋" w:hAnsi="仿宋" w:eastAsia="仿宋"/>
          <w:sz w:val="24"/>
          <w:szCs w:val="24"/>
        </w:rPr>
        <w:t>满足客户需求，系统性能可靠，易于维护。</w:t>
      </w:r>
    </w:p>
    <w:p>
      <w:pPr>
        <w:pStyle w:val="327"/>
        <w:numPr>
          <w:ilvl w:val="0"/>
          <w:numId w:val="13"/>
        </w:numPr>
        <w:spacing w:line="360" w:lineRule="auto"/>
        <w:ind w:firstLine="0" w:firstLineChars="0"/>
        <w:rPr>
          <w:rFonts w:ascii="仿宋" w:hAnsi="仿宋" w:eastAsia="仿宋"/>
          <w:sz w:val="24"/>
          <w:szCs w:val="24"/>
        </w:rPr>
      </w:pPr>
      <w:r>
        <w:rPr>
          <w:rFonts w:ascii="仿宋" w:hAnsi="仿宋" w:eastAsia="仿宋"/>
          <w:sz w:val="24"/>
          <w:szCs w:val="24"/>
        </w:rPr>
        <w:t>可扩展性</w:t>
      </w:r>
    </w:p>
    <w:p>
      <w:pPr>
        <w:spacing w:line="360" w:lineRule="auto"/>
        <w:ind w:firstLine="480" w:firstLineChars="200"/>
        <w:rPr>
          <w:rFonts w:ascii="仿宋" w:hAnsi="仿宋" w:eastAsia="仿宋"/>
          <w:sz w:val="24"/>
          <w:szCs w:val="24"/>
        </w:rPr>
      </w:pPr>
      <w:r>
        <w:rPr>
          <w:rFonts w:ascii="仿宋" w:hAnsi="仿宋" w:eastAsia="仿宋"/>
          <w:sz w:val="24"/>
          <w:szCs w:val="24"/>
        </w:rPr>
        <w:t>软件设计完要留有升级接口和升级空间。对扩展开放，对修改关闭。</w:t>
      </w:r>
    </w:p>
    <w:p>
      <w:pPr>
        <w:pStyle w:val="327"/>
        <w:numPr>
          <w:ilvl w:val="0"/>
          <w:numId w:val="13"/>
        </w:numPr>
        <w:spacing w:line="360" w:lineRule="auto"/>
        <w:ind w:firstLine="0" w:firstLineChars="0"/>
        <w:rPr>
          <w:rFonts w:ascii="仿宋" w:hAnsi="仿宋" w:eastAsia="仿宋"/>
          <w:sz w:val="24"/>
          <w:szCs w:val="24"/>
        </w:rPr>
      </w:pPr>
      <w:r>
        <w:rPr>
          <w:rFonts w:ascii="仿宋" w:hAnsi="仿宋" w:eastAsia="仿宋"/>
          <w:sz w:val="24"/>
          <w:szCs w:val="24"/>
        </w:rPr>
        <w:t>安全性</w:t>
      </w:r>
    </w:p>
    <w:p>
      <w:pPr>
        <w:spacing w:line="360" w:lineRule="auto"/>
        <w:ind w:firstLine="480" w:firstLineChars="200"/>
        <w:rPr>
          <w:rFonts w:ascii="仿宋" w:hAnsi="仿宋" w:eastAsia="仿宋"/>
          <w:sz w:val="24"/>
          <w:szCs w:val="24"/>
        </w:rPr>
      </w:pPr>
      <w:r>
        <w:rPr>
          <w:rFonts w:ascii="仿宋" w:hAnsi="仿宋" w:eastAsia="仿宋"/>
          <w:sz w:val="24"/>
          <w:szCs w:val="24"/>
        </w:rPr>
        <w:t>安全性要求系统能够保持用户信息、操作等多方面的安全要求，同时系统本身也要能够及时修复、处理各种安全漏洞，以提升安全性能。</w:t>
      </w:r>
    </w:p>
    <w:p>
      <w:pPr>
        <w:pStyle w:val="7"/>
        <w:tabs>
          <w:tab w:val="left" w:pos="0"/>
        </w:tabs>
        <w:ind w:left="0" w:firstLine="0"/>
        <w:rPr>
          <w:rFonts w:ascii="仿宋" w:hAnsi="仿宋" w:eastAsia="仿宋"/>
          <w:sz w:val="24"/>
          <w:szCs w:val="18"/>
        </w:rPr>
      </w:pPr>
      <w:bookmarkStart w:id="7" w:name="_Toc83568274"/>
      <w:r>
        <w:rPr>
          <w:rFonts w:hint="eastAsia" w:ascii="仿宋" w:hAnsi="仿宋" w:eastAsia="仿宋"/>
          <w:sz w:val="24"/>
          <w:szCs w:val="18"/>
        </w:rPr>
        <w:t>总体技术框架</w:t>
      </w:r>
      <w:bookmarkEnd w:id="7"/>
    </w:p>
    <w:p>
      <w:pPr>
        <w:spacing w:line="360" w:lineRule="auto"/>
        <w:ind w:firstLine="482"/>
        <w:rPr>
          <w:rFonts w:ascii="仿宋" w:hAnsi="仿宋" w:eastAsia="仿宋"/>
          <w:sz w:val="24"/>
          <w:szCs w:val="24"/>
        </w:rPr>
      </w:pPr>
      <w:r>
        <w:rPr>
          <w:rFonts w:hint="eastAsia" w:ascii="仿宋" w:hAnsi="仿宋" w:eastAsia="仿宋"/>
          <w:sz w:val="24"/>
          <w:szCs w:val="24"/>
        </w:rPr>
        <w:t>本项目主要由“安心返”申报登记系统（包含“放心种”）、“安心返”后台管理系统（包含“放心种”）、“安心返”数字驾驶舱PC端、“安心返”数字驾驶舱移动端、“17防”微信门户和“17防”数字驾驶舱六个子系统，实现从微信端申报信息采集、管理后台人员信息纳管、数字驾驶舱动态监控的完整疫情防控管理体系。</w:t>
      </w:r>
    </w:p>
    <w:p>
      <w:pPr>
        <w:spacing w:line="360" w:lineRule="auto"/>
        <w:ind w:firstLine="482"/>
        <w:rPr>
          <w:rFonts w:ascii="仿宋" w:hAnsi="仿宋" w:eastAsia="仿宋"/>
          <w:sz w:val="24"/>
          <w:szCs w:val="24"/>
        </w:rPr>
      </w:pPr>
      <w:r>
        <w:rPr>
          <w:rFonts w:hint="eastAsia" w:ascii="仿宋" w:hAnsi="仿宋" w:eastAsia="仿宋"/>
          <w:sz w:val="24"/>
          <w:szCs w:val="24"/>
        </w:rPr>
        <w:t>“安心返”申报登记系统采用H5技术开发，以微信公众号“建德发布”为载体，面向返回建德市的所有人员（包括从境内返建和从境外返建人员），采用手机号注册、短信验证码验证登录，实现信息自主申报、帮他人信申报、申报信息修改、帮谭人申报信息修改等功能。</w:t>
      </w:r>
    </w:p>
    <w:p>
      <w:pPr>
        <w:spacing w:line="360" w:lineRule="auto"/>
        <w:ind w:firstLine="482"/>
        <w:rPr>
          <w:rFonts w:ascii="仿宋" w:hAnsi="仿宋" w:eastAsia="仿宋"/>
          <w:sz w:val="24"/>
          <w:szCs w:val="24"/>
        </w:rPr>
      </w:pPr>
      <w:r>
        <w:rPr>
          <w:rFonts w:hint="eastAsia" w:ascii="仿宋" w:hAnsi="仿宋" w:eastAsia="仿宋"/>
          <w:sz w:val="24"/>
          <w:szCs w:val="24"/>
        </w:rPr>
        <w:t>“安心返”后台管理系统采用Web技术，面向市、乡镇（街道）两级用户，采用用户与角色权限管理体系，实现根据乡镇（街道）动态配置分配数据权限。管理后台向用户提供员提供返建人员信息查询、统计、乡镇（街道）改派、抵建纳管确认、综合采样点核酸检测预约、综合采样点核酸检测确认、上门核酸检测查询、结束纳管、新冠疫苗预约管理等一些列疫情防控管理功能，管理后台实现了从返建人员抵建纳管确认到结束纳管的完整疫情防控流程管理闭环，做到微信申报有始，结束纳管有终。</w:t>
      </w:r>
    </w:p>
    <w:p>
      <w:pPr>
        <w:spacing w:line="360" w:lineRule="auto"/>
        <w:ind w:firstLine="482"/>
        <w:rPr>
          <w:rFonts w:ascii="仿宋" w:hAnsi="仿宋" w:eastAsia="仿宋"/>
          <w:sz w:val="24"/>
          <w:szCs w:val="24"/>
        </w:rPr>
      </w:pPr>
      <w:r>
        <w:rPr>
          <w:rFonts w:hint="eastAsia" w:ascii="仿宋" w:hAnsi="仿宋" w:eastAsia="仿宋"/>
          <w:sz w:val="24"/>
          <w:szCs w:val="24"/>
        </w:rPr>
        <w:t>“安心返”数字驾驶舱PC端主要面向市防控工作主要领导及市疫情防控指挥部。数字驾驶舱从“申报透视镜”和“管理透视镜”两个核心维度对申报数据和纳管数据进行了深度挖掘。“申报透视镜”从拟返建人员返建地具体位置（境外、入境口岸、省、市、区/县）、拟返建人员返建地实时高中风险等级、拟返建人员从事高危行业、拟返建人员杭州健康码（红黄码）、拟返建人员村/社区走向等不同角度和多给维度进行了综合分析和统计。“管理透视镜”通过不返建（宣传疫情防控政策劝留原地过年）和已确认抵建人员分级分类（14天集中隔离、14天居家隔离、14+7+7健康管理、7+7健康管理、14天健康检测）管理，做到既能满足疫情防控的精准管控要求，又不会给返建人员带来“一刀切”的层层加码管理。同时，通过对抵建人员的实时杭州健康码红黄码、返建出发地高中风险等级、返建人员从事七类高位行业、密切及次密切接触认定四大维度，重点筛选摸排重点人员，形成实时重点管控人员名单。</w:t>
      </w:r>
    </w:p>
    <w:p>
      <w:pPr>
        <w:spacing w:line="360" w:lineRule="auto"/>
        <w:ind w:firstLine="482"/>
        <w:rPr>
          <w:rFonts w:ascii="仿宋" w:hAnsi="仿宋" w:eastAsia="仿宋" w:cstheme="minorEastAsia"/>
          <w:sz w:val="24"/>
          <w:szCs w:val="24"/>
        </w:rPr>
      </w:pPr>
      <w:r>
        <w:rPr>
          <w:rFonts w:hint="eastAsia" w:ascii="仿宋" w:hAnsi="仿宋" w:eastAsia="仿宋"/>
          <w:sz w:val="24"/>
          <w:szCs w:val="24"/>
        </w:rPr>
        <w:t>“安心返”数字驾驶舱移动端主要面向市疫情防控指挥部和各乡镇（街道）疫情防控办相关人员，结合手机端的特点并融合PC驾驶舱丰富的分析挖掘视角，展示了基层乡村疫情防控的重点关注指标和各类统计数据，极大的方便了基层管理人员，可随时随地掌握管理数并进行纳管检测和流程办理。此外，移动端针对乡镇（街道）疫情防控办相关人员需要，对所有数据进行了数据下钻，满足了各</w:t>
      </w:r>
      <w:r>
        <w:rPr>
          <w:rFonts w:hint="eastAsia" w:ascii="仿宋" w:hAnsi="仿宋" w:eastAsia="仿宋" w:cstheme="minorEastAsia"/>
          <w:sz w:val="24"/>
          <w:szCs w:val="24"/>
        </w:rPr>
        <w:t>个乡镇（街道）对所属区域管理数据的单独统计分析需求。</w:t>
      </w:r>
    </w:p>
    <w:p>
      <w:pPr>
        <w:spacing w:line="360" w:lineRule="auto"/>
        <w:ind w:firstLine="482"/>
        <w:rPr>
          <w:rFonts w:ascii="仿宋" w:hAnsi="仿宋" w:eastAsia="仿宋" w:cstheme="minorEastAsia"/>
          <w:sz w:val="24"/>
          <w:szCs w:val="24"/>
        </w:rPr>
      </w:pPr>
      <w:r>
        <w:rPr>
          <w:rFonts w:hint="eastAsia" w:ascii="仿宋" w:hAnsi="仿宋" w:eastAsia="仿宋" w:cstheme="minorEastAsia"/>
          <w:sz w:val="24"/>
          <w:szCs w:val="24"/>
        </w:rPr>
        <w:t>“安心返”数字驾驶舱PC端和移动端都针对浙江省省疫情防控办发布的“农村地区疫情防控区域预警风险等级分类及管控要求”，对建德市16个乡镇（街道）的256个行政村（社区）实行了严格红黄蓝三色风险等级分类管理，针对不同等级落实常态化防控工作。</w:t>
      </w:r>
    </w:p>
    <w:p>
      <w:pPr>
        <w:spacing w:line="360" w:lineRule="auto"/>
        <w:ind w:firstLine="482"/>
        <w:rPr>
          <w:rFonts w:ascii="仿宋" w:hAnsi="仿宋" w:eastAsia="仿宋" w:cstheme="minorEastAsia"/>
          <w:sz w:val="24"/>
          <w:szCs w:val="24"/>
        </w:rPr>
      </w:pPr>
      <w:r>
        <w:rPr>
          <w:rFonts w:hint="eastAsia" w:ascii="仿宋" w:hAnsi="仿宋" w:eastAsia="仿宋" w:cstheme="minorEastAsia"/>
          <w:sz w:val="24"/>
          <w:szCs w:val="24"/>
        </w:rPr>
        <w:t>“17防”平台的微信门户从“安心返”、“放心种”升级为“1</w:t>
      </w:r>
      <w:r>
        <w:rPr>
          <w:rFonts w:ascii="仿宋" w:hAnsi="仿宋" w:eastAsia="仿宋" w:cstheme="minorEastAsia"/>
          <w:sz w:val="24"/>
          <w:szCs w:val="24"/>
        </w:rPr>
        <w:t>7</w:t>
      </w:r>
      <w:r>
        <w:rPr>
          <w:rFonts w:hint="eastAsia" w:ascii="仿宋" w:hAnsi="仿宋" w:eastAsia="仿宋" w:cstheme="minorEastAsia"/>
          <w:sz w:val="24"/>
          <w:szCs w:val="24"/>
        </w:rPr>
        <w:t>防”微信门户。“1</w:t>
      </w:r>
      <w:r>
        <w:rPr>
          <w:rFonts w:ascii="仿宋" w:hAnsi="仿宋" w:eastAsia="仿宋" w:cstheme="minorEastAsia"/>
          <w:sz w:val="24"/>
          <w:szCs w:val="24"/>
        </w:rPr>
        <w:t>7</w:t>
      </w:r>
      <w:r>
        <w:rPr>
          <w:rFonts w:hint="eastAsia" w:ascii="仿宋" w:hAnsi="仿宋" w:eastAsia="仿宋" w:cstheme="minorEastAsia"/>
          <w:sz w:val="24"/>
          <w:szCs w:val="24"/>
        </w:rPr>
        <w:t>防”微信门户作为建德市疫情防控的一体化平台，面向公众提供所有新冠疫情防控的便民服务平台。“17防”数字驾驶舱在“安心返”数字驾驶舱基础上进行全面升级。</w:t>
      </w:r>
    </w:p>
    <w:p>
      <w:pPr>
        <w:pStyle w:val="6"/>
        <w:tabs>
          <w:tab w:val="left" w:pos="0"/>
        </w:tabs>
        <w:rPr>
          <w:rFonts w:ascii="仿宋" w:hAnsi="仿宋" w:eastAsia="仿宋"/>
          <w:sz w:val="28"/>
          <w:szCs w:val="28"/>
        </w:rPr>
      </w:pPr>
      <w:bookmarkStart w:id="8" w:name="_Toc83568275"/>
      <w:r>
        <w:rPr>
          <w:rFonts w:hint="eastAsia" w:ascii="仿宋" w:hAnsi="仿宋" w:eastAsia="仿宋"/>
          <w:sz w:val="28"/>
          <w:szCs w:val="28"/>
        </w:rPr>
        <w:t>设计方案</w:t>
      </w:r>
      <w:bookmarkEnd w:id="8"/>
    </w:p>
    <w:p>
      <w:pPr>
        <w:pStyle w:val="7"/>
        <w:tabs>
          <w:tab w:val="left" w:pos="0"/>
        </w:tabs>
        <w:ind w:left="0" w:firstLine="0"/>
        <w:rPr>
          <w:rFonts w:ascii="仿宋" w:hAnsi="仿宋" w:eastAsia="仿宋"/>
          <w:sz w:val="24"/>
          <w:szCs w:val="18"/>
        </w:rPr>
      </w:pPr>
      <w:bookmarkStart w:id="9" w:name="_Toc69134884"/>
      <w:bookmarkStart w:id="10" w:name="_Toc83568276"/>
      <w:r>
        <w:rPr>
          <w:rFonts w:hint="eastAsia" w:ascii="仿宋" w:hAnsi="仿宋" w:eastAsia="仿宋"/>
          <w:sz w:val="24"/>
          <w:szCs w:val="18"/>
        </w:rPr>
        <w:t>技术路线</w:t>
      </w:r>
      <w:bookmarkEnd w:id="9"/>
      <w:bookmarkEnd w:id="10"/>
    </w:p>
    <w:p>
      <w:pPr>
        <w:pStyle w:val="8"/>
        <w:tabs>
          <w:tab w:val="left" w:pos="0"/>
        </w:tabs>
        <w:ind w:left="0" w:firstLine="0"/>
        <w:rPr>
          <w:rFonts w:ascii="仿宋" w:hAnsi="仿宋" w:eastAsia="仿宋"/>
          <w:sz w:val="24"/>
          <w:szCs w:val="24"/>
        </w:rPr>
      </w:pPr>
      <w:bookmarkStart w:id="11" w:name="_Toc69134886"/>
      <w:r>
        <w:rPr>
          <w:rFonts w:hint="eastAsia" w:ascii="仿宋" w:hAnsi="仿宋" w:eastAsia="仿宋"/>
          <w:sz w:val="24"/>
          <w:szCs w:val="24"/>
        </w:rPr>
        <w:t>关键技术</w:t>
      </w:r>
      <w:bookmarkEnd w:id="11"/>
    </w:p>
    <w:p>
      <w:pPr>
        <w:pStyle w:val="9"/>
        <w:tabs>
          <w:tab w:val="left" w:pos="0"/>
        </w:tabs>
        <w:ind w:left="0" w:firstLine="0"/>
        <w:rPr>
          <w:rFonts w:ascii="仿宋" w:hAnsi="仿宋" w:eastAsia="仿宋"/>
          <w:sz w:val="24"/>
          <w:szCs w:val="24"/>
        </w:rPr>
      </w:pPr>
      <w:bookmarkStart w:id="12" w:name="_Toc57816975"/>
      <w:bookmarkStart w:id="13" w:name="_Toc516557145"/>
      <w:bookmarkStart w:id="14" w:name="_Toc516674165"/>
      <w:bookmarkStart w:id="15" w:name="_Toc519086530"/>
      <w:bookmarkStart w:id="16" w:name="_Toc526606966"/>
      <w:r>
        <w:rPr>
          <w:rFonts w:hint="eastAsia" w:ascii="仿宋" w:hAnsi="仿宋" w:eastAsia="仿宋"/>
          <w:sz w:val="24"/>
          <w:szCs w:val="24"/>
        </w:rPr>
        <w:t>大数据技术</w:t>
      </w:r>
      <w:bookmarkEnd w:id="12"/>
      <w:bookmarkEnd w:id="13"/>
      <w:bookmarkEnd w:id="14"/>
      <w:bookmarkEnd w:id="15"/>
      <w:bookmarkEnd w:id="16"/>
    </w:p>
    <w:p>
      <w:pPr>
        <w:spacing w:line="360" w:lineRule="auto"/>
        <w:ind w:firstLine="480" w:firstLineChars="200"/>
        <w:rPr>
          <w:rFonts w:ascii="仿宋" w:hAnsi="仿宋" w:eastAsia="仿宋"/>
          <w:sz w:val="24"/>
          <w:szCs w:val="24"/>
        </w:rPr>
      </w:pPr>
      <w:r>
        <w:rPr>
          <w:rFonts w:hint="eastAsia" w:ascii="仿宋" w:hAnsi="仿宋" w:eastAsia="仿宋"/>
          <w:sz w:val="24"/>
          <w:szCs w:val="24"/>
        </w:rPr>
        <w:t>大数据是一种规模大到在获取、存储、管理、分析方面大大超出传统数据库软件工具能力范围的数据集合，具有海量的数据规模、快速的数据流转、多样的数据类型和价值密度低四大特征。</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大数据技术的战略意义不在于掌握庞大的数据信息，而在于对这些含有意义的数据进行专业化处理，通过对海量数据的信息、知识挖掘，为社会经济活动提供依据。通过各种算法、分析模型让数据体现在社会经济发展预测、政府决策和公共服务方面。</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大数据处理关键技术一般包括：大数据采集、大数据预处理、大数据存储及管理、大数据分析及挖掘、大数据展现和应用（大数据检索、大数据可视化、大数据应用、大数据安全等）。</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大数据技术框架分为数据采集、数据整合与存储和数据分析/展现三个部分，总体结构如下图所示；</w:t>
      </w:r>
    </w:p>
    <w:p>
      <w:pPr>
        <w:jc w:val="center"/>
        <w:rPr>
          <w:rFonts w:ascii="仿宋" w:hAnsi="仿宋" w:eastAsia="仿宋"/>
          <w:sz w:val="20"/>
          <w:szCs w:val="18"/>
        </w:rPr>
      </w:pPr>
      <w:r>
        <w:rPr>
          <w:rFonts w:ascii="仿宋" w:hAnsi="仿宋" w:eastAsia="仿宋"/>
          <w:sz w:val="20"/>
          <w:szCs w:val="18"/>
        </w:rPr>
        <w:drawing>
          <wp:inline distT="0" distB="0" distL="0" distR="0">
            <wp:extent cx="3733800" cy="2409825"/>
            <wp:effectExtent l="0" t="0" r="0" b="133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733800" cy="2409825"/>
                    </a:xfrm>
                    <a:prstGeom prst="rect">
                      <a:avLst/>
                    </a:prstGeom>
                    <a:noFill/>
                    <a:ln>
                      <a:noFill/>
                    </a:ln>
                  </pic:spPr>
                </pic:pic>
              </a:graphicData>
            </a:graphic>
          </wp:inline>
        </w:drawing>
      </w:r>
    </w:p>
    <w:p>
      <w:pPr>
        <w:spacing w:line="360" w:lineRule="auto"/>
        <w:ind w:firstLine="480" w:firstLineChars="200"/>
        <w:rPr>
          <w:rFonts w:ascii="仿宋" w:hAnsi="仿宋" w:eastAsia="仿宋"/>
          <w:sz w:val="24"/>
          <w:szCs w:val="24"/>
        </w:rPr>
      </w:pPr>
      <w:r>
        <w:rPr>
          <w:rFonts w:hint="eastAsia" w:ascii="仿宋" w:hAnsi="仿宋" w:eastAsia="仿宋"/>
          <w:sz w:val="24"/>
          <w:szCs w:val="24"/>
        </w:rPr>
        <w:t>（1）数据采集</w:t>
      </w:r>
    </w:p>
    <w:p>
      <w:pPr>
        <w:spacing w:line="360" w:lineRule="auto"/>
        <w:ind w:firstLine="480" w:firstLineChars="200"/>
        <w:rPr>
          <w:rFonts w:ascii="仿宋" w:hAnsi="仿宋" w:eastAsia="仿宋"/>
          <w:sz w:val="24"/>
          <w:szCs w:val="24"/>
        </w:rPr>
      </w:pPr>
      <w:r>
        <w:rPr>
          <w:rFonts w:hint="eastAsia" w:ascii="仿宋" w:hAnsi="仿宋" w:eastAsia="仿宋"/>
          <w:sz w:val="24"/>
          <w:szCs w:val="24"/>
        </w:rPr>
        <w:t>数据采集包括数据源和数据采集器两个部分。数据源包括各委办局业务系统等内部数据源；网站、微博、微信等互联网数据源；市属机构等外部数据源。数据采集器完成数据的实时/定期的采集，包括结构化数据采集器（内部系统）、非结构化数据采集器和结构化数据采集器（外部系统）三类，分别完成不同类型数据的采集工作。</w:t>
      </w:r>
    </w:p>
    <w:p>
      <w:pPr>
        <w:spacing w:line="360" w:lineRule="auto"/>
        <w:ind w:firstLine="480" w:firstLineChars="200"/>
        <w:rPr>
          <w:rFonts w:ascii="仿宋" w:hAnsi="仿宋" w:eastAsia="仿宋"/>
          <w:sz w:val="24"/>
          <w:szCs w:val="24"/>
        </w:rPr>
      </w:pPr>
      <w:r>
        <w:rPr>
          <w:rFonts w:hint="eastAsia" w:ascii="仿宋" w:hAnsi="仿宋" w:eastAsia="仿宋"/>
          <w:sz w:val="24"/>
          <w:szCs w:val="24"/>
        </w:rPr>
        <w:t>（2）数据整合和存储</w:t>
      </w:r>
    </w:p>
    <w:p>
      <w:pPr>
        <w:spacing w:line="360" w:lineRule="auto"/>
        <w:ind w:firstLine="480" w:firstLineChars="200"/>
        <w:rPr>
          <w:rFonts w:ascii="仿宋" w:hAnsi="仿宋" w:eastAsia="仿宋"/>
          <w:sz w:val="24"/>
          <w:szCs w:val="24"/>
        </w:rPr>
      </w:pPr>
      <w:r>
        <w:rPr>
          <w:rFonts w:hint="eastAsia" w:ascii="仿宋" w:hAnsi="仿宋" w:eastAsia="仿宋"/>
          <w:sz w:val="24"/>
          <w:szCs w:val="24"/>
        </w:rPr>
        <w:t>数据整合和存储对采集的数据进行抽取、汇总、索引，形成有效的分析数据，并将数据存储在分布式文件系统、</w:t>
      </w:r>
      <w:r>
        <w:rPr>
          <w:rFonts w:ascii="仿宋" w:hAnsi="仿宋" w:eastAsia="仿宋"/>
          <w:sz w:val="24"/>
          <w:szCs w:val="24"/>
        </w:rPr>
        <w:t>NoSQL</w:t>
      </w:r>
      <w:r>
        <w:rPr>
          <w:rFonts w:hint="eastAsia" w:ascii="仿宋" w:hAnsi="仿宋" w:eastAsia="仿宋"/>
          <w:sz w:val="24"/>
          <w:szCs w:val="24"/>
        </w:rPr>
        <w:t>数据库、</w:t>
      </w:r>
      <w:r>
        <w:rPr>
          <w:rFonts w:ascii="仿宋" w:hAnsi="仿宋" w:eastAsia="仿宋"/>
          <w:sz w:val="24"/>
          <w:szCs w:val="24"/>
        </w:rPr>
        <w:t>SQL</w:t>
      </w:r>
      <w:r>
        <w:rPr>
          <w:rFonts w:hint="eastAsia" w:ascii="仿宋" w:hAnsi="仿宋" w:eastAsia="仿宋"/>
          <w:sz w:val="24"/>
          <w:szCs w:val="24"/>
        </w:rPr>
        <w:t>数据库组成的混合存储系统中。同时，提供统一的数据访问/计算接口。</w:t>
      </w:r>
    </w:p>
    <w:p>
      <w:pPr>
        <w:spacing w:line="360" w:lineRule="auto"/>
        <w:ind w:firstLine="480" w:firstLineChars="200"/>
        <w:rPr>
          <w:rFonts w:ascii="仿宋" w:hAnsi="仿宋" w:eastAsia="仿宋"/>
          <w:sz w:val="24"/>
          <w:szCs w:val="24"/>
        </w:rPr>
      </w:pPr>
      <w:r>
        <w:rPr>
          <w:rFonts w:hint="eastAsia" w:ascii="仿宋" w:hAnsi="仿宋" w:eastAsia="仿宋"/>
          <w:sz w:val="24"/>
          <w:szCs w:val="24"/>
        </w:rPr>
        <w:t>（3）数据分析与展现</w:t>
      </w:r>
    </w:p>
    <w:p>
      <w:pPr>
        <w:spacing w:line="360" w:lineRule="auto"/>
        <w:ind w:firstLine="480" w:firstLineChars="200"/>
        <w:rPr>
          <w:rFonts w:ascii="仿宋" w:hAnsi="仿宋" w:eastAsia="仿宋"/>
          <w:sz w:val="24"/>
          <w:szCs w:val="24"/>
        </w:rPr>
      </w:pPr>
      <w:r>
        <w:rPr>
          <w:rFonts w:hint="eastAsia" w:ascii="仿宋" w:hAnsi="仿宋" w:eastAsia="仿宋"/>
          <w:sz w:val="24"/>
          <w:szCs w:val="24"/>
        </w:rPr>
        <w:t>数据分析/展现层提供大量工具，包括信息检索、信息分析、数据展现、数据挖掘等，每类工具都内置大量的算法。业务分析人员可以基于这些工具，定义相应业务分析。</w:t>
      </w:r>
    </w:p>
    <w:p>
      <w:pPr>
        <w:pStyle w:val="9"/>
        <w:tabs>
          <w:tab w:val="left" w:pos="0"/>
        </w:tabs>
        <w:ind w:left="0" w:firstLine="0"/>
        <w:rPr>
          <w:rFonts w:ascii="仿宋" w:hAnsi="仿宋" w:eastAsia="仿宋"/>
          <w:sz w:val="24"/>
          <w:szCs w:val="24"/>
        </w:rPr>
      </w:pPr>
      <w:bookmarkStart w:id="17" w:name="_Toc57816976"/>
      <w:bookmarkStart w:id="18" w:name="_Toc516557143"/>
      <w:bookmarkStart w:id="19" w:name="_Toc516674163"/>
      <w:bookmarkStart w:id="20" w:name="_Toc519086528"/>
      <w:r>
        <w:rPr>
          <w:rFonts w:hint="eastAsia" w:ascii="仿宋" w:hAnsi="仿宋" w:eastAsia="仿宋"/>
          <w:sz w:val="24"/>
          <w:szCs w:val="24"/>
        </w:rPr>
        <w:t>小程序技术体系</w:t>
      </w:r>
      <w:bookmarkEnd w:id="17"/>
    </w:p>
    <w:p>
      <w:pPr>
        <w:pStyle w:val="9"/>
        <w:tabs>
          <w:tab w:val="left" w:pos="0"/>
        </w:tabs>
        <w:ind w:left="0" w:firstLine="0"/>
        <w:rPr>
          <w:rFonts w:ascii="仿宋" w:hAnsi="仿宋" w:eastAsia="仿宋"/>
          <w:sz w:val="24"/>
          <w:szCs w:val="24"/>
        </w:rPr>
      </w:pPr>
      <w:bookmarkStart w:id="21" w:name="_Toc57816979"/>
      <w:bookmarkStart w:id="22" w:name="_Toc526606964"/>
      <w:r>
        <w:rPr>
          <w:rFonts w:hint="eastAsia" w:ascii="仿宋" w:hAnsi="仿宋" w:eastAsia="仿宋"/>
          <w:sz w:val="24"/>
          <w:szCs w:val="24"/>
        </w:rPr>
        <w:t>基于SOA的体系架构</w:t>
      </w:r>
      <w:bookmarkEnd w:id="18"/>
      <w:bookmarkEnd w:id="19"/>
      <w:bookmarkEnd w:id="20"/>
      <w:bookmarkEnd w:id="21"/>
      <w:bookmarkEnd w:id="22"/>
    </w:p>
    <w:p>
      <w:pPr>
        <w:spacing w:line="360" w:lineRule="auto"/>
        <w:ind w:firstLine="480" w:firstLineChars="200"/>
        <w:rPr>
          <w:rFonts w:ascii="仿宋" w:hAnsi="仿宋" w:eastAsia="仿宋"/>
          <w:sz w:val="24"/>
          <w:szCs w:val="24"/>
        </w:rPr>
      </w:pPr>
      <w:r>
        <w:rPr>
          <w:rFonts w:hint="eastAsia" w:ascii="仿宋" w:hAnsi="仿宋" w:eastAsia="仿宋"/>
          <w:sz w:val="24"/>
          <w:szCs w:val="24"/>
        </w:rPr>
        <w:t>基于面向服务（SOA）的多层体系架构设计，是成熟科学的系统架构设计思想。SOA是为了要解决多个不同系统之间业务集成的需要，通过连接能完成特定任务的独立功能实体实现的一种软件系统架构。</w:t>
      </w:r>
    </w:p>
    <w:p>
      <w:pPr>
        <w:spacing w:line="360" w:lineRule="auto"/>
        <w:ind w:firstLine="480" w:firstLineChars="200"/>
        <w:rPr>
          <w:rFonts w:ascii="仿宋" w:hAnsi="仿宋" w:eastAsia="仿宋"/>
          <w:sz w:val="24"/>
          <w:szCs w:val="24"/>
        </w:rPr>
      </w:pPr>
      <w:r>
        <w:rPr>
          <w:rFonts w:hint="eastAsia" w:ascii="仿宋" w:hAnsi="仿宋" w:eastAsia="仿宋"/>
          <w:sz w:val="24"/>
          <w:szCs w:val="24"/>
        </w:rPr>
        <w:t>采用面向服务架构（SOA），松耦合的设计分析方法，保证系统的灵活性、可扩展性和良好的维护性，结合面向服务的集成融合技术（SOI）将原有的各个业务系统以及新建的业务系统通过服务组件化的方式，进行统一的封装和对外服务提供。</w:t>
      </w:r>
    </w:p>
    <w:p>
      <w:pPr>
        <w:spacing w:line="360" w:lineRule="auto"/>
        <w:ind w:firstLine="480" w:firstLineChars="200"/>
        <w:rPr>
          <w:rFonts w:ascii="仿宋" w:hAnsi="仿宋" w:eastAsia="仿宋"/>
          <w:sz w:val="24"/>
          <w:szCs w:val="24"/>
        </w:rPr>
      </w:pPr>
      <w:r>
        <w:rPr>
          <w:rFonts w:hint="eastAsia" w:ascii="仿宋" w:hAnsi="仿宋" w:eastAsia="仿宋"/>
          <w:sz w:val="24"/>
          <w:szCs w:val="24"/>
        </w:rPr>
        <w:t>采用SOA架构有利于项目的构建，它可以根据需求通过网络对松散耦合的粗粒度应用组件进行分布式部署、组合和使用。服务层是SOA的基础，可以直接被应用调用，从而有效控制系统中与软件代理交互的人为依赖性。</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在基于SOA架构的系统中，具体应用程序的功能是由一些松耦合并且具有统一接口定义方式的组件(也就是service)组合构建起来的。</w:t>
      </w:r>
    </w:p>
    <w:p>
      <w:pPr>
        <w:pStyle w:val="331"/>
        <w:ind w:firstLine="480"/>
        <w:rPr>
          <w:rFonts w:ascii="仿宋" w:hAnsi="仿宋"/>
          <w:sz w:val="24"/>
          <w:szCs w:val="22"/>
        </w:rPr>
      </w:pPr>
      <w:r>
        <w:rPr>
          <w:rFonts w:ascii="仿宋" w:hAnsi="仿宋"/>
          <w:sz w:val="24"/>
          <w:szCs w:val="22"/>
        </w:rPr>
        <w:drawing>
          <wp:inline distT="0" distB="0" distL="0" distR="0">
            <wp:extent cx="4429125" cy="2590800"/>
            <wp:effectExtent l="0" t="0" r="571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429125" cy="2590800"/>
                    </a:xfrm>
                    <a:prstGeom prst="rect">
                      <a:avLst/>
                    </a:prstGeom>
                    <a:noFill/>
                    <a:ln>
                      <a:noFill/>
                    </a:ln>
                  </pic:spPr>
                </pic:pic>
              </a:graphicData>
            </a:graphic>
          </wp:inline>
        </w:drawing>
      </w:r>
    </w:p>
    <w:p>
      <w:pPr>
        <w:spacing w:line="360" w:lineRule="auto"/>
        <w:ind w:firstLine="480" w:firstLineChars="200"/>
        <w:rPr>
          <w:rFonts w:ascii="仿宋" w:hAnsi="仿宋" w:eastAsia="仿宋"/>
          <w:sz w:val="24"/>
          <w:szCs w:val="24"/>
        </w:rPr>
      </w:pPr>
      <w:r>
        <w:rPr>
          <w:rFonts w:hint="eastAsia" w:ascii="仿宋" w:hAnsi="仿宋" w:eastAsia="仿宋"/>
          <w:sz w:val="24"/>
          <w:szCs w:val="24"/>
        </w:rPr>
        <w:t>面向服务架构是一种创新的信息系统IT 架构风格（即IT架构模式），是政府在进行IT规划和IT架构构建或重构过程中可遵循的先进的架构路线，是帮助信息化系统如何构建能快速适应政策、市场变革的IT体系的思想体系。</w:t>
      </w:r>
    </w:p>
    <w:p>
      <w:pPr>
        <w:spacing w:line="360" w:lineRule="auto"/>
        <w:ind w:firstLine="480" w:firstLineChars="200"/>
        <w:rPr>
          <w:rFonts w:ascii="仿宋" w:hAnsi="仿宋" w:eastAsia="仿宋"/>
          <w:sz w:val="24"/>
          <w:szCs w:val="24"/>
        </w:rPr>
      </w:pPr>
      <w:r>
        <w:rPr>
          <w:rFonts w:hint="eastAsia" w:ascii="仿宋" w:hAnsi="仿宋" w:eastAsia="仿宋"/>
          <w:sz w:val="24"/>
          <w:szCs w:val="24"/>
        </w:rPr>
        <w:t>通过导入SOA构建IT架构，真正实现IT与业务对等，IT为业务快速响应市场变化提供基础支撑能力，帮助政府真正立起随需应变的架构。</w:t>
      </w:r>
    </w:p>
    <w:p>
      <w:pPr>
        <w:pStyle w:val="9"/>
        <w:tabs>
          <w:tab w:val="left" w:pos="0"/>
        </w:tabs>
        <w:ind w:left="0" w:firstLine="0"/>
        <w:rPr>
          <w:rFonts w:ascii="仿宋" w:hAnsi="仿宋" w:eastAsia="仿宋"/>
          <w:sz w:val="24"/>
          <w:szCs w:val="24"/>
        </w:rPr>
      </w:pPr>
      <w:bookmarkStart w:id="23" w:name="_Toc516557144"/>
      <w:bookmarkStart w:id="24" w:name="_Toc57816980"/>
      <w:bookmarkStart w:id="25" w:name="_Toc516674164"/>
      <w:bookmarkStart w:id="26" w:name="_Toc526606965"/>
      <w:bookmarkStart w:id="27" w:name="_Toc519086529"/>
      <w:r>
        <w:rPr>
          <w:rFonts w:hint="eastAsia" w:ascii="仿宋" w:hAnsi="仿宋" w:eastAsia="仿宋"/>
          <w:sz w:val="24"/>
          <w:szCs w:val="24"/>
        </w:rPr>
        <w:t>Web</w:t>
      </w:r>
      <w:r>
        <w:rPr>
          <w:rFonts w:ascii="仿宋" w:hAnsi="仿宋" w:eastAsia="仿宋"/>
          <w:sz w:val="24"/>
          <w:szCs w:val="24"/>
        </w:rPr>
        <w:t xml:space="preserve"> </w:t>
      </w:r>
      <w:r>
        <w:rPr>
          <w:rFonts w:hint="eastAsia" w:ascii="仿宋" w:hAnsi="仿宋" w:eastAsia="仿宋"/>
          <w:sz w:val="24"/>
          <w:szCs w:val="24"/>
        </w:rPr>
        <w:t>Service技术</w:t>
      </w:r>
      <w:bookmarkEnd w:id="23"/>
      <w:bookmarkEnd w:id="24"/>
      <w:bookmarkEnd w:id="25"/>
      <w:bookmarkEnd w:id="26"/>
      <w:bookmarkEnd w:id="27"/>
    </w:p>
    <w:p>
      <w:pPr>
        <w:spacing w:line="360" w:lineRule="auto"/>
        <w:ind w:firstLine="480" w:firstLineChars="200"/>
        <w:rPr>
          <w:rFonts w:ascii="仿宋" w:hAnsi="仿宋" w:eastAsia="仿宋"/>
          <w:sz w:val="24"/>
          <w:szCs w:val="24"/>
        </w:rPr>
      </w:pPr>
      <w:r>
        <w:rPr>
          <w:rFonts w:hint="eastAsia" w:ascii="仿宋" w:hAnsi="仿宋" w:eastAsia="仿宋"/>
          <w:sz w:val="24"/>
          <w:szCs w:val="24"/>
        </w:rPr>
        <w:t>Web服务（Web Service)是一种分布式的计算技术，在Internet或者Intranet上通过标准的XML协议和信息格式来发布和访问商业应用服务。由于Web服务技术是基于标准和松散耦合的，与具体厂商的解决方案、技术平台无关。这对于日后新建设系统的选型和迁移提供了很大的灵活性和扩展性。</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使用Web服务，可以在Web站点放置可编程的元素，发布能满足特定功能的在线应用服务，其他组织可以通过Internet来访问并使用这种在线服务。</w:t>
      </w:r>
    </w:p>
    <w:p>
      <w:pPr>
        <w:spacing w:line="360" w:lineRule="auto"/>
        <w:ind w:firstLine="480" w:firstLineChars="200"/>
        <w:rPr>
          <w:rFonts w:ascii="仿宋" w:hAnsi="仿宋" w:eastAsia="仿宋"/>
          <w:sz w:val="24"/>
          <w:szCs w:val="24"/>
        </w:rPr>
      </w:pPr>
      <w:r>
        <w:rPr>
          <w:rFonts w:hint="eastAsia" w:ascii="仿宋" w:hAnsi="仿宋" w:eastAsia="仿宋"/>
          <w:sz w:val="24"/>
          <w:szCs w:val="24"/>
        </w:rPr>
        <w:t>Web服务使用的是开放的Internet标准：Web服务描述语言(WSDL，用于服务描述)，统一描述、发现和集成规范(UDDI，用于服务的发布和集成)，简单对象访问协议(SOAP，用于服务调用)。Web服务具备如下特点：</w:t>
      </w:r>
    </w:p>
    <w:p>
      <w:pPr>
        <w:spacing w:line="360" w:lineRule="auto"/>
        <w:ind w:firstLine="480" w:firstLineChars="200"/>
        <w:rPr>
          <w:rFonts w:ascii="仿宋" w:hAnsi="仿宋" w:eastAsia="仿宋"/>
          <w:sz w:val="24"/>
          <w:szCs w:val="24"/>
        </w:rPr>
      </w:pPr>
      <w:r>
        <w:rPr>
          <w:rFonts w:hint="eastAsia" w:ascii="仿宋" w:hAnsi="仿宋" w:eastAsia="仿宋"/>
          <w:sz w:val="24"/>
          <w:szCs w:val="24"/>
        </w:rPr>
        <w:t>①互操作性：任何的Web服务都可以与其他Web服务进行交互。因为SOAP协议是所有供应商都支持的标准，避免在CORBA、DCOM和其他协议之间转换带来的麻烦。</w:t>
      </w:r>
    </w:p>
    <w:p>
      <w:pPr>
        <w:spacing w:line="360" w:lineRule="auto"/>
        <w:ind w:firstLine="480" w:firstLineChars="200"/>
        <w:rPr>
          <w:rFonts w:ascii="仿宋" w:hAnsi="仿宋" w:eastAsia="仿宋"/>
          <w:sz w:val="24"/>
          <w:szCs w:val="24"/>
        </w:rPr>
      </w:pPr>
      <w:r>
        <w:rPr>
          <w:rFonts w:hint="eastAsia" w:ascii="仿宋" w:hAnsi="仿宋" w:eastAsia="仿宋"/>
          <w:sz w:val="24"/>
          <w:szCs w:val="24"/>
        </w:rPr>
        <w:t>②普遍性：Web服务使用HTTP协议和XML进行通信。因此，任何支持这些技术的设备都可以拥有和访问Web服务。</w:t>
      </w:r>
    </w:p>
    <w:p>
      <w:pPr>
        <w:spacing w:line="360" w:lineRule="auto"/>
        <w:ind w:firstLine="480" w:firstLineChars="200"/>
        <w:rPr>
          <w:rFonts w:ascii="仿宋" w:hAnsi="仿宋" w:eastAsia="仿宋"/>
          <w:sz w:val="24"/>
          <w:szCs w:val="24"/>
        </w:rPr>
      </w:pPr>
      <w:r>
        <w:rPr>
          <w:rFonts w:hint="eastAsia" w:ascii="仿宋" w:hAnsi="仿宋" w:eastAsia="仿宋"/>
          <w:sz w:val="24"/>
          <w:szCs w:val="24"/>
        </w:rPr>
        <w:t>③易用性：Web 服务的概念易于理解，任何开发语言都可以用来编写Web服务。目前已经有许多工具可以开发和部署Web服务，还有一些工具可以将已有的COM组件和JavaBeans、Enterprise JavaBeans部署为Web服务。</w:t>
      </w:r>
    </w:p>
    <w:p>
      <w:pPr>
        <w:spacing w:line="360" w:lineRule="auto"/>
        <w:ind w:firstLine="480" w:firstLineChars="200"/>
        <w:rPr>
          <w:rFonts w:ascii="仿宋" w:hAnsi="仿宋" w:eastAsia="仿宋"/>
          <w:sz w:val="24"/>
          <w:szCs w:val="24"/>
        </w:rPr>
      </w:pPr>
      <w:r>
        <w:rPr>
          <w:rFonts w:hint="eastAsia" w:ascii="仿宋" w:hAnsi="仿宋" w:eastAsia="仿宋"/>
          <w:sz w:val="24"/>
          <w:szCs w:val="24"/>
        </w:rPr>
        <w:t>由于Web服务的这些特点，使得Web服务成为EAI解决方案的一个理想选择。</w:t>
      </w:r>
    </w:p>
    <w:p>
      <w:pPr>
        <w:pStyle w:val="9"/>
        <w:tabs>
          <w:tab w:val="left" w:pos="0"/>
        </w:tabs>
        <w:ind w:left="0" w:firstLine="0"/>
        <w:rPr>
          <w:rFonts w:ascii="仿宋" w:hAnsi="仿宋" w:eastAsia="仿宋"/>
          <w:sz w:val="24"/>
          <w:szCs w:val="24"/>
        </w:rPr>
      </w:pPr>
      <w:bookmarkStart w:id="28" w:name="_Toc526606967"/>
      <w:bookmarkStart w:id="29" w:name="_Toc516557146"/>
      <w:bookmarkStart w:id="30" w:name="_Toc57816981"/>
      <w:bookmarkStart w:id="31" w:name="_Toc519086531"/>
      <w:bookmarkStart w:id="32" w:name="_Toc516674166"/>
      <w:r>
        <w:rPr>
          <w:rFonts w:hint="eastAsia" w:ascii="仿宋" w:hAnsi="仿宋" w:eastAsia="仿宋"/>
          <w:sz w:val="24"/>
          <w:szCs w:val="24"/>
        </w:rPr>
        <w:t>可视化开发技术</w:t>
      </w:r>
      <w:bookmarkEnd w:id="28"/>
      <w:bookmarkEnd w:id="29"/>
      <w:bookmarkEnd w:id="30"/>
      <w:bookmarkEnd w:id="31"/>
      <w:bookmarkEnd w:id="32"/>
    </w:p>
    <w:p>
      <w:pPr>
        <w:spacing w:line="360" w:lineRule="auto"/>
        <w:ind w:firstLine="480" w:firstLineChars="200"/>
        <w:rPr>
          <w:rFonts w:ascii="仿宋" w:hAnsi="仿宋" w:eastAsia="仿宋"/>
          <w:sz w:val="24"/>
          <w:szCs w:val="24"/>
        </w:rPr>
      </w:pPr>
      <w:r>
        <w:rPr>
          <w:rFonts w:hint="eastAsia" w:ascii="仿宋" w:hAnsi="仿宋" w:eastAsia="仿宋"/>
          <w:sz w:val="24"/>
          <w:szCs w:val="24"/>
        </w:rPr>
        <w:t>随着移动互联网和用户体验的发展，可视化程序设计越来越受到重视，可视化设计是一种全新的程序设计方法，避免许多繁琐的代码语句。它主要是让程序设计人员利用软件本身所提供的各种控件，像搭积木式地构造应用程序的各种界面。</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可视化开发就是在可视开发工具提供的图形用户界面上，通过操作界面元素，诸如菜单、按钮、对话框、编辑框、单选框、复选框、列表框和滚动条等，由可视开发工具自动生成应用软件。</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可视化编程语言的特点主要表现在两个方面：一是基于面向对象的思想，引入了控件的概念和事件驱动；二是程序开发过程一般遵循以下步骤，即先进行界面的绘制工作，再基于事件编写程序代码，以响应鼠标、键盘的各种动作。</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利用可视化开发技术进行编程，既能从整体上展示开发的整体框架，又能反映出开发过程中涉及到的各个模块以及模块内部的细节和模块之间的联系，既便捷又清晰。</w:t>
      </w:r>
    </w:p>
    <w:p>
      <w:pPr>
        <w:pStyle w:val="9"/>
        <w:tabs>
          <w:tab w:val="left" w:pos="0"/>
        </w:tabs>
        <w:ind w:left="0" w:firstLine="0"/>
        <w:rPr>
          <w:rFonts w:ascii="仿宋" w:hAnsi="仿宋" w:eastAsia="仿宋"/>
          <w:sz w:val="24"/>
          <w:szCs w:val="24"/>
        </w:rPr>
      </w:pPr>
      <w:bookmarkStart w:id="33" w:name="_Toc526606968"/>
      <w:bookmarkStart w:id="34" w:name="_Toc57816982"/>
      <w:bookmarkStart w:id="35" w:name="_Toc519086532"/>
      <w:bookmarkStart w:id="36" w:name="_Toc516674168"/>
      <w:bookmarkStart w:id="37" w:name="_Toc516557148"/>
      <w:r>
        <w:rPr>
          <w:rFonts w:hint="eastAsia" w:ascii="仿宋" w:hAnsi="仿宋" w:eastAsia="仿宋"/>
          <w:sz w:val="24"/>
          <w:szCs w:val="24"/>
        </w:rPr>
        <w:t>微服务架构模式</w:t>
      </w:r>
      <w:bookmarkEnd w:id="33"/>
      <w:bookmarkEnd w:id="34"/>
      <w:bookmarkEnd w:id="35"/>
      <w:bookmarkEnd w:id="36"/>
      <w:bookmarkEnd w:id="37"/>
    </w:p>
    <w:p>
      <w:pPr>
        <w:spacing w:line="360" w:lineRule="auto"/>
        <w:ind w:firstLine="480" w:firstLineChars="200"/>
        <w:rPr>
          <w:rFonts w:ascii="仿宋" w:hAnsi="仿宋" w:eastAsia="仿宋"/>
          <w:sz w:val="24"/>
          <w:szCs w:val="24"/>
        </w:rPr>
      </w:pPr>
      <w:r>
        <w:rPr>
          <w:rFonts w:hint="eastAsia" w:ascii="仿宋" w:hAnsi="仿宋" w:eastAsia="仿宋"/>
          <w:sz w:val="24"/>
          <w:szCs w:val="24"/>
        </w:rPr>
        <w:t>本项目平台的系统架构整体采用微服务架构模式。这种微服务架构模式支持以服务构建应用。把小的服务开发成单一应用的形式，每个应用运行在单一的进程中，并使用HTTP/REST轻量级的API。这些服务在满足业务需求同时可使用自动化部署工具进行独立发布，并可以使用不同的开发语言以及不同数据存储技术。</w:t>
      </w:r>
    </w:p>
    <w:p>
      <w:pPr>
        <w:spacing w:line="360" w:lineRule="auto"/>
        <w:ind w:firstLine="480" w:firstLineChars="200"/>
        <w:rPr>
          <w:rFonts w:ascii="仿宋" w:hAnsi="仿宋" w:eastAsia="仿宋"/>
          <w:sz w:val="24"/>
          <w:szCs w:val="24"/>
        </w:rPr>
      </w:pPr>
      <w:r>
        <w:rPr>
          <w:rFonts w:hint="eastAsia" w:ascii="仿宋" w:hAnsi="仿宋" w:eastAsia="仿宋"/>
          <w:sz w:val="24"/>
          <w:szCs w:val="24"/>
        </w:rPr>
        <w:t>系统架构支持应用被分解为多个可管理的分支或服务。每个服务都有一个用RPC-或者消息驱动API定义清楚的边界。这种微服务架构模式给采用单体式编码方式很难实现的功能提供模块化的解决方案，因此，单个服务很容易开发、理解和维护。每个微服务具有独立的部署。不再需要协调其它服务部署对本服务的影响。并且每个服务可以独立扩展。</w:t>
      </w:r>
    </w:p>
    <w:p>
      <w:pPr>
        <w:pStyle w:val="9"/>
        <w:tabs>
          <w:tab w:val="left" w:pos="0"/>
        </w:tabs>
        <w:ind w:left="0" w:firstLine="0"/>
        <w:rPr>
          <w:rFonts w:ascii="仿宋" w:hAnsi="仿宋" w:eastAsia="仿宋"/>
          <w:sz w:val="24"/>
          <w:szCs w:val="24"/>
        </w:rPr>
      </w:pPr>
      <w:bookmarkStart w:id="38" w:name="_Toc519086533"/>
      <w:bookmarkStart w:id="39" w:name="_Toc57816983"/>
      <w:bookmarkStart w:id="40" w:name="_Toc516557149"/>
      <w:bookmarkStart w:id="41" w:name="_Toc516674169"/>
      <w:bookmarkStart w:id="42" w:name="_Toc526606969"/>
      <w:r>
        <w:rPr>
          <w:rFonts w:hint="eastAsia" w:ascii="仿宋" w:hAnsi="仿宋" w:eastAsia="仿宋"/>
          <w:sz w:val="24"/>
          <w:szCs w:val="24"/>
        </w:rPr>
        <w:t>XML技术</w:t>
      </w:r>
      <w:bookmarkEnd w:id="38"/>
      <w:bookmarkEnd w:id="39"/>
      <w:bookmarkEnd w:id="40"/>
      <w:bookmarkEnd w:id="41"/>
      <w:bookmarkEnd w:id="42"/>
    </w:p>
    <w:p>
      <w:pPr>
        <w:spacing w:line="360" w:lineRule="auto"/>
        <w:ind w:firstLine="480" w:firstLineChars="200"/>
        <w:rPr>
          <w:rFonts w:ascii="仿宋" w:hAnsi="仿宋" w:eastAsia="仿宋"/>
          <w:sz w:val="24"/>
          <w:szCs w:val="24"/>
        </w:rPr>
      </w:pPr>
      <w:r>
        <w:rPr>
          <w:rFonts w:hint="eastAsia" w:ascii="仿宋" w:hAnsi="仿宋" w:eastAsia="仿宋"/>
          <w:sz w:val="24"/>
          <w:szCs w:val="24"/>
        </w:rPr>
        <w:t>国家电子政务标准总体组已确定采用XML作为数据交换格式标准，并作为公共数据元描述标准。XML本身是一种开放性技术，是连接不同系统、不同平台的数据桥梁，目前XML技术受到行业的广泛关注和认同，支持XML的软件和开发工具越来越多，功能也越来越强大，许多XML工具还提供开放的源代码，以方便在此基础之上进行移植和二次开发。</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在XML安全方面，XML语言自身的结构化特征，以及XML广泛和深入的应用，给XML数据的安全带来新特性，比如保护XML文档的存储安全、保护XML消息长期的确认性、保护XML文档局部数据的安全等。</w:t>
      </w:r>
    </w:p>
    <w:p>
      <w:pPr>
        <w:spacing w:line="360" w:lineRule="auto"/>
        <w:ind w:firstLine="480" w:firstLineChars="200"/>
        <w:rPr>
          <w:rFonts w:ascii="仿宋" w:hAnsi="仿宋" w:eastAsia="仿宋"/>
          <w:sz w:val="24"/>
          <w:szCs w:val="24"/>
        </w:rPr>
      </w:pPr>
      <w:r>
        <w:rPr>
          <w:rFonts w:hint="eastAsia" w:ascii="仿宋" w:hAnsi="仿宋" w:eastAsia="仿宋"/>
          <w:sz w:val="24"/>
          <w:szCs w:val="24"/>
        </w:rPr>
        <w:t>XML语言具有如下特点：</w:t>
      </w:r>
    </w:p>
    <w:p>
      <w:pPr>
        <w:spacing w:line="360" w:lineRule="auto"/>
        <w:ind w:firstLine="480" w:firstLineChars="200"/>
        <w:rPr>
          <w:rFonts w:ascii="仿宋" w:hAnsi="仿宋" w:eastAsia="仿宋"/>
          <w:sz w:val="24"/>
          <w:szCs w:val="24"/>
        </w:rPr>
      </w:pPr>
      <w:r>
        <w:rPr>
          <w:rFonts w:hint="eastAsia" w:ascii="仿宋" w:hAnsi="仿宋" w:eastAsia="仿宋"/>
          <w:sz w:val="24"/>
          <w:szCs w:val="24"/>
        </w:rPr>
        <w:t>①XML不但是标记语言，而且是可扩展的（eXtensible）标记语言。不同个人、不同行业和应用都可以根据实际需要定义新的标记语言。准确的说，XML是一种元语言，基于它提供的规则，可以制定各种各样的标记语言；</w:t>
      </w:r>
    </w:p>
    <w:p>
      <w:pPr>
        <w:spacing w:line="360" w:lineRule="auto"/>
        <w:ind w:firstLine="480" w:firstLineChars="200"/>
        <w:rPr>
          <w:rFonts w:ascii="仿宋" w:hAnsi="仿宋" w:eastAsia="仿宋"/>
          <w:sz w:val="24"/>
          <w:szCs w:val="24"/>
        </w:rPr>
      </w:pPr>
      <w:r>
        <w:rPr>
          <w:rFonts w:hint="eastAsia" w:ascii="仿宋" w:hAnsi="仿宋" w:eastAsia="仿宋"/>
          <w:sz w:val="24"/>
          <w:szCs w:val="24"/>
        </w:rPr>
        <w:t>②信息的显示与处理分离：在XML中，文档内容以什么样的形式显示由可扩展样式语言(eXtensible Style Language,简称XSL)和层叠样式表(Cascading Style Sheets,简称CSS)加以控制。如果需要改动信息的表现方式，无须改动信息本身；XML中数据搜索可以简单高效地进行；XML文档制定者可以根据数据自身的逻辑定义文档结构；显示与内容分离，极大地拓宽XML的应用领域；</w:t>
      </w:r>
    </w:p>
    <w:p>
      <w:pPr>
        <w:spacing w:line="360" w:lineRule="auto"/>
        <w:ind w:firstLine="480" w:firstLineChars="200"/>
        <w:rPr>
          <w:rFonts w:ascii="仿宋" w:hAnsi="仿宋" w:eastAsia="仿宋"/>
          <w:sz w:val="24"/>
          <w:szCs w:val="24"/>
        </w:rPr>
      </w:pPr>
      <w:r>
        <w:rPr>
          <w:rFonts w:hint="eastAsia" w:ascii="仿宋" w:hAnsi="仿宋" w:eastAsia="仿宋"/>
          <w:sz w:val="24"/>
          <w:szCs w:val="24"/>
        </w:rPr>
        <w:t>③XML遵循严格的语法要求，结构清晰，可读性好，容易编制，便于不同系统之间信息的传输。</w:t>
      </w:r>
    </w:p>
    <w:p>
      <w:pPr>
        <w:spacing w:line="360" w:lineRule="auto"/>
        <w:ind w:firstLine="480" w:firstLineChars="200"/>
        <w:rPr>
          <w:rFonts w:ascii="仿宋" w:hAnsi="仿宋" w:eastAsia="仿宋"/>
          <w:sz w:val="24"/>
          <w:szCs w:val="24"/>
        </w:rPr>
      </w:pPr>
      <w:r>
        <w:rPr>
          <w:rFonts w:hint="eastAsia" w:ascii="仿宋" w:hAnsi="仿宋" w:eastAsia="仿宋"/>
          <w:sz w:val="24"/>
          <w:szCs w:val="24"/>
        </w:rPr>
        <w:t>XML是新一代的数据表示技术，是整个系统的应用层数据编码格式。</w:t>
      </w:r>
      <w:r>
        <w:rPr>
          <w:rFonts w:ascii="仿宋" w:hAnsi="仿宋" w:eastAsia="仿宋"/>
          <w:sz w:val="24"/>
          <w:szCs w:val="24"/>
        </w:rPr>
        <w:t xml:space="preserve"> </w:t>
      </w:r>
    </w:p>
    <w:p>
      <w:pPr>
        <w:spacing w:line="360" w:lineRule="auto"/>
        <w:ind w:firstLine="480" w:firstLineChars="200"/>
        <w:rPr>
          <w:rFonts w:ascii="仿宋" w:hAnsi="仿宋" w:eastAsia="仿宋"/>
          <w:sz w:val="24"/>
          <w:szCs w:val="24"/>
        </w:rPr>
      </w:pPr>
      <w:r>
        <w:rPr>
          <w:rFonts w:hint="eastAsia" w:ascii="仿宋" w:hAnsi="仿宋" w:eastAsia="仿宋"/>
          <w:sz w:val="24"/>
          <w:szCs w:val="24"/>
        </w:rPr>
        <w:t>通用XML在XML1.0、DTD和XSL规范基础上，增加消息安全机制和XML文档安全机制，在保留XML技术自描述等优点的同时，通过公钥基础设施PKI在消息层保证消息的安全，在应用层保证元素级数据的安全，基于cegXML的信任服务架构可在不同的Web系统之间提供无缝的安全交互和信息交换，并能非常方便地实现信息的机密性、完整性、抗抵赖性以及访问授权等安全功能需求。</w:t>
      </w:r>
    </w:p>
    <w:p>
      <w:pPr>
        <w:pStyle w:val="9"/>
        <w:tabs>
          <w:tab w:val="left" w:pos="0"/>
        </w:tabs>
        <w:ind w:left="0" w:firstLine="0"/>
        <w:rPr>
          <w:rFonts w:ascii="仿宋" w:hAnsi="仿宋" w:eastAsia="仿宋"/>
          <w:sz w:val="24"/>
          <w:szCs w:val="24"/>
        </w:rPr>
      </w:pPr>
      <w:bookmarkStart w:id="43" w:name="_Toc57816984"/>
      <w:bookmarkStart w:id="44" w:name="_Toc516674170"/>
      <w:bookmarkStart w:id="45" w:name="_Toc519086534"/>
      <w:bookmarkStart w:id="46" w:name="_Toc516557150"/>
      <w:bookmarkStart w:id="47" w:name="_Toc526606970"/>
      <w:r>
        <w:rPr>
          <w:rFonts w:hint="eastAsia" w:ascii="仿宋" w:hAnsi="仿宋" w:eastAsia="仿宋"/>
          <w:sz w:val="24"/>
          <w:szCs w:val="24"/>
        </w:rPr>
        <w:t>JSON技术</w:t>
      </w:r>
      <w:bookmarkEnd w:id="43"/>
      <w:bookmarkEnd w:id="44"/>
      <w:bookmarkEnd w:id="45"/>
      <w:bookmarkEnd w:id="46"/>
      <w:bookmarkEnd w:id="47"/>
    </w:p>
    <w:p>
      <w:pPr>
        <w:spacing w:line="360" w:lineRule="auto"/>
        <w:ind w:firstLine="480" w:firstLineChars="200"/>
        <w:rPr>
          <w:rFonts w:ascii="仿宋" w:hAnsi="仿宋" w:eastAsia="仿宋"/>
          <w:sz w:val="24"/>
          <w:szCs w:val="24"/>
        </w:rPr>
      </w:pPr>
      <w:r>
        <w:rPr>
          <w:rFonts w:hint="eastAsia" w:ascii="仿宋" w:hAnsi="仿宋" w:eastAsia="仿宋"/>
          <w:sz w:val="24"/>
          <w:szCs w:val="24"/>
        </w:rPr>
        <w:t>相比于XML而言，JSON(JavaScript Object Notation, JS 对象标记) 是一种轻量级的数据交换格式。它基于 ECMAScript (w3c制定的js规范)的一个子集，采用完全独立于编程语言的文本格式来存储和表示数据。简洁和清晰的层次结构使得 JSON 成为理想的数据交换语言。易于人阅读和编写，同时也易于机器解析和生成，并有效地提升网络传输效率。</w:t>
      </w:r>
    </w:p>
    <w:p>
      <w:pPr>
        <w:spacing w:line="360" w:lineRule="auto"/>
        <w:ind w:firstLine="480" w:firstLineChars="200"/>
        <w:rPr>
          <w:rFonts w:ascii="仿宋" w:hAnsi="仿宋" w:eastAsia="仿宋"/>
          <w:sz w:val="24"/>
          <w:szCs w:val="24"/>
        </w:rPr>
      </w:pPr>
      <w:r>
        <w:rPr>
          <w:rFonts w:hint="eastAsia" w:ascii="仿宋" w:hAnsi="仿宋" w:eastAsia="仿宋"/>
          <w:sz w:val="24"/>
          <w:szCs w:val="24"/>
        </w:rPr>
        <w:t>JSON 可以将 JavaScript 对象中表示的一组数据转换为字符串，然后就可以在网络或者程序之间轻松地传递这个字符串，并在需要的时候将它还原为各编程语言所支持的数据格式。</w:t>
      </w:r>
    </w:p>
    <w:p>
      <w:pPr>
        <w:spacing w:line="360" w:lineRule="auto"/>
        <w:ind w:firstLine="480" w:firstLineChars="200"/>
        <w:rPr>
          <w:rFonts w:ascii="仿宋" w:hAnsi="仿宋" w:eastAsia="仿宋"/>
          <w:sz w:val="24"/>
          <w:szCs w:val="24"/>
        </w:rPr>
      </w:pPr>
      <w:r>
        <w:rPr>
          <w:rFonts w:hint="eastAsia" w:ascii="仿宋" w:hAnsi="仿宋" w:eastAsia="仿宋"/>
          <w:sz w:val="24"/>
          <w:szCs w:val="24"/>
        </w:rPr>
        <w:t>JSON与XML比较：</w:t>
      </w:r>
    </w:p>
    <w:p>
      <w:pPr>
        <w:spacing w:line="360" w:lineRule="auto"/>
        <w:ind w:firstLine="480" w:firstLineChars="200"/>
        <w:rPr>
          <w:rFonts w:ascii="仿宋" w:hAnsi="仿宋" w:eastAsia="仿宋"/>
          <w:sz w:val="24"/>
          <w:szCs w:val="24"/>
        </w:rPr>
      </w:pPr>
      <w:r>
        <w:rPr>
          <w:rFonts w:hint="eastAsia" w:ascii="仿宋" w:hAnsi="仿宋" w:eastAsia="仿宋"/>
          <w:sz w:val="24"/>
          <w:szCs w:val="24"/>
        </w:rPr>
        <w:t>（1）可读性</w:t>
      </w:r>
    </w:p>
    <w:p>
      <w:pPr>
        <w:spacing w:line="360" w:lineRule="auto"/>
        <w:ind w:firstLine="480" w:firstLineChars="200"/>
        <w:rPr>
          <w:rFonts w:ascii="仿宋" w:hAnsi="仿宋" w:eastAsia="仿宋"/>
          <w:sz w:val="24"/>
          <w:szCs w:val="24"/>
        </w:rPr>
      </w:pPr>
      <w:r>
        <w:rPr>
          <w:rFonts w:hint="eastAsia" w:ascii="仿宋" w:hAnsi="仿宋" w:eastAsia="仿宋"/>
          <w:sz w:val="24"/>
          <w:szCs w:val="24"/>
        </w:rPr>
        <w:t>JSON和XML的可读性不相上下，一边是简易的语法，一边是规范的标签形式，很难分出胜负。</w:t>
      </w:r>
    </w:p>
    <w:p>
      <w:pPr>
        <w:spacing w:line="360" w:lineRule="auto"/>
        <w:ind w:firstLine="480" w:firstLineChars="200"/>
        <w:rPr>
          <w:rFonts w:ascii="仿宋" w:hAnsi="仿宋" w:eastAsia="仿宋"/>
          <w:sz w:val="24"/>
          <w:szCs w:val="24"/>
        </w:rPr>
      </w:pPr>
      <w:r>
        <w:rPr>
          <w:rFonts w:hint="eastAsia" w:ascii="仿宋" w:hAnsi="仿宋" w:eastAsia="仿宋"/>
          <w:sz w:val="24"/>
          <w:szCs w:val="24"/>
        </w:rPr>
        <w:t>（</w:t>
      </w:r>
      <w:r>
        <w:rPr>
          <w:rFonts w:ascii="仿宋" w:hAnsi="仿宋" w:eastAsia="仿宋"/>
          <w:sz w:val="24"/>
          <w:szCs w:val="24"/>
        </w:rPr>
        <w:t>2</w:t>
      </w:r>
      <w:r>
        <w:rPr>
          <w:rFonts w:hint="eastAsia" w:ascii="仿宋" w:hAnsi="仿宋" w:eastAsia="仿宋"/>
          <w:sz w:val="24"/>
          <w:szCs w:val="24"/>
        </w:rPr>
        <w:t>）可扩展性</w:t>
      </w:r>
    </w:p>
    <w:p>
      <w:pPr>
        <w:spacing w:line="360" w:lineRule="auto"/>
        <w:ind w:firstLine="480" w:firstLineChars="200"/>
        <w:rPr>
          <w:rFonts w:ascii="仿宋" w:hAnsi="仿宋" w:eastAsia="仿宋"/>
          <w:sz w:val="24"/>
          <w:szCs w:val="24"/>
        </w:rPr>
      </w:pPr>
      <w:r>
        <w:rPr>
          <w:rFonts w:hint="eastAsia" w:ascii="仿宋" w:hAnsi="仿宋" w:eastAsia="仿宋"/>
          <w:sz w:val="24"/>
          <w:szCs w:val="24"/>
        </w:rPr>
        <w:t>XML有很好的扩展性，JSON也有，没有什么是XML可以扩展而JSON却不能扩展的。不过JSON在</w:t>
      </w:r>
      <w:r>
        <w:rPr>
          <w:rFonts w:ascii="仿宋" w:hAnsi="仿宋" w:eastAsia="仿宋"/>
          <w:sz w:val="24"/>
          <w:szCs w:val="24"/>
        </w:rPr>
        <w:t>JavaScript</w:t>
      </w:r>
      <w:r>
        <w:rPr>
          <w:rFonts w:hint="eastAsia" w:ascii="仿宋" w:hAnsi="仿宋" w:eastAsia="仿宋"/>
          <w:sz w:val="24"/>
          <w:szCs w:val="24"/>
        </w:rPr>
        <w:t>主场作战，可以存储</w:t>
      </w:r>
      <w:r>
        <w:rPr>
          <w:rFonts w:ascii="仿宋" w:hAnsi="仿宋" w:eastAsia="仿宋"/>
          <w:sz w:val="24"/>
          <w:szCs w:val="24"/>
        </w:rPr>
        <w:t>JavaScript</w:t>
      </w:r>
      <w:r>
        <w:rPr>
          <w:rFonts w:hint="eastAsia" w:ascii="仿宋" w:hAnsi="仿宋" w:eastAsia="仿宋"/>
          <w:sz w:val="24"/>
          <w:szCs w:val="24"/>
        </w:rPr>
        <w:t>复合对象，有着xml不可比拟的优势。</w:t>
      </w:r>
    </w:p>
    <w:p>
      <w:pPr>
        <w:spacing w:line="360" w:lineRule="auto"/>
        <w:ind w:firstLine="480" w:firstLineChars="200"/>
        <w:rPr>
          <w:rFonts w:ascii="仿宋" w:hAnsi="仿宋" w:eastAsia="仿宋"/>
          <w:sz w:val="24"/>
          <w:szCs w:val="24"/>
        </w:rPr>
      </w:pPr>
      <w:r>
        <w:rPr>
          <w:rFonts w:hint="eastAsia" w:ascii="仿宋" w:hAnsi="仿宋" w:eastAsia="仿宋"/>
          <w:sz w:val="24"/>
          <w:szCs w:val="24"/>
        </w:rPr>
        <w:t>（3）编码难度</w:t>
      </w:r>
    </w:p>
    <w:p>
      <w:pPr>
        <w:spacing w:line="360" w:lineRule="auto"/>
        <w:ind w:firstLine="480" w:firstLineChars="200"/>
        <w:rPr>
          <w:rFonts w:ascii="仿宋" w:hAnsi="仿宋" w:eastAsia="仿宋"/>
          <w:sz w:val="24"/>
          <w:szCs w:val="24"/>
        </w:rPr>
      </w:pPr>
      <w:r>
        <w:rPr>
          <w:rFonts w:hint="eastAsia" w:ascii="仿宋" w:hAnsi="仿宋" w:eastAsia="仿宋"/>
          <w:sz w:val="24"/>
          <w:szCs w:val="24"/>
        </w:rPr>
        <w:t>XML有丰富的编码工具，比如Dom4j、JDom等，JSON也有提供的工具。无工具的情况下，熟练的开发人员一样能很快的写出想要的xml文档和JSON字符串，不过，xml文档要多很多结构上的字符。</w:t>
      </w:r>
    </w:p>
    <w:p>
      <w:pPr>
        <w:spacing w:line="360" w:lineRule="auto"/>
        <w:ind w:firstLine="480" w:firstLineChars="200"/>
        <w:rPr>
          <w:rFonts w:ascii="仿宋" w:hAnsi="仿宋" w:eastAsia="仿宋"/>
          <w:sz w:val="24"/>
          <w:szCs w:val="24"/>
        </w:rPr>
      </w:pPr>
      <w:r>
        <w:rPr>
          <w:rFonts w:hint="eastAsia" w:ascii="仿宋" w:hAnsi="仿宋" w:eastAsia="仿宋"/>
          <w:sz w:val="24"/>
          <w:szCs w:val="24"/>
        </w:rPr>
        <w:t>（4）解码难度</w:t>
      </w:r>
    </w:p>
    <w:p>
      <w:pPr>
        <w:spacing w:line="360" w:lineRule="auto"/>
        <w:ind w:firstLine="480" w:firstLineChars="200"/>
        <w:rPr>
          <w:rFonts w:ascii="仿宋" w:hAnsi="仿宋" w:eastAsia="仿宋"/>
          <w:sz w:val="24"/>
          <w:szCs w:val="24"/>
        </w:rPr>
      </w:pPr>
      <w:r>
        <w:rPr>
          <w:rFonts w:hint="eastAsia" w:ascii="仿宋" w:hAnsi="仿宋" w:eastAsia="仿宋"/>
          <w:sz w:val="24"/>
          <w:szCs w:val="24"/>
        </w:rPr>
        <w:t>XML的解析方式有两种：</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一是通过文档模型解析，也就是通过父标签索引出一组标记。例如：xmlData.getElementsByTagName("</w:t>
      </w:r>
      <w:r>
        <w:rPr>
          <w:rFonts w:ascii="仿宋" w:hAnsi="仿宋" w:eastAsia="仿宋"/>
          <w:sz w:val="24"/>
          <w:szCs w:val="24"/>
        </w:rPr>
        <w:t>tag Name</w:t>
      </w:r>
      <w:r>
        <w:rPr>
          <w:rFonts w:hint="eastAsia" w:ascii="仿宋" w:hAnsi="仿宋" w:eastAsia="仿宋"/>
          <w:sz w:val="24"/>
          <w:szCs w:val="24"/>
        </w:rPr>
        <w:t>")，但是这样是要在预先知道文档结构的情况下使用，无法进行通用的封装。</w:t>
      </w:r>
    </w:p>
    <w:p>
      <w:pPr>
        <w:spacing w:line="360" w:lineRule="auto"/>
        <w:ind w:firstLine="480" w:firstLineChars="200"/>
        <w:rPr>
          <w:rFonts w:ascii="仿宋" w:hAnsi="仿宋" w:eastAsia="仿宋"/>
          <w:sz w:val="24"/>
          <w:szCs w:val="24"/>
        </w:rPr>
      </w:pPr>
      <w:r>
        <w:rPr>
          <w:rFonts w:hint="eastAsia" w:ascii="仿宋" w:hAnsi="仿宋" w:eastAsia="仿宋"/>
          <w:sz w:val="24"/>
          <w:szCs w:val="24"/>
        </w:rPr>
        <w:t xml:space="preserve">另外一种方法是遍历节点（document 以及 </w:t>
      </w:r>
      <w:r>
        <w:rPr>
          <w:rFonts w:ascii="仿宋" w:hAnsi="仿宋" w:eastAsia="仿宋"/>
          <w:sz w:val="24"/>
          <w:szCs w:val="24"/>
        </w:rPr>
        <w:t>child Nodes</w:t>
      </w:r>
      <w:r>
        <w:rPr>
          <w:rFonts w:hint="eastAsia" w:ascii="仿宋" w:hAnsi="仿宋" w:eastAsia="仿宋"/>
          <w:sz w:val="24"/>
          <w:szCs w:val="24"/>
        </w:rPr>
        <w:t>）。这个可以通过递归来实现，不过解析出来的数据仍旧是形式各异，往往也不能满足预先的要求。</w:t>
      </w:r>
    </w:p>
    <w:p>
      <w:pPr>
        <w:spacing w:line="360" w:lineRule="auto"/>
        <w:ind w:firstLine="480" w:firstLineChars="200"/>
        <w:rPr>
          <w:rFonts w:ascii="仿宋" w:hAnsi="仿宋" w:eastAsia="仿宋"/>
          <w:sz w:val="24"/>
          <w:szCs w:val="24"/>
        </w:rPr>
      </w:pPr>
      <w:r>
        <w:rPr>
          <w:rFonts w:hint="eastAsia" w:ascii="仿宋" w:hAnsi="仿宋" w:eastAsia="仿宋"/>
          <w:sz w:val="24"/>
          <w:szCs w:val="24"/>
        </w:rPr>
        <w:t>这样可扩展的结构数据解析起来都很困难。</w:t>
      </w:r>
    </w:p>
    <w:p>
      <w:pPr>
        <w:spacing w:line="360" w:lineRule="auto"/>
        <w:ind w:firstLine="480" w:firstLineChars="200"/>
        <w:rPr>
          <w:rFonts w:ascii="仿宋" w:hAnsi="仿宋" w:eastAsia="仿宋"/>
          <w:sz w:val="24"/>
          <w:szCs w:val="24"/>
        </w:rPr>
      </w:pPr>
      <w:r>
        <w:rPr>
          <w:rFonts w:hint="eastAsia" w:ascii="仿宋" w:hAnsi="仿宋" w:eastAsia="仿宋"/>
          <w:sz w:val="24"/>
          <w:szCs w:val="24"/>
        </w:rPr>
        <w:t>JSON也是如此，如果已知JSON的结构，那么进行数据传递非常简单明了，如果不知道JSON的数据结构去解析JSON，会非常困难。</w:t>
      </w:r>
    </w:p>
    <w:p>
      <w:pPr>
        <w:spacing w:line="360" w:lineRule="auto"/>
        <w:ind w:firstLine="480" w:firstLineChars="200"/>
        <w:rPr>
          <w:rFonts w:ascii="仿宋" w:hAnsi="仿宋" w:eastAsia="仿宋"/>
          <w:sz w:val="24"/>
          <w:szCs w:val="24"/>
        </w:rPr>
      </w:pPr>
      <w:r>
        <w:rPr>
          <w:rFonts w:hint="eastAsia" w:ascii="仿宋" w:hAnsi="仿宋" w:eastAsia="仿宋"/>
          <w:sz w:val="24"/>
          <w:szCs w:val="24"/>
        </w:rPr>
        <w:t>（5）有效数据率</w:t>
      </w:r>
    </w:p>
    <w:p>
      <w:pPr>
        <w:spacing w:line="360" w:lineRule="auto"/>
        <w:ind w:firstLine="480" w:firstLineChars="200"/>
        <w:rPr>
          <w:rFonts w:ascii="仿宋" w:hAnsi="仿宋" w:eastAsia="仿宋"/>
          <w:sz w:val="24"/>
          <w:szCs w:val="24"/>
        </w:rPr>
      </w:pPr>
      <w:r>
        <w:rPr>
          <w:rFonts w:hint="eastAsia" w:ascii="仿宋" w:hAnsi="仿宋" w:eastAsia="仿宋"/>
          <w:sz w:val="24"/>
          <w:szCs w:val="24"/>
        </w:rPr>
        <w:t>JSON和XML还有另外一个很大的区别在于有效数据率。JSON作为数据包格式传输的时候具有更高的效率，这是因为JSON不像XML那样需要有严格的闭合标签，这就让有效数据量与总数据包比大大提升，从而减少同等数据流量的情况下，网络的传输压力。</w:t>
      </w:r>
    </w:p>
    <w:p>
      <w:pPr>
        <w:pStyle w:val="9"/>
        <w:tabs>
          <w:tab w:val="left" w:pos="0"/>
        </w:tabs>
        <w:ind w:left="0" w:firstLine="0"/>
        <w:rPr>
          <w:rFonts w:ascii="仿宋" w:hAnsi="仿宋" w:eastAsia="仿宋"/>
          <w:sz w:val="24"/>
          <w:szCs w:val="24"/>
        </w:rPr>
      </w:pPr>
      <w:bookmarkStart w:id="48" w:name="_Toc526606972"/>
      <w:bookmarkStart w:id="49" w:name="_Toc57816985"/>
      <w:bookmarkStart w:id="50" w:name="_Toc516674172"/>
      <w:bookmarkStart w:id="51" w:name="_Toc519086536"/>
      <w:bookmarkStart w:id="52" w:name="_Toc516557152"/>
      <w:r>
        <w:rPr>
          <w:rFonts w:hint="eastAsia" w:ascii="仿宋" w:hAnsi="仿宋" w:eastAsia="仿宋"/>
          <w:sz w:val="24"/>
          <w:szCs w:val="24"/>
        </w:rPr>
        <w:t>HTML5技术</w:t>
      </w:r>
      <w:bookmarkEnd w:id="48"/>
      <w:bookmarkEnd w:id="49"/>
      <w:bookmarkEnd w:id="50"/>
      <w:bookmarkEnd w:id="51"/>
      <w:bookmarkEnd w:id="52"/>
    </w:p>
    <w:p>
      <w:pPr>
        <w:spacing w:line="360" w:lineRule="auto"/>
        <w:ind w:firstLine="480" w:firstLineChars="200"/>
        <w:rPr>
          <w:rFonts w:ascii="仿宋" w:hAnsi="仿宋" w:eastAsia="仿宋"/>
          <w:sz w:val="24"/>
          <w:szCs w:val="24"/>
        </w:rPr>
      </w:pPr>
      <w:r>
        <w:rPr>
          <w:rFonts w:hint="eastAsia" w:ascii="仿宋" w:hAnsi="仿宋" w:eastAsia="仿宋"/>
          <w:sz w:val="24"/>
          <w:szCs w:val="24"/>
        </w:rPr>
        <w:t>HTML5技术赋予网页更好的意义和结构。更加丰富的标签将随着对RDFa的微数据与微格式等方面的支持，构建对程序、对用户都更有价值的数据驱动的Web。基于HTML5开发的网页APP拥有更短的启动时间，更快的联网速度，这些全得益于HTML5 APP Cache，以及本地存储功能。HTML5拥有更有效的服务器推送技术，更有效的连接工作效率，使得基于页面的实时聊天，更快速的网页体验，更优化的在线交流得到实现。</w:t>
      </w:r>
    </w:p>
    <w:p>
      <w:pPr>
        <w:pStyle w:val="9"/>
        <w:tabs>
          <w:tab w:val="left" w:pos="0"/>
        </w:tabs>
        <w:ind w:left="0" w:firstLine="0"/>
        <w:rPr>
          <w:rFonts w:ascii="仿宋" w:hAnsi="仿宋" w:eastAsia="仿宋"/>
          <w:sz w:val="24"/>
          <w:szCs w:val="24"/>
        </w:rPr>
      </w:pPr>
      <w:bookmarkStart w:id="53" w:name="_Toc526606975"/>
      <w:bookmarkStart w:id="54" w:name="_Toc57816986"/>
      <w:r>
        <w:rPr>
          <w:rFonts w:hint="eastAsia" w:ascii="仿宋" w:hAnsi="仿宋" w:eastAsia="仿宋"/>
          <w:sz w:val="24"/>
          <w:szCs w:val="24"/>
        </w:rPr>
        <w:t>虚拟化技术的运用</w:t>
      </w:r>
      <w:bookmarkEnd w:id="53"/>
      <w:bookmarkEnd w:id="54"/>
    </w:p>
    <w:p>
      <w:pPr>
        <w:spacing w:line="360" w:lineRule="auto"/>
        <w:ind w:firstLine="480" w:firstLineChars="200"/>
        <w:rPr>
          <w:rFonts w:ascii="仿宋" w:hAnsi="仿宋" w:eastAsia="仿宋"/>
          <w:sz w:val="24"/>
          <w:szCs w:val="24"/>
        </w:rPr>
      </w:pPr>
      <w:r>
        <w:rPr>
          <w:rFonts w:hint="eastAsia" w:ascii="仿宋" w:hAnsi="仿宋" w:eastAsia="仿宋"/>
          <w:sz w:val="24"/>
          <w:szCs w:val="24"/>
        </w:rPr>
        <w:t>云计算数据中心资源的管理模式是采用池化的办法，把服务器、存储、网络等资源按照不同的标准组织成不同的资源池。通过资源池的管理模式，云计算数据中心管理员无需去考虑具体的服务器、存储和网络的位置和配置。</w:t>
      </w:r>
    </w:p>
    <w:p>
      <w:pPr>
        <w:spacing w:line="360" w:lineRule="auto"/>
        <w:ind w:firstLine="480" w:firstLineChars="200"/>
        <w:rPr>
          <w:rFonts w:ascii="仿宋" w:hAnsi="仿宋" w:eastAsia="仿宋"/>
          <w:sz w:val="24"/>
          <w:szCs w:val="24"/>
        </w:rPr>
      </w:pPr>
      <w:r>
        <w:rPr>
          <w:rFonts w:hint="eastAsia" w:ascii="仿宋" w:hAnsi="仿宋" w:eastAsia="仿宋"/>
          <w:sz w:val="24"/>
          <w:szCs w:val="24"/>
        </w:rPr>
        <w:t>虚拟化软件能够利用虚拟化功能构建云计算基础架构，提供灵活可靠的IT服务。虚拟化软件能够汇总多个系统间的基础物理硬件资源，同时提供大量虚拟资源。虚拟化软件可通过无缝和动态操作来管理大型基础架构（例如，CPU、存储器和网络）。</w:t>
      </w:r>
    </w:p>
    <w:p>
      <w:pPr>
        <w:pStyle w:val="8"/>
        <w:tabs>
          <w:tab w:val="left" w:pos="0"/>
        </w:tabs>
        <w:ind w:left="0" w:firstLine="0"/>
        <w:rPr>
          <w:rFonts w:ascii="仿宋" w:hAnsi="仿宋" w:eastAsia="仿宋"/>
          <w:sz w:val="24"/>
          <w:szCs w:val="24"/>
        </w:rPr>
      </w:pPr>
      <w:bookmarkStart w:id="55" w:name="_Toc69134887"/>
      <w:r>
        <w:rPr>
          <w:rFonts w:hint="eastAsia" w:ascii="仿宋" w:hAnsi="仿宋" w:eastAsia="仿宋"/>
          <w:sz w:val="24"/>
          <w:szCs w:val="24"/>
        </w:rPr>
        <w:t>安全系统设计</w:t>
      </w:r>
      <w:bookmarkEnd w:id="55"/>
    </w:p>
    <w:p>
      <w:pPr>
        <w:pStyle w:val="9"/>
        <w:tabs>
          <w:tab w:val="left" w:pos="0"/>
        </w:tabs>
        <w:ind w:left="0" w:firstLine="0"/>
        <w:rPr>
          <w:rFonts w:ascii="仿宋" w:hAnsi="仿宋" w:eastAsia="仿宋"/>
          <w:sz w:val="24"/>
          <w:szCs w:val="24"/>
        </w:rPr>
      </w:pPr>
      <w:bookmarkStart w:id="56" w:name="_Toc57816950"/>
      <w:bookmarkStart w:id="57" w:name="_Toc24620322"/>
      <w:r>
        <w:rPr>
          <w:rFonts w:hint="eastAsia" w:ascii="仿宋" w:hAnsi="仿宋" w:eastAsia="仿宋"/>
          <w:sz w:val="24"/>
          <w:szCs w:val="24"/>
        </w:rPr>
        <w:t>设计目标</w:t>
      </w:r>
      <w:bookmarkEnd w:id="56"/>
      <w:bookmarkEnd w:id="57"/>
    </w:p>
    <w:p>
      <w:pPr>
        <w:spacing w:line="360" w:lineRule="auto"/>
        <w:ind w:firstLine="480" w:firstLineChars="200"/>
        <w:rPr>
          <w:rFonts w:ascii="仿宋" w:hAnsi="仿宋" w:eastAsia="仿宋"/>
          <w:sz w:val="24"/>
          <w:szCs w:val="24"/>
        </w:rPr>
      </w:pPr>
      <w:r>
        <w:rPr>
          <w:rFonts w:hint="eastAsia" w:ascii="仿宋" w:hAnsi="仿宋" w:eastAsia="仿宋"/>
          <w:sz w:val="24"/>
          <w:szCs w:val="24"/>
        </w:rPr>
        <w:t>网络安全保障体系建设的总体目标是：建立综合安全服务体系，从物理、网络、系统、信息和管理等方面保证整体安全；建立综合防范机制，保障信息安全、高效、可靠的运行，确保信息的机密性、完整性、不可否认性和可用性，避免各种潜在的威胁。</w:t>
      </w:r>
    </w:p>
    <w:p>
      <w:pPr>
        <w:spacing w:line="360" w:lineRule="auto"/>
        <w:ind w:firstLine="480" w:firstLineChars="200"/>
        <w:rPr>
          <w:rFonts w:ascii="仿宋" w:hAnsi="仿宋" w:eastAsia="仿宋"/>
          <w:sz w:val="24"/>
          <w:szCs w:val="24"/>
        </w:rPr>
      </w:pPr>
      <w:r>
        <w:rPr>
          <w:rFonts w:hint="eastAsia" w:ascii="仿宋" w:hAnsi="仿宋" w:eastAsia="仿宋"/>
          <w:sz w:val="24"/>
          <w:szCs w:val="24"/>
        </w:rPr>
        <w:t>根据省委</w:t>
      </w:r>
      <w:r>
        <w:rPr>
          <w:rFonts w:ascii="仿宋" w:hAnsi="仿宋" w:eastAsia="仿宋"/>
          <w:sz w:val="24"/>
          <w:szCs w:val="24"/>
        </w:rPr>
        <w:t>省政府对信息安全的要求</w:t>
      </w:r>
      <w:r>
        <w:rPr>
          <w:rFonts w:hint="eastAsia" w:ascii="仿宋" w:hAnsi="仿宋" w:eastAsia="仿宋"/>
          <w:sz w:val="24"/>
          <w:szCs w:val="24"/>
        </w:rPr>
        <w:t>，信息安全保障体系建设的具体目标概括如下：</w:t>
      </w:r>
    </w:p>
    <w:p>
      <w:pPr>
        <w:spacing w:line="360" w:lineRule="auto"/>
        <w:ind w:firstLine="480" w:firstLineChars="200"/>
        <w:rPr>
          <w:rFonts w:ascii="仿宋" w:hAnsi="仿宋" w:eastAsia="仿宋"/>
          <w:sz w:val="24"/>
          <w:szCs w:val="24"/>
        </w:rPr>
      </w:pPr>
      <w:r>
        <w:rPr>
          <w:rFonts w:hint="eastAsia" w:ascii="仿宋" w:hAnsi="仿宋" w:eastAsia="仿宋"/>
          <w:sz w:val="24"/>
          <w:szCs w:val="24"/>
        </w:rPr>
        <w:t>（</w:t>
      </w:r>
      <w:r>
        <w:rPr>
          <w:rFonts w:ascii="仿宋" w:hAnsi="仿宋" w:eastAsia="仿宋"/>
          <w:sz w:val="24"/>
          <w:szCs w:val="24"/>
        </w:rPr>
        <w:t>1）网络安全域划分</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对网络重点区域实行重点保护。结合防病毒、入侵防护、防火墙等设备。</w:t>
      </w:r>
    </w:p>
    <w:p>
      <w:pPr>
        <w:spacing w:line="360" w:lineRule="auto"/>
        <w:ind w:firstLine="480" w:firstLineChars="200"/>
        <w:rPr>
          <w:rFonts w:ascii="仿宋" w:hAnsi="仿宋" w:eastAsia="仿宋"/>
          <w:sz w:val="24"/>
          <w:szCs w:val="24"/>
        </w:rPr>
      </w:pPr>
      <w:r>
        <w:rPr>
          <w:rFonts w:hint="eastAsia" w:ascii="仿宋" w:hAnsi="仿宋" w:eastAsia="仿宋"/>
          <w:sz w:val="24"/>
          <w:szCs w:val="24"/>
        </w:rPr>
        <w:t>（</w:t>
      </w:r>
      <w:r>
        <w:rPr>
          <w:rFonts w:ascii="仿宋" w:hAnsi="仿宋" w:eastAsia="仿宋"/>
          <w:sz w:val="24"/>
          <w:szCs w:val="24"/>
        </w:rPr>
        <w:t>2）客户端安全</w:t>
      </w:r>
    </w:p>
    <w:p>
      <w:pPr>
        <w:spacing w:line="360" w:lineRule="auto"/>
        <w:ind w:firstLine="480" w:firstLineChars="200"/>
        <w:rPr>
          <w:rFonts w:ascii="仿宋" w:hAnsi="仿宋" w:eastAsia="仿宋"/>
          <w:sz w:val="24"/>
          <w:szCs w:val="24"/>
        </w:rPr>
      </w:pPr>
      <w:r>
        <w:rPr>
          <w:rFonts w:hint="eastAsia" w:ascii="仿宋" w:hAnsi="仿宋" w:eastAsia="仿宋"/>
          <w:sz w:val="24"/>
          <w:szCs w:val="24"/>
        </w:rPr>
        <w:t>通过部署相关系统，实现客户端身份认证、准入控制、</w:t>
      </w:r>
      <w:r>
        <w:rPr>
          <w:rFonts w:ascii="仿宋" w:hAnsi="仿宋" w:eastAsia="仿宋"/>
          <w:sz w:val="24"/>
          <w:szCs w:val="24"/>
        </w:rPr>
        <w:t>USB和光驱等外设的控制审计、防病毒、实名制等功能，杜绝办公网客户端非法外联，和办公网、业务网客户端混用的现象。</w:t>
      </w:r>
    </w:p>
    <w:p>
      <w:pPr>
        <w:spacing w:line="360" w:lineRule="auto"/>
        <w:ind w:firstLine="480" w:firstLineChars="200"/>
        <w:rPr>
          <w:rFonts w:ascii="仿宋" w:hAnsi="仿宋" w:eastAsia="仿宋"/>
          <w:sz w:val="24"/>
          <w:szCs w:val="24"/>
        </w:rPr>
      </w:pPr>
      <w:r>
        <w:rPr>
          <w:rFonts w:hint="eastAsia" w:ascii="仿宋" w:hAnsi="仿宋" w:eastAsia="仿宋"/>
          <w:sz w:val="24"/>
          <w:szCs w:val="24"/>
        </w:rPr>
        <w:t>（</w:t>
      </w:r>
      <w:r>
        <w:rPr>
          <w:rFonts w:ascii="仿宋" w:hAnsi="仿宋" w:eastAsia="仿宋"/>
          <w:sz w:val="24"/>
          <w:szCs w:val="24"/>
        </w:rPr>
        <w:t>3）数据交换安全</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办公网和业务网物理隔离，但两个网络之间有数据交换需求，包括：业务数据大数据量交换和个性化小规模数据交换，例如：通过办公网台式机对业务网的网站系统进行内容维护及办公网的应用系统与业务网应用系统的大量数据交换等。需要提供一种或多种便宜且易于实现的数据交换手段。</w:t>
      </w:r>
    </w:p>
    <w:p>
      <w:pPr>
        <w:spacing w:line="360" w:lineRule="auto"/>
        <w:ind w:firstLine="480" w:firstLineChars="200"/>
        <w:rPr>
          <w:rFonts w:ascii="仿宋" w:hAnsi="仿宋" w:eastAsia="仿宋"/>
          <w:sz w:val="24"/>
          <w:szCs w:val="24"/>
        </w:rPr>
      </w:pPr>
      <w:r>
        <w:rPr>
          <w:rFonts w:hint="eastAsia" w:ascii="仿宋" w:hAnsi="仿宋" w:eastAsia="仿宋"/>
          <w:sz w:val="24"/>
          <w:szCs w:val="24"/>
        </w:rPr>
        <w:t>（</w:t>
      </w:r>
      <w:r>
        <w:rPr>
          <w:rFonts w:ascii="仿宋" w:hAnsi="仿宋" w:eastAsia="仿宋"/>
          <w:sz w:val="24"/>
          <w:szCs w:val="24"/>
        </w:rPr>
        <w:t>4）主机服务器应用层面的设计考虑</w:t>
      </w:r>
    </w:p>
    <w:p>
      <w:pPr>
        <w:spacing w:line="360" w:lineRule="auto"/>
        <w:ind w:firstLine="480" w:firstLineChars="200"/>
        <w:rPr>
          <w:rFonts w:ascii="仿宋" w:hAnsi="仿宋" w:eastAsia="仿宋"/>
          <w:sz w:val="24"/>
          <w:szCs w:val="24"/>
        </w:rPr>
      </w:pPr>
      <w:r>
        <w:rPr>
          <w:rFonts w:hint="eastAsia" w:ascii="仿宋" w:hAnsi="仿宋" w:eastAsia="仿宋"/>
          <w:sz w:val="24"/>
          <w:szCs w:val="24"/>
        </w:rPr>
        <w:t>由于办公网和业务网物理隔离，需要靠“交换”方式来进行信息交流。从应用层面设计解决方案，典型的应用需求包括：</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办公网的信息在业务网的门户网站上发布；</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办公网客户端和业务网客户端（同一个人的两台机器）之间的数据交换；</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办公网“调用”业务网数据库的数据；</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两网数据库之间数据交换；</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办公网的文件经业务网传输到下级单位；</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其他常用的应用需求。</w:t>
      </w:r>
    </w:p>
    <w:p>
      <w:pPr>
        <w:pStyle w:val="9"/>
        <w:tabs>
          <w:tab w:val="left" w:pos="0"/>
        </w:tabs>
        <w:ind w:left="0" w:firstLine="0"/>
        <w:rPr>
          <w:rFonts w:ascii="仿宋" w:hAnsi="仿宋" w:eastAsia="仿宋"/>
          <w:sz w:val="24"/>
          <w:szCs w:val="24"/>
        </w:rPr>
      </w:pPr>
      <w:bookmarkStart w:id="58" w:name="_Toc24620323"/>
      <w:bookmarkStart w:id="59" w:name="_Toc57816951"/>
      <w:r>
        <w:rPr>
          <w:rFonts w:hint="eastAsia" w:ascii="仿宋" w:hAnsi="仿宋" w:eastAsia="仿宋"/>
          <w:sz w:val="24"/>
          <w:szCs w:val="24"/>
        </w:rPr>
        <w:t>安全体系设计</w:t>
      </w:r>
      <w:bookmarkEnd w:id="58"/>
      <w:bookmarkEnd w:id="59"/>
    </w:p>
    <w:p>
      <w:pPr>
        <w:pStyle w:val="10"/>
        <w:ind w:firstLine="0"/>
        <w:rPr>
          <w:rFonts w:ascii="仿宋" w:hAnsi="仿宋" w:eastAsia="仿宋"/>
          <w:sz w:val="24"/>
          <w:szCs w:val="24"/>
        </w:rPr>
      </w:pPr>
      <w:r>
        <w:rPr>
          <w:rFonts w:hint="eastAsia" w:ascii="仿宋" w:hAnsi="仿宋" w:eastAsia="仿宋"/>
          <w:sz w:val="24"/>
          <w:szCs w:val="24"/>
        </w:rPr>
        <w:t>安全体系整体模型</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将安全保障体系结构模型中实现安全服务的安全保障措施和行动按人、技术和操作三个要素划分为三个层面，如图：</w:t>
      </w:r>
    </w:p>
    <w:p>
      <w:pPr>
        <w:ind w:firstLine="480"/>
        <w:rPr>
          <w:rFonts w:ascii="仿宋" w:hAnsi="仿宋" w:eastAsia="仿宋"/>
          <w:sz w:val="20"/>
          <w:szCs w:val="18"/>
        </w:rPr>
      </w:pPr>
      <w:r>
        <w:rPr>
          <w:rFonts w:ascii="仿宋" w:hAnsi="仿宋" w:eastAsia="仿宋"/>
          <w:sz w:val="20"/>
          <w:szCs w:val="18"/>
        </w:rPr>
        <w:drawing>
          <wp:inline distT="0" distB="0" distL="0" distR="0">
            <wp:extent cx="4754880" cy="237744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754880" cy="2377440"/>
                    </a:xfrm>
                    <a:prstGeom prst="rect">
                      <a:avLst/>
                    </a:prstGeom>
                    <a:noFill/>
                    <a:ln>
                      <a:noFill/>
                    </a:ln>
                  </pic:spPr>
                </pic:pic>
              </a:graphicData>
            </a:graphic>
          </wp:inline>
        </w:drawing>
      </w:r>
    </w:p>
    <w:p>
      <w:pPr>
        <w:spacing w:line="360" w:lineRule="auto"/>
        <w:ind w:firstLine="480" w:firstLineChars="200"/>
        <w:rPr>
          <w:rFonts w:ascii="仿宋" w:hAnsi="仿宋" w:eastAsia="仿宋"/>
          <w:sz w:val="24"/>
          <w:szCs w:val="24"/>
        </w:rPr>
      </w:pPr>
      <w:r>
        <w:rPr>
          <w:rFonts w:hint="eastAsia" w:ascii="仿宋" w:hAnsi="仿宋" w:eastAsia="仿宋"/>
          <w:sz w:val="24"/>
          <w:szCs w:val="24"/>
        </w:rPr>
        <w:t>安全保障体系结构图</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人、技术和操作是信息安全保障体系中的三个重要组成部分：人利用各种技术来对网络和信息系统进行操作，从而达到保护网络和信息系统安全性的目的。网络信息系统的安全保障毫无疑问需要以信息安全保障技术为基础来解决，而同时信息安全又强烈地依赖于人及人的操作。因此，在设计信息安全保障体系时，强调信息安全保障需要人、技术和操作三要素的均衡；强调信息安全是过程，安全管理必然不可缺少；强调安全管理涉及人与环境，安全技术以及安全操作的各个方面，良好的安全管理机制和措施是各种要素取得均衡的关键；强调安全标准化将确保各种安全技术和措施能够协同工作和实现整体效能。</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信息的安全保障体系设计遵照安全保障体系模型，在统一的等级防护安全策略指导下，我们将整个信息的安全保障体系设计分为安全技术保障体系建设、应急响应体系建设和安全管理保障体系建设等几方面重要内容，其中安全技术保障体系建设的内容包括安全基础设施（主要包括统一认证网关、防火墙系统等）、安全服务系统（主要内容包括安全隔离系统、入侵监控检测系统、防病毒系统等）；应急响应体系建设的内容包括应急响应对象、流程、机构等几方面；安全管理保障体系建设的内容包括组织、制度、管理手段、安全审计等几方面。</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因此，安全保障体系建设，将通过建立网络平台安全技术保障体系、应急响应体系和安全管理保障体系，提供身份认证、访问控制、抗抵赖和数据机密性、完整性、可用性、可控性等安全服务，形成集防护、检测、响应于一体的安全防护体系，实现实体安全、应用安全、系统安全、网络安全、管理安全。</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安全保障体系框架如图</w:t>
      </w:r>
    </w:p>
    <w:p>
      <w:pPr>
        <w:ind w:firstLine="480"/>
        <w:rPr>
          <w:rFonts w:ascii="仿宋" w:hAnsi="仿宋" w:eastAsia="仿宋"/>
          <w:sz w:val="20"/>
          <w:szCs w:val="18"/>
        </w:rPr>
      </w:pPr>
      <w:r>
        <w:rPr>
          <w:rFonts w:ascii="仿宋" w:hAnsi="仿宋" w:eastAsia="仿宋"/>
          <w:sz w:val="20"/>
          <w:szCs w:val="18"/>
        </w:rPr>
        <w:drawing>
          <wp:inline distT="0" distB="0" distL="0" distR="0">
            <wp:extent cx="4389120" cy="283464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4">
                      <a:extLst>
                        <a:ext uri="{28A0092B-C50C-407E-A947-70E740481C1C}">
                          <a14:useLocalDpi xmlns:a14="http://schemas.microsoft.com/office/drawing/2010/main" val="0"/>
                        </a:ext>
                      </a:extLst>
                    </a:blip>
                    <a:srcRect b="7161"/>
                    <a:stretch>
                      <a:fillRect/>
                    </a:stretch>
                  </pic:blipFill>
                  <pic:spPr>
                    <a:xfrm>
                      <a:off x="0" y="0"/>
                      <a:ext cx="4389120" cy="2834640"/>
                    </a:xfrm>
                    <a:prstGeom prst="rect">
                      <a:avLst/>
                    </a:prstGeom>
                    <a:noFill/>
                    <a:ln>
                      <a:noFill/>
                    </a:ln>
                  </pic:spPr>
                </pic:pic>
              </a:graphicData>
            </a:graphic>
          </wp:inline>
        </w:drawing>
      </w:r>
    </w:p>
    <w:p>
      <w:pPr>
        <w:spacing w:line="360" w:lineRule="auto"/>
        <w:ind w:firstLine="480" w:firstLineChars="200"/>
        <w:rPr>
          <w:rFonts w:ascii="仿宋" w:hAnsi="仿宋" w:eastAsia="仿宋"/>
          <w:sz w:val="24"/>
          <w:szCs w:val="24"/>
        </w:rPr>
      </w:pPr>
      <w:r>
        <w:rPr>
          <w:rFonts w:hint="eastAsia" w:ascii="仿宋" w:hAnsi="仿宋" w:eastAsia="仿宋"/>
          <w:sz w:val="24"/>
          <w:szCs w:val="24"/>
        </w:rPr>
        <w:t>政府信息公开是政府的重要原则，为了拉近政府和公众的距离，使公众具有知情权、参与权、监督权和享用政府服务的权利，为公众提供良好的信息服务，充分挖掘政府信息的最大效益，开放政府信息资源（非国家涉密和适宜公开部分）服务于民是各级政府信息化建设的重要特征。尽快制订相关信息公开法规，适度的解密和规范开放的规则，保护政府部门间信息的正常交流，保护社会公众对信息的合法享用，打破对信息资源的垄断和封锁，提高政府行政透明度和民主进程是非常有利的和必需的。</w:t>
      </w:r>
    </w:p>
    <w:p>
      <w:pPr>
        <w:spacing w:line="360" w:lineRule="auto"/>
        <w:ind w:firstLine="480" w:firstLineChars="200"/>
        <w:rPr>
          <w:rFonts w:ascii="仿宋" w:hAnsi="仿宋" w:eastAsia="仿宋"/>
          <w:sz w:val="24"/>
          <w:szCs w:val="24"/>
        </w:rPr>
      </w:pPr>
      <w:r>
        <w:rPr>
          <w:rFonts w:hint="eastAsia" w:ascii="仿宋" w:hAnsi="仿宋" w:eastAsia="仿宋"/>
          <w:sz w:val="24"/>
          <w:szCs w:val="24"/>
        </w:rPr>
        <w:t>政府的信息安全机制是指实现信息安全目标的支持元素。</w:t>
      </w:r>
    </w:p>
    <w:p>
      <w:pPr>
        <w:spacing w:line="360" w:lineRule="auto"/>
        <w:ind w:firstLine="480" w:firstLineChars="200"/>
        <w:rPr>
          <w:rFonts w:ascii="仿宋" w:hAnsi="仿宋" w:eastAsia="仿宋"/>
          <w:sz w:val="24"/>
          <w:szCs w:val="24"/>
        </w:rPr>
      </w:pPr>
      <w:r>
        <w:rPr>
          <w:rFonts w:hint="eastAsia" w:ascii="仿宋" w:hAnsi="仿宋" w:eastAsia="仿宋"/>
          <w:sz w:val="24"/>
          <w:szCs w:val="24"/>
        </w:rPr>
        <w:t>（</w:t>
      </w:r>
      <w:r>
        <w:rPr>
          <w:rFonts w:ascii="仿宋" w:hAnsi="仿宋" w:eastAsia="仿宋"/>
          <w:sz w:val="24"/>
          <w:szCs w:val="24"/>
        </w:rPr>
        <w:t>1）支撑机制</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作为大多数信息安全能力的共同基础，支撑机制是最常用的安全机制。而且，支撑机制总是和其它机制相互关联。支撑机制包括：标识和命名、密钥管理、安全管理、系统保护。</w:t>
      </w:r>
    </w:p>
    <w:p>
      <w:pPr>
        <w:spacing w:line="360" w:lineRule="auto"/>
        <w:ind w:firstLine="480" w:firstLineChars="200"/>
        <w:rPr>
          <w:rFonts w:ascii="仿宋" w:hAnsi="仿宋" w:eastAsia="仿宋"/>
          <w:sz w:val="24"/>
          <w:szCs w:val="24"/>
        </w:rPr>
      </w:pPr>
      <w:r>
        <w:rPr>
          <w:rFonts w:hint="eastAsia" w:ascii="仿宋" w:hAnsi="仿宋" w:eastAsia="仿宋"/>
          <w:sz w:val="24"/>
          <w:szCs w:val="24"/>
        </w:rPr>
        <w:t>（</w:t>
      </w:r>
      <w:r>
        <w:rPr>
          <w:rFonts w:ascii="仿宋" w:hAnsi="仿宋" w:eastAsia="仿宋"/>
          <w:sz w:val="24"/>
          <w:szCs w:val="24"/>
        </w:rPr>
        <w:t>2）</w:t>
      </w:r>
      <w:r>
        <w:rPr>
          <w:rFonts w:hint="eastAsia" w:ascii="仿宋" w:hAnsi="仿宋" w:eastAsia="仿宋"/>
          <w:sz w:val="24"/>
          <w:szCs w:val="24"/>
        </w:rPr>
        <w:t>防护机制</w:t>
      </w:r>
    </w:p>
    <w:p>
      <w:pPr>
        <w:spacing w:line="360" w:lineRule="auto"/>
        <w:ind w:firstLine="480" w:firstLineChars="200"/>
        <w:rPr>
          <w:rFonts w:ascii="仿宋" w:hAnsi="仿宋" w:eastAsia="仿宋"/>
          <w:sz w:val="24"/>
          <w:szCs w:val="24"/>
        </w:rPr>
      </w:pPr>
      <w:r>
        <w:rPr>
          <w:rFonts w:hint="eastAsia" w:ascii="仿宋" w:hAnsi="仿宋" w:eastAsia="仿宋"/>
          <w:sz w:val="24"/>
          <w:szCs w:val="24"/>
        </w:rPr>
        <w:t>防护机制被用于防止安全事故的发生。防护机制包括：受保护的通讯、身份鉴别、授权、访问控制、拒绝否认、事务隐私。</w:t>
      </w:r>
    </w:p>
    <w:p>
      <w:pPr>
        <w:spacing w:line="360" w:lineRule="auto"/>
        <w:ind w:firstLine="480" w:firstLineChars="200"/>
        <w:rPr>
          <w:rFonts w:ascii="仿宋" w:hAnsi="仿宋" w:eastAsia="仿宋"/>
          <w:sz w:val="24"/>
          <w:szCs w:val="24"/>
        </w:rPr>
      </w:pPr>
      <w:r>
        <w:rPr>
          <w:rFonts w:hint="eastAsia" w:ascii="仿宋" w:hAnsi="仿宋" w:eastAsia="仿宋"/>
          <w:sz w:val="24"/>
          <w:szCs w:val="24"/>
        </w:rPr>
        <w:t>（</w:t>
      </w:r>
      <w:r>
        <w:rPr>
          <w:rFonts w:ascii="仿宋" w:hAnsi="仿宋" w:eastAsia="仿宋"/>
          <w:sz w:val="24"/>
          <w:szCs w:val="24"/>
        </w:rPr>
        <w:t>3）</w:t>
      </w:r>
      <w:r>
        <w:rPr>
          <w:rFonts w:hint="eastAsia" w:ascii="仿宋" w:hAnsi="仿宋" w:eastAsia="仿宋"/>
          <w:sz w:val="24"/>
          <w:szCs w:val="24"/>
        </w:rPr>
        <w:t>检测和恢复机制</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因为不存在完美无缺的信息安全防护机制组合，所以在信息系统中有必要检测安全事故的发生并采取措施减少安全事故的负面影响。检测和恢复机制包括：审计、入侵检测和容忍、完整性验证、安全状态重置。</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信息系统的全部信息安全服务最终都依赖于操作系统安全服务。</w:t>
      </w:r>
    </w:p>
    <w:p>
      <w:pPr>
        <w:spacing w:line="360" w:lineRule="auto"/>
        <w:ind w:firstLine="480" w:firstLineChars="200"/>
        <w:rPr>
          <w:rFonts w:ascii="仿宋" w:hAnsi="仿宋" w:eastAsia="仿宋"/>
          <w:sz w:val="24"/>
          <w:szCs w:val="24"/>
        </w:rPr>
      </w:pPr>
      <w:r>
        <w:rPr>
          <w:rFonts w:hint="eastAsia" w:ascii="仿宋" w:hAnsi="仿宋" w:eastAsia="仿宋"/>
          <w:sz w:val="24"/>
          <w:szCs w:val="24"/>
        </w:rPr>
        <w:t>系统保证是系统实现全部安全能力的一个关键的基础要素。而系统管理是系统实现有效的安全能力的另一个重要方面：</w:t>
      </w:r>
    </w:p>
    <w:p>
      <w:pPr>
        <w:spacing w:line="360" w:lineRule="auto"/>
        <w:ind w:firstLine="480" w:firstLineChars="200"/>
        <w:rPr>
          <w:rFonts w:ascii="仿宋" w:hAnsi="仿宋" w:eastAsia="仿宋"/>
          <w:sz w:val="24"/>
          <w:szCs w:val="24"/>
        </w:rPr>
      </w:pPr>
      <w:r>
        <w:rPr>
          <w:rFonts w:ascii="仿宋" w:hAnsi="仿宋" w:eastAsia="仿宋"/>
          <w:sz w:val="24"/>
          <w:szCs w:val="24"/>
        </w:rPr>
        <w:t>1）系统保证</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作为政府信息系统的一种基础安全特性，系统保证描述了某个实体完成预定功能的受信程度。为得到用户的充分信任，安全的系统实现必须正确运用各种安全机制，并能恰当响应有意的入侵或者无意的误操作。</w:t>
      </w:r>
    </w:p>
    <w:p>
      <w:pPr>
        <w:spacing w:line="360" w:lineRule="auto"/>
        <w:ind w:firstLine="480" w:firstLineChars="200"/>
        <w:rPr>
          <w:rFonts w:ascii="仿宋" w:hAnsi="仿宋" w:eastAsia="仿宋"/>
          <w:sz w:val="24"/>
          <w:szCs w:val="24"/>
        </w:rPr>
      </w:pPr>
      <w:r>
        <w:rPr>
          <w:rFonts w:ascii="仿宋" w:hAnsi="仿宋" w:eastAsia="仿宋"/>
          <w:sz w:val="24"/>
          <w:szCs w:val="24"/>
        </w:rPr>
        <w:t>2）系统管理</w:t>
      </w:r>
    </w:p>
    <w:p>
      <w:pPr>
        <w:spacing w:line="360" w:lineRule="auto"/>
        <w:ind w:firstLine="480" w:firstLineChars="200"/>
        <w:rPr>
          <w:rFonts w:ascii="仿宋" w:hAnsi="仿宋" w:eastAsia="仿宋"/>
          <w:sz w:val="24"/>
          <w:szCs w:val="24"/>
        </w:rPr>
      </w:pPr>
      <w:r>
        <w:rPr>
          <w:rFonts w:hint="eastAsia" w:ascii="仿宋" w:hAnsi="仿宋" w:eastAsia="仿宋"/>
          <w:sz w:val="24"/>
          <w:szCs w:val="24"/>
        </w:rPr>
        <w:t>系统管理强调在系统的运行阶段正确配置和使用各种安全服务和工具。系统管理的范围主要包括：性能管理、记账管理、安全管理。</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其余的安全服务还包括：操作系统安全服务、跨层安全服务、底层安全服务、中间件安全服务、应用安全服务。</w:t>
      </w:r>
    </w:p>
    <w:p>
      <w:pPr>
        <w:spacing w:line="360" w:lineRule="auto"/>
        <w:ind w:firstLine="480" w:firstLineChars="200"/>
        <w:rPr>
          <w:rFonts w:ascii="仿宋" w:hAnsi="仿宋" w:eastAsia="仿宋"/>
          <w:sz w:val="24"/>
          <w:szCs w:val="24"/>
        </w:rPr>
      </w:pPr>
      <w:r>
        <w:rPr>
          <w:rFonts w:hint="eastAsia" w:ascii="仿宋" w:hAnsi="仿宋" w:eastAsia="仿宋"/>
          <w:sz w:val="24"/>
          <w:szCs w:val="24"/>
        </w:rPr>
        <w:t>根据前面介绍的技术框架，在“安心返”系统及“1</w:t>
      </w:r>
      <w:r>
        <w:rPr>
          <w:rFonts w:ascii="仿宋" w:hAnsi="仿宋" w:eastAsia="仿宋"/>
          <w:sz w:val="24"/>
          <w:szCs w:val="24"/>
        </w:rPr>
        <w:t>7</w:t>
      </w:r>
      <w:r>
        <w:rPr>
          <w:rFonts w:hint="eastAsia" w:ascii="仿宋" w:hAnsi="仿宋" w:eastAsia="仿宋"/>
          <w:sz w:val="24"/>
          <w:szCs w:val="24"/>
        </w:rPr>
        <w:t>防”平台项目建设中采用的安全技术包括：防火墙、抗拒绝服务系统、入侵检测、安全评估、防病毒、物理隔离设备、漏洞扫描等。</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安全保障体系框架具有如下特点：</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体现了安全管理是纲、安全技术是基础、安全的人和操作是保障；</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强调信息安全保障需要人、技术和操作三要素的均衡；</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强调安全的过程性和动态性以及防护、检测和反映（</w:t>
      </w:r>
      <w:r>
        <w:rPr>
          <w:rFonts w:ascii="仿宋" w:hAnsi="仿宋" w:eastAsia="仿宋"/>
          <w:sz w:val="24"/>
          <w:szCs w:val="24"/>
        </w:rPr>
        <w:t>PDR）模型的应用；</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强调深度防御和分层防护的原则。</w:t>
      </w:r>
    </w:p>
    <w:p>
      <w:pPr>
        <w:pStyle w:val="10"/>
        <w:ind w:firstLine="0"/>
        <w:rPr>
          <w:rFonts w:ascii="仿宋" w:hAnsi="仿宋" w:eastAsia="仿宋"/>
          <w:sz w:val="24"/>
          <w:szCs w:val="24"/>
        </w:rPr>
      </w:pPr>
      <w:r>
        <w:rPr>
          <w:rFonts w:hint="eastAsia" w:ascii="仿宋" w:hAnsi="仿宋" w:eastAsia="仿宋"/>
          <w:sz w:val="24"/>
          <w:szCs w:val="24"/>
        </w:rPr>
        <w:t>技术安全保障</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参考国际标准</w:t>
      </w:r>
      <w:r>
        <w:rPr>
          <w:rFonts w:ascii="仿宋" w:hAnsi="仿宋" w:eastAsia="仿宋"/>
          <w:sz w:val="24"/>
          <w:szCs w:val="24"/>
        </w:rPr>
        <w:t>ISO17799和中华人民共和国国家标准-计算机信息系统安全保护等级划分准则（GB17859-1999），通过借鉴ISO7498-2</w:t>
      </w:r>
      <w:r>
        <w:rPr>
          <w:rFonts w:hint="eastAsia" w:ascii="仿宋" w:hAnsi="仿宋" w:eastAsia="仿宋"/>
          <w:sz w:val="24"/>
          <w:szCs w:val="24"/>
        </w:rPr>
        <w:t>中所描述的开放系统互联安全的体系结构，得出了适合信息化行业的安全保障体系结构模型，如图所示：</w:t>
      </w:r>
    </w:p>
    <w:p>
      <w:pPr>
        <w:ind w:firstLine="480"/>
        <w:rPr>
          <w:rFonts w:ascii="仿宋" w:hAnsi="仿宋" w:eastAsia="仿宋"/>
          <w:sz w:val="20"/>
          <w:szCs w:val="18"/>
        </w:rPr>
      </w:pPr>
      <w:r>
        <w:rPr>
          <w:rFonts w:ascii="仿宋" w:hAnsi="仿宋" w:eastAsia="仿宋"/>
          <w:sz w:val="20"/>
          <w:szCs w:val="18"/>
        </w:rPr>
        <w:drawing>
          <wp:inline distT="0" distB="0" distL="0" distR="0">
            <wp:extent cx="4206240" cy="292608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206240" cy="2926080"/>
                    </a:xfrm>
                    <a:prstGeom prst="rect">
                      <a:avLst/>
                    </a:prstGeom>
                    <a:noFill/>
                    <a:ln>
                      <a:noFill/>
                    </a:ln>
                  </pic:spPr>
                </pic:pic>
              </a:graphicData>
            </a:graphic>
          </wp:inline>
        </w:drawing>
      </w:r>
    </w:p>
    <w:p>
      <w:pPr>
        <w:spacing w:line="360" w:lineRule="auto"/>
        <w:ind w:firstLine="480" w:firstLineChars="200"/>
        <w:rPr>
          <w:rFonts w:ascii="仿宋" w:hAnsi="仿宋" w:eastAsia="仿宋"/>
          <w:sz w:val="24"/>
          <w:szCs w:val="24"/>
        </w:rPr>
      </w:pPr>
      <w:r>
        <w:rPr>
          <w:rFonts w:hint="eastAsia" w:ascii="仿宋" w:hAnsi="仿宋" w:eastAsia="仿宋"/>
          <w:sz w:val="24"/>
          <w:szCs w:val="24"/>
        </w:rPr>
        <w:t>安全保障体系结构模型</w:t>
      </w:r>
    </w:p>
    <w:p>
      <w:pPr>
        <w:spacing w:line="360" w:lineRule="auto"/>
        <w:ind w:firstLine="480" w:firstLineChars="200"/>
        <w:rPr>
          <w:rFonts w:ascii="仿宋" w:hAnsi="仿宋" w:eastAsia="仿宋"/>
          <w:sz w:val="24"/>
          <w:szCs w:val="24"/>
        </w:rPr>
      </w:pPr>
      <w:r>
        <w:rPr>
          <w:rFonts w:hint="eastAsia" w:ascii="仿宋" w:hAnsi="仿宋" w:eastAsia="仿宋"/>
          <w:sz w:val="24"/>
          <w:szCs w:val="24"/>
        </w:rPr>
        <w:t>该模型分别从安全服务、协议层次和系统单元三个层面对信息的安全保障体系的建设进行了全面的分析。从上图中可以看到，所有三个层面都包含了安全管理的内容，这正体现了技术手段为辅、严格高效的管理为主的现代管理思想。</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安全服务层次从各种单元安全解决方案所必需的一些基本安全服务的角度出发，来考察信息安全保障体系的建设。这些基本安全服务包括身份鉴别、访问控制、数据完整性、数据保密性、抗抵赖、审计跟踪和可用性服务。其中前五种安全服务取自于国际标准化组织制订的安全体系结构模型</w:t>
      </w:r>
      <w:r>
        <w:rPr>
          <w:rFonts w:ascii="仿宋" w:hAnsi="仿宋" w:eastAsia="仿宋"/>
          <w:sz w:val="24"/>
          <w:szCs w:val="24"/>
        </w:rPr>
        <w:t>[ISO7498-2]，在[ISO7498-2]基础上增加了审计跟踪服务和可用性服务。</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协议层次从</w:t>
      </w:r>
      <w:r>
        <w:rPr>
          <w:rFonts w:ascii="仿宋" w:hAnsi="仿宋" w:eastAsia="仿宋"/>
          <w:sz w:val="24"/>
          <w:szCs w:val="24"/>
        </w:rPr>
        <w:t>TCP/IP协议的分层模型出发，分别从TCP/IP协议的物理层、链路层、网络层、传输层和应用层来考察网络信息安全保障体系的建设。</w:t>
      </w:r>
    </w:p>
    <w:p>
      <w:pPr>
        <w:spacing w:line="360" w:lineRule="auto"/>
        <w:ind w:firstLine="480" w:firstLineChars="200"/>
        <w:rPr>
          <w:rFonts w:ascii="仿宋" w:hAnsi="仿宋" w:eastAsia="仿宋"/>
          <w:sz w:val="24"/>
          <w:szCs w:val="24"/>
        </w:rPr>
      </w:pPr>
      <w:r>
        <w:rPr>
          <w:rFonts w:hint="eastAsia" w:ascii="仿宋" w:hAnsi="仿宋" w:eastAsia="仿宋"/>
          <w:sz w:val="24"/>
          <w:szCs w:val="24"/>
        </w:rPr>
        <w:t>系统单元层次从信息网络系统所处的环境及其自身的各个组成单元出发，分别从物理环境安全、网络平台安全、系统平台安全和应用系统安全等四个方面来考察网络信息安全保障体系的建设。</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安全管理涉及到所有协议层次、所有单元的安全服务和安全机制的管理。安全管理主要涉及两方面的内容：各种安全管理技术和安全管理制度等。</w:t>
      </w:r>
    </w:p>
    <w:p>
      <w:pPr>
        <w:pStyle w:val="10"/>
        <w:ind w:firstLine="0"/>
        <w:rPr>
          <w:rFonts w:ascii="仿宋" w:hAnsi="仿宋" w:eastAsia="仿宋"/>
          <w:sz w:val="24"/>
          <w:szCs w:val="24"/>
        </w:rPr>
      </w:pPr>
      <w:r>
        <w:rPr>
          <w:rFonts w:hint="eastAsia" w:ascii="仿宋" w:hAnsi="仿宋" w:eastAsia="仿宋"/>
          <w:sz w:val="24"/>
          <w:szCs w:val="24"/>
        </w:rPr>
        <w:t>安全管理</w:t>
      </w:r>
    </w:p>
    <w:p>
      <w:pPr>
        <w:spacing w:line="360" w:lineRule="auto"/>
        <w:ind w:firstLine="480" w:firstLineChars="200"/>
        <w:rPr>
          <w:rFonts w:ascii="仿宋" w:hAnsi="仿宋" w:eastAsia="仿宋"/>
          <w:sz w:val="24"/>
          <w:szCs w:val="24"/>
        </w:rPr>
      </w:pPr>
      <w:r>
        <w:rPr>
          <w:rFonts w:hint="eastAsia" w:ascii="仿宋" w:hAnsi="仿宋" w:eastAsia="仿宋"/>
          <w:sz w:val="24"/>
          <w:szCs w:val="24"/>
        </w:rPr>
        <w:t>（</w:t>
      </w:r>
      <w:r>
        <w:rPr>
          <w:rFonts w:ascii="仿宋" w:hAnsi="仿宋" w:eastAsia="仿宋"/>
          <w:sz w:val="24"/>
          <w:szCs w:val="24"/>
        </w:rPr>
        <w:t>1）安全管理组织</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形成一个统一领导、分工负责，能够有效管理整个审批平台安全工作的组织体系。</w:t>
      </w:r>
    </w:p>
    <w:p>
      <w:pPr>
        <w:spacing w:line="360" w:lineRule="auto"/>
        <w:ind w:firstLine="480" w:firstLineChars="200"/>
        <w:rPr>
          <w:rFonts w:ascii="仿宋" w:hAnsi="仿宋" w:eastAsia="仿宋"/>
          <w:sz w:val="24"/>
          <w:szCs w:val="24"/>
        </w:rPr>
      </w:pPr>
      <w:r>
        <w:rPr>
          <w:rFonts w:hint="eastAsia" w:ascii="仿宋" w:hAnsi="仿宋" w:eastAsia="仿宋"/>
          <w:sz w:val="24"/>
          <w:szCs w:val="24"/>
        </w:rPr>
        <w:t>（</w:t>
      </w:r>
      <w:r>
        <w:rPr>
          <w:rFonts w:ascii="仿宋" w:hAnsi="仿宋" w:eastAsia="仿宋"/>
          <w:sz w:val="24"/>
          <w:szCs w:val="24"/>
        </w:rPr>
        <w:t>2）安全管理制度</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包括实体管理、网络安全管理、软件管理、信息管理、敏感信息介质管理、人员管理、安全保密产品管理、密码管理、维修管理及奖惩等制度。</w:t>
      </w:r>
    </w:p>
    <w:p>
      <w:pPr>
        <w:spacing w:line="360" w:lineRule="auto"/>
        <w:ind w:firstLine="480" w:firstLineChars="200"/>
        <w:rPr>
          <w:rFonts w:ascii="仿宋" w:hAnsi="仿宋" w:eastAsia="仿宋"/>
          <w:sz w:val="24"/>
          <w:szCs w:val="24"/>
        </w:rPr>
      </w:pPr>
      <w:r>
        <w:rPr>
          <w:rFonts w:hint="eastAsia" w:ascii="仿宋" w:hAnsi="仿宋" w:eastAsia="仿宋"/>
          <w:sz w:val="24"/>
          <w:szCs w:val="24"/>
        </w:rPr>
        <w:t>（</w:t>
      </w:r>
      <w:r>
        <w:rPr>
          <w:rFonts w:ascii="仿宋" w:hAnsi="仿宋" w:eastAsia="仿宋"/>
          <w:sz w:val="24"/>
          <w:szCs w:val="24"/>
        </w:rPr>
        <w:t>3）安全管理手段</w:t>
      </w:r>
    </w:p>
    <w:p>
      <w:pPr>
        <w:spacing w:line="360" w:lineRule="auto"/>
        <w:ind w:firstLine="480" w:firstLineChars="200"/>
        <w:rPr>
          <w:rFonts w:ascii="仿宋" w:hAnsi="仿宋" w:eastAsia="仿宋"/>
          <w:sz w:val="24"/>
          <w:szCs w:val="24"/>
        </w:rPr>
      </w:pPr>
      <w:r>
        <w:rPr>
          <w:rFonts w:ascii="仿宋" w:hAnsi="仿宋" w:eastAsia="仿宋"/>
          <w:sz w:val="24"/>
          <w:szCs w:val="24"/>
        </w:rPr>
        <w:t>利用先进成熟的安全管理技术，逐步建立整个审批平台的安全管理系统。</w:t>
      </w:r>
    </w:p>
    <w:p>
      <w:pPr>
        <w:spacing w:line="360" w:lineRule="auto"/>
        <w:ind w:firstLine="480" w:firstLineChars="200"/>
        <w:rPr>
          <w:rFonts w:ascii="仿宋" w:hAnsi="仿宋" w:eastAsia="仿宋"/>
          <w:sz w:val="24"/>
          <w:szCs w:val="24"/>
        </w:rPr>
      </w:pPr>
      <w:r>
        <w:rPr>
          <w:rFonts w:hint="eastAsia" w:ascii="仿宋" w:hAnsi="仿宋" w:eastAsia="仿宋"/>
          <w:sz w:val="24"/>
          <w:szCs w:val="24"/>
        </w:rPr>
        <w:t>（</w:t>
      </w:r>
      <w:r>
        <w:rPr>
          <w:rFonts w:ascii="仿宋" w:hAnsi="仿宋" w:eastAsia="仿宋"/>
          <w:sz w:val="24"/>
          <w:szCs w:val="24"/>
        </w:rPr>
        <w:t>4）安全日志系统</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全面负责对企业各类系统的全部活动轨迹进行记录和审计，以便为事后的安全审计追踪、系统安全漏洞分析提供原始证据。</w:t>
      </w:r>
    </w:p>
    <w:p>
      <w:pPr>
        <w:pStyle w:val="9"/>
        <w:tabs>
          <w:tab w:val="left" w:pos="0"/>
        </w:tabs>
        <w:ind w:left="0" w:firstLine="0"/>
        <w:rPr>
          <w:rFonts w:ascii="仿宋" w:hAnsi="仿宋" w:eastAsia="仿宋"/>
          <w:sz w:val="24"/>
          <w:szCs w:val="24"/>
        </w:rPr>
      </w:pPr>
      <w:bookmarkStart w:id="60" w:name="_Toc24620324"/>
      <w:bookmarkStart w:id="61" w:name="_Toc57816952"/>
      <w:r>
        <w:rPr>
          <w:rFonts w:hint="eastAsia" w:ascii="仿宋" w:hAnsi="仿宋" w:eastAsia="仿宋"/>
          <w:sz w:val="24"/>
          <w:szCs w:val="24"/>
        </w:rPr>
        <w:t>系统安全</w:t>
      </w:r>
      <w:bookmarkEnd w:id="60"/>
      <w:bookmarkEnd w:id="61"/>
    </w:p>
    <w:p>
      <w:pPr>
        <w:pStyle w:val="10"/>
        <w:ind w:firstLine="0"/>
        <w:rPr>
          <w:rFonts w:ascii="仿宋" w:hAnsi="仿宋" w:eastAsia="仿宋"/>
          <w:sz w:val="24"/>
          <w:szCs w:val="24"/>
        </w:rPr>
      </w:pPr>
      <w:r>
        <w:rPr>
          <w:rFonts w:hint="eastAsia" w:ascii="仿宋" w:hAnsi="仿宋" w:eastAsia="仿宋"/>
          <w:sz w:val="24"/>
          <w:szCs w:val="24"/>
        </w:rPr>
        <w:t>服务端安全机制</w:t>
      </w:r>
    </w:p>
    <w:p>
      <w:pPr>
        <w:spacing w:line="360" w:lineRule="auto"/>
        <w:ind w:firstLine="480" w:firstLineChars="200"/>
        <w:rPr>
          <w:rFonts w:ascii="仿宋" w:hAnsi="仿宋" w:eastAsia="仿宋"/>
          <w:sz w:val="24"/>
          <w:szCs w:val="24"/>
        </w:rPr>
      </w:pPr>
      <w:r>
        <w:rPr>
          <w:rFonts w:hint="eastAsia" w:ascii="仿宋" w:hAnsi="仿宋" w:eastAsia="仿宋"/>
          <w:sz w:val="24"/>
          <w:szCs w:val="24"/>
        </w:rPr>
        <w:t>服务</w:t>
      </w:r>
      <w:r>
        <w:rPr>
          <w:rFonts w:ascii="仿宋" w:hAnsi="仿宋" w:eastAsia="仿宋"/>
          <w:sz w:val="24"/>
          <w:szCs w:val="24"/>
        </w:rPr>
        <w:t>端的</w:t>
      </w:r>
      <w:r>
        <w:rPr>
          <w:rFonts w:hint="eastAsia" w:ascii="仿宋" w:hAnsi="仿宋" w:eastAsia="仿宋"/>
          <w:sz w:val="24"/>
          <w:szCs w:val="24"/>
        </w:rPr>
        <w:t>安全</w:t>
      </w:r>
      <w:r>
        <w:rPr>
          <w:rFonts w:ascii="仿宋" w:hAnsi="仿宋" w:eastAsia="仿宋"/>
          <w:sz w:val="24"/>
          <w:szCs w:val="24"/>
        </w:rPr>
        <w:t>机制主要包括：</w:t>
      </w:r>
    </w:p>
    <w:p>
      <w:pPr>
        <w:spacing w:line="360" w:lineRule="auto"/>
        <w:ind w:firstLine="480" w:firstLineChars="200"/>
        <w:rPr>
          <w:rFonts w:ascii="仿宋" w:hAnsi="仿宋" w:eastAsia="仿宋"/>
          <w:sz w:val="24"/>
          <w:szCs w:val="24"/>
        </w:rPr>
      </w:pPr>
      <w:r>
        <w:rPr>
          <w:rFonts w:hint="eastAsia" w:ascii="仿宋" w:hAnsi="仿宋" w:eastAsia="仿宋"/>
          <w:sz w:val="24"/>
          <w:szCs w:val="24"/>
        </w:rPr>
        <w:t>（</w:t>
      </w:r>
      <w:r>
        <w:rPr>
          <w:rFonts w:ascii="仿宋" w:hAnsi="仿宋" w:eastAsia="仿宋"/>
          <w:sz w:val="24"/>
          <w:szCs w:val="24"/>
        </w:rPr>
        <w:t>1）</w:t>
      </w:r>
      <w:r>
        <w:rPr>
          <w:rFonts w:hint="eastAsia" w:ascii="仿宋" w:hAnsi="仿宋" w:eastAsia="仿宋"/>
          <w:sz w:val="24"/>
          <w:szCs w:val="24"/>
        </w:rPr>
        <w:t>网关安全防御防火墙</w:t>
      </w:r>
    </w:p>
    <w:p>
      <w:pPr>
        <w:spacing w:line="360" w:lineRule="auto"/>
        <w:ind w:firstLine="480" w:firstLineChars="200"/>
        <w:rPr>
          <w:rFonts w:ascii="仿宋" w:hAnsi="仿宋" w:eastAsia="仿宋"/>
          <w:sz w:val="24"/>
          <w:szCs w:val="24"/>
        </w:rPr>
      </w:pPr>
      <w:r>
        <w:rPr>
          <w:rFonts w:hint="eastAsia" w:ascii="仿宋" w:hAnsi="仿宋" w:eastAsia="仿宋"/>
          <w:sz w:val="24"/>
          <w:szCs w:val="24"/>
        </w:rPr>
        <w:t>（</w:t>
      </w:r>
      <w:r>
        <w:rPr>
          <w:rFonts w:ascii="仿宋" w:hAnsi="仿宋" w:eastAsia="仿宋"/>
          <w:sz w:val="24"/>
          <w:szCs w:val="24"/>
        </w:rPr>
        <w:t>2）</w:t>
      </w:r>
      <w:r>
        <w:rPr>
          <w:rFonts w:hint="eastAsia" w:ascii="仿宋" w:hAnsi="仿宋" w:eastAsia="仿宋"/>
          <w:sz w:val="24"/>
          <w:szCs w:val="24"/>
        </w:rPr>
        <w:t>防垃圾邮件网关</w:t>
      </w:r>
    </w:p>
    <w:p>
      <w:pPr>
        <w:spacing w:line="360" w:lineRule="auto"/>
        <w:ind w:firstLine="480" w:firstLineChars="200"/>
        <w:rPr>
          <w:rFonts w:ascii="仿宋" w:hAnsi="仿宋" w:eastAsia="仿宋"/>
          <w:sz w:val="24"/>
          <w:szCs w:val="24"/>
        </w:rPr>
      </w:pPr>
      <w:r>
        <w:rPr>
          <w:rFonts w:hint="eastAsia" w:ascii="仿宋" w:hAnsi="仿宋" w:eastAsia="仿宋"/>
          <w:sz w:val="24"/>
          <w:szCs w:val="24"/>
        </w:rPr>
        <w:t>（</w:t>
      </w:r>
      <w:r>
        <w:rPr>
          <w:rFonts w:ascii="仿宋" w:hAnsi="仿宋" w:eastAsia="仿宋"/>
          <w:sz w:val="24"/>
          <w:szCs w:val="24"/>
        </w:rPr>
        <w:t>3）</w:t>
      </w:r>
      <w:r>
        <w:rPr>
          <w:rFonts w:hint="eastAsia" w:ascii="仿宋" w:hAnsi="仿宋" w:eastAsia="仿宋"/>
          <w:sz w:val="24"/>
          <w:szCs w:val="24"/>
        </w:rPr>
        <w:t>服务器负载均衡</w:t>
      </w:r>
    </w:p>
    <w:p>
      <w:pPr>
        <w:spacing w:line="360" w:lineRule="auto"/>
        <w:ind w:firstLine="480" w:firstLineChars="200"/>
        <w:rPr>
          <w:rFonts w:ascii="仿宋" w:hAnsi="仿宋" w:eastAsia="仿宋"/>
          <w:sz w:val="24"/>
          <w:szCs w:val="24"/>
        </w:rPr>
      </w:pPr>
      <w:r>
        <w:rPr>
          <w:rFonts w:hint="eastAsia" w:ascii="仿宋" w:hAnsi="仿宋" w:eastAsia="仿宋"/>
          <w:sz w:val="24"/>
          <w:szCs w:val="24"/>
        </w:rPr>
        <w:t>（</w:t>
      </w:r>
      <w:r>
        <w:rPr>
          <w:rFonts w:ascii="仿宋" w:hAnsi="仿宋" w:eastAsia="仿宋"/>
          <w:sz w:val="24"/>
          <w:szCs w:val="24"/>
        </w:rPr>
        <w:t>4）</w:t>
      </w:r>
      <w:r>
        <w:rPr>
          <w:rFonts w:hint="eastAsia" w:ascii="仿宋" w:hAnsi="仿宋" w:eastAsia="仿宋"/>
          <w:sz w:val="24"/>
          <w:szCs w:val="24"/>
        </w:rPr>
        <w:t>数据</w:t>
      </w:r>
      <w:r>
        <w:rPr>
          <w:rFonts w:ascii="仿宋" w:hAnsi="仿宋" w:eastAsia="仿宋"/>
          <w:sz w:val="24"/>
          <w:szCs w:val="24"/>
        </w:rPr>
        <w:t>专线</w:t>
      </w:r>
    </w:p>
    <w:p>
      <w:pPr>
        <w:spacing w:line="360" w:lineRule="auto"/>
        <w:ind w:firstLine="480" w:firstLineChars="200"/>
        <w:rPr>
          <w:rFonts w:ascii="仿宋" w:hAnsi="仿宋" w:eastAsia="仿宋"/>
          <w:sz w:val="24"/>
          <w:szCs w:val="24"/>
        </w:rPr>
      </w:pPr>
      <w:r>
        <w:rPr>
          <w:rFonts w:hint="eastAsia" w:ascii="仿宋" w:hAnsi="仿宋" w:eastAsia="仿宋"/>
          <w:sz w:val="24"/>
          <w:szCs w:val="24"/>
        </w:rPr>
        <w:t>（</w:t>
      </w:r>
      <w:r>
        <w:rPr>
          <w:rFonts w:ascii="仿宋" w:hAnsi="仿宋" w:eastAsia="仿宋"/>
          <w:sz w:val="24"/>
          <w:szCs w:val="24"/>
        </w:rPr>
        <w:t>5）</w:t>
      </w:r>
      <w:r>
        <w:rPr>
          <w:rFonts w:hint="eastAsia" w:ascii="仿宋" w:hAnsi="仿宋" w:eastAsia="仿宋"/>
          <w:sz w:val="24"/>
          <w:szCs w:val="24"/>
        </w:rPr>
        <w:t>机房</w:t>
      </w:r>
      <w:r>
        <w:rPr>
          <w:rFonts w:ascii="仿宋" w:hAnsi="仿宋" w:eastAsia="仿宋"/>
          <w:sz w:val="24"/>
          <w:szCs w:val="24"/>
        </w:rPr>
        <w:t>安全保障制度</w:t>
      </w:r>
    </w:p>
    <w:p>
      <w:pPr>
        <w:pStyle w:val="10"/>
        <w:ind w:firstLine="0"/>
        <w:rPr>
          <w:rFonts w:ascii="仿宋" w:hAnsi="仿宋" w:eastAsia="仿宋"/>
          <w:sz w:val="24"/>
          <w:szCs w:val="24"/>
        </w:rPr>
      </w:pPr>
      <w:r>
        <w:rPr>
          <w:rFonts w:hint="eastAsia" w:ascii="仿宋" w:hAnsi="仿宋" w:eastAsia="仿宋"/>
          <w:sz w:val="24"/>
          <w:szCs w:val="24"/>
        </w:rPr>
        <w:t>应用端安全机制</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为</w:t>
      </w:r>
      <w:r>
        <w:rPr>
          <w:rFonts w:ascii="仿宋" w:hAnsi="仿宋" w:eastAsia="仿宋"/>
          <w:sz w:val="24"/>
          <w:szCs w:val="24"/>
        </w:rPr>
        <w:t>保证客户端系统的安全稳定，采用漏洞</w:t>
      </w:r>
      <w:r>
        <w:rPr>
          <w:rFonts w:hint="eastAsia" w:ascii="仿宋" w:hAnsi="仿宋" w:eastAsia="仿宋"/>
          <w:sz w:val="24"/>
          <w:szCs w:val="24"/>
        </w:rPr>
        <w:t>扫描和</w:t>
      </w:r>
      <w:r>
        <w:rPr>
          <w:rFonts w:ascii="仿宋" w:hAnsi="仿宋" w:eastAsia="仿宋"/>
          <w:sz w:val="24"/>
          <w:szCs w:val="24"/>
        </w:rPr>
        <w:t>补丁管理系统</w:t>
      </w:r>
      <w:r>
        <w:rPr>
          <w:rFonts w:hint="eastAsia" w:ascii="仿宋" w:hAnsi="仿宋" w:eastAsia="仿宋"/>
          <w:sz w:val="24"/>
          <w:szCs w:val="24"/>
        </w:rPr>
        <w:t>作</w:t>
      </w:r>
      <w:r>
        <w:rPr>
          <w:rFonts w:ascii="仿宋" w:hAnsi="仿宋" w:eastAsia="仿宋"/>
          <w:sz w:val="24"/>
          <w:szCs w:val="24"/>
        </w:rPr>
        <w:t>为</w:t>
      </w:r>
      <w:r>
        <w:rPr>
          <w:rFonts w:hint="eastAsia" w:ascii="仿宋" w:hAnsi="仿宋" w:eastAsia="仿宋"/>
          <w:sz w:val="24"/>
          <w:szCs w:val="24"/>
        </w:rPr>
        <w:t>技术</w:t>
      </w:r>
      <w:r>
        <w:rPr>
          <w:rFonts w:ascii="仿宋" w:hAnsi="仿宋" w:eastAsia="仿宋"/>
          <w:sz w:val="24"/>
          <w:szCs w:val="24"/>
        </w:rPr>
        <w:t>保障措施。</w:t>
      </w:r>
    </w:p>
    <w:p>
      <w:pPr>
        <w:spacing w:line="360" w:lineRule="auto"/>
        <w:ind w:firstLine="480" w:firstLineChars="200"/>
        <w:rPr>
          <w:rFonts w:ascii="仿宋" w:hAnsi="仿宋" w:eastAsia="仿宋"/>
          <w:sz w:val="24"/>
          <w:szCs w:val="24"/>
        </w:rPr>
      </w:pPr>
      <w:r>
        <w:rPr>
          <w:rFonts w:hint="eastAsia" w:ascii="仿宋" w:hAnsi="仿宋" w:eastAsia="仿宋"/>
          <w:sz w:val="24"/>
          <w:szCs w:val="24"/>
        </w:rPr>
        <w:t>（</w:t>
      </w:r>
      <w:r>
        <w:rPr>
          <w:rFonts w:ascii="仿宋" w:hAnsi="仿宋" w:eastAsia="仿宋"/>
          <w:sz w:val="24"/>
          <w:szCs w:val="24"/>
        </w:rPr>
        <w:t>1）部署方案</w:t>
      </w:r>
    </w:p>
    <w:p>
      <w:pPr>
        <w:spacing w:line="360" w:lineRule="auto"/>
        <w:ind w:firstLine="480" w:firstLineChars="200"/>
        <w:rPr>
          <w:rFonts w:ascii="仿宋" w:hAnsi="仿宋" w:eastAsia="仿宋"/>
          <w:sz w:val="24"/>
          <w:szCs w:val="24"/>
        </w:rPr>
      </w:pPr>
      <w:r>
        <w:rPr>
          <w:rFonts w:ascii="仿宋" w:hAnsi="仿宋" w:eastAsia="仿宋"/>
          <w:sz w:val="24"/>
          <w:szCs w:val="24"/>
        </w:rPr>
        <w:t>软件程序缺陷和漏洞对互联的计算机系统是个灾难，利用系统漏洞的攻击危害性极大，尤其是近年来病毒借用了这种具有黑客攻击的技术后，给网络带来严重的后果，如CodeRed、Nimda、Blaster等都无一例外使得内部网，甚至是整个Internet陷于瘫痪状态。由于补丁程序是这类问题的唯一根本解决方案，加之各类补丁程序数量规模巨大，所以出现了漏洞补丁管理和发布这样的安全应用系统。</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在内网中部署漏洞扫描和补丁管理系统，及时发现和完善终端电脑。</w:t>
      </w:r>
    </w:p>
    <w:p>
      <w:pPr>
        <w:spacing w:line="360" w:lineRule="auto"/>
        <w:ind w:firstLine="480" w:firstLineChars="200"/>
        <w:rPr>
          <w:rFonts w:ascii="仿宋" w:hAnsi="仿宋" w:eastAsia="仿宋"/>
          <w:sz w:val="24"/>
          <w:szCs w:val="24"/>
        </w:rPr>
      </w:pPr>
      <w:r>
        <w:rPr>
          <w:rFonts w:hint="eastAsia" w:ascii="仿宋" w:hAnsi="仿宋" w:eastAsia="仿宋"/>
          <w:sz w:val="24"/>
          <w:szCs w:val="24"/>
        </w:rPr>
        <w:t>（</w:t>
      </w:r>
      <w:r>
        <w:rPr>
          <w:rFonts w:ascii="仿宋" w:hAnsi="仿宋" w:eastAsia="仿宋"/>
          <w:sz w:val="24"/>
          <w:szCs w:val="24"/>
        </w:rPr>
        <w:t>2）产品功能</w:t>
      </w:r>
    </w:p>
    <w:p>
      <w:pPr>
        <w:spacing w:line="360" w:lineRule="auto"/>
        <w:ind w:firstLine="480" w:firstLineChars="200"/>
        <w:rPr>
          <w:rFonts w:ascii="仿宋" w:hAnsi="仿宋" w:eastAsia="仿宋"/>
          <w:sz w:val="24"/>
          <w:szCs w:val="24"/>
        </w:rPr>
      </w:pPr>
      <w:r>
        <w:rPr>
          <w:rFonts w:ascii="仿宋" w:hAnsi="仿宋" w:eastAsia="仿宋"/>
          <w:sz w:val="24"/>
          <w:szCs w:val="24"/>
        </w:rPr>
        <w:t>1）综合信息</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在安全漏洞管理系统的首页中，会呈现出扫描报告的综合数据分析，列出某个扫描计划漏洞数量趋势图、最后一次扫描结果漏洞数量饼形图、今日任务列表等分析数据，能够方便用户对整个网络系统中的漏洞信息有个全面的了解</w:t>
      </w:r>
    </w:p>
    <w:p>
      <w:pPr>
        <w:spacing w:line="360" w:lineRule="auto"/>
        <w:ind w:firstLine="480" w:firstLineChars="200"/>
        <w:rPr>
          <w:rFonts w:ascii="仿宋" w:hAnsi="仿宋" w:eastAsia="仿宋"/>
          <w:sz w:val="24"/>
          <w:szCs w:val="24"/>
        </w:rPr>
      </w:pPr>
      <w:r>
        <w:rPr>
          <w:rFonts w:ascii="仿宋" w:hAnsi="仿宋" w:eastAsia="仿宋"/>
          <w:sz w:val="24"/>
          <w:szCs w:val="24"/>
        </w:rPr>
        <w:t>2）资产管理</w:t>
      </w:r>
    </w:p>
    <w:p>
      <w:pPr>
        <w:spacing w:line="360" w:lineRule="auto"/>
        <w:ind w:firstLine="480" w:firstLineChars="200"/>
        <w:rPr>
          <w:rFonts w:ascii="仿宋" w:hAnsi="仿宋" w:eastAsia="仿宋"/>
          <w:sz w:val="24"/>
          <w:szCs w:val="24"/>
        </w:rPr>
      </w:pPr>
      <w:r>
        <w:rPr>
          <w:rFonts w:hint="eastAsia" w:ascii="仿宋" w:hAnsi="仿宋" w:eastAsia="仿宋"/>
          <w:sz w:val="24"/>
          <w:szCs w:val="24"/>
        </w:rPr>
        <w:t>资产管理功能是让用户更好的对网络中的设备进行管理和分析。用户可以通过系统管理的资产发现，通过发现的预备资产新建或者合并资产，也可以手动增加资产信息。并且可以对资产按照不同的方式进行分类，以方便资产的管理。资产管理和扫描紧密结合，用户直接可以针对资产单独进行扫描。用户也能够了解资产的风险趋势和漏洞，及时采取补救措施。</w:t>
      </w:r>
    </w:p>
    <w:p>
      <w:pPr>
        <w:spacing w:line="360" w:lineRule="auto"/>
        <w:ind w:firstLine="480" w:firstLineChars="200"/>
        <w:rPr>
          <w:rFonts w:ascii="仿宋" w:hAnsi="仿宋" w:eastAsia="仿宋"/>
          <w:sz w:val="24"/>
          <w:szCs w:val="24"/>
        </w:rPr>
      </w:pPr>
      <w:r>
        <w:rPr>
          <w:rFonts w:ascii="仿宋" w:hAnsi="仿宋" w:eastAsia="仿宋"/>
          <w:sz w:val="24"/>
          <w:szCs w:val="24"/>
        </w:rPr>
        <w:t>3）策略插件管理</w:t>
      </w:r>
    </w:p>
    <w:p>
      <w:pPr>
        <w:spacing w:line="360" w:lineRule="auto"/>
        <w:ind w:firstLine="480" w:firstLineChars="200"/>
        <w:rPr>
          <w:rFonts w:ascii="仿宋" w:hAnsi="仿宋" w:eastAsia="仿宋"/>
          <w:sz w:val="24"/>
          <w:szCs w:val="24"/>
        </w:rPr>
      </w:pPr>
      <w:r>
        <w:rPr>
          <w:rFonts w:hint="eastAsia" w:ascii="仿宋" w:hAnsi="仿宋" w:eastAsia="仿宋"/>
          <w:sz w:val="24"/>
          <w:szCs w:val="24"/>
        </w:rPr>
        <w:t>策略插件管理包括两部分：扫描策略管理和扫描插件管理</w:t>
      </w:r>
      <w:r>
        <w:rPr>
          <w:rFonts w:ascii="仿宋" w:hAnsi="仿宋" w:eastAsia="仿宋"/>
          <w:sz w:val="24"/>
          <w:szCs w:val="24"/>
        </w:rPr>
        <w:t>(漏洞库)</w:t>
      </w:r>
      <w:r>
        <w:rPr>
          <w:rFonts w:hint="eastAsia" w:ascii="仿宋" w:hAnsi="仿宋" w:eastAsia="仿宋"/>
          <w:sz w:val="24"/>
          <w:szCs w:val="24"/>
        </w:rPr>
        <w:t>。</w:t>
      </w:r>
    </w:p>
    <w:p>
      <w:pPr>
        <w:spacing w:line="360" w:lineRule="auto"/>
        <w:ind w:firstLine="480" w:firstLineChars="200"/>
        <w:rPr>
          <w:rFonts w:ascii="仿宋" w:hAnsi="仿宋" w:eastAsia="仿宋"/>
          <w:sz w:val="24"/>
          <w:szCs w:val="24"/>
        </w:rPr>
      </w:pPr>
      <w:r>
        <w:rPr>
          <w:rFonts w:ascii="仿宋" w:hAnsi="仿宋" w:eastAsia="仿宋"/>
          <w:sz w:val="24"/>
          <w:szCs w:val="24"/>
        </w:rPr>
        <w:t>4）扫描策略管理</w:t>
      </w:r>
    </w:p>
    <w:p>
      <w:pPr>
        <w:spacing w:line="360" w:lineRule="auto"/>
        <w:ind w:firstLine="480" w:firstLineChars="200"/>
        <w:rPr>
          <w:rFonts w:ascii="仿宋" w:hAnsi="仿宋" w:eastAsia="仿宋"/>
          <w:sz w:val="24"/>
          <w:szCs w:val="24"/>
        </w:rPr>
      </w:pPr>
      <w:r>
        <w:rPr>
          <w:rFonts w:hint="eastAsia" w:ascii="仿宋" w:hAnsi="仿宋" w:eastAsia="仿宋"/>
          <w:sz w:val="24"/>
          <w:szCs w:val="24"/>
        </w:rPr>
        <w:t>系统提供了内置的扫描策略以方便用户采用特定的策略来扫描资产，能够更快更高效发现资产漏洞。同时用户也能够自定义策略，并且可以以原来的策略为模板。</w:t>
      </w:r>
    </w:p>
    <w:p>
      <w:pPr>
        <w:spacing w:line="360" w:lineRule="auto"/>
        <w:ind w:firstLine="480" w:firstLineChars="200"/>
        <w:rPr>
          <w:rFonts w:ascii="仿宋" w:hAnsi="仿宋" w:eastAsia="仿宋"/>
          <w:sz w:val="24"/>
          <w:szCs w:val="24"/>
        </w:rPr>
      </w:pPr>
      <w:r>
        <w:rPr>
          <w:rFonts w:ascii="仿宋" w:hAnsi="仿宋" w:eastAsia="仿宋"/>
          <w:sz w:val="24"/>
          <w:szCs w:val="24"/>
        </w:rPr>
        <w:t>5）扫描插件管理</w:t>
      </w:r>
    </w:p>
    <w:p>
      <w:pPr>
        <w:spacing w:line="360" w:lineRule="auto"/>
        <w:ind w:firstLine="480" w:firstLineChars="200"/>
        <w:rPr>
          <w:rFonts w:ascii="仿宋" w:hAnsi="仿宋" w:eastAsia="仿宋"/>
          <w:sz w:val="24"/>
          <w:szCs w:val="24"/>
        </w:rPr>
      </w:pPr>
      <w:r>
        <w:rPr>
          <w:rFonts w:hint="eastAsia" w:ascii="仿宋" w:hAnsi="仿宋" w:eastAsia="仿宋"/>
          <w:sz w:val="24"/>
          <w:szCs w:val="24"/>
        </w:rPr>
        <w:t>扫描插件管理也就是漏洞库管理。</w:t>
      </w:r>
    </w:p>
    <w:p>
      <w:pPr>
        <w:spacing w:line="360" w:lineRule="auto"/>
        <w:ind w:firstLine="480" w:firstLineChars="200"/>
        <w:rPr>
          <w:rFonts w:ascii="仿宋" w:hAnsi="仿宋" w:eastAsia="仿宋"/>
          <w:sz w:val="24"/>
          <w:szCs w:val="24"/>
        </w:rPr>
      </w:pPr>
      <w:r>
        <w:rPr>
          <w:rFonts w:ascii="仿宋" w:hAnsi="仿宋" w:eastAsia="仿宋"/>
          <w:sz w:val="24"/>
          <w:szCs w:val="24"/>
        </w:rPr>
        <w:t>6）扫描管理</w:t>
      </w:r>
    </w:p>
    <w:p>
      <w:pPr>
        <w:spacing w:line="360" w:lineRule="auto"/>
        <w:ind w:firstLine="480" w:firstLineChars="200"/>
        <w:rPr>
          <w:rFonts w:ascii="仿宋" w:hAnsi="仿宋" w:eastAsia="仿宋"/>
          <w:sz w:val="24"/>
          <w:szCs w:val="24"/>
        </w:rPr>
      </w:pPr>
      <w:r>
        <w:rPr>
          <w:rFonts w:hint="eastAsia" w:ascii="仿宋" w:hAnsi="仿宋" w:eastAsia="仿宋"/>
          <w:sz w:val="24"/>
          <w:szCs w:val="24"/>
        </w:rPr>
        <w:t>进行扫描任务配置，设定扫描对象、扫描策略和扫描插件。</w:t>
      </w:r>
    </w:p>
    <w:p>
      <w:pPr>
        <w:spacing w:line="360" w:lineRule="auto"/>
        <w:ind w:firstLine="480" w:firstLineChars="200"/>
        <w:rPr>
          <w:rFonts w:ascii="仿宋" w:hAnsi="仿宋" w:eastAsia="仿宋"/>
          <w:sz w:val="24"/>
          <w:szCs w:val="24"/>
        </w:rPr>
      </w:pPr>
      <w:r>
        <w:rPr>
          <w:rFonts w:ascii="仿宋" w:hAnsi="仿宋" w:eastAsia="仿宋"/>
          <w:sz w:val="24"/>
          <w:szCs w:val="24"/>
        </w:rPr>
        <w:t>7）扫描计划</w:t>
      </w:r>
    </w:p>
    <w:p>
      <w:pPr>
        <w:spacing w:line="360" w:lineRule="auto"/>
        <w:ind w:firstLine="480" w:firstLineChars="200"/>
        <w:rPr>
          <w:rFonts w:ascii="仿宋" w:hAnsi="仿宋" w:eastAsia="仿宋"/>
          <w:sz w:val="24"/>
          <w:szCs w:val="24"/>
        </w:rPr>
      </w:pPr>
      <w:r>
        <w:rPr>
          <w:rFonts w:hint="eastAsia" w:ascii="仿宋" w:hAnsi="仿宋" w:eastAsia="仿宋"/>
          <w:sz w:val="24"/>
          <w:szCs w:val="24"/>
        </w:rPr>
        <w:t>系统可以让用户建立不同计划类型的扫描计划。包括人工任务、定时任务</w:t>
      </w:r>
      <w:r>
        <w:rPr>
          <w:rFonts w:ascii="仿宋" w:hAnsi="仿宋" w:eastAsia="仿宋"/>
          <w:sz w:val="24"/>
          <w:szCs w:val="24"/>
        </w:rPr>
        <w:t>(天、周、月)、立刻运行任务等计划。</w:t>
      </w:r>
    </w:p>
    <w:p>
      <w:pPr>
        <w:spacing w:line="360" w:lineRule="auto"/>
        <w:ind w:firstLine="480" w:firstLineChars="200"/>
        <w:rPr>
          <w:rFonts w:ascii="仿宋" w:hAnsi="仿宋" w:eastAsia="仿宋"/>
          <w:sz w:val="24"/>
          <w:szCs w:val="24"/>
        </w:rPr>
      </w:pPr>
      <w:r>
        <w:rPr>
          <w:rFonts w:ascii="仿宋" w:hAnsi="仿宋" w:eastAsia="仿宋"/>
          <w:sz w:val="24"/>
          <w:szCs w:val="24"/>
        </w:rPr>
        <w:t>8）正在扫描计划</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在扫描的时候，可以实时查看扫描进度，并且能够让用户停止当前扫描任务。</w:t>
      </w:r>
    </w:p>
    <w:p>
      <w:pPr>
        <w:spacing w:line="360" w:lineRule="auto"/>
        <w:ind w:firstLine="480" w:firstLineChars="200"/>
        <w:rPr>
          <w:rFonts w:ascii="仿宋" w:hAnsi="仿宋" w:eastAsia="仿宋"/>
          <w:sz w:val="24"/>
          <w:szCs w:val="24"/>
        </w:rPr>
      </w:pPr>
      <w:r>
        <w:rPr>
          <w:rFonts w:ascii="仿宋" w:hAnsi="仿宋" w:eastAsia="仿宋"/>
          <w:sz w:val="24"/>
          <w:szCs w:val="24"/>
        </w:rPr>
        <w:t>9）扫描报告</w:t>
      </w:r>
    </w:p>
    <w:p>
      <w:pPr>
        <w:spacing w:line="360" w:lineRule="auto"/>
        <w:ind w:firstLine="480" w:firstLineChars="200"/>
        <w:rPr>
          <w:rFonts w:ascii="仿宋" w:hAnsi="仿宋" w:eastAsia="仿宋"/>
          <w:sz w:val="24"/>
          <w:szCs w:val="24"/>
        </w:rPr>
      </w:pPr>
      <w:r>
        <w:rPr>
          <w:rFonts w:hint="eastAsia" w:ascii="仿宋" w:hAnsi="仿宋" w:eastAsia="仿宋"/>
          <w:sz w:val="24"/>
          <w:szCs w:val="24"/>
        </w:rPr>
        <w:t>系统提供各种形式的报表展现扫描结果报告，并且提供修补方法。</w:t>
      </w:r>
    </w:p>
    <w:p>
      <w:pPr>
        <w:pStyle w:val="9"/>
        <w:tabs>
          <w:tab w:val="left" w:pos="0"/>
        </w:tabs>
        <w:ind w:left="0" w:firstLine="0"/>
        <w:rPr>
          <w:rFonts w:ascii="仿宋" w:hAnsi="仿宋" w:eastAsia="仿宋"/>
          <w:sz w:val="24"/>
          <w:szCs w:val="24"/>
        </w:rPr>
      </w:pPr>
      <w:bookmarkStart w:id="62" w:name="_Toc57816953"/>
      <w:bookmarkStart w:id="63" w:name="_Toc24620326"/>
      <w:r>
        <w:rPr>
          <w:rFonts w:hint="eastAsia" w:ascii="仿宋" w:hAnsi="仿宋" w:eastAsia="仿宋"/>
          <w:sz w:val="24"/>
          <w:szCs w:val="24"/>
        </w:rPr>
        <w:t>安全运维防护体系</w:t>
      </w:r>
      <w:bookmarkEnd w:id="62"/>
      <w:bookmarkEnd w:id="63"/>
    </w:p>
    <w:p>
      <w:pPr>
        <w:spacing w:line="360" w:lineRule="auto"/>
        <w:ind w:firstLine="480" w:firstLineChars="200"/>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w:t>
      </w:r>
      <w:r>
        <w:rPr>
          <w:rFonts w:hint="eastAsia" w:ascii="仿宋" w:hAnsi="仿宋" w:eastAsia="仿宋"/>
          <w:sz w:val="24"/>
          <w:szCs w:val="24"/>
        </w:rPr>
        <w:t>流程规范</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在安全运维体系运作过程中需要制定一系列第三层过程控制文件帮助纪录并明确过程实施步骤、内容、结果，并通过实施手册和指南定义具体操作内容和步骤，引导日常运维工作正确执行。</w:t>
      </w:r>
    </w:p>
    <w:p>
      <w:pPr>
        <w:spacing w:line="360" w:lineRule="auto"/>
        <w:ind w:firstLine="480" w:firstLineChars="200"/>
        <w:rPr>
          <w:rFonts w:ascii="仿宋" w:hAnsi="仿宋" w:eastAsia="仿宋"/>
          <w:sz w:val="24"/>
          <w:szCs w:val="24"/>
        </w:rPr>
      </w:pPr>
      <w:r>
        <w:rPr>
          <w:rFonts w:hint="eastAsia" w:ascii="仿宋" w:hAnsi="仿宋" w:eastAsia="仿宋"/>
          <w:sz w:val="24"/>
          <w:szCs w:val="24"/>
        </w:rPr>
        <w:t>流程规范是指规定信息安全运行维护工作的具体内容，规范信息安全运行维护工作方式和秩序的一系列文件。流程规范的作用是将信息安全维护工作规范化和标准化，保障信息安全策略和规章制度有效落实并便于审查。</w:t>
      </w:r>
    </w:p>
    <w:p>
      <w:pPr>
        <w:spacing w:line="360" w:lineRule="auto"/>
        <w:ind w:firstLine="480" w:firstLineChars="200"/>
        <w:rPr>
          <w:rFonts w:ascii="仿宋" w:hAnsi="仿宋" w:eastAsia="仿宋"/>
          <w:sz w:val="24"/>
          <w:szCs w:val="24"/>
        </w:rPr>
      </w:pPr>
      <w:r>
        <w:rPr>
          <w:rFonts w:hint="eastAsia" w:ascii="仿宋" w:hAnsi="仿宋" w:eastAsia="仿宋"/>
          <w:sz w:val="24"/>
          <w:szCs w:val="24"/>
        </w:rPr>
        <w:t>2</w:t>
      </w:r>
      <w:r>
        <w:rPr>
          <w:rFonts w:ascii="仿宋" w:hAnsi="仿宋" w:eastAsia="仿宋"/>
          <w:sz w:val="24"/>
          <w:szCs w:val="24"/>
        </w:rPr>
        <w:t>.</w:t>
      </w:r>
      <w:r>
        <w:rPr>
          <w:rFonts w:hint="eastAsia" w:ascii="仿宋" w:hAnsi="仿宋" w:eastAsia="仿宋"/>
          <w:sz w:val="24"/>
          <w:szCs w:val="24"/>
        </w:rPr>
        <w:t>绩效考核</w:t>
      </w:r>
    </w:p>
    <w:p>
      <w:pPr>
        <w:spacing w:line="360" w:lineRule="auto"/>
        <w:ind w:firstLine="480" w:firstLineChars="200"/>
        <w:rPr>
          <w:rFonts w:ascii="仿宋" w:hAnsi="仿宋" w:eastAsia="仿宋"/>
          <w:sz w:val="24"/>
          <w:szCs w:val="24"/>
        </w:rPr>
      </w:pPr>
      <w:r>
        <w:rPr>
          <w:rFonts w:hint="eastAsia" w:ascii="仿宋" w:hAnsi="仿宋" w:eastAsia="仿宋"/>
          <w:sz w:val="24"/>
          <w:szCs w:val="24"/>
        </w:rPr>
        <w:t>绩效考核是指从信息化系统的绩效目标出发，通过一定的方法和客观标准，对平台运维人员的工作能力、工作成绩、工作态度等进行的综合评价，是行政管理工作的重要内容及基础性工作。</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安全运维方面，根据实际情况确定信息化系统的运行维护体系，保证必要的运行维护经费，遵循政府主导、制度保障、专业维护的原则；建立规范的安全运维流程，实行分级管理、分级把关，执行严格的审核程序；确保运维工作的及时、准确。建立考核机制，并纳入管理部门的绩效考核。</w:t>
      </w:r>
    </w:p>
    <w:p>
      <w:pPr>
        <w:spacing w:line="360" w:lineRule="auto"/>
        <w:ind w:firstLine="480" w:firstLineChars="200"/>
        <w:rPr>
          <w:rFonts w:ascii="仿宋" w:hAnsi="仿宋" w:eastAsia="仿宋"/>
          <w:sz w:val="24"/>
          <w:szCs w:val="24"/>
        </w:rPr>
      </w:pPr>
      <w:r>
        <w:rPr>
          <w:rFonts w:hint="eastAsia" w:ascii="仿宋" w:hAnsi="仿宋" w:eastAsia="仿宋"/>
          <w:sz w:val="24"/>
          <w:szCs w:val="24"/>
        </w:rPr>
        <w:t>（</w:t>
      </w:r>
      <w:r>
        <w:rPr>
          <w:rFonts w:ascii="仿宋" w:hAnsi="仿宋" w:eastAsia="仿宋"/>
          <w:sz w:val="24"/>
          <w:szCs w:val="24"/>
        </w:rPr>
        <w:t>3</w:t>
      </w:r>
      <w:r>
        <w:rPr>
          <w:rFonts w:hint="eastAsia" w:ascii="仿宋" w:hAnsi="仿宋" w:eastAsia="仿宋"/>
          <w:sz w:val="24"/>
          <w:szCs w:val="24"/>
        </w:rPr>
        <w:t>）风险评估与安全审计</w:t>
      </w:r>
    </w:p>
    <w:p>
      <w:pPr>
        <w:spacing w:line="360" w:lineRule="auto"/>
        <w:ind w:firstLine="480" w:firstLineChars="200"/>
        <w:rPr>
          <w:rFonts w:ascii="仿宋" w:hAnsi="仿宋" w:eastAsia="仿宋"/>
          <w:sz w:val="24"/>
          <w:szCs w:val="24"/>
        </w:rPr>
      </w:pPr>
      <w:r>
        <w:rPr>
          <w:rFonts w:hint="eastAsia" w:ascii="仿宋" w:hAnsi="仿宋" w:eastAsia="仿宋"/>
          <w:sz w:val="24"/>
          <w:szCs w:val="24"/>
        </w:rPr>
        <w:t>风险评估是指依据有关信息安全技术和管理标准，对信息系统及由其处理、传输和存储的信息的保密性、完整性和可用性等安全属性进行评价的过程。风险评估要评估资产面临的威胁以及威胁利用脆弱性导致安全事件的可能性，并结合安全事件所涉及的资产价值来判断安全事件一旦发生对大数据平台造成的影响。</w:t>
      </w:r>
    </w:p>
    <w:p>
      <w:pPr>
        <w:spacing w:line="360" w:lineRule="auto"/>
        <w:ind w:firstLine="480" w:firstLineChars="200"/>
        <w:rPr>
          <w:rFonts w:ascii="仿宋" w:hAnsi="仿宋" w:eastAsia="仿宋"/>
          <w:sz w:val="24"/>
          <w:szCs w:val="24"/>
        </w:rPr>
      </w:pPr>
      <w:r>
        <w:rPr>
          <w:rFonts w:hint="eastAsia" w:ascii="仿宋" w:hAnsi="仿宋" w:eastAsia="仿宋"/>
          <w:sz w:val="24"/>
          <w:szCs w:val="24"/>
        </w:rPr>
        <w:t>风险评估的作用是了解信息和信息系统面临的安全风险，为实施安全控制措施，降低安全风险提供依据。</w:t>
      </w:r>
    </w:p>
    <w:p>
      <w:pPr>
        <w:spacing w:line="360" w:lineRule="auto"/>
        <w:ind w:firstLine="480" w:firstLineChars="200"/>
        <w:rPr>
          <w:rFonts w:ascii="仿宋" w:hAnsi="仿宋" w:eastAsia="仿宋"/>
          <w:sz w:val="24"/>
          <w:szCs w:val="24"/>
        </w:rPr>
      </w:pPr>
      <w:r>
        <w:rPr>
          <w:rFonts w:hint="eastAsia" w:ascii="仿宋" w:hAnsi="仿宋" w:eastAsia="仿宋"/>
          <w:sz w:val="24"/>
          <w:szCs w:val="24"/>
        </w:rPr>
        <w:t>风险评估</w:t>
      </w:r>
    </w:p>
    <w:p>
      <w:pPr>
        <w:spacing w:line="360" w:lineRule="auto"/>
        <w:ind w:firstLine="480" w:firstLineChars="200"/>
        <w:rPr>
          <w:rFonts w:ascii="仿宋" w:hAnsi="仿宋" w:eastAsia="仿宋"/>
          <w:sz w:val="24"/>
          <w:szCs w:val="24"/>
        </w:rPr>
      </w:pPr>
      <w:r>
        <w:rPr>
          <w:rFonts w:hint="eastAsia" w:ascii="仿宋" w:hAnsi="仿宋" w:eastAsia="仿宋"/>
          <w:sz w:val="24"/>
          <w:szCs w:val="24"/>
        </w:rPr>
        <w:t>风险评估的实施是指选择适当的评估方法，由信息安全评估专业人员和“安心返”系统及“1</w:t>
      </w:r>
      <w:r>
        <w:rPr>
          <w:rFonts w:ascii="仿宋" w:hAnsi="仿宋" w:eastAsia="仿宋"/>
          <w:sz w:val="24"/>
          <w:szCs w:val="24"/>
        </w:rPr>
        <w:t>7</w:t>
      </w:r>
      <w:r>
        <w:rPr>
          <w:rFonts w:hint="eastAsia" w:ascii="仿宋" w:hAnsi="仿宋" w:eastAsia="仿宋"/>
          <w:sz w:val="24"/>
          <w:szCs w:val="24"/>
        </w:rPr>
        <w:t>防”平台项目安全管理员共同参与，对信息安全风险进行评价的过程。风险评估的实施以《信息安全技术信息安全风险评估规范》（GBT_20984-2007）、《信息安全技术信息系统安全保障评估框架》（GBT_20274-2008）和国家的有关文件要求为依据。风险评估可分为自评估（组织自身发起）和检查评估（上级主管部门或国家有关职能部门发起）两种方式。当风险评估工作选择由外部服务机构进行时，委托具有相应资质的风险评估服务机构进行。</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安全审计</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为确保平台运维组织提供的服务总体满足业务需求及信息化系统安全、稳定、可靠运行，需要完整的安全审计机制。安全审计是指按照一定的安全策略，利用记录、系统活动和用户活动等信息，检查、审查和检验操作事件的环境及活动，从而发现系统漏洞、入侵行为或改善系统性能的过程。安全审计，实际是记录与审查用户操作计算机及网络系统活动的过程，是提高系统安全性的重要举措。系统活动包括操作系统活动和应用程序进程的活动。用户活动包括用户在操作系统和应用程序中的活动，如用户所使用的资源、使用时间、执行的操作等。</w:t>
      </w:r>
    </w:p>
    <w:p>
      <w:pPr>
        <w:spacing w:line="360" w:lineRule="auto"/>
        <w:ind w:firstLine="480" w:firstLineChars="200"/>
        <w:rPr>
          <w:rFonts w:ascii="仿宋" w:hAnsi="仿宋" w:eastAsia="仿宋"/>
          <w:sz w:val="24"/>
          <w:szCs w:val="24"/>
        </w:rPr>
      </w:pPr>
      <w:r>
        <w:rPr>
          <w:rFonts w:hint="eastAsia" w:ascii="仿宋" w:hAnsi="仿宋" w:eastAsia="仿宋"/>
          <w:sz w:val="24"/>
          <w:szCs w:val="24"/>
        </w:rPr>
        <w:t>通过审计，以达到自查的目的，检测前期制定的规范流程执行情况，检查日常网络安全工作开展情况，同时通过审计可以发现主机及业务中存在安全威胁，回溯导致系统风险的危险操作。</w:t>
      </w:r>
    </w:p>
    <w:p>
      <w:pPr>
        <w:spacing w:line="360" w:lineRule="auto"/>
        <w:ind w:firstLine="480" w:firstLineChars="200"/>
        <w:rPr>
          <w:rFonts w:ascii="仿宋" w:hAnsi="仿宋" w:eastAsia="仿宋"/>
          <w:sz w:val="24"/>
          <w:szCs w:val="24"/>
        </w:rPr>
      </w:pPr>
      <w:r>
        <w:rPr>
          <w:rFonts w:hint="eastAsia" w:ascii="仿宋" w:hAnsi="仿宋" w:eastAsia="仿宋"/>
          <w:sz w:val="24"/>
          <w:szCs w:val="24"/>
        </w:rPr>
        <w:t>（4）安全加固与策略优化</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安全加固</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安全加固作为信息化系统所制定的安全策略的落实，从实践的角度来检验安全策略的有效性。通过安全加固可以确保对象满足安全基线要求，优化配置，安装适用的安全软件等加强对象的安全性能，从实践角度检验安全策略的有效性。</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安全加固不仅仅局限于单独的加固对象，对象所处的环境，包括大数据平台的路由器、交换机、操作系统、数据库、安全设备、网络结构、中间件等，都属于需要考虑的范围。</w:t>
      </w:r>
    </w:p>
    <w:p>
      <w:pPr>
        <w:spacing w:line="360" w:lineRule="auto"/>
        <w:ind w:firstLine="480" w:firstLineChars="200"/>
        <w:rPr>
          <w:rFonts w:ascii="仿宋" w:hAnsi="仿宋" w:eastAsia="仿宋"/>
          <w:sz w:val="24"/>
          <w:szCs w:val="24"/>
        </w:rPr>
      </w:pPr>
      <w:r>
        <w:rPr>
          <w:rFonts w:hint="eastAsia" w:ascii="仿宋" w:hAnsi="仿宋" w:eastAsia="仿宋"/>
          <w:sz w:val="24"/>
          <w:szCs w:val="24"/>
        </w:rPr>
        <w:t>通过风险评估、安全审计等手段发现的问题，对相应的解决方案进行加固前的风险分析，确认加固的操作风险在可接受的范围内，确认后方可进行安全加固。安全加固在保证最小化影响业务正常运行的同时，最大化保障信息系统安全。</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安全加固为网络和系统评估加固过程中的基本轮廓。原则上，每个加固过程都要考虑安全的所有部分。在实际的评估加固过程中，特定的系统和网络类型会对应基线中的一个部分。</w:t>
      </w:r>
    </w:p>
    <w:p>
      <w:pPr>
        <w:spacing w:line="360" w:lineRule="auto"/>
        <w:ind w:firstLine="480" w:firstLineChars="200"/>
        <w:rPr>
          <w:rFonts w:ascii="仿宋" w:hAnsi="仿宋" w:eastAsia="仿宋"/>
          <w:sz w:val="24"/>
          <w:szCs w:val="24"/>
        </w:rPr>
      </w:pPr>
      <w:r>
        <w:rPr>
          <w:rFonts w:hint="eastAsia" w:ascii="仿宋" w:hAnsi="仿宋" w:eastAsia="仿宋"/>
          <w:sz w:val="24"/>
          <w:szCs w:val="24"/>
        </w:rPr>
        <w:t>策略优化</w:t>
      </w:r>
    </w:p>
    <w:p>
      <w:pPr>
        <w:spacing w:line="360" w:lineRule="auto"/>
        <w:ind w:firstLine="480" w:firstLineChars="200"/>
        <w:rPr>
          <w:rFonts w:ascii="仿宋" w:hAnsi="仿宋" w:eastAsia="仿宋"/>
          <w:sz w:val="24"/>
          <w:szCs w:val="24"/>
        </w:rPr>
      </w:pPr>
      <w:r>
        <w:rPr>
          <w:rFonts w:hint="eastAsia" w:ascii="仿宋" w:hAnsi="仿宋" w:eastAsia="仿宋"/>
          <w:sz w:val="24"/>
          <w:szCs w:val="24"/>
        </w:rPr>
        <w:t>根据风险评估及安全审计发现的安全问题和安全隐患，结合相应的评估报告、加固建议及相关的系统安全策略对信息系统实施策略优化，从而提高相关信息系统的可用性和安全性。</w:t>
      </w:r>
    </w:p>
    <w:p>
      <w:pPr>
        <w:spacing w:line="360" w:lineRule="auto"/>
        <w:ind w:firstLine="480" w:firstLineChars="200"/>
        <w:rPr>
          <w:rFonts w:ascii="仿宋" w:hAnsi="仿宋" w:eastAsia="仿宋"/>
          <w:sz w:val="24"/>
          <w:szCs w:val="24"/>
        </w:rPr>
      </w:pPr>
      <w:r>
        <w:rPr>
          <w:rFonts w:hint="eastAsia" w:ascii="仿宋" w:hAnsi="仿宋" w:eastAsia="仿宋"/>
          <w:sz w:val="24"/>
          <w:szCs w:val="24"/>
        </w:rPr>
        <w:t>策略优化是对系统处理流程及对网络设备、安全设备、虚拟主机系统等进行的一项基本安全保护措施，通过策略优化一方面能够处理数据在处理过程中如收集点覆盖情况、分类规则符合性、分析计算方式优化及数据调用等，保证数据在处理过程中流程的规范性和分析结果质量；同时优化配置，消除系统中存在的部分安全隐患，也加强设备或系统安全的健壮性。</w:t>
      </w:r>
    </w:p>
    <w:p>
      <w:pPr>
        <w:spacing w:line="360" w:lineRule="auto"/>
        <w:ind w:firstLine="480" w:firstLineChars="200"/>
        <w:rPr>
          <w:rFonts w:ascii="仿宋" w:hAnsi="仿宋" w:eastAsia="仿宋"/>
          <w:sz w:val="24"/>
          <w:szCs w:val="24"/>
        </w:rPr>
      </w:pPr>
      <w:r>
        <w:rPr>
          <w:rFonts w:hint="eastAsia" w:ascii="仿宋" w:hAnsi="仿宋" w:eastAsia="仿宋"/>
          <w:sz w:val="24"/>
          <w:szCs w:val="24"/>
        </w:rPr>
        <w:t>策略优化工作的目标是解决在安全评估和安全审计中发现的技术性安全问题，所有的被评估对象不再存在潜在的安全隐患；同时，在策略优化过程中注意避免影响修补加固对象原有的功能和性能。</w:t>
      </w:r>
    </w:p>
    <w:p>
      <w:pPr>
        <w:spacing w:line="360" w:lineRule="auto"/>
        <w:ind w:firstLine="480" w:firstLineChars="200"/>
        <w:rPr>
          <w:rFonts w:ascii="仿宋" w:hAnsi="仿宋" w:eastAsia="仿宋"/>
          <w:sz w:val="24"/>
          <w:szCs w:val="24"/>
        </w:rPr>
      </w:pPr>
      <w:r>
        <w:rPr>
          <w:rFonts w:hint="eastAsia" w:ascii="仿宋" w:hAnsi="仿宋" w:eastAsia="仿宋"/>
          <w:sz w:val="24"/>
          <w:szCs w:val="24"/>
        </w:rPr>
        <w:t>策略优化首先让加固对象满足安全基线要求，这是策略优化的基本目标，通过策略优化更应该达到设备配置精炼有效，摒弃繁琐重复效果的配置，提高设备部署规则的使用效率，提升设备处理能力。</w:t>
      </w:r>
    </w:p>
    <w:p>
      <w:pPr>
        <w:spacing w:line="360" w:lineRule="auto"/>
        <w:ind w:firstLine="480" w:firstLineChars="200"/>
        <w:rPr>
          <w:rFonts w:ascii="仿宋" w:hAnsi="仿宋" w:eastAsia="仿宋"/>
          <w:sz w:val="24"/>
          <w:szCs w:val="24"/>
        </w:rPr>
      </w:pPr>
      <w:r>
        <w:rPr>
          <w:rFonts w:hint="eastAsia" w:ascii="仿宋" w:hAnsi="仿宋" w:eastAsia="仿宋"/>
          <w:sz w:val="24"/>
          <w:szCs w:val="24"/>
        </w:rPr>
        <w:t>（5）安全监测与应急响应</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安全监测</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安全监测是以实现信息化系统的安全风险管理和控制为目的，从信息系统全生命周期的安全风险管理、合规管理、基线管理、运维管理以及安全信息展示等方面出发，基于安全策略实现信息系统的安全集中管理和运维。</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安全监测的目标为落实“集中化、标准化、精细化、流程化”的信息安全保障体系建设管理的要求，建立资产和风险管理体系、安全策略管理体系、安全知识共享体系，建设满足以实现大数据平台的安全风险管理和控制为目标，以全面的安全对象的风险监控、预警、处置和评价分析为主要功能，基于安全策略实现大数据平台的技术支撑和安全管理。</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安全机制集中控管，是指能够对信息系统所涉及的计算机、网络以及应用系统的安全机制实现统一管理、统一监控、统一审计、协同防护，发挥安全机制的整体作用，提高信息系统的安全防护等级和水平。</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安全信息集中管理是指将信息系统所涉及的计算机、网络以及应用系统的安全信息实施统一管理、综合分析、发挥安全信息的整体作用。</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应急响应</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应急响应是对安全事件按一定的程序进行处理，其主要任务是尽可能缩小事件发生的范围和数量、防止事件升级、系统恢复以及责任认定等。</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应急预案是在信息系统发生紧急安全事件（包括入侵事件、软硬件故障、网络病毒、自然灾害等）之后，为尽快恢复其正常运行，降低安全事件的负面影响而制订的预案。有关应急预案内容包括计划制订、计划培训和计划演练。</w:t>
      </w:r>
    </w:p>
    <w:p>
      <w:pPr>
        <w:spacing w:line="360" w:lineRule="auto"/>
        <w:ind w:firstLine="480" w:firstLineChars="200"/>
        <w:rPr>
          <w:rFonts w:ascii="仿宋" w:hAnsi="仿宋" w:eastAsia="仿宋"/>
          <w:sz w:val="20"/>
          <w:szCs w:val="18"/>
        </w:rPr>
        <w:sectPr>
          <w:pgSz w:w="11906" w:h="16838"/>
          <w:pgMar w:top="1440" w:right="1800" w:bottom="1440" w:left="1800" w:header="851" w:footer="992" w:gutter="0"/>
          <w:cols w:space="425" w:num="1"/>
          <w:docGrid w:type="lines" w:linePitch="312" w:charSpace="0"/>
        </w:sectPr>
      </w:pPr>
      <w:r>
        <w:rPr>
          <w:rFonts w:hint="eastAsia" w:ascii="仿宋" w:hAnsi="仿宋" w:eastAsia="仿宋"/>
          <w:sz w:val="24"/>
          <w:szCs w:val="24"/>
        </w:rPr>
        <w:t>事件响应是在安全事件发生后根据应急预案对事件进行监控、处置和报告，采取措施将损失降到最低程度并从中吸取教训的活动。事件响应工作应包括事件监控和事件处置。</w:t>
      </w:r>
      <w:r>
        <w:rPr>
          <w:rFonts w:ascii="仿宋" w:hAnsi="仿宋" w:eastAsia="仿宋"/>
          <w:sz w:val="20"/>
          <w:szCs w:val="18"/>
        </w:rPr>
        <w:br w:type="page"/>
      </w:r>
    </w:p>
    <w:p>
      <w:pPr>
        <w:pStyle w:val="7"/>
        <w:tabs>
          <w:tab w:val="left" w:pos="0"/>
        </w:tabs>
        <w:ind w:left="0" w:firstLine="0"/>
        <w:rPr>
          <w:rFonts w:ascii="仿宋" w:hAnsi="仿宋" w:eastAsia="仿宋"/>
          <w:sz w:val="24"/>
          <w:szCs w:val="18"/>
        </w:rPr>
      </w:pPr>
      <w:bookmarkStart w:id="64" w:name="_Toc69134889"/>
      <w:bookmarkStart w:id="65" w:name="_Toc83568277"/>
      <w:r>
        <w:rPr>
          <w:rFonts w:hint="eastAsia" w:ascii="仿宋" w:hAnsi="仿宋" w:eastAsia="仿宋"/>
          <w:sz w:val="24"/>
          <w:szCs w:val="18"/>
        </w:rPr>
        <w:t>项目的信息数据设计</w:t>
      </w:r>
      <w:bookmarkEnd w:id="64"/>
      <w:bookmarkEnd w:id="65"/>
    </w:p>
    <w:p>
      <w:pPr>
        <w:pStyle w:val="8"/>
        <w:tabs>
          <w:tab w:val="left" w:pos="0"/>
        </w:tabs>
        <w:ind w:left="0" w:firstLine="0"/>
        <w:rPr>
          <w:rFonts w:ascii="仿宋" w:hAnsi="仿宋" w:eastAsia="仿宋"/>
          <w:sz w:val="24"/>
          <w:szCs w:val="24"/>
        </w:rPr>
      </w:pPr>
      <w:bookmarkStart w:id="66" w:name="_Toc69134890"/>
      <w:bookmarkStart w:id="67" w:name="_Toc37334447"/>
      <w:r>
        <w:rPr>
          <w:rFonts w:hint="eastAsia" w:ascii="仿宋" w:hAnsi="仿宋" w:eastAsia="仿宋"/>
          <w:sz w:val="24"/>
          <w:szCs w:val="24"/>
        </w:rPr>
        <w:t>数据系统设计</w:t>
      </w:r>
      <w:bookmarkEnd w:id="66"/>
      <w:bookmarkEnd w:id="67"/>
    </w:p>
    <w:p>
      <w:pPr>
        <w:pStyle w:val="9"/>
        <w:tabs>
          <w:tab w:val="left" w:pos="0"/>
        </w:tabs>
        <w:ind w:left="0" w:firstLine="0"/>
        <w:rPr>
          <w:rFonts w:ascii="仿宋" w:hAnsi="仿宋" w:eastAsia="仿宋"/>
          <w:sz w:val="24"/>
          <w:szCs w:val="24"/>
        </w:rPr>
      </w:pPr>
      <w:bookmarkStart w:id="68" w:name="_Toc37334448"/>
      <w:bookmarkStart w:id="69" w:name="_Toc69134891"/>
      <w:r>
        <w:rPr>
          <w:rFonts w:hint="eastAsia" w:ascii="仿宋" w:hAnsi="仿宋" w:eastAsia="仿宋"/>
          <w:sz w:val="24"/>
          <w:szCs w:val="24"/>
        </w:rPr>
        <w:t>数据仓库设计</w:t>
      </w:r>
      <w:bookmarkEnd w:id="68"/>
      <w:bookmarkEnd w:id="69"/>
    </w:p>
    <w:p>
      <w:pPr>
        <w:spacing w:line="360" w:lineRule="auto"/>
        <w:ind w:firstLine="480" w:firstLineChars="200"/>
        <w:rPr>
          <w:rFonts w:ascii="仿宋" w:hAnsi="仿宋" w:eastAsia="仿宋"/>
          <w:sz w:val="24"/>
          <w:szCs w:val="24"/>
        </w:rPr>
      </w:pPr>
      <w:r>
        <w:rPr>
          <w:rFonts w:hint="eastAsia" w:ascii="仿宋" w:hAnsi="仿宋" w:eastAsia="仿宋"/>
          <w:sz w:val="24"/>
          <w:szCs w:val="24"/>
        </w:rPr>
        <w:t>建立数据资源仓库的意义，就在于将支撑”安心返”系统及“17防”平台的各类业务数据，以及其他政府职能部门的相关数据进行统一的整合汇集，形成统一、完善、标准的数据资源仓库。</w:t>
      </w:r>
    </w:p>
    <w:p>
      <w:pPr>
        <w:spacing w:line="360" w:lineRule="auto"/>
        <w:ind w:firstLine="480" w:firstLineChars="200"/>
        <w:rPr>
          <w:rFonts w:ascii="仿宋" w:hAnsi="仿宋" w:eastAsia="仿宋"/>
          <w:sz w:val="24"/>
          <w:szCs w:val="24"/>
        </w:rPr>
      </w:pPr>
      <w:r>
        <w:rPr>
          <w:rFonts w:ascii="仿宋" w:hAnsi="仿宋" w:eastAsia="仿宋"/>
          <w:sz w:val="24"/>
          <w:szCs w:val="24"/>
        </w:rPr>
        <w:t>数据模型是数据仓库建设的基础，一个完整、灵活、稳定的数据模型对于数据仓库项目的成功起着重要的作用。数据模型是整个系统建设过程的导航图</w:t>
      </w:r>
      <w:r>
        <w:rPr>
          <w:rFonts w:hint="eastAsia" w:ascii="仿宋" w:hAnsi="仿宋" w:eastAsia="仿宋"/>
          <w:sz w:val="24"/>
          <w:szCs w:val="24"/>
        </w:rPr>
        <w:t>，</w:t>
      </w:r>
      <w:r>
        <w:rPr>
          <w:rFonts w:ascii="仿宋" w:hAnsi="仿宋" w:eastAsia="仿宋"/>
          <w:sz w:val="24"/>
          <w:szCs w:val="24"/>
        </w:rPr>
        <w:t>通过数据模型可以清楚地表达内部各种业务主体之间的相关性，使不同部门的业务人员、应用开发人员和系统管理人员获得关于系统的统一完整的视图。数据模型是整合各种数据源的重要手段，通过数据模型，可以建立起各个业务系统与数据仓库之间的映射关系，实现源数据的有效采集。数据模型的建立可以使开发人员清楚地了解数据之间的关系，以及数据的作用。在数据仓库中只需要采集那些用于分析的数据，而不需要那些纯粹用于操作的数据。由于数据模型对现有的信息以及信息之间的关系从逻辑层进行了全面的描述，当未来业务发生变化或系统需求发生变化时，可以很容易地实现系统的扩展。数据结构的变化不会偏离原有的设计思想。</w:t>
      </w:r>
    </w:p>
    <w:p>
      <w:pPr>
        <w:spacing w:line="360" w:lineRule="auto"/>
        <w:ind w:firstLine="480" w:firstLineChars="200"/>
        <w:rPr>
          <w:rFonts w:ascii="仿宋" w:hAnsi="仿宋" w:eastAsia="仿宋"/>
          <w:sz w:val="24"/>
          <w:szCs w:val="24"/>
        </w:rPr>
      </w:pPr>
      <w:r>
        <w:rPr>
          <w:rFonts w:hint="eastAsia" w:ascii="仿宋" w:hAnsi="仿宋" w:eastAsia="仿宋"/>
          <w:sz w:val="24"/>
          <w:szCs w:val="24"/>
        </w:rPr>
        <w:t>（1）数据仓库建模设计</w:t>
      </w:r>
    </w:p>
    <w:p>
      <w:pPr>
        <w:spacing w:line="360" w:lineRule="auto"/>
        <w:ind w:firstLine="480" w:firstLineChars="200"/>
        <w:rPr>
          <w:rFonts w:ascii="仿宋" w:hAnsi="仿宋" w:eastAsia="仿宋"/>
          <w:sz w:val="24"/>
          <w:szCs w:val="24"/>
        </w:rPr>
      </w:pPr>
      <w:r>
        <w:rPr>
          <w:rFonts w:hint="eastAsia" w:ascii="仿宋" w:hAnsi="仿宋" w:eastAsia="仿宋"/>
          <w:sz w:val="24"/>
          <w:szCs w:val="24"/>
        </w:rPr>
        <w:t>数据仓库模型设计遵循“自顶向下、逐步求精”的设计原则。模型设计阶段分为三个阶段：概念模型设计、逻辑模型设计、物理模型设计。</w:t>
      </w:r>
    </w:p>
    <w:p>
      <w:pPr>
        <w:ind w:leftChars="-270" w:hanging="540" w:hangingChars="270"/>
        <w:rPr>
          <w:rFonts w:ascii="仿宋" w:hAnsi="仿宋" w:eastAsia="仿宋" w:cs="宋体"/>
          <w:sz w:val="20"/>
          <w:szCs w:val="18"/>
        </w:rPr>
      </w:pPr>
      <w:r>
        <w:rPr>
          <w:rFonts w:ascii="仿宋" w:hAnsi="仿宋" w:eastAsia="仿宋"/>
          <w:sz w:val="20"/>
          <w:szCs w:val="18"/>
        </w:rPr>
        <w:drawing>
          <wp:inline distT="0" distB="0" distL="0" distR="0">
            <wp:extent cx="6207760" cy="3991610"/>
            <wp:effectExtent l="0" t="0" r="1016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6"/>
                    <a:stretch>
                      <a:fillRect/>
                    </a:stretch>
                  </pic:blipFill>
                  <pic:spPr>
                    <a:xfrm>
                      <a:off x="0" y="0"/>
                      <a:ext cx="6217432" cy="3998097"/>
                    </a:xfrm>
                    <a:prstGeom prst="rect">
                      <a:avLst/>
                    </a:prstGeom>
                  </pic:spPr>
                </pic:pic>
              </a:graphicData>
            </a:graphic>
          </wp:inline>
        </w:drawing>
      </w:r>
    </w:p>
    <w:p>
      <w:pPr>
        <w:spacing w:line="360" w:lineRule="auto"/>
        <w:ind w:firstLine="480" w:firstLineChars="200"/>
        <w:rPr>
          <w:rFonts w:ascii="仿宋" w:hAnsi="仿宋" w:eastAsia="仿宋"/>
          <w:sz w:val="24"/>
          <w:szCs w:val="24"/>
        </w:rPr>
      </w:pPr>
      <w:r>
        <w:rPr>
          <w:rFonts w:hint="eastAsia" w:ascii="仿宋" w:hAnsi="仿宋" w:eastAsia="仿宋"/>
          <w:sz w:val="24"/>
          <w:szCs w:val="24"/>
        </w:rPr>
        <w:t>1.概念模型设计（Concept Data Modeling）：这一阶段之前的首要工作是通过需求分析，明确需求所涵盖的业务范围。然后再对需求范围内的业务及其间关系进行高度概括性的描述，把密切相关业务对象进行归类，即划分主题域。概念模型的设计是为逻辑模型的设计做准备，它没有统一的标准，主要根据设计者的经验。</w:t>
      </w:r>
    </w:p>
    <w:p>
      <w:pPr>
        <w:spacing w:line="360" w:lineRule="auto"/>
        <w:ind w:firstLine="480" w:firstLineChars="200"/>
        <w:rPr>
          <w:rFonts w:ascii="仿宋" w:hAnsi="仿宋" w:eastAsia="仿宋"/>
          <w:sz w:val="24"/>
          <w:szCs w:val="24"/>
        </w:rPr>
      </w:pPr>
      <w:r>
        <w:rPr>
          <w:rFonts w:hint="eastAsia" w:ascii="仿宋" w:hAnsi="仿宋" w:eastAsia="仿宋"/>
          <w:sz w:val="24"/>
          <w:szCs w:val="24"/>
        </w:rPr>
        <w:t>2.逻辑模型设计（Logical Data Modeling）：分别对概念模型的各个主题进行细化，定义其中的实体并描述实体之间的关系，并产生实体关系图（ERD），然后遵照规范化思想在实体关系的基础上明确各个实体的属性。实体产生于中国移动开展的业务、服务及其涉及的对象（如客户、帐户、员工、机构、资源），实体间的对应、约束关系则来自于各业务过程中的规则。可以说，这一阶段面对的是业务。</w:t>
      </w:r>
    </w:p>
    <w:p>
      <w:pPr>
        <w:spacing w:line="360" w:lineRule="auto"/>
        <w:ind w:firstLine="480" w:firstLineChars="200"/>
        <w:rPr>
          <w:rFonts w:ascii="仿宋" w:hAnsi="仿宋" w:eastAsia="仿宋"/>
          <w:sz w:val="24"/>
          <w:szCs w:val="24"/>
        </w:rPr>
      </w:pPr>
      <w:r>
        <w:rPr>
          <w:rFonts w:hint="eastAsia" w:ascii="仿宋" w:hAnsi="仿宋" w:eastAsia="仿宋"/>
          <w:sz w:val="24"/>
          <w:szCs w:val="24"/>
        </w:rPr>
        <w:t>3.物理模型设计（Physical Data Modeling）：一旦逻辑模型到位，物理模型就有了可参照的依据，开发工作内容也同时得到明确。物理模型设计主要依据逻辑模型针对具体的分析需求和物理平台采取相应的优化策略。此时会在一定程度上增加数据冗余或者隐藏实体之间的关系，是一种反规范化的处理，目的是提高数据分析的速度，适应具体数据库的容量、性能等限制。可以说，这一阶段面对的是具体的软硬件平台和性能要求。</w:t>
      </w:r>
    </w:p>
    <w:p>
      <w:pPr>
        <w:spacing w:line="360" w:lineRule="auto"/>
        <w:ind w:firstLine="480" w:firstLineChars="200"/>
        <w:rPr>
          <w:rFonts w:ascii="仿宋" w:hAnsi="仿宋" w:eastAsia="仿宋"/>
          <w:sz w:val="24"/>
          <w:szCs w:val="24"/>
        </w:rPr>
      </w:pPr>
      <w:r>
        <w:rPr>
          <w:rFonts w:hint="eastAsia" w:ascii="仿宋" w:hAnsi="仿宋" w:eastAsia="仿宋"/>
          <w:sz w:val="24"/>
          <w:szCs w:val="24"/>
        </w:rPr>
        <w:t>（2）</w:t>
      </w:r>
      <w:r>
        <w:rPr>
          <w:rFonts w:ascii="仿宋" w:hAnsi="仿宋" w:eastAsia="仿宋"/>
          <w:sz w:val="24"/>
          <w:szCs w:val="24"/>
        </w:rPr>
        <w:t>数据模型范型</w:t>
      </w:r>
    </w:p>
    <w:p>
      <w:pPr>
        <w:spacing w:line="360" w:lineRule="auto"/>
        <w:ind w:firstLine="480" w:firstLineChars="200"/>
        <w:rPr>
          <w:rFonts w:ascii="仿宋" w:hAnsi="仿宋" w:eastAsia="仿宋"/>
          <w:sz w:val="24"/>
          <w:szCs w:val="24"/>
        </w:rPr>
      </w:pPr>
      <w:r>
        <w:rPr>
          <w:rFonts w:ascii="仿宋" w:hAnsi="仿宋" w:eastAsia="仿宋"/>
          <w:sz w:val="24"/>
          <w:szCs w:val="24"/>
        </w:rPr>
        <w:t>范式建模法（Third Normal Form，3NF，应用于OLTP）</w:t>
      </w:r>
    </w:p>
    <w:p>
      <w:pPr>
        <w:ind w:leftChars="-337" w:hanging="674" w:hangingChars="337"/>
        <w:rPr>
          <w:rFonts w:ascii="仿宋" w:hAnsi="仿宋" w:eastAsia="仿宋"/>
          <w:kern w:val="0"/>
          <w:sz w:val="20"/>
          <w:szCs w:val="18"/>
          <w:lang w:val="zh-CN"/>
        </w:rPr>
      </w:pPr>
      <w:r>
        <w:rPr>
          <w:rFonts w:ascii="仿宋" w:hAnsi="仿宋" w:eastAsia="仿宋"/>
          <w:sz w:val="20"/>
          <w:szCs w:val="18"/>
        </w:rPr>
        <w:drawing>
          <wp:inline distT="0" distB="0" distL="0" distR="0">
            <wp:extent cx="6520180" cy="2613025"/>
            <wp:effectExtent l="0" t="0" r="2540" b="825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7"/>
                    <a:stretch>
                      <a:fillRect/>
                    </a:stretch>
                  </pic:blipFill>
                  <pic:spPr>
                    <a:xfrm>
                      <a:off x="0" y="0"/>
                      <a:ext cx="6545732" cy="2623592"/>
                    </a:xfrm>
                    <a:prstGeom prst="rect">
                      <a:avLst/>
                    </a:prstGeom>
                  </pic:spPr>
                </pic:pic>
              </a:graphicData>
            </a:graphic>
          </wp:inline>
        </w:drawing>
      </w:r>
    </w:p>
    <w:p>
      <w:pPr>
        <w:spacing w:line="360" w:lineRule="auto"/>
        <w:ind w:firstLine="480" w:firstLineChars="200"/>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实体建模法（狭义上的数据仓库建模）</w:t>
      </w:r>
    </w:p>
    <w:p>
      <w:pPr>
        <w:rPr>
          <w:rFonts w:ascii="仿宋" w:hAnsi="仿宋" w:eastAsia="仿宋" w:cs="宋体"/>
          <w:sz w:val="20"/>
          <w:szCs w:val="18"/>
        </w:rPr>
      </w:pPr>
      <w:r>
        <w:rPr>
          <w:rFonts w:ascii="仿宋" w:hAnsi="仿宋" w:eastAsia="仿宋"/>
          <w:sz w:val="20"/>
          <w:szCs w:val="18"/>
        </w:rPr>
        <w:drawing>
          <wp:inline distT="0" distB="0" distL="0" distR="0">
            <wp:extent cx="5895975" cy="2661285"/>
            <wp:effectExtent l="0" t="0" r="1905" b="57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8"/>
                    <a:stretch>
                      <a:fillRect/>
                    </a:stretch>
                  </pic:blipFill>
                  <pic:spPr>
                    <a:xfrm>
                      <a:off x="0" y="0"/>
                      <a:ext cx="5913045" cy="2669018"/>
                    </a:xfrm>
                    <a:prstGeom prst="rect">
                      <a:avLst/>
                    </a:prstGeom>
                  </pic:spPr>
                </pic:pic>
              </a:graphicData>
            </a:graphic>
          </wp:inline>
        </w:drawing>
      </w:r>
    </w:p>
    <w:p>
      <w:pPr>
        <w:spacing w:line="360" w:lineRule="auto"/>
        <w:ind w:firstLine="480" w:firstLineChars="200"/>
        <w:rPr>
          <w:rFonts w:ascii="仿宋" w:hAnsi="仿宋" w:eastAsia="仿宋"/>
          <w:sz w:val="24"/>
          <w:szCs w:val="24"/>
        </w:rPr>
      </w:pPr>
      <w:r>
        <w:rPr>
          <w:rFonts w:hint="eastAsia" w:ascii="仿宋" w:hAnsi="仿宋" w:eastAsia="仿宋"/>
          <w:sz w:val="24"/>
          <w:szCs w:val="24"/>
        </w:rPr>
        <w:t>2、维度建模法</w:t>
      </w:r>
    </w:p>
    <w:p>
      <w:pPr>
        <w:spacing w:line="360" w:lineRule="auto"/>
        <w:ind w:firstLine="480" w:firstLineChars="200"/>
        <w:rPr>
          <w:rFonts w:ascii="仿宋" w:hAnsi="仿宋" w:eastAsia="仿宋"/>
          <w:sz w:val="24"/>
          <w:szCs w:val="24"/>
        </w:rPr>
      </w:pPr>
      <w:r>
        <w:rPr>
          <w:rFonts w:ascii="仿宋" w:hAnsi="仿宋" w:eastAsia="仿宋"/>
          <w:sz w:val="24"/>
          <w:szCs w:val="24"/>
        </w:rPr>
        <w:t>维度建模法，Kimbal1最先提出这一概念。其最简单的描述就是，按照事实表，维表来构建数据仓库，数据集市。这种方法的最被人广泛知晓的名字就是星型模式（Star-schema）。</w:t>
      </w:r>
    </w:p>
    <w:p>
      <w:pPr>
        <w:pStyle w:val="327"/>
        <w:ind w:left="840" w:firstLine="0" w:firstLineChars="0"/>
        <w:rPr>
          <w:rFonts w:ascii="仿宋" w:hAnsi="仿宋" w:eastAsia="仿宋" w:cs="宋体"/>
          <w:sz w:val="20"/>
          <w:szCs w:val="18"/>
        </w:rPr>
      </w:pPr>
      <w:r>
        <w:rPr>
          <w:rFonts w:ascii="仿宋" w:hAnsi="仿宋" w:eastAsia="仿宋"/>
          <w:sz w:val="20"/>
          <w:szCs w:val="18"/>
        </w:rPr>
        <w:drawing>
          <wp:inline distT="0" distB="0" distL="0" distR="0">
            <wp:extent cx="3834765" cy="2491740"/>
            <wp:effectExtent l="0" t="0" r="5715" b="762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9"/>
                    <a:stretch>
                      <a:fillRect/>
                    </a:stretch>
                  </pic:blipFill>
                  <pic:spPr>
                    <a:xfrm>
                      <a:off x="0" y="0"/>
                      <a:ext cx="3843488" cy="2497573"/>
                    </a:xfrm>
                    <a:prstGeom prst="rect">
                      <a:avLst/>
                    </a:prstGeom>
                  </pic:spPr>
                </pic:pic>
              </a:graphicData>
            </a:graphic>
          </wp:inline>
        </w:drawing>
      </w:r>
    </w:p>
    <w:p>
      <w:pPr>
        <w:spacing w:line="360" w:lineRule="auto"/>
        <w:ind w:firstLine="480" w:firstLineChars="200"/>
        <w:rPr>
          <w:rFonts w:ascii="仿宋" w:hAnsi="仿宋" w:eastAsia="仿宋"/>
          <w:sz w:val="24"/>
          <w:szCs w:val="24"/>
        </w:rPr>
      </w:pPr>
      <w:r>
        <w:rPr>
          <w:rFonts w:hint="eastAsia" w:ascii="仿宋" w:hAnsi="仿宋" w:eastAsia="仿宋"/>
          <w:sz w:val="24"/>
          <w:szCs w:val="24"/>
        </w:rPr>
        <w:t>维度建模的领域主要适用与数据集市层，它的最大的作用其实是为了解决数据仓库建模中的性能问题。维度建模很难能够提供一个完整地描述真实业务实体之间的复杂关系的抽象方法。</w:t>
      </w:r>
    </w:p>
    <w:p>
      <w:pPr>
        <w:ind w:firstLine="480" w:firstLineChars="200"/>
        <w:rPr>
          <w:rFonts w:ascii="仿宋" w:hAnsi="仿宋" w:eastAsia="仿宋"/>
          <w:sz w:val="24"/>
          <w:szCs w:val="24"/>
        </w:rPr>
      </w:pPr>
      <w:r>
        <w:rPr>
          <w:rFonts w:hint="eastAsia" w:ascii="仿宋" w:hAnsi="仿宋" w:eastAsia="仿宋"/>
          <w:sz w:val="24"/>
          <w:szCs w:val="24"/>
        </w:rPr>
        <w:t>综上所述，在”安心返”系统及“17防”平台创建数据仓库模型的时候，参考使用上述的三种数据仓库的建模方法，在各个不同阶段采用不同的方法，从而能够保证整个数据仓库建模的质量。</w:t>
      </w:r>
    </w:p>
    <w:p>
      <w:pPr>
        <w:pStyle w:val="9"/>
        <w:tabs>
          <w:tab w:val="left" w:pos="0"/>
        </w:tabs>
        <w:ind w:left="0" w:firstLine="0"/>
        <w:rPr>
          <w:rFonts w:ascii="仿宋" w:hAnsi="仿宋" w:eastAsia="仿宋"/>
          <w:sz w:val="24"/>
          <w:szCs w:val="24"/>
        </w:rPr>
      </w:pPr>
      <w:bookmarkStart w:id="70" w:name="_Toc37334449"/>
      <w:bookmarkStart w:id="71" w:name="_Toc69134892"/>
      <w:r>
        <w:rPr>
          <w:rFonts w:hint="eastAsia" w:ascii="仿宋" w:hAnsi="仿宋" w:eastAsia="仿宋"/>
          <w:sz w:val="24"/>
          <w:szCs w:val="24"/>
        </w:rPr>
        <w:t>数据来源、采集更新方式</w:t>
      </w:r>
      <w:bookmarkEnd w:id="70"/>
      <w:bookmarkEnd w:id="71"/>
    </w:p>
    <w:p>
      <w:pPr>
        <w:spacing w:line="360" w:lineRule="auto"/>
        <w:ind w:firstLine="480" w:firstLineChars="200"/>
        <w:rPr>
          <w:rFonts w:ascii="仿宋" w:hAnsi="仿宋" w:eastAsia="仿宋"/>
          <w:sz w:val="24"/>
          <w:szCs w:val="24"/>
        </w:rPr>
      </w:pPr>
      <w:bookmarkStart w:id="72" w:name="_Hlk70429600"/>
      <w:r>
        <w:rPr>
          <w:rFonts w:hint="eastAsia" w:ascii="仿宋" w:hAnsi="仿宋" w:eastAsia="仿宋"/>
          <w:sz w:val="24"/>
          <w:szCs w:val="24"/>
        </w:rPr>
        <w:t>数据来源：主要来自杭州城市大脑中枢系统，如：从杭州城市大脑中枢系统获取杭州健康码数据。</w:t>
      </w:r>
      <w:r>
        <w:rPr>
          <w:rFonts w:ascii="仿宋" w:hAnsi="仿宋" w:eastAsia="仿宋"/>
          <w:sz w:val="24"/>
          <w:szCs w:val="24"/>
        </w:rPr>
        <w:t xml:space="preserve"> </w:t>
      </w:r>
    </w:p>
    <w:p>
      <w:pPr>
        <w:spacing w:line="360" w:lineRule="auto"/>
        <w:ind w:firstLine="480" w:firstLineChars="200"/>
        <w:rPr>
          <w:rFonts w:ascii="仿宋" w:hAnsi="仿宋" w:eastAsia="仿宋"/>
          <w:sz w:val="24"/>
          <w:szCs w:val="24"/>
        </w:rPr>
      </w:pPr>
      <w:r>
        <w:rPr>
          <w:rFonts w:hint="eastAsia" w:ascii="仿宋" w:hAnsi="仿宋" w:eastAsia="仿宋"/>
          <w:sz w:val="24"/>
          <w:szCs w:val="24"/>
        </w:rPr>
        <w:t>数据采集方式：主要通过API接口将其他系统中的数据采集到“安心返”系统及“1</w:t>
      </w:r>
      <w:r>
        <w:rPr>
          <w:rFonts w:ascii="仿宋" w:hAnsi="仿宋" w:eastAsia="仿宋"/>
          <w:sz w:val="24"/>
          <w:szCs w:val="24"/>
        </w:rPr>
        <w:t>7</w:t>
      </w:r>
      <w:r>
        <w:rPr>
          <w:rFonts w:hint="eastAsia" w:ascii="仿宋" w:hAnsi="仿宋" w:eastAsia="仿宋"/>
          <w:sz w:val="24"/>
          <w:szCs w:val="24"/>
        </w:rPr>
        <w:t>防”平台中。</w:t>
      </w:r>
      <w:bookmarkEnd w:id="72"/>
      <w:r>
        <w:rPr>
          <w:rFonts w:ascii="仿宋" w:hAnsi="仿宋" w:eastAsia="仿宋"/>
          <w:sz w:val="24"/>
          <w:szCs w:val="24"/>
        </w:rPr>
        <w:t xml:space="preserve"> </w:t>
      </w:r>
    </w:p>
    <w:p>
      <w:pPr>
        <w:pStyle w:val="8"/>
        <w:tabs>
          <w:tab w:val="left" w:pos="0"/>
        </w:tabs>
        <w:ind w:left="0" w:firstLine="0"/>
        <w:rPr>
          <w:rFonts w:ascii="仿宋" w:hAnsi="仿宋" w:eastAsia="仿宋"/>
          <w:sz w:val="24"/>
          <w:szCs w:val="24"/>
        </w:rPr>
      </w:pPr>
      <w:bookmarkStart w:id="73" w:name="_Toc37334450"/>
      <w:bookmarkStart w:id="74" w:name="_Toc69134893"/>
      <w:r>
        <w:rPr>
          <w:rFonts w:hint="eastAsia" w:ascii="仿宋" w:hAnsi="仿宋" w:eastAsia="仿宋"/>
          <w:sz w:val="24"/>
          <w:szCs w:val="24"/>
        </w:rPr>
        <w:t>基础数据标准、共享和交换数据标准</w:t>
      </w:r>
      <w:bookmarkEnd w:id="73"/>
      <w:bookmarkEnd w:id="74"/>
    </w:p>
    <w:p>
      <w:pPr>
        <w:spacing w:line="360" w:lineRule="auto"/>
        <w:ind w:firstLine="480" w:firstLineChars="200"/>
        <w:rPr>
          <w:rFonts w:ascii="仿宋" w:hAnsi="仿宋" w:eastAsia="仿宋"/>
          <w:sz w:val="24"/>
          <w:szCs w:val="24"/>
        </w:rPr>
      </w:pPr>
      <w:r>
        <w:rPr>
          <w:rFonts w:ascii="仿宋" w:hAnsi="仿宋" w:eastAsia="仿宋"/>
          <w:sz w:val="24"/>
          <w:szCs w:val="24"/>
        </w:rPr>
        <w:t>总结长期实践经验</w:t>
      </w:r>
      <w:r>
        <w:rPr>
          <w:rFonts w:hint="eastAsia" w:ascii="仿宋" w:hAnsi="仿宋" w:eastAsia="仿宋"/>
          <w:sz w:val="24"/>
          <w:szCs w:val="24"/>
        </w:rPr>
        <w:t>，</w:t>
      </w:r>
      <w:r>
        <w:rPr>
          <w:rFonts w:ascii="仿宋" w:hAnsi="仿宋" w:eastAsia="仿宋"/>
          <w:sz w:val="24"/>
          <w:szCs w:val="24"/>
        </w:rPr>
        <w:t>经过细致严谨的研究评审,逐步建立完善一套涵盖全面,通用易用,长期可行的数据标准</w:t>
      </w:r>
      <w:r>
        <w:rPr>
          <w:rFonts w:hint="eastAsia" w:ascii="仿宋" w:hAnsi="仿宋" w:eastAsia="仿宋"/>
          <w:sz w:val="24"/>
          <w:szCs w:val="24"/>
        </w:rPr>
        <w:t>、共享、交换</w:t>
      </w:r>
      <w:r>
        <w:rPr>
          <w:rFonts w:ascii="仿宋" w:hAnsi="仿宋" w:eastAsia="仿宋"/>
          <w:sz w:val="24"/>
          <w:szCs w:val="24"/>
        </w:rPr>
        <w:t>规范体系</w:t>
      </w:r>
      <w:r>
        <w:rPr>
          <w:rFonts w:hint="eastAsia" w:ascii="仿宋" w:hAnsi="仿宋" w:eastAsia="仿宋"/>
          <w:sz w:val="24"/>
          <w:szCs w:val="24"/>
        </w:rPr>
        <w:t>。首先，要了解、吸收和引用国家、行业和地方已有的数据标准，分析和引用一些先进城市、部门已经制定的标准；结合杭州市城市大脑标准规范与建德市数据中台汇集和整合的信息资源情况，研究、制定适合建德市平台自身的数据标准规范。</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为</w:t>
      </w:r>
      <w:r>
        <w:rPr>
          <w:rFonts w:ascii="仿宋" w:hAnsi="仿宋" w:eastAsia="仿宋"/>
          <w:sz w:val="24"/>
          <w:szCs w:val="24"/>
        </w:rPr>
        <w:t>实现各类业务信息系统互联互通</w:t>
      </w:r>
      <w:r>
        <w:rPr>
          <w:rFonts w:hint="eastAsia" w:ascii="仿宋" w:hAnsi="仿宋" w:eastAsia="仿宋"/>
          <w:sz w:val="24"/>
          <w:szCs w:val="24"/>
        </w:rPr>
        <w:t>，建立</w:t>
      </w:r>
      <w:r>
        <w:rPr>
          <w:rFonts w:ascii="仿宋" w:hAnsi="仿宋" w:eastAsia="仿宋"/>
          <w:sz w:val="24"/>
          <w:szCs w:val="24"/>
        </w:rPr>
        <w:t>数据</w:t>
      </w:r>
      <w:r>
        <w:rPr>
          <w:rFonts w:hint="eastAsia" w:ascii="仿宋" w:hAnsi="仿宋" w:eastAsia="仿宋"/>
          <w:sz w:val="24"/>
          <w:szCs w:val="24"/>
        </w:rPr>
        <w:t>共享</w:t>
      </w:r>
      <w:r>
        <w:rPr>
          <w:rFonts w:ascii="仿宋" w:hAnsi="仿宋" w:eastAsia="仿宋"/>
          <w:sz w:val="24"/>
          <w:szCs w:val="24"/>
        </w:rPr>
        <w:t>交换</w:t>
      </w:r>
      <w:r>
        <w:rPr>
          <w:rFonts w:hint="eastAsia" w:ascii="仿宋" w:hAnsi="仿宋" w:eastAsia="仿宋"/>
          <w:sz w:val="24"/>
          <w:szCs w:val="24"/>
        </w:rPr>
        <w:t>标准，标准参考《国家政务信息资源交换体系标准》，并结合建德市各业务系统横纵向数据交换的需求定制。</w:t>
      </w:r>
      <w:r>
        <w:rPr>
          <w:rFonts w:ascii="仿宋" w:hAnsi="仿宋" w:eastAsia="仿宋"/>
          <w:sz w:val="24"/>
          <w:szCs w:val="24"/>
        </w:rPr>
        <w:t>定位在数据搬运工，严格做到不干涉业务</w:t>
      </w:r>
      <w:r>
        <w:rPr>
          <w:rFonts w:hint="eastAsia" w:ascii="仿宋" w:hAnsi="仿宋" w:eastAsia="仿宋"/>
          <w:sz w:val="24"/>
          <w:szCs w:val="24"/>
        </w:rPr>
        <w:t>，</w:t>
      </w:r>
      <w:r>
        <w:rPr>
          <w:rFonts w:ascii="仿宋" w:hAnsi="仿宋" w:eastAsia="仿宋"/>
          <w:sz w:val="24"/>
          <w:szCs w:val="24"/>
        </w:rPr>
        <w:t>与数据结构、数据类型无关。</w:t>
      </w:r>
      <w:r>
        <w:rPr>
          <w:rFonts w:hint="eastAsia" w:ascii="仿宋" w:hAnsi="仿宋" w:eastAsia="仿宋"/>
          <w:sz w:val="24"/>
          <w:szCs w:val="24"/>
        </w:rPr>
        <w:t>共享交换不限于静态数据的传输通道，实现跨区域、跨系统的数据交换及数据资源的统一调度管理。</w:t>
      </w:r>
    </w:p>
    <w:p>
      <w:pPr>
        <w:pStyle w:val="8"/>
        <w:tabs>
          <w:tab w:val="left" w:pos="0"/>
        </w:tabs>
        <w:ind w:left="0" w:firstLine="0"/>
        <w:rPr>
          <w:rFonts w:ascii="仿宋" w:hAnsi="仿宋" w:eastAsia="仿宋"/>
          <w:sz w:val="24"/>
          <w:szCs w:val="24"/>
        </w:rPr>
      </w:pPr>
      <w:bookmarkStart w:id="75" w:name="_Toc69134894"/>
      <w:bookmarkStart w:id="76" w:name="_Toc26450399"/>
      <w:r>
        <w:rPr>
          <w:rFonts w:hint="eastAsia" w:ascii="仿宋" w:hAnsi="仿宋" w:eastAsia="仿宋"/>
          <w:sz w:val="24"/>
          <w:szCs w:val="24"/>
        </w:rPr>
        <w:t>外部数据交换和共享设计</w:t>
      </w:r>
      <w:bookmarkEnd w:id="75"/>
      <w:bookmarkEnd w:id="76"/>
    </w:p>
    <w:p>
      <w:pPr>
        <w:spacing w:line="360" w:lineRule="auto"/>
        <w:ind w:firstLine="480" w:firstLineChars="200"/>
        <w:rPr>
          <w:rFonts w:ascii="仿宋" w:hAnsi="仿宋" w:eastAsia="仿宋"/>
          <w:sz w:val="24"/>
          <w:szCs w:val="24"/>
        </w:rPr>
      </w:pPr>
      <w:r>
        <w:rPr>
          <w:rFonts w:hint="eastAsia" w:ascii="仿宋" w:hAnsi="仿宋" w:eastAsia="仿宋"/>
          <w:sz w:val="24"/>
          <w:szCs w:val="24"/>
        </w:rPr>
        <w:t>外部提供的数据主要是杭州健康码数据，杭州健康码通过从杭州城市大脑中枢系统共享获取。</w:t>
      </w:r>
    </w:p>
    <w:p>
      <w:pPr>
        <w:pStyle w:val="7"/>
        <w:tabs>
          <w:tab w:val="left" w:pos="0"/>
        </w:tabs>
        <w:ind w:left="0" w:firstLine="0"/>
        <w:rPr>
          <w:rFonts w:ascii="仿宋" w:hAnsi="仿宋" w:eastAsia="仿宋"/>
          <w:sz w:val="24"/>
          <w:szCs w:val="18"/>
        </w:rPr>
      </w:pPr>
      <w:bookmarkStart w:id="77" w:name="_Toc83568278"/>
      <w:bookmarkStart w:id="78" w:name="_Toc69134895"/>
      <w:r>
        <w:rPr>
          <w:rFonts w:hint="eastAsia" w:ascii="仿宋" w:hAnsi="仿宋" w:eastAsia="仿宋"/>
          <w:sz w:val="24"/>
          <w:szCs w:val="18"/>
        </w:rPr>
        <w:t>项目的计算机及网络平台系统设计</w:t>
      </w:r>
      <w:bookmarkEnd w:id="77"/>
      <w:bookmarkEnd w:id="78"/>
    </w:p>
    <w:p>
      <w:pPr>
        <w:pStyle w:val="8"/>
        <w:tabs>
          <w:tab w:val="left" w:pos="0"/>
        </w:tabs>
        <w:ind w:left="0" w:firstLine="0"/>
        <w:rPr>
          <w:rFonts w:ascii="仿宋" w:hAnsi="仿宋" w:eastAsia="仿宋"/>
          <w:sz w:val="24"/>
          <w:szCs w:val="24"/>
        </w:rPr>
      </w:pPr>
      <w:bookmarkStart w:id="79" w:name="_Toc69134896"/>
      <w:r>
        <w:rPr>
          <w:rFonts w:hint="eastAsia" w:ascii="仿宋" w:hAnsi="仿宋" w:eastAsia="仿宋"/>
          <w:sz w:val="24"/>
          <w:szCs w:val="24"/>
        </w:rPr>
        <w:t>计算机主机系统设计</w:t>
      </w:r>
      <w:bookmarkEnd w:id="79"/>
    </w:p>
    <w:p>
      <w:pPr>
        <w:spacing w:line="360" w:lineRule="auto"/>
        <w:ind w:firstLine="480" w:firstLineChars="200"/>
        <w:rPr>
          <w:rFonts w:ascii="仿宋" w:hAnsi="仿宋" w:eastAsia="仿宋"/>
          <w:sz w:val="24"/>
          <w:szCs w:val="24"/>
        </w:rPr>
      </w:pPr>
      <w:r>
        <w:rPr>
          <w:rFonts w:hint="eastAsia" w:ascii="仿宋" w:hAnsi="仿宋" w:eastAsia="仿宋"/>
          <w:sz w:val="24"/>
          <w:szCs w:val="24"/>
        </w:rPr>
        <w:t>基于对”安心返”系统及“17防”平台需求的分析，本次项目所需的服务器、存储等需求如下表所示：</w:t>
      </w:r>
    </w:p>
    <w:p>
      <w:pPr>
        <w:spacing w:line="360" w:lineRule="auto"/>
        <w:ind w:firstLine="480" w:firstLineChars="200"/>
        <w:rPr>
          <w:rFonts w:ascii="仿宋" w:hAnsi="仿宋" w:eastAsia="仿宋"/>
          <w:sz w:val="24"/>
          <w:szCs w:val="24"/>
        </w:rPr>
      </w:pPr>
      <w:r>
        <w:rPr>
          <w:rFonts w:hint="eastAsia" w:ascii="仿宋" w:hAnsi="仿宋" w:eastAsia="仿宋"/>
          <w:sz w:val="24"/>
          <w:szCs w:val="24"/>
        </w:rPr>
        <w:t>1、应用服务器</w:t>
      </w:r>
    </w:p>
    <w:p>
      <w:pPr>
        <w:spacing w:line="360" w:lineRule="auto"/>
        <w:ind w:firstLine="480" w:firstLineChars="200"/>
        <w:rPr>
          <w:rFonts w:ascii="仿宋" w:hAnsi="仿宋" w:eastAsia="仿宋"/>
          <w:sz w:val="24"/>
          <w:szCs w:val="24"/>
        </w:rPr>
      </w:pPr>
      <w:r>
        <w:rPr>
          <w:rFonts w:hint="eastAsia" w:ascii="仿宋" w:hAnsi="仿宋" w:eastAsia="仿宋"/>
          <w:sz w:val="24"/>
          <w:szCs w:val="24"/>
        </w:rPr>
        <w:t>4核C</w:t>
      </w:r>
      <w:r>
        <w:rPr>
          <w:rFonts w:ascii="仿宋" w:hAnsi="仿宋" w:eastAsia="仿宋"/>
          <w:sz w:val="24"/>
          <w:szCs w:val="24"/>
        </w:rPr>
        <w:t>PC</w:t>
      </w:r>
      <w:r>
        <w:rPr>
          <w:rFonts w:hint="eastAsia" w:ascii="仿宋" w:hAnsi="仿宋" w:eastAsia="仿宋"/>
          <w:sz w:val="24"/>
          <w:szCs w:val="24"/>
        </w:rPr>
        <w:t>、1</w:t>
      </w:r>
      <w:r>
        <w:rPr>
          <w:rFonts w:ascii="仿宋" w:hAnsi="仿宋" w:eastAsia="仿宋"/>
          <w:sz w:val="24"/>
          <w:szCs w:val="24"/>
        </w:rPr>
        <w:t>6</w:t>
      </w:r>
      <w:r>
        <w:rPr>
          <w:rFonts w:hint="eastAsia" w:ascii="仿宋" w:hAnsi="仿宋" w:eastAsia="仿宋"/>
          <w:sz w:val="24"/>
          <w:szCs w:val="24"/>
        </w:rPr>
        <w:t>G内存、1</w:t>
      </w:r>
      <w:r>
        <w:rPr>
          <w:rFonts w:ascii="仿宋" w:hAnsi="仿宋" w:eastAsia="仿宋"/>
          <w:sz w:val="24"/>
          <w:szCs w:val="24"/>
        </w:rPr>
        <w:t>00G</w:t>
      </w:r>
      <w:r>
        <w:rPr>
          <w:rFonts w:hint="eastAsia" w:ascii="仿宋" w:hAnsi="仿宋" w:eastAsia="仿宋"/>
          <w:sz w:val="24"/>
          <w:szCs w:val="24"/>
        </w:rPr>
        <w:t>硬盘、c</w:t>
      </w:r>
      <w:r>
        <w:rPr>
          <w:rFonts w:ascii="仿宋" w:hAnsi="仿宋" w:eastAsia="仿宋"/>
          <w:sz w:val="24"/>
          <w:szCs w:val="24"/>
        </w:rPr>
        <w:t>entos8.0 64</w:t>
      </w:r>
      <w:r>
        <w:rPr>
          <w:rFonts w:hint="eastAsia" w:ascii="仿宋" w:hAnsi="仿宋" w:eastAsia="仿宋"/>
          <w:sz w:val="24"/>
          <w:szCs w:val="24"/>
        </w:rPr>
        <w:t>位系统。</w:t>
      </w:r>
    </w:p>
    <w:p>
      <w:pPr>
        <w:spacing w:line="360" w:lineRule="auto"/>
        <w:ind w:firstLine="480" w:firstLineChars="200"/>
        <w:rPr>
          <w:rFonts w:ascii="仿宋" w:hAnsi="仿宋" w:eastAsia="仿宋"/>
          <w:sz w:val="24"/>
          <w:szCs w:val="24"/>
        </w:rPr>
      </w:pPr>
      <w:r>
        <w:rPr>
          <w:rFonts w:hint="eastAsia" w:ascii="仿宋" w:hAnsi="仿宋" w:eastAsia="仿宋"/>
          <w:sz w:val="24"/>
          <w:szCs w:val="24"/>
        </w:rPr>
        <w:t>2、数据库服务器</w:t>
      </w:r>
    </w:p>
    <w:p>
      <w:pPr>
        <w:spacing w:line="360" w:lineRule="auto"/>
        <w:ind w:firstLine="480" w:firstLineChars="200"/>
        <w:rPr>
          <w:rFonts w:ascii="仿宋" w:hAnsi="仿宋" w:eastAsia="仿宋"/>
          <w:sz w:val="24"/>
          <w:szCs w:val="24"/>
        </w:rPr>
      </w:pPr>
      <w:r>
        <w:rPr>
          <w:rFonts w:hint="eastAsia" w:ascii="仿宋" w:hAnsi="仿宋" w:eastAsia="仿宋"/>
          <w:sz w:val="24"/>
          <w:szCs w:val="24"/>
        </w:rPr>
        <w:t>4核C</w:t>
      </w:r>
      <w:r>
        <w:rPr>
          <w:rFonts w:ascii="仿宋" w:hAnsi="仿宋" w:eastAsia="仿宋"/>
          <w:sz w:val="24"/>
          <w:szCs w:val="24"/>
        </w:rPr>
        <w:t>PC</w:t>
      </w:r>
      <w:r>
        <w:rPr>
          <w:rFonts w:hint="eastAsia" w:ascii="仿宋" w:hAnsi="仿宋" w:eastAsia="仿宋"/>
          <w:sz w:val="24"/>
          <w:szCs w:val="24"/>
        </w:rPr>
        <w:t>、1</w:t>
      </w:r>
      <w:r>
        <w:rPr>
          <w:rFonts w:ascii="仿宋" w:hAnsi="仿宋" w:eastAsia="仿宋"/>
          <w:sz w:val="24"/>
          <w:szCs w:val="24"/>
        </w:rPr>
        <w:t>6</w:t>
      </w:r>
      <w:r>
        <w:rPr>
          <w:rFonts w:hint="eastAsia" w:ascii="仿宋" w:hAnsi="仿宋" w:eastAsia="仿宋"/>
          <w:sz w:val="24"/>
          <w:szCs w:val="24"/>
        </w:rPr>
        <w:t>G内存、</w:t>
      </w:r>
      <w:r>
        <w:rPr>
          <w:rFonts w:ascii="仿宋" w:hAnsi="仿宋" w:eastAsia="仿宋"/>
          <w:sz w:val="24"/>
          <w:szCs w:val="24"/>
        </w:rPr>
        <w:t>200G</w:t>
      </w:r>
      <w:r>
        <w:rPr>
          <w:rFonts w:hint="eastAsia" w:ascii="仿宋" w:hAnsi="仿宋" w:eastAsia="仿宋"/>
          <w:sz w:val="24"/>
          <w:szCs w:val="24"/>
        </w:rPr>
        <w:t>硬盘、c</w:t>
      </w:r>
      <w:r>
        <w:rPr>
          <w:rFonts w:ascii="仿宋" w:hAnsi="仿宋" w:eastAsia="仿宋"/>
          <w:sz w:val="24"/>
          <w:szCs w:val="24"/>
        </w:rPr>
        <w:t>entos8.0 64</w:t>
      </w:r>
      <w:r>
        <w:rPr>
          <w:rFonts w:hint="eastAsia" w:ascii="仿宋" w:hAnsi="仿宋" w:eastAsia="仿宋"/>
          <w:sz w:val="24"/>
          <w:szCs w:val="24"/>
        </w:rPr>
        <w:t>位系统。</w:t>
      </w:r>
    </w:p>
    <w:p>
      <w:pPr>
        <w:spacing w:line="360" w:lineRule="auto"/>
        <w:ind w:firstLine="480" w:firstLineChars="200"/>
        <w:rPr>
          <w:rFonts w:ascii="仿宋" w:hAnsi="仿宋" w:eastAsia="仿宋"/>
          <w:sz w:val="24"/>
          <w:szCs w:val="24"/>
        </w:rPr>
      </w:pPr>
      <w:r>
        <w:rPr>
          <w:rFonts w:hint="eastAsia" w:ascii="仿宋" w:hAnsi="仿宋" w:eastAsia="仿宋"/>
          <w:sz w:val="24"/>
          <w:szCs w:val="24"/>
        </w:rPr>
        <w:t>3、短信网关</w:t>
      </w:r>
    </w:p>
    <w:p>
      <w:pPr>
        <w:spacing w:line="360" w:lineRule="auto"/>
        <w:ind w:firstLine="480" w:firstLineChars="200"/>
        <w:rPr>
          <w:rFonts w:ascii="仿宋" w:hAnsi="仿宋" w:eastAsia="仿宋"/>
          <w:sz w:val="24"/>
          <w:szCs w:val="24"/>
        </w:rPr>
      </w:pPr>
      <w:r>
        <w:rPr>
          <w:rFonts w:hint="eastAsia" w:ascii="仿宋" w:hAnsi="仿宋" w:eastAsia="仿宋"/>
          <w:sz w:val="24"/>
          <w:szCs w:val="24"/>
        </w:rPr>
        <w:t>支持全国手机短信发送（移动短信网关）。</w:t>
      </w:r>
    </w:p>
    <w:p>
      <w:pPr>
        <w:pStyle w:val="8"/>
        <w:tabs>
          <w:tab w:val="left" w:pos="0"/>
        </w:tabs>
        <w:ind w:left="0" w:firstLine="0"/>
        <w:rPr>
          <w:rFonts w:ascii="仿宋" w:hAnsi="仿宋" w:eastAsia="仿宋"/>
          <w:sz w:val="24"/>
          <w:szCs w:val="24"/>
        </w:rPr>
      </w:pPr>
      <w:bookmarkStart w:id="80" w:name="_Toc69134897"/>
      <w:r>
        <w:rPr>
          <w:rFonts w:hint="eastAsia" w:ascii="仿宋" w:hAnsi="仿宋" w:eastAsia="仿宋"/>
          <w:sz w:val="24"/>
          <w:szCs w:val="24"/>
        </w:rPr>
        <w:t>系统软件平台设计</w:t>
      </w:r>
      <w:bookmarkEnd w:id="80"/>
    </w:p>
    <w:p>
      <w:pPr>
        <w:pStyle w:val="9"/>
        <w:tabs>
          <w:tab w:val="left" w:pos="0"/>
        </w:tabs>
        <w:ind w:left="0" w:firstLine="0"/>
        <w:rPr>
          <w:rFonts w:ascii="仿宋" w:hAnsi="仿宋" w:eastAsia="仿宋"/>
          <w:sz w:val="24"/>
          <w:szCs w:val="24"/>
        </w:rPr>
      </w:pPr>
      <w:bookmarkStart w:id="81" w:name="_Toc69134898"/>
      <w:r>
        <w:rPr>
          <w:rFonts w:hint="eastAsia" w:ascii="仿宋" w:hAnsi="仿宋" w:eastAsia="仿宋"/>
          <w:sz w:val="24"/>
          <w:szCs w:val="24"/>
        </w:rPr>
        <w:t>选型原则</w:t>
      </w:r>
      <w:bookmarkEnd w:id="81"/>
    </w:p>
    <w:p>
      <w:pPr>
        <w:spacing w:line="360" w:lineRule="auto"/>
        <w:ind w:firstLine="480" w:firstLineChars="200"/>
        <w:rPr>
          <w:rFonts w:ascii="仿宋" w:hAnsi="仿宋" w:eastAsia="仿宋"/>
          <w:sz w:val="24"/>
          <w:szCs w:val="24"/>
        </w:rPr>
      </w:pPr>
      <w:r>
        <w:rPr>
          <w:rFonts w:hint="eastAsia" w:ascii="仿宋" w:hAnsi="仿宋" w:eastAsia="仿宋"/>
          <w:sz w:val="24"/>
          <w:szCs w:val="24"/>
        </w:rPr>
        <w:t>（1）最大限度满足用户的业务需求；</w:t>
      </w:r>
    </w:p>
    <w:p>
      <w:pPr>
        <w:spacing w:line="360" w:lineRule="auto"/>
        <w:ind w:firstLine="480" w:firstLineChars="200"/>
        <w:rPr>
          <w:rFonts w:ascii="仿宋" w:hAnsi="仿宋" w:eastAsia="仿宋"/>
          <w:sz w:val="24"/>
          <w:szCs w:val="24"/>
        </w:rPr>
      </w:pPr>
      <w:r>
        <w:rPr>
          <w:rFonts w:hint="eastAsia" w:ascii="仿宋" w:hAnsi="仿宋" w:eastAsia="仿宋"/>
          <w:sz w:val="24"/>
          <w:szCs w:val="24"/>
        </w:rPr>
        <w:t>（2）尽量选用同类产品中技术最成熟、性能先进、使用可靠的成熟产品型号，以保证项目的先进性、成熟性；</w:t>
      </w:r>
    </w:p>
    <w:p>
      <w:pPr>
        <w:spacing w:line="360" w:lineRule="auto"/>
        <w:ind w:firstLine="480" w:firstLineChars="200"/>
        <w:rPr>
          <w:rFonts w:ascii="仿宋" w:hAnsi="仿宋" w:eastAsia="仿宋"/>
          <w:sz w:val="24"/>
          <w:szCs w:val="24"/>
        </w:rPr>
      </w:pPr>
      <w:r>
        <w:rPr>
          <w:rFonts w:hint="eastAsia" w:ascii="仿宋" w:hAnsi="仿宋" w:eastAsia="仿宋"/>
          <w:sz w:val="24"/>
          <w:szCs w:val="24"/>
        </w:rPr>
        <w:t>（3）选用国内外知名的品牌，以及有雄厚实力和绝对优秀技术支持能力的厂家、代理商，以保证项目指标的实现和项目运行的可靠性；</w:t>
      </w:r>
    </w:p>
    <w:p>
      <w:pPr>
        <w:spacing w:line="360" w:lineRule="auto"/>
        <w:ind w:firstLine="480" w:firstLineChars="200"/>
        <w:rPr>
          <w:rFonts w:ascii="仿宋" w:hAnsi="仿宋" w:eastAsia="仿宋"/>
          <w:sz w:val="24"/>
          <w:szCs w:val="24"/>
        </w:rPr>
      </w:pPr>
      <w:r>
        <w:rPr>
          <w:rFonts w:hint="eastAsia" w:ascii="仿宋" w:hAnsi="仿宋" w:eastAsia="仿宋"/>
          <w:sz w:val="24"/>
          <w:szCs w:val="24"/>
        </w:rPr>
        <w:t>（4）充分考虑所选设备之间的互连性、适应性、兼容性、可扩展性、可维护性，尽量与现有设备品牌、型号等保持一致；</w:t>
      </w:r>
    </w:p>
    <w:p>
      <w:pPr>
        <w:spacing w:line="360" w:lineRule="auto"/>
        <w:ind w:firstLine="480" w:firstLineChars="200"/>
        <w:rPr>
          <w:rFonts w:ascii="仿宋" w:hAnsi="仿宋" w:eastAsia="仿宋"/>
          <w:sz w:val="24"/>
          <w:szCs w:val="24"/>
        </w:rPr>
      </w:pPr>
      <w:r>
        <w:rPr>
          <w:rFonts w:hint="eastAsia" w:ascii="仿宋" w:hAnsi="仿宋" w:eastAsia="仿宋"/>
          <w:sz w:val="24"/>
          <w:szCs w:val="24"/>
        </w:rPr>
        <w:t>（5）选用高度智能化、高技术含量的产品，建立工程开放式的架构，以标准化和模块化为设计要求，既便于工程的管理和维护使用，又可保持工程较长时间的先进性；</w:t>
      </w:r>
    </w:p>
    <w:p>
      <w:pPr>
        <w:spacing w:line="360" w:lineRule="auto"/>
        <w:ind w:firstLine="480" w:firstLineChars="200"/>
        <w:rPr>
          <w:rFonts w:ascii="仿宋" w:hAnsi="仿宋" w:eastAsia="仿宋"/>
          <w:sz w:val="24"/>
          <w:szCs w:val="24"/>
        </w:rPr>
      </w:pPr>
      <w:r>
        <w:rPr>
          <w:rFonts w:hint="eastAsia" w:ascii="仿宋" w:hAnsi="仿宋" w:eastAsia="仿宋"/>
          <w:sz w:val="24"/>
          <w:szCs w:val="24"/>
        </w:rPr>
        <w:t>（6）充分考虑设备技术支持力量和用户群体范围。同时，为便于运行管理，还应当注重：持续持久运行应用的能力、售后服务情况、升级更新能力、开放性、兼容性、国内技术支持力量、用户使用广泛程度以及实际应用效果。</w:t>
      </w:r>
    </w:p>
    <w:p>
      <w:pPr>
        <w:pStyle w:val="9"/>
        <w:tabs>
          <w:tab w:val="left" w:pos="0"/>
        </w:tabs>
        <w:ind w:left="0" w:firstLine="0"/>
        <w:rPr>
          <w:rFonts w:ascii="仿宋" w:hAnsi="仿宋" w:eastAsia="仿宋"/>
          <w:sz w:val="24"/>
          <w:szCs w:val="24"/>
        </w:rPr>
      </w:pPr>
      <w:bookmarkStart w:id="82" w:name="_Toc69134899"/>
      <w:r>
        <w:rPr>
          <w:rFonts w:hint="eastAsia" w:ascii="仿宋" w:hAnsi="仿宋" w:eastAsia="仿宋"/>
          <w:sz w:val="24"/>
          <w:szCs w:val="24"/>
        </w:rPr>
        <w:t>主要软件配置情况</w:t>
      </w:r>
      <w:bookmarkEnd w:id="82"/>
    </w:p>
    <w:p>
      <w:pPr>
        <w:spacing w:line="360" w:lineRule="auto"/>
        <w:ind w:firstLine="480" w:firstLineChars="200"/>
        <w:rPr>
          <w:rFonts w:ascii="仿宋" w:hAnsi="仿宋" w:eastAsia="仿宋"/>
          <w:sz w:val="24"/>
          <w:szCs w:val="24"/>
        </w:rPr>
      </w:pPr>
      <w:r>
        <w:rPr>
          <w:rFonts w:hint="eastAsia" w:ascii="仿宋" w:hAnsi="仿宋" w:eastAsia="仿宋"/>
          <w:sz w:val="24"/>
          <w:szCs w:val="24"/>
        </w:rPr>
        <w:t>服务器操作系统为6</w:t>
      </w:r>
      <w:r>
        <w:rPr>
          <w:rFonts w:ascii="仿宋" w:hAnsi="仿宋" w:eastAsia="仿宋"/>
          <w:sz w:val="24"/>
          <w:szCs w:val="24"/>
        </w:rPr>
        <w:t>4</w:t>
      </w:r>
      <w:r>
        <w:rPr>
          <w:rFonts w:hint="eastAsia" w:ascii="仿宋" w:hAnsi="仿宋" w:eastAsia="仿宋"/>
          <w:sz w:val="24"/>
          <w:szCs w:val="24"/>
        </w:rPr>
        <w:t>位</w:t>
      </w:r>
      <w:r>
        <w:rPr>
          <w:rFonts w:ascii="仿宋" w:hAnsi="仿宋" w:eastAsia="仿宋"/>
          <w:sz w:val="24"/>
          <w:szCs w:val="24"/>
        </w:rPr>
        <w:t>centos8.0</w:t>
      </w:r>
      <w:r>
        <w:rPr>
          <w:rFonts w:hint="eastAsia" w:ascii="仿宋" w:hAnsi="仿宋" w:eastAsia="仿宋"/>
          <w:sz w:val="24"/>
          <w:szCs w:val="24"/>
        </w:rPr>
        <w:t>系统，数据库软件为</w:t>
      </w:r>
      <w:r>
        <w:rPr>
          <w:rFonts w:ascii="仿宋" w:hAnsi="仿宋" w:eastAsia="仿宋"/>
          <w:sz w:val="24"/>
          <w:szCs w:val="24"/>
        </w:rPr>
        <w:t>MySQL</w:t>
      </w:r>
      <w:r>
        <w:rPr>
          <w:rFonts w:hint="eastAsia" w:ascii="仿宋" w:hAnsi="仿宋" w:eastAsia="仿宋"/>
          <w:sz w:val="24"/>
          <w:szCs w:val="24"/>
        </w:rPr>
        <w:t>，采用J</w:t>
      </w:r>
      <w:r>
        <w:rPr>
          <w:rFonts w:ascii="仿宋" w:hAnsi="仿宋" w:eastAsia="仿宋"/>
          <w:sz w:val="24"/>
          <w:szCs w:val="24"/>
        </w:rPr>
        <w:t>AVA</w:t>
      </w:r>
      <w:r>
        <w:rPr>
          <w:rFonts w:hint="eastAsia" w:ascii="仿宋" w:hAnsi="仿宋" w:eastAsia="仿宋"/>
          <w:sz w:val="24"/>
          <w:szCs w:val="24"/>
        </w:rPr>
        <w:t>开发语言基于</w:t>
      </w:r>
      <w:r>
        <w:rPr>
          <w:rFonts w:ascii="仿宋" w:hAnsi="仿宋" w:eastAsia="仿宋"/>
          <w:sz w:val="24"/>
          <w:szCs w:val="24"/>
        </w:rPr>
        <w:t>IntelliJ IDEA</w:t>
      </w:r>
      <w:r>
        <w:rPr>
          <w:rFonts w:hint="eastAsia" w:ascii="仿宋" w:hAnsi="仿宋" w:eastAsia="仿宋"/>
          <w:sz w:val="24"/>
          <w:szCs w:val="24"/>
        </w:rPr>
        <w:t>集成开发平台进行开发。</w:t>
      </w:r>
    </w:p>
    <w:p>
      <w:pPr>
        <w:pStyle w:val="9"/>
        <w:tabs>
          <w:tab w:val="left" w:pos="0"/>
        </w:tabs>
        <w:ind w:left="0" w:firstLine="0"/>
        <w:rPr>
          <w:rFonts w:ascii="仿宋" w:hAnsi="仿宋" w:eastAsia="仿宋"/>
          <w:sz w:val="24"/>
          <w:szCs w:val="24"/>
        </w:rPr>
      </w:pPr>
      <w:bookmarkStart w:id="83" w:name="_Toc69134900"/>
      <w:r>
        <w:rPr>
          <w:rFonts w:hint="eastAsia" w:ascii="仿宋" w:hAnsi="仿宋" w:eastAsia="仿宋"/>
          <w:sz w:val="24"/>
          <w:szCs w:val="24"/>
        </w:rPr>
        <w:t>网络系统设计</w:t>
      </w:r>
      <w:bookmarkEnd w:id="83"/>
    </w:p>
    <w:p>
      <w:pPr>
        <w:spacing w:line="360" w:lineRule="auto"/>
        <w:ind w:firstLine="480" w:firstLineChars="200"/>
        <w:rPr>
          <w:rFonts w:ascii="仿宋" w:hAnsi="仿宋" w:eastAsia="仿宋"/>
          <w:sz w:val="24"/>
          <w:szCs w:val="24"/>
        </w:rPr>
      </w:pPr>
      <w:r>
        <w:rPr>
          <w:rFonts w:hint="eastAsia" w:ascii="仿宋" w:hAnsi="仿宋" w:eastAsia="仿宋"/>
          <w:sz w:val="24"/>
          <w:szCs w:val="24"/>
        </w:rPr>
        <w:t>本次”安心返”系统及“17防”平台项目的网络架构设计如下图所示：</w:t>
      </w:r>
    </w:p>
    <w:p>
      <w:pPr>
        <w:jc w:val="center"/>
        <w:rPr>
          <w:rFonts w:ascii="仿宋" w:hAnsi="仿宋" w:eastAsia="仿宋"/>
          <w:sz w:val="20"/>
          <w:szCs w:val="18"/>
        </w:rPr>
      </w:pPr>
      <w:r>
        <w:rPr>
          <w:rFonts w:ascii="仿宋" w:hAnsi="仿宋" w:eastAsia="仿宋"/>
          <w:sz w:val="20"/>
          <w:szCs w:val="18"/>
        </w:rPr>
        <w:drawing>
          <wp:inline distT="0" distB="0" distL="0" distR="0">
            <wp:extent cx="5274310" cy="5395595"/>
            <wp:effectExtent l="0" t="0" r="13970" b="146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4310" cy="5395595"/>
                    </a:xfrm>
                    <a:prstGeom prst="rect">
                      <a:avLst/>
                    </a:prstGeom>
                    <a:noFill/>
                    <a:ln>
                      <a:noFill/>
                    </a:ln>
                  </pic:spPr>
                </pic:pic>
              </a:graphicData>
            </a:graphic>
          </wp:inline>
        </w:drawing>
      </w:r>
    </w:p>
    <w:p>
      <w:pPr>
        <w:spacing w:line="360" w:lineRule="auto"/>
        <w:ind w:firstLine="480" w:firstLineChars="200"/>
        <w:rPr>
          <w:rFonts w:ascii="仿宋" w:hAnsi="仿宋" w:eastAsia="仿宋"/>
          <w:sz w:val="24"/>
          <w:szCs w:val="24"/>
        </w:rPr>
      </w:pPr>
      <w:r>
        <w:rPr>
          <w:rFonts w:hint="eastAsia" w:ascii="仿宋" w:hAnsi="仿宋" w:eastAsia="仿宋"/>
          <w:sz w:val="24"/>
          <w:szCs w:val="24"/>
        </w:rPr>
        <w:t>“安心返”系统及“17防”平台均部署在杭州市电子政务云平台，系统的各类用户通过互联网或政务外网访问系统相关内容，其中社会公众通过互联网访问公众端，市级管理员、乡镇（街道）管理员等各级管理员通过互联网或政务外网访问管理端，市防控工作领导小组和相关工作人员通过政务外网访问大屏端。</w:t>
      </w:r>
    </w:p>
    <w:p>
      <w:pPr>
        <w:pStyle w:val="7"/>
        <w:tabs>
          <w:tab w:val="left" w:pos="0"/>
        </w:tabs>
        <w:ind w:left="0" w:firstLine="0"/>
        <w:rPr>
          <w:rFonts w:ascii="仿宋" w:hAnsi="仿宋" w:eastAsia="仿宋"/>
          <w:sz w:val="24"/>
          <w:szCs w:val="18"/>
        </w:rPr>
      </w:pPr>
      <w:bookmarkStart w:id="84" w:name="_Toc83568279"/>
      <w:bookmarkStart w:id="85" w:name="_Toc69134901"/>
      <w:r>
        <w:rPr>
          <w:rFonts w:hint="eastAsia" w:ascii="仿宋" w:hAnsi="仿宋" w:eastAsia="仿宋"/>
          <w:sz w:val="24"/>
          <w:szCs w:val="18"/>
        </w:rPr>
        <w:t>项目的安全保密设计</w:t>
      </w:r>
      <w:bookmarkEnd w:id="84"/>
      <w:bookmarkEnd w:id="85"/>
    </w:p>
    <w:p>
      <w:pPr>
        <w:pStyle w:val="8"/>
        <w:tabs>
          <w:tab w:val="left" w:pos="0"/>
        </w:tabs>
        <w:ind w:left="0" w:firstLine="0"/>
        <w:rPr>
          <w:rFonts w:ascii="仿宋" w:hAnsi="仿宋" w:eastAsia="仿宋"/>
          <w:sz w:val="24"/>
          <w:szCs w:val="24"/>
        </w:rPr>
      </w:pPr>
      <w:bookmarkStart w:id="86" w:name="_Toc69134902"/>
      <w:r>
        <w:rPr>
          <w:rFonts w:hint="eastAsia" w:ascii="仿宋" w:hAnsi="仿宋" w:eastAsia="仿宋"/>
          <w:sz w:val="24"/>
          <w:szCs w:val="24"/>
        </w:rPr>
        <w:t>计算机网络安全设计</w:t>
      </w:r>
      <w:bookmarkEnd w:id="86"/>
    </w:p>
    <w:p>
      <w:pPr>
        <w:pStyle w:val="9"/>
        <w:tabs>
          <w:tab w:val="left" w:pos="0"/>
        </w:tabs>
        <w:ind w:left="0" w:firstLine="0"/>
        <w:rPr>
          <w:rFonts w:ascii="仿宋" w:hAnsi="仿宋" w:eastAsia="仿宋"/>
          <w:sz w:val="24"/>
          <w:szCs w:val="24"/>
        </w:rPr>
      </w:pPr>
      <w:bookmarkStart w:id="87" w:name="_Toc69134903"/>
      <w:r>
        <w:rPr>
          <w:rFonts w:hint="eastAsia" w:ascii="仿宋" w:hAnsi="仿宋" w:eastAsia="仿宋"/>
          <w:sz w:val="24"/>
          <w:szCs w:val="24"/>
        </w:rPr>
        <w:t>系统网络边界安全建设</w:t>
      </w:r>
      <w:bookmarkEnd w:id="87"/>
    </w:p>
    <w:p>
      <w:pPr>
        <w:spacing w:line="360" w:lineRule="auto"/>
        <w:ind w:firstLine="480" w:firstLineChars="200"/>
        <w:rPr>
          <w:rFonts w:ascii="仿宋" w:hAnsi="仿宋" w:eastAsia="仿宋"/>
          <w:sz w:val="24"/>
          <w:szCs w:val="24"/>
        </w:rPr>
      </w:pPr>
      <w:r>
        <w:rPr>
          <w:rFonts w:hint="eastAsia" w:ascii="仿宋" w:hAnsi="仿宋" w:eastAsia="仿宋"/>
          <w:sz w:val="24"/>
          <w:szCs w:val="24"/>
        </w:rPr>
        <w:t>本方案中系统区域边界应当按照2级进行保护，政务云上系统的安全边界防护主要采用政务云提供的“云盾”防护功能，实现对系统南北向流量的访问控制和入侵行为的阻断。在内部安全域之间的隔离主要采用政务云提供的安全组功能实现不同安全域之间的访问控制与隔离。</w:t>
      </w:r>
    </w:p>
    <w:p>
      <w:pPr>
        <w:spacing w:line="360" w:lineRule="auto"/>
        <w:ind w:firstLine="480" w:firstLineChars="200"/>
        <w:rPr>
          <w:rFonts w:ascii="仿宋" w:hAnsi="仿宋" w:eastAsia="仿宋"/>
          <w:sz w:val="24"/>
          <w:szCs w:val="24"/>
        </w:rPr>
      </w:pPr>
      <w:r>
        <w:rPr>
          <w:rFonts w:hint="eastAsia" w:ascii="仿宋" w:hAnsi="仿宋" w:eastAsia="仿宋"/>
          <w:sz w:val="24"/>
          <w:szCs w:val="24"/>
        </w:rPr>
        <w:t>注：由于系统主要在政务云上运行，本次项目所采用的各类安全措施，除本地接入环境的安全建设以外，其余均为云上安全产品，由政务云采用软件和镜像的方式提供。</w:t>
      </w:r>
    </w:p>
    <w:p>
      <w:pPr>
        <w:pStyle w:val="9"/>
        <w:tabs>
          <w:tab w:val="left" w:pos="0"/>
        </w:tabs>
        <w:rPr>
          <w:rFonts w:ascii="仿宋" w:hAnsi="仿宋" w:eastAsia="仿宋"/>
          <w:sz w:val="24"/>
          <w:szCs w:val="18"/>
        </w:rPr>
      </w:pPr>
      <w:bookmarkStart w:id="88" w:name="_Toc69134904"/>
      <w:r>
        <w:rPr>
          <w:rFonts w:hint="eastAsia" w:ascii="仿宋" w:hAnsi="仿宋" w:eastAsia="仿宋"/>
          <w:sz w:val="24"/>
          <w:szCs w:val="18"/>
        </w:rPr>
        <w:t>系统通信网络安全建设</w:t>
      </w:r>
      <w:bookmarkEnd w:id="88"/>
    </w:p>
    <w:p>
      <w:pPr>
        <w:spacing w:line="360" w:lineRule="auto"/>
        <w:ind w:firstLine="480" w:firstLineChars="200"/>
        <w:rPr>
          <w:rFonts w:ascii="仿宋" w:hAnsi="仿宋" w:eastAsia="仿宋"/>
          <w:sz w:val="24"/>
          <w:szCs w:val="24"/>
        </w:rPr>
      </w:pPr>
      <w:r>
        <w:rPr>
          <w:rFonts w:hint="eastAsia" w:ascii="仿宋" w:hAnsi="仿宋" w:eastAsia="仿宋"/>
          <w:sz w:val="24"/>
          <w:szCs w:val="24"/>
        </w:rPr>
        <w:t>（1）系统网络安全综合审计</w:t>
      </w:r>
    </w:p>
    <w:p>
      <w:pPr>
        <w:spacing w:line="360" w:lineRule="auto"/>
        <w:ind w:firstLine="480" w:firstLineChars="200"/>
        <w:rPr>
          <w:rFonts w:ascii="仿宋" w:hAnsi="仿宋" w:eastAsia="仿宋"/>
          <w:sz w:val="24"/>
          <w:szCs w:val="24"/>
        </w:rPr>
      </w:pPr>
      <w:r>
        <w:rPr>
          <w:rFonts w:hint="eastAsia" w:ascii="仿宋" w:hAnsi="仿宋" w:eastAsia="仿宋"/>
          <w:sz w:val="24"/>
          <w:szCs w:val="24"/>
        </w:rPr>
        <w:t>网络综合日志审计主要负责收集”安心返”系统及“17防”平台政务云和本地应用接入环境内网络设备（路由器、交换机）、安全设备（防火墙、IDS系统、防病毒网关等）、操作系统（包括Windows和Unix）、应用服务等的日志。这些日志数据详实地记录了系统和网络的运行事件，是安全审计的重要数据。这些日志信息对于记录、检测、分析、识别各种安全事件和威胁有非常重要的作用，也是对当前网络安全情况进行评估的主要数据源。日志审计系统就是一个能够集中收集、管理、分析各种类型日志的安全审计管理中心，它可使网络管理员不用像以前那样从庞杂的日志信息中手工搜寻网络入侵的行为，可为管理员提供一个方便、高效、直观的审计平台，这样大大提高了安全管理员的工作效率和质量，也更加有效地保障了”安心返”系统及“17防”平台网络的安全运行。</w:t>
      </w:r>
    </w:p>
    <w:p>
      <w:pPr>
        <w:spacing w:line="360" w:lineRule="auto"/>
        <w:ind w:firstLine="480" w:firstLineChars="200"/>
        <w:rPr>
          <w:rFonts w:ascii="仿宋" w:hAnsi="仿宋" w:eastAsia="仿宋"/>
          <w:sz w:val="24"/>
          <w:szCs w:val="24"/>
        </w:rPr>
      </w:pPr>
      <w:r>
        <w:rPr>
          <w:rFonts w:hint="eastAsia" w:ascii="仿宋" w:hAnsi="仿宋" w:eastAsia="仿宋"/>
          <w:sz w:val="24"/>
          <w:szCs w:val="24"/>
        </w:rPr>
        <w:t>注：由于”安心返”系统及“17防”平台主要在政务云上运行，本次项目所采用的各类安全措施，除本地接入环境的安全建设以外，其余均为云上安全产品，由政务云采用软件和镜像的方式提供。</w:t>
      </w:r>
    </w:p>
    <w:p>
      <w:pPr>
        <w:spacing w:line="360" w:lineRule="auto"/>
        <w:ind w:firstLine="480" w:firstLineChars="200"/>
        <w:rPr>
          <w:rFonts w:ascii="仿宋" w:hAnsi="仿宋" w:eastAsia="仿宋"/>
          <w:sz w:val="24"/>
          <w:szCs w:val="24"/>
        </w:rPr>
      </w:pPr>
      <w:r>
        <w:rPr>
          <w:rFonts w:hint="eastAsia" w:ascii="仿宋" w:hAnsi="仿宋" w:eastAsia="仿宋"/>
          <w:sz w:val="24"/>
          <w:szCs w:val="24"/>
        </w:rPr>
        <w:t>（2）平台通信传输加密网络建设</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在网络传输层面，为了满足”安心返”系统及“17防”平台的外部安全运维的管理和部分数据的交互，需要建立传输加密系统，传输加密系统目前主要采用VPN的方式进行传输，此次方案的建设将在本地的VPN线路建设上采用下一代防火墙当中的VPN模块实现传输的加密控制，确保数据传输过程当中的安全保密。在云端的VPN建设方面，主要采用政务云上提供的VPN服务实现。</w:t>
      </w:r>
    </w:p>
    <w:p>
      <w:pPr>
        <w:spacing w:line="360" w:lineRule="auto"/>
        <w:ind w:firstLine="480" w:firstLineChars="200"/>
        <w:rPr>
          <w:rFonts w:ascii="仿宋" w:hAnsi="仿宋" w:eastAsia="仿宋"/>
          <w:sz w:val="24"/>
          <w:szCs w:val="24"/>
        </w:rPr>
      </w:pPr>
      <w:r>
        <w:rPr>
          <w:rFonts w:hint="eastAsia" w:ascii="仿宋" w:hAnsi="仿宋" w:eastAsia="仿宋"/>
          <w:sz w:val="24"/>
          <w:szCs w:val="24"/>
        </w:rPr>
        <w:t>注：由于”安心返”系统及“17防”平台项目的核心平台主要在政务云上运行，本次项目所采用的各类安全措施，除本地接入环境的安全建设以外，其余均为云上安全产品，由政务云采用软件和镜像的方式提供。</w:t>
      </w:r>
    </w:p>
    <w:p>
      <w:pPr>
        <w:pStyle w:val="8"/>
        <w:tabs>
          <w:tab w:val="left" w:pos="0"/>
        </w:tabs>
        <w:ind w:left="0" w:firstLine="0"/>
        <w:rPr>
          <w:rFonts w:ascii="仿宋" w:hAnsi="仿宋" w:eastAsia="仿宋"/>
          <w:sz w:val="24"/>
          <w:szCs w:val="24"/>
        </w:rPr>
      </w:pPr>
      <w:bookmarkStart w:id="89" w:name="_Toc69134905"/>
      <w:r>
        <w:rPr>
          <w:rFonts w:hint="eastAsia" w:ascii="仿宋" w:hAnsi="仿宋" w:eastAsia="仿宋"/>
          <w:sz w:val="24"/>
          <w:szCs w:val="24"/>
        </w:rPr>
        <w:t>应用系统及数据安全设计</w:t>
      </w:r>
      <w:bookmarkEnd w:id="89"/>
    </w:p>
    <w:p>
      <w:pPr>
        <w:spacing w:line="360" w:lineRule="auto"/>
        <w:ind w:firstLine="480" w:firstLineChars="200"/>
        <w:rPr>
          <w:rFonts w:ascii="仿宋" w:hAnsi="仿宋" w:eastAsia="仿宋"/>
          <w:sz w:val="24"/>
          <w:szCs w:val="24"/>
        </w:rPr>
      </w:pPr>
      <w:r>
        <w:rPr>
          <w:rFonts w:hint="eastAsia" w:ascii="仿宋" w:hAnsi="仿宋" w:eastAsia="仿宋"/>
          <w:sz w:val="24"/>
          <w:szCs w:val="24"/>
        </w:rPr>
        <w:t>本次项目的建设需考虑应用系统的安全，根据《网络安全法和网络安全等级保护2.0》要求，应用系统安全可以由两个方面来概括，即管理手段和技术手段。从技术方面，针对项目实际需求，从以下几个方面从不同的角度来保证应用系统的安全，彼此独立又相互协同，可以使信息系统具有全方位的，强大的安全服务。</w:t>
      </w:r>
    </w:p>
    <w:p>
      <w:pPr>
        <w:pStyle w:val="9"/>
        <w:tabs>
          <w:tab w:val="left" w:pos="0"/>
        </w:tabs>
        <w:ind w:left="0" w:firstLine="0"/>
        <w:rPr>
          <w:rFonts w:ascii="仿宋" w:hAnsi="仿宋" w:eastAsia="仿宋"/>
          <w:sz w:val="24"/>
          <w:szCs w:val="24"/>
        </w:rPr>
      </w:pPr>
      <w:bookmarkStart w:id="90" w:name="_Toc69134906"/>
      <w:r>
        <w:rPr>
          <w:rFonts w:hint="eastAsia" w:ascii="仿宋" w:hAnsi="仿宋" w:eastAsia="仿宋"/>
          <w:sz w:val="24"/>
          <w:szCs w:val="24"/>
        </w:rPr>
        <w:t>系统登录安全</w:t>
      </w:r>
      <w:bookmarkEnd w:id="90"/>
    </w:p>
    <w:p>
      <w:pPr>
        <w:spacing w:line="360" w:lineRule="auto"/>
        <w:ind w:firstLine="480" w:firstLineChars="200"/>
        <w:rPr>
          <w:rFonts w:ascii="仿宋" w:hAnsi="仿宋" w:eastAsia="仿宋"/>
          <w:sz w:val="24"/>
          <w:szCs w:val="24"/>
        </w:rPr>
      </w:pPr>
      <w:r>
        <w:rPr>
          <w:rFonts w:hint="eastAsia" w:ascii="仿宋" w:hAnsi="仿宋" w:eastAsia="仿宋"/>
          <w:sz w:val="24"/>
          <w:szCs w:val="24"/>
        </w:rPr>
        <w:t>（1）系统登录安全</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为了保证信息的合法访问，建立统一的短信认证网关和授权管理系统。对每个访问系统的用户采用强身份验证。系统采用的统一的短信认证技术，所以系统用户登录时用户名和短信同时验证通过后才可成功登录系统。</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对指定用户，指定时间段内的整个登录、操作、退出的完整访问过程进行还原、查看和分析。对系统管理员的详细操作日志进行审计，确保系统管理员没有违法操作。</w:t>
      </w:r>
    </w:p>
    <w:p>
      <w:pPr>
        <w:spacing w:line="360" w:lineRule="auto"/>
        <w:ind w:firstLine="480" w:firstLineChars="200"/>
        <w:rPr>
          <w:rFonts w:ascii="仿宋" w:hAnsi="仿宋" w:eastAsia="仿宋"/>
          <w:sz w:val="24"/>
          <w:szCs w:val="24"/>
        </w:rPr>
      </w:pPr>
      <w:r>
        <w:rPr>
          <w:rFonts w:hint="eastAsia" w:ascii="仿宋" w:hAnsi="仿宋" w:eastAsia="仿宋"/>
          <w:sz w:val="24"/>
          <w:szCs w:val="24"/>
        </w:rPr>
        <w:t>（2）网站登录安全</w:t>
      </w:r>
    </w:p>
    <w:p>
      <w:pPr>
        <w:spacing w:line="360" w:lineRule="auto"/>
        <w:ind w:firstLine="480" w:firstLineChars="200"/>
        <w:rPr>
          <w:rFonts w:ascii="仿宋" w:hAnsi="仿宋" w:eastAsia="仿宋"/>
          <w:sz w:val="24"/>
          <w:szCs w:val="24"/>
        </w:rPr>
      </w:pPr>
      <w:r>
        <w:rPr>
          <w:rFonts w:hint="eastAsia" w:ascii="仿宋" w:hAnsi="仿宋" w:eastAsia="仿宋"/>
          <w:sz w:val="24"/>
          <w:szCs w:val="24"/>
        </w:rPr>
        <w:t>通过系统所在服务器的安全控制机制，将系统所在目录的访问权分配给授权用户。</w:t>
      </w:r>
    </w:p>
    <w:p>
      <w:pPr>
        <w:spacing w:line="360" w:lineRule="auto"/>
        <w:ind w:firstLine="480" w:firstLineChars="200"/>
        <w:rPr>
          <w:rFonts w:ascii="仿宋" w:hAnsi="仿宋" w:eastAsia="仿宋"/>
          <w:sz w:val="24"/>
          <w:szCs w:val="24"/>
        </w:rPr>
      </w:pPr>
      <w:r>
        <w:rPr>
          <w:rFonts w:hint="eastAsia" w:ascii="仿宋" w:hAnsi="仿宋" w:eastAsia="仿宋"/>
          <w:sz w:val="24"/>
          <w:szCs w:val="24"/>
        </w:rPr>
        <w:t>（3）网站模块安全</w:t>
      </w:r>
    </w:p>
    <w:p>
      <w:pPr>
        <w:spacing w:line="360" w:lineRule="auto"/>
        <w:ind w:firstLine="480" w:firstLineChars="200"/>
        <w:rPr>
          <w:rFonts w:ascii="仿宋" w:hAnsi="仿宋" w:eastAsia="仿宋"/>
          <w:sz w:val="24"/>
          <w:szCs w:val="24"/>
        </w:rPr>
      </w:pPr>
      <w:r>
        <w:rPr>
          <w:rFonts w:hint="eastAsia" w:ascii="仿宋" w:hAnsi="仿宋" w:eastAsia="仿宋"/>
          <w:sz w:val="24"/>
          <w:szCs w:val="24"/>
        </w:rPr>
        <w:t>设定每一模块的访问级别控制。访问级别有：读取、增加、编辑、删除、管理。将用户分组，并为每个组设定访问权限。如果一个用户属于两个组，则以较高访问权限为准。</w:t>
      </w:r>
    </w:p>
    <w:p>
      <w:pPr>
        <w:spacing w:line="360" w:lineRule="auto"/>
        <w:ind w:firstLine="480" w:firstLineChars="200"/>
        <w:rPr>
          <w:rFonts w:ascii="仿宋" w:hAnsi="仿宋" w:eastAsia="仿宋"/>
          <w:sz w:val="24"/>
          <w:szCs w:val="24"/>
        </w:rPr>
      </w:pPr>
      <w:r>
        <w:rPr>
          <w:rFonts w:hint="eastAsia" w:ascii="仿宋" w:hAnsi="仿宋" w:eastAsia="仿宋"/>
          <w:sz w:val="24"/>
          <w:szCs w:val="24"/>
        </w:rPr>
        <w:t>（4）会话期安全</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如果用户在管理员设定时间内(15~60分钟)内没有任何操作，用户需要重新登录才可使用系统。多次密码输入错误，自动锁定账户。如果用户在浏览器中输入其无权访问的页面地址，则自动注销该用户。</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在用户登录和信息传递过程中，对密码进行不可逆加密处理，有效保证系统及用户资料的安全。</w:t>
      </w:r>
    </w:p>
    <w:p>
      <w:pPr>
        <w:spacing w:line="360" w:lineRule="auto"/>
        <w:ind w:firstLine="480" w:firstLineChars="200"/>
        <w:rPr>
          <w:rFonts w:ascii="仿宋" w:hAnsi="仿宋" w:eastAsia="仿宋"/>
          <w:sz w:val="24"/>
          <w:szCs w:val="24"/>
        </w:rPr>
      </w:pPr>
      <w:r>
        <w:rPr>
          <w:rFonts w:hint="eastAsia" w:ascii="仿宋" w:hAnsi="仿宋" w:eastAsia="仿宋"/>
          <w:sz w:val="24"/>
          <w:szCs w:val="24"/>
        </w:rPr>
        <w:t>系统可以全面防止 SQL 注入攻击、密码猜解、木马上传等各种恶意攻击手段；采用 IP 限定方式来确保安全的用户访问。</w:t>
      </w:r>
    </w:p>
    <w:p>
      <w:pPr>
        <w:pStyle w:val="9"/>
        <w:tabs>
          <w:tab w:val="left" w:pos="0"/>
        </w:tabs>
        <w:ind w:left="0" w:firstLine="0"/>
        <w:rPr>
          <w:rFonts w:ascii="仿宋" w:hAnsi="仿宋" w:eastAsia="仿宋"/>
          <w:sz w:val="24"/>
          <w:szCs w:val="24"/>
        </w:rPr>
      </w:pPr>
      <w:bookmarkStart w:id="91" w:name="_Toc69134907"/>
      <w:r>
        <w:rPr>
          <w:rFonts w:hint="eastAsia" w:ascii="仿宋" w:hAnsi="仿宋" w:eastAsia="仿宋"/>
          <w:sz w:val="24"/>
          <w:szCs w:val="24"/>
        </w:rPr>
        <w:t>应用访问安全</w:t>
      </w:r>
      <w:bookmarkEnd w:id="91"/>
    </w:p>
    <w:p>
      <w:pPr>
        <w:spacing w:line="360" w:lineRule="auto"/>
        <w:ind w:firstLine="480" w:firstLineChars="200"/>
        <w:rPr>
          <w:rFonts w:ascii="仿宋" w:hAnsi="仿宋" w:eastAsia="仿宋"/>
          <w:sz w:val="24"/>
          <w:szCs w:val="24"/>
        </w:rPr>
      </w:pPr>
      <w:r>
        <w:rPr>
          <w:rFonts w:hint="eastAsia" w:ascii="仿宋" w:hAnsi="仿宋" w:eastAsia="仿宋"/>
          <w:sz w:val="24"/>
          <w:szCs w:val="24"/>
        </w:rPr>
        <w:t>应用安全设计是保障信息及其服务的保密性、完整性、可用性、真实性、可核查性和可靠性，系统建设基于政务云提供的配套的身份认证、角色管理和权限控制建立应用安全体系。</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对指定用户，指定时间段内的整个登录、操作、退出的完整访问过程进行还原、查看和分析。对系统管理员的详细操作日志进行审计，确保系统管理员没有违法操作。</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对文件在线传输采用了加密算法，保证文件在传输过程中不被篡改。同时采用电子签章，保证在线制作文书的合法性。</w:t>
      </w:r>
    </w:p>
    <w:p>
      <w:pPr>
        <w:pStyle w:val="9"/>
        <w:tabs>
          <w:tab w:val="left" w:pos="0"/>
        </w:tabs>
        <w:ind w:left="0" w:firstLine="0"/>
        <w:rPr>
          <w:rFonts w:ascii="仿宋" w:hAnsi="仿宋" w:eastAsia="仿宋"/>
          <w:sz w:val="24"/>
          <w:szCs w:val="24"/>
        </w:rPr>
      </w:pPr>
      <w:bookmarkStart w:id="92" w:name="_Toc69134908"/>
      <w:r>
        <w:rPr>
          <w:rFonts w:hint="eastAsia" w:ascii="仿宋" w:hAnsi="仿宋" w:eastAsia="仿宋"/>
          <w:sz w:val="24"/>
          <w:szCs w:val="24"/>
        </w:rPr>
        <w:t>用户信息保护能力</w:t>
      </w:r>
      <w:bookmarkEnd w:id="92"/>
    </w:p>
    <w:p>
      <w:pPr>
        <w:spacing w:line="360" w:lineRule="auto"/>
        <w:ind w:firstLine="480" w:firstLineChars="200"/>
        <w:rPr>
          <w:rFonts w:ascii="仿宋" w:hAnsi="仿宋" w:eastAsia="仿宋"/>
          <w:sz w:val="24"/>
          <w:szCs w:val="24"/>
        </w:rPr>
      </w:pPr>
      <w:r>
        <w:rPr>
          <w:rFonts w:hint="eastAsia" w:ascii="仿宋" w:hAnsi="仿宋" w:eastAsia="仿宋"/>
          <w:sz w:val="24"/>
          <w:szCs w:val="24"/>
        </w:rPr>
        <w:t>针对保护用户信息的要求提出了下面的保护措施：</w:t>
      </w:r>
    </w:p>
    <w:p>
      <w:pPr>
        <w:spacing w:line="360" w:lineRule="auto"/>
        <w:ind w:firstLine="480" w:firstLineChars="200"/>
        <w:rPr>
          <w:rFonts w:ascii="仿宋" w:hAnsi="仿宋" w:eastAsia="仿宋"/>
          <w:sz w:val="24"/>
          <w:szCs w:val="24"/>
        </w:rPr>
      </w:pPr>
      <w:r>
        <w:rPr>
          <w:rFonts w:hint="eastAsia" w:ascii="仿宋" w:hAnsi="仿宋" w:eastAsia="仿宋"/>
          <w:sz w:val="24"/>
          <w:szCs w:val="24"/>
        </w:rPr>
        <w:t>（1）来访身份鉴别</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对网站中的重要栏目加设身份标识鉴定功能，只有具有一定权限的用户才可以访问重要栏目，否则不能进入。</w:t>
      </w:r>
    </w:p>
    <w:p>
      <w:pPr>
        <w:spacing w:line="360" w:lineRule="auto"/>
        <w:ind w:firstLine="480" w:firstLineChars="200"/>
        <w:rPr>
          <w:rFonts w:ascii="仿宋" w:hAnsi="仿宋" w:eastAsia="仿宋"/>
          <w:sz w:val="24"/>
          <w:szCs w:val="24"/>
        </w:rPr>
      </w:pPr>
      <w:r>
        <w:rPr>
          <w:rFonts w:hint="eastAsia" w:ascii="仿宋" w:hAnsi="仿宋" w:eastAsia="仿宋"/>
          <w:sz w:val="24"/>
          <w:szCs w:val="24"/>
        </w:rPr>
        <w:t>（2）访问密码复杂度设置</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对注册用户的用户名和密码的复杂度进行安全设置，用一些验证和限制方法来保证注册用户的帐户安全。</w:t>
      </w:r>
    </w:p>
    <w:p>
      <w:pPr>
        <w:spacing w:line="360" w:lineRule="auto"/>
        <w:ind w:firstLine="480" w:firstLineChars="200"/>
        <w:rPr>
          <w:rFonts w:ascii="仿宋" w:hAnsi="仿宋" w:eastAsia="仿宋"/>
          <w:sz w:val="24"/>
          <w:szCs w:val="24"/>
        </w:rPr>
      </w:pPr>
      <w:r>
        <w:rPr>
          <w:rFonts w:hint="eastAsia" w:ascii="仿宋" w:hAnsi="仿宋" w:eastAsia="仿宋"/>
          <w:sz w:val="24"/>
          <w:szCs w:val="24"/>
        </w:rPr>
        <w:t>（3）登录失败处理</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对注册用户登录门户主站发生的登录错误，及时做出处理，保障用户帐户信息安全。</w:t>
      </w:r>
    </w:p>
    <w:p>
      <w:pPr>
        <w:spacing w:line="360" w:lineRule="auto"/>
        <w:ind w:firstLine="480" w:firstLineChars="200"/>
        <w:rPr>
          <w:rFonts w:ascii="仿宋" w:hAnsi="仿宋" w:eastAsia="仿宋"/>
          <w:sz w:val="24"/>
          <w:szCs w:val="24"/>
        </w:rPr>
      </w:pPr>
      <w:r>
        <w:rPr>
          <w:rFonts w:hint="eastAsia" w:ascii="仿宋" w:hAnsi="仿宋" w:eastAsia="仿宋"/>
          <w:sz w:val="24"/>
          <w:szCs w:val="24"/>
        </w:rPr>
        <w:t>（4）验证码安全机制</w:t>
      </w:r>
    </w:p>
    <w:p>
      <w:pPr>
        <w:spacing w:line="360" w:lineRule="auto"/>
        <w:ind w:firstLine="480" w:firstLineChars="200"/>
        <w:rPr>
          <w:rFonts w:ascii="仿宋" w:hAnsi="仿宋" w:eastAsia="仿宋"/>
          <w:sz w:val="24"/>
          <w:szCs w:val="24"/>
        </w:rPr>
      </w:pPr>
      <w:r>
        <w:rPr>
          <w:rFonts w:hint="eastAsia" w:ascii="仿宋" w:hAnsi="仿宋" w:eastAsia="仿宋"/>
          <w:sz w:val="24"/>
          <w:szCs w:val="24"/>
        </w:rPr>
        <w:t>用户在登录门户网站、填写个人资料，修改相关信息，查看申请信息，发布留言等操作时，需要输入随机生成的验证码来做双重验证。</w:t>
      </w:r>
    </w:p>
    <w:p>
      <w:pPr>
        <w:spacing w:line="360" w:lineRule="auto"/>
        <w:ind w:firstLine="480" w:firstLineChars="200"/>
        <w:rPr>
          <w:rFonts w:ascii="仿宋" w:hAnsi="仿宋" w:eastAsia="仿宋"/>
          <w:sz w:val="24"/>
          <w:szCs w:val="24"/>
        </w:rPr>
      </w:pPr>
      <w:r>
        <w:rPr>
          <w:rFonts w:hint="eastAsia" w:ascii="仿宋" w:hAnsi="仿宋" w:eastAsia="仿宋"/>
          <w:sz w:val="24"/>
          <w:szCs w:val="24"/>
        </w:rPr>
        <w:t>（5）跨站脚本扫描</w:t>
      </w:r>
    </w:p>
    <w:p>
      <w:pPr>
        <w:spacing w:line="360" w:lineRule="auto"/>
        <w:ind w:firstLine="480" w:firstLineChars="200"/>
        <w:rPr>
          <w:rFonts w:ascii="仿宋" w:hAnsi="仿宋" w:eastAsia="仿宋"/>
          <w:sz w:val="24"/>
          <w:szCs w:val="24"/>
        </w:rPr>
      </w:pPr>
      <w:r>
        <w:rPr>
          <w:rFonts w:hint="eastAsia" w:ascii="仿宋" w:hAnsi="仿宋" w:eastAsia="仿宋"/>
          <w:sz w:val="24"/>
          <w:szCs w:val="24"/>
        </w:rPr>
        <w:t>根据“所有用户输入都是危险的”这一原则，一方面对网站的代码进行整体检查，对存在用户输入的功能模块进行数据校验和危险字符过滤，从源头上阻隔跨站攻击的出现；另一方面软件自身带有危险字符过滤模块，再加上网站 WEB 服务器上的安全模块功能的开启，完全可以实现对跨站攻击的防御。</w:t>
      </w:r>
    </w:p>
    <w:p>
      <w:pPr>
        <w:pStyle w:val="9"/>
        <w:tabs>
          <w:tab w:val="left" w:pos="0"/>
        </w:tabs>
        <w:ind w:left="0" w:firstLine="0"/>
        <w:rPr>
          <w:rFonts w:ascii="仿宋" w:hAnsi="仿宋" w:eastAsia="仿宋"/>
          <w:sz w:val="24"/>
          <w:szCs w:val="24"/>
        </w:rPr>
      </w:pPr>
      <w:bookmarkStart w:id="93" w:name="_Toc69134909"/>
      <w:r>
        <w:rPr>
          <w:rFonts w:hint="eastAsia" w:ascii="仿宋" w:hAnsi="仿宋" w:eastAsia="仿宋"/>
          <w:sz w:val="24"/>
          <w:szCs w:val="24"/>
        </w:rPr>
        <w:t>数据安全</w:t>
      </w:r>
      <w:bookmarkEnd w:id="93"/>
    </w:p>
    <w:p>
      <w:pPr>
        <w:spacing w:line="360" w:lineRule="auto"/>
        <w:ind w:firstLine="480" w:firstLineChars="200"/>
        <w:rPr>
          <w:rFonts w:ascii="仿宋" w:hAnsi="仿宋" w:eastAsia="仿宋"/>
          <w:sz w:val="24"/>
          <w:szCs w:val="24"/>
        </w:rPr>
      </w:pPr>
      <w:r>
        <w:rPr>
          <w:rFonts w:hint="eastAsia" w:ascii="仿宋" w:hAnsi="仿宋" w:eastAsia="仿宋"/>
          <w:sz w:val="24"/>
          <w:szCs w:val="24"/>
        </w:rPr>
        <w:t>根据信息系统安全通用技术要求（GB/T20271—2006）中对信息系统安全等级保护的运行安全规范要求，主要通过身份鉴别、抗抵赖、访问控制等方面来实现。另外，为了应对各种自然灾害以及其它不可抗拒的外部环境影响，在数据安全方面还要考虑数据的容灾备份。</w:t>
      </w:r>
    </w:p>
    <w:p>
      <w:pPr>
        <w:pStyle w:val="8"/>
        <w:tabs>
          <w:tab w:val="left" w:pos="0"/>
        </w:tabs>
        <w:ind w:left="0" w:firstLine="0"/>
        <w:rPr>
          <w:rFonts w:ascii="仿宋" w:hAnsi="仿宋" w:eastAsia="仿宋"/>
          <w:sz w:val="24"/>
          <w:szCs w:val="24"/>
        </w:rPr>
      </w:pPr>
      <w:bookmarkStart w:id="94" w:name="_Toc69134910"/>
      <w:r>
        <w:rPr>
          <w:rFonts w:hint="eastAsia" w:ascii="仿宋" w:hAnsi="仿宋" w:eastAsia="仿宋"/>
          <w:sz w:val="24"/>
          <w:szCs w:val="24"/>
        </w:rPr>
        <w:t>基于数字证书认证体系的可信平台安全设计</w:t>
      </w:r>
      <w:bookmarkEnd w:id="94"/>
    </w:p>
    <w:p>
      <w:pPr>
        <w:spacing w:line="360" w:lineRule="auto"/>
        <w:ind w:firstLine="480" w:firstLineChars="200"/>
        <w:rPr>
          <w:rFonts w:ascii="仿宋" w:hAnsi="仿宋" w:eastAsia="仿宋"/>
          <w:sz w:val="24"/>
          <w:szCs w:val="24"/>
        </w:rPr>
      </w:pPr>
      <w:r>
        <w:rPr>
          <w:rFonts w:hint="eastAsia" w:ascii="仿宋" w:hAnsi="仿宋" w:eastAsia="仿宋"/>
          <w:sz w:val="24"/>
          <w:szCs w:val="24"/>
        </w:rPr>
        <w:t>平台采用模块化松耦合设计，提供基于统一标准协议的统一认证模块，支持多属性认证；根据不同的业务抽象出不同的应用接口供应用在PC端、移动端、大屏端使用；提供标准控件满足用户多浏览器支持；基于安全网关贯通PC、移动端和大屏端数字证书生命周期管理；多CA融合技术支持不同CA不同算法数字证书互通互认。</w:t>
      </w:r>
    </w:p>
    <w:p>
      <w:pPr>
        <w:pStyle w:val="8"/>
        <w:tabs>
          <w:tab w:val="left" w:pos="0"/>
        </w:tabs>
        <w:ind w:left="0" w:firstLine="0"/>
        <w:rPr>
          <w:rFonts w:ascii="仿宋" w:hAnsi="仿宋" w:eastAsia="仿宋"/>
          <w:sz w:val="24"/>
          <w:szCs w:val="24"/>
        </w:rPr>
      </w:pPr>
      <w:bookmarkStart w:id="95" w:name="_Toc69134911"/>
      <w:r>
        <w:rPr>
          <w:rFonts w:hint="eastAsia" w:ascii="仿宋" w:hAnsi="仿宋" w:eastAsia="仿宋"/>
          <w:sz w:val="24"/>
          <w:szCs w:val="24"/>
        </w:rPr>
        <w:t>对业务与数据灾难备份恢复的设计</w:t>
      </w:r>
      <w:bookmarkEnd w:id="95"/>
    </w:p>
    <w:p>
      <w:pPr>
        <w:spacing w:line="360" w:lineRule="auto"/>
        <w:ind w:firstLine="480" w:firstLineChars="200"/>
        <w:rPr>
          <w:rFonts w:ascii="仿宋" w:hAnsi="仿宋" w:eastAsia="仿宋"/>
          <w:sz w:val="24"/>
          <w:szCs w:val="24"/>
        </w:rPr>
      </w:pPr>
      <w:r>
        <w:rPr>
          <w:rFonts w:hint="eastAsia" w:ascii="仿宋" w:hAnsi="仿宋" w:eastAsia="仿宋"/>
          <w:sz w:val="24"/>
          <w:szCs w:val="24"/>
        </w:rPr>
        <w:t>使用统一的备份管理系统，实现数据备份的集中管理，自动完成备份工作，建立一个完善的面向应用和数据库的本地备份与恢复系统，保证在各种意外情况下能够迅速恢复数据。</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“安心返”系统及“17防”平台实现数据级备份，具体策略如下：</w:t>
      </w:r>
    </w:p>
    <w:p>
      <w:pPr>
        <w:spacing w:line="360" w:lineRule="auto"/>
        <w:ind w:firstLine="480" w:firstLineChars="200"/>
        <w:rPr>
          <w:rFonts w:ascii="仿宋" w:hAnsi="仿宋" w:eastAsia="仿宋"/>
          <w:sz w:val="24"/>
          <w:szCs w:val="24"/>
        </w:rPr>
      </w:pPr>
      <w:r>
        <w:rPr>
          <w:rFonts w:hint="eastAsia" w:ascii="仿宋" w:hAnsi="仿宋" w:eastAsia="仿宋"/>
          <w:sz w:val="24"/>
          <w:szCs w:val="24"/>
        </w:rPr>
        <w:t>（1）结构化数据备份：基于RDS的定时备份机制实现日级别全量备份，增量数据通过开启RDS的binlog日志，实现秒级备份。</w:t>
      </w:r>
    </w:p>
    <w:p>
      <w:pPr>
        <w:spacing w:line="360" w:lineRule="auto"/>
        <w:ind w:firstLine="480" w:firstLineChars="200"/>
        <w:rPr>
          <w:rFonts w:ascii="仿宋" w:hAnsi="仿宋" w:eastAsia="仿宋"/>
          <w:sz w:val="24"/>
          <w:szCs w:val="24"/>
        </w:rPr>
      </w:pPr>
      <w:r>
        <w:rPr>
          <w:rFonts w:hint="eastAsia" w:ascii="仿宋" w:hAnsi="仿宋" w:eastAsia="仿宋"/>
          <w:sz w:val="24"/>
          <w:szCs w:val="24"/>
        </w:rPr>
        <w:t>（2）非结构化数据备份：基于OSS的多备机制，复制到不同的BUCKET中。</w:t>
      </w:r>
    </w:p>
    <w:p>
      <w:pPr>
        <w:spacing w:line="360" w:lineRule="auto"/>
        <w:ind w:firstLine="480" w:firstLineChars="200"/>
        <w:rPr>
          <w:rFonts w:ascii="仿宋" w:hAnsi="仿宋" w:eastAsia="仿宋"/>
          <w:sz w:val="24"/>
          <w:szCs w:val="24"/>
        </w:rPr>
      </w:pPr>
      <w:r>
        <w:rPr>
          <w:rFonts w:hint="eastAsia" w:ascii="仿宋" w:hAnsi="仿宋" w:eastAsia="仿宋"/>
          <w:sz w:val="24"/>
          <w:szCs w:val="24"/>
        </w:rPr>
        <w:t>（3）系统备份：系统部署在ECS上，通过快照机制，每日定时备份系统盘和数据盘，出现问题时能够通过镜像回滚。</w:t>
      </w:r>
    </w:p>
    <w:p>
      <w:pPr>
        <w:pStyle w:val="8"/>
        <w:tabs>
          <w:tab w:val="left" w:pos="0"/>
        </w:tabs>
        <w:ind w:left="0" w:firstLine="0"/>
        <w:rPr>
          <w:rFonts w:ascii="仿宋" w:hAnsi="仿宋" w:eastAsia="仿宋"/>
          <w:sz w:val="24"/>
          <w:szCs w:val="24"/>
        </w:rPr>
      </w:pPr>
      <w:bookmarkStart w:id="96" w:name="_Toc69134912"/>
      <w:r>
        <w:rPr>
          <w:rFonts w:hint="eastAsia" w:ascii="仿宋" w:hAnsi="仿宋" w:eastAsia="仿宋"/>
          <w:sz w:val="24"/>
          <w:szCs w:val="24"/>
        </w:rPr>
        <w:t>信息安全与保密管理</w:t>
      </w:r>
      <w:bookmarkEnd w:id="96"/>
    </w:p>
    <w:p>
      <w:pPr>
        <w:pStyle w:val="9"/>
        <w:tabs>
          <w:tab w:val="left" w:pos="0"/>
        </w:tabs>
        <w:ind w:left="0" w:firstLine="0"/>
        <w:rPr>
          <w:rFonts w:ascii="仿宋" w:hAnsi="仿宋" w:eastAsia="仿宋"/>
          <w:sz w:val="24"/>
          <w:szCs w:val="24"/>
        </w:rPr>
      </w:pPr>
      <w:bookmarkStart w:id="97" w:name="_Toc69134913"/>
      <w:r>
        <w:rPr>
          <w:rFonts w:hint="eastAsia" w:ascii="仿宋" w:hAnsi="仿宋" w:eastAsia="仿宋"/>
          <w:sz w:val="24"/>
          <w:szCs w:val="24"/>
        </w:rPr>
        <w:t>数据交换过程的安全保障</w:t>
      </w:r>
      <w:bookmarkEnd w:id="97"/>
    </w:p>
    <w:p>
      <w:pPr>
        <w:spacing w:line="360" w:lineRule="auto"/>
        <w:ind w:firstLine="480" w:firstLineChars="200"/>
        <w:rPr>
          <w:rFonts w:ascii="仿宋" w:hAnsi="仿宋" w:eastAsia="仿宋"/>
          <w:sz w:val="24"/>
          <w:szCs w:val="24"/>
        </w:rPr>
      </w:pPr>
      <w:r>
        <w:rPr>
          <w:rFonts w:hint="eastAsia" w:ascii="仿宋" w:hAnsi="仿宋" w:eastAsia="仿宋"/>
          <w:sz w:val="24"/>
          <w:szCs w:val="24"/>
        </w:rPr>
        <w:t>平台数据交换过程的安全保障主要指信息在交换过程中不能被非法篡改、不能被非法访问、数据交换后不能抵赖等功能。</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平台业务系统在传递消息的过程中，可以指定是否采用消息内容的校验，校验的方法是由发送消息的业务系统提供消息的原始长度和根据某种约定的验证码生成规则（比如从MD5校验规则）生成的验证码。</w:t>
      </w:r>
    </w:p>
    <w:p>
      <w:pPr>
        <w:pStyle w:val="9"/>
        <w:tabs>
          <w:tab w:val="left" w:pos="0"/>
        </w:tabs>
        <w:ind w:left="0" w:firstLine="0"/>
        <w:rPr>
          <w:rFonts w:ascii="仿宋" w:hAnsi="仿宋" w:eastAsia="仿宋"/>
          <w:sz w:val="24"/>
          <w:szCs w:val="24"/>
        </w:rPr>
      </w:pPr>
      <w:bookmarkStart w:id="98" w:name="_Toc69134914"/>
      <w:r>
        <w:rPr>
          <w:rFonts w:hint="eastAsia" w:ascii="仿宋" w:hAnsi="仿宋" w:eastAsia="仿宋"/>
          <w:sz w:val="24"/>
          <w:szCs w:val="24"/>
        </w:rPr>
        <w:t>数据交换接口安全设计</w:t>
      </w:r>
      <w:bookmarkEnd w:id="98"/>
    </w:p>
    <w:p>
      <w:pPr>
        <w:spacing w:line="360" w:lineRule="auto"/>
        <w:ind w:firstLine="480" w:firstLineChars="200"/>
        <w:rPr>
          <w:rFonts w:ascii="仿宋" w:hAnsi="仿宋" w:eastAsia="仿宋"/>
          <w:sz w:val="24"/>
          <w:szCs w:val="24"/>
        </w:rPr>
      </w:pPr>
      <w:r>
        <w:rPr>
          <w:rFonts w:hint="eastAsia" w:ascii="仿宋" w:hAnsi="仿宋" w:eastAsia="仿宋"/>
          <w:sz w:val="24"/>
          <w:szCs w:val="24"/>
        </w:rPr>
        <w:t>平台提供的消息传输接口支持不同的安全标准。对于对安全性要求比较高的业务系统来说，在调用平台的WebService接口时使用HTTPS协议，保证了传输层面的安全；而对于安全性不那么重要，只想通过很少的改动使用平台功能的业务系统来说，可以单的通过HTTP方式调用平台的WebService接口进行消息的传输。</w:t>
      </w:r>
    </w:p>
    <w:p>
      <w:pPr>
        <w:pStyle w:val="7"/>
        <w:tabs>
          <w:tab w:val="left" w:pos="0"/>
        </w:tabs>
        <w:ind w:left="0" w:firstLine="0"/>
        <w:rPr>
          <w:rFonts w:ascii="仿宋" w:hAnsi="仿宋" w:eastAsia="仿宋"/>
          <w:sz w:val="24"/>
          <w:szCs w:val="18"/>
        </w:rPr>
      </w:pPr>
      <w:bookmarkStart w:id="99" w:name="_Toc83568280"/>
      <w:r>
        <w:rPr>
          <w:rFonts w:hint="eastAsia" w:ascii="仿宋" w:hAnsi="仿宋" w:eastAsia="仿宋"/>
          <w:sz w:val="24"/>
          <w:szCs w:val="18"/>
        </w:rPr>
        <w:t>常态化工作</w:t>
      </w:r>
      <w:bookmarkEnd w:id="99"/>
    </w:p>
    <w:p>
      <w:pPr>
        <w:pStyle w:val="8"/>
        <w:tabs>
          <w:tab w:val="left" w:pos="0"/>
        </w:tabs>
        <w:ind w:left="0" w:firstLine="0"/>
        <w:rPr>
          <w:rFonts w:ascii="仿宋" w:hAnsi="仿宋" w:eastAsia="仿宋"/>
          <w:sz w:val="24"/>
          <w:szCs w:val="24"/>
        </w:rPr>
      </w:pPr>
      <w:bookmarkStart w:id="100" w:name="_Toc68040506"/>
      <w:r>
        <w:rPr>
          <w:rFonts w:hint="eastAsia" w:ascii="仿宋" w:hAnsi="仿宋" w:eastAsia="仿宋"/>
          <w:sz w:val="24"/>
          <w:szCs w:val="24"/>
        </w:rPr>
        <w:t>重大节日期间</w:t>
      </w:r>
      <w:bookmarkEnd w:id="100"/>
    </w:p>
    <w:p>
      <w:pPr>
        <w:ind w:firstLine="480" w:firstLineChars="200"/>
        <w:rPr>
          <w:rFonts w:ascii="仿宋" w:hAnsi="仿宋" w:eastAsia="仿宋"/>
          <w:sz w:val="24"/>
          <w:szCs w:val="24"/>
        </w:rPr>
      </w:pPr>
      <w:r>
        <w:rPr>
          <w:rFonts w:hint="eastAsia" w:ascii="仿宋" w:hAnsi="仿宋" w:eastAsia="仿宋"/>
          <w:sz w:val="24"/>
          <w:szCs w:val="24"/>
        </w:rPr>
        <w:t>在春节、国庆等国家重大法定节日期间，大量外来人员访建，市防疫指挥部及各乡镇疫情防控工作量将大幅度提升，为削减防控人员的工作量和良好的监管防控工作，届时可开放本系统进行疫情返乡登记，实现高效率后台在线审核，对高中低风险地区抵建人员进行智能分类处理。</w:t>
      </w:r>
    </w:p>
    <w:p>
      <w:pPr>
        <w:pStyle w:val="8"/>
        <w:tabs>
          <w:tab w:val="left" w:pos="0"/>
        </w:tabs>
        <w:ind w:left="0" w:firstLine="0"/>
        <w:rPr>
          <w:rFonts w:ascii="仿宋" w:hAnsi="仿宋" w:eastAsia="仿宋"/>
          <w:sz w:val="24"/>
          <w:szCs w:val="24"/>
        </w:rPr>
      </w:pPr>
      <w:bookmarkStart w:id="101" w:name="_Toc68040507"/>
      <w:r>
        <w:rPr>
          <w:rFonts w:hint="eastAsia" w:ascii="仿宋" w:hAnsi="仿宋" w:eastAsia="仿宋"/>
          <w:sz w:val="24"/>
          <w:szCs w:val="24"/>
        </w:rPr>
        <w:t>疫苗接种期间</w:t>
      </w:r>
      <w:bookmarkEnd w:id="101"/>
    </w:p>
    <w:p>
      <w:pPr>
        <w:ind w:firstLine="480" w:firstLineChars="200"/>
        <w:rPr>
          <w:rFonts w:ascii="仿宋" w:hAnsi="仿宋" w:eastAsia="仿宋"/>
          <w:sz w:val="24"/>
          <w:szCs w:val="24"/>
        </w:rPr>
      </w:pPr>
      <w:r>
        <w:rPr>
          <w:rFonts w:hint="eastAsia" w:ascii="仿宋" w:hAnsi="仿宋" w:eastAsia="仿宋"/>
          <w:sz w:val="24"/>
          <w:szCs w:val="24"/>
        </w:rPr>
        <w:t>在疫苗接种期间，可开发本系统实现“放心种”模块功能，用户可通过“放心种”功能自行预约登记或他人预约登记来填写相关受种人员基本信息。同时系统支持新冠疫苗常规接种点（镇街卫生院）和方舱接种点支持身份证读卡器自动识别登记，所属乡镇街道四种状态的人数、预约总人数、一剂次接种率、二剂次接种率等数据也可实时同步。</w:t>
      </w:r>
    </w:p>
    <w:p>
      <w:pPr>
        <w:pStyle w:val="6"/>
        <w:tabs>
          <w:tab w:val="left" w:pos="0"/>
        </w:tabs>
        <w:rPr>
          <w:rFonts w:ascii="仿宋" w:hAnsi="仿宋" w:eastAsia="仿宋"/>
          <w:sz w:val="28"/>
          <w:szCs w:val="28"/>
        </w:rPr>
      </w:pPr>
      <w:bookmarkStart w:id="102" w:name="_Toc83568281"/>
      <w:r>
        <w:rPr>
          <w:rFonts w:hint="eastAsia" w:ascii="仿宋" w:hAnsi="仿宋" w:eastAsia="仿宋"/>
          <w:sz w:val="28"/>
          <w:szCs w:val="28"/>
        </w:rPr>
        <w:t>“安心返”申报登记系统</w:t>
      </w:r>
      <w:bookmarkEnd w:id="102"/>
    </w:p>
    <w:p>
      <w:pPr>
        <w:ind w:firstLine="480" w:firstLineChars="200"/>
        <w:rPr>
          <w:rFonts w:ascii="仿宋" w:hAnsi="仿宋" w:eastAsia="仿宋"/>
          <w:sz w:val="24"/>
          <w:szCs w:val="24"/>
        </w:rPr>
      </w:pPr>
      <w:r>
        <w:rPr>
          <w:rFonts w:hint="eastAsia" w:ascii="仿宋" w:hAnsi="仿宋" w:eastAsia="仿宋"/>
          <w:sz w:val="24"/>
          <w:szCs w:val="24"/>
        </w:rPr>
        <w:t>“安心返”申报登记系统包含“放心种”,共有登陆模块、注册模块、申报人申报模块、帮他人登记模块、放心种模块、“随心查”、申报信息提交模块、修改模块。</w:t>
      </w:r>
    </w:p>
    <w:p>
      <w:pPr>
        <w:pStyle w:val="7"/>
        <w:tabs>
          <w:tab w:val="left" w:pos="0"/>
        </w:tabs>
        <w:ind w:left="0" w:firstLine="0"/>
        <w:rPr>
          <w:rFonts w:ascii="仿宋" w:hAnsi="仿宋" w:eastAsia="仿宋"/>
          <w:sz w:val="24"/>
          <w:szCs w:val="18"/>
        </w:rPr>
      </w:pPr>
      <w:bookmarkStart w:id="103" w:name="_Toc83568282"/>
      <w:r>
        <w:rPr>
          <w:rFonts w:hint="eastAsia" w:ascii="仿宋" w:hAnsi="仿宋" w:eastAsia="仿宋"/>
          <w:sz w:val="24"/>
          <w:szCs w:val="18"/>
        </w:rPr>
        <w:t>登陆模块</w:t>
      </w:r>
      <w:bookmarkEnd w:id="103"/>
    </w:p>
    <w:p>
      <w:pPr>
        <w:ind w:firstLine="480" w:firstLineChars="200"/>
        <w:rPr>
          <w:rFonts w:ascii="仿宋" w:hAnsi="仿宋" w:eastAsia="仿宋"/>
          <w:sz w:val="24"/>
          <w:szCs w:val="24"/>
        </w:rPr>
      </w:pPr>
      <w:r>
        <w:rPr>
          <w:rFonts w:hint="eastAsia" w:ascii="仿宋" w:hAnsi="仿宋" w:eastAsia="仿宋"/>
          <w:sz w:val="24"/>
          <w:szCs w:val="24"/>
        </w:rPr>
        <w:t>申报登记端微信公众号应用为载体，面向返建人员（包括从境内个省、市、自治区、直辖市、港澳台和从境外返建人员）实现手机注册、信息申报、帮他人信息申报等功能。返建人员通过扫描“安心返”二维码访问“安心返”申报登记端。</w:t>
      </w:r>
    </w:p>
    <w:p>
      <w:pPr>
        <w:pStyle w:val="7"/>
        <w:tabs>
          <w:tab w:val="left" w:pos="0"/>
        </w:tabs>
        <w:ind w:left="0" w:firstLine="0"/>
        <w:rPr>
          <w:rFonts w:ascii="仿宋" w:hAnsi="仿宋" w:eastAsia="仿宋"/>
          <w:sz w:val="24"/>
          <w:szCs w:val="18"/>
        </w:rPr>
      </w:pPr>
      <w:bookmarkStart w:id="104" w:name="_Toc83568283"/>
      <w:r>
        <w:rPr>
          <w:rFonts w:hint="eastAsia" w:ascii="仿宋" w:hAnsi="仿宋" w:eastAsia="仿宋"/>
          <w:sz w:val="24"/>
          <w:szCs w:val="18"/>
        </w:rPr>
        <w:t>注册模块</w:t>
      </w:r>
      <w:bookmarkEnd w:id="104"/>
    </w:p>
    <w:p>
      <w:pPr>
        <w:ind w:firstLine="480" w:firstLineChars="200"/>
        <w:rPr>
          <w:rFonts w:ascii="仿宋" w:hAnsi="仿宋" w:eastAsia="仿宋"/>
          <w:sz w:val="24"/>
          <w:szCs w:val="24"/>
        </w:rPr>
      </w:pPr>
      <w:r>
        <w:rPr>
          <w:rFonts w:hint="eastAsia" w:ascii="仿宋" w:hAnsi="仿宋" w:eastAsia="仿宋"/>
          <w:sz w:val="24"/>
          <w:szCs w:val="24"/>
        </w:rPr>
        <w:t>支持通过手机号注册，短信验证码登录；对接移动短信网关；支持首页展示指挥中心咨询热线电话列表；支持首页展示《用户注册协议》；按照符合建德市特色进行UI图设计，体现建德市LOGO和“安心返”主题。</w:t>
      </w:r>
    </w:p>
    <w:p>
      <w:pPr>
        <w:pStyle w:val="7"/>
        <w:tabs>
          <w:tab w:val="left" w:pos="0"/>
        </w:tabs>
        <w:ind w:left="0" w:firstLine="0"/>
        <w:rPr>
          <w:rFonts w:ascii="仿宋" w:hAnsi="仿宋" w:eastAsia="仿宋"/>
          <w:sz w:val="24"/>
          <w:szCs w:val="18"/>
        </w:rPr>
      </w:pPr>
      <w:bookmarkStart w:id="105" w:name="_Toc83568284"/>
      <w:r>
        <w:rPr>
          <w:rFonts w:hint="eastAsia" w:ascii="仿宋" w:hAnsi="仿宋" w:eastAsia="仿宋"/>
          <w:sz w:val="24"/>
          <w:szCs w:val="18"/>
        </w:rPr>
        <w:t>申报人申报模块</w:t>
      </w:r>
      <w:bookmarkEnd w:id="105"/>
    </w:p>
    <w:p>
      <w:pPr>
        <w:ind w:firstLine="480" w:firstLineChars="200"/>
        <w:rPr>
          <w:rFonts w:ascii="仿宋" w:hAnsi="仿宋" w:eastAsia="仿宋"/>
          <w:sz w:val="24"/>
          <w:szCs w:val="24"/>
        </w:rPr>
      </w:pPr>
      <w:r>
        <w:rPr>
          <w:rFonts w:hint="eastAsia" w:ascii="仿宋" w:hAnsi="仿宋" w:eastAsia="仿宋"/>
          <w:sz w:val="24"/>
          <w:szCs w:val="24"/>
        </w:rPr>
        <w:t>申报人申报模块包含以下字段：</w:t>
      </w:r>
    </w:p>
    <w:p>
      <w:pPr>
        <w:ind w:firstLine="480" w:firstLineChars="200"/>
        <w:rPr>
          <w:rFonts w:ascii="仿宋" w:hAnsi="仿宋" w:eastAsia="仿宋"/>
          <w:sz w:val="24"/>
          <w:szCs w:val="24"/>
        </w:rPr>
      </w:pPr>
      <w:r>
        <w:rPr>
          <w:rFonts w:hint="eastAsia" w:ascii="仿宋" w:hAnsi="仿宋" w:eastAsia="仿宋"/>
          <w:sz w:val="24"/>
          <w:szCs w:val="24"/>
        </w:rPr>
        <w:t>1）申报人姓名</w:t>
      </w:r>
    </w:p>
    <w:p>
      <w:pPr>
        <w:ind w:firstLine="480" w:firstLineChars="200"/>
        <w:rPr>
          <w:rFonts w:ascii="仿宋" w:hAnsi="仿宋" w:eastAsia="仿宋"/>
          <w:sz w:val="24"/>
          <w:szCs w:val="24"/>
        </w:rPr>
      </w:pPr>
      <w:r>
        <w:rPr>
          <w:rFonts w:hint="eastAsia" w:ascii="仿宋" w:hAnsi="仿宋" w:eastAsia="仿宋"/>
          <w:sz w:val="24"/>
          <w:szCs w:val="24"/>
        </w:rPr>
        <w:t>2）申报人身份证（支持身份证正确性判定）、护照、港澳居民来往通行证、台湾居民来往通行证</w:t>
      </w:r>
    </w:p>
    <w:p>
      <w:pPr>
        <w:ind w:firstLine="480" w:firstLineChars="200"/>
        <w:rPr>
          <w:rFonts w:ascii="仿宋" w:hAnsi="仿宋" w:eastAsia="仿宋"/>
          <w:sz w:val="24"/>
          <w:szCs w:val="24"/>
        </w:rPr>
      </w:pPr>
      <w:r>
        <w:rPr>
          <w:rFonts w:hint="eastAsia" w:ascii="仿宋" w:hAnsi="仿宋" w:eastAsia="仿宋"/>
          <w:sz w:val="24"/>
          <w:szCs w:val="24"/>
        </w:rPr>
        <w:t>3）申报人手机号</w:t>
      </w:r>
    </w:p>
    <w:p>
      <w:pPr>
        <w:ind w:firstLine="480" w:firstLineChars="200"/>
        <w:rPr>
          <w:rFonts w:ascii="仿宋" w:hAnsi="仿宋" w:eastAsia="仿宋"/>
          <w:sz w:val="24"/>
          <w:szCs w:val="24"/>
        </w:rPr>
      </w:pPr>
      <w:r>
        <w:rPr>
          <w:rFonts w:hint="eastAsia" w:ascii="仿宋" w:hAnsi="仿宋" w:eastAsia="仿宋"/>
          <w:sz w:val="24"/>
          <w:szCs w:val="24"/>
        </w:rPr>
        <w:t>4）紧急联系人手机号码</w:t>
      </w:r>
    </w:p>
    <w:p>
      <w:pPr>
        <w:ind w:firstLine="480" w:firstLineChars="200"/>
        <w:rPr>
          <w:rFonts w:ascii="仿宋" w:hAnsi="仿宋" w:eastAsia="仿宋"/>
          <w:sz w:val="24"/>
          <w:szCs w:val="24"/>
        </w:rPr>
      </w:pPr>
      <w:r>
        <w:rPr>
          <w:rFonts w:hint="eastAsia" w:ascii="仿宋" w:hAnsi="仿宋" w:eastAsia="仿宋"/>
          <w:sz w:val="24"/>
          <w:szCs w:val="24"/>
        </w:rPr>
        <w:t>5）是否近1个月内由境外回国：是〔填写何地入境、入境日期、入境口岸、入境后解除隔离日期、最后一次核酸阴性日期）；否（无需填写内容）。</w:t>
      </w:r>
    </w:p>
    <w:p>
      <w:pPr>
        <w:ind w:firstLine="480" w:firstLineChars="200"/>
        <w:rPr>
          <w:rFonts w:ascii="仿宋" w:hAnsi="仿宋" w:eastAsia="仿宋"/>
          <w:sz w:val="24"/>
          <w:szCs w:val="24"/>
        </w:rPr>
      </w:pPr>
      <w:r>
        <w:rPr>
          <w:rFonts w:hint="eastAsia" w:ascii="仿宋" w:hAnsi="仿宋" w:eastAsia="仿宋"/>
          <w:sz w:val="24"/>
          <w:szCs w:val="24"/>
        </w:rPr>
        <w:t>6）申报人何地返建：省、市、区县（支持下拉选择，直辖市为下拉市、区、街道）</w:t>
      </w:r>
    </w:p>
    <w:p>
      <w:pPr>
        <w:ind w:firstLine="480" w:firstLineChars="200"/>
        <w:rPr>
          <w:rFonts w:ascii="仿宋" w:hAnsi="仿宋" w:eastAsia="仿宋"/>
          <w:sz w:val="24"/>
          <w:szCs w:val="24"/>
        </w:rPr>
      </w:pPr>
      <w:r>
        <w:rPr>
          <w:rFonts w:hint="eastAsia" w:ascii="仿宋" w:hAnsi="仿宋" w:eastAsia="仿宋"/>
          <w:sz w:val="24"/>
          <w:szCs w:val="24"/>
        </w:rPr>
        <w:t>7）申报人建德常住地址：乡镇/街道、村社（支持下拉框选择）</w:t>
      </w:r>
    </w:p>
    <w:p>
      <w:pPr>
        <w:ind w:firstLine="480" w:firstLineChars="200"/>
        <w:rPr>
          <w:rFonts w:ascii="仿宋" w:hAnsi="仿宋" w:eastAsia="仿宋"/>
          <w:sz w:val="24"/>
          <w:szCs w:val="24"/>
        </w:rPr>
      </w:pPr>
      <w:r>
        <w:rPr>
          <w:rFonts w:hint="eastAsia" w:ascii="仿宋" w:hAnsi="仿宋" w:eastAsia="仿宋"/>
          <w:sz w:val="24"/>
          <w:szCs w:val="24"/>
        </w:rPr>
        <w:t>8）申报人小区门牌号（或宾馆）：申报人输入在建德详细地址（支持输入）</w:t>
      </w:r>
    </w:p>
    <w:p>
      <w:pPr>
        <w:ind w:firstLine="480" w:firstLineChars="200"/>
        <w:rPr>
          <w:rFonts w:ascii="仿宋" w:hAnsi="仿宋" w:eastAsia="仿宋"/>
          <w:sz w:val="24"/>
          <w:szCs w:val="24"/>
        </w:rPr>
      </w:pPr>
      <w:r>
        <w:rPr>
          <w:rFonts w:hint="eastAsia" w:ascii="仿宋" w:hAnsi="仿宋" w:eastAsia="仿宋"/>
          <w:sz w:val="24"/>
          <w:szCs w:val="24"/>
        </w:rPr>
        <w:t>9）申报人到建日期：支持下拉框选择日期，限制选择日期为返建60天以内。</w:t>
      </w:r>
    </w:p>
    <w:p>
      <w:pPr>
        <w:ind w:firstLine="480" w:firstLineChars="200"/>
        <w:rPr>
          <w:rFonts w:ascii="仿宋" w:hAnsi="仿宋" w:eastAsia="仿宋"/>
          <w:sz w:val="24"/>
          <w:szCs w:val="24"/>
        </w:rPr>
      </w:pPr>
      <w:r>
        <w:rPr>
          <w:rFonts w:hint="eastAsia" w:ascii="仿宋" w:hAnsi="仿宋" w:eastAsia="仿宋"/>
          <w:sz w:val="24"/>
          <w:szCs w:val="24"/>
        </w:rPr>
        <w:t>10）申报人来建方式：支持下拉框选择（自驾、高铁、客运大巴、其他）</w:t>
      </w:r>
    </w:p>
    <w:p>
      <w:pPr>
        <w:ind w:firstLine="480" w:firstLineChars="200"/>
        <w:rPr>
          <w:rFonts w:ascii="仿宋" w:hAnsi="仿宋" w:eastAsia="仿宋"/>
          <w:sz w:val="24"/>
          <w:szCs w:val="24"/>
        </w:rPr>
      </w:pPr>
      <w:r>
        <w:rPr>
          <w:rFonts w:hint="eastAsia" w:ascii="仿宋" w:hAnsi="仿宋" w:eastAsia="仿宋"/>
          <w:sz w:val="24"/>
          <w:szCs w:val="24"/>
        </w:rPr>
        <w:t>11）申报人来建事由：支持选择回家、探亲、访友、商务差旅、旅游、务工、其他</w:t>
      </w:r>
    </w:p>
    <w:p>
      <w:pPr>
        <w:ind w:firstLine="480" w:firstLineChars="200"/>
        <w:rPr>
          <w:rFonts w:ascii="仿宋" w:hAnsi="仿宋" w:eastAsia="仿宋"/>
          <w:sz w:val="24"/>
          <w:szCs w:val="24"/>
        </w:rPr>
      </w:pPr>
      <w:r>
        <w:rPr>
          <w:rFonts w:hint="eastAsia" w:ascii="仿宋" w:hAnsi="仿宋" w:eastAsia="仿宋"/>
          <w:sz w:val="24"/>
          <w:szCs w:val="24"/>
        </w:rPr>
        <w:t>12）申报人来建从事工作：下拉选择框，分为：在建党政机关，在建事业单位，在建企业，个体经营，来建找工作，无。</w:t>
      </w:r>
    </w:p>
    <w:p>
      <w:pPr>
        <w:ind w:firstLine="480" w:firstLineChars="200"/>
        <w:rPr>
          <w:rFonts w:ascii="仿宋" w:hAnsi="仿宋" w:eastAsia="仿宋"/>
          <w:sz w:val="24"/>
          <w:szCs w:val="24"/>
        </w:rPr>
      </w:pPr>
      <w:r>
        <w:rPr>
          <w:rFonts w:hint="eastAsia" w:ascii="仿宋" w:hAnsi="仿宋" w:eastAsia="仿宋"/>
          <w:sz w:val="24"/>
          <w:szCs w:val="24"/>
        </w:rPr>
        <w:t>13）申报人来建工作单位：如“来建从事工作”选择前四种，必须要填写此项，支持输入。</w:t>
      </w:r>
    </w:p>
    <w:p>
      <w:pPr>
        <w:ind w:firstLine="480" w:firstLineChars="200"/>
        <w:rPr>
          <w:rFonts w:ascii="仿宋" w:hAnsi="仿宋" w:eastAsia="仿宋"/>
          <w:sz w:val="24"/>
          <w:szCs w:val="24"/>
        </w:rPr>
      </w:pPr>
      <w:r>
        <w:rPr>
          <w:rFonts w:hint="eastAsia" w:ascii="仿宋" w:hAnsi="仿宋" w:eastAsia="仿宋"/>
          <w:sz w:val="24"/>
          <w:szCs w:val="24"/>
        </w:rPr>
        <w:t>14）申报人是否携带7天内有效的核酸阴性检测阴性报告（支持选择是（选择核酸采样日期）、否）</w:t>
      </w:r>
    </w:p>
    <w:p>
      <w:pPr>
        <w:ind w:firstLine="480" w:firstLineChars="200"/>
        <w:rPr>
          <w:rFonts w:ascii="仿宋" w:hAnsi="仿宋" w:eastAsia="仿宋"/>
          <w:sz w:val="24"/>
          <w:szCs w:val="24"/>
        </w:rPr>
      </w:pPr>
      <w:r>
        <w:rPr>
          <w:rFonts w:hint="eastAsia" w:ascii="仿宋" w:hAnsi="仿宋" w:eastAsia="仿宋"/>
          <w:sz w:val="24"/>
          <w:szCs w:val="24"/>
        </w:rPr>
        <w:t>15）申报人当前从事行业（支持选择7种高风险行业及其他）</w:t>
      </w:r>
    </w:p>
    <w:p>
      <w:pPr>
        <w:ind w:firstLine="480" w:firstLineChars="200"/>
        <w:rPr>
          <w:rFonts w:ascii="仿宋" w:hAnsi="仿宋" w:eastAsia="仿宋"/>
          <w:sz w:val="24"/>
          <w:szCs w:val="24"/>
        </w:rPr>
      </w:pPr>
      <w:r>
        <w:rPr>
          <w:rFonts w:hint="eastAsia" w:ascii="仿宋" w:hAnsi="仿宋" w:eastAsia="仿宋"/>
          <w:sz w:val="24"/>
          <w:szCs w:val="24"/>
        </w:rPr>
        <w:t>16）申报人是否存在以下情况：下拉选择框，分为：确诊治愈（含无症状），密切接触者（2个月内），次密切接触者（接触过密切接触者），不存在以上情况。</w:t>
      </w:r>
    </w:p>
    <w:p>
      <w:pPr>
        <w:ind w:firstLine="480" w:firstLineChars="200"/>
        <w:rPr>
          <w:rFonts w:ascii="仿宋" w:hAnsi="仿宋" w:eastAsia="仿宋"/>
          <w:sz w:val="24"/>
          <w:szCs w:val="24"/>
        </w:rPr>
      </w:pPr>
      <w:r>
        <w:rPr>
          <w:rFonts w:hint="eastAsia" w:ascii="仿宋" w:hAnsi="仿宋" w:eastAsia="仿宋"/>
          <w:sz w:val="24"/>
          <w:szCs w:val="24"/>
        </w:rPr>
        <w:t>17）是否帮他人登记：选择是，申报登记提交后将直接进入帮他人继续登记，选择否，信息直接提交申报登记信息。</w:t>
      </w:r>
    </w:p>
    <w:p>
      <w:pPr>
        <w:pStyle w:val="7"/>
        <w:tabs>
          <w:tab w:val="left" w:pos="0"/>
        </w:tabs>
        <w:ind w:left="0" w:firstLine="0"/>
        <w:rPr>
          <w:rFonts w:ascii="仿宋" w:hAnsi="仿宋" w:eastAsia="仿宋"/>
          <w:sz w:val="24"/>
          <w:szCs w:val="18"/>
        </w:rPr>
      </w:pPr>
      <w:bookmarkStart w:id="106" w:name="_Toc83568285"/>
      <w:r>
        <w:rPr>
          <w:rFonts w:hint="eastAsia" w:ascii="仿宋" w:hAnsi="仿宋" w:eastAsia="仿宋"/>
          <w:sz w:val="24"/>
          <w:szCs w:val="18"/>
        </w:rPr>
        <w:t>帮他人登记模块</w:t>
      </w:r>
      <w:bookmarkEnd w:id="106"/>
    </w:p>
    <w:p>
      <w:pPr>
        <w:ind w:firstLine="480" w:firstLineChars="200"/>
        <w:rPr>
          <w:rFonts w:ascii="仿宋" w:hAnsi="仿宋" w:eastAsia="仿宋"/>
          <w:sz w:val="24"/>
          <w:szCs w:val="24"/>
        </w:rPr>
      </w:pPr>
      <w:r>
        <w:rPr>
          <w:rFonts w:hint="eastAsia" w:ascii="仿宋" w:hAnsi="仿宋" w:eastAsia="仿宋"/>
          <w:sz w:val="24"/>
          <w:szCs w:val="24"/>
        </w:rPr>
        <w:t>功能及填写的信息与申报人申报登记模块一样。</w:t>
      </w:r>
    </w:p>
    <w:p>
      <w:pPr>
        <w:pStyle w:val="7"/>
        <w:tabs>
          <w:tab w:val="left" w:pos="0"/>
        </w:tabs>
        <w:ind w:left="0" w:firstLine="0"/>
        <w:rPr>
          <w:rFonts w:ascii="仿宋" w:hAnsi="仿宋" w:eastAsia="仿宋"/>
          <w:sz w:val="24"/>
          <w:szCs w:val="18"/>
        </w:rPr>
      </w:pPr>
      <w:bookmarkStart w:id="107" w:name="_Toc83568286"/>
      <w:r>
        <w:rPr>
          <w:rFonts w:hint="eastAsia" w:ascii="仿宋" w:hAnsi="仿宋" w:eastAsia="仿宋"/>
          <w:sz w:val="24"/>
          <w:szCs w:val="18"/>
        </w:rPr>
        <w:t>放心种模块</w:t>
      </w:r>
      <w:bookmarkEnd w:id="107"/>
    </w:p>
    <w:p>
      <w:pPr>
        <w:ind w:firstLine="480" w:firstLineChars="200"/>
        <w:rPr>
          <w:rFonts w:ascii="仿宋" w:hAnsi="仿宋" w:eastAsia="仿宋"/>
          <w:sz w:val="24"/>
          <w:szCs w:val="24"/>
        </w:rPr>
      </w:pPr>
      <w:r>
        <w:rPr>
          <w:rFonts w:hint="eastAsia" w:ascii="仿宋" w:hAnsi="仿宋" w:eastAsia="仿宋"/>
          <w:sz w:val="24"/>
          <w:szCs w:val="24"/>
        </w:rPr>
        <w:t>支持显示新冠疫苗接种知情同意书，显示5秒倒计时。支持登记的主要信息为受种人员的基本信息，包括姓名、年龄、身份证号码、联系方式、人群分类、建德常住地址、在建工作单位/就读学校、身体状况等。其中按照29个大类对预约接种的人员进行了分类管理。支持帮他人进行新冠疫苗预约。新冠疫苗常规接种点（镇街卫生院）和方舱接种点支持身份证读卡器自动识别登记。接种预约升级，支持外籍、港澳、台湾地区人员预约新冠疫苗接种。</w:t>
      </w:r>
    </w:p>
    <w:p>
      <w:pPr>
        <w:pStyle w:val="7"/>
        <w:tabs>
          <w:tab w:val="left" w:pos="0"/>
        </w:tabs>
        <w:ind w:left="0" w:firstLine="0"/>
        <w:rPr>
          <w:rFonts w:ascii="仿宋" w:hAnsi="仿宋" w:eastAsia="仿宋"/>
          <w:sz w:val="24"/>
          <w:szCs w:val="18"/>
        </w:rPr>
      </w:pPr>
      <w:bookmarkStart w:id="108" w:name="_Toc83568287"/>
      <w:r>
        <w:rPr>
          <w:rFonts w:hint="eastAsia" w:ascii="仿宋" w:hAnsi="仿宋" w:eastAsia="仿宋"/>
          <w:sz w:val="24"/>
          <w:szCs w:val="18"/>
        </w:rPr>
        <w:t>“随心查”</w:t>
      </w:r>
      <w:bookmarkEnd w:id="108"/>
    </w:p>
    <w:p>
      <w:pPr>
        <w:ind w:firstLine="480" w:firstLineChars="200"/>
        <w:rPr>
          <w:rFonts w:ascii="仿宋" w:hAnsi="仿宋" w:eastAsia="仿宋"/>
          <w:sz w:val="24"/>
          <w:szCs w:val="24"/>
        </w:rPr>
      </w:pPr>
      <w:r>
        <w:rPr>
          <w:rFonts w:hint="eastAsia" w:ascii="仿宋" w:hAnsi="仿宋" w:eastAsia="仿宋"/>
          <w:sz w:val="24"/>
          <w:szCs w:val="24"/>
        </w:rPr>
        <w:t>可根据身份证号码和姓名查询在建德市内接种医疗机构接种信息。</w:t>
      </w:r>
    </w:p>
    <w:p>
      <w:pPr>
        <w:pStyle w:val="7"/>
        <w:tabs>
          <w:tab w:val="left" w:pos="0"/>
        </w:tabs>
        <w:ind w:left="0" w:firstLine="0"/>
        <w:rPr>
          <w:rFonts w:ascii="仿宋" w:hAnsi="仿宋" w:eastAsia="仿宋"/>
          <w:sz w:val="24"/>
          <w:szCs w:val="18"/>
        </w:rPr>
      </w:pPr>
      <w:bookmarkStart w:id="109" w:name="_Toc83568288"/>
      <w:r>
        <w:rPr>
          <w:rFonts w:hint="eastAsia" w:ascii="仿宋" w:hAnsi="仿宋" w:eastAsia="仿宋"/>
          <w:sz w:val="24"/>
          <w:szCs w:val="18"/>
        </w:rPr>
        <w:t>申报信息提交模块</w:t>
      </w:r>
      <w:bookmarkEnd w:id="109"/>
    </w:p>
    <w:p>
      <w:pPr>
        <w:ind w:firstLine="480" w:firstLineChars="200"/>
        <w:rPr>
          <w:rFonts w:ascii="仿宋" w:hAnsi="仿宋" w:eastAsia="仿宋"/>
          <w:sz w:val="24"/>
          <w:szCs w:val="24"/>
        </w:rPr>
      </w:pPr>
      <w:r>
        <w:rPr>
          <w:rFonts w:hint="eastAsia" w:ascii="仿宋" w:hAnsi="仿宋" w:eastAsia="仿宋"/>
          <w:sz w:val="24"/>
          <w:szCs w:val="24"/>
        </w:rPr>
        <w:t>全部信息填完提交后弹出“您的申报已登记，感谢您的配合”提示框，向申报人展示常住地所属乡镇（街道）疫情防控联系电话。如填报“何地返建”的区县（直辖市街道）选择了高中风险区域，申报登记提交后，回自动发送提醒短信给登记的手机号码，同时，申报人返回地址所对应的乡镇（街道）管理员手机也回同时收到提醒短信信息。</w:t>
      </w:r>
    </w:p>
    <w:p>
      <w:pPr>
        <w:pStyle w:val="7"/>
        <w:tabs>
          <w:tab w:val="left" w:pos="0"/>
        </w:tabs>
        <w:ind w:left="0" w:firstLine="0"/>
        <w:rPr>
          <w:rFonts w:ascii="仿宋" w:hAnsi="仿宋" w:eastAsia="仿宋"/>
          <w:sz w:val="24"/>
          <w:szCs w:val="18"/>
        </w:rPr>
      </w:pPr>
      <w:bookmarkStart w:id="110" w:name="_Toc83568289"/>
      <w:r>
        <w:rPr>
          <w:rFonts w:hint="eastAsia" w:ascii="仿宋" w:hAnsi="仿宋" w:eastAsia="仿宋"/>
          <w:sz w:val="24"/>
          <w:szCs w:val="18"/>
        </w:rPr>
        <w:t>修改模块</w:t>
      </w:r>
      <w:bookmarkEnd w:id="110"/>
    </w:p>
    <w:p>
      <w:pPr>
        <w:ind w:firstLine="480" w:firstLineChars="200"/>
        <w:rPr>
          <w:rFonts w:ascii="仿宋" w:hAnsi="仿宋" w:eastAsia="仿宋"/>
          <w:sz w:val="24"/>
          <w:szCs w:val="24"/>
        </w:rPr>
      </w:pPr>
      <w:r>
        <w:rPr>
          <w:rFonts w:hint="eastAsia" w:ascii="仿宋" w:hAnsi="仿宋" w:eastAsia="仿宋"/>
          <w:sz w:val="24"/>
          <w:szCs w:val="24"/>
        </w:rPr>
        <w:t>支持申报人修改本人申报信息及帮他人申报登记信息。如果到达登记的</w:t>
      </w:r>
      <w:r>
        <w:rPr>
          <w:rFonts w:ascii="仿宋" w:hAnsi="仿宋" w:eastAsia="仿宋"/>
          <w:sz w:val="24"/>
          <w:szCs w:val="24"/>
        </w:rPr>
        <w:t>“</w:t>
      </w:r>
      <w:r>
        <w:rPr>
          <w:rFonts w:hint="eastAsia" w:ascii="仿宋" w:hAnsi="仿宋" w:eastAsia="仿宋"/>
          <w:sz w:val="24"/>
          <w:szCs w:val="24"/>
        </w:rPr>
        <w:t>到建日期</w:t>
      </w:r>
      <w:r>
        <w:rPr>
          <w:rFonts w:ascii="仿宋" w:hAnsi="仿宋" w:eastAsia="仿宋"/>
          <w:sz w:val="24"/>
          <w:szCs w:val="24"/>
        </w:rPr>
        <w:t>”</w:t>
      </w:r>
      <w:r>
        <w:rPr>
          <w:rFonts w:hint="eastAsia" w:ascii="仿宋" w:hAnsi="仿宋" w:eastAsia="仿宋"/>
          <w:sz w:val="24"/>
          <w:szCs w:val="24"/>
        </w:rPr>
        <w:t>,申报人返回地址所对应的乡镇（街道）管理员在管理后台进行</w:t>
      </w:r>
      <w:r>
        <w:rPr>
          <w:rFonts w:ascii="仿宋" w:hAnsi="仿宋" w:eastAsia="仿宋"/>
          <w:sz w:val="24"/>
          <w:szCs w:val="24"/>
        </w:rPr>
        <w:t>“</w:t>
      </w:r>
      <w:r>
        <w:rPr>
          <w:rFonts w:hint="eastAsia" w:ascii="仿宋" w:hAnsi="仿宋" w:eastAsia="仿宋"/>
          <w:sz w:val="24"/>
          <w:szCs w:val="24"/>
        </w:rPr>
        <w:t>确认抵建</w:t>
      </w:r>
      <w:r>
        <w:rPr>
          <w:rFonts w:ascii="仿宋" w:hAnsi="仿宋" w:eastAsia="仿宋"/>
          <w:sz w:val="24"/>
          <w:szCs w:val="24"/>
        </w:rPr>
        <w:t>”</w:t>
      </w:r>
      <w:r>
        <w:rPr>
          <w:rFonts w:hint="eastAsia" w:ascii="仿宋" w:hAnsi="仿宋" w:eastAsia="仿宋"/>
          <w:sz w:val="24"/>
          <w:szCs w:val="24"/>
        </w:rPr>
        <w:t>操作，则该申报信息将无法在微信端进行修改。</w:t>
      </w:r>
    </w:p>
    <w:p>
      <w:pPr>
        <w:pStyle w:val="6"/>
        <w:tabs>
          <w:tab w:val="left" w:pos="0"/>
        </w:tabs>
        <w:rPr>
          <w:rFonts w:ascii="仿宋" w:hAnsi="仿宋" w:eastAsia="仿宋"/>
          <w:sz w:val="28"/>
          <w:szCs w:val="28"/>
        </w:rPr>
      </w:pPr>
      <w:bookmarkStart w:id="111" w:name="_Toc83568290"/>
      <w:r>
        <w:rPr>
          <w:rFonts w:hint="eastAsia" w:ascii="仿宋" w:hAnsi="仿宋" w:eastAsia="仿宋"/>
          <w:sz w:val="28"/>
          <w:szCs w:val="28"/>
        </w:rPr>
        <w:t>“安心返”后台管理系统</w:t>
      </w:r>
      <w:bookmarkEnd w:id="111"/>
    </w:p>
    <w:p>
      <w:pPr>
        <w:ind w:firstLine="480" w:firstLineChars="200"/>
        <w:rPr>
          <w:rFonts w:ascii="仿宋" w:hAnsi="仿宋" w:eastAsia="仿宋"/>
          <w:sz w:val="24"/>
          <w:szCs w:val="24"/>
        </w:rPr>
      </w:pPr>
      <w:r>
        <w:rPr>
          <w:rFonts w:hint="eastAsia" w:ascii="仿宋" w:hAnsi="仿宋" w:eastAsia="仿宋"/>
          <w:sz w:val="24"/>
          <w:szCs w:val="24"/>
        </w:rPr>
        <w:t>“安心返”后台管理系统包含“放心种”，共有申报信息列表、杭州健康码管理、高中风险地区标签化预警管理、乡村红黄蓝三色预警管理、核酸监测采样管理、短信通知提醒管理、统计报表、放心种后台管理、区域管理、用户管理、风险区域、角色授权、网站设置、密码修改、日志列表。</w:t>
      </w:r>
    </w:p>
    <w:p>
      <w:pPr>
        <w:pStyle w:val="7"/>
        <w:tabs>
          <w:tab w:val="left" w:pos="0"/>
        </w:tabs>
        <w:ind w:left="0" w:firstLine="0"/>
        <w:rPr>
          <w:rFonts w:ascii="仿宋" w:hAnsi="仿宋" w:eastAsia="仿宋"/>
          <w:sz w:val="24"/>
          <w:szCs w:val="18"/>
        </w:rPr>
      </w:pPr>
      <w:bookmarkStart w:id="112" w:name="_Toc83568291"/>
      <w:r>
        <w:rPr>
          <w:rFonts w:hint="eastAsia" w:ascii="仿宋" w:hAnsi="仿宋" w:eastAsia="仿宋"/>
          <w:sz w:val="24"/>
          <w:szCs w:val="18"/>
        </w:rPr>
        <w:t>申报信息列表</w:t>
      </w:r>
      <w:bookmarkEnd w:id="112"/>
    </w:p>
    <w:p>
      <w:pPr>
        <w:ind w:firstLine="480" w:firstLineChars="200"/>
        <w:rPr>
          <w:rFonts w:ascii="仿宋" w:hAnsi="仿宋" w:eastAsia="仿宋"/>
          <w:sz w:val="24"/>
          <w:szCs w:val="24"/>
        </w:rPr>
      </w:pPr>
      <w:r>
        <w:rPr>
          <w:rFonts w:hint="eastAsia" w:ascii="仿宋" w:hAnsi="仿宋" w:eastAsia="仿宋"/>
          <w:sz w:val="24"/>
          <w:szCs w:val="24"/>
        </w:rPr>
        <w:t>支持申报信息筛选（姓名、身份证、申报日期（包含开始和结束日期）、归建日期（包含开始和结束日期）、是否纳管、抵建确认类型、是否结束纳管、来建工作类型、近一个月内由境外回国、区域预警等级分类、是否从事以下相关行业、是否粗壮乃相关情况、杭州健康码、常住地址（乡镇（街道）与村（社区）联动）、何地返建等筛选条件）。支持导出，导出包含所有申报登记信息项。支持查询数据按照乡镇（街道）进行数据访问权限控制，每个乡镇（街道）管理员账户只能查询所属乡镇（街道）数据，市级管理员账号可以查询所有数据。编辑修改：每个乡镇（街道）管理员账户能能编辑修改所属乡镇（街道）数据，市级管理员账户可以编辑修改所有数据支持信息新增和删除功能。改派：经过线下摸排，如果返现申报人登记的乡镇（街道）信息错误，乡镇（街道）管理员账号可进行改派操作，改派至正确的乡镇（街道）。改派成功后，原乡镇（街道）管理员账号将无该数据查询及操作权限。确认抵建:每个乡镇（街道）管理员账号能能对所属乡镇（街道）数据进行抵建确认，市级管理员账号可以对所有数据进行抵建确认。抵建确认分为六种情况：不返建、14+7集中隔离、14+7居家隔离、7+7健康管理、14+7+7健康管理、14天健康监测。申报记录一旦进行了抵建确认，无论乡镇（街道）管理员账号还是市级管理员账号都不能再修改申报登记信息。确认抵建重置：乡镇（街道）管理员账号在进行抵建确认操作的时候，如果操作错误，确认抵建重置能清除所有确认抵建相关信息，重置记录可重新进行抵建确认操作。确认抵建重置功能仅系统管理员具有权限。结束纳管：进行了“确认抵建”操作后，申报记录从登记状态进入纳管状态，当确认申报信息满足疫情防控管理要求后，该申报记录可进行结束纳管操作。</w:t>
      </w:r>
    </w:p>
    <w:p>
      <w:pPr>
        <w:pStyle w:val="7"/>
        <w:tabs>
          <w:tab w:val="left" w:pos="0"/>
        </w:tabs>
        <w:ind w:left="0" w:firstLine="0"/>
        <w:rPr>
          <w:rFonts w:ascii="仿宋" w:hAnsi="仿宋" w:eastAsia="仿宋"/>
          <w:sz w:val="24"/>
          <w:szCs w:val="18"/>
        </w:rPr>
      </w:pPr>
      <w:bookmarkStart w:id="113" w:name="_Toc83568292"/>
      <w:r>
        <w:rPr>
          <w:rFonts w:hint="eastAsia" w:ascii="仿宋" w:hAnsi="仿宋" w:eastAsia="仿宋"/>
          <w:sz w:val="24"/>
          <w:szCs w:val="18"/>
        </w:rPr>
        <w:t>杭州健康码管理</w:t>
      </w:r>
      <w:bookmarkEnd w:id="113"/>
    </w:p>
    <w:p>
      <w:pPr>
        <w:ind w:firstLine="480" w:firstLineChars="200"/>
        <w:rPr>
          <w:rFonts w:ascii="仿宋" w:hAnsi="仿宋" w:eastAsia="仿宋"/>
          <w:sz w:val="24"/>
          <w:szCs w:val="24"/>
        </w:rPr>
      </w:pPr>
      <w:r>
        <w:rPr>
          <w:rFonts w:hint="eastAsia" w:ascii="仿宋" w:hAnsi="仿宋" w:eastAsia="仿宋"/>
          <w:sz w:val="24"/>
          <w:szCs w:val="24"/>
        </w:rPr>
        <w:t>对接杭州城市大脑公共数据平台杭州健康码接口，当申报人提交登记信息的时候，将根据姓名和身份证号码进行匹配查询，获取申报人最新杭州健康码状态（颜色）。</w:t>
      </w:r>
    </w:p>
    <w:p>
      <w:pPr>
        <w:pStyle w:val="7"/>
        <w:tabs>
          <w:tab w:val="left" w:pos="0"/>
        </w:tabs>
        <w:ind w:left="0" w:firstLine="0"/>
        <w:rPr>
          <w:rFonts w:ascii="仿宋" w:hAnsi="仿宋" w:eastAsia="仿宋"/>
          <w:sz w:val="24"/>
          <w:szCs w:val="18"/>
        </w:rPr>
      </w:pPr>
      <w:bookmarkStart w:id="114" w:name="_Toc83568293"/>
      <w:r>
        <w:rPr>
          <w:rFonts w:hint="eastAsia" w:ascii="仿宋" w:hAnsi="仿宋" w:eastAsia="仿宋"/>
          <w:sz w:val="24"/>
          <w:szCs w:val="18"/>
        </w:rPr>
        <w:t>高中风险地区标签化预警管理</w:t>
      </w:r>
      <w:bookmarkEnd w:id="114"/>
    </w:p>
    <w:p>
      <w:pPr>
        <w:ind w:firstLine="480" w:firstLineChars="200"/>
        <w:rPr>
          <w:rFonts w:ascii="仿宋" w:hAnsi="仿宋" w:eastAsia="仿宋"/>
          <w:sz w:val="24"/>
          <w:szCs w:val="24"/>
        </w:rPr>
      </w:pPr>
      <w:r>
        <w:rPr>
          <w:rFonts w:hint="eastAsia" w:ascii="仿宋" w:hAnsi="仿宋" w:eastAsia="仿宋"/>
          <w:sz w:val="24"/>
          <w:szCs w:val="24"/>
        </w:rPr>
        <w:t>当申报人提交登记信息的时候，根据最新的高中风险地区信息，对来自中高风险地区的用户进行标签化预警管理。其中高中风险地区按照区县作为最小区域进行匹配，直辖市按照乡镇（街道）作为最小区域进行匹配。</w:t>
      </w:r>
    </w:p>
    <w:p>
      <w:pPr>
        <w:pStyle w:val="7"/>
        <w:tabs>
          <w:tab w:val="left" w:pos="0"/>
        </w:tabs>
        <w:ind w:left="0" w:firstLine="0"/>
        <w:rPr>
          <w:rFonts w:ascii="仿宋" w:hAnsi="仿宋" w:eastAsia="仿宋"/>
          <w:sz w:val="24"/>
          <w:szCs w:val="18"/>
        </w:rPr>
      </w:pPr>
      <w:bookmarkStart w:id="115" w:name="_Toc83568294"/>
      <w:r>
        <w:rPr>
          <w:rFonts w:hint="eastAsia" w:ascii="仿宋" w:hAnsi="仿宋" w:eastAsia="仿宋"/>
          <w:sz w:val="24"/>
          <w:szCs w:val="18"/>
        </w:rPr>
        <w:t>乡村红黄蓝三色预警管理</w:t>
      </w:r>
      <w:bookmarkEnd w:id="115"/>
    </w:p>
    <w:p>
      <w:pPr>
        <w:ind w:firstLine="480" w:firstLineChars="200"/>
        <w:rPr>
          <w:rFonts w:ascii="仿宋" w:hAnsi="仿宋" w:eastAsia="仿宋"/>
          <w:sz w:val="24"/>
          <w:szCs w:val="24"/>
        </w:rPr>
      </w:pPr>
      <w:r>
        <w:rPr>
          <w:rFonts w:hint="eastAsia" w:ascii="仿宋" w:hAnsi="仿宋" w:eastAsia="仿宋"/>
          <w:sz w:val="24"/>
          <w:szCs w:val="24"/>
        </w:rPr>
        <w:t>按照省《浙江省新型冠状病毒肺炎疫情防控工作领导小组办公室关于印发浙江省农村地区新冠肺炎疫情防控工作方案》，对曾确诊为病例、2 个月内曾判定为密接和密接的密接、从事进口冷链食品和货品相关工作、隔离场所工作人员等在国内从事相对高风险职业的返乡人员、14 天内来自中高风险地区所在城市人员、入境人员等返乡的数据进行分级预警管理。</w:t>
      </w:r>
    </w:p>
    <w:p>
      <w:pPr>
        <w:pStyle w:val="7"/>
        <w:tabs>
          <w:tab w:val="left" w:pos="0"/>
        </w:tabs>
        <w:ind w:left="0" w:firstLine="0"/>
        <w:rPr>
          <w:rFonts w:ascii="仿宋" w:hAnsi="仿宋" w:eastAsia="仿宋"/>
          <w:sz w:val="24"/>
          <w:szCs w:val="18"/>
        </w:rPr>
      </w:pPr>
      <w:bookmarkStart w:id="116" w:name="_Toc83568295"/>
      <w:r>
        <w:rPr>
          <w:rFonts w:hint="eastAsia" w:ascii="仿宋" w:hAnsi="仿宋" w:eastAsia="仿宋"/>
          <w:sz w:val="24"/>
          <w:szCs w:val="18"/>
        </w:rPr>
        <w:t>核酸监测采样管理</w:t>
      </w:r>
      <w:bookmarkEnd w:id="116"/>
    </w:p>
    <w:p>
      <w:pPr>
        <w:ind w:firstLine="480" w:firstLineChars="200"/>
        <w:rPr>
          <w:rFonts w:ascii="仿宋" w:hAnsi="仿宋" w:eastAsia="仿宋"/>
          <w:sz w:val="24"/>
          <w:szCs w:val="24"/>
        </w:rPr>
      </w:pPr>
      <w:r>
        <w:rPr>
          <w:rFonts w:hint="eastAsia" w:ascii="仿宋" w:hAnsi="仿宋" w:eastAsia="仿宋"/>
          <w:sz w:val="24"/>
          <w:szCs w:val="24"/>
        </w:rPr>
        <w:t>根据疫情防控分级分类管理的要求，申请人抵建后可能需要做核酸监测，其中核酸监测分为上门采样监测和自行去综合服务点采样监测两种方式。系统按照六种情况分别支持1天、7天、14天和21天的核酸检查采样的在线预约。根据抵建确认的时间进行管控的不同类型（五种类型），进行核酸监上门采样查询，提醒乡镇（街道）管理员进行综合服务点核酸监测采样预约。读卡（身份证）核验：在每个核酸监测采样综合服务点，配备有身份证读卡器。已经在系统预约核酸监测采样的申请人通过刷身份证读卡，能识别具体预约信息，包含：姓名、何地返建、核检预约日期+时间段（上午/中午/下午及具体小时时间段）、核检医疗机构。支持核酸监测采样信息修改。</w:t>
      </w:r>
    </w:p>
    <w:p>
      <w:pPr>
        <w:pStyle w:val="7"/>
        <w:tabs>
          <w:tab w:val="left" w:pos="0"/>
        </w:tabs>
        <w:ind w:left="0" w:firstLine="0"/>
        <w:rPr>
          <w:rFonts w:ascii="仿宋" w:hAnsi="仿宋" w:eastAsia="仿宋"/>
          <w:sz w:val="24"/>
          <w:szCs w:val="18"/>
        </w:rPr>
      </w:pPr>
      <w:bookmarkStart w:id="117" w:name="_Toc83568296"/>
      <w:r>
        <w:rPr>
          <w:rFonts w:hint="eastAsia" w:ascii="仿宋" w:hAnsi="仿宋" w:eastAsia="仿宋"/>
          <w:sz w:val="24"/>
          <w:szCs w:val="18"/>
        </w:rPr>
        <w:t>短信通知提醒管理</w:t>
      </w:r>
      <w:bookmarkEnd w:id="117"/>
    </w:p>
    <w:p>
      <w:pPr>
        <w:ind w:firstLine="480" w:firstLineChars="200"/>
        <w:rPr>
          <w:rFonts w:ascii="仿宋" w:hAnsi="仿宋" w:eastAsia="仿宋"/>
          <w:sz w:val="24"/>
          <w:szCs w:val="24"/>
        </w:rPr>
      </w:pPr>
      <w:r>
        <w:rPr>
          <w:rFonts w:hint="eastAsia" w:ascii="仿宋" w:hAnsi="仿宋" w:eastAsia="仿宋"/>
          <w:sz w:val="24"/>
          <w:szCs w:val="24"/>
        </w:rPr>
        <w:t>短信通知提醒管理功能点如下：</w:t>
      </w:r>
    </w:p>
    <w:p>
      <w:pPr>
        <w:ind w:firstLine="480" w:firstLineChars="200"/>
        <w:rPr>
          <w:rFonts w:ascii="仿宋" w:hAnsi="仿宋" w:eastAsia="仿宋"/>
          <w:sz w:val="24"/>
          <w:szCs w:val="24"/>
        </w:rPr>
      </w:pPr>
      <w:r>
        <w:rPr>
          <w:rFonts w:hint="eastAsia" w:ascii="仿宋" w:hAnsi="仿宋" w:eastAsia="仿宋"/>
          <w:sz w:val="24"/>
          <w:szCs w:val="24"/>
        </w:rPr>
        <w:t>1）如申报人登记“何地返建”的区县（直辖市街道）选择了高中风险区域，申报登记提交后，回自动发送短信给登记的手机号码，短信提醒内容：“鉴于您目前所在城市有中高风险地区，建议暂缓来建，待风险调低后再有序来建。稍后会有防疫工作人员与您联系。感谢您的理解配合。〔建德市防疫指挥部〕”同时，申报人返回地址所对应的乡镇（街道）管理员手机也回同时收到提醒信息：“安心返系统中有中高风险地区人员“某某某”返建申报请注意查收”。</w:t>
      </w:r>
      <w:r>
        <w:rPr>
          <w:rFonts w:hint="eastAsia" w:ascii="仿宋" w:hAnsi="仿宋" w:eastAsia="仿宋"/>
          <w:sz w:val="24"/>
          <w:szCs w:val="24"/>
        </w:rPr>
        <w:br w:type="textWrapping"/>
      </w:r>
      <w:r>
        <w:rPr>
          <w:rFonts w:hint="eastAsia" w:ascii="仿宋" w:hAnsi="仿宋" w:eastAsia="仿宋"/>
          <w:sz w:val="24"/>
          <w:szCs w:val="24"/>
        </w:rPr>
        <w:t>2）每天上午八点半，对申报人登记“何地返建”的区县（直辖市街道）选择了高中风险区域，在登记的“到建日期”为当天的申报人，系统自动推送提醒短信，短信内容未：“为了您的健康和防疫需要，请在来建途中做好防控，请在抵建后立即向村、社报备，并主动配合做好相关防疫措施。感谢您的理解配合。〔建德市防疫指挥部〕”。同时，申报人返回地址所对应的乡镇（街道）管理员手机也回同时收到提醒信息：“安心返系统中有中高风险地区人员“某某某”今日返建请注意查收”。</w:t>
      </w:r>
      <w:r>
        <w:rPr>
          <w:rFonts w:hint="eastAsia" w:ascii="仿宋" w:hAnsi="仿宋" w:eastAsia="仿宋"/>
          <w:sz w:val="24"/>
          <w:szCs w:val="24"/>
        </w:rPr>
        <w:br w:type="textWrapping"/>
      </w:r>
      <w:r>
        <w:rPr>
          <w:rFonts w:hint="eastAsia" w:ascii="仿宋" w:hAnsi="仿宋" w:eastAsia="仿宋"/>
          <w:sz w:val="24"/>
          <w:szCs w:val="24"/>
        </w:rPr>
        <w:t>3）当确认抵建的时候，如果预约了综合采样服务器核酸检查，点击“保存”按钮的时候，发送短息，短信内容：“某某某，身份证尾号****，您已预约2021年某月某日号上午（或中午、下午）几点至几点到某某某综合服务点进行核酸采样，请携带本人身份证并佩戴好口罩，感谢配合！”</w:t>
      </w:r>
    </w:p>
    <w:p>
      <w:pPr>
        <w:pStyle w:val="7"/>
        <w:tabs>
          <w:tab w:val="left" w:pos="0"/>
        </w:tabs>
        <w:ind w:left="0" w:firstLine="0"/>
        <w:rPr>
          <w:rFonts w:ascii="仿宋" w:hAnsi="仿宋" w:eastAsia="仿宋"/>
          <w:sz w:val="24"/>
          <w:szCs w:val="18"/>
        </w:rPr>
      </w:pPr>
      <w:bookmarkStart w:id="118" w:name="_Toc83568297"/>
      <w:r>
        <w:rPr>
          <w:rFonts w:hint="eastAsia" w:ascii="仿宋" w:hAnsi="仿宋" w:eastAsia="仿宋"/>
          <w:sz w:val="24"/>
          <w:szCs w:val="18"/>
        </w:rPr>
        <w:t>统计报表</w:t>
      </w:r>
      <w:bookmarkEnd w:id="118"/>
    </w:p>
    <w:p>
      <w:pPr>
        <w:ind w:firstLine="480" w:firstLineChars="200"/>
        <w:rPr>
          <w:rFonts w:ascii="仿宋" w:hAnsi="仿宋" w:eastAsia="仿宋"/>
          <w:sz w:val="24"/>
          <w:szCs w:val="24"/>
        </w:rPr>
      </w:pPr>
      <w:r>
        <w:rPr>
          <w:rFonts w:hint="eastAsia" w:ascii="仿宋" w:hAnsi="仿宋" w:eastAsia="仿宋"/>
          <w:sz w:val="24"/>
          <w:szCs w:val="24"/>
        </w:rPr>
        <w:t>统计报表其中包括申报数据统计表、管理数据统计表（乡镇、街道）、管理数据统计表（村、社区）、返工情况统计表。统计报表查询统计条件按照乡镇（街道）进行控制，各乡镇（街道）管理员账号只能查询和统计各自乡镇（街道）数据，市级管理员账号能查询和统计全市所有数据。所有统计报表支持excel导出。</w:t>
      </w:r>
    </w:p>
    <w:p>
      <w:pPr>
        <w:pStyle w:val="7"/>
        <w:tabs>
          <w:tab w:val="left" w:pos="0"/>
        </w:tabs>
        <w:ind w:left="0" w:firstLine="0"/>
        <w:rPr>
          <w:rFonts w:ascii="仿宋" w:hAnsi="仿宋" w:eastAsia="仿宋"/>
          <w:sz w:val="24"/>
          <w:szCs w:val="18"/>
        </w:rPr>
      </w:pPr>
      <w:bookmarkStart w:id="119" w:name="_Toc83568298"/>
      <w:r>
        <w:rPr>
          <w:rFonts w:hint="eastAsia" w:ascii="仿宋" w:hAnsi="仿宋" w:eastAsia="仿宋"/>
          <w:sz w:val="24"/>
          <w:szCs w:val="18"/>
        </w:rPr>
        <w:t>放心种后台管理</w:t>
      </w:r>
      <w:bookmarkEnd w:id="119"/>
    </w:p>
    <w:p>
      <w:pPr>
        <w:ind w:firstLine="480" w:firstLineChars="200"/>
        <w:rPr>
          <w:rFonts w:ascii="仿宋" w:hAnsi="仿宋" w:eastAsia="仿宋"/>
          <w:sz w:val="24"/>
          <w:szCs w:val="24"/>
        </w:rPr>
      </w:pPr>
      <w:r>
        <w:rPr>
          <w:rFonts w:hint="eastAsia" w:ascii="仿宋" w:hAnsi="仿宋" w:eastAsia="仿宋"/>
          <w:sz w:val="24"/>
          <w:szCs w:val="24"/>
        </w:rPr>
        <w:t>支持申报信息筛选、查看。支持Excel表格导入、导出。支持操作:第一次接种、第二次接种、第三次接种、未接种、延期接种、编辑、删除。支持信息统计报表。每剂次新增三项接种登记信息“疫苗名称”、“疫苗批号”、“疫苗生产厂家”。导出省平台接种数据，与“放心种”数据进行大数据比对，根据身份证号码（脱敏）、姓名、出生日期、联系电话等信息，进行数据匹配，更新省平台“接种医疗机构”、“接种日期”、“疫苗名称”、“疫苗批号”、“疫苗生产厂家”到“放心种”平台。数据比对工作需常态化进行（省平台每日可导出更新），以保证“放心种”平台面向公众开发查询的疫苗接种信息实时正确。新增疫苗第三剂次接种管理，包括第三剂次信息登记，信息导入，信息编辑，信息查看。接种医疗结构现场刷身份证登记增加第三剂次登记。接种医疗机构变更，删除临时方舱，把在方舱登记的接种记录归并到所属街道。修改“预约列表”查询功能，新增各类查询组合。新增详细信息展示页面，展示第一、第二、第三剂次接种信息详情。按照接种人群分类，新增三张统计表报：党政机关、企事业单位新冠病毒疫苗接种情况统计教育机构新冠病毒疫苗接种情况统计医疗机构新冠病毒疫苗接种情况统计新增“全市新冠病毒疫苗接种情况统计表”，以建德市常住人口为统计基数口径，进行接种比例统计。</w:t>
      </w:r>
    </w:p>
    <w:p>
      <w:pPr>
        <w:pStyle w:val="7"/>
        <w:tabs>
          <w:tab w:val="left" w:pos="0"/>
        </w:tabs>
        <w:ind w:left="0" w:firstLine="0"/>
        <w:rPr>
          <w:rFonts w:ascii="仿宋" w:hAnsi="仿宋" w:eastAsia="仿宋"/>
          <w:sz w:val="24"/>
          <w:szCs w:val="18"/>
        </w:rPr>
      </w:pPr>
      <w:bookmarkStart w:id="120" w:name="_Toc83568299"/>
      <w:r>
        <w:rPr>
          <w:rFonts w:hint="eastAsia" w:ascii="仿宋" w:hAnsi="仿宋" w:eastAsia="仿宋"/>
          <w:sz w:val="24"/>
          <w:szCs w:val="18"/>
        </w:rPr>
        <w:t>区域管理</w:t>
      </w:r>
      <w:bookmarkEnd w:id="120"/>
    </w:p>
    <w:p>
      <w:pPr>
        <w:ind w:firstLine="480" w:firstLineChars="200"/>
        <w:rPr>
          <w:rFonts w:ascii="仿宋" w:hAnsi="仿宋" w:eastAsia="仿宋"/>
          <w:sz w:val="24"/>
          <w:szCs w:val="24"/>
        </w:rPr>
      </w:pPr>
      <w:r>
        <w:rPr>
          <w:rFonts w:hint="eastAsia" w:ascii="仿宋" w:hAnsi="仿宋" w:eastAsia="仿宋"/>
          <w:sz w:val="24"/>
          <w:szCs w:val="24"/>
        </w:rPr>
        <w:t>支持区域添加、编辑、删除、添加子类功能，用于乡镇（街道）、村社的信息管理，并支持搜索。</w:t>
      </w:r>
    </w:p>
    <w:p>
      <w:pPr>
        <w:pStyle w:val="7"/>
        <w:tabs>
          <w:tab w:val="left" w:pos="0"/>
        </w:tabs>
        <w:ind w:left="0" w:firstLine="0"/>
        <w:rPr>
          <w:rFonts w:ascii="仿宋" w:hAnsi="仿宋" w:eastAsia="仿宋"/>
          <w:sz w:val="24"/>
          <w:szCs w:val="18"/>
        </w:rPr>
      </w:pPr>
      <w:bookmarkStart w:id="121" w:name="_Toc83568300"/>
      <w:r>
        <w:rPr>
          <w:rFonts w:hint="eastAsia" w:ascii="仿宋" w:hAnsi="仿宋" w:eastAsia="仿宋"/>
          <w:sz w:val="24"/>
          <w:szCs w:val="18"/>
        </w:rPr>
        <w:t>用户管理</w:t>
      </w:r>
      <w:bookmarkEnd w:id="121"/>
    </w:p>
    <w:p>
      <w:pPr>
        <w:ind w:firstLine="480" w:firstLineChars="200"/>
        <w:rPr>
          <w:rFonts w:ascii="仿宋" w:hAnsi="仿宋" w:eastAsia="仿宋"/>
          <w:sz w:val="24"/>
          <w:szCs w:val="24"/>
        </w:rPr>
      </w:pPr>
      <w:r>
        <w:rPr>
          <w:rFonts w:hint="eastAsia" w:ascii="仿宋" w:hAnsi="仿宋" w:eastAsia="仿宋"/>
          <w:sz w:val="24"/>
          <w:szCs w:val="24"/>
        </w:rPr>
        <w:t>支持用户添加、编辑、删除功能，支持用户选择级别及授权管理。用户分为乡镇（街道）管理员账户和市级管理员账户。</w:t>
      </w:r>
    </w:p>
    <w:p>
      <w:pPr>
        <w:pStyle w:val="7"/>
        <w:tabs>
          <w:tab w:val="left" w:pos="0"/>
        </w:tabs>
        <w:ind w:left="0" w:firstLine="0"/>
        <w:rPr>
          <w:rFonts w:ascii="仿宋" w:hAnsi="仿宋" w:eastAsia="仿宋"/>
          <w:sz w:val="24"/>
          <w:szCs w:val="18"/>
        </w:rPr>
      </w:pPr>
      <w:bookmarkStart w:id="122" w:name="_Toc83568301"/>
      <w:r>
        <w:rPr>
          <w:rFonts w:hint="eastAsia" w:ascii="仿宋" w:hAnsi="仿宋" w:eastAsia="仿宋"/>
          <w:sz w:val="24"/>
          <w:szCs w:val="18"/>
        </w:rPr>
        <w:t>风险区域</w:t>
      </w:r>
      <w:bookmarkEnd w:id="122"/>
    </w:p>
    <w:p>
      <w:pPr>
        <w:ind w:firstLine="480" w:firstLineChars="200"/>
        <w:rPr>
          <w:rFonts w:ascii="仿宋" w:hAnsi="仿宋" w:eastAsia="仿宋"/>
          <w:sz w:val="24"/>
          <w:szCs w:val="24"/>
        </w:rPr>
      </w:pPr>
      <w:r>
        <w:rPr>
          <w:rFonts w:hint="eastAsia" w:ascii="仿宋" w:hAnsi="仿宋" w:eastAsia="仿宋"/>
          <w:sz w:val="24"/>
          <w:szCs w:val="24"/>
        </w:rPr>
        <w:t>用于根据实时变化的高中风险区域的添加、编辑、删除、查询等功能。</w:t>
      </w:r>
    </w:p>
    <w:p>
      <w:pPr>
        <w:pStyle w:val="7"/>
        <w:tabs>
          <w:tab w:val="left" w:pos="0"/>
        </w:tabs>
        <w:ind w:left="0" w:firstLine="0"/>
        <w:rPr>
          <w:rFonts w:ascii="仿宋" w:hAnsi="仿宋" w:eastAsia="仿宋"/>
          <w:sz w:val="24"/>
          <w:szCs w:val="18"/>
        </w:rPr>
      </w:pPr>
      <w:bookmarkStart w:id="123" w:name="_Toc83568302"/>
      <w:r>
        <w:rPr>
          <w:rFonts w:hint="eastAsia" w:ascii="仿宋" w:hAnsi="仿宋" w:eastAsia="仿宋"/>
          <w:sz w:val="24"/>
          <w:szCs w:val="18"/>
        </w:rPr>
        <w:t>角色授权</w:t>
      </w:r>
      <w:bookmarkEnd w:id="123"/>
    </w:p>
    <w:p>
      <w:pPr>
        <w:ind w:firstLine="480" w:firstLineChars="200"/>
        <w:rPr>
          <w:rFonts w:ascii="仿宋" w:hAnsi="仿宋" w:eastAsia="仿宋"/>
          <w:sz w:val="24"/>
          <w:szCs w:val="24"/>
        </w:rPr>
      </w:pPr>
      <w:r>
        <w:rPr>
          <w:rFonts w:hint="eastAsia" w:ascii="仿宋" w:hAnsi="仿宋" w:eastAsia="仿宋"/>
          <w:sz w:val="24"/>
          <w:szCs w:val="24"/>
        </w:rPr>
        <w:t>支持角色权限管理，支持添加角色、权限分配。</w:t>
      </w:r>
    </w:p>
    <w:p>
      <w:pPr>
        <w:pStyle w:val="7"/>
        <w:tabs>
          <w:tab w:val="left" w:pos="0"/>
        </w:tabs>
        <w:ind w:left="0" w:firstLine="0"/>
        <w:rPr>
          <w:rFonts w:ascii="仿宋" w:hAnsi="仿宋" w:eastAsia="仿宋"/>
          <w:sz w:val="24"/>
          <w:szCs w:val="18"/>
        </w:rPr>
      </w:pPr>
      <w:bookmarkStart w:id="124" w:name="_Toc83568303"/>
      <w:r>
        <w:rPr>
          <w:rFonts w:hint="eastAsia" w:ascii="仿宋" w:hAnsi="仿宋" w:eastAsia="仿宋"/>
          <w:sz w:val="24"/>
          <w:szCs w:val="18"/>
        </w:rPr>
        <w:t>网站设置</w:t>
      </w:r>
      <w:bookmarkEnd w:id="124"/>
    </w:p>
    <w:p>
      <w:pPr>
        <w:ind w:firstLine="480" w:firstLineChars="200"/>
        <w:rPr>
          <w:rFonts w:ascii="仿宋" w:hAnsi="仿宋" w:eastAsia="仿宋"/>
          <w:sz w:val="24"/>
          <w:szCs w:val="24"/>
        </w:rPr>
      </w:pPr>
      <w:r>
        <w:rPr>
          <w:rFonts w:hint="eastAsia" w:ascii="仿宋" w:hAnsi="仿宋" w:eastAsia="仿宋"/>
          <w:sz w:val="24"/>
          <w:szCs w:val="24"/>
        </w:rPr>
        <w:t>支持系统名称修改、网站logo图片修改、网站标签页图标修改。</w:t>
      </w:r>
    </w:p>
    <w:p>
      <w:pPr>
        <w:pStyle w:val="7"/>
        <w:tabs>
          <w:tab w:val="left" w:pos="0"/>
        </w:tabs>
        <w:ind w:left="0" w:firstLine="0"/>
        <w:rPr>
          <w:rFonts w:ascii="仿宋" w:hAnsi="仿宋" w:eastAsia="仿宋"/>
          <w:sz w:val="24"/>
          <w:szCs w:val="18"/>
        </w:rPr>
      </w:pPr>
      <w:bookmarkStart w:id="125" w:name="_Toc83568304"/>
      <w:r>
        <w:rPr>
          <w:rFonts w:hint="eastAsia" w:ascii="仿宋" w:hAnsi="仿宋" w:eastAsia="仿宋"/>
          <w:sz w:val="24"/>
          <w:szCs w:val="18"/>
        </w:rPr>
        <w:t>密码修改</w:t>
      </w:r>
      <w:bookmarkEnd w:id="125"/>
    </w:p>
    <w:p>
      <w:pPr>
        <w:ind w:firstLine="480" w:firstLineChars="200"/>
        <w:rPr>
          <w:rFonts w:ascii="仿宋" w:hAnsi="仿宋" w:eastAsia="仿宋"/>
          <w:sz w:val="24"/>
          <w:szCs w:val="24"/>
        </w:rPr>
      </w:pPr>
      <w:r>
        <w:rPr>
          <w:rFonts w:hint="eastAsia" w:ascii="仿宋" w:hAnsi="仿宋" w:eastAsia="仿宋"/>
          <w:sz w:val="24"/>
          <w:szCs w:val="24"/>
        </w:rPr>
        <w:t>支持本人账号修改密码功能。</w:t>
      </w:r>
    </w:p>
    <w:p>
      <w:pPr>
        <w:pStyle w:val="7"/>
        <w:tabs>
          <w:tab w:val="left" w:pos="0"/>
        </w:tabs>
        <w:ind w:left="0" w:firstLine="0"/>
        <w:rPr>
          <w:rFonts w:ascii="仿宋" w:hAnsi="仿宋" w:eastAsia="仿宋"/>
          <w:sz w:val="24"/>
          <w:szCs w:val="18"/>
        </w:rPr>
      </w:pPr>
      <w:bookmarkStart w:id="126" w:name="_Toc83568305"/>
      <w:r>
        <w:rPr>
          <w:rFonts w:hint="eastAsia" w:ascii="仿宋" w:hAnsi="仿宋" w:eastAsia="仿宋"/>
          <w:sz w:val="24"/>
          <w:szCs w:val="18"/>
        </w:rPr>
        <w:t>日志列表</w:t>
      </w:r>
      <w:bookmarkEnd w:id="126"/>
    </w:p>
    <w:p>
      <w:pPr>
        <w:ind w:firstLine="480" w:firstLineChars="200"/>
        <w:rPr>
          <w:rFonts w:ascii="仿宋" w:hAnsi="仿宋" w:eastAsia="仿宋"/>
          <w:sz w:val="24"/>
          <w:szCs w:val="24"/>
        </w:rPr>
      </w:pPr>
      <w:r>
        <w:rPr>
          <w:rFonts w:hint="eastAsia" w:ascii="仿宋" w:hAnsi="仿宋" w:eastAsia="仿宋"/>
          <w:sz w:val="24"/>
          <w:szCs w:val="24"/>
        </w:rPr>
        <w:t>支持日志记录，并支持通过账号进行查询。</w:t>
      </w:r>
    </w:p>
    <w:p>
      <w:pPr>
        <w:pStyle w:val="6"/>
        <w:tabs>
          <w:tab w:val="left" w:pos="0"/>
        </w:tabs>
        <w:rPr>
          <w:rFonts w:ascii="仿宋" w:hAnsi="仿宋" w:eastAsia="仿宋"/>
          <w:sz w:val="28"/>
          <w:szCs w:val="28"/>
        </w:rPr>
      </w:pPr>
      <w:bookmarkStart w:id="127" w:name="_Toc83568306"/>
      <w:r>
        <w:rPr>
          <w:rFonts w:hint="eastAsia" w:ascii="仿宋" w:hAnsi="仿宋" w:eastAsia="仿宋"/>
          <w:sz w:val="28"/>
          <w:szCs w:val="28"/>
        </w:rPr>
        <w:t>“安心返”数字驾驶舱设计</w:t>
      </w:r>
      <w:bookmarkEnd w:id="127"/>
    </w:p>
    <w:p>
      <w:pPr>
        <w:pStyle w:val="7"/>
        <w:tabs>
          <w:tab w:val="left" w:pos="0"/>
        </w:tabs>
        <w:ind w:left="0" w:firstLine="0"/>
        <w:rPr>
          <w:rFonts w:ascii="仿宋" w:hAnsi="仿宋" w:eastAsia="仿宋"/>
          <w:sz w:val="24"/>
          <w:szCs w:val="18"/>
        </w:rPr>
      </w:pPr>
      <w:bookmarkStart w:id="128" w:name="_Toc83568307"/>
      <w:r>
        <w:rPr>
          <w:rFonts w:ascii="仿宋" w:hAnsi="仿宋" w:eastAsia="仿宋"/>
          <w:sz w:val="24"/>
          <w:szCs w:val="18"/>
        </w:rPr>
        <w:t>PC</w:t>
      </w:r>
      <w:r>
        <w:rPr>
          <w:rFonts w:hint="eastAsia" w:ascii="仿宋" w:hAnsi="仿宋" w:eastAsia="仿宋"/>
          <w:sz w:val="24"/>
          <w:szCs w:val="18"/>
        </w:rPr>
        <w:t>端数字驾驶舱</w:t>
      </w:r>
      <w:bookmarkEnd w:id="128"/>
    </w:p>
    <w:p>
      <w:pPr>
        <w:ind w:firstLine="480" w:firstLineChars="200"/>
        <w:rPr>
          <w:rFonts w:ascii="仿宋" w:hAnsi="仿宋" w:eastAsia="仿宋"/>
          <w:sz w:val="24"/>
          <w:szCs w:val="24"/>
        </w:rPr>
      </w:pPr>
      <w:r>
        <w:rPr>
          <w:rFonts w:hint="eastAsia" w:ascii="仿宋" w:hAnsi="仿宋" w:eastAsia="仿宋"/>
          <w:sz w:val="24"/>
          <w:szCs w:val="24"/>
        </w:rPr>
        <w:t>结合建德市疫情防控工作实际情况而开发“安心返”数字驾驶舱PC端，对接“安心返”系统数据及“杭州健康码”接口，从申报透视很管理透视两个视角，融合“农村地区疫情防控区域预警风险登记分类及管理要求”，实现了疫情防控数据实时掌控、疫情防控分类分级情况清晰明了，抵建纳管人群管理进度一目了然，赋能疫情防控。包含以下主要功能：</w:t>
      </w:r>
    </w:p>
    <w:p>
      <w:pPr>
        <w:ind w:firstLine="480" w:firstLineChars="200"/>
        <w:rPr>
          <w:rFonts w:ascii="仿宋" w:hAnsi="仿宋" w:eastAsia="仿宋"/>
          <w:sz w:val="24"/>
          <w:szCs w:val="24"/>
        </w:rPr>
      </w:pPr>
      <w:r>
        <w:rPr>
          <w:rFonts w:hint="eastAsia" w:ascii="仿宋" w:hAnsi="仿宋" w:eastAsia="仿宋"/>
          <w:sz w:val="24"/>
          <w:szCs w:val="24"/>
        </w:rPr>
        <w:t>1）拟返建地监测：实时监测拟返回建德市人员信息申报人数，以TOP5的形式展示来源地排行，支持入境国家或地区、入境口岸、省、市、区/县切换展示。</w:t>
      </w:r>
    </w:p>
    <w:p>
      <w:pPr>
        <w:ind w:firstLine="480" w:firstLineChars="200"/>
        <w:rPr>
          <w:rFonts w:ascii="仿宋" w:hAnsi="仿宋" w:eastAsia="仿宋"/>
          <w:sz w:val="24"/>
          <w:szCs w:val="24"/>
        </w:rPr>
      </w:pPr>
      <w:r>
        <w:rPr>
          <w:rFonts w:hint="eastAsia" w:ascii="仿宋" w:hAnsi="仿宋" w:eastAsia="仿宋"/>
          <w:sz w:val="24"/>
          <w:szCs w:val="24"/>
        </w:rPr>
        <w:t>2）拟返人员镇街走向监测：实时监测拟返建人员乡镇（街道）走向监测，通过高中风险地区、七类高危行业、杭州健康码红黄码直观展示16个乡镇（街道）重点高危人员统计信息。</w:t>
      </w:r>
    </w:p>
    <w:p>
      <w:pPr>
        <w:ind w:firstLine="480" w:firstLineChars="200"/>
        <w:rPr>
          <w:rFonts w:ascii="仿宋" w:hAnsi="仿宋" w:eastAsia="仿宋"/>
          <w:sz w:val="24"/>
          <w:szCs w:val="24"/>
        </w:rPr>
      </w:pPr>
      <w:r>
        <w:rPr>
          <w:rFonts w:hint="eastAsia" w:ascii="仿宋" w:hAnsi="仿宋" w:eastAsia="仿宋"/>
          <w:sz w:val="24"/>
          <w:szCs w:val="24"/>
        </w:rPr>
        <w:t>3）拟返人员村/社走向排名TOP10：实时监测预返建人员返回村/社区的走向TOP10情况，支持查看256个村/社区的申报、中高风险、高危行业统计人数排名（默认TOP10）。</w:t>
      </w:r>
    </w:p>
    <w:p>
      <w:pPr>
        <w:ind w:firstLine="480" w:firstLineChars="200"/>
        <w:rPr>
          <w:rFonts w:ascii="仿宋" w:hAnsi="仿宋" w:eastAsia="仿宋"/>
          <w:sz w:val="24"/>
          <w:szCs w:val="24"/>
        </w:rPr>
      </w:pPr>
      <w:r>
        <w:rPr>
          <w:rFonts w:hint="eastAsia" w:ascii="仿宋" w:hAnsi="仿宋" w:eastAsia="仿宋"/>
          <w:sz w:val="24"/>
          <w:szCs w:val="24"/>
        </w:rPr>
        <w:t>4）农村地区疫情防控区域分级分类预警：以村/社区为单位，根据已抵建人员类别和数量确定不同的预警级别，预判疫情发生可能由大到小依次用红色、黄色和蓝色表示，并基于地图进行监测展示。</w:t>
      </w:r>
    </w:p>
    <w:p>
      <w:pPr>
        <w:ind w:firstLine="480" w:firstLineChars="200"/>
        <w:rPr>
          <w:rFonts w:ascii="仿宋" w:hAnsi="仿宋" w:eastAsia="仿宋"/>
          <w:sz w:val="24"/>
          <w:szCs w:val="24"/>
        </w:rPr>
      </w:pPr>
      <w:r>
        <w:rPr>
          <w:rFonts w:hint="eastAsia" w:ascii="仿宋" w:hAnsi="仿宋" w:eastAsia="仿宋"/>
          <w:sz w:val="24"/>
          <w:szCs w:val="24"/>
        </w:rPr>
        <w:t>5）态势研判：通过统计分析当日及前10日内的申报人数、拟返建人数、抵建人数，以及未来20天的拟返建人数，研判未来20天的申报人数和实际抵建人数的趋势，对可能到来的申报和纳管峰值做出态势研判，提前做出各种必要的疫情防控应急准备。</w:t>
      </w:r>
    </w:p>
    <w:p>
      <w:pPr>
        <w:ind w:firstLine="480" w:firstLineChars="200"/>
        <w:rPr>
          <w:rFonts w:ascii="仿宋" w:hAnsi="仿宋" w:eastAsia="仿宋"/>
          <w:sz w:val="24"/>
          <w:szCs w:val="24"/>
        </w:rPr>
      </w:pPr>
      <w:r>
        <w:rPr>
          <w:rFonts w:hint="eastAsia" w:ascii="仿宋" w:hAnsi="仿宋" w:eastAsia="仿宋"/>
          <w:sz w:val="24"/>
          <w:szCs w:val="24"/>
        </w:rPr>
        <w:t>6）抵建纳管监测：抵建纳管分为两类人权，一类为劝留原地不返建人员，另一类为确认返建并已抵建人员。确认抵建人员正式进入纳管状态，分为五类管理：14+7集中隔离、14+7居家隔离、7+7健康管理、14+7+7健康管理、14天健康监测。</w:t>
      </w:r>
    </w:p>
    <w:p>
      <w:pPr>
        <w:ind w:firstLine="480" w:firstLineChars="200"/>
        <w:rPr>
          <w:rFonts w:ascii="仿宋" w:hAnsi="仿宋" w:eastAsia="仿宋"/>
          <w:sz w:val="24"/>
          <w:szCs w:val="24"/>
        </w:rPr>
      </w:pPr>
      <w:r>
        <w:rPr>
          <w:rFonts w:hint="eastAsia" w:ascii="仿宋" w:hAnsi="仿宋" w:eastAsia="仿宋"/>
          <w:sz w:val="24"/>
          <w:szCs w:val="24"/>
        </w:rPr>
        <w:t>7）抵建杭州健康码监测：将已抵建纳管人员信息与杭州城市大脑中枢数据比对，实时监测返建人员杭州健康码红、黄、绿码情况。支持查看具体人员信息。</w:t>
      </w:r>
    </w:p>
    <w:p>
      <w:pPr>
        <w:ind w:firstLine="480" w:firstLineChars="200"/>
        <w:rPr>
          <w:rFonts w:ascii="仿宋" w:hAnsi="仿宋" w:eastAsia="仿宋"/>
          <w:sz w:val="24"/>
          <w:szCs w:val="24"/>
        </w:rPr>
      </w:pPr>
      <w:r>
        <w:rPr>
          <w:rFonts w:hint="eastAsia" w:ascii="仿宋" w:hAnsi="仿宋" w:eastAsia="仿宋"/>
          <w:sz w:val="24"/>
          <w:szCs w:val="24"/>
        </w:rPr>
        <w:t>8）重点管控名单：通过从四个疫情防控重点管控角度：中高风险地区、高危行业、杭州健康码红黄码、密切接触/次密切接触，全量实时筛选出系统重点管控名单，并详细展示姓名，管控状态、所属乡镇（街道）、所属村（社区）、纳管状态等信息。</w:t>
      </w:r>
    </w:p>
    <w:p>
      <w:pPr>
        <w:ind w:firstLine="480" w:firstLineChars="200"/>
        <w:rPr>
          <w:rFonts w:ascii="仿宋" w:hAnsi="仿宋" w:eastAsia="仿宋"/>
          <w:sz w:val="24"/>
          <w:szCs w:val="24"/>
        </w:rPr>
      </w:pPr>
      <w:r>
        <w:rPr>
          <w:rFonts w:hint="eastAsia" w:ascii="仿宋" w:hAnsi="仿宋" w:eastAsia="仿宋"/>
          <w:sz w:val="24"/>
          <w:szCs w:val="24"/>
        </w:rPr>
        <w:t>9）综合分析统计：累计数据从抵建和拟返两个维度统计，分为拟返总人数、抵建总人数、当日拟返人数、当日抵建人数、中高风险抵建人数、中高风险拟返人数、高危行业抵建人数、高危行业拟返人数。</w:t>
      </w:r>
    </w:p>
    <w:p>
      <w:pPr>
        <w:ind w:firstLine="480" w:firstLineChars="200"/>
        <w:rPr>
          <w:rFonts w:ascii="仿宋" w:hAnsi="仿宋" w:eastAsia="仿宋"/>
          <w:sz w:val="24"/>
          <w:szCs w:val="24"/>
        </w:rPr>
      </w:pPr>
      <w:r>
        <w:rPr>
          <w:rFonts w:hint="eastAsia" w:ascii="仿宋" w:hAnsi="仿宋" w:eastAsia="仿宋"/>
          <w:sz w:val="24"/>
          <w:szCs w:val="24"/>
        </w:rPr>
        <w:t>10）展示新冠病毒疫苗预约情况。</w:t>
      </w:r>
    </w:p>
    <w:p>
      <w:pPr>
        <w:pStyle w:val="7"/>
        <w:tabs>
          <w:tab w:val="left" w:pos="0"/>
        </w:tabs>
        <w:ind w:left="0" w:firstLine="0"/>
        <w:rPr>
          <w:rFonts w:ascii="仿宋" w:hAnsi="仿宋" w:eastAsia="仿宋"/>
          <w:sz w:val="24"/>
          <w:szCs w:val="18"/>
        </w:rPr>
      </w:pPr>
      <w:bookmarkStart w:id="129" w:name="_Toc83568308"/>
      <w:r>
        <w:rPr>
          <w:rFonts w:hint="eastAsia" w:ascii="仿宋" w:hAnsi="仿宋" w:eastAsia="仿宋"/>
          <w:sz w:val="24"/>
          <w:szCs w:val="18"/>
        </w:rPr>
        <w:t>移动端数字驾驶舱</w:t>
      </w:r>
      <w:bookmarkEnd w:id="129"/>
    </w:p>
    <w:p>
      <w:pPr>
        <w:ind w:firstLine="480" w:firstLineChars="200"/>
        <w:rPr>
          <w:rFonts w:ascii="仿宋" w:hAnsi="仿宋" w:eastAsia="仿宋"/>
          <w:sz w:val="24"/>
          <w:szCs w:val="24"/>
        </w:rPr>
      </w:pPr>
      <w:r>
        <w:rPr>
          <w:rFonts w:hint="eastAsia" w:ascii="仿宋" w:hAnsi="仿宋" w:eastAsia="仿宋"/>
          <w:sz w:val="24"/>
          <w:szCs w:val="24"/>
        </w:rPr>
        <w:t>数字驾驶舱移动端主要针对乡镇（街道）管理员开发设计，因此数字驾驶舱移动端对所有统计分析都增加了乡镇（街道）视角，所有统计数据可以从市级进行下钻，查看具体的某一个乡镇（街道）的统计分析。此外，数字驾驶舱移动端的指标和统计维度与PC端保持一致，并针对移动端的特点进行了优化升级。</w:t>
      </w:r>
    </w:p>
    <w:p>
      <w:pPr>
        <w:pStyle w:val="6"/>
        <w:tabs>
          <w:tab w:val="left" w:pos="0"/>
        </w:tabs>
        <w:rPr>
          <w:rFonts w:ascii="仿宋" w:hAnsi="仿宋" w:eastAsia="仿宋"/>
          <w:sz w:val="28"/>
          <w:szCs w:val="28"/>
        </w:rPr>
      </w:pPr>
      <w:bookmarkStart w:id="130" w:name="_Toc83568309"/>
      <w:r>
        <w:rPr>
          <w:rFonts w:hint="eastAsia" w:ascii="仿宋" w:hAnsi="仿宋" w:eastAsia="仿宋"/>
          <w:sz w:val="28"/>
          <w:szCs w:val="28"/>
        </w:rPr>
        <w:t>“17防”平台</w:t>
      </w:r>
      <w:bookmarkEnd w:id="130"/>
    </w:p>
    <w:p>
      <w:pPr>
        <w:ind w:firstLine="480" w:firstLineChars="200"/>
        <w:rPr>
          <w:rFonts w:ascii="仿宋" w:hAnsi="仿宋" w:eastAsia="仿宋"/>
          <w:sz w:val="24"/>
          <w:szCs w:val="24"/>
        </w:rPr>
      </w:pPr>
      <w:r>
        <w:rPr>
          <w:rFonts w:hint="eastAsia" w:ascii="仿宋" w:hAnsi="仿宋" w:eastAsia="仿宋"/>
          <w:sz w:val="24"/>
          <w:szCs w:val="24"/>
        </w:rPr>
        <w:t>“17防”平台建设包括“17防”微信门户和“17防”数字驾驶舱。</w:t>
      </w:r>
    </w:p>
    <w:p>
      <w:pPr>
        <w:pStyle w:val="7"/>
        <w:tabs>
          <w:tab w:val="left" w:pos="0"/>
        </w:tabs>
        <w:ind w:left="0" w:firstLine="0"/>
        <w:rPr>
          <w:rFonts w:ascii="仿宋" w:hAnsi="仿宋" w:eastAsia="仿宋"/>
          <w:sz w:val="24"/>
          <w:szCs w:val="18"/>
        </w:rPr>
      </w:pPr>
      <w:bookmarkStart w:id="131" w:name="_Toc83568310"/>
      <w:r>
        <w:rPr>
          <w:rFonts w:hint="eastAsia" w:ascii="仿宋" w:hAnsi="仿宋" w:eastAsia="仿宋"/>
          <w:sz w:val="24"/>
          <w:szCs w:val="18"/>
        </w:rPr>
        <w:t>“17防”微信门户</w:t>
      </w:r>
      <w:bookmarkEnd w:id="131"/>
    </w:p>
    <w:p>
      <w:pPr>
        <w:ind w:firstLine="480" w:firstLineChars="200"/>
        <w:rPr>
          <w:rFonts w:ascii="仿宋" w:hAnsi="仿宋" w:eastAsia="仿宋"/>
          <w:sz w:val="24"/>
          <w:szCs w:val="24"/>
        </w:rPr>
      </w:pPr>
      <w:r>
        <w:rPr>
          <w:rFonts w:hint="eastAsia" w:ascii="仿宋" w:hAnsi="仿宋" w:eastAsia="仿宋"/>
          <w:sz w:val="24"/>
          <w:szCs w:val="24"/>
        </w:rPr>
        <w:t>微信端从“安心返”、“放心种”升级为微信门户。微信门户作为建德市疫情防控的一体化平台，面向公众提供所有新冠疫情防控的便民服务平台，主要包含下面应用：</w:t>
      </w:r>
      <w:r>
        <w:rPr>
          <w:rFonts w:hint="eastAsia" w:ascii="仿宋" w:hAnsi="仿宋" w:eastAsia="仿宋"/>
          <w:sz w:val="24"/>
          <w:szCs w:val="24"/>
        </w:rPr>
        <w:br w:type="textWrapping"/>
      </w:r>
      <w:r>
        <w:rPr>
          <w:rFonts w:hint="eastAsia" w:ascii="仿宋" w:hAnsi="仿宋" w:eastAsia="仿宋"/>
          <w:sz w:val="24"/>
          <w:szCs w:val="24"/>
        </w:rPr>
        <w:t>1）我要接种</w:t>
      </w:r>
      <w:r>
        <w:rPr>
          <w:rFonts w:hint="eastAsia" w:ascii="仿宋" w:hAnsi="仿宋" w:eastAsia="仿宋"/>
          <w:sz w:val="24"/>
          <w:szCs w:val="24"/>
        </w:rPr>
        <w:br w:type="textWrapping"/>
      </w:r>
      <w:r>
        <w:rPr>
          <w:rFonts w:hint="eastAsia" w:ascii="仿宋" w:hAnsi="仿宋" w:eastAsia="仿宋"/>
          <w:sz w:val="24"/>
          <w:szCs w:val="24"/>
        </w:rPr>
        <w:t>（1）放心种（疫苗接种）</w:t>
      </w:r>
      <w:r>
        <w:rPr>
          <w:rFonts w:hint="eastAsia" w:ascii="仿宋" w:hAnsi="仿宋" w:eastAsia="仿宋"/>
          <w:sz w:val="24"/>
          <w:szCs w:val="24"/>
        </w:rPr>
        <w:br w:type="textWrapping"/>
      </w:r>
      <w:r>
        <w:rPr>
          <w:rFonts w:hint="eastAsia" w:ascii="仿宋" w:hAnsi="仿宋" w:eastAsia="仿宋"/>
          <w:sz w:val="24"/>
          <w:szCs w:val="24"/>
        </w:rPr>
        <w:t>（2）疫苗接种点查询（包含方舱）</w:t>
      </w:r>
      <w:r>
        <w:rPr>
          <w:rFonts w:hint="eastAsia" w:ascii="仿宋" w:hAnsi="仿宋" w:eastAsia="仿宋"/>
          <w:sz w:val="24"/>
          <w:szCs w:val="24"/>
        </w:rPr>
        <w:br w:type="textWrapping"/>
      </w:r>
      <w:r>
        <w:rPr>
          <w:rFonts w:hint="eastAsia" w:ascii="仿宋" w:hAnsi="仿宋" w:eastAsia="仿宋"/>
          <w:sz w:val="24"/>
          <w:szCs w:val="24"/>
        </w:rPr>
        <w:t>（3）疫苗接种记录查询（疫苗接种证明）</w:t>
      </w:r>
      <w:r>
        <w:rPr>
          <w:rFonts w:hint="eastAsia" w:ascii="仿宋" w:hAnsi="仿宋" w:eastAsia="仿宋"/>
          <w:sz w:val="24"/>
          <w:szCs w:val="24"/>
        </w:rPr>
        <w:br w:type="textWrapping"/>
      </w:r>
      <w:r>
        <w:rPr>
          <w:rFonts w:hint="eastAsia" w:ascii="仿宋" w:hAnsi="仿宋" w:eastAsia="仿宋"/>
          <w:sz w:val="24"/>
          <w:szCs w:val="24"/>
        </w:rPr>
        <w:t>2）我要返建</w:t>
      </w:r>
      <w:r>
        <w:rPr>
          <w:rFonts w:hint="eastAsia" w:ascii="仿宋" w:hAnsi="仿宋" w:eastAsia="仿宋"/>
          <w:sz w:val="24"/>
          <w:szCs w:val="24"/>
        </w:rPr>
        <w:br w:type="textWrapping"/>
      </w:r>
      <w:r>
        <w:rPr>
          <w:rFonts w:hint="eastAsia" w:ascii="仿宋" w:hAnsi="仿宋" w:eastAsia="仿宋"/>
          <w:sz w:val="24"/>
          <w:szCs w:val="24"/>
        </w:rPr>
        <w:t>（1）安心返（返乡、返工、返学登记）</w:t>
      </w:r>
      <w:r>
        <w:rPr>
          <w:rFonts w:hint="eastAsia" w:ascii="仿宋" w:hAnsi="仿宋" w:eastAsia="仿宋"/>
          <w:sz w:val="24"/>
          <w:szCs w:val="24"/>
        </w:rPr>
        <w:br w:type="textWrapping"/>
      </w:r>
      <w:r>
        <w:rPr>
          <w:rFonts w:hint="eastAsia" w:ascii="仿宋" w:hAnsi="仿宋" w:eastAsia="仿宋"/>
          <w:sz w:val="24"/>
          <w:szCs w:val="24"/>
        </w:rPr>
        <w:t>（2）疫情风险查询（实时高中风险地区、风险等级）</w:t>
      </w:r>
      <w:r>
        <w:rPr>
          <w:rFonts w:hint="eastAsia" w:ascii="仿宋" w:hAnsi="仿宋" w:eastAsia="仿宋"/>
          <w:sz w:val="24"/>
          <w:szCs w:val="24"/>
        </w:rPr>
        <w:br w:type="textWrapping"/>
      </w:r>
      <w:r>
        <w:rPr>
          <w:rFonts w:hint="eastAsia" w:ascii="仿宋" w:hAnsi="仿宋" w:eastAsia="仿宋"/>
          <w:sz w:val="24"/>
          <w:szCs w:val="24"/>
        </w:rPr>
        <w:t>（3）防疫行程卡</w:t>
      </w:r>
      <w:r>
        <w:rPr>
          <w:rFonts w:hint="eastAsia" w:ascii="仿宋" w:hAnsi="仿宋" w:eastAsia="仿宋"/>
          <w:sz w:val="24"/>
          <w:szCs w:val="24"/>
        </w:rPr>
        <w:br w:type="textWrapping"/>
      </w:r>
      <w:r>
        <w:rPr>
          <w:rFonts w:hint="eastAsia" w:ascii="仿宋" w:hAnsi="仿宋" w:eastAsia="仿宋"/>
          <w:sz w:val="24"/>
          <w:szCs w:val="24"/>
        </w:rPr>
        <w:t>3）我要核检</w:t>
      </w:r>
      <w:r>
        <w:rPr>
          <w:rFonts w:hint="eastAsia" w:ascii="仿宋" w:hAnsi="仿宋" w:eastAsia="仿宋"/>
          <w:sz w:val="24"/>
          <w:szCs w:val="24"/>
        </w:rPr>
        <w:br w:type="textWrapping"/>
      </w:r>
      <w:r>
        <w:rPr>
          <w:rFonts w:hint="eastAsia" w:ascii="仿宋" w:hAnsi="仿宋" w:eastAsia="仿宋"/>
          <w:sz w:val="24"/>
          <w:szCs w:val="24"/>
        </w:rPr>
        <w:t>（1）核酸检测预约</w:t>
      </w:r>
      <w:r>
        <w:rPr>
          <w:rFonts w:hint="eastAsia" w:ascii="仿宋" w:hAnsi="仿宋" w:eastAsia="仿宋"/>
          <w:sz w:val="24"/>
          <w:szCs w:val="24"/>
        </w:rPr>
        <w:br w:type="textWrapping"/>
      </w:r>
      <w:r>
        <w:rPr>
          <w:rFonts w:hint="eastAsia" w:ascii="仿宋" w:hAnsi="仿宋" w:eastAsia="仿宋"/>
          <w:sz w:val="24"/>
          <w:szCs w:val="24"/>
        </w:rPr>
        <w:t>（2）核酸检测点查询</w:t>
      </w:r>
      <w:r>
        <w:rPr>
          <w:rFonts w:hint="eastAsia" w:ascii="仿宋" w:hAnsi="仿宋" w:eastAsia="仿宋"/>
          <w:sz w:val="24"/>
          <w:szCs w:val="24"/>
        </w:rPr>
        <w:br w:type="textWrapping"/>
      </w:r>
      <w:r>
        <w:rPr>
          <w:rFonts w:hint="eastAsia" w:ascii="仿宋" w:hAnsi="仿宋" w:eastAsia="仿宋"/>
          <w:sz w:val="24"/>
          <w:szCs w:val="24"/>
        </w:rPr>
        <w:t>（3）核酸检测结果证明</w:t>
      </w:r>
      <w:r>
        <w:rPr>
          <w:rFonts w:hint="eastAsia" w:ascii="仿宋" w:hAnsi="仿宋" w:eastAsia="仿宋"/>
          <w:sz w:val="24"/>
          <w:szCs w:val="24"/>
        </w:rPr>
        <w:br w:type="textWrapping"/>
      </w:r>
      <w:r>
        <w:rPr>
          <w:rFonts w:hint="eastAsia" w:ascii="仿宋" w:hAnsi="仿宋" w:eastAsia="仿宋"/>
          <w:sz w:val="24"/>
          <w:szCs w:val="24"/>
        </w:rPr>
        <w:t>4）我要申诉</w:t>
      </w:r>
      <w:r>
        <w:rPr>
          <w:rFonts w:hint="eastAsia" w:ascii="仿宋" w:hAnsi="仿宋" w:eastAsia="仿宋"/>
          <w:sz w:val="24"/>
          <w:szCs w:val="24"/>
        </w:rPr>
        <w:br w:type="textWrapping"/>
      </w:r>
      <w:r>
        <w:rPr>
          <w:rFonts w:hint="eastAsia" w:ascii="仿宋" w:hAnsi="仿宋" w:eastAsia="仿宋"/>
          <w:sz w:val="24"/>
          <w:szCs w:val="24"/>
        </w:rPr>
        <w:t>（1）杭州健康码异常申诉</w:t>
      </w:r>
      <w:r>
        <w:rPr>
          <w:rFonts w:hint="eastAsia" w:ascii="仿宋" w:hAnsi="仿宋" w:eastAsia="仿宋"/>
          <w:sz w:val="24"/>
          <w:szCs w:val="24"/>
        </w:rPr>
        <w:br w:type="textWrapping"/>
      </w:r>
      <w:r>
        <w:rPr>
          <w:rFonts w:hint="eastAsia" w:ascii="仿宋" w:hAnsi="仿宋" w:eastAsia="仿宋"/>
          <w:sz w:val="24"/>
          <w:szCs w:val="24"/>
        </w:rPr>
        <w:t>5）咨询投诉</w:t>
      </w:r>
      <w:r>
        <w:rPr>
          <w:rFonts w:hint="eastAsia" w:ascii="仿宋" w:hAnsi="仿宋" w:eastAsia="仿宋"/>
          <w:sz w:val="24"/>
          <w:szCs w:val="24"/>
        </w:rPr>
        <w:br w:type="textWrapping"/>
      </w:r>
      <w:r>
        <w:rPr>
          <w:rFonts w:hint="eastAsia" w:ascii="仿宋" w:hAnsi="仿宋" w:eastAsia="仿宋"/>
          <w:sz w:val="24"/>
          <w:szCs w:val="24"/>
        </w:rPr>
        <w:t>6）17防资讯</w:t>
      </w:r>
      <w:r>
        <w:rPr>
          <w:rFonts w:hint="eastAsia" w:ascii="仿宋" w:hAnsi="仿宋" w:eastAsia="仿宋"/>
          <w:sz w:val="24"/>
          <w:szCs w:val="24"/>
        </w:rPr>
        <w:br w:type="textWrapping"/>
      </w:r>
      <w:r>
        <w:rPr>
          <w:rFonts w:hint="eastAsia" w:ascii="仿宋" w:hAnsi="仿宋" w:eastAsia="仿宋"/>
          <w:sz w:val="24"/>
          <w:szCs w:val="24"/>
        </w:rPr>
        <w:t>（1）防疫抗灾疫情政策宣传</w:t>
      </w:r>
      <w:r>
        <w:rPr>
          <w:rFonts w:hint="eastAsia" w:ascii="仿宋" w:hAnsi="仿宋" w:eastAsia="仿宋"/>
          <w:sz w:val="24"/>
          <w:szCs w:val="24"/>
        </w:rPr>
        <w:br w:type="textWrapping"/>
      </w:r>
      <w:r>
        <w:rPr>
          <w:rFonts w:hint="eastAsia" w:ascii="仿宋" w:hAnsi="仿宋" w:eastAsia="仿宋"/>
          <w:sz w:val="24"/>
          <w:szCs w:val="24"/>
        </w:rPr>
        <w:t>（2）新冠疫苗问答</w:t>
      </w:r>
      <w:r>
        <w:rPr>
          <w:rFonts w:hint="eastAsia" w:ascii="仿宋" w:hAnsi="仿宋" w:eastAsia="仿宋"/>
          <w:sz w:val="24"/>
          <w:szCs w:val="24"/>
        </w:rPr>
        <w:br w:type="textWrapping"/>
      </w:r>
      <w:r>
        <w:rPr>
          <w:rFonts w:hint="eastAsia" w:ascii="仿宋" w:hAnsi="仿宋" w:eastAsia="仿宋"/>
          <w:sz w:val="24"/>
          <w:szCs w:val="24"/>
        </w:rPr>
        <w:t>（3）疫情速递</w:t>
      </w:r>
      <w:r>
        <w:rPr>
          <w:rFonts w:hint="eastAsia" w:ascii="仿宋" w:hAnsi="仿宋" w:eastAsia="仿宋"/>
          <w:sz w:val="24"/>
          <w:szCs w:val="24"/>
        </w:rPr>
        <w:br w:type="textWrapping"/>
      </w:r>
      <w:r>
        <w:rPr>
          <w:rFonts w:hint="eastAsia" w:ascii="仿宋" w:hAnsi="仿宋" w:eastAsia="仿宋"/>
          <w:sz w:val="24"/>
          <w:szCs w:val="24"/>
        </w:rPr>
        <w:t>（4）疫情科普</w:t>
      </w:r>
    </w:p>
    <w:p>
      <w:pPr>
        <w:pStyle w:val="7"/>
        <w:tabs>
          <w:tab w:val="left" w:pos="0"/>
        </w:tabs>
        <w:ind w:left="0" w:firstLine="0"/>
        <w:rPr>
          <w:rFonts w:ascii="仿宋" w:hAnsi="仿宋" w:eastAsia="仿宋"/>
          <w:sz w:val="24"/>
          <w:szCs w:val="18"/>
        </w:rPr>
      </w:pPr>
      <w:bookmarkStart w:id="132" w:name="_Toc83568311"/>
      <w:r>
        <w:rPr>
          <w:rFonts w:hint="eastAsia" w:ascii="仿宋" w:hAnsi="仿宋" w:eastAsia="仿宋"/>
          <w:sz w:val="24"/>
          <w:szCs w:val="18"/>
        </w:rPr>
        <w:t>“17防”数字驾驶舱</w:t>
      </w:r>
      <w:bookmarkEnd w:id="132"/>
    </w:p>
    <w:p>
      <w:pPr>
        <w:ind w:firstLine="480" w:firstLineChars="200"/>
        <w:rPr>
          <w:rFonts w:ascii="仿宋" w:hAnsi="仿宋" w:eastAsia="仿宋"/>
          <w:sz w:val="24"/>
          <w:szCs w:val="24"/>
        </w:rPr>
      </w:pPr>
      <w:r>
        <w:rPr>
          <w:rFonts w:hint="eastAsia" w:ascii="仿宋" w:hAnsi="仿宋" w:eastAsia="仿宋"/>
          <w:sz w:val="24"/>
          <w:szCs w:val="24"/>
        </w:rPr>
        <w:t>“17防”数字驾驶舱将对“安心返”数字驾驶舱进行全面升级。升级事项如下：</w:t>
      </w:r>
    </w:p>
    <w:p>
      <w:pPr>
        <w:ind w:firstLine="480" w:firstLineChars="200"/>
        <w:rPr>
          <w:rFonts w:ascii="仿宋" w:hAnsi="仿宋" w:eastAsia="仿宋"/>
          <w:sz w:val="24"/>
          <w:szCs w:val="24"/>
        </w:rPr>
      </w:pPr>
      <w:r>
        <w:rPr>
          <w:rFonts w:hint="eastAsia" w:ascii="仿宋" w:hAnsi="仿宋" w:eastAsia="仿宋"/>
          <w:sz w:val="24"/>
          <w:szCs w:val="24"/>
        </w:rPr>
        <w:t>1）新建“17防”数字驾驶舱。17防驾驶舱主屏共有8块疫情防控模块，分别为疫情监测、人员管控、医疗服务、发热门诊走势、全市疫苗接种情况、物资供应、隔离点、核酸监测信息。可支持基于地图显示建德市疫苗接种情况，并通过多种驾驶舱数据展现形式，实现全方面疫情监测。</w:t>
      </w:r>
    </w:p>
    <w:p>
      <w:pPr>
        <w:ind w:firstLine="480" w:firstLineChars="200"/>
        <w:rPr>
          <w:rFonts w:ascii="仿宋" w:hAnsi="仿宋" w:eastAsia="仿宋"/>
          <w:sz w:val="24"/>
          <w:szCs w:val="24"/>
        </w:rPr>
      </w:pPr>
      <w:r>
        <w:rPr>
          <w:rFonts w:hint="eastAsia" w:ascii="仿宋" w:hAnsi="仿宋" w:eastAsia="仿宋"/>
          <w:sz w:val="24"/>
          <w:szCs w:val="24"/>
        </w:rPr>
        <w:t>2）“安心返”数字驾驶舱嵌入“17防”数字驾驶舱，作为子屏。</w:t>
      </w:r>
    </w:p>
    <w:p>
      <w:pPr>
        <w:rPr>
          <w:color w:val="auto"/>
          <w:sz w:val="20"/>
          <w:szCs w:val="18"/>
        </w:rPr>
      </w:pPr>
      <w:r>
        <w:rPr>
          <w:rFonts w:hint="eastAsia" w:ascii="仿宋" w:hAnsi="仿宋" w:eastAsia="仿宋"/>
          <w:sz w:val="24"/>
          <w:szCs w:val="24"/>
        </w:rPr>
        <w:t>3）新建“放心种”数字驾驶舱，作为“17防”数字驾驶舱子屏。通过对建德市接种疫苗情况统计，实时反馈最新接种情况，其中包括乡镇预约情况、乡镇各剂次接种情况、疫苗供应分析、全市疫苗每日接种趋势、接种情况、党政机关接种情况。</w:t>
      </w:r>
    </w:p>
    <w:p>
      <w:pPr>
        <w:bidi w:val="0"/>
        <w:jc w:val="left"/>
        <w:rPr>
          <w:rFonts w:hint="eastAsia"/>
          <w:b/>
          <w:bCs/>
          <w:color w:val="auto"/>
          <w:sz w:val="28"/>
          <w:szCs w:val="28"/>
        </w:rPr>
      </w:pPr>
    </w:p>
    <w:p>
      <w:pPr>
        <w:bidi w:val="0"/>
        <w:jc w:val="left"/>
        <w:rPr>
          <w:rFonts w:hint="eastAsia"/>
          <w:color w:val="auto"/>
        </w:rPr>
      </w:pPr>
      <w:r>
        <w:rPr>
          <w:rFonts w:hint="eastAsia"/>
          <w:b/>
          <w:bCs/>
          <w:color w:val="auto"/>
          <w:sz w:val="28"/>
          <w:szCs w:val="28"/>
        </w:rPr>
        <w:t>提升项目建设标准</w:t>
      </w:r>
    </w:p>
    <w:p>
      <w:pPr>
        <w:pStyle w:val="28"/>
        <w:tabs>
          <w:tab w:val="left" w:pos="1425"/>
        </w:tabs>
        <w:spacing w:line="440" w:lineRule="exact"/>
        <w:ind w:left="0"/>
        <w:jc w:val="center"/>
        <w:rPr>
          <w:rStyle w:val="97"/>
          <w:rFonts w:hint="eastAsia" w:ascii="仿宋" w:hAnsi="仿宋" w:eastAsia="仿宋" w:cs="仿宋"/>
          <w:b/>
          <w:bCs/>
          <w:color w:val="auto"/>
          <w:sz w:val="36"/>
          <w:szCs w:val="36"/>
        </w:rPr>
      </w:pPr>
      <w:r>
        <w:rPr>
          <w:rFonts w:hint="eastAsia"/>
          <w:color w:val="auto"/>
          <w:sz w:val="24"/>
          <w:szCs w:val="24"/>
          <w:lang w:val="en-US" w:eastAsia="zh-CN"/>
        </w:rPr>
        <w:t xml:space="preserve">   </w:t>
      </w:r>
      <w:r>
        <w:rPr>
          <w:rFonts w:hint="eastAsia"/>
          <w:color w:val="auto"/>
          <w:sz w:val="24"/>
          <w:szCs w:val="24"/>
        </w:rPr>
        <w:t>要求新建项目在浙里办上架、打通浙政钉用户体系、配合做好门户建设；按照IRS目录规范进行项目开发，提供应用、组件、数据、云资源等目录清单，并归集到一体化智能化公共数据平台，提供数据字典并做好共享；在项目建设中做好安全规划，将安全预防关口前移，切实落实安全和项目规划、建设、运营三同步理念</w:t>
      </w:r>
      <w:r>
        <w:rPr>
          <w:rFonts w:hint="eastAsia"/>
          <w:color w:val="auto"/>
          <w:sz w:val="24"/>
          <w:szCs w:val="24"/>
          <w:lang w:eastAsia="zh-CN"/>
        </w:rPr>
        <w:t>。</w:t>
      </w:r>
    </w:p>
    <w:p>
      <w:pPr>
        <w:pStyle w:val="28"/>
        <w:tabs>
          <w:tab w:val="left" w:pos="1425"/>
        </w:tabs>
        <w:spacing w:line="440" w:lineRule="exact"/>
        <w:ind w:left="0"/>
        <w:jc w:val="center"/>
        <w:rPr>
          <w:rStyle w:val="97"/>
          <w:rFonts w:hint="eastAsia" w:ascii="仿宋" w:hAnsi="仿宋" w:eastAsia="仿宋" w:cs="仿宋"/>
          <w:b/>
          <w:bCs/>
          <w:color w:val="auto"/>
          <w:sz w:val="36"/>
          <w:szCs w:val="36"/>
          <w:highlight w:val="none"/>
        </w:rPr>
      </w:pPr>
    </w:p>
    <w:p>
      <w:pPr>
        <w:pStyle w:val="28"/>
        <w:tabs>
          <w:tab w:val="left" w:pos="1425"/>
        </w:tabs>
        <w:spacing w:line="440" w:lineRule="exact"/>
        <w:ind w:left="0"/>
        <w:jc w:val="center"/>
        <w:rPr>
          <w:rStyle w:val="97"/>
          <w:rFonts w:hint="eastAsia" w:ascii="仿宋" w:hAnsi="仿宋" w:eastAsia="仿宋" w:cs="仿宋"/>
          <w:b/>
          <w:bCs/>
          <w:color w:val="auto"/>
          <w:sz w:val="36"/>
          <w:szCs w:val="36"/>
          <w:highlight w:val="none"/>
        </w:rPr>
      </w:pPr>
    </w:p>
    <w:p>
      <w:pPr>
        <w:pStyle w:val="28"/>
        <w:tabs>
          <w:tab w:val="left" w:pos="1425"/>
        </w:tabs>
        <w:spacing w:line="440" w:lineRule="exact"/>
        <w:ind w:left="0"/>
        <w:jc w:val="center"/>
        <w:rPr>
          <w:rStyle w:val="97"/>
          <w:rFonts w:hint="eastAsia" w:ascii="仿宋" w:hAnsi="仿宋" w:eastAsia="仿宋" w:cs="仿宋"/>
          <w:b/>
          <w:bCs/>
          <w:color w:val="auto"/>
          <w:sz w:val="36"/>
          <w:szCs w:val="36"/>
          <w:highlight w:val="none"/>
        </w:rPr>
      </w:pPr>
    </w:p>
    <w:p>
      <w:pPr>
        <w:pStyle w:val="28"/>
        <w:tabs>
          <w:tab w:val="left" w:pos="1425"/>
        </w:tabs>
        <w:spacing w:line="440" w:lineRule="exact"/>
        <w:ind w:left="0"/>
        <w:jc w:val="center"/>
        <w:rPr>
          <w:rStyle w:val="97"/>
          <w:rFonts w:hint="eastAsia" w:ascii="仿宋" w:hAnsi="仿宋" w:eastAsia="仿宋" w:cs="仿宋"/>
          <w:b/>
          <w:bCs/>
          <w:color w:val="auto"/>
          <w:sz w:val="36"/>
          <w:szCs w:val="36"/>
          <w:highlight w:val="none"/>
        </w:rPr>
      </w:pPr>
    </w:p>
    <w:p>
      <w:pPr>
        <w:pStyle w:val="28"/>
        <w:tabs>
          <w:tab w:val="left" w:pos="1425"/>
        </w:tabs>
        <w:spacing w:line="440" w:lineRule="exact"/>
        <w:ind w:left="0"/>
        <w:jc w:val="center"/>
        <w:rPr>
          <w:rStyle w:val="97"/>
          <w:rFonts w:hint="eastAsia" w:ascii="仿宋" w:hAnsi="仿宋" w:eastAsia="仿宋" w:cs="仿宋"/>
          <w:b/>
          <w:bCs/>
          <w:color w:val="auto"/>
          <w:sz w:val="36"/>
          <w:szCs w:val="36"/>
          <w:highlight w:val="none"/>
        </w:rPr>
      </w:pPr>
    </w:p>
    <w:p>
      <w:pPr>
        <w:rPr>
          <w:rStyle w:val="97"/>
          <w:rFonts w:hint="eastAsia" w:ascii="仿宋" w:hAnsi="仿宋" w:eastAsia="仿宋" w:cs="仿宋"/>
          <w:b/>
          <w:bCs/>
          <w:color w:val="auto"/>
          <w:sz w:val="36"/>
          <w:szCs w:val="36"/>
          <w:highlight w:val="none"/>
        </w:rPr>
      </w:pPr>
    </w:p>
    <w:p>
      <w:pPr>
        <w:pStyle w:val="2"/>
        <w:rPr>
          <w:rStyle w:val="97"/>
          <w:rFonts w:hint="eastAsia" w:ascii="仿宋" w:hAnsi="仿宋" w:eastAsia="仿宋" w:cs="仿宋"/>
          <w:b/>
          <w:bCs/>
          <w:color w:val="auto"/>
          <w:sz w:val="36"/>
          <w:szCs w:val="36"/>
          <w:highlight w:val="none"/>
        </w:rPr>
      </w:pPr>
    </w:p>
    <w:p>
      <w:pPr>
        <w:pStyle w:val="3"/>
        <w:rPr>
          <w:rStyle w:val="97"/>
          <w:rFonts w:hint="eastAsia" w:ascii="仿宋" w:hAnsi="仿宋" w:eastAsia="仿宋" w:cs="仿宋"/>
          <w:b/>
          <w:bCs/>
          <w:color w:val="auto"/>
          <w:sz w:val="36"/>
          <w:szCs w:val="36"/>
          <w:highlight w:val="none"/>
        </w:rPr>
      </w:pPr>
    </w:p>
    <w:p>
      <w:pPr>
        <w:pStyle w:val="2"/>
        <w:rPr>
          <w:rStyle w:val="97"/>
          <w:rFonts w:hint="eastAsia" w:ascii="仿宋" w:hAnsi="仿宋" w:eastAsia="仿宋" w:cs="仿宋"/>
          <w:b/>
          <w:bCs/>
          <w:color w:val="auto"/>
          <w:sz w:val="36"/>
          <w:szCs w:val="36"/>
          <w:highlight w:val="none"/>
        </w:rPr>
      </w:pPr>
    </w:p>
    <w:p>
      <w:pPr>
        <w:pStyle w:val="3"/>
        <w:rPr>
          <w:rFonts w:hint="eastAsia"/>
        </w:rPr>
      </w:pPr>
    </w:p>
    <w:p>
      <w:pPr>
        <w:pStyle w:val="28"/>
        <w:tabs>
          <w:tab w:val="left" w:pos="1425"/>
        </w:tabs>
        <w:spacing w:line="440" w:lineRule="exact"/>
        <w:ind w:left="0"/>
        <w:jc w:val="center"/>
        <w:rPr>
          <w:rFonts w:ascii="仿宋" w:hAnsi="仿宋" w:eastAsia="仿宋" w:cs="仿宋"/>
          <w:b/>
          <w:bCs/>
          <w:color w:val="auto"/>
          <w:spacing w:val="-2"/>
          <w:sz w:val="36"/>
          <w:szCs w:val="36"/>
          <w:highlight w:val="none"/>
        </w:rPr>
      </w:pPr>
      <w:r>
        <w:rPr>
          <w:rStyle w:val="97"/>
          <w:rFonts w:hint="eastAsia" w:ascii="仿宋" w:hAnsi="仿宋" w:eastAsia="仿宋" w:cs="仿宋"/>
          <w:b/>
          <w:bCs/>
          <w:color w:val="auto"/>
          <w:sz w:val="36"/>
          <w:szCs w:val="36"/>
          <w:highlight w:val="none"/>
        </w:rPr>
        <w:t>第六章</w:t>
      </w:r>
      <w:r>
        <w:rPr>
          <w:rStyle w:val="97"/>
          <w:rFonts w:ascii="仿宋" w:hAnsi="仿宋" w:eastAsia="仿宋" w:cs="仿宋"/>
          <w:b/>
          <w:bCs/>
          <w:color w:val="auto"/>
          <w:sz w:val="36"/>
          <w:szCs w:val="36"/>
          <w:highlight w:val="none"/>
        </w:rPr>
        <w:t xml:space="preserve"> </w:t>
      </w:r>
      <w:r>
        <w:rPr>
          <w:rStyle w:val="97"/>
          <w:rFonts w:hint="eastAsia" w:ascii="仿宋" w:hAnsi="仿宋" w:eastAsia="仿宋" w:cs="仿宋"/>
          <w:b/>
          <w:bCs/>
          <w:color w:val="auto"/>
          <w:sz w:val="36"/>
          <w:szCs w:val="36"/>
          <w:highlight w:val="none"/>
        </w:rPr>
        <w:t>商务条款</w:t>
      </w:r>
    </w:p>
    <w:p>
      <w:pPr>
        <w:autoSpaceDE w:val="0"/>
        <w:autoSpaceDN w:val="0"/>
        <w:adjustRightInd w:val="0"/>
        <w:spacing w:line="44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一、总体要求</w:t>
      </w:r>
    </w:p>
    <w:p>
      <w:pPr>
        <w:autoSpaceDE w:val="0"/>
        <w:adjustRightInd w:val="0"/>
        <w:spacing w:line="440" w:lineRule="exact"/>
        <w:ind w:firstLine="480" w:firstLineChars="200"/>
        <w:jc w:val="left"/>
        <w:rPr>
          <w:rFonts w:ascii="仿宋" w:hAnsi="仿宋" w:eastAsia="仿宋" w:cs="仿宋"/>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、必须符合招标文件</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包括补充更正，如有</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的技术要求和配置；投标供应商须保证所提供的产品包括相关附件为相应厂家原装正品，软件产品为相关厂家正版软件，符合国家有关规定。投标供应商须保证所提供产品具有合法的版权或使用权，本项目采购的平台、数据等所有附属产品的所有权均归采购单位所有。在本项目范围内使用过程中出现版权或使用权纠纷，应由中标单位负责，采购单位和采购机构不承担责任。</w:t>
      </w:r>
    </w:p>
    <w:p>
      <w:pPr>
        <w:autoSpaceDE w:val="0"/>
        <w:adjustRightInd w:val="0"/>
        <w:spacing w:line="440" w:lineRule="exact"/>
        <w:ind w:firstLine="480" w:firstLineChars="200"/>
        <w:jc w:val="left"/>
        <w:rPr>
          <w:rFonts w:ascii="仿宋" w:hAnsi="仿宋" w:eastAsia="仿宋" w:cs="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、售后服务按国家质量监督检验检疫总局和国家其他有关规定执行，国家没有规定的按厂商规定执行。国家规定标准低于厂商标准的按厂商标准执行，但最低免费质保服务期不得少于</w:t>
      </w:r>
      <w:bookmarkStart w:id="133" w:name="_GoBack"/>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年</w:t>
      </w:r>
      <w:bookmarkEnd w:id="133"/>
      <w:r>
        <w:rPr>
          <w:rFonts w:hint="eastAsia" w:ascii="仿宋" w:hAnsi="仿宋" w:eastAsia="仿宋" w:cs="仿宋"/>
          <w:color w:val="auto"/>
          <w:sz w:val="24"/>
          <w:szCs w:val="24"/>
          <w:highlight w:val="none"/>
        </w:rPr>
        <w:t>。</w:t>
      </w:r>
    </w:p>
    <w:p>
      <w:pPr>
        <w:autoSpaceDE w:val="0"/>
        <w:autoSpaceDN w:val="0"/>
        <w:adjustRightInd w:val="0"/>
        <w:snapToGrid w:val="0"/>
        <w:spacing w:line="440" w:lineRule="exact"/>
        <w:ind w:left="-181" w:leftChars="-86" w:right="-178" w:rightChars="-85" w:firstLine="479" w:firstLineChars="199"/>
        <w:textAlignment w:val="bottom"/>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二、付款方式</w:t>
      </w:r>
    </w:p>
    <w:p>
      <w:pPr>
        <w:autoSpaceDE w:val="0"/>
        <w:autoSpaceDN w:val="0"/>
        <w:adjustRightInd w:val="0"/>
        <w:snapToGrid w:val="0"/>
        <w:spacing w:line="440" w:lineRule="exact"/>
        <w:ind w:left="-181" w:leftChars="-86" w:right="-178" w:rightChars="-85" w:firstLine="480" w:firstLineChars="200"/>
        <w:textAlignment w:val="bottom"/>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按财务结算要求，通过银行划帐方式结算。</w:t>
      </w:r>
    </w:p>
    <w:p>
      <w:pPr>
        <w:autoSpaceDE w:val="0"/>
        <w:autoSpaceDN w:val="0"/>
        <w:adjustRightInd w:val="0"/>
        <w:snapToGrid w:val="0"/>
        <w:spacing w:line="440" w:lineRule="exact"/>
        <w:ind w:firstLine="354" w:firstLineChars="147"/>
        <w:textAlignment w:val="bottom"/>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三、售后服务</w:t>
      </w:r>
    </w:p>
    <w:p>
      <w:pPr>
        <w:autoSpaceDE w:val="0"/>
        <w:autoSpaceDN w:val="0"/>
        <w:adjustRightInd w:val="0"/>
        <w:snapToGrid w:val="0"/>
        <w:spacing w:line="440" w:lineRule="exact"/>
        <w:ind w:firstLine="480" w:firstLineChars="200"/>
        <w:textAlignment w:val="bottom"/>
        <w:rPr>
          <w:rFonts w:ascii="仿宋" w:hAnsi="仿宋" w:eastAsia="仿宋" w:cs="仿宋"/>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、本项目质保期≥</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年（若投标供应商提供更长质保期，则按最长的质保期执行）。质保期内需要负责数据上传、数据二次质检 完成综合服务平台查档各专题库建设及上传、二次质检进行人工普查，质保期内因不能排除的故障而影响工作的情况每发生一次，其质保期相应延长</w:t>
      </w:r>
      <w:r>
        <w:rPr>
          <w:rFonts w:ascii="仿宋" w:hAnsi="仿宋" w:eastAsia="仿宋" w:cs="仿宋"/>
          <w:color w:val="auto"/>
          <w:sz w:val="24"/>
          <w:szCs w:val="24"/>
          <w:highlight w:val="none"/>
        </w:rPr>
        <w:t>60</w:t>
      </w:r>
      <w:r>
        <w:rPr>
          <w:rFonts w:hint="eastAsia" w:ascii="仿宋" w:hAnsi="仿宋" w:eastAsia="仿宋" w:cs="仿宋"/>
          <w:color w:val="auto"/>
          <w:sz w:val="24"/>
          <w:szCs w:val="24"/>
          <w:highlight w:val="none"/>
        </w:rPr>
        <w:t>天，保质期内因软件本身缺陷造成各种故障应由卖方免费技术服务并解决问题。</w:t>
      </w:r>
    </w:p>
    <w:p>
      <w:pPr>
        <w:autoSpaceDE w:val="0"/>
        <w:autoSpaceDN w:val="0"/>
        <w:adjustRightInd w:val="0"/>
        <w:snapToGrid w:val="0"/>
        <w:spacing w:line="440" w:lineRule="exact"/>
        <w:ind w:firstLine="480" w:firstLineChars="200"/>
        <w:textAlignment w:val="bottom"/>
        <w:rPr>
          <w:rFonts w:ascii="仿宋" w:hAnsi="仿宋" w:eastAsia="仿宋" w:cs="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、承诺在售后服务期内，出现软件系统故障能及时响应处理和解决，发现问题 30 分钟电话响应，1 小时内提供应急解决方案。影响系统正常使用的问题在采购人提出后 2 小时内修复，系统安全漏洞的修复，在采购人提出后 24 小时内解决。远程技术支持2小时内无法解决问题，在4小时内提供现场支持。</w:t>
      </w:r>
    </w:p>
    <w:p>
      <w:pPr>
        <w:autoSpaceDE w:val="0"/>
        <w:autoSpaceDN w:val="0"/>
        <w:adjustRightInd w:val="0"/>
        <w:snapToGrid w:val="0"/>
        <w:spacing w:line="440" w:lineRule="exact"/>
        <w:ind w:firstLine="480" w:firstLineChars="200"/>
        <w:textAlignment w:val="bottom"/>
        <w:rPr>
          <w:rFonts w:ascii="仿宋" w:hAnsi="仿宋" w:eastAsia="仿宋" w:cs="仿宋"/>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、质保期内，供应商需免费提供新增服务内容，配合采购单位保质保量完成工作任务。为此，投标人应提供承诺书。</w:t>
      </w:r>
    </w:p>
    <w:p>
      <w:pPr>
        <w:autoSpaceDE w:val="0"/>
        <w:autoSpaceDN w:val="0"/>
        <w:adjustRightInd w:val="0"/>
        <w:snapToGrid w:val="0"/>
        <w:spacing w:line="440" w:lineRule="exact"/>
        <w:ind w:firstLine="480" w:firstLineChars="200"/>
        <w:textAlignment w:val="bottom"/>
        <w:rPr>
          <w:rFonts w:ascii="仿宋" w:hAnsi="仿宋" w:eastAsia="仿宋" w:cs="仿宋"/>
          <w:color w:val="auto"/>
          <w:sz w:val="24"/>
          <w:szCs w:val="24"/>
          <w:highlight w:val="none"/>
        </w:rPr>
      </w:pP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、过质保期后服务的费用由双方协商。</w:t>
      </w:r>
    </w:p>
    <w:p>
      <w:pPr>
        <w:autoSpaceDE w:val="0"/>
        <w:autoSpaceDN w:val="0"/>
        <w:adjustRightInd w:val="0"/>
        <w:snapToGrid w:val="0"/>
        <w:spacing w:line="440" w:lineRule="exact"/>
        <w:textAlignment w:val="bottom"/>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　　四、培训</w:t>
      </w:r>
    </w:p>
    <w:p>
      <w:pPr>
        <w:autoSpaceDE w:val="0"/>
        <w:autoSpaceDN w:val="0"/>
        <w:adjustRightInd w:val="0"/>
        <w:snapToGrid w:val="0"/>
        <w:spacing w:line="440" w:lineRule="exact"/>
        <w:ind w:firstLine="480" w:firstLineChars="200"/>
        <w:textAlignment w:val="bottom"/>
        <w:rPr>
          <w:rFonts w:ascii="仿宋" w:hAnsi="仿宋" w:eastAsia="仿宋" w:cs="仿宋"/>
          <w:b/>
          <w:color w:val="auto"/>
          <w:sz w:val="24"/>
          <w:szCs w:val="24"/>
          <w:highlight w:val="none"/>
        </w:rPr>
      </w:pPr>
      <w:r>
        <w:rPr>
          <w:rFonts w:hint="eastAsia" w:ascii="仿宋" w:hAnsi="仿宋" w:eastAsia="仿宋" w:cs="仿宋"/>
          <w:snapToGrid w:val="0"/>
          <w:color w:val="auto"/>
          <w:kern w:val="0"/>
          <w:sz w:val="24"/>
          <w:szCs w:val="24"/>
          <w:highlight w:val="none"/>
        </w:rPr>
        <w:t>投标方应提供相应的培训计划，详细说明培训的方式、地点、人数、</w:t>
      </w:r>
      <w:r>
        <w:rPr>
          <w:rFonts w:hint="eastAsia" w:ascii="仿宋" w:hAnsi="仿宋" w:eastAsia="仿宋" w:cs="仿宋"/>
          <w:color w:val="auto"/>
          <w:sz w:val="24"/>
          <w:szCs w:val="24"/>
          <w:highlight w:val="none"/>
        </w:rPr>
        <w:t>时间等实质性内容。</w:t>
      </w:r>
    </w:p>
    <w:p>
      <w:pPr>
        <w:widowControl/>
        <w:autoSpaceDE w:val="0"/>
        <w:autoSpaceDN w:val="0"/>
        <w:spacing w:line="440" w:lineRule="exact"/>
        <w:textAlignment w:val="bottom"/>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　　五、完成时间</w:t>
      </w:r>
    </w:p>
    <w:p>
      <w:pPr>
        <w:adjustRightInd w:val="0"/>
        <w:snapToGrid w:val="0"/>
        <w:spacing w:line="360" w:lineRule="auto"/>
        <w:ind w:firstLine="460" w:firstLineChars="192"/>
        <w:rPr>
          <w:rFonts w:ascii="仿宋" w:hAnsi="仿宋" w:eastAsia="仿宋" w:cs="仿宋"/>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安装完成时间： 中标人在签订合同后，必须在</w:t>
      </w:r>
      <w:r>
        <w:rPr>
          <w:rFonts w:hint="eastAsia" w:ascii="仿宋" w:hAnsi="仿宋" w:eastAsia="仿宋" w:cs="仿宋"/>
          <w:b/>
          <w:bCs/>
          <w:color w:val="auto"/>
          <w:sz w:val="24"/>
          <w:szCs w:val="24"/>
          <w:highlight w:val="none"/>
          <w:lang w:val="en-US" w:eastAsia="zh-CN"/>
        </w:rPr>
        <w:t>15</w:t>
      </w:r>
      <w:r>
        <w:rPr>
          <w:rFonts w:hint="eastAsia" w:ascii="仿宋" w:hAnsi="仿宋" w:eastAsia="仿宋" w:cs="仿宋"/>
          <w:b/>
          <w:bCs/>
          <w:color w:val="auto"/>
          <w:sz w:val="24"/>
          <w:szCs w:val="24"/>
          <w:highlight w:val="none"/>
        </w:rPr>
        <w:t>日历天</w:t>
      </w:r>
      <w:r>
        <w:rPr>
          <w:rFonts w:hint="eastAsia" w:ascii="仿宋" w:hAnsi="仿宋" w:eastAsia="仿宋" w:cs="仿宋"/>
          <w:color w:val="auto"/>
          <w:sz w:val="24"/>
          <w:szCs w:val="24"/>
          <w:highlight w:val="none"/>
        </w:rPr>
        <w:t>内按采购单位要求完成系统建设</w:t>
      </w:r>
      <w:r>
        <w:rPr>
          <w:rFonts w:hint="eastAsia" w:ascii="仿宋" w:hAnsi="仿宋" w:eastAsia="仿宋" w:cs="仿宋"/>
          <w:color w:val="auto"/>
          <w:sz w:val="24"/>
          <w:szCs w:val="24"/>
          <w:highlight w:val="none"/>
          <w:lang w:val="en-US" w:eastAsia="zh-CN"/>
        </w:rPr>
        <w:t>交付使用</w:t>
      </w:r>
      <w:r>
        <w:rPr>
          <w:rFonts w:hint="eastAsia" w:ascii="仿宋" w:hAnsi="仿宋" w:eastAsia="仿宋" w:cs="仿宋"/>
          <w:color w:val="auto"/>
          <w:sz w:val="24"/>
          <w:szCs w:val="24"/>
          <w:highlight w:val="none"/>
        </w:rPr>
        <w:t>。如在规定的时间内由于中标单位的原因不能完成的，中标单位应承担由此给用户造成的损失。</w:t>
      </w:r>
    </w:p>
    <w:p>
      <w:pPr>
        <w:widowControl/>
        <w:autoSpaceDE w:val="0"/>
        <w:autoSpaceDN w:val="0"/>
        <w:spacing w:line="440" w:lineRule="exact"/>
        <w:ind w:firstLine="480" w:firstLineChars="200"/>
        <w:textAlignment w:val="bottom"/>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2. </w:t>
      </w:r>
      <w:r>
        <w:rPr>
          <w:rFonts w:hint="eastAsia" w:ascii="仿宋" w:hAnsi="仿宋" w:eastAsia="仿宋" w:cs="仿宋"/>
          <w:color w:val="auto"/>
          <w:sz w:val="24"/>
          <w:szCs w:val="24"/>
          <w:highlight w:val="none"/>
        </w:rPr>
        <w:t>安装地点：由采购单位指定。</w:t>
      </w:r>
    </w:p>
    <w:p>
      <w:pPr>
        <w:widowControl/>
        <w:autoSpaceDE w:val="0"/>
        <w:autoSpaceDN w:val="0"/>
        <w:spacing w:line="440" w:lineRule="exact"/>
        <w:ind w:firstLine="480" w:firstLineChars="200"/>
        <w:textAlignment w:val="bottom"/>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3. </w:t>
      </w:r>
      <w:r>
        <w:rPr>
          <w:rFonts w:hint="eastAsia" w:ascii="仿宋" w:hAnsi="仿宋" w:eastAsia="仿宋" w:cs="仿宋"/>
          <w:color w:val="auto"/>
          <w:sz w:val="24"/>
          <w:szCs w:val="24"/>
          <w:highlight w:val="none"/>
        </w:rPr>
        <w:t>安装标准：符合我国国家有关技术规范要求和技术标准，所有的软件和硬件必须保证同时安装到位。</w:t>
      </w:r>
    </w:p>
    <w:p>
      <w:pPr>
        <w:widowControl/>
        <w:autoSpaceDE w:val="0"/>
        <w:autoSpaceDN w:val="0"/>
        <w:spacing w:line="440" w:lineRule="exact"/>
        <w:ind w:firstLine="480" w:firstLineChars="200"/>
        <w:textAlignment w:val="bottom"/>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4. </w:t>
      </w:r>
      <w:r>
        <w:rPr>
          <w:rFonts w:hint="eastAsia" w:ascii="仿宋" w:hAnsi="仿宋" w:eastAsia="仿宋" w:cs="仿宋"/>
          <w:color w:val="auto"/>
          <w:sz w:val="24"/>
          <w:szCs w:val="24"/>
          <w:highlight w:val="none"/>
        </w:rPr>
        <w:t>中标方免费提供中标设备的供货服务。</w:t>
      </w:r>
    </w:p>
    <w:p>
      <w:pPr>
        <w:widowControl/>
        <w:autoSpaceDE w:val="0"/>
        <w:autoSpaceDN w:val="0"/>
        <w:spacing w:line="440" w:lineRule="exact"/>
        <w:ind w:firstLine="480" w:firstLineChars="200"/>
        <w:textAlignment w:val="bottom"/>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5. </w:t>
      </w:r>
      <w:r>
        <w:rPr>
          <w:rFonts w:hint="eastAsia" w:ascii="仿宋" w:hAnsi="仿宋" w:eastAsia="仿宋" w:cs="仿宋"/>
          <w:color w:val="auto"/>
          <w:sz w:val="24"/>
          <w:szCs w:val="24"/>
          <w:highlight w:val="none"/>
        </w:rPr>
        <w:t>投标商应在投标文件中应提供供货计划、对交货场地和环境的要求。</w:t>
      </w:r>
    </w:p>
    <w:p>
      <w:pPr>
        <w:autoSpaceDE w:val="0"/>
        <w:autoSpaceDN w:val="0"/>
        <w:adjustRightInd w:val="0"/>
        <w:spacing w:line="360" w:lineRule="auto"/>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六、其他</w:t>
      </w:r>
    </w:p>
    <w:p>
      <w:pPr>
        <w:adjustRightInd w:val="0"/>
        <w:snapToGrid w:val="0"/>
        <w:spacing w:line="360" w:lineRule="auto"/>
        <w:ind w:firstLine="460" w:firstLineChars="192"/>
        <w:rPr>
          <w:rFonts w:ascii="仿宋" w:hAnsi="仿宋" w:eastAsia="仿宋" w:cs="仿宋"/>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该项目除平台接口引擎以外的针对采购单位特定需求开发的软件功能模块的知识产权归采购单位和中标单位共同所有，中标单位应向采购单位提供完整的接口说明文档，且向采购单位开放所有端口协议，软件开发后向业主提供源代码，以便平台的今后对接（含平台软件今后的升级源代码）。</w:t>
      </w:r>
    </w:p>
    <w:p>
      <w:pPr>
        <w:adjustRightInd w:val="0"/>
        <w:snapToGrid w:val="0"/>
        <w:spacing w:line="360" w:lineRule="auto"/>
        <w:ind w:firstLine="460" w:firstLineChars="192"/>
        <w:rPr>
          <w:rFonts w:ascii="仿宋" w:hAnsi="仿宋" w:eastAsia="仿宋" w:cs="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、投标人须保证所提供的产品包括相关附件为相应厂家原装正品，软件产品为相关厂家正版软件，需在投标文件中明示，并承诺完全满足招标人相关技术要求。</w:t>
      </w:r>
    </w:p>
    <w:p>
      <w:pPr>
        <w:adjustRightInd w:val="0"/>
        <w:snapToGrid w:val="0"/>
        <w:spacing w:line="360" w:lineRule="auto"/>
        <w:ind w:firstLine="460" w:firstLineChars="192"/>
        <w:rPr>
          <w:rFonts w:ascii="仿宋" w:hAnsi="仿宋" w:eastAsia="仿宋" w:cs="仿宋"/>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、中标单位需要向采购单位提供全套技术文档，包括但不限于图纸、操作手册、说明书等。</w:t>
      </w:r>
    </w:p>
    <w:p>
      <w:pPr>
        <w:adjustRightInd w:val="0"/>
        <w:snapToGrid w:val="0"/>
        <w:spacing w:line="360" w:lineRule="auto"/>
        <w:ind w:firstLine="460" w:firstLineChars="192"/>
        <w:rPr>
          <w:rFonts w:ascii="仿宋" w:hAnsi="仿宋" w:eastAsia="仿宋" w:cs="仿宋"/>
          <w:color w:val="auto"/>
          <w:sz w:val="24"/>
          <w:szCs w:val="24"/>
          <w:highlight w:val="none"/>
        </w:rPr>
      </w:pP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、采购单位配合中标单位工作，并为中标单位提供必要的便利条件。中标单位在日常工作中如有需要，须有中标单位明确的书面授权和授权范围经采购单位审核确认后方可开展相应工作。</w:t>
      </w:r>
    </w:p>
    <w:p>
      <w:pPr>
        <w:adjustRightInd w:val="0"/>
        <w:snapToGrid w:val="0"/>
        <w:spacing w:line="360" w:lineRule="auto"/>
        <w:ind w:firstLine="460" w:firstLineChars="192"/>
        <w:rPr>
          <w:rFonts w:ascii="仿宋" w:hAnsi="仿宋" w:eastAsia="仿宋" w:cs="仿宋"/>
          <w:b/>
          <w:color w:val="auto"/>
          <w:sz w:val="24"/>
          <w:szCs w:val="24"/>
          <w:highlight w:val="none"/>
        </w:rPr>
      </w:pP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、中标单位及中标单位派遣人员对本项目内容及提供服务过程中知悉的采购单位须保密的信息内容，如有泄露造成损失，中标单位应承担采购单位全部损失。</w:t>
      </w:r>
    </w:p>
    <w:p>
      <w:pPr>
        <w:widowControl/>
        <w:autoSpaceDE w:val="0"/>
        <w:autoSpaceDN w:val="0"/>
        <w:spacing w:line="440" w:lineRule="exact"/>
        <w:textAlignment w:val="bottom"/>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七、验收</w:t>
      </w:r>
    </w:p>
    <w:p>
      <w:pPr>
        <w:widowControl/>
        <w:autoSpaceDE w:val="0"/>
        <w:autoSpaceDN w:val="0"/>
        <w:spacing w:line="440" w:lineRule="exact"/>
        <w:ind w:left="-181" w:leftChars="-86" w:right="-178" w:rightChars="-85" w:firstLine="600" w:firstLineChars="250"/>
        <w:textAlignment w:val="bottom"/>
        <w:rPr>
          <w:rFonts w:ascii="仿宋" w:hAnsi="仿宋" w:eastAsia="仿宋" w:cs="仿宋"/>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、系统集成后上线试运行并通过初步验收之日起，试运行一个月正常无问题后进行最终验收。</w:t>
      </w:r>
    </w:p>
    <w:p>
      <w:pPr>
        <w:widowControl/>
        <w:autoSpaceDE w:val="0"/>
        <w:autoSpaceDN w:val="0"/>
        <w:spacing w:line="440" w:lineRule="exact"/>
        <w:ind w:left="-181" w:leftChars="-86" w:right="-178" w:rightChars="-85" w:firstLine="600" w:firstLineChars="250"/>
        <w:textAlignment w:val="bottom"/>
        <w:rPr>
          <w:rFonts w:ascii="仿宋" w:hAnsi="仿宋" w:eastAsia="仿宋" w:cs="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、软件功能需要根据功能清单进行逐项验收。</w:t>
      </w:r>
    </w:p>
    <w:p>
      <w:pPr>
        <w:widowControl/>
        <w:autoSpaceDE w:val="0"/>
        <w:autoSpaceDN w:val="0"/>
        <w:spacing w:line="440" w:lineRule="exact"/>
        <w:ind w:left="-181" w:leftChars="-86" w:right="-178" w:rightChars="-85" w:firstLine="600" w:firstLineChars="250"/>
        <w:textAlignment w:val="bottom"/>
        <w:rPr>
          <w:rFonts w:ascii="仿宋" w:hAnsi="仿宋" w:eastAsia="仿宋" w:cs="仿宋"/>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供货方应提供系统设备的有效检验材料，经采购人认可后，与合同的技术指标一起作为验收标准。采购人对系统设备验收合格后，在《建德市政府采购验收反馈表》上签署意见并加盖单位公章。验收中发现系统设备达不到验收标准或合同规定的技术指标，卖方必须更换，并负担由此给用户造成的损失，直到验收合格为止。</w:t>
      </w:r>
    </w:p>
    <w:p>
      <w:pPr>
        <w:widowControl/>
        <w:autoSpaceDE w:val="0"/>
        <w:autoSpaceDN w:val="0"/>
        <w:spacing w:line="440" w:lineRule="exact"/>
        <w:ind w:left="-181" w:leftChars="-86" w:right="-178" w:rightChars="-85" w:firstLine="600" w:firstLineChars="250"/>
        <w:textAlignment w:val="bottom"/>
        <w:rPr>
          <w:rFonts w:ascii="仿宋" w:hAnsi="仿宋" w:eastAsia="仿宋" w:cs="仿宋"/>
          <w:color w:val="auto"/>
          <w:sz w:val="24"/>
          <w:szCs w:val="24"/>
          <w:highlight w:val="none"/>
        </w:rPr>
      </w:pP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、投标方应于投标书中提供系统设备的验收标准和检测办法，并在验收中提供买方认可的相应检测手段，验收标准应符合中国有关的国家、地方、行业的标准，如若中标，经买方确认后作为验收的依据。</w:t>
      </w:r>
    </w:p>
    <w:p>
      <w:pPr>
        <w:widowControl/>
        <w:autoSpaceDE w:val="0"/>
        <w:autoSpaceDN w:val="0"/>
        <w:spacing w:line="440" w:lineRule="exact"/>
        <w:ind w:left="-181" w:leftChars="-86" w:right="-178" w:rightChars="-85" w:firstLine="600" w:firstLineChars="250"/>
        <w:textAlignment w:val="bottom"/>
        <w:rPr>
          <w:color w:val="auto"/>
        </w:rPr>
      </w:pP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、验收费用由产品供应商承担。</w:t>
      </w:r>
    </w:p>
    <w:p>
      <w:pPr>
        <w:pStyle w:val="28"/>
        <w:tabs>
          <w:tab w:val="left" w:pos="1425"/>
        </w:tabs>
        <w:spacing w:line="440" w:lineRule="exact"/>
        <w:jc w:val="center"/>
        <w:rPr>
          <w:rStyle w:val="97"/>
          <w:rFonts w:ascii="仿宋" w:hAnsi="仿宋" w:eastAsia="仿宋" w:cs="仿宋"/>
          <w:color w:val="auto"/>
          <w:sz w:val="36"/>
          <w:szCs w:val="36"/>
        </w:rPr>
      </w:pPr>
      <w:r>
        <w:rPr>
          <w:rStyle w:val="97"/>
          <w:rFonts w:hint="eastAsia" w:ascii="仿宋" w:hAnsi="仿宋" w:eastAsia="仿宋" w:cs="仿宋"/>
          <w:b/>
          <w:bCs/>
          <w:color w:val="auto"/>
          <w:sz w:val="36"/>
          <w:szCs w:val="36"/>
        </w:rPr>
        <w:t>第七章</w:t>
      </w:r>
      <w:r>
        <w:rPr>
          <w:rStyle w:val="97"/>
          <w:rFonts w:ascii="仿宋" w:hAnsi="仿宋" w:eastAsia="仿宋" w:cs="仿宋"/>
          <w:b/>
          <w:bCs/>
          <w:color w:val="auto"/>
          <w:sz w:val="36"/>
          <w:szCs w:val="36"/>
        </w:rPr>
        <w:t xml:space="preserve"> </w:t>
      </w:r>
      <w:r>
        <w:rPr>
          <w:rStyle w:val="97"/>
          <w:rFonts w:hint="eastAsia" w:ascii="仿宋" w:hAnsi="仿宋" w:eastAsia="仿宋" w:cs="仿宋"/>
          <w:b/>
          <w:bCs/>
          <w:color w:val="auto"/>
          <w:sz w:val="36"/>
          <w:szCs w:val="36"/>
        </w:rPr>
        <w:t>财务结算</w:t>
      </w:r>
    </w:p>
    <w:p>
      <w:pPr>
        <w:rPr>
          <w:rFonts w:ascii="仿宋" w:hAnsi="仿宋" w:eastAsia="仿宋" w:cs="仿宋"/>
          <w:color w:val="auto"/>
        </w:rPr>
      </w:pPr>
    </w:p>
    <w:p>
      <w:pPr>
        <w:spacing w:line="360" w:lineRule="auto"/>
        <w:ind w:right="-178" w:rightChars="-85"/>
        <w:rPr>
          <w:rFonts w:ascii="仿宋" w:hAnsi="仿宋" w:eastAsia="仿宋" w:cs="仿宋"/>
          <w:b/>
          <w:bCs/>
          <w:color w:val="auto"/>
          <w:sz w:val="24"/>
          <w:szCs w:val="24"/>
        </w:rPr>
      </w:pPr>
      <w:r>
        <w:rPr>
          <w:rFonts w:hint="eastAsia" w:ascii="仿宋" w:hAnsi="仿宋" w:eastAsia="仿宋" w:cs="仿宋"/>
          <w:b/>
          <w:bCs/>
          <w:color w:val="auto"/>
          <w:sz w:val="24"/>
          <w:szCs w:val="24"/>
        </w:rPr>
        <w:t>一、项目款的结算</w:t>
      </w:r>
    </w:p>
    <w:p>
      <w:pPr>
        <w:spacing w:line="360" w:lineRule="auto"/>
        <w:ind w:left="-181" w:leftChars="-86" w:right="-178" w:rightChars="-85" w:firstLine="460" w:firstLineChars="192"/>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采购单位根据合同、投标文件等资料进行验收。</w:t>
      </w:r>
    </w:p>
    <w:p>
      <w:pPr>
        <w:spacing w:line="360" w:lineRule="auto"/>
        <w:ind w:left="-181" w:leftChars="-86" w:right="-178" w:rightChars="-85" w:firstLine="460" w:firstLineChars="192"/>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项目款结算采取分期付款方式。</w:t>
      </w:r>
    </w:p>
    <w:p>
      <w:pPr>
        <w:spacing w:line="360" w:lineRule="auto"/>
        <w:ind w:left="-181" w:leftChars="-86" w:right="-178" w:rightChars="-85" w:firstLine="460" w:firstLineChars="192"/>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采购单位合同签订之日起15日内支付合同总价的30%，系统开发完成75%（经甲乙双方书面确认进度）后支付合同总价的45%，系统验收且试运行一个月，由采购单位向中标单位支付剩余25%货款。</w:t>
      </w:r>
    </w:p>
    <w:p>
      <w:pPr>
        <w:spacing w:line="360" w:lineRule="auto"/>
        <w:ind w:left="-181" w:leftChars="-86" w:right="-178" w:rightChars="-85" w:firstLine="460" w:firstLineChars="192"/>
        <w:rPr>
          <w:rFonts w:ascii="仿宋" w:hAnsi="仿宋" w:eastAsia="仿宋" w:cs="仿宋"/>
          <w:b/>
          <w:bCs/>
          <w:color w:val="auto"/>
          <w:sz w:val="24"/>
          <w:szCs w:val="24"/>
        </w:rPr>
      </w:pPr>
      <w:r>
        <w:rPr>
          <w:rFonts w:hint="eastAsia" w:ascii="仿宋" w:hAnsi="仿宋" w:eastAsia="仿宋" w:cs="仿宋"/>
          <w:bCs/>
          <w:color w:val="auto"/>
          <w:sz w:val="24"/>
          <w:szCs w:val="24"/>
          <w:highlight w:val="none"/>
        </w:rPr>
        <w:t>支付项目款时，中标单位将结款申请1份、增值税专用全额发票及复印件1份、合同复印件1份、货物设备清单和经采购单位验收确认的《采购验收反馈表》和验收报告提交采购单位，由采购单位向中标单位支付结算当期项目款</w:t>
      </w:r>
      <w:r>
        <w:rPr>
          <w:rFonts w:hint="eastAsia" w:ascii="仿宋" w:hAnsi="仿宋" w:eastAsia="仿宋" w:cs="仿宋"/>
          <w:bCs/>
          <w:color w:val="auto"/>
          <w:sz w:val="24"/>
          <w:szCs w:val="24"/>
        </w:rPr>
        <w:t>。</w:t>
      </w:r>
    </w:p>
    <w:p>
      <w:pPr>
        <w:spacing w:line="360" w:lineRule="auto"/>
        <w:ind w:right="-178" w:rightChars="-85"/>
        <w:rPr>
          <w:rFonts w:ascii="仿宋" w:hAnsi="仿宋" w:eastAsia="仿宋" w:cs="仿宋"/>
          <w:bCs/>
          <w:color w:val="auto"/>
          <w:sz w:val="24"/>
          <w:szCs w:val="24"/>
        </w:rPr>
      </w:pPr>
      <w:r>
        <w:rPr>
          <w:rFonts w:hint="eastAsia" w:ascii="仿宋" w:hAnsi="仿宋" w:eastAsia="仿宋" w:cs="仿宋"/>
          <w:b/>
          <w:bCs/>
          <w:color w:val="auto"/>
          <w:sz w:val="24"/>
          <w:szCs w:val="24"/>
        </w:rPr>
        <w:t>二、履约保证金：</w:t>
      </w:r>
    </w:p>
    <w:p>
      <w:pPr>
        <w:spacing w:line="360" w:lineRule="auto"/>
        <w:ind w:left="-181" w:leftChars="-86" w:right="-178" w:rightChars="-85" w:firstLine="460" w:firstLineChars="192"/>
        <w:rPr>
          <w:rFonts w:ascii="仿宋" w:hAnsi="仿宋" w:eastAsia="仿宋" w:cs="仿宋"/>
          <w:bCs/>
          <w:color w:val="auto"/>
          <w:sz w:val="24"/>
          <w:szCs w:val="24"/>
        </w:rPr>
      </w:pPr>
      <w:r>
        <w:rPr>
          <w:rFonts w:hint="eastAsia" w:ascii="仿宋" w:hAnsi="仿宋" w:eastAsia="仿宋" w:cs="仿宋"/>
          <w:bCs/>
          <w:color w:val="auto"/>
          <w:sz w:val="24"/>
          <w:szCs w:val="24"/>
        </w:rPr>
        <w:t>在合同签订前</w:t>
      </w:r>
      <w:r>
        <w:rPr>
          <w:rFonts w:ascii="仿宋" w:hAnsi="仿宋" w:eastAsia="仿宋" w:cs="仿宋"/>
          <w:bCs/>
          <w:color w:val="auto"/>
          <w:sz w:val="24"/>
          <w:szCs w:val="24"/>
        </w:rPr>
        <w:t>,</w:t>
      </w:r>
      <w:r>
        <w:rPr>
          <w:rFonts w:hint="eastAsia" w:ascii="仿宋" w:hAnsi="仿宋" w:eastAsia="仿宋" w:cs="仿宋"/>
          <w:bCs/>
          <w:color w:val="auto"/>
          <w:sz w:val="24"/>
          <w:szCs w:val="24"/>
        </w:rPr>
        <w:t>由中标单位将成交总金额的</w:t>
      </w:r>
      <w:r>
        <w:rPr>
          <w:rFonts w:ascii="仿宋" w:hAnsi="仿宋" w:eastAsia="仿宋" w:cs="仿宋"/>
          <w:bCs/>
          <w:color w:val="auto"/>
          <w:sz w:val="24"/>
          <w:szCs w:val="24"/>
        </w:rPr>
        <w:t>5%</w:t>
      </w:r>
      <w:r>
        <w:rPr>
          <w:rFonts w:hint="eastAsia" w:ascii="仿宋" w:hAnsi="仿宋" w:eastAsia="仿宋" w:cs="仿宋"/>
          <w:bCs/>
          <w:color w:val="auto"/>
          <w:sz w:val="24"/>
          <w:szCs w:val="24"/>
        </w:rPr>
        <w:t>缴纳至采购单位指定帐户作为履约保证金，经验收合格且质保期满后无息退还。回访无质量问题，中标单位凭正式收款收据、履约保证金缴纳凭证复印件、《建德市政府采购回访意见单》办理结算手续（不计息）。因供应商所供商品质量原因造成采购单位损失的，采购单位有权要求供应商以其履约保证金作出补偿。</w:t>
      </w:r>
    </w:p>
    <w:p>
      <w:pPr>
        <w:rPr>
          <w:rFonts w:ascii="仿宋" w:hAnsi="仿宋" w:eastAsia="仿宋" w:cs="仿宋"/>
          <w:color w:val="auto"/>
        </w:rPr>
      </w:pPr>
    </w:p>
    <w:p>
      <w:pPr>
        <w:spacing w:line="500" w:lineRule="exact"/>
        <w:jc w:val="center"/>
        <w:rPr>
          <w:rStyle w:val="97"/>
          <w:rFonts w:ascii="仿宋" w:hAnsi="仿宋" w:eastAsia="仿宋" w:cs="仿宋"/>
          <w:color w:val="auto"/>
          <w:sz w:val="36"/>
          <w:szCs w:val="36"/>
        </w:rPr>
      </w:pPr>
    </w:p>
    <w:p>
      <w:pPr>
        <w:spacing w:line="500" w:lineRule="exact"/>
        <w:jc w:val="center"/>
        <w:rPr>
          <w:rStyle w:val="97"/>
          <w:rFonts w:ascii="仿宋" w:hAnsi="仿宋" w:eastAsia="仿宋" w:cs="仿宋"/>
          <w:color w:val="auto"/>
          <w:sz w:val="36"/>
          <w:szCs w:val="36"/>
        </w:rPr>
      </w:pPr>
    </w:p>
    <w:p>
      <w:pPr>
        <w:spacing w:line="500" w:lineRule="exact"/>
        <w:jc w:val="center"/>
        <w:rPr>
          <w:rStyle w:val="97"/>
          <w:rFonts w:ascii="仿宋" w:hAnsi="仿宋" w:eastAsia="仿宋" w:cs="仿宋"/>
          <w:color w:val="auto"/>
          <w:sz w:val="36"/>
          <w:szCs w:val="36"/>
        </w:rPr>
      </w:pPr>
    </w:p>
    <w:p>
      <w:pPr>
        <w:spacing w:line="500" w:lineRule="exact"/>
        <w:jc w:val="center"/>
        <w:rPr>
          <w:rStyle w:val="97"/>
          <w:rFonts w:ascii="仿宋" w:hAnsi="仿宋" w:eastAsia="仿宋" w:cs="仿宋"/>
          <w:color w:val="auto"/>
          <w:sz w:val="36"/>
          <w:szCs w:val="36"/>
        </w:rPr>
      </w:pPr>
    </w:p>
    <w:p>
      <w:pPr>
        <w:spacing w:line="500" w:lineRule="exact"/>
        <w:jc w:val="center"/>
        <w:rPr>
          <w:rStyle w:val="97"/>
          <w:rFonts w:ascii="仿宋" w:hAnsi="仿宋" w:eastAsia="仿宋" w:cs="仿宋"/>
          <w:color w:val="auto"/>
          <w:sz w:val="36"/>
          <w:szCs w:val="36"/>
        </w:rPr>
      </w:pPr>
    </w:p>
    <w:p>
      <w:pPr>
        <w:spacing w:line="500" w:lineRule="exact"/>
        <w:jc w:val="center"/>
        <w:rPr>
          <w:rStyle w:val="97"/>
          <w:rFonts w:ascii="仿宋" w:hAnsi="仿宋" w:eastAsia="仿宋" w:cs="仿宋"/>
          <w:color w:val="auto"/>
          <w:sz w:val="36"/>
          <w:szCs w:val="36"/>
        </w:rPr>
      </w:pPr>
    </w:p>
    <w:p>
      <w:pPr>
        <w:spacing w:line="500" w:lineRule="exact"/>
        <w:jc w:val="center"/>
        <w:rPr>
          <w:rStyle w:val="97"/>
          <w:rFonts w:ascii="仿宋" w:hAnsi="仿宋" w:eastAsia="仿宋" w:cs="仿宋"/>
          <w:color w:val="auto"/>
          <w:sz w:val="36"/>
          <w:szCs w:val="36"/>
        </w:rPr>
      </w:pPr>
    </w:p>
    <w:p>
      <w:pPr>
        <w:spacing w:line="500" w:lineRule="exact"/>
        <w:jc w:val="center"/>
        <w:rPr>
          <w:rStyle w:val="97"/>
          <w:rFonts w:ascii="仿宋" w:hAnsi="仿宋" w:eastAsia="仿宋" w:cs="仿宋"/>
          <w:color w:val="auto"/>
          <w:sz w:val="36"/>
          <w:szCs w:val="36"/>
        </w:rPr>
      </w:pPr>
    </w:p>
    <w:p>
      <w:pPr>
        <w:pStyle w:val="57"/>
        <w:ind w:firstLine="420"/>
        <w:rPr>
          <w:color w:val="auto"/>
        </w:rPr>
      </w:pPr>
    </w:p>
    <w:p>
      <w:pPr>
        <w:spacing w:line="500" w:lineRule="exact"/>
        <w:jc w:val="center"/>
        <w:rPr>
          <w:rStyle w:val="97"/>
          <w:rFonts w:ascii="仿宋" w:hAnsi="仿宋" w:eastAsia="仿宋" w:cs="仿宋"/>
          <w:color w:val="auto"/>
          <w:sz w:val="36"/>
          <w:szCs w:val="36"/>
        </w:rPr>
      </w:pPr>
    </w:p>
    <w:p>
      <w:pPr>
        <w:spacing w:line="500" w:lineRule="exact"/>
        <w:rPr>
          <w:rStyle w:val="97"/>
          <w:rFonts w:ascii="仿宋" w:hAnsi="仿宋" w:eastAsia="仿宋" w:cs="仿宋"/>
          <w:color w:val="auto"/>
          <w:sz w:val="36"/>
          <w:szCs w:val="36"/>
        </w:rPr>
      </w:pPr>
    </w:p>
    <w:p>
      <w:pPr>
        <w:spacing w:line="500" w:lineRule="exact"/>
        <w:jc w:val="both"/>
        <w:rPr>
          <w:rStyle w:val="97"/>
          <w:rFonts w:ascii="仿宋" w:hAnsi="仿宋" w:eastAsia="仿宋" w:cs="仿宋"/>
          <w:b/>
          <w:bCs/>
          <w:color w:val="auto"/>
          <w:sz w:val="36"/>
          <w:szCs w:val="36"/>
        </w:rPr>
      </w:pPr>
    </w:p>
    <w:p>
      <w:pPr>
        <w:spacing w:line="500" w:lineRule="exact"/>
        <w:jc w:val="center"/>
        <w:rPr>
          <w:rStyle w:val="97"/>
          <w:rFonts w:hint="eastAsia" w:ascii="仿宋" w:hAnsi="仿宋" w:eastAsia="仿宋" w:cs="仿宋"/>
          <w:b/>
          <w:bCs/>
          <w:color w:val="auto"/>
          <w:sz w:val="36"/>
          <w:szCs w:val="36"/>
          <w:highlight w:val="none"/>
        </w:rPr>
      </w:pPr>
      <w:r>
        <w:rPr>
          <w:rStyle w:val="97"/>
          <w:rFonts w:hint="eastAsia" w:ascii="仿宋" w:hAnsi="仿宋" w:eastAsia="仿宋" w:cs="仿宋"/>
          <w:b/>
          <w:bCs/>
          <w:color w:val="auto"/>
          <w:sz w:val="36"/>
          <w:szCs w:val="36"/>
        </w:rPr>
        <w:t>第八章</w:t>
      </w:r>
      <w:r>
        <w:rPr>
          <w:rStyle w:val="97"/>
          <w:rFonts w:ascii="仿宋" w:hAnsi="仿宋" w:eastAsia="仿宋" w:cs="仿宋"/>
          <w:b/>
          <w:bCs/>
          <w:color w:val="auto"/>
          <w:sz w:val="36"/>
          <w:szCs w:val="36"/>
        </w:rPr>
        <w:t xml:space="preserve">  </w:t>
      </w:r>
      <w:r>
        <w:rPr>
          <w:rStyle w:val="97"/>
          <w:rFonts w:hint="eastAsia" w:ascii="仿宋" w:hAnsi="仿宋" w:eastAsia="仿宋" w:cs="仿宋"/>
          <w:b/>
          <w:bCs/>
          <w:color w:val="auto"/>
          <w:sz w:val="36"/>
          <w:szCs w:val="36"/>
          <w:highlight w:val="none"/>
        </w:rPr>
        <w:t>建德市政府采购合同</w:t>
      </w:r>
    </w:p>
    <w:p>
      <w:pPr>
        <w:pStyle w:val="26"/>
        <w:snapToGrid w:val="0"/>
        <w:spacing w:line="336"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（本合同为合同样稿，最终稿由三方协商后确定）</w:t>
      </w:r>
    </w:p>
    <w:p>
      <w:pPr>
        <w:pStyle w:val="26"/>
        <w:snapToGrid w:val="0"/>
        <w:spacing w:line="44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合同编号：</w:t>
      </w:r>
      <w:r>
        <w:rPr>
          <w:rFonts w:hint="eastAsia" w:ascii="仿宋" w:hAnsi="仿宋" w:eastAsia="仿宋" w:cs="仿宋"/>
          <w:b/>
          <w:color w:val="auto"/>
          <w:sz w:val="24"/>
          <w:szCs w:val="24"/>
          <w:lang w:eastAsia="zh-CN"/>
        </w:rPr>
        <w:t>JDOBCG2021B-45</w:t>
      </w:r>
      <w:r>
        <w:rPr>
          <w:rFonts w:hint="eastAsia" w:ascii="仿宋" w:hAnsi="仿宋" w:eastAsia="仿宋" w:cs="仿宋"/>
          <w:b/>
          <w:color w:val="auto"/>
          <w:sz w:val="24"/>
          <w:szCs w:val="24"/>
          <w:highlight w:val="none"/>
        </w:rPr>
        <w:t xml:space="preserve">    </w:t>
      </w:r>
    </w:p>
    <w:p>
      <w:pPr>
        <w:spacing w:after="156" w:line="24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甲方：建德市数字信息有限责任公司</w:t>
      </w:r>
    </w:p>
    <w:p>
      <w:pPr>
        <w:spacing w:after="156" w:line="24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乙方：</w:t>
      </w:r>
    </w:p>
    <w:p>
      <w:pPr>
        <w:pStyle w:val="26"/>
        <w:snapToGrid w:val="0"/>
        <w:spacing w:line="24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见证方（代理机构）：</w:t>
      </w:r>
    </w:p>
    <w:p>
      <w:pPr>
        <w:spacing w:after="156" w:line="240" w:lineRule="auto"/>
        <w:jc w:val="left"/>
        <w:rPr>
          <w:rFonts w:hint="eastAsia" w:ascii="仿宋" w:hAnsi="仿宋" w:eastAsia="仿宋" w:cs="仿宋"/>
          <w:color w:val="auto"/>
          <w:sz w:val="24"/>
          <w:highlight w:val="none"/>
        </w:rPr>
      </w:pPr>
    </w:p>
    <w:p>
      <w:pPr>
        <w:spacing w:line="44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w:t>
      </w:r>
      <w:r>
        <w:rPr>
          <w:rFonts w:hint="eastAsia" w:ascii="仿宋" w:hAnsi="仿宋" w:eastAsia="仿宋" w:cs="仿宋"/>
          <w:color w:val="auto"/>
          <w:sz w:val="24"/>
          <w:szCs w:val="24"/>
          <w:highlight w:val="none"/>
        </w:rPr>
        <w:t>民法典</w:t>
      </w:r>
      <w:r>
        <w:rPr>
          <w:rFonts w:hint="eastAsia" w:ascii="仿宋" w:hAnsi="仿宋" w:eastAsia="仿宋" w:cs="仿宋"/>
          <w:color w:val="auto"/>
          <w:sz w:val="24"/>
          <w:highlight w:val="none"/>
        </w:rPr>
        <w:t>》的规定，经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，确定乙方为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lang w:eastAsia="zh-CN"/>
        </w:rPr>
        <w:t>中标</w:t>
      </w:r>
      <w:r>
        <w:rPr>
          <w:rFonts w:hint="eastAsia" w:ascii="仿宋" w:hAnsi="仿宋" w:eastAsia="仿宋" w:cs="仿宋"/>
          <w:color w:val="auto"/>
          <w:sz w:val="24"/>
          <w:highlight w:val="none"/>
        </w:rPr>
        <w:t>单位。为明确双方的权利和义务，经甲乙双方协商一致同意按照以下条款签订本合同。</w:t>
      </w:r>
    </w:p>
    <w:p>
      <w:pPr>
        <w:numPr>
          <w:ilvl w:val="0"/>
          <w:numId w:val="14"/>
        </w:numPr>
        <w:spacing w:line="460" w:lineRule="auto"/>
        <w:ind w:firstLine="482"/>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采购内容、数量、价款</w:t>
      </w:r>
    </w:p>
    <w:p>
      <w:pPr>
        <w:pStyle w:val="57"/>
        <w:numPr>
          <w:ilvl w:val="0"/>
          <w:numId w:val="0"/>
        </w:numPr>
        <w:ind w:firstLine="480" w:firstLineChars="200"/>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t>1、采购内容</w:t>
      </w:r>
    </w:p>
    <w:tbl>
      <w:tblPr>
        <w:tblStyle w:val="47"/>
        <w:tblW w:w="8037" w:type="dxa"/>
        <w:jc w:val="center"/>
        <w:tblLayout w:type="fixed"/>
        <w:tblCellMar>
          <w:top w:w="0" w:type="dxa"/>
          <w:left w:w="108" w:type="dxa"/>
          <w:bottom w:w="0" w:type="dxa"/>
          <w:right w:w="108" w:type="dxa"/>
        </w:tblCellMar>
      </w:tblPr>
      <w:tblGrid>
        <w:gridCol w:w="803"/>
        <w:gridCol w:w="1480"/>
        <w:gridCol w:w="2160"/>
        <w:gridCol w:w="780"/>
        <w:gridCol w:w="780"/>
        <w:gridCol w:w="1365"/>
        <w:gridCol w:w="669"/>
      </w:tblGrid>
      <w:tr>
        <w:tblPrEx>
          <w:tblCellMar>
            <w:top w:w="0" w:type="dxa"/>
            <w:left w:w="108" w:type="dxa"/>
            <w:bottom w:w="0" w:type="dxa"/>
            <w:right w:w="108" w:type="dxa"/>
          </w:tblCellMar>
        </w:tblPrEx>
        <w:trPr>
          <w:trHeight w:val="639" w:hRule="atLeast"/>
          <w:jc w:val="center"/>
        </w:trPr>
        <w:tc>
          <w:tcPr>
            <w:tcW w:w="80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序号</w:t>
            </w:r>
          </w:p>
        </w:tc>
        <w:tc>
          <w:tcPr>
            <w:tcW w:w="148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采购内容</w:t>
            </w:r>
          </w:p>
        </w:tc>
        <w:tc>
          <w:tcPr>
            <w:tcW w:w="216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项目技术规范</w:t>
            </w:r>
          </w:p>
          <w:p>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和服务要求</w:t>
            </w:r>
          </w:p>
        </w:tc>
        <w:tc>
          <w:tcPr>
            <w:tcW w:w="78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单位</w:t>
            </w:r>
          </w:p>
        </w:tc>
        <w:tc>
          <w:tcPr>
            <w:tcW w:w="78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数量</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中标</w:t>
            </w:r>
            <w:r>
              <w:rPr>
                <w:rFonts w:hint="eastAsia" w:ascii="仿宋" w:hAnsi="仿宋" w:eastAsia="仿宋" w:cs="仿宋"/>
                <w:b/>
                <w:bCs/>
                <w:color w:val="auto"/>
                <w:sz w:val="24"/>
                <w:szCs w:val="24"/>
                <w:highlight w:val="none"/>
              </w:rPr>
              <w:t>总价</w:t>
            </w:r>
            <w:r>
              <w:rPr>
                <w:rFonts w:hint="eastAsia" w:ascii="仿宋" w:hAnsi="仿宋" w:eastAsia="仿宋" w:cs="仿宋"/>
                <w:b/>
                <w:bCs/>
                <w:color w:val="auto"/>
                <w:sz w:val="24"/>
                <w:szCs w:val="24"/>
                <w:highlight w:val="none"/>
              </w:rPr>
              <w:br w:type="textWrapping"/>
            </w:r>
            <w:r>
              <w:rPr>
                <w:rFonts w:hint="eastAsia" w:ascii="仿宋" w:hAnsi="仿宋" w:eastAsia="仿宋" w:cs="仿宋"/>
                <w:b/>
                <w:bCs/>
                <w:color w:val="auto"/>
                <w:sz w:val="24"/>
                <w:szCs w:val="24"/>
                <w:highlight w:val="none"/>
              </w:rPr>
              <w:t>（元）</w:t>
            </w:r>
          </w:p>
        </w:tc>
        <w:tc>
          <w:tcPr>
            <w:tcW w:w="66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备注</w:t>
            </w:r>
          </w:p>
        </w:tc>
      </w:tr>
      <w:tr>
        <w:tblPrEx>
          <w:tblCellMar>
            <w:top w:w="0" w:type="dxa"/>
            <w:left w:w="108" w:type="dxa"/>
            <w:bottom w:w="0" w:type="dxa"/>
            <w:right w:w="108" w:type="dxa"/>
          </w:tblCellMar>
        </w:tblPrEx>
        <w:trPr>
          <w:cantSplit/>
          <w:trHeight w:val="575" w:hRule="atLeast"/>
          <w:jc w:val="center"/>
        </w:trPr>
        <w:tc>
          <w:tcPr>
            <w:tcW w:w="80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48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szCs w:val="24"/>
                <w:highlight w:val="none"/>
                <w:lang w:eastAsia="zh-CN"/>
              </w:rPr>
            </w:pPr>
          </w:p>
        </w:tc>
        <w:tc>
          <w:tcPr>
            <w:tcW w:w="2160" w:type="dxa"/>
            <w:tcBorders>
              <w:top w:val="single" w:color="auto" w:sz="4" w:space="0"/>
              <w:left w:val="single" w:color="auto" w:sz="4" w:space="0"/>
              <w:right w:val="single" w:color="auto" w:sz="4" w:space="0"/>
            </w:tcBorders>
            <w:vAlign w:val="center"/>
          </w:tcPr>
          <w:p>
            <w:pPr>
              <w:jc w:val="center"/>
              <w:rPr>
                <w:rFonts w:hint="eastAsia" w:ascii="仿宋" w:hAnsi="仿宋" w:eastAsia="仿宋" w:cs="仿宋"/>
                <w:color w:val="auto"/>
                <w:sz w:val="24"/>
                <w:szCs w:val="24"/>
                <w:highlight w:val="none"/>
              </w:rPr>
            </w:pPr>
          </w:p>
        </w:tc>
        <w:tc>
          <w:tcPr>
            <w:tcW w:w="78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w:t>
            </w:r>
          </w:p>
        </w:tc>
        <w:tc>
          <w:tcPr>
            <w:tcW w:w="78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3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szCs w:val="24"/>
                <w:highlight w:val="none"/>
              </w:rPr>
            </w:pPr>
          </w:p>
        </w:tc>
        <w:tc>
          <w:tcPr>
            <w:tcW w:w="66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szCs w:val="24"/>
                <w:highlight w:val="none"/>
              </w:rPr>
            </w:pPr>
          </w:p>
        </w:tc>
      </w:tr>
      <w:tr>
        <w:tblPrEx>
          <w:tblCellMar>
            <w:top w:w="0" w:type="dxa"/>
            <w:left w:w="108" w:type="dxa"/>
            <w:bottom w:w="0" w:type="dxa"/>
            <w:right w:w="108" w:type="dxa"/>
          </w:tblCellMar>
        </w:tblPrEx>
        <w:trPr>
          <w:trHeight w:val="426" w:hRule="exact"/>
          <w:jc w:val="center"/>
        </w:trPr>
        <w:tc>
          <w:tcPr>
            <w:tcW w:w="7368" w:type="dxa"/>
            <w:gridSpan w:val="6"/>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eastAsia="zh-CN"/>
              </w:rPr>
              <w:t>合同价</w:t>
            </w:r>
            <w:r>
              <w:rPr>
                <w:rFonts w:hint="eastAsia" w:ascii="仿宋" w:hAnsi="仿宋" w:eastAsia="仿宋" w:cs="仿宋"/>
                <w:b/>
                <w:bCs/>
                <w:color w:val="auto"/>
                <w:sz w:val="24"/>
                <w:szCs w:val="24"/>
                <w:highlight w:val="none"/>
              </w:rPr>
              <w:t>：人民币（大写）：</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元整（￥：</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元）</w:t>
            </w:r>
          </w:p>
        </w:tc>
        <w:tc>
          <w:tcPr>
            <w:tcW w:w="669"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sz w:val="24"/>
                <w:szCs w:val="24"/>
                <w:highlight w:val="none"/>
              </w:rPr>
            </w:pPr>
          </w:p>
        </w:tc>
      </w:tr>
    </w:tbl>
    <w:p>
      <w:pPr>
        <w:autoSpaceDE w:val="0"/>
        <w:autoSpaceDN w:val="0"/>
        <w:adjustRightInd w:val="0"/>
        <w:ind w:left="840" w:leftChars="200" w:hanging="420" w:hangingChars="200"/>
        <w:jc w:val="left"/>
        <w:rPr>
          <w:rFonts w:hint="eastAsia" w:ascii="仿宋" w:hAnsi="仿宋" w:eastAsia="仿宋" w:cs="仿宋"/>
          <w:color w:val="auto"/>
          <w:sz w:val="24"/>
          <w:highlight w:val="none"/>
          <w:lang w:eastAsia="zh-CN"/>
        </w:rPr>
      </w:pPr>
      <w:r>
        <w:rPr>
          <w:rFonts w:hint="eastAsia" w:ascii="仿宋" w:hAnsi="仿宋" w:eastAsia="仿宋" w:cs="仿宋"/>
          <w:color w:val="auto"/>
          <w:kern w:val="0"/>
          <w:szCs w:val="24"/>
          <w:highlight w:val="none"/>
        </w:rPr>
        <w:t>注：以上总金额包括统设计、开发、数据同步、整理、人工费、</w:t>
      </w:r>
      <w:r>
        <w:rPr>
          <w:rFonts w:hint="eastAsia" w:ascii="仿宋" w:hAnsi="仿宋" w:eastAsia="仿宋" w:cs="仿宋"/>
          <w:color w:val="auto"/>
          <w:kern w:val="0"/>
          <w:szCs w:val="24"/>
          <w:highlight w:val="none"/>
          <w:lang w:eastAsia="zh-CN"/>
        </w:rPr>
        <w:t>税金、</w:t>
      </w:r>
      <w:r>
        <w:rPr>
          <w:rFonts w:hint="eastAsia" w:ascii="仿宋" w:hAnsi="仿宋" w:eastAsia="仿宋" w:cs="仿宋"/>
          <w:color w:val="auto"/>
          <w:kern w:val="0"/>
          <w:szCs w:val="24"/>
          <w:highlight w:val="none"/>
        </w:rPr>
        <w:t>验收、培训、辅助工作及售后服务等完成本项目的所有费用。</w:t>
      </w:r>
      <w:r>
        <w:rPr>
          <w:rFonts w:hint="eastAsia" w:ascii="仿宋" w:hAnsi="仿宋" w:eastAsia="仿宋" w:cs="仿宋"/>
          <w:color w:val="auto"/>
          <w:kern w:val="0"/>
          <w:szCs w:val="24"/>
          <w:highlight w:val="none"/>
          <w:lang w:eastAsia="zh-CN"/>
        </w:rPr>
        <w:t>（详见附件）</w:t>
      </w:r>
    </w:p>
    <w:p>
      <w:pPr>
        <w:spacing w:line="44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乙方应按照采购内容，提供符合甲方要求的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%增值税专用发票。</w:t>
      </w:r>
    </w:p>
    <w:p>
      <w:pPr>
        <w:spacing w:line="4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合同价款中包含与提供服务有关的一切费用，甲方不再另行支付费用。</w:t>
      </w:r>
    </w:p>
    <w:p>
      <w:pPr>
        <w:spacing w:line="4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具体功能及详细报价见附件。</w:t>
      </w:r>
    </w:p>
    <w:p>
      <w:pPr>
        <w:spacing w:line="460" w:lineRule="auto"/>
        <w:ind w:firstLine="482"/>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第三条 服务地点和时间</w:t>
      </w:r>
    </w:p>
    <w:p>
      <w:pPr>
        <w:spacing w:line="460" w:lineRule="auto"/>
        <w:ind w:firstLine="48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服务地点：</w:t>
      </w:r>
      <w:r>
        <w:rPr>
          <w:rFonts w:hint="eastAsia" w:ascii="仿宋" w:hAnsi="仿宋" w:eastAsia="仿宋" w:cs="仿宋"/>
          <w:color w:val="auto"/>
          <w:sz w:val="24"/>
          <w:highlight w:val="none"/>
          <w:lang w:eastAsia="zh-CN"/>
        </w:rPr>
        <w:t>甲方指定</w:t>
      </w:r>
    </w:p>
    <w:p>
      <w:pPr>
        <w:spacing w:line="4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服务时间：必须在</w:t>
      </w:r>
      <w:r>
        <w:rPr>
          <w:rFonts w:hint="eastAsia" w:ascii="仿宋" w:hAnsi="仿宋" w:eastAsia="仿宋" w:cs="仿宋"/>
          <w:color w:val="auto"/>
          <w:sz w:val="24"/>
          <w:highlight w:val="none"/>
          <w:lang w:eastAsia="zh-CN"/>
        </w:rPr>
        <w:t>签订</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日历天内按</w:t>
      </w:r>
      <w:r>
        <w:rPr>
          <w:rFonts w:hint="eastAsia" w:ascii="仿宋" w:hAnsi="仿宋" w:eastAsia="仿宋" w:cs="仿宋"/>
          <w:color w:val="auto"/>
          <w:sz w:val="24"/>
          <w:highlight w:val="none"/>
          <w:lang w:eastAsia="zh-CN"/>
        </w:rPr>
        <w:t>甲方</w:t>
      </w:r>
      <w:r>
        <w:rPr>
          <w:rFonts w:hint="eastAsia" w:ascii="仿宋" w:hAnsi="仿宋" w:eastAsia="仿宋" w:cs="仿宋"/>
          <w:color w:val="auto"/>
          <w:sz w:val="24"/>
          <w:highlight w:val="none"/>
        </w:rPr>
        <w:t>要求完成全部系统建设交付使用。如在规定的时间内由于供应商的原因不能完成的，供应商应承担由此给采购单位造成的损失。</w:t>
      </w:r>
    </w:p>
    <w:p>
      <w:pPr>
        <w:spacing w:line="460" w:lineRule="auto"/>
        <w:ind w:firstLine="482"/>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第四条 质量保证</w:t>
      </w:r>
    </w:p>
    <w:p>
      <w:pPr>
        <w:spacing w:line="4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乙方提供的服务必须全部达到本合同的各项要求。</w:t>
      </w:r>
    </w:p>
    <w:p>
      <w:pPr>
        <w:spacing w:line="4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本合同约定的建设内容应当在甲方要求的时间内建设完成。除非经甲乙双方另行签订补充协议，否则该期限不得推迟。乙方应审慎地加快建设速度，在保质保量的基础上尽快提前完成。</w:t>
      </w:r>
    </w:p>
    <w:p>
      <w:pPr>
        <w:spacing w:line="4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乙方保证提供的软件性能达到本合同的要求和各项技术指标，并保证按合同要求安装调试及提供完整的售后服务。</w:t>
      </w:r>
    </w:p>
    <w:p>
      <w:pPr>
        <w:spacing w:line="4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本项目提供</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年的质保期，质保期从验收合格交付使用之日起算；质保期内因不能排除的故障而影响工作的情况每发生一次，其质保期相应延长60天，质保期内因</w:t>
      </w:r>
      <w:r>
        <w:rPr>
          <w:rFonts w:hint="eastAsia" w:ascii="仿宋" w:hAnsi="仿宋" w:eastAsia="仿宋" w:cs="仿宋"/>
          <w:color w:val="auto"/>
          <w:sz w:val="24"/>
          <w:highlight w:val="none"/>
          <w:lang w:eastAsia="zh-CN"/>
        </w:rPr>
        <w:t>系统</w:t>
      </w:r>
      <w:r>
        <w:rPr>
          <w:rFonts w:hint="eastAsia" w:ascii="仿宋" w:hAnsi="仿宋" w:eastAsia="仿宋" w:cs="仿宋"/>
          <w:color w:val="auto"/>
          <w:sz w:val="24"/>
          <w:highlight w:val="none"/>
        </w:rPr>
        <w:t>本身缺陷造成各种故障应由卖方免费技术服务和维修。</w:t>
      </w:r>
    </w:p>
    <w:p>
      <w:pPr>
        <w:spacing w:line="4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乙方对本合同所有内容提供</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年免费运维期，期间提供免费维护和免费上门服务。本合同约定的建设内容经过验收后，乙方提供的免费运维期开始，运维期内故障响应时间为1小时内。</w:t>
      </w:r>
    </w:p>
    <w:p>
      <w:pPr>
        <w:autoSpaceDE w:val="0"/>
        <w:adjustRightInd w:val="0"/>
        <w:snapToGrid w:val="0"/>
        <w:spacing w:line="440" w:lineRule="exact"/>
        <w:ind w:firstLine="504" w:firstLineChars="209"/>
        <w:jc w:val="left"/>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第</w:t>
      </w:r>
      <w:r>
        <w:rPr>
          <w:rFonts w:hint="eastAsia" w:ascii="仿宋" w:hAnsi="仿宋" w:eastAsia="仿宋" w:cs="仿宋"/>
          <w:b/>
          <w:color w:val="auto"/>
          <w:kern w:val="0"/>
          <w:sz w:val="24"/>
          <w:szCs w:val="24"/>
          <w:highlight w:val="none"/>
          <w:lang w:eastAsia="zh-CN"/>
        </w:rPr>
        <w:t>五</w:t>
      </w:r>
      <w:r>
        <w:rPr>
          <w:rFonts w:hint="eastAsia" w:ascii="仿宋" w:hAnsi="仿宋" w:eastAsia="仿宋" w:cs="仿宋"/>
          <w:b/>
          <w:color w:val="auto"/>
          <w:kern w:val="0"/>
          <w:sz w:val="24"/>
          <w:szCs w:val="24"/>
          <w:highlight w:val="none"/>
        </w:rPr>
        <w:t>条：履约保证金</w:t>
      </w:r>
    </w:p>
    <w:p>
      <w:pPr>
        <w:spacing w:line="4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在合同签订</w:t>
      </w:r>
      <w:r>
        <w:rPr>
          <w:rFonts w:hint="eastAsia" w:ascii="仿宋" w:hAnsi="仿宋" w:eastAsia="仿宋" w:cs="仿宋"/>
          <w:color w:val="auto"/>
          <w:sz w:val="24"/>
          <w:highlight w:val="none"/>
          <w:lang w:eastAsia="zh-CN"/>
        </w:rPr>
        <w:t>后</w:t>
      </w:r>
      <w:r>
        <w:rPr>
          <w:rFonts w:hint="eastAsia" w:ascii="仿宋" w:hAnsi="仿宋" w:eastAsia="仿宋" w:cs="仿宋"/>
          <w:color w:val="auto"/>
          <w:sz w:val="24"/>
          <w:highlight w:val="none"/>
        </w:rPr>
        <w:t>由成交供应商按合同总金额的5%交纳至采购单位指定帐户。经竣工验收合格</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质保期满</w:t>
      </w:r>
      <w:r>
        <w:rPr>
          <w:rFonts w:hint="eastAsia" w:ascii="仿宋" w:hAnsi="仿宋" w:eastAsia="仿宋" w:cs="仿宋"/>
          <w:color w:val="auto"/>
          <w:sz w:val="24"/>
          <w:highlight w:val="none"/>
          <w:lang w:eastAsia="zh-CN"/>
        </w:rPr>
        <w:t>后</w:t>
      </w:r>
      <w:r>
        <w:rPr>
          <w:rFonts w:hint="eastAsia" w:ascii="仿宋" w:hAnsi="仿宋" w:eastAsia="仿宋" w:cs="仿宋"/>
          <w:color w:val="auto"/>
          <w:sz w:val="24"/>
          <w:highlight w:val="none"/>
        </w:rPr>
        <w:t>经回访无质量、服务问题由采购单位无息退还。因成交供应商的服务、质量原因造成采购单位损失的，采购单位有权要求成交供应商以其履约保证金作出补偿。</w:t>
      </w:r>
    </w:p>
    <w:p>
      <w:pPr>
        <w:spacing w:line="360" w:lineRule="auto"/>
        <w:ind w:firstLine="602"/>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第</w:t>
      </w:r>
      <w:r>
        <w:rPr>
          <w:rFonts w:hint="eastAsia" w:ascii="仿宋" w:hAnsi="仿宋" w:eastAsia="仿宋" w:cs="仿宋"/>
          <w:b/>
          <w:color w:val="auto"/>
          <w:sz w:val="24"/>
          <w:highlight w:val="none"/>
          <w:lang w:eastAsia="zh-CN"/>
        </w:rPr>
        <w:t>六</w:t>
      </w:r>
      <w:r>
        <w:rPr>
          <w:rFonts w:hint="eastAsia" w:ascii="仿宋" w:hAnsi="仿宋" w:eastAsia="仿宋" w:cs="仿宋"/>
          <w:b/>
          <w:color w:val="auto"/>
          <w:sz w:val="24"/>
          <w:highlight w:val="none"/>
        </w:rPr>
        <w:t>条 知识产权</w:t>
      </w:r>
    </w:p>
    <w:p>
      <w:pPr>
        <w:spacing w:line="4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本项目双方均应保护对方的知识产权，任意一方不得侵犯或帮助第三方侵犯另一方知识产权和相关技术与产品。双方均应保护对方的知识产权，任意一方不得侵犯或帮助第三方侵犯另一方知识产权和相关技术与产品。涉及到乙方已成熟运用于商用产品的核心技术知识产权归乙方所有，其他技术成果知识产权【包括但不限于与定制开发部分相关联的技术成果知识产权等】均归甲方所有。</w:t>
      </w:r>
    </w:p>
    <w:p>
      <w:pPr>
        <w:spacing w:line="4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系统开发完成后，乙方应当向甲方提供项目软件开发期间产生的所有智力成果，包括并不限于技术文档、源程序和数据字典等。乙方保证所提供的软件源代码与系统当前运行系统的软件程序是完全一致的，也就是说利用所提供的源代码及相关资源可以直接编译成当前系统的软件应用程序。</w:t>
      </w:r>
    </w:p>
    <w:p>
      <w:pPr>
        <w:spacing w:line="4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质保期内或有偿服务期间，使用该源代码对软件系统进行修改、维护、升级、程序的二次开发等工作所衍生的相关程序及源代码和附属文档，乙方应向甲方或者甲方指定的第三人提供无损、完整的备份。</w:t>
      </w:r>
    </w:p>
    <w:p>
      <w:pPr>
        <w:spacing w:line="4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本软件系统开发过程中使用、演示、运算的数据归甲方所有，要积极配合甲方申报软件知识著作权。</w:t>
      </w:r>
    </w:p>
    <w:p>
      <w:pPr>
        <w:spacing w:line="460" w:lineRule="auto"/>
        <w:ind w:firstLine="480"/>
        <w:jc w:val="left"/>
        <w:rPr>
          <w:rFonts w:hint="eastAsia" w:ascii="仿宋" w:hAnsi="仿宋" w:eastAsia="仿宋" w:cs="仿宋"/>
          <w:color w:val="auto"/>
          <w:sz w:val="24"/>
          <w:highlight w:val="none"/>
        </w:rPr>
      </w:pPr>
      <w:r>
        <w:rPr>
          <w:rFonts w:hint="eastAsia" w:ascii="仿宋" w:hAnsi="仿宋" w:eastAsia="仿宋" w:cs="仿宋"/>
          <w:b/>
          <w:bCs/>
          <w:color w:val="auto"/>
          <w:sz w:val="24"/>
          <w:highlight w:val="none"/>
          <w:lang w:val="en-US" w:eastAsia="zh-CN"/>
        </w:rPr>
        <w:t>5、</w:t>
      </w:r>
      <w:r>
        <w:rPr>
          <w:rFonts w:hint="eastAsia" w:ascii="仿宋" w:hAnsi="仿宋" w:eastAsia="仿宋" w:cs="仿宋"/>
          <w:color w:val="auto"/>
          <w:sz w:val="24"/>
          <w:highlight w:val="none"/>
        </w:rPr>
        <w:t>乙方不得将本项目软件开发期间产生的所有智力成果，包括并不限于技术文档、源程序和数据字典等以任何方式提供给第三方。</w:t>
      </w:r>
    </w:p>
    <w:p>
      <w:pPr>
        <w:spacing w:line="460" w:lineRule="auto"/>
        <w:ind w:firstLine="482"/>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第</w:t>
      </w:r>
      <w:r>
        <w:rPr>
          <w:rFonts w:hint="eastAsia" w:ascii="仿宋" w:hAnsi="仿宋" w:eastAsia="仿宋" w:cs="仿宋"/>
          <w:b/>
          <w:color w:val="auto"/>
          <w:sz w:val="24"/>
          <w:highlight w:val="none"/>
          <w:lang w:eastAsia="zh-CN"/>
        </w:rPr>
        <w:t>七</w:t>
      </w:r>
      <w:r>
        <w:rPr>
          <w:rFonts w:hint="eastAsia" w:ascii="仿宋" w:hAnsi="仿宋" w:eastAsia="仿宋" w:cs="仿宋"/>
          <w:b/>
          <w:color w:val="auto"/>
          <w:sz w:val="24"/>
          <w:highlight w:val="none"/>
        </w:rPr>
        <w:t>条 验收</w:t>
      </w:r>
    </w:p>
    <w:p>
      <w:pPr>
        <w:spacing w:line="4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甲方应在本合同开发内容履行完成，并经甲方书面确认后</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日内验收。</w:t>
      </w:r>
    </w:p>
    <w:p>
      <w:pPr>
        <w:spacing w:line="4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乙方向甲方移交本合同开发内容的知识产权，包括并不限于技术文档、源程序、数据字典等，应当视为验收的一部分。</w:t>
      </w:r>
    </w:p>
    <w:p>
      <w:pPr>
        <w:spacing w:line="4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乙方根据合同约定完成服务后，甲方或甲方指定的验收机构按照本合同双方约定的建设内容验收。</w:t>
      </w:r>
    </w:p>
    <w:p>
      <w:pPr>
        <w:spacing w:line="4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无论验收是否通过，均由乙方承担所有的验收费用。</w:t>
      </w:r>
    </w:p>
    <w:p>
      <w:pPr>
        <w:spacing w:line="360" w:lineRule="auto"/>
        <w:ind w:left="-181" w:leftChars="-86" w:right="-178" w:rightChars="-85" w:firstLine="704" w:firstLineChars="292"/>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第</w:t>
      </w:r>
      <w:r>
        <w:rPr>
          <w:rFonts w:hint="eastAsia" w:ascii="仿宋" w:hAnsi="仿宋" w:eastAsia="仿宋" w:cs="仿宋"/>
          <w:b/>
          <w:color w:val="auto"/>
          <w:sz w:val="24"/>
          <w:highlight w:val="none"/>
          <w:lang w:eastAsia="zh-CN"/>
        </w:rPr>
        <w:t>八</w:t>
      </w:r>
      <w:r>
        <w:rPr>
          <w:rFonts w:hint="eastAsia" w:ascii="仿宋" w:hAnsi="仿宋" w:eastAsia="仿宋" w:cs="仿宋"/>
          <w:b/>
          <w:color w:val="auto"/>
          <w:sz w:val="24"/>
          <w:highlight w:val="none"/>
        </w:rPr>
        <w:t>条 付款方式</w:t>
      </w:r>
    </w:p>
    <w:p>
      <w:pPr>
        <w:spacing w:line="360" w:lineRule="auto"/>
        <w:ind w:left="-181" w:leftChars="-86" w:right="-178" w:rightChars="-85" w:firstLine="700" w:firstLineChars="292"/>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甲方根据合同、投标文件等资料进行验收。</w:t>
      </w:r>
    </w:p>
    <w:p>
      <w:pPr>
        <w:spacing w:line="360" w:lineRule="auto"/>
        <w:ind w:left="-181" w:leftChars="-86" w:right="-178" w:rightChars="-85" w:firstLine="700" w:firstLineChars="292"/>
        <w:rPr>
          <w:rFonts w:hint="eastAsia" w:ascii="仿宋" w:hAnsi="仿宋" w:eastAsia="仿宋" w:cs="仿宋"/>
          <w:color w:val="auto"/>
          <w:highlight w:val="none"/>
          <w:lang w:eastAsia="zh-CN"/>
        </w:rPr>
      </w:pP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项目款结算采取分期付款方式</w:t>
      </w:r>
      <w:r>
        <w:rPr>
          <w:rFonts w:hint="eastAsia" w:ascii="仿宋" w:hAnsi="仿宋" w:eastAsia="仿宋" w:cs="仿宋"/>
          <w:bCs/>
          <w:color w:val="auto"/>
          <w:sz w:val="24"/>
          <w:szCs w:val="24"/>
          <w:highlight w:val="none"/>
          <w:lang w:eastAsia="zh-CN"/>
        </w:rPr>
        <w:t>：</w:t>
      </w:r>
    </w:p>
    <w:tbl>
      <w:tblPr>
        <w:tblStyle w:val="47"/>
        <w:tblpPr w:leftFromText="180" w:rightFromText="180" w:vertAnchor="text" w:horzAnchor="page" w:tblpX="1916" w:tblpY="117"/>
        <w:tblOverlap w:val="never"/>
        <w:tblW w:w="8309" w:type="dxa"/>
        <w:tblInd w:w="0" w:type="dxa"/>
        <w:tblLayout w:type="fixed"/>
        <w:tblCellMar>
          <w:top w:w="0" w:type="dxa"/>
          <w:left w:w="10" w:type="dxa"/>
          <w:bottom w:w="0" w:type="dxa"/>
          <w:right w:w="10" w:type="dxa"/>
        </w:tblCellMar>
      </w:tblPr>
      <w:tblGrid>
        <w:gridCol w:w="1841"/>
        <w:gridCol w:w="2029"/>
        <w:gridCol w:w="1816"/>
        <w:gridCol w:w="1543"/>
        <w:gridCol w:w="1080"/>
      </w:tblGrid>
      <w:tr>
        <w:tblPrEx>
          <w:tblCellMar>
            <w:top w:w="0" w:type="dxa"/>
            <w:left w:w="10" w:type="dxa"/>
            <w:bottom w:w="0" w:type="dxa"/>
            <w:right w:w="10" w:type="dxa"/>
          </w:tblCellMar>
        </w:tblPrEx>
        <w:trPr>
          <w:trHeight w:val="467" w:hRule="atLeast"/>
        </w:trPr>
        <w:tc>
          <w:tcPr>
            <w:tcW w:w="3870"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仿宋" w:hAnsi="仿宋" w:eastAsia="仿宋" w:cs="仿宋"/>
                <w:color w:val="auto"/>
                <w:sz w:val="18"/>
                <w:szCs w:val="18"/>
                <w:highlight w:val="none"/>
              </w:rPr>
            </w:pPr>
            <w:r>
              <w:rPr>
                <w:rFonts w:hint="eastAsia" w:ascii="仿宋" w:hAnsi="仿宋" w:eastAsia="仿宋" w:cs="仿宋"/>
                <w:b/>
                <w:color w:val="auto"/>
                <w:sz w:val="18"/>
                <w:szCs w:val="18"/>
                <w:highlight w:val="none"/>
              </w:rPr>
              <w:t>付款条件</w:t>
            </w:r>
          </w:p>
        </w:tc>
        <w:tc>
          <w:tcPr>
            <w:tcW w:w="18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仿宋" w:hAnsi="仿宋" w:eastAsia="仿宋" w:cs="仿宋"/>
                <w:color w:val="auto"/>
                <w:sz w:val="18"/>
                <w:szCs w:val="18"/>
                <w:highlight w:val="none"/>
              </w:rPr>
            </w:pPr>
            <w:r>
              <w:rPr>
                <w:rFonts w:hint="eastAsia" w:ascii="仿宋" w:hAnsi="仿宋" w:eastAsia="仿宋" w:cs="仿宋"/>
                <w:b/>
                <w:color w:val="auto"/>
                <w:sz w:val="18"/>
                <w:szCs w:val="18"/>
                <w:highlight w:val="none"/>
              </w:rPr>
              <w:t>支付比例</w:t>
            </w:r>
          </w:p>
        </w:tc>
        <w:tc>
          <w:tcPr>
            <w:tcW w:w="154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仿宋" w:hAnsi="仿宋" w:eastAsia="仿宋" w:cs="仿宋"/>
                <w:color w:val="auto"/>
                <w:sz w:val="18"/>
                <w:szCs w:val="18"/>
                <w:highlight w:val="none"/>
              </w:rPr>
            </w:pPr>
            <w:r>
              <w:rPr>
                <w:rFonts w:hint="eastAsia" w:ascii="仿宋" w:hAnsi="仿宋" w:eastAsia="仿宋" w:cs="仿宋"/>
                <w:b/>
                <w:color w:val="auto"/>
                <w:sz w:val="18"/>
                <w:szCs w:val="18"/>
                <w:highlight w:val="none"/>
              </w:rPr>
              <w:t>支付金额</w:t>
            </w:r>
          </w:p>
        </w:tc>
        <w:tc>
          <w:tcPr>
            <w:tcW w:w="108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仿宋" w:hAnsi="仿宋" w:eastAsia="仿宋" w:cs="仿宋"/>
                <w:color w:val="auto"/>
                <w:sz w:val="18"/>
                <w:szCs w:val="18"/>
                <w:highlight w:val="none"/>
              </w:rPr>
            </w:pPr>
            <w:r>
              <w:rPr>
                <w:rFonts w:hint="eastAsia" w:ascii="仿宋" w:hAnsi="仿宋" w:eastAsia="仿宋" w:cs="仿宋"/>
                <w:b/>
                <w:color w:val="auto"/>
                <w:sz w:val="18"/>
                <w:szCs w:val="18"/>
                <w:highlight w:val="none"/>
              </w:rPr>
              <w:t>支付主体</w:t>
            </w:r>
          </w:p>
        </w:tc>
      </w:tr>
      <w:tr>
        <w:tblPrEx>
          <w:tblCellMar>
            <w:top w:w="0" w:type="dxa"/>
            <w:left w:w="10" w:type="dxa"/>
            <w:bottom w:w="0" w:type="dxa"/>
            <w:right w:w="10" w:type="dxa"/>
          </w:tblCellMar>
        </w:tblPrEx>
        <w:trPr>
          <w:trHeight w:val="400" w:hRule="atLeast"/>
        </w:trPr>
        <w:tc>
          <w:tcPr>
            <w:tcW w:w="3870"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both"/>
              <w:textAlignment w:val="auto"/>
              <w:rPr>
                <w:rFonts w:hint="eastAsia" w:ascii="仿宋" w:hAnsi="仿宋" w:eastAsia="仿宋" w:cs="仿宋"/>
                <w:color w:val="auto"/>
                <w:sz w:val="18"/>
                <w:szCs w:val="18"/>
                <w:highlight w:val="none"/>
                <w:lang w:eastAsia="zh-CN"/>
              </w:rPr>
            </w:pPr>
            <w:r>
              <w:rPr>
                <w:rFonts w:hint="eastAsia" w:ascii="仿宋" w:hAnsi="仿宋" w:eastAsia="仿宋" w:cs="仿宋"/>
                <w:color w:val="auto"/>
                <w:sz w:val="18"/>
                <w:szCs w:val="18"/>
                <w:highlight w:val="none"/>
              </w:rPr>
              <w:t>合同签订</w:t>
            </w:r>
            <w:r>
              <w:rPr>
                <w:rFonts w:hint="eastAsia" w:ascii="仿宋" w:hAnsi="仿宋" w:eastAsia="仿宋" w:cs="仿宋"/>
                <w:color w:val="auto"/>
                <w:sz w:val="18"/>
                <w:szCs w:val="18"/>
                <w:highlight w:val="none"/>
                <w:lang w:eastAsia="zh-CN"/>
              </w:rPr>
              <w:t>生效后</w:t>
            </w:r>
            <w:r>
              <w:rPr>
                <w:rFonts w:hint="eastAsia" w:ascii="仿宋" w:hAnsi="仿宋" w:eastAsia="仿宋" w:cs="仿宋"/>
                <w:color w:val="auto"/>
                <w:sz w:val="18"/>
                <w:szCs w:val="18"/>
                <w:highlight w:val="none"/>
              </w:rPr>
              <w:t xml:space="preserve">15日内 </w:t>
            </w:r>
          </w:p>
        </w:tc>
        <w:tc>
          <w:tcPr>
            <w:tcW w:w="18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合同总价的30%</w:t>
            </w:r>
          </w:p>
        </w:tc>
        <w:tc>
          <w:tcPr>
            <w:tcW w:w="154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仿宋" w:hAnsi="仿宋" w:eastAsia="仿宋" w:cs="仿宋"/>
                <w:color w:val="auto"/>
                <w:sz w:val="18"/>
                <w:szCs w:val="18"/>
                <w:highlight w:val="none"/>
              </w:rPr>
            </w:pPr>
          </w:p>
        </w:tc>
        <w:tc>
          <w:tcPr>
            <w:tcW w:w="108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采购人</w:t>
            </w:r>
          </w:p>
        </w:tc>
      </w:tr>
      <w:tr>
        <w:tblPrEx>
          <w:tblCellMar>
            <w:top w:w="0" w:type="dxa"/>
            <w:left w:w="10" w:type="dxa"/>
            <w:bottom w:w="0" w:type="dxa"/>
            <w:right w:w="10" w:type="dxa"/>
          </w:tblCellMar>
        </w:tblPrEx>
        <w:trPr>
          <w:trHeight w:val="400" w:hRule="atLeast"/>
        </w:trPr>
        <w:tc>
          <w:tcPr>
            <w:tcW w:w="3870"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both"/>
              <w:textAlignment w:val="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系统开发完成75%</w:t>
            </w:r>
            <w:r>
              <w:rPr>
                <w:rFonts w:hint="eastAsia" w:ascii="仿宋" w:hAnsi="仿宋" w:eastAsia="仿宋" w:cs="仿宋"/>
                <w:color w:val="auto"/>
                <w:sz w:val="18"/>
                <w:szCs w:val="18"/>
                <w:highlight w:val="none"/>
                <w:lang w:eastAsia="zh-CN"/>
              </w:rPr>
              <w:t>（</w:t>
            </w:r>
            <w:r>
              <w:rPr>
                <w:rFonts w:hint="eastAsia" w:ascii="仿宋" w:hAnsi="仿宋" w:eastAsia="仿宋" w:cs="仿宋"/>
                <w:color w:val="auto"/>
                <w:sz w:val="18"/>
                <w:szCs w:val="18"/>
                <w:highlight w:val="none"/>
              </w:rPr>
              <w:t>经甲乙双方书面确认进度</w:t>
            </w:r>
            <w:r>
              <w:rPr>
                <w:rFonts w:hint="eastAsia" w:ascii="仿宋" w:hAnsi="仿宋" w:eastAsia="仿宋" w:cs="仿宋"/>
                <w:color w:val="auto"/>
                <w:sz w:val="18"/>
                <w:szCs w:val="18"/>
                <w:highlight w:val="none"/>
                <w:lang w:eastAsia="zh-CN"/>
              </w:rPr>
              <w:t>）</w:t>
            </w:r>
          </w:p>
        </w:tc>
        <w:tc>
          <w:tcPr>
            <w:tcW w:w="18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合同总价</w:t>
            </w:r>
            <w:r>
              <w:rPr>
                <w:rFonts w:hint="eastAsia" w:ascii="仿宋" w:hAnsi="仿宋" w:eastAsia="仿宋" w:cs="仿宋"/>
                <w:color w:val="auto"/>
                <w:sz w:val="18"/>
                <w:szCs w:val="18"/>
                <w:highlight w:val="none"/>
                <w:lang w:eastAsia="zh-CN"/>
              </w:rPr>
              <w:t>的</w:t>
            </w:r>
            <w:r>
              <w:rPr>
                <w:rFonts w:hint="eastAsia" w:ascii="仿宋" w:hAnsi="仿宋" w:eastAsia="仿宋" w:cs="仿宋"/>
                <w:color w:val="auto"/>
                <w:sz w:val="18"/>
                <w:szCs w:val="18"/>
                <w:highlight w:val="none"/>
              </w:rPr>
              <w:t>45%</w:t>
            </w:r>
          </w:p>
        </w:tc>
        <w:tc>
          <w:tcPr>
            <w:tcW w:w="154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仿宋" w:hAnsi="仿宋" w:eastAsia="仿宋" w:cs="仿宋"/>
                <w:color w:val="auto"/>
                <w:sz w:val="18"/>
                <w:szCs w:val="18"/>
                <w:highlight w:val="none"/>
              </w:rPr>
            </w:pPr>
          </w:p>
        </w:tc>
        <w:tc>
          <w:tcPr>
            <w:tcW w:w="108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采购人</w:t>
            </w:r>
          </w:p>
        </w:tc>
      </w:tr>
      <w:tr>
        <w:tblPrEx>
          <w:tblCellMar>
            <w:top w:w="0" w:type="dxa"/>
            <w:left w:w="10" w:type="dxa"/>
            <w:bottom w:w="0" w:type="dxa"/>
            <w:right w:w="10" w:type="dxa"/>
          </w:tblCellMar>
        </w:tblPrEx>
        <w:trPr>
          <w:trHeight w:val="400" w:hRule="atLeast"/>
        </w:trPr>
        <w:tc>
          <w:tcPr>
            <w:tcW w:w="3870"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both"/>
              <w:textAlignment w:val="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eastAsia="zh-CN"/>
              </w:rPr>
              <w:t>系统平台验收后，试运行一个月</w:t>
            </w:r>
          </w:p>
        </w:tc>
        <w:tc>
          <w:tcPr>
            <w:tcW w:w="18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合同总价</w:t>
            </w:r>
            <w:r>
              <w:rPr>
                <w:rFonts w:hint="eastAsia" w:ascii="仿宋" w:hAnsi="仿宋" w:eastAsia="仿宋" w:cs="仿宋"/>
                <w:color w:val="auto"/>
                <w:sz w:val="18"/>
                <w:szCs w:val="18"/>
                <w:highlight w:val="none"/>
                <w:lang w:eastAsia="zh-CN"/>
              </w:rPr>
              <w:t>的</w:t>
            </w:r>
            <w:r>
              <w:rPr>
                <w:rFonts w:hint="eastAsia" w:ascii="仿宋" w:hAnsi="仿宋" w:eastAsia="仿宋" w:cs="仿宋"/>
                <w:color w:val="auto"/>
                <w:sz w:val="18"/>
                <w:szCs w:val="18"/>
                <w:highlight w:val="none"/>
                <w:lang w:val="en-US" w:eastAsia="zh-CN"/>
              </w:rPr>
              <w:t>25</w:t>
            </w:r>
            <w:r>
              <w:rPr>
                <w:rFonts w:hint="eastAsia" w:ascii="仿宋" w:hAnsi="仿宋" w:eastAsia="仿宋" w:cs="仿宋"/>
                <w:color w:val="auto"/>
                <w:sz w:val="18"/>
                <w:szCs w:val="18"/>
                <w:highlight w:val="none"/>
              </w:rPr>
              <w:t>%</w:t>
            </w:r>
          </w:p>
        </w:tc>
        <w:tc>
          <w:tcPr>
            <w:tcW w:w="154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仿宋" w:hAnsi="仿宋" w:eastAsia="仿宋" w:cs="仿宋"/>
                <w:color w:val="auto"/>
                <w:sz w:val="18"/>
                <w:szCs w:val="18"/>
                <w:highlight w:val="none"/>
              </w:rPr>
            </w:pPr>
          </w:p>
        </w:tc>
        <w:tc>
          <w:tcPr>
            <w:tcW w:w="108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采购人</w:t>
            </w:r>
          </w:p>
        </w:tc>
      </w:tr>
      <w:tr>
        <w:tblPrEx>
          <w:tblCellMar>
            <w:top w:w="0" w:type="dxa"/>
            <w:left w:w="10" w:type="dxa"/>
            <w:bottom w:w="0" w:type="dxa"/>
            <w:right w:w="10" w:type="dxa"/>
          </w:tblCellMar>
        </w:tblPrEx>
        <w:trPr>
          <w:trHeight w:val="478" w:hRule="atLeast"/>
        </w:trPr>
        <w:tc>
          <w:tcPr>
            <w:tcW w:w="184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both"/>
              <w:textAlignment w:val="auto"/>
              <w:rPr>
                <w:rFonts w:hint="eastAsia" w:ascii="仿宋" w:hAnsi="仿宋" w:eastAsia="仿宋" w:cs="仿宋"/>
                <w:color w:val="auto"/>
                <w:sz w:val="18"/>
                <w:szCs w:val="18"/>
                <w:highlight w:val="none"/>
              </w:rPr>
            </w:pPr>
            <w:r>
              <w:rPr>
                <w:rFonts w:hint="eastAsia" w:ascii="仿宋" w:hAnsi="仿宋" w:eastAsia="仿宋" w:cs="仿宋"/>
                <w:b/>
                <w:color w:val="auto"/>
                <w:sz w:val="18"/>
                <w:szCs w:val="18"/>
                <w:highlight w:val="none"/>
              </w:rPr>
              <w:t>收款人</w:t>
            </w:r>
          </w:p>
        </w:tc>
        <w:tc>
          <w:tcPr>
            <w:tcW w:w="6468" w:type="dxa"/>
            <w:gridSpan w:val="4"/>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both"/>
              <w:textAlignment w:val="auto"/>
              <w:rPr>
                <w:rFonts w:hint="eastAsia" w:ascii="仿宋" w:hAnsi="仿宋" w:eastAsia="仿宋" w:cs="仿宋"/>
                <w:color w:val="auto"/>
                <w:sz w:val="18"/>
                <w:szCs w:val="18"/>
                <w:highlight w:val="none"/>
              </w:rPr>
            </w:pPr>
          </w:p>
        </w:tc>
      </w:tr>
      <w:tr>
        <w:tblPrEx>
          <w:tblCellMar>
            <w:top w:w="0" w:type="dxa"/>
            <w:left w:w="10" w:type="dxa"/>
            <w:bottom w:w="0" w:type="dxa"/>
            <w:right w:w="10" w:type="dxa"/>
          </w:tblCellMar>
        </w:tblPrEx>
        <w:trPr>
          <w:trHeight w:val="400" w:hRule="atLeast"/>
        </w:trPr>
        <w:tc>
          <w:tcPr>
            <w:tcW w:w="184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both"/>
              <w:textAlignment w:val="auto"/>
              <w:rPr>
                <w:rFonts w:hint="eastAsia" w:ascii="仿宋" w:hAnsi="仿宋" w:eastAsia="仿宋" w:cs="仿宋"/>
                <w:color w:val="auto"/>
                <w:sz w:val="18"/>
                <w:szCs w:val="18"/>
                <w:highlight w:val="none"/>
              </w:rPr>
            </w:pPr>
            <w:r>
              <w:rPr>
                <w:rFonts w:hint="eastAsia" w:ascii="仿宋" w:hAnsi="仿宋" w:eastAsia="仿宋" w:cs="仿宋"/>
                <w:b/>
                <w:color w:val="auto"/>
                <w:sz w:val="18"/>
                <w:szCs w:val="18"/>
                <w:highlight w:val="none"/>
              </w:rPr>
              <w:t>账号</w:t>
            </w:r>
          </w:p>
        </w:tc>
        <w:tc>
          <w:tcPr>
            <w:tcW w:w="6468" w:type="dxa"/>
            <w:gridSpan w:val="4"/>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both"/>
              <w:textAlignment w:val="auto"/>
              <w:rPr>
                <w:rFonts w:hint="eastAsia" w:ascii="仿宋" w:hAnsi="仿宋" w:eastAsia="仿宋" w:cs="仿宋"/>
                <w:color w:val="auto"/>
                <w:sz w:val="18"/>
                <w:szCs w:val="18"/>
                <w:highlight w:val="none"/>
              </w:rPr>
            </w:pPr>
          </w:p>
        </w:tc>
      </w:tr>
      <w:tr>
        <w:tblPrEx>
          <w:tblCellMar>
            <w:top w:w="0" w:type="dxa"/>
            <w:left w:w="10" w:type="dxa"/>
            <w:bottom w:w="0" w:type="dxa"/>
            <w:right w:w="10" w:type="dxa"/>
          </w:tblCellMar>
        </w:tblPrEx>
        <w:trPr>
          <w:trHeight w:val="514" w:hRule="atLeast"/>
        </w:trPr>
        <w:tc>
          <w:tcPr>
            <w:tcW w:w="184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both"/>
              <w:textAlignment w:val="auto"/>
              <w:rPr>
                <w:rFonts w:hint="eastAsia" w:ascii="仿宋" w:hAnsi="仿宋" w:eastAsia="仿宋" w:cs="仿宋"/>
                <w:color w:val="auto"/>
                <w:sz w:val="18"/>
                <w:szCs w:val="18"/>
                <w:highlight w:val="none"/>
              </w:rPr>
            </w:pPr>
            <w:r>
              <w:rPr>
                <w:rFonts w:hint="eastAsia" w:ascii="仿宋" w:hAnsi="仿宋" w:eastAsia="仿宋" w:cs="仿宋"/>
                <w:b/>
                <w:color w:val="auto"/>
                <w:sz w:val="18"/>
                <w:szCs w:val="18"/>
                <w:highlight w:val="none"/>
              </w:rPr>
              <w:t>账号开户行</w:t>
            </w:r>
          </w:p>
        </w:tc>
        <w:tc>
          <w:tcPr>
            <w:tcW w:w="6468" w:type="dxa"/>
            <w:gridSpan w:val="4"/>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both"/>
              <w:textAlignment w:val="auto"/>
              <w:rPr>
                <w:rFonts w:hint="eastAsia" w:ascii="仿宋" w:hAnsi="仿宋" w:eastAsia="仿宋" w:cs="仿宋"/>
                <w:color w:val="auto"/>
                <w:sz w:val="18"/>
                <w:szCs w:val="18"/>
                <w:highlight w:val="none"/>
              </w:rPr>
            </w:pPr>
          </w:p>
        </w:tc>
      </w:tr>
    </w:tbl>
    <w:p>
      <w:pPr>
        <w:pStyle w:val="57"/>
        <w:rPr>
          <w:rFonts w:hint="eastAsia" w:ascii="仿宋" w:hAnsi="仿宋" w:eastAsia="仿宋" w:cs="仿宋"/>
          <w:bCs/>
          <w:color w:val="auto"/>
          <w:sz w:val="24"/>
          <w:szCs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付款前甲方应收到乙方开具的发票后，向乙方支付合同项下价款。</w:t>
      </w:r>
    </w:p>
    <w:p>
      <w:pPr>
        <w:autoSpaceDE w:val="0"/>
        <w:adjustRightInd w:val="0"/>
        <w:spacing w:line="480" w:lineRule="exact"/>
        <w:ind w:right="113" w:rightChars="54" w:firstLine="501" w:firstLineChars="209"/>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4、</w:t>
      </w:r>
      <w:r>
        <w:rPr>
          <w:rFonts w:hint="eastAsia" w:ascii="仿宋" w:hAnsi="仿宋" w:eastAsia="仿宋" w:cs="仿宋"/>
          <w:bCs/>
          <w:color w:val="auto"/>
          <w:sz w:val="24"/>
          <w:szCs w:val="24"/>
          <w:highlight w:val="none"/>
        </w:rPr>
        <w:t>支付项目款时，乙方将结款申请1份、增值税专用全额发票及复印件1份、合同复印件1份、</w:t>
      </w:r>
      <w:r>
        <w:rPr>
          <w:rFonts w:hint="eastAsia" w:ascii="仿宋" w:hAnsi="仿宋" w:eastAsia="仿宋" w:cs="仿宋"/>
          <w:bCs/>
          <w:color w:val="auto"/>
          <w:sz w:val="24"/>
          <w:szCs w:val="24"/>
          <w:highlight w:val="none"/>
          <w:lang w:eastAsia="zh-CN"/>
        </w:rPr>
        <w:t>软件开发服务</w:t>
      </w:r>
      <w:r>
        <w:rPr>
          <w:rFonts w:hint="eastAsia" w:ascii="仿宋" w:hAnsi="仿宋" w:eastAsia="仿宋" w:cs="仿宋"/>
          <w:bCs/>
          <w:color w:val="auto"/>
          <w:sz w:val="24"/>
          <w:szCs w:val="24"/>
          <w:highlight w:val="none"/>
        </w:rPr>
        <w:t>清单</w:t>
      </w:r>
      <w:r>
        <w:rPr>
          <w:rFonts w:hint="eastAsia" w:ascii="仿宋" w:hAnsi="仿宋" w:eastAsia="仿宋" w:cs="仿宋"/>
          <w:bCs/>
          <w:color w:val="auto"/>
          <w:sz w:val="24"/>
          <w:szCs w:val="24"/>
          <w:highlight w:val="none"/>
          <w:lang w:eastAsia="zh-CN"/>
        </w:rPr>
        <w:t>明细</w:t>
      </w:r>
      <w:r>
        <w:rPr>
          <w:rFonts w:hint="eastAsia" w:ascii="仿宋" w:hAnsi="仿宋" w:eastAsia="仿宋" w:cs="仿宋"/>
          <w:bCs/>
          <w:color w:val="auto"/>
          <w:sz w:val="24"/>
          <w:szCs w:val="24"/>
          <w:highlight w:val="none"/>
        </w:rPr>
        <w:t>和经甲方验收确认的《采购验收反馈表》和验收报告提交甲方，由甲方向乙方支付结算当期项目款。</w:t>
      </w:r>
    </w:p>
    <w:p>
      <w:pPr>
        <w:spacing w:line="460" w:lineRule="auto"/>
        <w:ind w:firstLine="482"/>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第</w:t>
      </w:r>
      <w:r>
        <w:rPr>
          <w:rFonts w:hint="eastAsia" w:ascii="仿宋" w:hAnsi="仿宋" w:eastAsia="仿宋" w:cs="仿宋"/>
          <w:b/>
          <w:color w:val="auto"/>
          <w:sz w:val="24"/>
          <w:highlight w:val="none"/>
          <w:lang w:eastAsia="zh-CN"/>
        </w:rPr>
        <w:t>九</w:t>
      </w:r>
      <w:r>
        <w:rPr>
          <w:rFonts w:hint="eastAsia" w:ascii="仿宋" w:hAnsi="仿宋" w:eastAsia="仿宋" w:cs="仿宋"/>
          <w:b/>
          <w:color w:val="auto"/>
          <w:sz w:val="24"/>
          <w:highlight w:val="none"/>
        </w:rPr>
        <w:t>条：其他约定：</w:t>
      </w:r>
    </w:p>
    <w:p>
      <w:pPr>
        <w:spacing w:line="460" w:lineRule="auto"/>
        <w:ind w:firstLine="480"/>
        <w:jc w:val="left"/>
        <w:rPr>
          <w:rFonts w:hint="eastAsia" w:ascii="仿宋" w:hAnsi="仿宋" w:eastAsia="仿宋" w:cs="仿宋"/>
          <w:color w:val="auto"/>
          <w:sz w:val="24"/>
          <w:highlight w:val="none"/>
          <w:u w:val="single"/>
          <w:lang w:val="en-US" w:eastAsia="zh-CN"/>
        </w:rPr>
      </w:pPr>
      <w:r>
        <w:rPr>
          <w:rFonts w:hint="eastAsia" w:ascii="仿宋" w:hAnsi="仿宋" w:eastAsia="仿宋" w:cs="仿宋"/>
          <w:color w:val="auto"/>
          <w:sz w:val="24"/>
          <w:highlight w:val="none"/>
          <w:u w:val="single"/>
          <w:lang w:val="en-US" w:eastAsia="zh-CN"/>
        </w:rPr>
        <w:t>1、按招标文件要求及投标文件内容提供服务。</w:t>
      </w:r>
    </w:p>
    <w:p>
      <w:pPr>
        <w:spacing w:line="460" w:lineRule="auto"/>
        <w:ind w:firstLine="480"/>
        <w:jc w:val="left"/>
        <w:rPr>
          <w:rFonts w:hint="eastAsia" w:ascii="仿宋" w:hAnsi="仿宋" w:eastAsia="仿宋" w:cs="仿宋"/>
          <w:color w:val="auto"/>
          <w:sz w:val="24"/>
          <w:highlight w:val="none"/>
          <w:u w:val="single"/>
          <w:lang w:val="en-US" w:eastAsia="zh-CN"/>
        </w:rPr>
      </w:pPr>
      <w:r>
        <w:rPr>
          <w:rFonts w:hint="eastAsia" w:ascii="仿宋" w:hAnsi="仿宋" w:eastAsia="仿宋" w:cs="仿宋"/>
          <w:color w:val="auto"/>
          <w:sz w:val="24"/>
          <w:highlight w:val="none"/>
          <w:u w:val="single"/>
          <w:lang w:val="en-US" w:eastAsia="zh-CN"/>
        </w:rPr>
        <w:t xml:space="preserve">2、                                                              </w:t>
      </w:r>
    </w:p>
    <w:p>
      <w:pPr>
        <w:spacing w:line="460" w:lineRule="auto"/>
        <w:ind w:firstLine="482"/>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第</w:t>
      </w:r>
      <w:r>
        <w:rPr>
          <w:rFonts w:hint="eastAsia" w:ascii="仿宋" w:hAnsi="仿宋" w:eastAsia="仿宋" w:cs="仿宋"/>
          <w:b/>
          <w:color w:val="auto"/>
          <w:sz w:val="24"/>
          <w:highlight w:val="none"/>
          <w:lang w:eastAsia="zh-CN"/>
        </w:rPr>
        <w:t>十</w:t>
      </w:r>
      <w:r>
        <w:rPr>
          <w:rFonts w:hint="eastAsia" w:ascii="仿宋" w:hAnsi="仿宋" w:eastAsia="仿宋" w:cs="仿宋"/>
          <w:b/>
          <w:color w:val="auto"/>
          <w:sz w:val="24"/>
          <w:highlight w:val="none"/>
        </w:rPr>
        <w:t>条 违约责任</w:t>
      </w:r>
    </w:p>
    <w:p>
      <w:pPr>
        <w:spacing w:line="4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甲方无正当理由拒绝接受服务或拒付合同价款的，向乙方支付合同价款5%的违约金。</w:t>
      </w:r>
    </w:p>
    <w:p>
      <w:pPr>
        <w:spacing w:line="460" w:lineRule="auto"/>
        <w:ind w:firstLine="480"/>
        <w:jc w:val="left"/>
        <w:rPr>
          <w:rFonts w:hint="eastAsia" w:ascii="仿宋" w:hAnsi="仿宋" w:eastAsia="仿宋" w:cs="仿宋"/>
          <w:strike/>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甲方无正当理由逾期验收的，每逾期1天向乙方支付合同价款万分之五的滞纳金。</w:t>
      </w:r>
    </w:p>
    <w:p>
      <w:pPr>
        <w:spacing w:line="4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乙方提供服务不能达到合同约定质量标准，甲方有权拒付合同价款，并由乙方赔偿甲方因此遭受的损失。乙方未在合同约定期限内提供软件上线正常使用的，每逾期一天按合同标的千分之五向甲方支付违约金。逾期超过</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天，甲方有权解除合同，乙方应退还甲方已支付的全部款项。乙方未及时提供售后服务的，每延误1小时应向甲方支付违约金100元。</w:t>
      </w:r>
    </w:p>
    <w:p>
      <w:pPr>
        <w:spacing w:line="4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乙方提供服务必须权属清楚，不得侵害他人的知识产权，否则构成对甲方违约，并承担相应的赔偿责任。</w:t>
      </w:r>
    </w:p>
    <w:p>
      <w:pPr>
        <w:spacing w:line="460" w:lineRule="auto"/>
        <w:ind w:firstLine="482"/>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第</w:t>
      </w:r>
      <w:r>
        <w:rPr>
          <w:rFonts w:hint="eastAsia" w:ascii="仿宋" w:hAnsi="仿宋" w:eastAsia="仿宋" w:cs="仿宋"/>
          <w:b/>
          <w:color w:val="auto"/>
          <w:sz w:val="24"/>
          <w:highlight w:val="none"/>
          <w:lang w:eastAsia="zh-CN"/>
        </w:rPr>
        <w:t>十一</w:t>
      </w:r>
      <w:r>
        <w:rPr>
          <w:rFonts w:hint="eastAsia" w:ascii="仿宋" w:hAnsi="仿宋" w:eastAsia="仿宋" w:cs="仿宋"/>
          <w:b/>
          <w:color w:val="auto"/>
          <w:sz w:val="24"/>
          <w:highlight w:val="none"/>
        </w:rPr>
        <w:t>条 不可抗力</w:t>
      </w:r>
    </w:p>
    <w:p>
      <w:pPr>
        <w:spacing w:line="4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不可抗力是指战争、洪水、台风、地震等或其他双方认定的不能预见其发生及后果，无法避免和克服的事件。甲乙双方任何一方由于不可抗力的原因不能全部或部分履行合同时，应尽快向对方通报理由，在提供相关证明后，可允许延期履行、部分履行或不履行，并可根据实际情况部分或全部免于承担违约责任。</w:t>
      </w:r>
    </w:p>
    <w:p>
      <w:pPr>
        <w:spacing w:line="460" w:lineRule="auto"/>
        <w:ind w:firstLine="482"/>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第十</w:t>
      </w:r>
      <w:r>
        <w:rPr>
          <w:rFonts w:hint="eastAsia" w:ascii="仿宋" w:hAnsi="仿宋" w:eastAsia="仿宋" w:cs="仿宋"/>
          <w:b/>
          <w:color w:val="auto"/>
          <w:sz w:val="24"/>
          <w:highlight w:val="none"/>
          <w:lang w:eastAsia="zh-CN"/>
        </w:rPr>
        <w:t>二</w:t>
      </w:r>
      <w:r>
        <w:rPr>
          <w:rFonts w:hint="eastAsia" w:ascii="仿宋" w:hAnsi="仿宋" w:eastAsia="仿宋" w:cs="仿宋"/>
          <w:b/>
          <w:color w:val="auto"/>
          <w:sz w:val="24"/>
          <w:highlight w:val="none"/>
        </w:rPr>
        <w:t>条 转让、分包</w:t>
      </w:r>
    </w:p>
    <w:p>
      <w:pPr>
        <w:spacing w:line="4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乙方不得擅自部分或全部转让其应履行的合同义务。经甲乙双方协商一致的，乙方可以实行分包。</w:t>
      </w:r>
    </w:p>
    <w:p>
      <w:pPr>
        <w:spacing w:line="4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对于乙方实行分包的建设内容，甲方对分包方具有进行监督、要求修改的权利，如工作地点在甲方提供的场所内，分包方还应当遵守甲方的管理制度和要求。本条约定之甲方权利，乙方应当给予充分的协助和保障。</w:t>
      </w:r>
    </w:p>
    <w:p>
      <w:pPr>
        <w:spacing w:line="460" w:lineRule="auto"/>
        <w:ind w:firstLine="482"/>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第十</w:t>
      </w:r>
      <w:r>
        <w:rPr>
          <w:rFonts w:hint="eastAsia" w:ascii="仿宋" w:hAnsi="仿宋" w:eastAsia="仿宋" w:cs="仿宋"/>
          <w:b/>
          <w:color w:val="auto"/>
          <w:sz w:val="24"/>
          <w:highlight w:val="none"/>
          <w:lang w:eastAsia="zh-CN"/>
        </w:rPr>
        <w:t>三</w:t>
      </w:r>
      <w:r>
        <w:rPr>
          <w:rFonts w:hint="eastAsia" w:ascii="仿宋" w:hAnsi="仿宋" w:eastAsia="仿宋" w:cs="仿宋"/>
          <w:b/>
          <w:color w:val="auto"/>
          <w:sz w:val="24"/>
          <w:highlight w:val="none"/>
        </w:rPr>
        <w:t>条 保密条款</w:t>
      </w:r>
    </w:p>
    <w:p>
      <w:pPr>
        <w:spacing w:line="560" w:lineRule="auto"/>
        <w:ind w:firstLine="6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双方应当对本合同的内容、因履行本合同或在本合同期间获得的或收到对方发来的任何数据或其他标明保密的文件或信息的内容保守秘密。</w:t>
      </w:r>
    </w:p>
    <w:p>
      <w:pPr>
        <w:spacing w:line="560" w:lineRule="auto"/>
        <w:ind w:firstLine="6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未经书面许可，双方不得向第三方单位提供或披露相关的资料和信息。法律法规和监管机构另有规定的除外。双方合作的客户案例及应用场景等经甲方同意后，乙方可作为其客户案例。    </w:t>
      </w:r>
    </w:p>
    <w:p>
      <w:pPr>
        <w:spacing w:line="4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双方应仅为本合同目的或双方均一致同意的目的而复制和使用保密资料；除非得到另一方的书面许可，甲乙双方均不得将本合同中的内容及在本合同执行过程中获得的对方的秘密信息向任何第三方泄露。</w:t>
      </w:r>
    </w:p>
    <w:p>
      <w:pPr>
        <w:spacing w:line="4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本保密义务应在本合同期满、解除或终止后仍然有效。任一方的工作人员在职期间或离职后违反本保密条款的，视为该方违反本保密条款，该方应当承担违约责任。</w:t>
      </w:r>
    </w:p>
    <w:p>
      <w:pPr>
        <w:spacing w:line="460" w:lineRule="auto"/>
        <w:ind w:firstLine="482"/>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第十</w:t>
      </w:r>
      <w:r>
        <w:rPr>
          <w:rFonts w:hint="eastAsia" w:ascii="仿宋" w:hAnsi="仿宋" w:eastAsia="仿宋" w:cs="仿宋"/>
          <w:b/>
          <w:color w:val="auto"/>
          <w:sz w:val="24"/>
          <w:highlight w:val="none"/>
          <w:lang w:eastAsia="zh-CN"/>
        </w:rPr>
        <w:t>四</w:t>
      </w:r>
      <w:r>
        <w:rPr>
          <w:rFonts w:hint="eastAsia" w:ascii="仿宋" w:hAnsi="仿宋" w:eastAsia="仿宋" w:cs="仿宋"/>
          <w:b/>
          <w:color w:val="auto"/>
          <w:sz w:val="24"/>
          <w:highlight w:val="none"/>
        </w:rPr>
        <w:t>条 变更、终止</w:t>
      </w:r>
    </w:p>
    <w:p>
      <w:pPr>
        <w:spacing w:line="4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除《中华人民共和国政府采购法》第五十条第二款规定的情形外，本合同一经签订，甲乙双方不得擅自中止或终止合同。</w:t>
      </w:r>
    </w:p>
    <w:p>
      <w:pPr>
        <w:spacing w:line="460" w:lineRule="auto"/>
        <w:ind w:firstLine="482"/>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第十</w:t>
      </w:r>
      <w:r>
        <w:rPr>
          <w:rFonts w:hint="eastAsia" w:ascii="仿宋" w:hAnsi="仿宋" w:eastAsia="仿宋" w:cs="仿宋"/>
          <w:b/>
          <w:color w:val="auto"/>
          <w:sz w:val="24"/>
          <w:highlight w:val="none"/>
          <w:lang w:eastAsia="zh-CN"/>
        </w:rPr>
        <w:t>五</w:t>
      </w:r>
      <w:r>
        <w:rPr>
          <w:rFonts w:hint="eastAsia" w:ascii="仿宋" w:hAnsi="仿宋" w:eastAsia="仿宋" w:cs="仿宋"/>
          <w:b/>
          <w:color w:val="auto"/>
          <w:sz w:val="24"/>
          <w:highlight w:val="none"/>
        </w:rPr>
        <w:t>条 争议解决</w:t>
      </w:r>
    </w:p>
    <w:p>
      <w:pPr>
        <w:spacing w:line="4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因履行合同而产生的争议，由双方协商解决。协商不成时，按以下第</w:t>
      </w:r>
      <w:r>
        <w:rPr>
          <w:rFonts w:hint="eastAsia" w:ascii="仿宋" w:hAnsi="仿宋" w:eastAsia="仿宋" w:cs="仿宋"/>
          <w:color w:val="auto"/>
          <w:sz w:val="24"/>
          <w:highlight w:val="none"/>
          <w:u w:val="single"/>
        </w:rPr>
        <w:t xml:space="preserve">  （2） </w:t>
      </w:r>
      <w:r>
        <w:rPr>
          <w:rFonts w:hint="eastAsia" w:ascii="仿宋" w:hAnsi="仿宋" w:eastAsia="仿宋" w:cs="仿宋"/>
          <w:color w:val="auto"/>
          <w:sz w:val="24"/>
          <w:highlight w:val="none"/>
        </w:rPr>
        <w:t>种方式处理：</w:t>
      </w:r>
    </w:p>
    <w:p>
      <w:pPr>
        <w:spacing w:line="4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（1）提交甲方仲裁委员会仲裁；</w:t>
      </w:r>
    </w:p>
    <w:p>
      <w:pPr>
        <w:spacing w:line="4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（2）向甲方所在地人民法院起诉。</w:t>
      </w:r>
    </w:p>
    <w:p>
      <w:pPr>
        <w:spacing w:line="4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仲裁或诉讼期间，本合同不涉及仲裁或诉讼部分继续执行。</w:t>
      </w:r>
    </w:p>
    <w:p>
      <w:pPr>
        <w:spacing w:line="460" w:lineRule="auto"/>
        <w:ind w:firstLine="482"/>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第十</w:t>
      </w:r>
      <w:r>
        <w:rPr>
          <w:rFonts w:hint="eastAsia" w:ascii="仿宋" w:hAnsi="仿宋" w:eastAsia="仿宋" w:cs="仿宋"/>
          <w:b/>
          <w:color w:val="auto"/>
          <w:sz w:val="24"/>
          <w:highlight w:val="none"/>
          <w:lang w:eastAsia="zh-CN"/>
        </w:rPr>
        <w:t>六</w:t>
      </w:r>
      <w:r>
        <w:rPr>
          <w:rFonts w:hint="eastAsia" w:ascii="仿宋" w:hAnsi="仿宋" w:eastAsia="仿宋" w:cs="仿宋"/>
          <w:b/>
          <w:color w:val="auto"/>
          <w:sz w:val="24"/>
          <w:highlight w:val="none"/>
        </w:rPr>
        <w:t>条 合同生效</w:t>
      </w:r>
    </w:p>
    <w:p>
      <w:pPr>
        <w:spacing w:line="4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1．本合同一式陆份，甲、乙双方各执二份，见证单位一份，监管部门一份。</w:t>
      </w:r>
    </w:p>
    <w:p>
      <w:pPr>
        <w:spacing w:line="4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2．本合同经甲乙双方法定代表人或委托代理人签字并加盖公章后生效。</w:t>
      </w:r>
    </w:p>
    <w:p>
      <w:pPr>
        <w:spacing w:line="4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3．本合同未尽事宜，经双方商议可续签补充协议。该补充协议与本合同具有相同法律效力，但该补充协议的内容不能实质性修改招标文件的主要条款。</w:t>
      </w:r>
    </w:p>
    <w:p>
      <w:pPr>
        <w:spacing w:line="460" w:lineRule="auto"/>
        <w:ind w:firstLine="48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4．本合同未涉及的部分以招标文件（招标编号：     ）(包括补充更正，如有)为准，上述招标文件与乙方针对本项目投标文件及记录是本合同的附件，与本合同具有同等法律效力，但附件与主合同的规定不一致时，以主合同为准。</w:t>
      </w:r>
    </w:p>
    <w:p>
      <w:pPr>
        <w:spacing w:line="4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合同附件：本项目合同附件为合同不可分割的组成部分，与本合同具有同等法律效力。</w:t>
      </w:r>
    </w:p>
    <w:p>
      <w:pPr>
        <w:spacing w:after="156" w:line="360" w:lineRule="auto"/>
        <w:rPr>
          <w:rFonts w:hint="eastAsia" w:ascii="仿宋" w:hAnsi="仿宋" w:eastAsia="仿宋" w:cs="仿宋"/>
          <w:color w:val="auto"/>
          <w:sz w:val="24"/>
          <w:highlight w:val="none"/>
        </w:rPr>
      </w:pPr>
    </w:p>
    <w:p>
      <w:pPr>
        <w:pStyle w:val="26"/>
        <w:snapToGrid w:val="0"/>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甲方（盖章）：                           </w:t>
      </w:r>
      <w:r>
        <w:rPr>
          <w:rFonts w:hint="eastAsia" w:ascii="仿宋" w:hAnsi="仿宋" w:eastAsia="仿宋" w:cs="仿宋"/>
          <w:b/>
          <w:color w:val="auto"/>
          <w:sz w:val="24"/>
          <w:szCs w:val="24"/>
          <w:highlight w:val="none"/>
          <w:lang w:val="en-US" w:eastAsia="zh-CN"/>
        </w:rPr>
        <w:t xml:space="preserve"> </w:t>
      </w:r>
      <w:r>
        <w:rPr>
          <w:rFonts w:hint="eastAsia" w:ascii="仿宋" w:hAnsi="仿宋" w:eastAsia="仿宋" w:cs="仿宋"/>
          <w:b/>
          <w:color w:val="auto"/>
          <w:sz w:val="24"/>
          <w:szCs w:val="24"/>
          <w:highlight w:val="none"/>
        </w:rPr>
        <w:t>乙方（盖章）：</w:t>
      </w:r>
    </w:p>
    <w:p>
      <w:pPr>
        <w:pStyle w:val="26"/>
        <w:snapToGrid w:val="0"/>
        <w:spacing w:line="360" w:lineRule="auto"/>
        <w:ind w:left="180" w:hanging="180" w:hangingChars="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法定代表人或受委托人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法定代表人或受委托人</w:t>
      </w:r>
    </w:p>
    <w:p>
      <w:pPr>
        <w:pStyle w:val="26"/>
        <w:snapToGrid w:val="0"/>
        <w:spacing w:line="360" w:lineRule="auto"/>
        <w:ind w:left="180" w:hanging="180" w:hangingChars="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（签字）                                 （签字）</w:t>
      </w:r>
    </w:p>
    <w:p>
      <w:pPr>
        <w:pStyle w:val="26"/>
        <w:snapToGrid w:val="0"/>
        <w:spacing w:line="360" w:lineRule="auto"/>
        <w:ind w:left="180" w:hanging="180" w:hangingChars="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地址：</w:t>
      </w:r>
    </w:p>
    <w:p>
      <w:pPr>
        <w:pStyle w:val="26"/>
        <w:snapToGrid w:val="0"/>
        <w:spacing w:line="360" w:lineRule="auto"/>
        <w:ind w:left="180" w:hanging="180" w:hangingChars="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邮编：                                   邮编：</w:t>
      </w:r>
    </w:p>
    <w:p>
      <w:pPr>
        <w:pStyle w:val="26"/>
        <w:snapToGrid w:val="0"/>
        <w:spacing w:line="360" w:lineRule="auto"/>
        <w:ind w:left="180" w:hanging="180" w:hangingChars="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电话：</w:t>
      </w:r>
    </w:p>
    <w:p>
      <w:pPr>
        <w:pStyle w:val="26"/>
        <w:snapToGrid w:val="0"/>
        <w:spacing w:line="360" w:lineRule="auto"/>
        <w:ind w:left="180" w:hanging="180" w:hangingChars="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传真：                                   传真：</w:t>
      </w:r>
    </w:p>
    <w:p>
      <w:pPr>
        <w:pStyle w:val="26"/>
        <w:snapToGrid w:val="0"/>
        <w:spacing w:line="360" w:lineRule="auto"/>
        <w:ind w:left="180" w:hanging="180" w:hangingChars="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签约时间：</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年   月   日</w:t>
      </w:r>
    </w:p>
    <w:p>
      <w:pPr>
        <w:pStyle w:val="26"/>
        <w:snapToGrid w:val="0"/>
        <w:spacing w:line="360" w:lineRule="auto"/>
        <w:ind w:left="180" w:hanging="180" w:hangingChars="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签约地点：</w:t>
      </w:r>
    </w:p>
    <w:p>
      <w:pPr>
        <w:pStyle w:val="26"/>
        <w:snapToGrid w:val="0"/>
        <w:spacing w:line="360" w:lineRule="auto"/>
        <w:ind w:left="180" w:hanging="180" w:hangingChars="75"/>
        <w:rPr>
          <w:rFonts w:hint="eastAsia" w:ascii="仿宋" w:hAnsi="仿宋" w:eastAsia="仿宋" w:cs="仿宋"/>
          <w:color w:val="auto"/>
          <w:sz w:val="24"/>
          <w:szCs w:val="24"/>
          <w:highlight w:val="none"/>
        </w:rPr>
      </w:pPr>
    </w:p>
    <w:p>
      <w:pPr>
        <w:pStyle w:val="26"/>
        <w:snapToGrid w:val="0"/>
        <w:spacing w:line="360" w:lineRule="auto"/>
        <w:ind w:left="180" w:hanging="180" w:hangingChars="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见证单位：（盖章）</w:t>
      </w:r>
    </w:p>
    <w:p>
      <w:pPr>
        <w:pStyle w:val="26"/>
        <w:snapToGrid w:val="0"/>
        <w:spacing w:line="360" w:lineRule="auto"/>
        <w:ind w:left="180" w:hanging="180" w:hangingChars="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法定代表人或委托代理人（签字或盖章）:</w:t>
      </w:r>
    </w:p>
    <w:p>
      <w:pPr>
        <w:pStyle w:val="26"/>
        <w:snapToGrid w:val="0"/>
        <w:spacing w:line="440" w:lineRule="exact"/>
        <w:rPr>
          <w:rFonts w:ascii="宋体" w:hAnsi="宋体" w:eastAsia="宋体"/>
          <w:color w:val="auto"/>
        </w:rPr>
      </w:pPr>
      <w:r>
        <w:rPr>
          <w:rFonts w:hint="eastAsia" w:ascii="仿宋" w:hAnsi="仿宋" w:eastAsia="仿宋" w:cs="仿宋"/>
          <w:color w:val="auto"/>
          <w:sz w:val="24"/>
          <w:szCs w:val="24"/>
          <w:highlight w:val="none"/>
        </w:rPr>
        <w:t>时间：</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年   月   日</w:t>
      </w:r>
    </w:p>
    <w:p>
      <w:pPr>
        <w:pStyle w:val="26"/>
        <w:snapToGrid w:val="0"/>
        <w:spacing w:line="440" w:lineRule="exact"/>
        <w:rPr>
          <w:rFonts w:ascii="宋体" w:hAnsi="宋体" w:eastAsia="宋体" w:cs="仿宋"/>
          <w:color w:val="auto"/>
          <w:szCs w:val="21"/>
        </w:rPr>
      </w:pPr>
    </w:p>
    <w:p>
      <w:pPr>
        <w:pStyle w:val="26"/>
        <w:snapToGrid w:val="0"/>
        <w:spacing w:line="440" w:lineRule="exact"/>
        <w:rPr>
          <w:rFonts w:ascii="宋体" w:hAnsi="宋体" w:eastAsia="宋体" w:cs="仿宋"/>
          <w:color w:val="auto"/>
          <w:szCs w:val="21"/>
        </w:rPr>
      </w:pPr>
    </w:p>
    <w:p>
      <w:pPr>
        <w:rPr>
          <w:color w:val="auto"/>
        </w:rPr>
      </w:pPr>
      <w:r>
        <w:rPr>
          <w:rFonts w:hint="eastAsia" w:ascii="宋体" w:hAnsi="宋体" w:eastAsia="宋体" w:cs="仿宋"/>
          <w:b/>
          <w:color w:val="auto"/>
          <w:sz w:val="24"/>
          <w:szCs w:val="24"/>
        </w:rPr>
        <w:t>（注：合同签订各方必须将资料填写完整，否则不予见证）</w:t>
      </w:r>
    </w:p>
    <w:p>
      <w:pPr>
        <w:spacing w:line="460" w:lineRule="auto"/>
        <w:jc w:val="left"/>
        <w:rPr>
          <w:rFonts w:hint="eastAsia" w:ascii="宋体" w:hAnsi="宋体" w:cs="宋体"/>
          <w:color w:val="auto"/>
          <w:sz w:val="24"/>
          <w:szCs w:val="22"/>
        </w:rPr>
      </w:pPr>
      <w:r>
        <w:rPr>
          <w:rFonts w:hint="eastAsia" w:ascii="宋体" w:hAnsi="宋体" w:cs="宋体"/>
          <w:color w:val="auto"/>
          <w:sz w:val="24"/>
          <w:szCs w:val="22"/>
        </w:rPr>
        <w:t>附： 开票信息</w:t>
      </w:r>
    </w:p>
    <w:p>
      <w:pPr>
        <w:spacing w:line="460" w:lineRule="auto"/>
        <w:jc w:val="left"/>
        <w:rPr>
          <w:rFonts w:hint="eastAsia" w:ascii="宋体" w:hAnsi="宋体" w:cs="宋体"/>
          <w:color w:val="auto"/>
          <w:sz w:val="24"/>
          <w:szCs w:val="22"/>
        </w:rPr>
      </w:pPr>
      <w:r>
        <w:rPr>
          <w:rFonts w:hint="eastAsia" w:ascii="宋体" w:hAnsi="宋体" w:cs="宋体"/>
          <w:color w:val="auto"/>
          <w:sz w:val="24"/>
          <w:szCs w:val="22"/>
        </w:rPr>
        <w:t>名称：建德市数字信息有限责任公司</w:t>
      </w:r>
    </w:p>
    <w:p>
      <w:pPr>
        <w:spacing w:line="460" w:lineRule="auto"/>
        <w:jc w:val="left"/>
        <w:rPr>
          <w:rFonts w:hint="eastAsia" w:ascii="宋体" w:hAnsi="宋体" w:cs="宋体"/>
          <w:color w:val="auto"/>
          <w:sz w:val="24"/>
          <w:szCs w:val="22"/>
        </w:rPr>
      </w:pPr>
      <w:r>
        <w:rPr>
          <w:rFonts w:hint="eastAsia" w:ascii="宋体" w:hAnsi="宋体" w:cs="宋体"/>
          <w:color w:val="auto"/>
          <w:sz w:val="24"/>
          <w:szCs w:val="22"/>
        </w:rPr>
        <w:t>地址\电话：建德市新安江街道新安东路268号 0571-</w:t>
      </w:r>
    </w:p>
    <w:p>
      <w:pPr>
        <w:spacing w:line="460" w:lineRule="auto"/>
        <w:jc w:val="left"/>
        <w:rPr>
          <w:rFonts w:hint="eastAsia" w:ascii="宋体" w:hAnsi="宋体" w:cs="宋体"/>
          <w:color w:val="auto"/>
          <w:sz w:val="24"/>
          <w:szCs w:val="22"/>
        </w:rPr>
      </w:pPr>
      <w:r>
        <w:rPr>
          <w:rFonts w:hint="eastAsia" w:ascii="宋体" w:hAnsi="宋体" w:cs="宋体"/>
          <w:color w:val="auto"/>
          <w:sz w:val="24"/>
          <w:szCs w:val="22"/>
        </w:rPr>
        <w:t xml:space="preserve">纳税人识别号：91330182MA2GkJH98J </w:t>
      </w:r>
    </w:p>
    <w:p>
      <w:pPr>
        <w:spacing w:line="460" w:lineRule="auto"/>
        <w:jc w:val="left"/>
        <w:rPr>
          <w:rFonts w:hint="eastAsia" w:ascii="宋体" w:hAnsi="宋体" w:cs="宋体"/>
          <w:color w:val="auto"/>
          <w:sz w:val="24"/>
          <w:szCs w:val="22"/>
        </w:rPr>
      </w:pPr>
      <w:r>
        <w:rPr>
          <w:rFonts w:hint="eastAsia" w:ascii="宋体" w:hAnsi="宋体" w:cs="宋体"/>
          <w:color w:val="auto"/>
          <w:sz w:val="24"/>
          <w:szCs w:val="22"/>
        </w:rPr>
        <w:t>开户行：建德农村商业银行股份有限公司营业部</w:t>
      </w:r>
    </w:p>
    <w:p>
      <w:pPr>
        <w:spacing w:line="460" w:lineRule="auto"/>
        <w:jc w:val="left"/>
        <w:rPr>
          <w:rFonts w:hint="eastAsia" w:ascii="宋体" w:hAnsi="宋体" w:cs="宋体"/>
          <w:color w:val="auto"/>
          <w:sz w:val="24"/>
          <w:szCs w:val="22"/>
        </w:rPr>
      </w:pPr>
      <w:r>
        <w:rPr>
          <w:rFonts w:hint="eastAsia" w:ascii="宋体" w:hAnsi="宋体" w:cs="宋体"/>
          <w:color w:val="auto"/>
          <w:sz w:val="24"/>
          <w:szCs w:val="22"/>
        </w:rPr>
        <w:t>帐号：201000220623952</w:t>
      </w:r>
    </w:p>
    <w:p>
      <w:pPr>
        <w:spacing w:line="460" w:lineRule="auto"/>
        <w:jc w:val="left"/>
        <w:rPr>
          <w:rFonts w:hint="eastAsia" w:ascii="宋体" w:hAnsi="宋体" w:cs="宋体"/>
          <w:color w:val="auto"/>
          <w:sz w:val="24"/>
          <w:szCs w:val="22"/>
        </w:rPr>
      </w:pPr>
    </w:p>
    <w:p>
      <w:pPr>
        <w:pStyle w:val="57"/>
        <w:rPr>
          <w:rFonts w:hint="eastAsia" w:ascii="仿宋" w:hAnsi="仿宋" w:eastAsia="仿宋" w:cs="仿宋"/>
          <w:b/>
          <w:color w:val="auto"/>
          <w:sz w:val="32"/>
          <w:szCs w:val="32"/>
          <w:lang w:eastAsia="zh-CN"/>
        </w:rPr>
      </w:pPr>
      <w:r>
        <w:rPr>
          <w:rFonts w:hint="eastAsia" w:hAnsi="宋体" w:eastAsia="仿宋" w:cs="宋体"/>
          <w:color w:val="auto"/>
          <w:sz w:val="24"/>
          <w:szCs w:val="22"/>
          <w:lang w:val="en-US" w:eastAsia="zh-CN"/>
        </w:rPr>
        <w:t xml:space="preserve"> </w:t>
      </w:r>
    </w:p>
    <w:p>
      <w:pPr>
        <w:rPr>
          <w:color w:val="auto"/>
        </w:rPr>
      </w:pPr>
    </w:p>
    <w:p>
      <w:pPr>
        <w:pStyle w:val="58"/>
        <w:rPr>
          <w:color w:val="auto"/>
        </w:rPr>
      </w:pPr>
    </w:p>
    <w:p>
      <w:pPr>
        <w:pStyle w:val="58"/>
        <w:rPr>
          <w:color w:val="auto"/>
        </w:rPr>
      </w:pPr>
    </w:p>
    <w:p>
      <w:pPr>
        <w:pStyle w:val="58"/>
        <w:rPr>
          <w:color w:val="auto"/>
        </w:rPr>
      </w:pPr>
    </w:p>
    <w:p>
      <w:pPr>
        <w:pStyle w:val="58"/>
        <w:rPr>
          <w:color w:val="auto"/>
        </w:rPr>
      </w:pPr>
    </w:p>
    <w:p>
      <w:pPr>
        <w:pStyle w:val="58"/>
        <w:rPr>
          <w:color w:val="auto"/>
        </w:rPr>
      </w:pPr>
    </w:p>
    <w:p>
      <w:pPr>
        <w:pStyle w:val="58"/>
        <w:rPr>
          <w:color w:val="auto"/>
        </w:rPr>
      </w:pPr>
    </w:p>
    <w:p>
      <w:pPr>
        <w:pStyle w:val="58"/>
        <w:rPr>
          <w:color w:val="auto"/>
        </w:rPr>
      </w:pPr>
    </w:p>
    <w:p>
      <w:pPr>
        <w:pStyle w:val="4"/>
        <w:ind w:left="0" w:leftChars="0" w:firstLine="0" w:firstLineChars="0"/>
        <w:rPr>
          <w:color w:val="auto"/>
        </w:rPr>
      </w:pPr>
    </w:p>
    <w:p>
      <w:pPr>
        <w:pStyle w:val="4"/>
        <w:ind w:left="0" w:leftChars="0" w:firstLine="0" w:firstLineChars="0"/>
        <w:rPr>
          <w:color w:val="auto"/>
        </w:rPr>
      </w:pPr>
    </w:p>
    <w:p>
      <w:pPr>
        <w:pStyle w:val="4"/>
        <w:ind w:left="0" w:leftChars="0" w:firstLine="0" w:firstLineChars="0"/>
        <w:rPr>
          <w:color w:val="auto"/>
        </w:rPr>
      </w:pPr>
    </w:p>
    <w:p>
      <w:pPr>
        <w:pStyle w:val="4"/>
        <w:ind w:left="0" w:leftChars="0" w:firstLine="0" w:firstLineChars="0"/>
        <w:rPr>
          <w:color w:val="auto"/>
        </w:rPr>
      </w:pPr>
    </w:p>
    <w:p>
      <w:pPr>
        <w:pStyle w:val="4"/>
        <w:ind w:left="0" w:leftChars="0" w:firstLine="0" w:firstLineChars="0"/>
        <w:rPr>
          <w:color w:val="auto"/>
        </w:rPr>
      </w:pPr>
    </w:p>
    <w:p>
      <w:pPr>
        <w:pStyle w:val="4"/>
        <w:ind w:left="0" w:leftChars="0" w:firstLine="0" w:firstLineChars="0"/>
        <w:rPr>
          <w:color w:val="auto"/>
        </w:rPr>
      </w:pPr>
    </w:p>
    <w:p>
      <w:pPr>
        <w:pStyle w:val="4"/>
        <w:ind w:left="0" w:leftChars="0" w:firstLine="0" w:firstLineChars="0"/>
        <w:rPr>
          <w:color w:val="auto"/>
        </w:rPr>
      </w:pPr>
    </w:p>
    <w:p>
      <w:pPr>
        <w:pStyle w:val="4"/>
        <w:ind w:left="0" w:leftChars="0" w:firstLine="0" w:firstLineChars="0"/>
        <w:rPr>
          <w:color w:val="auto"/>
        </w:rPr>
      </w:pPr>
    </w:p>
    <w:p>
      <w:pPr>
        <w:pStyle w:val="4"/>
        <w:ind w:left="0" w:leftChars="0" w:firstLine="0" w:firstLineChars="0"/>
        <w:rPr>
          <w:color w:val="auto"/>
        </w:rPr>
      </w:pPr>
    </w:p>
    <w:p>
      <w:pPr>
        <w:pStyle w:val="28"/>
        <w:numPr>
          <w:ilvl w:val="0"/>
          <w:numId w:val="15"/>
        </w:numPr>
        <w:spacing w:line="440" w:lineRule="exact"/>
        <w:ind w:left="0"/>
        <w:jc w:val="center"/>
        <w:rPr>
          <w:rStyle w:val="97"/>
          <w:rFonts w:ascii="仿宋" w:hAnsi="仿宋" w:eastAsia="仿宋" w:cs="仿宋"/>
          <w:color w:val="auto"/>
          <w:sz w:val="36"/>
          <w:szCs w:val="36"/>
        </w:rPr>
      </w:pPr>
      <w:r>
        <w:rPr>
          <w:rStyle w:val="97"/>
          <w:rFonts w:ascii="仿宋" w:hAnsi="仿宋" w:eastAsia="仿宋" w:cs="仿宋"/>
          <w:color w:val="auto"/>
          <w:sz w:val="36"/>
          <w:szCs w:val="36"/>
        </w:rPr>
        <w:t xml:space="preserve"> </w:t>
      </w:r>
      <w:r>
        <w:rPr>
          <w:rStyle w:val="97"/>
          <w:rFonts w:hint="eastAsia" w:ascii="仿宋" w:hAnsi="仿宋" w:eastAsia="仿宋" w:cs="仿宋"/>
          <w:color w:val="auto"/>
          <w:sz w:val="36"/>
          <w:szCs w:val="36"/>
        </w:rPr>
        <w:t>附</w:t>
      </w:r>
      <w:r>
        <w:rPr>
          <w:rStyle w:val="97"/>
          <w:rFonts w:ascii="仿宋" w:hAnsi="仿宋" w:eastAsia="仿宋" w:cs="仿宋"/>
          <w:color w:val="auto"/>
          <w:sz w:val="36"/>
          <w:szCs w:val="36"/>
        </w:rPr>
        <w:t xml:space="preserve"> </w:t>
      </w:r>
      <w:r>
        <w:rPr>
          <w:rStyle w:val="97"/>
          <w:rFonts w:hint="eastAsia" w:ascii="仿宋" w:hAnsi="仿宋" w:eastAsia="仿宋" w:cs="仿宋"/>
          <w:color w:val="auto"/>
          <w:sz w:val="36"/>
          <w:szCs w:val="36"/>
        </w:rPr>
        <w:t>件</w:t>
      </w:r>
    </w:p>
    <w:p>
      <w:pPr>
        <w:rPr>
          <w:color w:val="auto"/>
        </w:rPr>
      </w:pPr>
    </w:p>
    <w:p>
      <w:pPr>
        <w:widowControl/>
        <w:snapToGrid w:val="0"/>
        <w:ind w:left="420" w:hanging="420"/>
        <w:rPr>
          <w:rFonts w:ascii="仿宋" w:hAnsi="仿宋" w:eastAsia="仿宋" w:cs="仿宋"/>
          <w:b/>
          <w:bCs/>
          <w:color w:val="auto"/>
          <w:kern w:val="0"/>
          <w:sz w:val="32"/>
          <w:szCs w:val="32"/>
        </w:rPr>
      </w:pPr>
      <w:r>
        <w:rPr>
          <w:rStyle w:val="97"/>
          <w:rFonts w:hint="eastAsia" w:ascii="仿宋" w:hAnsi="仿宋" w:eastAsia="仿宋" w:cs="仿宋"/>
          <w:color w:val="auto"/>
          <w:sz w:val="30"/>
          <w:szCs w:val="30"/>
        </w:rPr>
        <w:t>附件一</w:t>
      </w:r>
      <w:r>
        <w:rPr>
          <w:rFonts w:hint="eastAsia" w:ascii="仿宋" w:hAnsi="仿宋" w:eastAsia="仿宋" w:cs="仿宋"/>
          <w:b/>
          <w:bCs/>
          <w:color w:val="auto"/>
          <w:kern w:val="0"/>
          <w:sz w:val="32"/>
          <w:szCs w:val="32"/>
        </w:rPr>
        <w:t>、</w:t>
      </w:r>
    </w:p>
    <w:p>
      <w:pPr>
        <w:widowControl/>
        <w:snapToGrid w:val="0"/>
        <w:ind w:left="420" w:hanging="42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投标报价函</w:t>
      </w:r>
    </w:p>
    <w:p>
      <w:pPr>
        <w:widowControl/>
        <w:snapToGrid w:val="0"/>
        <w:ind w:left="420" w:hanging="420"/>
        <w:jc w:val="center"/>
        <w:rPr>
          <w:rFonts w:ascii="仿宋" w:hAnsi="仿宋" w:eastAsia="仿宋" w:cs="仿宋"/>
          <w:b/>
          <w:color w:val="auto"/>
          <w:kern w:val="0"/>
          <w:sz w:val="32"/>
          <w:szCs w:val="32"/>
        </w:rPr>
      </w:pPr>
    </w:p>
    <w:p>
      <w:pPr>
        <w:pStyle w:val="43"/>
        <w:autoSpaceDE w:val="0"/>
        <w:adjustRightInd w:val="0"/>
        <w:snapToGrid w:val="0"/>
        <w:spacing w:before="0" w:beforeAutospacing="0" w:after="0" w:afterAutospacing="0" w:line="420" w:lineRule="exact"/>
        <w:jc w:val="both"/>
        <w:rPr>
          <w:rFonts w:ascii="仿宋" w:hAnsi="仿宋" w:eastAsia="仿宋" w:cs="仿宋"/>
          <w:b/>
          <w:bCs/>
          <w:color w:val="auto"/>
        </w:rPr>
      </w:pPr>
      <w:r>
        <w:rPr>
          <w:rFonts w:hint="eastAsia" w:ascii="仿宋" w:hAnsi="仿宋" w:eastAsia="仿宋" w:cs="仿宋"/>
          <w:b/>
          <w:bCs/>
          <w:color w:val="auto"/>
          <w:lang w:eastAsia="zh-CN"/>
        </w:rPr>
        <w:t>欧邦工程管理集团有限公司</w:t>
      </w:r>
      <w:r>
        <w:rPr>
          <w:rFonts w:hint="eastAsia" w:ascii="仿宋" w:hAnsi="仿宋" w:eastAsia="仿宋" w:cs="仿宋"/>
          <w:b/>
          <w:bCs/>
          <w:color w:val="auto"/>
        </w:rPr>
        <w:t>：</w:t>
      </w:r>
    </w:p>
    <w:p>
      <w:pPr>
        <w:pStyle w:val="43"/>
        <w:autoSpaceDE w:val="0"/>
        <w:adjustRightInd w:val="0"/>
        <w:snapToGrid w:val="0"/>
        <w:spacing w:before="0" w:beforeAutospacing="0" w:after="0" w:afterAutospacing="0" w:line="420" w:lineRule="exact"/>
        <w:ind w:firstLine="480"/>
        <w:rPr>
          <w:rFonts w:ascii="仿宋" w:hAnsi="仿宋" w:eastAsia="仿宋" w:cs="仿宋"/>
          <w:color w:val="auto"/>
        </w:rPr>
      </w:pPr>
      <w:r>
        <w:rPr>
          <w:rFonts w:hint="eastAsia" w:ascii="仿宋" w:hAnsi="仿宋" w:eastAsia="仿宋" w:cs="仿宋"/>
          <w:color w:val="auto"/>
        </w:rPr>
        <w:t>贵单位</w:t>
      </w:r>
      <w:r>
        <w:rPr>
          <w:rFonts w:hint="eastAsia" w:ascii="仿宋" w:hAnsi="仿宋" w:eastAsia="仿宋" w:cs="仿宋"/>
          <w:color w:val="auto"/>
          <w:lang w:eastAsia="zh-CN"/>
        </w:rPr>
        <w:t>JDOBCG2021B-45</w:t>
      </w:r>
      <w:r>
        <w:rPr>
          <w:rFonts w:hint="eastAsia" w:ascii="仿宋" w:hAnsi="仿宋" w:eastAsia="仿宋" w:cs="仿宋"/>
          <w:color w:val="auto"/>
        </w:rPr>
        <w:t>号招标文件</w:t>
      </w:r>
      <w:r>
        <w:rPr>
          <w:rFonts w:ascii="仿宋" w:hAnsi="仿宋" w:eastAsia="仿宋" w:cs="仿宋"/>
          <w:color w:val="auto"/>
        </w:rPr>
        <w:t>(</w:t>
      </w:r>
      <w:r>
        <w:rPr>
          <w:rFonts w:hint="eastAsia" w:ascii="仿宋" w:hAnsi="仿宋" w:eastAsia="仿宋" w:cs="仿宋"/>
          <w:color w:val="auto"/>
        </w:rPr>
        <w:t>包括补充更正，如有</w:t>
      </w:r>
      <w:r>
        <w:rPr>
          <w:rFonts w:ascii="仿宋" w:hAnsi="仿宋" w:eastAsia="仿宋" w:cs="仿宋"/>
          <w:color w:val="auto"/>
        </w:rPr>
        <w:t>)</w:t>
      </w:r>
      <w:r>
        <w:rPr>
          <w:rFonts w:hint="eastAsia" w:ascii="仿宋" w:hAnsi="仿宋" w:eastAsia="仿宋" w:cs="仿宋"/>
          <w:color w:val="auto"/>
        </w:rPr>
        <w:t>收悉，我们经详细审阅和研究，现决定参加</w:t>
      </w:r>
      <w:r>
        <w:rPr>
          <w:rFonts w:hint="eastAsia" w:ascii="仿宋" w:hAnsi="仿宋" w:eastAsia="仿宋" w:cs="仿宋"/>
          <w:bCs/>
          <w:color w:val="auto"/>
          <w:u w:val="single"/>
          <w:lang w:eastAsia="zh-CN"/>
        </w:rPr>
        <w:t>建德市“安心返”系统及“17防”平台项目</w:t>
      </w:r>
      <w:r>
        <w:rPr>
          <w:rFonts w:hint="eastAsia" w:ascii="仿宋" w:hAnsi="仿宋" w:eastAsia="仿宋" w:cs="仿宋"/>
          <w:color w:val="auto"/>
        </w:rPr>
        <w:t>公开招标的报价，并提供报价文件正本</w:t>
      </w:r>
      <w:r>
        <w:rPr>
          <w:rFonts w:ascii="仿宋" w:hAnsi="仿宋" w:eastAsia="仿宋" w:cs="仿宋"/>
          <w:color w:val="auto"/>
        </w:rPr>
        <w:t>1</w:t>
      </w:r>
      <w:r>
        <w:rPr>
          <w:rFonts w:hint="eastAsia" w:ascii="仿宋" w:hAnsi="仿宋" w:eastAsia="仿宋" w:cs="仿宋"/>
          <w:color w:val="auto"/>
        </w:rPr>
        <w:t>份副本</w:t>
      </w:r>
      <w:r>
        <w:rPr>
          <w:rFonts w:ascii="仿宋" w:hAnsi="仿宋" w:eastAsia="仿宋" w:cs="仿宋"/>
          <w:color w:val="auto"/>
        </w:rPr>
        <w:t>5</w:t>
      </w:r>
      <w:r>
        <w:rPr>
          <w:rFonts w:hint="eastAsia" w:ascii="仿宋" w:hAnsi="仿宋" w:eastAsia="仿宋" w:cs="仿宋"/>
          <w:color w:val="auto"/>
        </w:rPr>
        <w:t>份。我公司决定无保留地接受招标文件</w:t>
      </w:r>
      <w:r>
        <w:rPr>
          <w:rFonts w:ascii="仿宋" w:hAnsi="仿宋" w:eastAsia="仿宋" w:cs="仿宋"/>
          <w:color w:val="auto"/>
        </w:rPr>
        <w:t>(</w:t>
      </w:r>
      <w:r>
        <w:rPr>
          <w:rFonts w:hint="eastAsia" w:ascii="仿宋" w:hAnsi="仿宋" w:eastAsia="仿宋" w:cs="仿宋"/>
          <w:color w:val="auto"/>
        </w:rPr>
        <w:t>包括补充更正，如有</w:t>
      </w:r>
      <w:r>
        <w:rPr>
          <w:rFonts w:ascii="仿宋" w:hAnsi="仿宋" w:eastAsia="仿宋" w:cs="仿宋"/>
          <w:color w:val="auto"/>
        </w:rPr>
        <w:t>)</w:t>
      </w:r>
      <w:r>
        <w:rPr>
          <w:rFonts w:hint="eastAsia" w:ascii="仿宋" w:hAnsi="仿宋" w:eastAsia="仿宋" w:cs="仿宋"/>
          <w:color w:val="auto"/>
        </w:rPr>
        <w:t>所有条款和报价文件所有承诺，并按合同履行全部责任。</w:t>
      </w:r>
    </w:p>
    <w:p>
      <w:pPr>
        <w:pStyle w:val="43"/>
        <w:autoSpaceDE w:val="0"/>
        <w:adjustRightInd w:val="0"/>
        <w:snapToGrid w:val="0"/>
        <w:spacing w:before="0" w:beforeAutospacing="0" w:after="0" w:afterAutospacing="0" w:line="420" w:lineRule="exact"/>
        <w:ind w:firstLine="480"/>
        <w:rPr>
          <w:rFonts w:ascii="仿宋" w:hAnsi="仿宋" w:eastAsia="仿宋" w:cs="仿宋"/>
          <w:color w:val="auto"/>
        </w:rPr>
      </w:pPr>
    </w:p>
    <w:p>
      <w:pPr>
        <w:autoSpaceDE w:val="0"/>
        <w:adjustRightInd w:val="0"/>
        <w:snapToGrid w:val="0"/>
        <w:spacing w:line="420" w:lineRule="exact"/>
        <w:jc w:val="left"/>
        <w:rPr>
          <w:rFonts w:ascii="仿宋" w:hAnsi="仿宋" w:eastAsia="仿宋" w:cs="仿宋"/>
          <w:color w:val="auto"/>
          <w:kern w:val="0"/>
          <w:sz w:val="24"/>
        </w:rPr>
      </w:pPr>
      <w:r>
        <w:rPr>
          <w:rFonts w:hint="eastAsia" w:ascii="仿宋" w:hAnsi="仿宋" w:eastAsia="仿宋" w:cs="仿宋"/>
          <w:color w:val="auto"/>
          <w:kern w:val="0"/>
          <w:sz w:val="24"/>
        </w:rPr>
        <w:t>本项目愿按人民币</w:t>
      </w:r>
      <w:r>
        <w:rPr>
          <w:rFonts w:ascii="仿宋" w:hAnsi="仿宋" w:eastAsia="仿宋" w:cs="仿宋"/>
          <w:color w:val="auto"/>
          <w:kern w:val="0"/>
          <w:sz w:val="24"/>
        </w:rPr>
        <w:t>(</w:t>
      </w:r>
      <w:r>
        <w:rPr>
          <w:rFonts w:hint="eastAsia" w:ascii="仿宋" w:hAnsi="仿宋" w:eastAsia="仿宋" w:cs="仿宋"/>
          <w:color w:val="auto"/>
          <w:kern w:val="0"/>
          <w:sz w:val="24"/>
        </w:rPr>
        <w:t>大写</w:t>
      </w:r>
      <w:r>
        <w:rPr>
          <w:rFonts w:ascii="仿宋" w:hAnsi="仿宋" w:eastAsia="仿宋" w:cs="仿宋"/>
          <w:color w:val="auto"/>
          <w:kern w:val="0"/>
          <w:sz w:val="24"/>
          <w:u w:val="single"/>
        </w:rPr>
        <w:t xml:space="preserve">                    </w:t>
      </w:r>
      <w:r>
        <w:rPr>
          <w:rFonts w:hint="eastAsia" w:ascii="仿宋" w:hAnsi="仿宋" w:eastAsia="仿宋" w:cs="仿宋"/>
          <w:color w:val="auto"/>
          <w:kern w:val="0"/>
          <w:sz w:val="24"/>
        </w:rPr>
        <w:t>元整</w:t>
      </w:r>
      <w:r>
        <w:rPr>
          <w:rFonts w:ascii="仿宋" w:hAnsi="仿宋" w:eastAsia="仿宋" w:cs="仿宋"/>
          <w:color w:val="auto"/>
          <w:kern w:val="0"/>
          <w:sz w:val="24"/>
        </w:rPr>
        <w:t>)</w:t>
      </w:r>
      <w:r>
        <w:rPr>
          <w:rFonts w:hint="eastAsia" w:ascii="仿宋" w:hAnsi="仿宋" w:eastAsia="仿宋" w:cs="仿宋"/>
          <w:color w:val="auto"/>
          <w:kern w:val="0"/>
          <w:sz w:val="24"/>
        </w:rPr>
        <w:t>（￥：</w:t>
      </w:r>
      <w:r>
        <w:rPr>
          <w:rFonts w:ascii="仿宋" w:hAnsi="仿宋" w:eastAsia="仿宋" w:cs="仿宋"/>
          <w:color w:val="auto"/>
          <w:kern w:val="0"/>
          <w:sz w:val="24"/>
          <w:u w:val="single"/>
        </w:rPr>
        <w:t xml:space="preserve">         </w:t>
      </w:r>
      <w:r>
        <w:rPr>
          <w:rFonts w:hint="eastAsia" w:ascii="仿宋" w:hAnsi="仿宋" w:eastAsia="仿宋" w:cs="仿宋"/>
          <w:color w:val="auto"/>
          <w:kern w:val="0"/>
          <w:sz w:val="24"/>
        </w:rPr>
        <w:t>元）</w:t>
      </w:r>
    </w:p>
    <w:p>
      <w:pPr>
        <w:autoSpaceDE w:val="0"/>
        <w:adjustRightInd w:val="0"/>
        <w:snapToGrid w:val="0"/>
        <w:spacing w:line="420" w:lineRule="exact"/>
        <w:jc w:val="left"/>
        <w:rPr>
          <w:rFonts w:ascii="仿宋" w:hAnsi="仿宋" w:eastAsia="仿宋" w:cs="仿宋"/>
          <w:color w:val="auto"/>
          <w:kern w:val="0"/>
          <w:sz w:val="24"/>
        </w:rPr>
      </w:pPr>
    </w:p>
    <w:p>
      <w:pPr>
        <w:autoSpaceDE w:val="0"/>
        <w:adjustRightInd w:val="0"/>
        <w:snapToGrid w:val="0"/>
        <w:spacing w:line="420" w:lineRule="exact"/>
        <w:ind w:firstLine="600" w:firstLineChars="250"/>
        <w:jc w:val="left"/>
        <w:rPr>
          <w:rFonts w:ascii="仿宋" w:hAnsi="仿宋" w:eastAsia="仿宋" w:cs="仿宋"/>
          <w:color w:val="auto"/>
          <w:kern w:val="0"/>
          <w:sz w:val="24"/>
        </w:rPr>
      </w:pPr>
      <w:r>
        <w:rPr>
          <w:rFonts w:hint="eastAsia" w:ascii="仿宋" w:hAnsi="仿宋" w:eastAsia="仿宋" w:cs="仿宋"/>
          <w:color w:val="auto"/>
          <w:kern w:val="0"/>
          <w:sz w:val="24"/>
        </w:rPr>
        <w:t>本报价</w:t>
      </w:r>
      <w:r>
        <w:rPr>
          <w:rFonts w:ascii="仿宋" w:hAnsi="仿宋" w:eastAsia="仿宋" w:cs="仿宋"/>
          <w:color w:val="auto"/>
          <w:kern w:val="0"/>
          <w:sz w:val="24"/>
          <w:u w:val="single"/>
        </w:rPr>
        <w:t>90</w:t>
      </w:r>
      <w:r>
        <w:rPr>
          <w:rFonts w:hint="eastAsia" w:ascii="仿宋" w:hAnsi="仿宋" w:eastAsia="仿宋" w:cs="仿宋"/>
          <w:color w:val="auto"/>
          <w:kern w:val="0"/>
          <w:sz w:val="24"/>
        </w:rPr>
        <w:t>天内有效。</w:t>
      </w:r>
    </w:p>
    <w:p>
      <w:pPr>
        <w:autoSpaceDE w:val="0"/>
        <w:adjustRightInd w:val="0"/>
        <w:snapToGrid w:val="0"/>
        <w:spacing w:line="420" w:lineRule="exact"/>
        <w:jc w:val="left"/>
        <w:rPr>
          <w:rFonts w:ascii="仿宋" w:hAnsi="仿宋" w:eastAsia="仿宋" w:cs="仿宋"/>
          <w:color w:val="auto"/>
          <w:kern w:val="0"/>
          <w:sz w:val="24"/>
        </w:rPr>
      </w:pPr>
      <w:r>
        <w:rPr>
          <w:rFonts w:ascii="仿宋" w:hAnsi="仿宋" w:eastAsia="仿宋" w:cs="仿宋"/>
          <w:color w:val="auto"/>
          <w:kern w:val="0"/>
          <w:sz w:val="24"/>
        </w:rPr>
        <w:t xml:space="preserve">    </w:t>
      </w:r>
      <w:r>
        <w:rPr>
          <w:rFonts w:hint="eastAsia" w:ascii="仿宋" w:hAnsi="仿宋" w:eastAsia="仿宋" w:cs="仿宋"/>
          <w:color w:val="auto"/>
          <w:kern w:val="0"/>
          <w:sz w:val="24"/>
        </w:rPr>
        <w:t>一旦我公司成交，保证按成交通知书规定时间与采购单位签订合同，按招标文件</w:t>
      </w:r>
      <w:r>
        <w:rPr>
          <w:rFonts w:ascii="仿宋" w:hAnsi="仿宋" w:eastAsia="仿宋" w:cs="仿宋"/>
          <w:color w:val="auto"/>
          <w:kern w:val="0"/>
          <w:sz w:val="24"/>
        </w:rPr>
        <w:t>(</w:t>
      </w:r>
      <w:r>
        <w:rPr>
          <w:rFonts w:hint="eastAsia" w:ascii="仿宋" w:hAnsi="仿宋" w:eastAsia="仿宋" w:cs="仿宋"/>
          <w:color w:val="auto"/>
          <w:kern w:val="0"/>
          <w:sz w:val="24"/>
        </w:rPr>
        <w:t>包括补充更正，如有</w:t>
      </w:r>
      <w:r>
        <w:rPr>
          <w:rFonts w:ascii="仿宋" w:hAnsi="仿宋" w:eastAsia="仿宋" w:cs="仿宋"/>
          <w:color w:val="auto"/>
          <w:kern w:val="0"/>
          <w:sz w:val="24"/>
        </w:rPr>
        <w:t>)</w:t>
      </w:r>
      <w:r>
        <w:rPr>
          <w:rFonts w:hint="eastAsia" w:ascii="仿宋" w:hAnsi="仿宋" w:eastAsia="仿宋" w:cs="仿宋"/>
          <w:color w:val="auto"/>
          <w:kern w:val="0"/>
          <w:sz w:val="24"/>
        </w:rPr>
        <w:t>供货时间要求和我公司报价文件承诺的供货时间准时完成系统设计、开发和数据整理入库，并交付使用。如我单位成交后放弃成交资格造成采购人损失的，我单位愿意对超过部分作出完全赔偿。</w:t>
      </w:r>
    </w:p>
    <w:p>
      <w:pPr>
        <w:autoSpaceDE w:val="0"/>
        <w:adjustRightInd w:val="0"/>
        <w:snapToGrid w:val="0"/>
        <w:spacing w:line="420" w:lineRule="exact"/>
        <w:ind w:firstLine="484" w:firstLineChars="202"/>
        <w:jc w:val="left"/>
        <w:rPr>
          <w:rFonts w:ascii="仿宋" w:hAnsi="仿宋" w:eastAsia="仿宋" w:cs="仿宋"/>
          <w:color w:val="auto"/>
          <w:kern w:val="0"/>
          <w:sz w:val="24"/>
        </w:rPr>
      </w:pPr>
      <w:r>
        <w:rPr>
          <w:rFonts w:hint="eastAsia" w:ascii="仿宋" w:hAnsi="仿宋" w:eastAsia="仿宋" w:cs="仿宋"/>
          <w:color w:val="auto"/>
          <w:kern w:val="0"/>
          <w:sz w:val="24"/>
        </w:rPr>
        <w:t>我公司对报价文件所有内容的真实性负全部责任，由此产生的一切后果由本公司承担。</w:t>
      </w:r>
    </w:p>
    <w:p>
      <w:pPr>
        <w:pStyle w:val="43"/>
        <w:autoSpaceDE w:val="0"/>
        <w:adjustRightInd w:val="0"/>
        <w:snapToGrid w:val="0"/>
        <w:spacing w:before="0" w:beforeAutospacing="0" w:after="0" w:afterAutospacing="0" w:line="420" w:lineRule="exact"/>
        <w:jc w:val="both"/>
        <w:rPr>
          <w:rFonts w:ascii="仿宋" w:hAnsi="仿宋" w:eastAsia="仿宋" w:cs="仿宋"/>
          <w:b/>
          <w:bCs/>
          <w:color w:val="auto"/>
          <w:u w:val="single"/>
        </w:rPr>
      </w:pPr>
      <w:r>
        <w:rPr>
          <w:rFonts w:hint="eastAsia" w:ascii="仿宋" w:hAnsi="仿宋" w:eastAsia="仿宋" w:cs="仿宋"/>
          <w:b/>
          <w:bCs/>
          <w:color w:val="auto"/>
          <w:u w:val="single"/>
        </w:rPr>
        <w:t>特别提醒：本函的商务报价内容不能出现在资格审查文件、技术、商务资信投标文件正副本中。</w:t>
      </w:r>
    </w:p>
    <w:p>
      <w:pPr>
        <w:autoSpaceDE w:val="0"/>
        <w:adjustRightInd w:val="0"/>
        <w:snapToGrid w:val="0"/>
        <w:spacing w:line="420" w:lineRule="exact"/>
        <w:jc w:val="left"/>
        <w:rPr>
          <w:rFonts w:ascii="仿宋" w:hAnsi="仿宋" w:eastAsia="仿宋" w:cs="仿宋"/>
          <w:color w:val="auto"/>
          <w:kern w:val="0"/>
          <w:sz w:val="24"/>
        </w:rPr>
      </w:pPr>
      <w:r>
        <w:rPr>
          <w:rFonts w:hint="eastAsia" w:ascii="仿宋" w:hAnsi="仿宋" w:eastAsia="仿宋" w:cs="仿宋"/>
          <w:color w:val="auto"/>
          <w:kern w:val="0"/>
          <w:sz w:val="24"/>
        </w:rPr>
        <w:t>单位名称：</w:t>
      </w:r>
    </w:p>
    <w:p>
      <w:pPr>
        <w:autoSpaceDE w:val="0"/>
        <w:adjustRightInd w:val="0"/>
        <w:snapToGrid w:val="0"/>
        <w:spacing w:line="420" w:lineRule="exact"/>
        <w:jc w:val="left"/>
        <w:rPr>
          <w:rFonts w:ascii="仿宋" w:hAnsi="仿宋" w:eastAsia="仿宋" w:cs="仿宋"/>
          <w:color w:val="auto"/>
          <w:kern w:val="0"/>
          <w:sz w:val="24"/>
          <w:u w:val="single"/>
        </w:rPr>
      </w:pPr>
      <w:r>
        <w:rPr>
          <w:rFonts w:hint="eastAsia" w:ascii="仿宋" w:hAnsi="仿宋" w:eastAsia="仿宋" w:cs="仿宋"/>
          <w:color w:val="auto"/>
          <w:kern w:val="0"/>
          <w:sz w:val="24"/>
        </w:rPr>
        <w:t>联系人：</w:t>
      </w:r>
      <w:r>
        <w:rPr>
          <w:rFonts w:ascii="仿宋" w:hAnsi="仿宋" w:eastAsia="仿宋" w:cs="仿宋"/>
          <w:color w:val="auto"/>
          <w:kern w:val="0"/>
          <w:sz w:val="24"/>
        </w:rPr>
        <w:t xml:space="preserve">                </w:t>
      </w:r>
      <w:r>
        <w:rPr>
          <w:rFonts w:hint="eastAsia" w:ascii="仿宋" w:hAnsi="仿宋" w:eastAsia="仿宋" w:cs="仿宋"/>
          <w:color w:val="auto"/>
          <w:kern w:val="0"/>
          <w:sz w:val="24"/>
        </w:rPr>
        <w:t>电话：</w:t>
      </w:r>
    </w:p>
    <w:p>
      <w:pPr>
        <w:autoSpaceDE w:val="0"/>
        <w:adjustRightInd w:val="0"/>
        <w:snapToGrid w:val="0"/>
        <w:spacing w:line="420" w:lineRule="exact"/>
        <w:jc w:val="left"/>
        <w:rPr>
          <w:rFonts w:ascii="仿宋" w:hAnsi="仿宋" w:eastAsia="仿宋" w:cs="仿宋"/>
          <w:color w:val="auto"/>
          <w:kern w:val="0"/>
          <w:sz w:val="24"/>
          <w:u w:val="single"/>
        </w:rPr>
      </w:pPr>
      <w:r>
        <w:rPr>
          <w:rFonts w:hint="eastAsia" w:ascii="仿宋" w:hAnsi="仿宋" w:eastAsia="仿宋" w:cs="仿宋"/>
          <w:color w:val="auto"/>
          <w:kern w:val="0"/>
          <w:sz w:val="24"/>
        </w:rPr>
        <w:t>手机：</w:t>
      </w:r>
      <w:r>
        <w:rPr>
          <w:rFonts w:ascii="仿宋" w:hAnsi="仿宋" w:eastAsia="仿宋" w:cs="仿宋"/>
          <w:color w:val="auto"/>
          <w:kern w:val="0"/>
          <w:sz w:val="24"/>
        </w:rPr>
        <w:t xml:space="preserve">                   </w:t>
      </w:r>
      <w:r>
        <w:rPr>
          <w:rFonts w:hint="eastAsia" w:ascii="仿宋" w:hAnsi="仿宋" w:eastAsia="仿宋" w:cs="仿宋"/>
          <w:color w:val="auto"/>
          <w:kern w:val="0"/>
          <w:sz w:val="24"/>
        </w:rPr>
        <w:t>传真：</w:t>
      </w:r>
    </w:p>
    <w:p>
      <w:pPr>
        <w:autoSpaceDE w:val="0"/>
        <w:adjustRightInd w:val="0"/>
        <w:snapToGrid w:val="0"/>
        <w:spacing w:line="420" w:lineRule="exact"/>
        <w:ind w:firstLine="4320" w:firstLineChars="1800"/>
        <w:rPr>
          <w:rFonts w:ascii="仿宋" w:hAnsi="仿宋" w:eastAsia="仿宋" w:cs="仿宋"/>
          <w:color w:val="auto"/>
          <w:kern w:val="0"/>
          <w:sz w:val="24"/>
        </w:rPr>
      </w:pPr>
    </w:p>
    <w:p>
      <w:pPr>
        <w:autoSpaceDE w:val="0"/>
        <w:adjustRightInd w:val="0"/>
        <w:snapToGrid w:val="0"/>
        <w:spacing w:line="420" w:lineRule="exact"/>
        <w:ind w:firstLine="4340" w:firstLineChars="1550"/>
        <w:rPr>
          <w:rFonts w:ascii="仿宋" w:hAnsi="仿宋" w:eastAsia="仿宋" w:cs="仿宋"/>
          <w:color w:val="auto"/>
          <w:kern w:val="0"/>
          <w:sz w:val="28"/>
          <w:szCs w:val="28"/>
        </w:rPr>
      </w:pPr>
    </w:p>
    <w:p>
      <w:pPr>
        <w:widowControl/>
        <w:snapToGrid w:val="0"/>
        <w:spacing w:line="480" w:lineRule="exact"/>
        <w:ind w:firstLine="218" w:firstLineChars="78"/>
        <w:rPr>
          <w:rFonts w:ascii="仿宋" w:hAnsi="仿宋" w:eastAsia="仿宋" w:cs="仿宋"/>
          <w:color w:val="auto"/>
          <w:kern w:val="0"/>
          <w:sz w:val="28"/>
          <w:szCs w:val="28"/>
        </w:rPr>
      </w:pPr>
      <w:r>
        <w:rPr>
          <w:rFonts w:hint="eastAsia" w:ascii="仿宋" w:hAnsi="仿宋" w:eastAsia="仿宋" w:cs="仿宋"/>
          <w:color w:val="auto"/>
          <w:kern w:val="0"/>
          <w:sz w:val="28"/>
          <w:szCs w:val="28"/>
        </w:rPr>
        <w:t>全权代表</w:t>
      </w:r>
      <w:r>
        <w:rPr>
          <w:rFonts w:ascii="仿宋" w:hAnsi="仿宋" w:eastAsia="仿宋" w:cs="仿宋"/>
          <w:color w:val="auto"/>
          <w:kern w:val="0"/>
          <w:sz w:val="28"/>
          <w:szCs w:val="28"/>
        </w:rPr>
        <w:t>(</w:t>
      </w:r>
      <w:r>
        <w:rPr>
          <w:rFonts w:hint="eastAsia" w:ascii="仿宋" w:hAnsi="仿宋" w:eastAsia="仿宋" w:cs="仿宋"/>
          <w:color w:val="auto"/>
          <w:kern w:val="0"/>
          <w:sz w:val="28"/>
          <w:szCs w:val="28"/>
        </w:rPr>
        <w:t>签字</w:t>
      </w:r>
      <w:r>
        <w:rPr>
          <w:rFonts w:ascii="仿宋" w:hAnsi="仿宋" w:eastAsia="仿宋" w:cs="仿宋"/>
          <w:color w:val="auto"/>
          <w:kern w:val="0"/>
          <w:sz w:val="28"/>
          <w:szCs w:val="28"/>
        </w:rPr>
        <w:t>)</w:t>
      </w:r>
      <w:r>
        <w:rPr>
          <w:rFonts w:hint="eastAsia" w:ascii="仿宋" w:hAnsi="仿宋" w:eastAsia="仿宋" w:cs="仿宋"/>
          <w:color w:val="auto"/>
          <w:kern w:val="0"/>
          <w:sz w:val="28"/>
          <w:szCs w:val="28"/>
        </w:rPr>
        <w:t>：</w:t>
      </w:r>
    </w:p>
    <w:p>
      <w:pPr>
        <w:widowControl/>
        <w:snapToGrid w:val="0"/>
        <w:spacing w:line="480" w:lineRule="exact"/>
        <w:ind w:firstLine="218" w:firstLineChars="78"/>
        <w:rPr>
          <w:rFonts w:ascii="仿宋" w:hAnsi="仿宋" w:eastAsia="仿宋" w:cs="仿宋"/>
          <w:color w:val="auto"/>
          <w:kern w:val="0"/>
          <w:sz w:val="28"/>
          <w:szCs w:val="28"/>
        </w:rPr>
      </w:pPr>
      <w:r>
        <w:rPr>
          <w:rFonts w:hint="eastAsia" w:ascii="仿宋" w:hAnsi="仿宋" w:eastAsia="仿宋" w:cs="仿宋"/>
          <w:color w:val="auto"/>
          <w:kern w:val="0"/>
          <w:sz w:val="28"/>
          <w:szCs w:val="28"/>
        </w:rPr>
        <w:t>投标供应商</w:t>
      </w:r>
      <w:r>
        <w:rPr>
          <w:rFonts w:ascii="仿宋" w:hAnsi="仿宋" w:eastAsia="仿宋" w:cs="仿宋"/>
          <w:color w:val="auto"/>
          <w:kern w:val="0"/>
          <w:sz w:val="28"/>
          <w:szCs w:val="28"/>
        </w:rPr>
        <w:t>(</w:t>
      </w:r>
      <w:r>
        <w:rPr>
          <w:rFonts w:hint="eastAsia" w:ascii="仿宋" w:hAnsi="仿宋" w:eastAsia="仿宋" w:cs="仿宋"/>
          <w:color w:val="auto"/>
          <w:kern w:val="0"/>
          <w:sz w:val="28"/>
          <w:szCs w:val="28"/>
        </w:rPr>
        <w:t>盖章</w:t>
      </w:r>
      <w:r>
        <w:rPr>
          <w:rFonts w:ascii="仿宋" w:hAnsi="仿宋" w:eastAsia="仿宋" w:cs="仿宋"/>
          <w:color w:val="auto"/>
          <w:kern w:val="0"/>
          <w:sz w:val="28"/>
          <w:szCs w:val="28"/>
        </w:rPr>
        <w:t>)</w:t>
      </w:r>
      <w:r>
        <w:rPr>
          <w:rFonts w:hint="eastAsia" w:ascii="仿宋" w:hAnsi="仿宋" w:eastAsia="仿宋" w:cs="仿宋"/>
          <w:color w:val="auto"/>
          <w:kern w:val="0"/>
          <w:sz w:val="28"/>
          <w:szCs w:val="28"/>
        </w:rPr>
        <w:t>：</w:t>
      </w:r>
    </w:p>
    <w:p>
      <w:pPr>
        <w:autoSpaceDE w:val="0"/>
        <w:adjustRightInd w:val="0"/>
        <w:snapToGrid w:val="0"/>
        <w:ind w:firstLine="218" w:firstLineChars="78"/>
        <w:rPr>
          <w:rFonts w:ascii="仿宋" w:hAnsi="仿宋" w:eastAsia="仿宋" w:cs="仿宋"/>
          <w:color w:val="auto"/>
          <w:kern w:val="0"/>
          <w:sz w:val="28"/>
          <w:szCs w:val="28"/>
        </w:rPr>
      </w:pPr>
      <w:r>
        <w:rPr>
          <w:rFonts w:hint="eastAsia" w:ascii="仿宋" w:hAnsi="仿宋" w:eastAsia="仿宋" w:cs="仿宋"/>
          <w:color w:val="auto"/>
          <w:kern w:val="0"/>
          <w:sz w:val="28"/>
          <w:szCs w:val="28"/>
        </w:rPr>
        <w:t>日期：</w:t>
      </w:r>
      <w:r>
        <w:rPr>
          <w:rFonts w:ascii="仿宋" w:hAnsi="仿宋" w:eastAsia="仿宋" w:cs="仿宋"/>
          <w:color w:val="auto"/>
          <w:kern w:val="0"/>
          <w:sz w:val="28"/>
          <w:szCs w:val="28"/>
        </w:rPr>
        <w:t>2021</w:t>
      </w:r>
      <w:r>
        <w:rPr>
          <w:rFonts w:hint="eastAsia" w:ascii="仿宋" w:hAnsi="仿宋" w:eastAsia="仿宋" w:cs="仿宋"/>
          <w:color w:val="auto"/>
          <w:kern w:val="0"/>
          <w:sz w:val="28"/>
          <w:szCs w:val="28"/>
        </w:rPr>
        <w:t>年</w:t>
      </w:r>
      <w:r>
        <w:rPr>
          <w:rFonts w:ascii="仿宋" w:hAnsi="仿宋" w:eastAsia="仿宋" w:cs="仿宋"/>
          <w:color w:val="auto"/>
          <w:kern w:val="0"/>
          <w:sz w:val="28"/>
          <w:szCs w:val="28"/>
        </w:rPr>
        <w:t xml:space="preserve"> </w:t>
      </w:r>
      <w:r>
        <w:rPr>
          <w:rFonts w:hint="eastAsia" w:ascii="仿宋" w:hAnsi="仿宋" w:eastAsia="仿宋" w:cs="仿宋"/>
          <w:color w:val="auto"/>
          <w:kern w:val="0"/>
          <w:sz w:val="28"/>
          <w:szCs w:val="28"/>
        </w:rPr>
        <w:t>月</w:t>
      </w:r>
      <w:r>
        <w:rPr>
          <w:rFonts w:ascii="仿宋" w:hAnsi="仿宋" w:eastAsia="仿宋" w:cs="仿宋"/>
          <w:color w:val="auto"/>
          <w:kern w:val="0"/>
          <w:sz w:val="28"/>
          <w:szCs w:val="28"/>
        </w:rPr>
        <w:t xml:space="preserve">  </w:t>
      </w:r>
      <w:r>
        <w:rPr>
          <w:rFonts w:hint="eastAsia" w:ascii="仿宋" w:hAnsi="仿宋" w:eastAsia="仿宋" w:cs="仿宋"/>
          <w:color w:val="auto"/>
          <w:kern w:val="0"/>
          <w:sz w:val="28"/>
          <w:szCs w:val="28"/>
        </w:rPr>
        <w:t>日</w:t>
      </w:r>
    </w:p>
    <w:p>
      <w:pPr>
        <w:autoSpaceDE w:val="0"/>
        <w:adjustRightInd w:val="0"/>
        <w:snapToGrid w:val="0"/>
        <w:ind w:firstLine="218" w:firstLineChars="78"/>
        <w:rPr>
          <w:rFonts w:ascii="仿宋" w:hAnsi="仿宋" w:eastAsia="仿宋" w:cs="仿宋"/>
          <w:color w:val="auto"/>
          <w:kern w:val="0"/>
          <w:sz w:val="28"/>
          <w:szCs w:val="28"/>
        </w:rPr>
      </w:pPr>
    </w:p>
    <w:p>
      <w:pPr>
        <w:autoSpaceDE w:val="0"/>
        <w:adjustRightInd w:val="0"/>
        <w:snapToGrid w:val="0"/>
        <w:ind w:firstLine="218" w:firstLineChars="78"/>
        <w:rPr>
          <w:rFonts w:ascii="仿宋" w:hAnsi="仿宋" w:eastAsia="仿宋" w:cs="仿宋"/>
          <w:color w:val="auto"/>
          <w:kern w:val="0"/>
          <w:sz w:val="28"/>
          <w:szCs w:val="28"/>
        </w:rPr>
      </w:pPr>
    </w:p>
    <w:p>
      <w:pPr>
        <w:jc w:val="left"/>
        <w:rPr>
          <w:rStyle w:val="97"/>
          <w:rFonts w:ascii="仿宋" w:hAnsi="仿宋" w:eastAsia="仿宋" w:cs="仿宋"/>
          <w:color w:val="auto"/>
          <w:sz w:val="30"/>
          <w:szCs w:val="30"/>
        </w:rPr>
      </w:pPr>
    </w:p>
    <w:p>
      <w:pPr>
        <w:jc w:val="left"/>
        <w:rPr>
          <w:rStyle w:val="97"/>
          <w:rFonts w:ascii="仿宋" w:hAnsi="仿宋" w:eastAsia="仿宋" w:cs="仿宋"/>
          <w:color w:val="auto"/>
          <w:sz w:val="30"/>
          <w:szCs w:val="30"/>
        </w:rPr>
      </w:pPr>
      <w:r>
        <w:rPr>
          <w:rStyle w:val="97"/>
          <w:rFonts w:hint="eastAsia" w:ascii="仿宋" w:hAnsi="仿宋" w:eastAsia="仿宋" w:cs="仿宋"/>
          <w:color w:val="auto"/>
          <w:sz w:val="30"/>
          <w:szCs w:val="30"/>
        </w:rPr>
        <w:t>附件二</w:t>
      </w:r>
      <w:r>
        <w:rPr>
          <w:rStyle w:val="97"/>
          <w:rFonts w:ascii="仿宋" w:hAnsi="仿宋" w:eastAsia="仿宋" w:cs="仿宋"/>
          <w:color w:val="auto"/>
          <w:sz w:val="30"/>
          <w:szCs w:val="30"/>
        </w:rPr>
        <w:t xml:space="preserve"> </w:t>
      </w:r>
    </w:p>
    <w:p>
      <w:pPr>
        <w:jc w:val="center"/>
        <w:rPr>
          <w:rFonts w:ascii="仿宋" w:hAnsi="仿宋" w:eastAsia="仿宋" w:cs="仿宋"/>
          <w:b/>
          <w:color w:val="auto"/>
          <w:sz w:val="36"/>
          <w:szCs w:val="36"/>
        </w:rPr>
      </w:pPr>
      <w:r>
        <w:rPr>
          <w:rFonts w:ascii="仿宋" w:hAnsi="仿宋" w:eastAsia="仿宋" w:cs="仿宋"/>
          <w:b/>
          <w:color w:val="auto"/>
          <w:sz w:val="36"/>
          <w:szCs w:val="36"/>
        </w:rPr>
        <w:t>1</w:t>
      </w:r>
      <w:r>
        <w:rPr>
          <w:rFonts w:hint="eastAsia" w:ascii="仿宋" w:hAnsi="仿宋" w:eastAsia="仿宋" w:cs="仿宋"/>
          <w:b/>
          <w:color w:val="auto"/>
          <w:sz w:val="36"/>
          <w:szCs w:val="36"/>
        </w:rPr>
        <w:t>、开标一览表（投标总报价）</w:t>
      </w:r>
    </w:p>
    <w:p>
      <w:pPr>
        <w:ind w:firstLine="241" w:firstLineChars="100"/>
        <w:rPr>
          <w:rFonts w:ascii="仿宋" w:hAnsi="仿宋" w:eastAsia="仿宋" w:cs="仿宋"/>
          <w:b/>
          <w:color w:val="auto"/>
          <w:sz w:val="24"/>
          <w:szCs w:val="24"/>
        </w:rPr>
      </w:pPr>
      <w:r>
        <w:rPr>
          <w:rFonts w:ascii="仿宋" w:hAnsi="仿宋" w:eastAsia="仿宋" w:cs="仿宋"/>
          <w:b/>
          <w:color w:val="auto"/>
          <w:sz w:val="24"/>
          <w:szCs w:val="24"/>
        </w:rPr>
        <w:t xml:space="preserve"> </w:t>
      </w:r>
    </w:p>
    <w:p>
      <w:pPr>
        <w:ind w:firstLine="241" w:firstLineChars="100"/>
        <w:rPr>
          <w:rFonts w:ascii="仿宋" w:hAnsi="仿宋" w:eastAsia="仿宋" w:cs="仿宋"/>
          <w:b/>
          <w:color w:val="auto"/>
          <w:sz w:val="24"/>
          <w:szCs w:val="24"/>
        </w:rPr>
      </w:pPr>
      <w:r>
        <w:rPr>
          <w:rFonts w:hint="eastAsia" w:ascii="仿宋" w:hAnsi="仿宋" w:eastAsia="仿宋" w:cs="仿宋"/>
          <w:b/>
          <w:color w:val="auto"/>
          <w:sz w:val="24"/>
          <w:szCs w:val="24"/>
        </w:rPr>
        <w:t>招标编号：</w:t>
      </w:r>
      <w:r>
        <w:rPr>
          <w:rFonts w:hint="eastAsia" w:ascii="仿宋" w:hAnsi="仿宋" w:eastAsia="仿宋" w:cs="仿宋"/>
          <w:b/>
          <w:color w:val="auto"/>
          <w:sz w:val="24"/>
          <w:szCs w:val="24"/>
          <w:lang w:eastAsia="zh-CN"/>
        </w:rPr>
        <w:t>JDOBCG2021B-45</w:t>
      </w:r>
      <w:r>
        <w:rPr>
          <w:rFonts w:hint="eastAsia" w:ascii="仿宋" w:hAnsi="仿宋" w:eastAsia="仿宋" w:cs="仿宋"/>
          <w:b/>
          <w:color w:val="auto"/>
          <w:sz w:val="24"/>
          <w:szCs w:val="24"/>
        </w:rPr>
        <w:t xml:space="preserve">  </w:t>
      </w:r>
    </w:p>
    <w:tbl>
      <w:tblPr>
        <w:tblStyle w:val="47"/>
        <w:tblW w:w="10409" w:type="dxa"/>
        <w:jc w:val="center"/>
        <w:tblLayout w:type="fixed"/>
        <w:tblCellMar>
          <w:top w:w="0" w:type="dxa"/>
          <w:left w:w="108" w:type="dxa"/>
          <w:bottom w:w="0" w:type="dxa"/>
          <w:right w:w="108" w:type="dxa"/>
        </w:tblCellMar>
      </w:tblPr>
      <w:tblGrid>
        <w:gridCol w:w="671"/>
        <w:gridCol w:w="4499"/>
        <w:gridCol w:w="863"/>
        <w:gridCol w:w="671"/>
        <w:gridCol w:w="2765"/>
        <w:gridCol w:w="940"/>
      </w:tblGrid>
      <w:tr>
        <w:tblPrEx>
          <w:tblCellMar>
            <w:top w:w="0" w:type="dxa"/>
            <w:left w:w="108" w:type="dxa"/>
            <w:bottom w:w="0" w:type="dxa"/>
            <w:right w:w="108" w:type="dxa"/>
          </w:tblCellMar>
        </w:tblPrEx>
        <w:trPr>
          <w:trHeight w:val="746" w:hRule="atLeast"/>
          <w:jc w:val="center"/>
        </w:trPr>
        <w:tc>
          <w:tcPr>
            <w:tcW w:w="67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rPr>
            </w:pPr>
            <w:r>
              <w:rPr>
                <w:rFonts w:hint="eastAsia" w:ascii="仿宋" w:hAnsi="仿宋" w:eastAsia="仿宋" w:cs="仿宋"/>
                <w:b/>
                <w:bCs/>
                <w:color w:val="auto"/>
              </w:rPr>
              <w:t>序号</w:t>
            </w:r>
          </w:p>
        </w:tc>
        <w:tc>
          <w:tcPr>
            <w:tcW w:w="449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rPr>
            </w:pPr>
            <w:r>
              <w:rPr>
                <w:rFonts w:hint="eastAsia" w:ascii="仿宋" w:hAnsi="仿宋" w:eastAsia="仿宋" w:cs="仿宋"/>
                <w:b/>
                <w:bCs/>
                <w:color w:val="auto"/>
              </w:rPr>
              <w:t>项目名称</w:t>
            </w:r>
          </w:p>
        </w:tc>
        <w:tc>
          <w:tcPr>
            <w:tcW w:w="86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rPr>
            </w:pPr>
            <w:r>
              <w:rPr>
                <w:rFonts w:hint="eastAsia" w:ascii="仿宋" w:hAnsi="仿宋" w:eastAsia="仿宋" w:cs="仿宋"/>
                <w:b/>
                <w:bCs/>
                <w:color w:val="auto"/>
              </w:rPr>
              <w:t>单位</w:t>
            </w:r>
          </w:p>
        </w:tc>
        <w:tc>
          <w:tcPr>
            <w:tcW w:w="67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rPr>
            </w:pPr>
            <w:r>
              <w:rPr>
                <w:rFonts w:hint="eastAsia" w:ascii="仿宋" w:hAnsi="仿宋" w:eastAsia="仿宋" w:cs="仿宋"/>
                <w:b/>
                <w:bCs/>
                <w:color w:val="auto"/>
              </w:rPr>
              <w:t>数量</w:t>
            </w:r>
          </w:p>
        </w:tc>
        <w:tc>
          <w:tcPr>
            <w:tcW w:w="27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bCs/>
                <w:color w:val="auto"/>
                <w:lang w:eastAsia="zh-CN"/>
              </w:rPr>
            </w:pPr>
            <w:r>
              <w:rPr>
                <w:rFonts w:hint="eastAsia" w:ascii="仿宋" w:hAnsi="仿宋" w:eastAsia="仿宋" w:cs="仿宋"/>
                <w:b/>
                <w:bCs/>
                <w:color w:val="auto"/>
              </w:rPr>
              <w:t>投标总价</w:t>
            </w:r>
          </w:p>
          <w:p>
            <w:pPr>
              <w:jc w:val="center"/>
              <w:rPr>
                <w:rFonts w:ascii="仿宋" w:hAnsi="仿宋" w:eastAsia="仿宋" w:cs="仿宋"/>
                <w:b/>
                <w:bCs/>
                <w:color w:val="auto"/>
              </w:rPr>
            </w:pPr>
            <w:r>
              <w:rPr>
                <w:rFonts w:hint="eastAsia" w:ascii="仿宋" w:hAnsi="仿宋" w:eastAsia="仿宋" w:cs="仿宋"/>
                <w:b/>
                <w:bCs/>
                <w:color w:val="auto"/>
              </w:rPr>
              <w:t>（元）</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rPr>
            </w:pPr>
            <w:r>
              <w:rPr>
                <w:rFonts w:hint="eastAsia" w:ascii="仿宋" w:hAnsi="仿宋" w:eastAsia="仿宋" w:cs="仿宋"/>
                <w:b/>
                <w:bCs/>
                <w:color w:val="auto"/>
              </w:rPr>
              <w:t>备注</w:t>
            </w:r>
          </w:p>
        </w:tc>
      </w:tr>
      <w:tr>
        <w:tblPrEx>
          <w:tblCellMar>
            <w:top w:w="0" w:type="dxa"/>
            <w:left w:w="108" w:type="dxa"/>
            <w:bottom w:w="0" w:type="dxa"/>
            <w:right w:w="108" w:type="dxa"/>
          </w:tblCellMar>
        </w:tblPrEx>
        <w:trPr>
          <w:cantSplit/>
          <w:trHeight w:val="827" w:hRule="atLeast"/>
          <w:jc w:val="center"/>
        </w:trPr>
        <w:tc>
          <w:tcPr>
            <w:tcW w:w="67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rPr>
            </w:pPr>
            <w:r>
              <w:rPr>
                <w:rFonts w:ascii="仿宋" w:hAnsi="仿宋" w:eastAsia="仿宋" w:cs="仿宋"/>
                <w:color w:val="auto"/>
              </w:rPr>
              <w:t>1</w:t>
            </w:r>
          </w:p>
        </w:tc>
        <w:tc>
          <w:tcPr>
            <w:tcW w:w="449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rPr>
            </w:pPr>
          </w:p>
        </w:tc>
        <w:tc>
          <w:tcPr>
            <w:tcW w:w="86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rPr>
            </w:pPr>
          </w:p>
        </w:tc>
        <w:tc>
          <w:tcPr>
            <w:tcW w:w="67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rPr>
            </w:pPr>
          </w:p>
        </w:tc>
        <w:tc>
          <w:tcPr>
            <w:tcW w:w="276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rPr>
            </w:pP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rPr>
            </w:pPr>
          </w:p>
        </w:tc>
      </w:tr>
      <w:tr>
        <w:tblPrEx>
          <w:tblCellMar>
            <w:top w:w="0" w:type="dxa"/>
            <w:left w:w="108" w:type="dxa"/>
            <w:bottom w:w="0" w:type="dxa"/>
            <w:right w:w="108" w:type="dxa"/>
          </w:tblCellMar>
        </w:tblPrEx>
        <w:trPr>
          <w:trHeight w:val="574" w:hRule="exact"/>
          <w:jc w:val="center"/>
        </w:trPr>
        <w:tc>
          <w:tcPr>
            <w:tcW w:w="671"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rPr>
            </w:pPr>
            <w:r>
              <w:rPr>
                <w:rFonts w:hint="eastAsia" w:ascii="仿宋" w:hAnsi="仿宋" w:eastAsia="仿宋" w:cs="仿宋"/>
                <w:color w:val="auto"/>
              </w:rPr>
              <w:t>合计</w:t>
            </w:r>
          </w:p>
        </w:tc>
        <w:tc>
          <w:tcPr>
            <w:tcW w:w="8798"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Cs w:val="22"/>
              </w:rPr>
            </w:pPr>
            <w:r>
              <w:rPr>
                <w:rFonts w:hint="eastAsia" w:ascii="仿宋" w:hAnsi="仿宋" w:eastAsia="仿宋" w:cs="仿宋"/>
                <w:color w:val="auto"/>
              </w:rPr>
              <w:t>投标总价：人民币（</w:t>
            </w:r>
            <w:r>
              <w:rPr>
                <w:rFonts w:hint="eastAsia" w:ascii="仿宋" w:hAnsi="仿宋" w:eastAsia="仿宋" w:cs="仿宋"/>
                <w:color w:val="auto"/>
                <w:szCs w:val="22"/>
              </w:rPr>
              <w:t>大写）：</w:t>
            </w:r>
            <w:r>
              <w:rPr>
                <w:rFonts w:ascii="仿宋" w:hAnsi="仿宋" w:eastAsia="仿宋" w:cs="仿宋"/>
                <w:color w:val="auto"/>
                <w:szCs w:val="22"/>
                <w:u w:val="single"/>
              </w:rPr>
              <w:t xml:space="preserve">                   </w:t>
            </w:r>
            <w:r>
              <w:rPr>
                <w:rFonts w:hint="eastAsia" w:ascii="仿宋" w:hAnsi="仿宋" w:eastAsia="仿宋" w:cs="仿宋"/>
                <w:color w:val="auto"/>
                <w:szCs w:val="22"/>
              </w:rPr>
              <w:t>元整</w:t>
            </w:r>
          </w:p>
        </w:tc>
        <w:tc>
          <w:tcPr>
            <w:tcW w:w="94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Cs w:val="22"/>
              </w:rPr>
            </w:pPr>
          </w:p>
        </w:tc>
      </w:tr>
    </w:tbl>
    <w:p>
      <w:pPr>
        <w:spacing w:line="360" w:lineRule="auto"/>
        <w:ind w:firstLine="280" w:firstLineChars="100"/>
        <w:rPr>
          <w:rFonts w:ascii="仿宋" w:hAnsi="仿宋" w:eastAsia="仿宋" w:cs="仿宋"/>
          <w:color w:val="auto"/>
          <w:sz w:val="28"/>
          <w:szCs w:val="28"/>
        </w:rPr>
      </w:pPr>
    </w:p>
    <w:p>
      <w:pPr>
        <w:spacing w:line="360" w:lineRule="auto"/>
        <w:ind w:firstLine="280" w:firstLineChars="100"/>
        <w:rPr>
          <w:rFonts w:ascii="仿宋" w:hAnsi="仿宋" w:eastAsia="仿宋" w:cs="仿宋"/>
          <w:color w:val="auto"/>
          <w:sz w:val="28"/>
          <w:szCs w:val="28"/>
        </w:rPr>
      </w:pPr>
      <w:r>
        <w:rPr>
          <w:rFonts w:hint="eastAsia" w:ascii="仿宋" w:hAnsi="仿宋" w:eastAsia="仿宋" w:cs="仿宋"/>
          <w:color w:val="auto"/>
          <w:sz w:val="28"/>
          <w:szCs w:val="28"/>
        </w:rPr>
        <w:t>投标供应商全称（单位公章）：</w:t>
      </w:r>
    </w:p>
    <w:p>
      <w:pPr>
        <w:pStyle w:val="57"/>
        <w:ind w:firstLine="420"/>
        <w:rPr>
          <w:color w:val="auto"/>
        </w:rPr>
      </w:pPr>
    </w:p>
    <w:p>
      <w:pPr>
        <w:spacing w:line="360" w:lineRule="auto"/>
        <w:ind w:firstLine="280" w:firstLineChars="100"/>
        <w:rPr>
          <w:rFonts w:ascii="仿宋" w:hAnsi="仿宋" w:eastAsia="仿宋" w:cs="仿宋"/>
          <w:color w:val="auto"/>
          <w:sz w:val="28"/>
          <w:szCs w:val="28"/>
        </w:rPr>
      </w:pPr>
      <w:r>
        <w:rPr>
          <w:rFonts w:hint="eastAsia" w:ascii="仿宋" w:hAnsi="仿宋" w:eastAsia="仿宋" w:cs="仿宋"/>
          <w:color w:val="auto"/>
          <w:sz w:val="28"/>
          <w:szCs w:val="28"/>
        </w:rPr>
        <w:t>全权代表签字：</w:t>
      </w:r>
      <w:r>
        <w:rPr>
          <w:rFonts w:ascii="仿宋" w:hAnsi="仿宋" w:eastAsia="仿宋" w:cs="仿宋"/>
          <w:color w:val="auto"/>
          <w:sz w:val="28"/>
          <w:szCs w:val="28"/>
          <w:u w:val="single"/>
        </w:rPr>
        <w:t xml:space="preserve">             </w:t>
      </w:r>
      <w:r>
        <w:rPr>
          <w:rFonts w:hint="eastAsia" w:ascii="仿宋" w:hAnsi="仿宋" w:eastAsia="仿宋" w:cs="仿宋"/>
          <w:color w:val="auto"/>
          <w:sz w:val="28"/>
          <w:szCs w:val="28"/>
        </w:rPr>
        <w:t>职务：</w:t>
      </w:r>
      <w:r>
        <w:rPr>
          <w:rFonts w:ascii="仿宋" w:hAnsi="仿宋" w:eastAsia="仿宋" w:cs="仿宋"/>
          <w:color w:val="auto"/>
          <w:sz w:val="28"/>
          <w:szCs w:val="28"/>
          <w:u w:val="single"/>
        </w:rPr>
        <w:t xml:space="preserve">        </w:t>
      </w:r>
      <w:r>
        <w:rPr>
          <w:rFonts w:hint="eastAsia" w:ascii="仿宋" w:hAnsi="仿宋" w:eastAsia="仿宋" w:cs="仿宋"/>
          <w:color w:val="auto"/>
          <w:sz w:val="28"/>
          <w:szCs w:val="28"/>
        </w:rPr>
        <w:t>日期：</w:t>
      </w:r>
      <w:r>
        <w:rPr>
          <w:rFonts w:ascii="仿宋" w:hAnsi="仿宋" w:eastAsia="仿宋" w:cs="仿宋"/>
          <w:color w:val="auto"/>
          <w:sz w:val="28"/>
          <w:szCs w:val="28"/>
          <w:u w:val="single"/>
        </w:rPr>
        <w:t xml:space="preserve">             </w:t>
      </w:r>
    </w:p>
    <w:p>
      <w:pPr>
        <w:tabs>
          <w:tab w:val="left" w:pos="9180"/>
        </w:tabs>
        <w:snapToGrid w:val="0"/>
        <w:spacing w:line="360" w:lineRule="auto"/>
        <w:ind w:left="944" w:hanging="944" w:hangingChars="392"/>
        <w:rPr>
          <w:rFonts w:ascii="仿宋" w:hAnsi="仿宋" w:eastAsia="仿宋" w:cs="仿宋"/>
          <w:b/>
          <w:color w:val="auto"/>
          <w:sz w:val="24"/>
          <w:szCs w:val="24"/>
        </w:rPr>
      </w:pPr>
    </w:p>
    <w:p>
      <w:pPr>
        <w:tabs>
          <w:tab w:val="left" w:pos="9180"/>
        </w:tabs>
        <w:snapToGrid w:val="0"/>
        <w:spacing w:line="360" w:lineRule="auto"/>
        <w:ind w:left="944" w:hanging="944" w:hangingChars="392"/>
        <w:rPr>
          <w:rFonts w:ascii="仿宋" w:hAnsi="仿宋" w:eastAsia="仿宋" w:cs="仿宋"/>
          <w:color w:val="auto"/>
          <w:sz w:val="24"/>
          <w:szCs w:val="24"/>
        </w:rPr>
      </w:pPr>
      <w:r>
        <w:rPr>
          <w:rFonts w:hint="eastAsia" w:ascii="仿宋" w:hAnsi="仿宋" w:eastAsia="仿宋" w:cs="仿宋"/>
          <w:b/>
          <w:color w:val="auto"/>
          <w:sz w:val="24"/>
          <w:szCs w:val="24"/>
        </w:rPr>
        <w:t>备注：</w:t>
      </w:r>
      <w:r>
        <w:rPr>
          <w:rFonts w:ascii="仿宋" w:hAnsi="仿宋" w:eastAsia="仿宋" w:cs="仿宋"/>
          <w:color w:val="auto"/>
          <w:sz w:val="24"/>
          <w:szCs w:val="24"/>
        </w:rPr>
        <w:t>1.</w:t>
      </w:r>
      <w:r>
        <w:rPr>
          <w:rFonts w:hint="eastAsia" w:ascii="仿宋" w:hAnsi="仿宋" w:eastAsia="仿宋" w:cs="仿宋"/>
          <w:color w:val="auto"/>
          <w:sz w:val="24"/>
          <w:szCs w:val="24"/>
        </w:rPr>
        <w:t>以上总金额包括系统设计、开发、数据同步、整理、人工费、验收、培训、辅助工作及售后服务等完成本项目的所有费用。</w:t>
      </w:r>
    </w:p>
    <w:p>
      <w:pPr>
        <w:tabs>
          <w:tab w:val="left" w:pos="9180"/>
        </w:tabs>
        <w:snapToGrid w:val="0"/>
        <w:spacing w:line="360" w:lineRule="auto"/>
        <w:ind w:firstLine="708" w:firstLineChars="294"/>
        <w:rPr>
          <w:rFonts w:ascii="仿宋" w:hAnsi="仿宋" w:eastAsia="仿宋" w:cs="仿宋"/>
          <w:color w:val="auto"/>
          <w:sz w:val="24"/>
          <w:szCs w:val="24"/>
        </w:rPr>
      </w:pPr>
      <w:r>
        <w:rPr>
          <w:rFonts w:ascii="仿宋" w:hAnsi="仿宋" w:eastAsia="仿宋" w:cs="仿宋"/>
          <w:b/>
          <w:color w:val="auto"/>
          <w:sz w:val="24"/>
          <w:szCs w:val="24"/>
        </w:rPr>
        <w:t>2.</w:t>
      </w:r>
      <w:r>
        <w:rPr>
          <w:rFonts w:hint="eastAsia" w:ascii="仿宋" w:hAnsi="仿宋" w:eastAsia="仿宋" w:cs="仿宋"/>
          <w:color w:val="auto"/>
          <w:sz w:val="24"/>
          <w:szCs w:val="24"/>
        </w:rPr>
        <w:t>此表在不改变表式的情况下，可自行制作，必须加盖公章。</w:t>
      </w:r>
      <w:r>
        <w:rPr>
          <w:rFonts w:ascii="仿宋" w:hAnsi="仿宋" w:eastAsia="仿宋" w:cs="仿宋"/>
          <w:color w:val="auto"/>
          <w:sz w:val="24"/>
          <w:szCs w:val="24"/>
        </w:rPr>
        <w:t xml:space="preserve">          </w:t>
      </w:r>
    </w:p>
    <w:p>
      <w:pPr>
        <w:snapToGrid w:val="0"/>
        <w:spacing w:line="360" w:lineRule="auto"/>
        <w:ind w:firstLine="696" w:firstLineChars="290"/>
        <w:rPr>
          <w:rFonts w:ascii="仿宋" w:hAnsi="仿宋" w:eastAsia="仿宋" w:cs="仿宋"/>
          <w:color w:val="auto"/>
          <w:sz w:val="24"/>
          <w:szCs w:val="24"/>
        </w:rPr>
      </w:pPr>
      <w:r>
        <w:rPr>
          <w:rFonts w:ascii="仿宋" w:hAnsi="仿宋" w:eastAsia="仿宋" w:cs="仿宋"/>
          <w:color w:val="auto"/>
          <w:sz w:val="24"/>
          <w:szCs w:val="24"/>
        </w:rPr>
        <w:t>3.</w:t>
      </w:r>
      <w:r>
        <w:rPr>
          <w:rFonts w:hint="eastAsia" w:ascii="仿宋" w:hAnsi="仿宋" w:eastAsia="仿宋" w:cs="仿宋"/>
          <w:color w:val="auto"/>
          <w:sz w:val="24"/>
          <w:szCs w:val="24"/>
        </w:rPr>
        <w:t>投标方不能拆分标项内容投标。</w:t>
      </w:r>
    </w:p>
    <w:p>
      <w:pPr>
        <w:snapToGrid w:val="0"/>
        <w:spacing w:line="360" w:lineRule="auto"/>
        <w:ind w:firstLine="699" w:firstLineChars="290"/>
        <w:rPr>
          <w:rFonts w:ascii="仿宋" w:hAnsi="仿宋" w:eastAsia="仿宋" w:cs="仿宋"/>
          <w:b/>
          <w:color w:val="auto"/>
          <w:sz w:val="24"/>
          <w:szCs w:val="24"/>
        </w:rPr>
      </w:pPr>
      <w:r>
        <w:rPr>
          <w:rFonts w:ascii="仿宋" w:hAnsi="仿宋" w:eastAsia="仿宋" w:cs="仿宋"/>
          <w:b/>
          <w:color w:val="auto"/>
          <w:sz w:val="24"/>
          <w:szCs w:val="24"/>
        </w:rPr>
        <w:t>4.</w:t>
      </w:r>
      <w:r>
        <w:rPr>
          <w:rFonts w:hint="eastAsia" w:ascii="仿宋" w:hAnsi="仿宋" w:eastAsia="仿宋" w:cs="仿宋"/>
          <w:b/>
          <w:color w:val="auto"/>
          <w:sz w:val="24"/>
          <w:szCs w:val="24"/>
        </w:rPr>
        <w:t>投标产品的具体技术参数内容可另附在该表后。</w:t>
      </w:r>
    </w:p>
    <w:p>
      <w:pPr>
        <w:snapToGrid w:val="0"/>
        <w:spacing w:line="360" w:lineRule="auto"/>
        <w:ind w:firstLine="711" w:firstLineChars="295"/>
        <w:jc w:val="left"/>
        <w:rPr>
          <w:rFonts w:ascii="仿宋" w:hAnsi="仿宋" w:eastAsia="仿宋" w:cs="仿宋"/>
          <w:b/>
          <w:color w:val="auto"/>
          <w:sz w:val="24"/>
          <w:szCs w:val="24"/>
        </w:rPr>
      </w:pPr>
      <w:r>
        <w:rPr>
          <w:rFonts w:ascii="仿宋" w:hAnsi="仿宋" w:eastAsia="仿宋" w:cs="仿宋"/>
          <w:b/>
          <w:color w:val="auto"/>
          <w:sz w:val="24"/>
          <w:szCs w:val="24"/>
        </w:rPr>
        <w:t>5.</w:t>
      </w:r>
      <w:r>
        <w:rPr>
          <w:rFonts w:hint="eastAsia" w:ascii="仿宋" w:hAnsi="仿宋" w:eastAsia="仿宋" w:cs="仿宋"/>
          <w:b/>
          <w:color w:val="auto"/>
          <w:sz w:val="24"/>
          <w:szCs w:val="24"/>
          <w:u w:val="single"/>
        </w:rPr>
        <w:t>特别提醒：本函的商务报价内容不能出现在技术、商务资信投标文件正副本中</w:t>
      </w:r>
      <w:r>
        <w:rPr>
          <w:rFonts w:hint="eastAsia" w:ascii="仿宋" w:hAnsi="仿宋" w:eastAsia="仿宋" w:cs="仿宋"/>
          <w:b/>
          <w:color w:val="auto"/>
          <w:sz w:val="24"/>
          <w:szCs w:val="24"/>
        </w:rPr>
        <w:t>。</w:t>
      </w:r>
    </w:p>
    <w:p>
      <w:pPr>
        <w:widowControl/>
        <w:snapToGrid w:val="0"/>
        <w:jc w:val="center"/>
        <w:rPr>
          <w:rFonts w:ascii="仿宋" w:hAnsi="仿宋" w:eastAsia="仿宋" w:cs="仿宋"/>
          <w:b/>
          <w:color w:val="auto"/>
          <w:kern w:val="0"/>
          <w:sz w:val="36"/>
          <w:szCs w:val="36"/>
        </w:rPr>
      </w:pPr>
    </w:p>
    <w:p>
      <w:pPr>
        <w:widowControl/>
        <w:snapToGrid w:val="0"/>
        <w:rPr>
          <w:rFonts w:ascii="仿宋" w:hAnsi="仿宋" w:eastAsia="仿宋" w:cs="仿宋"/>
          <w:b/>
          <w:color w:val="auto"/>
          <w:kern w:val="0"/>
          <w:sz w:val="36"/>
          <w:szCs w:val="36"/>
        </w:rPr>
      </w:pPr>
    </w:p>
    <w:p>
      <w:pPr>
        <w:pStyle w:val="6"/>
        <w:numPr>
          <w:ilvl w:val="1"/>
          <w:numId w:val="0"/>
        </w:numPr>
        <w:rPr>
          <w:color w:val="auto"/>
        </w:rPr>
      </w:pPr>
    </w:p>
    <w:p>
      <w:pPr>
        <w:rPr>
          <w:color w:val="auto"/>
        </w:rPr>
      </w:pPr>
    </w:p>
    <w:p>
      <w:pPr>
        <w:pStyle w:val="6"/>
        <w:numPr>
          <w:ilvl w:val="1"/>
          <w:numId w:val="0"/>
        </w:numPr>
        <w:rPr>
          <w:color w:val="auto"/>
        </w:rPr>
      </w:pPr>
    </w:p>
    <w:p>
      <w:pPr>
        <w:rPr>
          <w:color w:val="auto"/>
        </w:rPr>
      </w:pPr>
    </w:p>
    <w:p>
      <w:pPr>
        <w:rPr>
          <w:color w:val="auto"/>
        </w:rPr>
      </w:pPr>
    </w:p>
    <w:p>
      <w:pPr>
        <w:widowControl/>
        <w:rPr>
          <w:rFonts w:ascii="仿宋" w:hAnsi="仿宋" w:eastAsia="仿宋" w:cs="仿宋"/>
          <w:b/>
          <w:bCs/>
          <w:color w:val="auto"/>
          <w:kern w:val="0"/>
          <w:sz w:val="18"/>
          <w:szCs w:val="18"/>
        </w:rPr>
      </w:pPr>
    </w:p>
    <w:p>
      <w:pPr>
        <w:snapToGrid w:val="0"/>
        <w:spacing w:line="360" w:lineRule="auto"/>
        <w:ind w:firstLine="1066" w:firstLineChars="295"/>
        <w:jc w:val="center"/>
        <w:rPr>
          <w:rFonts w:ascii="仿宋" w:hAnsi="仿宋" w:eastAsia="仿宋" w:cs="仿宋"/>
          <w:color w:val="auto"/>
          <w:kern w:val="0"/>
          <w:sz w:val="24"/>
        </w:rPr>
      </w:pPr>
      <w:r>
        <w:rPr>
          <w:rFonts w:ascii="仿宋" w:hAnsi="仿宋" w:eastAsia="仿宋" w:cs="仿宋"/>
          <w:b/>
          <w:bCs/>
          <w:color w:val="auto"/>
          <w:kern w:val="0"/>
          <w:sz w:val="36"/>
          <w:szCs w:val="36"/>
        </w:rPr>
        <w:t>2</w:t>
      </w:r>
      <w:r>
        <w:rPr>
          <w:rFonts w:hint="eastAsia" w:ascii="仿宋" w:hAnsi="仿宋" w:eastAsia="仿宋" w:cs="仿宋"/>
          <w:b/>
          <w:bCs/>
          <w:color w:val="auto"/>
          <w:kern w:val="0"/>
          <w:sz w:val="36"/>
          <w:szCs w:val="36"/>
        </w:rPr>
        <w:t>、投标报价明细表</w:t>
      </w:r>
    </w:p>
    <w:p>
      <w:pPr>
        <w:autoSpaceDE w:val="0"/>
        <w:adjustRightInd w:val="0"/>
        <w:spacing w:line="400" w:lineRule="exact"/>
        <w:ind w:firstLine="160" w:firstLineChars="50"/>
        <w:jc w:val="left"/>
        <w:rPr>
          <w:rFonts w:ascii="仿宋" w:hAnsi="仿宋" w:eastAsia="仿宋" w:cs="仿宋"/>
          <w:color w:val="auto"/>
          <w:spacing w:val="20"/>
          <w:sz w:val="28"/>
          <w:szCs w:val="28"/>
        </w:rPr>
      </w:pPr>
    </w:p>
    <w:p>
      <w:pPr>
        <w:autoSpaceDE w:val="0"/>
        <w:adjustRightInd w:val="0"/>
        <w:spacing w:line="400" w:lineRule="exact"/>
        <w:ind w:firstLine="160" w:firstLineChars="50"/>
        <w:jc w:val="left"/>
        <w:rPr>
          <w:rFonts w:ascii="仿宋" w:hAnsi="仿宋" w:eastAsia="仿宋" w:cs="仿宋"/>
          <w:color w:val="auto"/>
          <w:spacing w:val="20"/>
          <w:sz w:val="28"/>
          <w:szCs w:val="28"/>
        </w:rPr>
      </w:pPr>
      <w:r>
        <w:rPr>
          <w:rFonts w:hint="eastAsia" w:ascii="仿宋" w:hAnsi="仿宋" w:eastAsia="仿宋" w:cs="仿宋"/>
          <w:color w:val="auto"/>
          <w:spacing w:val="20"/>
          <w:sz w:val="28"/>
          <w:szCs w:val="28"/>
        </w:rPr>
        <w:t>招标编号：</w:t>
      </w:r>
      <w:r>
        <w:rPr>
          <w:rFonts w:hint="eastAsia" w:ascii="仿宋" w:hAnsi="仿宋" w:eastAsia="仿宋" w:cs="仿宋"/>
          <w:color w:val="auto"/>
          <w:spacing w:val="20"/>
          <w:sz w:val="28"/>
          <w:szCs w:val="28"/>
          <w:lang w:eastAsia="zh-CN"/>
        </w:rPr>
        <w:t>JDOBCG2021B-45</w:t>
      </w:r>
      <w:r>
        <w:rPr>
          <w:rFonts w:hint="eastAsia" w:ascii="仿宋" w:hAnsi="仿宋" w:eastAsia="仿宋" w:cs="仿宋"/>
          <w:color w:val="auto"/>
          <w:spacing w:val="20"/>
          <w:sz w:val="28"/>
          <w:szCs w:val="28"/>
        </w:rPr>
        <w:t xml:space="preserve">  </w:t>
      </w:r>
    </w:p>
    <w:tbl>
      <w:tblPr>
        <w:tblStyle w:val="47"/>
        <w:tblpPr w:leftFromText="180" w:rightFromText="180" w:vertAnchor="text" w:horzAnchor="page" w:tblpX="1432" w:tblpY="481"/>
        <w:tblOverlap w:val="never"/>
        <w:tblW w:w="94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584"/>
        <w:gridCol w:w="2102"/>
        <w:gridCol w:w="850"/>
        <w:gridCol w:w="1368"/>
        <w:gridCol w:w="1260"/>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84" w:type="dxa"/>
            <w:vAlign w:val="center"/>
          </w:tcPr>
          <w:p>
            <w:pPr>
              <w:jc w:val="center"/>
              <w:rPr>
                <w:rFonts w:ascii="仿宋" w:hAnsi="仿宋" w:eastAsia="仿宋" w:cs="仿宋"/>
                <w:color w:val="auto"/>
                <w:sz w:val="24"/>
              </w:rPr>
            </w:pPr>
            <w:r>
              <w:rPr>
                <w:rFonts w:hint="eastAsia" w:ascii="仿宋" w:hAnsi="仿宋" w:eastAsia="仿宋" w:cs="仿宋"/>
                <w:color w:val="auto"/>
                <w:sz w:val="24"/>
              </w:rPr>
              <w:t>序号</w:t>
            </w:r>
          </w:p>
        </w:tc>
        <w:tc>
          <w:tcPr>
            <w:tcW w:w="1584" w:type="dxa"/>
            <w:vAlign w:val="center"/>
          </w:tcPr>
          <w:p>
            <w:pPr>
              <w:jc w:val="center"/>
              <w:rPr>
                <w:rFonts w:ascii="仿宋" w:hAnsi="仿宋" w:eastAsia="仿宋" w:cs="仿宋"/>
                <w:color w:val="auto"/>
                <w:sz w:val="24"/>
              </w:rPr>
            </w:pPr>
            <w:r>
              <w:rPr>
                <w:rFonts w:hint="eastAsia" w:ascii="仿宋" w:hAnsi="仿宋" w:eastAsia="仿宋" w:cs="仿宋"/>
                <w:color w:val="auto"/>
                <w:sz w:val="24"/>
              </w:rPr>
              <w:t>采购内容</w:t>
            </w:r>
          </w:p>
        </w:tc>
        <w:tc>
          <w:tcPr>
            <w:tcW w:w="2102" w:type="dxa"/>
            <w:vAlign w:val="center"/>
          </w:tcPr>
          <w:p>
            <w:pPr>
              <w:jc w:val="center"/>
              <w:rPr>
                <w:rFonts w:ascii="仿宋" w:hAnsi="仿宋" w:eastAsia="仿宋" w:cs="仿宋"/>
                <w:color w:val="auto"/>
                <w:sz w:val="24"/>
              </w:rPr>
            </w:pPr>
            <w:r>
              <w:rPr>
                <w:rFonts w:hint="eastAsia" w:ascii="仿宋" w:hAnsi="仿宋" w:eastAsia="仿宋" w:cs="仿宋"/>
                <w:color w:val="auto"/>
                <w:sz w:val="24"/>
              </w:rPr>
              <w:t>项目技术规范</w:t>
            </w:r>
          </w:p>
          <w:p>
            <w:pPr>
              <w:jc w:val="center"/>
              <w:rPr>
                <w:rFonts w:ascii="仿宋" w:hAnsi="仿宋" w:eastAsia="仿宋" w:cs="仿宋"/>
                <w:color w:val="auto"/>
                <w:sz w:val="24"/>
              </w:rPr>
            </w:pPr>
            <w:r>
              <w:rPr>
                <w:rFonts w:hint="eastAsia" w:ascii="仿宋" w:hAnsi="仿宋" w:eastAsia="仿宋" w:cs="仿宋"/>
                <w:color w:val="auto"/>
                <w:sz w:val="24"/>
              </w:rPr>
              <w:t>和服务要求</w:t>
            </w:r>
          </w:p>
        </w:tc>
        <w:tc>
          <w:tcPr>
            <w:tcW w:w="850" w:type="dxa"/>
            <w:vAlign w:val="center"/>
          </w:tcPr>
          <w:p>
            <w:pPr>
              <w:jc w:val="center"/>
              <w:rPr>
                <w:rFonts w:ascii="仿宋" w:hAnsi="仿宋" w:eastAsia="仿宋" w:cs="仿宋"/>
                <w:color w:val="auto"/>
                <w:sz w:val="24"/>
              </w:rPr>
            </w:pPr>
            <w:r>
              <w:rPr>
                <w:rFonts w:hint="eastAsia" w:ascii="仿宋" w:hAnsi="仿宋" w:eastAsia="仿宋" w:cs="仿宋"/>
                <w:color w:val="auto"/>
                <w:sz w:val="24"/>
              </w:rPr>
              <w:t>计量单位</w:t>
            </w:r>
          </w:p>
        </w:tc>
        <w:tc>
          <w:tcPr>
            <w:tcW w:w="1368" w:type="dxa"/>
            <w:vAlign w:val="center"/>
          </w:tcPr>
          <w:p>
            <w:pPr>
              <w:jc w:val="center"/>
              <w:rPr>
                <w:rFonts w:ascii="仿宋" w:hAnsi="仿宋" w:eastAsia="仿宋" w:cs="仿宋"/>
                <w:color w:val="auto"/>
                <w:sz w:val="24"/>
              </w:rPr>
            </w:pPr>
            <w:r>
              <w:rPr>
                <w:rFonts w:hint="eastAsia" w:ascii="仿宋" w:hAnsi="仿宋" w:eastAsia="仿宋" w:cs="仿宋"/>
                <w:color w:val="auto"/>
                <w:sz w:val="24"/>
              </w:rPr>
              <w:t>工程量</w:t>
            </w:r>
          </w:p>
        </w:tc>
        <w:tc>
          <w:tcPr>
            <w:tcW w:w="1260" w:type="dxa"/>
            <w:vAlign w:val="center"/>
          </w:tcPr>
          <w:p>
            <w:pPr>
              <w:jc w:val="center"/>
              <w:rPr>
                <w:rFonts w:ascii="仿宋" w:hAnsi="仿宋" w:eastAsia="仿宋" w:cs="仿宋"/>
                <w:color w:val="auto"/>
                <w:sz w:val="24"/>
              </w:rPr>
            </w:pPr>
            <w:r>
              <w:rPr>
                <w:rFonts w:hint="eastAsia" w:ascii="仿宋" w:hAnsi="仿宋" w:eastAsia="仿宋" w:cs="仿宋"/>
                <w:color w:val="auto"/>
                <w:sz w:val="24"/>
              </w:rPr>
              <w:t>投标单价（元）</w:t>
            </w:r>
          </w:p>
        </w:tc>
        <w:tc>
          <w:tcPr>
            <w:tcW w:w="1620" w:type="dxa"/>
            <w:vAlign w:val="center"/>
          </w:tcPr>
          <w:p>
            <w:pPr>
              <w:jc w:val="center"/>
              <w:rPr>
                <w:rFonts w:ascii="仿宋" w:hAnsi="仿宋" w:eastAsia="仿宋" w:cs="仿宋"/>
                <w:color w:val="auto"/>
                <w:sz w:val="24"/>
              </w:rPr>
            </w:pPr>
            <w:r>
              <w:rPr>
                <w:rFonts w:hint="eastAsia" w:ascii="仿宋" w:hAnsi="仿宋" w:eastAsia="仿宋" w:cs="仿宋"/>
                <w:color w:val="auto"/>
                <w:sz w:val="24"/>
              </w:rPr>
              <w:t>投标总价</w:t>
            </w:r>
          </w:p>
          <w:p>
            <w:pPr>
              <w:jc w:val="center"/>
              <w:rPr>
                <w:rFonts w:ascii="仿宋" w:hAnsi="仿宋" w:eastAsia="仿宋" w:cs="仿宋"/>
                <w:color w:val="auto"/>
                <w:sz w:val="24"/>
              </w:rPr>
            </w:pPr>
            <w:r>
              <w:rPr>
                <w:rFonts w:hint="eastAsia" w:ascii="仿宋" w:hAnsi="仿宋" w:eastAsia="仿宋" w:cs="仿宋"/>
                <w:color w:val="auto"/>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684" w:type="dxa"/>
            <w:vAlign w:val="center"/>
          </w:tcPr>
          <w:p>
            <w:pPr>
              <w:jc w:val="center"/>
              <w:rPr>
                <w:rFonts w:ascii="仿宋" w:hAnsi="仿宋" w:eastAsia="仿宋" w:cs="仿宋"/>
                <w:color w:val="auto"/>
                <w:sz w:val="24"/>
              </w:rPr>
            </w:pPr>
            <w:r>
              <w:rPr>
                <w:rFonts w:ascii="仿宋" w:hAnsi="仿宋" w:eastAsia="仿宋" w:cs="仿宋"/>
                <w:color w:val="auto"/>
                <w:sz w:val="24"/>
              </w:rPr>
              <w:t>1</w:t>
            </w:r>
          </w:p>
        </w:tc>
        <w:tc>
          <w:tcPr>
            <w:tcW w:w="1584" w:type="dxa"/>
            <w:vAlign w:val="center"/>
          </w:tcPr>
          <w:p>
            <w:pPr>
              <w:jc w:val="center"/>
              <w:rPr>
                <w:rFonts w:ascii="仿宋" w:hAnsi="仿宋" w:eastAsia="仿宋" w:cs="仿宋"/>
                <w:color w:val="auto"/>
                <w:sz w:val="24"/>
              </w:rPr>
            </w:pPr>
          </w:p>
        </w:tc>
        <w:tc>
          <w:tcPr>
            <w:tcW w:w="2102" w:type="dxa"/>
            <w:vAlign w:val="center"/>
          </w:tcPr>
          <w:p>
            <w:pPr>
              <w:jc w:val="center"/>
              <w:rPr>
                <w:rFonts w:ascii="仿宋" w:hAnsi="仿宋" w:eastAsia="仿宋" w:cs="仿宋"/>
                <w:color w:val="auto"/>
                <w:sz w:val="24"/>
              </w:rPr>
            </w:pPr>
          </w:p>
        </w:tc>
        <w:tc>
          <w:tcPr>
            <w:tcW w:w="850" w:type="dxa"/>
            <w:vAlign w:val="center"/>
          </w:tcPr>
          <w:p>
            <w:pPr>
              <w:jc w:val="center"/>
              <w:rPr>
                <w:rFonts w:ascii="仿宋" w:hAnsi="仿宋" w:eastAsia="仿宋" w:cs="仿宋"/>
                <w:color w:val="auto"/>
                <w:sz w:val="24"/>
              </w:rPr>
            </w:pPr>
          </w:p>
        </w:tc>
        <w:tc>
          <w:tcPr>
            <w:tcW w:w="1368" w:type="dxa"/>
            <w:vAlign w:val="center"/>
          </w:tcPr>
          <w:p>
            <w:pPr>
              <w:jc w:val="center"/>
              <w:rPr>
                <w:rFonts w:ascii="仿宋" w:hAnsi="仿宋" w:eastAsia="仿宋" w:cs="仿宋"/>
                <w:color w:val="auto"/>
                <w:sz w:val="24"/>
              </w:rPr>
            </w:pPr>
          </w:p>
        </w:tc>
        <w:tc>
          <w:tcPr>
            <w:tcW w:w="1260" w:type="dxa"/>
            <w:vAlign w:val="center"/>
          </w:tcPr>
          <w:p>
            <w:pPr>
              <w:jc w:val="center"/>
              <w:rPr>
                <w:rFonts w:ascii="仿宋" w:hAnsi="仿宋" w:eastAsia="仿宋" w:cs="仿宋"/>
                <w:color w:val="auto"/>
                <w:sz w:val="24"/>
              </w:rPr>
            </w:pPr>
          </w:p>
        </w:tc>
        <w:tc>
          <w:tcPr>
            <w:tcW w:w="1620" w:type="dxa"/>
            <w:vAlign w:val="center"/>
          </w:tcPr>
          <w:p>
            <w:pPr>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84" w:type="dxa"/>
            <w:vAlign w:val="center"/>
          </w:tcPr>
          <w:p>
            <w:pPr>
              <w:jc w:val="center"/>
              <w:rPr>
                <w:rFonts w:ascii="仿宋" w:hAnsi="仿宋" w:eastAsia="仿宋" w:cs="仿宋"/>
                <w:color w:val="auto"/>
                <w:sz w:val="24"/>
              </w:rPr>
            </w:pPr>
            <w:r>
              <w:rPr>
                <w:rFonts w:ascii="仿宋" w:hAnsi="仿宋" w:eastAsia="仿宋" w:cs="仿宋"/>
                <w:color w:val="auto"/>
                <w:sz w:val="24"/>
              </w:rPr>
              <w:t>2</w:t>
            </w:r>
          </w:p>
        </w:tc>
        <w:tc>
          <w:tcPr>
            <w:tcW w:w="1584" w:type="dxa"/>
            <w:vAlign w:val="center"/>
          </w:tcPr>
          <w:p>
            <w:pPr>
              <w:jc w:val="center"/>
              <w:rPr>
                <w:rFonts w:ascii="仿宋" w:hAnsi="仿宋" w:eastAsia="仿宋" w:cs="仿宋"/>
                <w:color w:val="auto"/>
                <w:sz w:val="24"/>
              </w:rPr>
            </w:pPr>
          </w:p>
        </w:tc>
        <w:tc>
          <w:tcPr>
            <w:tcW w:w="2102" w:type="dxa"/>
            <w:vAlign w:val="center"/>
          </w:tcPr>
          <w:p>
            <w:pPr>
              <w:jc w:val="center"/>
              <w:rPr>
                <w:rFonts w:ascii="仿宋" w:hAnsi="仿宋" w:eastAsia="仿宋" w:cs="仿宋"/>
                <w:color w:val="auto"/>
                <w:sz w:val="24"/>
              </w:rPr>
            </w:pPr>
          </w:p>
        </w:tc>
        <w:tc>
          <w:tcPr>
            <w:tcW w:w="850" w:type="dxa"/>
            <w:vAlign w:val="center"/>
          </w:tcPr>
          <w:p>
            <w:pPr>
              <w:jc w:val="center"/>
              <w:rPr>
                <w:rFonts w:ascii="仿宋" w:hAnsi="仿宋" w:eastAsia="仿宋" w:cs="仿宋"/>
                <w:color w:val="auto"/>
                <w:sz w:val="24"/>
              </w:rPr>
            </w:pPr>
          </w:p>
        </w:tc>
        <w:tc>
          <w:tcPr>
            <w:tcW w:w="1368" w:type="dxa"/>
            <w:vAlign w:val="center"/>
          </w:tcPr>
          <w:p>
            <w:pPr>
              <w:jc w:val="center"/>
              <w:rPr>
                <w:rFonts w:ascii="仿宋" w:hAnsi="仿宋" w:eastAsia="仿宋" w:cs="仿宋"/>
                <w:color w:val="auto"/>
                <w:sz w:val="24"/>
              </w:rPr>
            </w:pPr>
          </w:p>
        </w:tc>
        <w:tc>
          <w:tcPr>
            <w:tcW w:w="1260" w:type="dxa"/>
            <w:vAlign w:val="center"/>
          </w:tcPr>
          <w:p>
            <w:pPr>
              <w:jc w:val="center"/>
              <w:rPr>
                <w:rFonts w:ascii="仿宋" w:hAnsi="仿宋" w:eastAsia="仿宋" w:cs="仿宋"/>
                <w:color w:val="auto"/>
                <w:sz w:val="24"/>
              </w:rPr>
            </w:pPr>
          </w:p>
        </w:tc>
        <w:tc>
          <w:tcPr>
            <w:tcW w:w="1620" w:type="dxa"/>
            <w:vAlign w:val="center"/>
          </w:tcPr>
          <w:p>
            <w:pPr>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84" w:type="dxa"/>
            <w:vAlign w:val="center"/>
          </w:tcPr>
          <w:p>
            <w:pPr>
              <w:jc w:val="center"/>
              <w:rPr>
                <w:rFonts w:ascii="仿宋" w:hAnsi="仿宋" w:eastAsia="仿宋" w:cs="仿宋"/>
                <w:color w:val="auto"/>
                <w:sz w:val="24"/>
              </w:rPr>
            </w:pPr>
            <w:r>
              <w:rPr>
                <w:rFonts w:ascii="仿宋" w:hAnsi="仿宋" w:eastAsia="仿宋" w:cs="仿宋"/>
                <w:color w:val="auto"/>
                <w:sz w:val="24"/>
              </w:rPr>
              <w:t>3</w:t>
            </w:r>
          </w:p>
        </w:tc>
        <w:tc>
          <w:tcPr>
            <w:tcW w:w="1584" w:type="dxa"/>
            <w:vAlign w:val="center"/>
          </w:tcPr>
          <w:p>
            <w:pPr>
              <w:jc w:val="center"/>
              <w:rPr>
                <w:rFonts w:ascii="仿宋" w:hAnsi="仿宋" w:eastAsia="仿宋" w:cs="仿宋"/>
                <w:color w:val="auto"/>
                <w:sz w:val="24"/>
              </w:rPr>
            </w:pPr>
          </w:p>
        </w:tc>
        <w:tc>
          <w:tcPr>
            <w:tcW w:w="2102" w:type="dxa"/>
            <w:vAlign w:val="center"/>
          </w:tcPr>
          <w:p>
            <w:pPr>
              <w:jc w:val="center"/>
              <w:rPr>
                <w:rFonts w:ascii="仿宋" w:hAnsi="仿宋" w:eastAsia="仿宋" w:cs="仿宋"/>
                <w:color w:val="auto"/>
                <w:sz w:val="24"/>
              </w:rPr>
            </w:pPr>
          </w:p>
        </w:tc>
        <w:tc>
          <w:tcPr>
            <w:tcW w:w="850" w:type="dxa"/>
            <w:vAlign w:val="center"/>
          </w:tcPr>
          <w:p>
            <w:pPr>
              <w:jc w:val="center"/>
              <w:rPr>
                <w:rFonts w:ascii="仿宋" w:hAnsi="仿宋" w:eastAsia="仿宋" w:cs="仿宋"/>
                <w:color w:val="auto"/>
                <w:sz w:val="24"/>
              </w:rPr>
            </w:pPr>
          </w:p>
        </w:tc>
        <w:tc>
          <w:tcPr>
            <w:tcW w:w="1368" w:type="dxa"/>
            <w:vAlign w:val="center"/>
          </w:tcPr>
          <w:p>
            <w:pPr>
              <w:jc w:val="center"/>
              <w:rPr>
                <w:rFonts w:ascii="仿宋" w:hAnsi="仿宋" w:eastAsia="仿宋" w:cs="仿宋"/>
                <w:color w:val="auto"/>
                <w:sz w:val="24"/>
              </w:rPr>
            </w:pPr>
          </w:p>
        </w:tc>
        <w:tc>
          <w:tcPr>
            <w:tcW w:w="1260" w:type="dxa"/>
            <w:vAlign w:val="center"/>
          </w:tcPr>
          <w:p>
            <w:pPr>
              <w:jc w:val="center"/>
              <w:rPr>
                <w:rFonts w:ascii="仿宋" w:hAnsi="仿宋" w:eastAsia="仿宋" w:cs="仿宋"/>
                <w:color w:val="auto"/>
                <w:sz w:val="24"/>
              </w:rPr>
            </w:pPr>
          </w:p>
        </w:tc>
        <w:tc>
          <w:tcPr>
            <w:tcW w:w="1620" w:type="dxa"/>
            <w:vAlign w:val="center"/>
          </w:tcPr>
          <w:p>
            <w:pPr>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84" w:type="dxa"/>
            <w:vAlign w:val="center"/>
          </w:tcPr>
          <w:p>
            <w:pPr>
              <w:jc w:val="center"/>
              <w:rPr>
                <w:rFonts w:ascii="仿宋" w:hAnsi="仿宋" w:eastAsia="仿宋" w:cs="仿宋"/>
                <w:color w:val="auto"/>
                <w:sz w:val="18"/>
                <w:szCs w:val="18"/>
              </w:rPr>
            </w:pPr>
            <w:r>
              <w:rPr>
                <w:rFonts w:hint="eastAsia" w:ascii="仿宋" w:hAnsi="仿宋" w:eastAsia="仿宋" w:cs="仿宋"/>
                <w:color w:val="auto"/>
                <w:sz w:val="18"/>
                <w:szCs w:val="18"/>
              </w:rPr>
              <w:t>…</w:t>
            </w:r>
          </w:p>
        </w:tc>
        <w:tc>
          <w:tcPr>
            <w:tcW w:w="1584" w:type="dxa"/>
            <w:vAlign w:val="center"/>
          </w:tcPr>
          <w:p>
            <w:pPr>
              <w:jc w:val="center"/>
              <w:rPr>
                <w:rFonts w:ascii="仿宋" w:hAnsi="仿宋" w:eastAsia="仿宋" w:cs="仿宋"/>
                <w:color w:val="auto"/>
                <w:sz w:val="24"/>
              </w:rPr>
            </w:pPr>
          </w:p>
        </w:tc>
        <w:tc>
          <w:tcPr>
            <w:tcW w:w="2102" w:type="dxa"/>
            <w:vAlign w:val="center"/>
          </w:tcPr>
          <w:p>
            <w:pPr>
              <w:jc w:val="center"/>
              <w:rPr>
                <w:rFonts w:ascii="仿宋" w:hAnsi="仿宋" w:eastAsia="仿宋" w:cs="仿宋"/>
                <w:color w:val="auto"/>
                <w:sz w:val="24"/>
              </w:rPr>
            </w:pPr>
          </w:p>
        </w:tc>
        <w:tc>
          <w:tcPr>
            <w:tcW w:w="850" w:type="dxa"/>
            <w:vAlign w:val="center"/>
          </w:tcPr>
          <w:p>
            <w:pPr>
              <w:jc w:val="center"/>
              <w:rPr>
                <w:rFonts w:ascii="仿宋" w:hAnsi="仿宋" w:eastAsia="仿宋" w:cs="仿宋"/>
                <w:color w:val="auto"/>
                <w:sz w:val="24"/>
              </w:rPr>
            </w:pPr>
          </w:p>
        </w:tc>
        <w:tc>
          <w:tcPr>
            <w:tcW w:w="1368" w:type="dxa"/>
            <w:vAlign w:val="center"/>
          </w:tcPr>
          <w:p>
            <w:pPr>
              <w:jc w:val="center"/>
              <w:rPr>
                <w:rFonts w:ascii="仿宋" w:hAnsi="仿宋" w:eastAsia="仿宋" w:cs="仿宋"/>
                <w:color w:val="auto"/>
                <w:sz w:val="24"/>
              </w:rPr>
            </w:pPr>
          </w:p>
        </w:tc>
        <w:tc>
          <w:tcPr>
            <w:tcW w:w="1260" w:type="dxa"/>
            <w:vAlign w:val="center"/>
          </w:tcPr>
          <w:p>
            <w:pPr>
              <w:jc w:val="center"/>
              <w:rPr>
                <w:rFonts w:ascii="仿宋" w:hAnsi="仿宋" w:eastAsia="仿宋" w:cs="仿宋"/>
                <w:color w:val="auto"/>
                <w:sz w:val="24"/>
              </w:rPr>
            </w:pPr>
          </w:p>
        </w:tc>
        <w:tc>
          <w:tcPr>
            <w:tcW w:w="1620" w:type="dxa"/>
            <w:vAlign w:val="center"/>
          </w:tcPr>
          <w:p>
            <w:pPr>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7848" w:type="dxa"/>
            <w:gridSpan w:val="6"/>
            <w:vAlign w:val="center"/>
          </w:tcPr>
          <w:p>
            <w:pPr>
              <w:rPr>
                <w:rFonts w:ascii="仿宋" w:hAnsi="仿宋" w:eastAsia="仿宋" w:cs="仿宋"/>
                <w:color w:val="auto"/>
                <w:sz w:val="24"/>
                <w:u w:val="single"/>
              </w:rPr>
            </w:pPr>
            <w:r>
              <w:rPr>
                <w:rFonts w:hint="eastAsia" w:ascii="仿宋" w:hAnsi="仿宋" w:eastAsia="仿宋" w:cs="仿宋"/>
                <w:color w:val="auto"/>
                <w:sz w:val="24"/>
              </w:rPr>
              <w:t>投标总报价（大写）：人民币</w:t>
            </w:r>
            <w:r>
              <w:rPr>
                <w:rFonts w:ascii="仿宋" w:hAnsi="仿宋" w:eastAsia="仿宋" w:cs="仿宋"/>
                <w:color w:val="auto"/>
                <w:sz w:val="24"/>
                <w:u w:val="single"/>
              </w:rPr>
              <w:t xml:space="preserve">                           </w:t>
            </w:r>
            <w:r>
              <w:rPr>
                <w:rFonts w:hint="eastAsia" w:ascii="仿宋" w:hAnsi="仿宋" w:eastAsia="仿宋" w:cs="仿宋"/>
                <w:color w:val="auto"/>
                <w:sz w:val="24"/>
              </w:rPr>
              <w:t>元整</w:t>
            </w:r>
          </w:p>
        </w:tc>
        <w:tc>
          <w:tcPr>
            <w:tcW w:w="1620" w:type="dxa"/>
            <w:vAlign w:val="center"/>
          </w:tcPr>
          <w:p>
            <w:pPr>
              <w:rPr>
                <w:rFonts w:ascii="仿宋" w:hAnsi="仿宋" w:eastAsia="仿宋" w:cs="仿宋"/>
                <w:color w:val="auto"/>
                <w:sz w:val="24"/>
                <w:u w:val="single"/>
              </w:rPr>
            </w:pPr>
            <w:r>
              <w:rPr>
                <w:rFonts w:hint="eastAsia" w:ascii="仿宋" w:hAnsi="仿宋" w:eastAsia="仿宋" w:cs="仿宋"/>
                <w:color w:val="auto"/>
                <w:sz w:val="24"/>
              </w:rPr>
              <w:t>￥：</w:t>
            </w:r>
            <w:r>
              <w:rPr>
                <w:rFonts w:ascii="仿宋" w:hAnsi="仿宋" w:eastAsia="仿宋" w:cs="仿宋"/>
                <w:color w:val="auto"/>
                <w:sz w:val="24"/>
                <w:u w:val="single"/>
              </w:rPr>
              <w:t xml:space="preserve">      </w:t>
            </w:r>
            <w:r>
              <w:rPr>
                <w:rFonts w:hint="eastAsia" w:ascii="仿宋" w:hAnsi="仿宋" w:eastAsia="仿宋" w:cs="仿宋"/>
                <w:color w:val="auto"/>
                <w:sz w:val="24"/>
              </w:rPr>
              <w:t>元</w:t>
            </w:r>
          </w:p>
        </w:tc>
      </w:tr>
    </w:tbl>
    <w:p>
      <w:pPr>
        <w:autoSpaceDE w:val="0"/>
        <w:adjustRightInd w:val="0"/>
        <w:spacing w:line="400" w:lineRule="exact"/>
        <w:jc w:val="left"/>
        <w:rPr>
          <w:rFonts w:ascii="仿宋" w:hAnsi="仿宋" w:eastAsia="仿宋" w:cs="仿宋"/>
          <w:color w:val="auto"/>
          <w:spacing w:val="20"/>
          <w:sz w:val="28"/>
          <w:szCs w:val="28"/>
        </w:rPr>
      </w:pPr>
    </w:p>
    <w:p>
      <w:pPr>
        <w:widowControl/>
        <w:spacing w:before="100" w:beforeAutospacing="1" w:after="100" w:afterAutospacing="1"/>
        <w:rPr>
          <w:rFonts w:ascii="仿宋" w:hAnsi="仿宋" w:eastAsia="仿宋" w:cs="仿宋"/>
          <w:color w:val="auto"/>
          <w:kern w:val="0"/>
          <w:sz w:val="24"/>
        </w:rPr>
      </w:pPr>
      <w:r>
        <w:rPr>
          <w:rFonts w:hint="eastAsia" w:ascii="仿宋" w:hAnsi="仿宋" w:eastAsia="仿宋" w:cs="仿宋"/>
          <w:color w:val="auto"/>
          <w:kern w:val="0"/>
          <w:sz w:val="28"/>
          <w:szCs w:val="28"/>
        </w:rPr>
        <w:t>投标供应商全称（单位公章）：</w:t>
      </w:r>
    </w:p>
    <w:p>
      <w:pPr>
        <w:widowControl/>
        <w:spacing w:before="100" w:beforeAutospacing="1" w:after="100" w:afterAutospacing="1"/>
        <w:rPr>
          <w:rFonts w:ascii="仿宋" w:hAnsi="仿宋" w:eastAsia="仿宋" w:cs="仿宋"/>
          <w:color w:val="auto"/>
          <w:kern w:val="0"/>
          <w:sz w:val="24"/>
        </w:rPr>
      </w:pPr>
      <w:r>
        <w:rPr>
          <w:rFonts w:hint="eastAsia" w:ascii="仿宋" w:hAnsi="仿宋" w:eastAsia="仿宋" w:cs="仿宋"/>
          <w:color w:val="auto"/>
          <w:kern w:val="0"/>
          <w:sz w:val="28"/>
          <w:szCs w:val="28"/>
        </w:rPr>
        <w:t>全权代表签字：</w:t>
      </w:r>
      <w:r>
        <w:rPr>
          <w:rFonts w:ascii="仿宋" w:hAnsi="仿宋" w:eastAsia="仿宋" w:cs="仿宋"/>
          <w:color w:val="auto"/>
          <w:kern w:val="0"/>
          <w:sz w:val="28"/>
          <w:szCs w:val="28"/>
        </w:rPr>
        <w:t>            </w:t>
      </w:r>
      <w:r>
        <w:rPr>
          <w:rFonts w:ascii="仿宋" w:hAnsi="仿宋" w:eastAsia="仿宋" w:cs="仿宋"/>
          <w:color w:val="auto"/>
          <w:kern w:val="0"/>
          <w:sz w:val="28"/>
        </w:rPr>
        <w:t> </w:t>
      </w:r>
      <w:r>
        <w:rPr>
          <w:rFonts w:hint="eastAsia" w:ascii="仿宋" w:hAnsi="仿宋" w:eastAsia="仿宋" w:cs="仿宋"/>
          <w:color w:val="auto"/>
          <w:kern w:val="0"/>
          <w:sz w:val="28"/>
          <w:szCs w:val="28"/>
        </w:rPr>
        <w:t>职务：</w:t>
      </w:r>
      <w:r>
        <w:rPr>
          <w:rFonts w:ascii="仿宋" w:hAnsi="仿宋" w:eastAsia="仿宋" w:cs="仿宋"/>
          <w:color w:val="auto"/>
          <w:kern w:val="0"/>
          <w:sz w:val="28"/>
          <w:szCs w:val="28"/>
        </w:rPr>
        <w:t>       </w:t>
      </w:r>
      <w:r>
        <w:rPr>
          <w:rFonts w:ascii="仿宋" w:hAnsi="仿宋" w:eastAsia="仿宋" w:cs="仿宋"/>
          <w:color w:val="auto"/>
          <w:kern w:val="0"/>
          <w:sz w:val="28"/>
        </w:rPr>
        <w:t> </w:t>
      </w:r>
      <w:r>
        <w:rPr>
          <w:rFonts w:hint="eastAsia" w:ascii="仿宋" w:hAnsi="仿宋" w:eastAsia="仿宋" w:cs="仿宋"/>
          <w:color w:val="auto"/>
          <w:kern w:val="0"/>
          <w:sz w:val="28"/>
          <w:szCs w:val="28"/>
        </w:rPr>
        <w:t>日期：</w:t>
      </w:r>
    </w:p>
    <w:p>
      <w:pPr>
        <w:widowControl/>
        <w:spacing w:line="320" w:lineRule="exact"/>
        <w:ind w:left="1065" w:hanging="1065" w:hangingChars="442"/>
        <w:jc w:val="left"/>
        <w:rPr>
          <w:rFonts w:ascii="仿宋" w:hAnsi="仿宋" w:eastAsia="仿宋" w:cs="仿宋"/>
          <w:color w:val="auto"/>
          <w:kern w:val="0"/>
          <w:sz w:val="24"/>
          <w:szCs w:val="22"/>
        </w:rPr>
      </w:pPr>
      <w:r>
        <w:rPr>
          <w:rFonts w:hint="eastAsia" w:ascii="仿宋" w:hAnsi="仿宋" w:eastAsia="仿宋" w:cs="仿宋"/>
          <w:b/>
          <w:bCs/>
          <w:color w:val="auto"/>
          <w:kern w:val="0"/>
          <w:sz w:val="24"/>
        </w:rPr>
        <w:t>备注：</w:t>
      </w:r>
      <w:r>
        <w:rPr>
          <w:rFonts w:ascii="仿宋" w:hAnsi="仿宋" w:eastAsia="仿宋" w:cs="仿宋"/>
          <w:color w:val="auto"/>
          <w:kern w:val="0"/>
          <w:sz w:val="24"/>
          <w:szCs w:val="22"/>
        </w:rPr>
        <w:t>1.</w:t>
      </w:r>
      <w:r>
        <w:rPr>
          <w:rFonts w:hint="eastAsia" w:ascii="仿宋" w:hAnsi="仿宋" w:eastAsia="仿宋" w:cs="仿宋"/>
          <w:color w:val="auto"/>
          <w:kern w:val="0"/>
          <w:sz w:val="24"/>
          <w:szCs w:val="22"/>
        </w:rPr>
        <w:t>以上总金额包括系统设计、开发、数据同步、整理、人工费、验收、培训、辅助工作及售后服务等完成本项目的所有费用。</w:t>
      </w:r>
    </w:p>
    <w:p>
      <w:pPr>
        <w:widowControl/>
        <w:spacing w:line="320" w:lineRule="exact"/>
        <w:ind w:firstLine="706" w:firstLineChars="293"/>
        <w:jc w:val="left"/>
        <w:rPr>
          <w:rFonts w:ascii="仿宋" w:hAnsi="仿宋" w:eastAsia="仿宋" w:cs="仿宋"/>
          <w:color w:val="auto"/>
          <w:kern w:val="0"/>
          <w:sz w:val="24"/>
        </w:rPr>
      </w:pPr>
      <w:r>
        <w:rPr>
          <w:rFonts w:ascii="仿宋" w:hAnsi="仿宋" w:eastAsia="仿宋" w:cs="仿宋"/>
          <w:b/>
          <w:color w:val="auto"/>
          <w:kern w:val="0"/>
          <w:sz w:val="24"/>
          <w:szCs w:val="22"/>
        </w:rPr>
        <w:t>2.</w:t>
      </w:r>
      <w:r>
        <w:rPr>
          <w:rFonts w:hint="eastAsia" w:ascii="仿宋" w:hAnsi="仿宋" w:eastAsia="仿宋" w:cs="仿宋"/>
          <w:color w:val="auto"/>
          <w:kern w:val="0"/>
          <w:sz w:val="24"/>
        </w:rPr>
        <w:t>此表在不改变表式的情况下，可自行制作，必须加盖公章。</w:t>
      </w:r>
      <w:r>
        <w:rPr>
          <w:rFonts w:ascii="仿宋" w:hAnsi="仿宋" w:eastAsia="仿宋" w:cs="仿宋"/>
          <w:color w:val="auto"/>
          <w:kern w:val="0"/>
          <w:sz w:val="24"/>
        </w:rPr>
        <w:t>         </w:t>
      </w:r>
    </w:p>
    <w:p>
      <w:pPr>
        <w:widowControl/>
        <w:spacing w:line="320" w:lineRule="exact"/>
        <w:ind w:firstLine="723" w:firstLineChars="300"/>
        <w:jc w:val="left"/>
        <w:rPr>
          <w:rFonts w:ascii="仿宋" w:hAnsi="仿宋" w:eastAsia="仿宋" w:cs="仿宋"/>
          <w:color w:val="auto"/>
          <w:kern w:val="0"/>
          <w:sz w:val="24"/>
        </w:rPr>
      </w:pPr>
      <w:r>
        <w:rPr>
          <w:rFonts w:ascii="仿宋" w:hAnsi="仿宋" w:eastAsia="仿宋" w:cs="仿宋"/>
          <w:b/>
          <w:color w:val="auto"/>
          <w:kern w:val="0"/>
          <w:sz w:val="24"/>
        </w:rPr>
        <w:t>3. </w:t>
      </w:r>
      <w:r>
        <w:rPr>
          <w:rFonts w:hint="eastAsia" w:ascii="仿宋" w:hAnsi="仿宋" w:eastAsia="仿宋" w:cs="仿宋"/>
          <w:color w:val="auto"/>
          <w:kern w:val="0"/>
          <w:sz w:val="24"/>
        </w:rPr>
        <w:t>投标方不能拆分标项内容投标。</w:t>
      </w:r>
    </w:p>
    <w:p>
      <w:pPr>
        <w:widowControl/>
        <w:spacing w:line="320" w:lineRule="exact"/>
        <w:ind w:firstLine="723" w:firstLineChars="300"/>
        <w:jc w:val="left"/>
        <w:rPr>
          <w:rFonts w:ascii="仿宋" w:hAnsi="仿宋" w:eastAsia="仿宋" w:cs="仿宋"/>
          <w:color w:val="auto"/>
          <w:kern w:val="0"/>
          <w:sz w:val="24"/>
        </w:rPr>
      </w:pPr>
      <w:r>
        <w:rPr>
          <w:rFonts w:ascii="仿宋" w:hAnsi="仿宋" w:eastAsia="仿宋" w:cs="仿宋"/>
          <w:b/>
          <w:bCs/>
          <w:color w:val="auto"/>
          <w:kern w:val="0"/>
          <w:sz w:val="24"/>
        </w:rPr>
        <w:t>4.</w:t>
      </w:r>
      <w:r>
        <w:rPr>
          <w:rFonts w:hint="eastAsia" w:ascii="仿宋" w:hAnsi="仿宋" w:eastAsia="仿宋" w:cs="仿宋"/>
          <w:color w:val="auto"/>
          <w:kern w:val="0"/>
          <w:sz w:val="24"/>
        </w:rPr>
        <w:t>主要技术参数或需求满足情况可另附。</w:t>
      </w:r>
    </w:p>
    <w:p>
      <w:pPr>
        <w:widowControl/>
        <w:spacing w:line="320" w:lineRule="exact"/>
        <w:ind w:firstLine="723" w:firstLineChars="300"/>
        <w:jc w:val="left"/>
        <w:rPr>
          <w:rFonts w:ascii="仿宋" w:hAnsi="仿宋" w:eastAsia="仿宋" w:cs="仿宋"/>
          <w:color w:val="auto"/>
          <w:kern w:val="0"/>
          <w:sz w:val="24"/>
        </w:rPr>
      </w:pPr>
      <w:r>
        <w:rPr>
          <w:rFonts w:ascii="仿宋" w:hAnsi="仿宋" w:eastAsia="仿宋" w:cs="仿宋"/>
          <w:b/>
          <w:bCs/>
          <w:color w:val="auto"/>
          <w:kern w:val="0"/>
          <w:sz w:val="24"/>
        </w:rPr>
        <w:t>5.</w:t>
      </w:r>
      <w:r>
        <w:rPr>
          <w:rFonts w:hint="eastAsia" w:ascii="仿宋" w:hAnsi="仿宋" w:eastAsia="仿宋" w:cs="仿宋"/>
          <w:color w:val="auto"/>
          <w:kern w:val="0"/>
          <w:sz w:val="24"/>
        </w:rPr>
        <w:t>为便于固定资产登记，所有报价必须到细项。</w:t>
      </w:r>
    </w:p>
    <w:p>
      <w:pPr>
        <w:widowControl/>
        <w:spacing w:line="320" w:lineRule="exact"/>
        <w:ind w:firstLine="723" w:firstLineChars="300"/>
        <w:jc w:val="left"/>
        <w:rPr>
          <w:rFonts w:ascii="仿宋" w:hAnsi="仿宋" w:eastAsia="仿宋" w:cs="仿宋"/>
          <w:b/>
          <w:color w:val="auto"/>
          <w:kern w:val="0"/>
          <w:sz w:val="24"/>
          <w:u w:val="single"/>
        </w:rPr>
      </w:pPr>
      <w:r>
        <w:rPr>
          <w:rFonts w:ascii="仿宋" w:hAnsi="仿宋" w:eastAsia="仿宋" w:cs="仿宋"/>
          <w:b/>
          <w:bCs/>
          <w:color w:val="auto"/>
          <w:kern w:val="0"/>
          <w:sz w:val="24"/>
        </w:rPr>
        <w:t>6.</w:t>
      </w:r>
      <w:r>
        <w:rPr>
          <w:rFonts w:hint="eastAsia" w:ascii="仿宋" w:hAnsi="仿宋" w:eastAsia="仿宋" w:cs="仿宋"/>
          <w:b/>
          <w:color w:val="auto"/>
          <w:kern w:val="0"/>
          <w:sz w:val="24"/>
          <w:u w:val="single"/>
        </w:rPr>
        <w:t>特别提醒：本函的商务报价内容不能出现在技术、商务资信文件的正副本中。</w:t>
      </w:r>
    </w:p>
    <w:p>
      <w:pPr>
        <w:widowControl/>
        <w:spacing w:before="100" w:beforeAutospacing="1" w:after="100" w:afterAutospacing="1"/>
        <w:jc w:val="left"/>
        <w:rPr>
          <w:rFonts w:ascii="仿宋" w:hAnsi="仿宋" w:eastAsia="仿宋" w:cs="仿宋"/>
          <w:color w:val="auto"/>
          <w:kern w:val="0"/>
          <w:sz w:val="28"/>
        </w:rPr>
      </w:pPr>
      <w:r>
        <w:rPr>
          <w:rFonts w:ascii="仿宋" w:hAnsi="仿宋" w:eastAsia="仿宋" w:cs="仿宋"/>
          <w:color w:val="auto"/>
          <w:kern w:val="0"/>
          <w:sz w:val="28"/>
        </w:rPr>
        <w:t> </w:t>
      </w:r>
    </w:p>
    <w:p>
      <w:pPr>
        <w:widowControl/>
        <w:snapToGrid w:val="0"/>
        <w:jc w:val="center"/>
        <w:rPr>
          <w:rFonts w:ascii="仿宋" w:hAnsi="仿宋" w:eastAsia="仿宋" w:cs="仿宋"/>
          <w:b/>
          <w:color w:val="auto"/>
          <w:kern w:val="0"/>
          <w:sz w:val="36"/>
          <w:szCs w:val="36"/>
        </w:rPr>
      </w:pPr>
    </w:p>
    <w:p>
      <w:pPr>
        <w:pStyle w:val="57"/>
        <w:ind w:firstLine="723"/>
        <w:rPr>
          <w:rFonts w:ascii="仿宋" w:hAnsi="仿宋" w:eastAsia="仿宋" w:cs="仿宋"/>
          <w:b/>
          <w:color w:val="auto"/>
          <w:sz w:val="36"/>
          <w:szCs w:val="36"/>
        </w:rPr>
      </w:pPr>
    </w:p>
    <w:p>
      <w:pPr>
        <w:pStyle w:val="6"/>
        <w:numPr>
          <w:ilvl w:val="1"/>
          <w:numId w:val="0"/>
        </w:numPr>
        <w:rPr>
          <w:rFonts w:ascii="仿宋" w:hAnsi="仿宋" w:eastAsia="仿宋" w:cs="仿宋"/>
          <w:b/>
          <w:color w:val="auto"/>
          <w:sz w:val="36"/>
          <w:szCs w:val="36"/>
        </w:rPr>
      </w:pPr>
    </w:p>
    <w:p>
      <w:pPr>
        <w:pStyle w:val="3"/>
        <w:ind w:left="0" w:leftChars="0" w:firstLine="0" w:firstLineChars="0"/>
        <w:rPr>
          <w:color w:val="auto"/>
        </w:rPr>
      </w:pPr>
    </w:p>
    <w:p>
      <w:pPr>
        <w:widowControl/>
        <w:snapToGrid w:val="0"/>
        <w:jc w:val="center"/>
        <w:rPr>
          <w:rFonts w:ascii="仿宋" w:hAnsi="仿宋" w:eastAsia="仿宋" w:cs="仿宋"/>
          <w:b/>
          <w:color w:val="auto"/>
          <w:kern w:val="0"/>
          <w:sz w:val="36"/>
          <w:szCs w:val="36"/>
        </w:rPr>
      </w:pPr>
      <w:r>
        <w:rPr>
          <w:rFonts w:hint="eastAsia" w:ascii="仿宋" w:hAnsi="仿宋" w:eastAsia="仿宋" w:cs="仿宋"/>
          <w:b/>
          <w:color w:val="auto"/>
          <w:kern w:val="0"/>
          <w:sz w:val="36"/>
          <w:szCs w:val="36"/>
        </w:rPr>
        <w:t>附件三</w:t>
      </w:r>
      <w:r>
        <w:rPr>
          <w:rFonts w:ascii="仿宋" w:hAnsi="仿宋" w:eastAsia="仿宋" w:cs="仿宋"/>
          <w:b/>
          <w:color w:val="auto"/>
          <w:kern w:val="0"/>
          <w:sz w:val="36"/>
          <w:szCs w:val="36"/>
        </w:rPr>
        <w:t xml:space="preserve">  </w:t>
      </w:r>
      <w:r>
        <w:rPr>
          <w:rFonts w:hint="eastAsia" w:ascii="仿宋" w:hAnsi="仿宋" w:eastAsia="仿宋" w:cs="仿宋"/>
          <w:b/>
          <w:color w:val="auto"/>
          <w:kern w:val="0"/>
          <w:sz w:val="36"/>
          <w:szCs w:val="36"/>
        </w:rPr>
        <w:t>投</w:t>
      </w:r>
      <w:r>
        <w:rPr>
          <w:rFonts w:ascii="仿宋" w:hAnsi="仿宋" w:eastAsia="仿宋" w:cs="仿宋"/>
          <w:b/>
          <w:color w:val="auto"/>
          <w:kern w:val="0"/>
          <w:sz w:val="36"/>
          <w:szCs w:val="36"/>
        </w:rPr>
        <w:t xml:space="preserve"> </w:t>
      </w:r>
      <w:r>
        <w:rPr>
          <w:rFonts w:hint="eastAsia" w:ascii="仿宋" w:hAnsi="仿宋" w:eastAsia="仿宋" w:cs="仿宋"/>
          <w:b/>
          <w:color w:val="auto"/>
          <w:kern w:val="0"/>
          <w:sz w:val="36"/>
          <w:szCs w:val="36"/>
        </w:rPr>
        <w:t>标</w:t>
      </w:r>
      <w:r>
        <w:rPr>
          <w:rFonts w:ascii="仿宋" w:hAnsi="仿宋" w:eastAsia="仿宋" w:cs="仿宋"/>
          <w:b/>
          <w:color w:val="auto"/>
          <w:kern w:val="0"/>
          <w:sz w:val="36"/>
          <w:szCs w:val="36"/>
        </w:rPr>
        <w:t xml:space="preserve"> </w:t>
      </w:r>
      <w:r>
        <w:rPr>
          <w:rFonts w:hint="eastAsia" w:ascii="仿宋" w:hAnsi="仿宋" w:eastAsia="仿宋" w:cs="仿宋"/>
          <w:b/>
          <w:color w:val="auto"/>
          <w:kern w:val="0"/>
          <w:sz w:val="36"/>
          <w:szCs w:val="36"/>
        </w:rPr>
        <w:t>函</w:t>
      </w:r>
    </w:p>
    <w:p>
      <w:pPr>
        <w:widowControl/>
        <w:snapToGrid w:val="0"/>
        <w:jc w:val="center"/>
        <w:rPr>
          <w:rFonts w:ascii="仿宋" w:hAnsi="仿宋" w:eastAsia="仿宋" w:cs="仿宋"/>
          <w:b/>
          <w:color w:val="auto"/>
          <w:kern w:val="0"/>
          <w:sz w:val="36"/>
          <w:szCs w:val="36"/>
        </w:rPr>
      </w:pPr>
    </w:p>
    <w:p>
      <w:pPr>
        <w:widowControl/>
        <w:snapToGrid w:val="0"/>
        <w:spacing w:line="480" w:lineRule="exact"/>
        <w:rPr>
          <w:rFonts w:ascii="仿宋" w:hAnsi="仿宋" w:eastAsia="仿宋" w:cs="仿宋"/>
          <w:color w:val="auto"/>
          <w:kern w:val="0"/>
          <w:sz w:val="24"/>
          <w:szCs w:val="24"/>
        </w:rPr>
      </w:pPr>
      <w:r>
        <w:rPr>
          <w:rFonts w:hint="eastAsia" w:ascii="仿宋" w:hAnsi="仿宋" w:eastAsia="仿宋" w:cs="仿宋"/>
          <w:color w:val="auto"/>
          <w:kern w:val="0"/>
          <w:sz w:val="24"/>
          <w:szCs w:val="24"/>
          <w:u w:val="single"/>
          <w:lang w:eastAsia="zh-CN"/>
        </w:rPr>
        <w:t>欧邦工程管理集团有限公司</w:t>
      </w:r>
      <w:r>
        <w:rPr>
          <w:rFonts w:hint="eastAsia" w:ascii="仿宋" w:hAnsi="仿宋" w:eastAsia="仿宋" w:cs="仿宋"/>
          <w:color w:val="auto"/>
          <w:kern w:val="0"/>
          <w:sz w:val="24"/>
          <w:szCs w:val="24"/>
        </w:rPr>
        <w:t>：</w:t>
      </w:r>
    </w:p>
    <w:p>
      <w:pPr>
        <w:widowControl/>
        <w:snapToGrid w:val="0"/>
        <w:spacing w:line="480" w:lineRule="exact"/>
        <w:rPr>
          <w:rFonts w:ascii="仿宋" w:hAnsi="仿宋" w:eastAsia="仿宋" w:cs="仿宋"/>
          <w:color w:val="auto"/>
          <w:kern w:val="0"/>
          <w:sz w:val="24"/>
          <w:szCs w:val="24"/>
        </w:rPr>
      </w:pPr>
      <w:r>
        <w:rPr>
          <w:rFonts w:ascii="仿宋" w:hAnsi="仿宋" w:eastAsia="仿宋" w:cs="仿宋"/>
          <w:color w:val="auto"/>
          <w:kern w:val="0"/>
          <w:sz w:val="24"/>
          <w:szCs w:val="24"/>
        </w:rPr>
        <w:t>     _________________________(</w:t>
      </w:r>
      <w:r>
        <w:rPr>
          <w:rFonts w:hint="eastAsia" w:ascii="仿宋" w:hAnsi="仿宋" w:eastAsia="仿宋" w:cs="仿宋"/>
          <w:color w:val="auto"/>
          <w:kern w:val="0"/>
          <w:sz w:val="24"/>
          <w:szCs w:val="24"/>
        </w:rPr>
        <w:t>投标供应商全称</w:t>
      </w:r>
      <w:r>
        <w:rPr>
          <w:rFonts w:ascii="仿宋" w:hAnsi="仿宋" w:eastAsia="仿宋" w:cs="仿宋"/>
          <w:color w:val="auto"/>
          <w:kern w:val="0"/>
          <w:sz w:val="24"/>
          <w:szCs w:val="24"/>
        </w:rPr>
        <w:t>)</w:t>
      </w:r>
      <w:r>
        <w:rPr>
          <w:rFonts w:hint="eastAsia" w:ascii="仿宋" w:hAnsi="仿宋" w:eastAsia="仿宋" w:cs="仿宋"/>
          <w:color w:val="auto"/>
          <w:kern w:val="0"/>
          <w:sz w:val="24"/>
          <w:szCs w:val="24"/>
        </w:rPr>
        <w:t>授权</w:t>
      </w:r>
      <w:r>
        <w:rPr>
          <w:rFonts w:ascii="仿宋" w:hAnsi="仿宋" w:eastAsia="仿宋" w:cs="仿宋"/>
          <w:color w:val="auto"/>
          <w:kern w:val="0"/>
          <w:sz w:val="24"/>
          <w:szCs w:val="24"/>
        </w:rPr>
        <w:t>____________________ (</w:t>
      </w:r>
      <w:r>
        <w:rPr>
          <w:rFonts w:hint="eastAsia" w:ascii="仿宋" w:hAnsi="仿宋" w:eastAsia="仿宋" w:cs="仿宋"/>
          <w:color w:val="auto"/>
          <w:kern w:val="0"/>
          <w:sz w:val="24"/>
          <w:szCs w:val="24"/>
        </w:rPr>
        <w:t>全权代表姓名</w:t>
      </w:r>
      <w:r>
        <w:rPr>
          <w:rFonts w:ascii="仿宋" w:hAnsi="仿宋" w:eastAsia="仿宋" w:cs="仿宋"/>
          <w:color w:val="auto"/>
          <w:kern w:val="0"/>
          <w:sz w:val="24"/>
          <w:szCs w:val="24"/>
        </w:rPr>
        <w:t>)____________________(</w:t>
      </w:r>
      <w:r>
        <w:rPr>
          <w:rFonts w:hint="eastAsia" w:ascii="仿宋" w:hAnsi="仿宋" w:eastAsia="仿宋" w:cs="仿宋"/>
          <w:color w:val="auto"/>
          <w:kern w:val="0"/>
          <w:sz w:val="24"/>
          <w:szCs w:val="24"/>
        </w:rPr>
        <w:t>职务、职称</w:t>
      </w:r>
      <w:r>
        <w:rPr>
          <w:rFonts w:ascii="仿宋" w:hAnsi="仿宋" w:eastAsia="仿宋" w:cs="仿宋"/>
          <w:color w:val="auto"/>
          <w:kern w:val="0"/>
          <w:sz w:val="24"/>
          <w:szCs w:val="24"/>
        </w:rPr>
        <w:t>)</w:t>
      </w:r>
      <w:r>
        <w:rPr>
          <w:rFonts w:hint="eastAsia" w:ascii="仿宋" w:hAnsi="仿宋" w:eastAsia="仿宋" w:cs="仿宋"/>
          <w:color w:val="auto"/>
          <w:kern w:val="0"/>
          <w:sz w:val="24"/>
          <w:szCs w:val="24"/>
        </w:rPr>
        <w:t>为全权代表，参加贵方组织的</w:t>
      </w:r>
      <w:r>
        <w:rPr>
          <w:rFonts w:hint="eastAsia" w:ascii="仿宋" w:hAnsi="仿宋" w:eastAsia="仿宋" w:cs="仿宋"/>
          <w:color w:val="auto"/>
          <w:kern w:val="0"/>
          <w:sz w:val="24"/>
          <w:szCs w:val="24"/>
          <w:u w:val="single"/>
          <w:lang w:eastAsia="zh-CN"/>
        </w:rPr>
        <w:t>建德市“安心返”系统及“17防”平台项目</w:t>
      </w:r>
      <w:r>
        <w:rPr>
          <w:rFonts w:hint="eastAsia" w:ascii="仿宋" w:hAnsi="仿宋" w:eastAsia="仿宋" w:cs="仿宋"/>
          <w:color w:val="auto"/>
          <w:kern w:val="0"/>
          <w:sz w:val="24"/>
          <w:szCs w:val="24"/>
        </w:rPr>
        <w:t>公开招标</w:t>
      </w:r>
      <w:r>
        <w:rPr>
          <w:rFonts w:ascii="仿宋" w:hAnsi="仿宋" w:eastAsia="仿宋" w:cs="仿宋"/>
          <w:color w:val="auto"/>
          <w:kern w:val="0"/>
          <w:sz w:val="24"/>
          <w:szCs w:val="24"/>
        </w:rPr>
        <w:t>(</w:t>
      </w:r>
      <w:r>
        <w:rPr>
          <w:rFonts w:hint="eastAsia" w:ascii="仿宋" w:hAnsi="仿宋" w:eastAsia="仿宋" w:cs="仿宋"/>
          <w:color w:val="auto"/>
          <w:kern w:val="0"/>
          <w:sz w:val="24"/>
          <w:szCs w:val="24"/>
        </w:rPr>
        <w:t>招标编号：</w:t>
      </w:r>
      <w:r>
        <w:rPr>
          <w:rFonts w:hint="eastAsia" w:ascii="仿宋" w:hAnsi="仿宋" w:eastAsia="仿宋" w:cs="仿宋"/>
          <w:color w:val="auto"/>
          <w:sz w:val="24"/>
          <w:szCs w:val="24"/>
          <w:lang w:eastAsia="zh-CN"/>
        </w:rPr>
        <w:t>JDOBCG2021B-45</w:t>
      </w:r>
      <w:r>
        <w:rPr>
          <w:rFonts w:hint="eastAsia" w:ascii="仿宋" w:hAnsi="仿宋" w:eastAsia="仿宋" w:cs="仿宋"/>
          <w:color w:val="auto"/>
          <w:sz w:val="24"/>
          <w:szCs w:val="24"/>
          <w:lang w:val="en-US" w:eastAsia="zh-CN"/>
        </w:rPr>
        <w:t xml:space="preserve"> </w:t>
      </w:r>
      <w:r>
        <w:rPr>
          <w:rFonts w:ascii="仿宋" w:hAnsi="仿宋" w:eastAsia="仿宋" w:cs="仿宋"/>
          <w:color w:val="auto"/>
          <w:kern w:val="0"/>
          <w:sz w:val="24"/>
          <w:szCs w:val="24"/>
        </w:rPr>
        <w:t>)</w:t>
      </w:r>
      <w:r>
        <w:rPr>
          <w:rFonts w:hint="eastAsia" w:ascii="仿宋" w:hAnsi="仿宋" w:eastAsia="仿宋" w:cs="仿宋"/>
          <w:color w:val="auto"/>
          <w:kern w:val="0"/>
          <w:sz w:val="24"/>
          <w:szCs w:val="24"/>
        </w:rPr>
        <w:t>的有关活动，并对此项目进行投标。为此：</w:t>
      </w:r>
    </w:p>
    <w:p>
      <w:pPr>
        <w:widowControl/>
        <w:snapToGrid w:val="0"/>
        <w:spacing w:line="480" w:lineRule="exact"/>
        <w:ind w:left="-2" w:firstLine="436"/>
        <w:jc w:val="left"/>
        <w:rPr>
          <w:rFonts w:ascii="仿宋" w:hAnsi="仿宋" w:eastAsia="仿宋" w:cs="仿宋"/>
          <w:color w:val="auto"/>
          <w:kern w:val="0"/>
          <w:sz w:val="24"/>
          <w:szCs w:val="24"/>
        </w:rPr>
      </w:pPr>
      <w:r>
        <w:rPr>
          <w:rFonts w:ascii="仿宋" w:hAnsi="仿宋" w:eastAsia="仿宋" w:cs="仿宋"/>
          <w:color w:val="auto"/>
          <w:kern w:val="0"/>
          <w:sz w:val="24"/>
          <w:szCs w:val="24"/>
        </w:rPr>
        <w:t>1</w:t>
      </w:r>
      <w:r>
        <w:rPr>
          <w:rFonts w:hint="eastAsia" w:ascii="仿宋" w:hAnsi="仿宋" w:eastAsia="仿宋" w:cs="仿宋"/>
          <w:color w:val="auto"/>
          <w:kern w:val="0"/>
          <w:sz w:val="24"/>
          <w:szCs w:val="24"/>
        </w:rPr>
        <w:t>、我方同意在投标供应商须知规定的开标日期起遵守本投标函中的承诺且在投标有效期满之前均具有约束力。</w:t>
      </w:r>
    </w:p>
    <w:p>
      <w:pPr>
        <w:widowControl/>
        <w:snapToGrid w:val="0"/>
        <w:spacing w:line="480" w:lineRule="exact"/>
        <w:ind w:left="-2" w:firstLine="436"/>
        <w:rPr>
          <w:rFonts w:ascii="仿宋" w:hAnsi="仿宋" w:eastAsia="仿宋" w:cs="仿宋"/>
          <w:color w:val="auto"/>
          <w:kern w:val="0"/>
          <w:sz w:val="24"/>
          <w:szCs w:val="24"/>
        </w:rPr>
      </w:pPr>
      <w:r>
        <w:rPr>
          <w:rFonts w:ascii="仿宋" w:hAnsi="仿宋" w:eastAsia="仿宋" w:cs="仿宋"/>
          <w:color w:val="auto"/>
          <w:kern w:val="0"/>
          <w:sz w:val="24"/>
          <w:szCs w:val="24"/>
        </w:rPr>
        <w:t>2</w:t>
      </w:r>
      <w:r>
        <w:rPr>
          <w:rFonts w:hint="eastAsia" w:ascii="仿宋" w:hAnsi="仿宋" w:eastAsia="仿宋" w:cs="仿宋"/>
          <w:color w:val="auto"/>
          <w:kern w:val="0"/>
          <w:sz w:val="24"/>
          <w:szCs w:val="24"/>
        </w:rPr>
        <w:t>、我方承诺已经具备《中华人民共和国政府采购法》中规定的参加政府采购活动的供应商应当具备的条件：</w:t>
      </w:r>
    </w:p>
    <w:p>
      <w:pPr>
        <w:widowControl/>
        <w:snapToGrid w:val="0"/>
        <w:spacing w:line="480" w:lineRule="exact"/>
        <w:ind w:firstLine="487" w:firstLineChars="203"/>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w:t>
      </w:r>
      <w:r>
        <w:rPr>
          <w:rFonts w:ascii="仿宋" w:hAnsi="仿宋" w:eastAsia="仿宋" w:cs="仿宋"/>
          <w:color w:val="auto"/>
          <w:kern w:val="0"/>
          <w:sz w:val="24"/>
          <w:szCs w:val="24"/>
        </w:rPr>
        <w:t>1</w:t>
      </w:r>
      <w:r>
        <w:rPr>
          <w:rFonts w:hint="eastAsia" w:ascii="仿宋" w:hAnsi="仿宋" w:eastAsia="仿宋" w:cs="仿宋"/>
          <w:color w:val="auto"/>
          <w:kern w:val="0"/>
          <w:sz w:val="24"/>
          <w:szCs w:val="24"/>
        </w:rPr>
        <w:t>）具有独立承担民事责任和履行合同的能力；</w:t>
      </w:r>
    </w:p>
    <w:p>
      <w:pPr>
        <w:widowControl/>
        <w:snapToGrid w:val="0"/>
        <w:spacing w:line="480" w:lineRule="exact"/>
        <w:ind w:firstLine="487" w:firstLineChars="203"/>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w:t>
      </w:r>
      <w:r>
        <w:rPr>
          <w:rFonts w:ascii="仿宋" w:hAnsi="仿宋" w:eastAsia="仿宋" w:cs="仿宋"/>
          <w:color w:val="auto"/>
          <w:kern w:val="0"/>
          <w:sz w:val="24"/>
          <w:szCs w:val="24"/>
        </w:rPr>
        <w:t>2</w:t>
      </w:r>
      <w:r>
        <w:rPr>
          <w:rFonts w:hint="eastAsia" w:ascii="仿宋" w:hAnsi="仿宋" w:eastAsia="仿宋" w:cs="仿宋"/>
          <w:color w:val="auto"/>
          <w:kern w:val="0"/>
          <w:sz w:val="24"/>
          <w:szCs w:val="24"/>
        </w:rPr>
        <w:t>）遵守国家法律、行政法规，在市场中具有良好信誉和商业道德；</w:t>
      </w:r>
    </w:p>
    <w:p>
      <w:pPr>
        <w:widowControl/>
        <w:snapToGrid w:val="0"/>
        <w:spacing w:line="480" w:lineRule="exact"/>
        <w:ind w:firstLine="487" w:firstLineChars="203"/>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w:t>
      </w:r>
      <w:r>
        <w:rPr>
          <w:rFonts w:ascii="仿宋" w:hAnsi="仿宋" w:eastAsia="仿宋" w:cs="仿宋"/>
          <w:color w:val="auto"/>
          <w:kern w:val="0"/>
          <w:sz w:val="24"/>
          <w:szCs w:val="24"/>
        </w:rPr>
        <w:t>3</w:t>
      </w:r>
      <w:r>
        <w:rPr>
          <w:rFonts w:hint="eastAsia" w:ascii="仿宋" w:hAnsi="仿宋" w:eastAsia="仿宋" w:cs="仿宋"/>
          <w:color w:val="auto"/>
          <w:kern w:val="0"/>
          <w:sz w:val="24"/>
          <w:szCs w:val="24"/>
        </w:rPr>
        <w:t>）具有一定规模和良好的资金、财务状况；</w:t>
      </w:r>
    </w:p>
    <w:p>
      <w:pPr>
        <w:widowControl/>
        <w:snapToGrid w:val="0"/>
        <w:spacing w:line="480" w:lineRule="exact"/>
        <w:ind w:firstLine="487" w:firstLineChars="203"/>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w:t>
      </w:r>
      <w:r>
        <w:rPr>
          <w:rFonts w:ascii="仿宋" w:hAnsi="仿宋" w:eastAsia="仿宋" w:cs="仿宋"/>
          <w:color w:val="auto"/>
          <w:kern w:val="0"/>
          <w:sz w:val="24"/>
          <w:szCs w:val="24"/>
        </w:rPr>
        <w:t>4</w:t>
      </w:r>
      <w:r>
        <w:rPr>
          <w:rFonts w:hint="eastAsia" w:ascii="仿宋" w:hAnsi="仿宋" w:eastAsia="仿宋" w:cs="仿宋"/>
          <w:color w:val="auto"/>
          <w:kern w:val="0"/>
          <w:sz w:val="24"/>
          <w:szCs w:val="24"/>
        </w:rPr>
        <w:t>）具备国家有关部门和采购主管部门规定的其他条件；</w:t>
      </w:r>
    </w:p>
    <w:p>
      <w:pPr>
        <w:widowControl/>
        <w:snapToGrid w:val="0"/>
        <w:spacing w:line="480" w:lineRule="exact"/>
        <w:ind w:left="-2" w:firstLine="436"/>
        <w:rPr>
          <w:rFonts w:ascii="仿宋" w:hAnsi="仿宋" w:eastAsia="仿宋" w:cs="仿宋"/>
          <w:b/>
          <w:color w:val="auto"/>
          <w:kern w:val="0"/>
          <w:sz w:val="24"/>
          <w:szCs w:val="24"/>
        </w:rPr>
      </w:pPr>
      <w:r>
        <w:rPr>
          <w:rFonts w:ascii="仿宋" w:hAnsi="仿宋" w:eastAsia="仿宋" w:cs="仿宋"/>
          <w:b/>
          <w:color w:val="auto"/>
          <w:kern w:val="0"/>
          <w:sz w:val="24"/>
          <w:szCs w:val="24"/>
        </w:rPr>
        <w:t>3</w:t>
      </w:r>
      <w:r>
        <w:rPr>
          <w:rFonts w:hint="eastAsia" w:ascii="仿宋" w:hAnsi="仿宋" w:eastAsia="仿宋" w:cs="仿宋"/>
          <w:b/>
          <w:color w:val="auto"/>
          <w:kern w:val="0"/>
          <w:sz w:val="24"/>
          <w:szCs w:val="24"/>
        </w:rPr>
        <w:t>、提供投标供应商须知规定的全部投标文件，包括资格审查文件、报价文件、技术文件、商务资信技术文件。资格审查文件、报价文件、技术文件和商务资信文件分别装订成册、单独密封。资格审查文件正本</w:t>
      </w:r>
      <w:r>
        <w:rPr>
          <w:rFonts w:ascii="仿宋" w:hAnsi="仿宋" w:eastAsia="仿宋" w:cs="仿宋"/>
          <w:b/>
          <w:color w:val="auto"/>
          <w:kern w:val="0"/>
          <w:sz w:val="24"/>
          <w:szCs w:val="24"/>
        </w:rPr>
        <w:t>1</w:t>
      </w:r>
      <w:r>
        <w:rPr>
          <w:rFonts w:hint="eastAsia" w:ascii="仿宋" w:hAnsi="仿宋" w:eastAsia="仿宋" w:cs="仿宋"/>
          <w:b/>
          <w:color w:val="auto"/>
          <w:kern w:val="0"/>
          <w:sz w:val="24"/>
          <w:szCs w:val="24"/>
        </w:rPr>
        <w:t>份，报价文件、技术文件、商务资信技术文件各正本</w:t>
      </w:r>
      <w:r>
        <w:rPr>
          <w:rFonts w:ascii="仿宋" w:hAnsi="仿宋" w:eastAsia="仿宋" w:cs="仿宋"/>
          <w:b/>
          <w:color w:val="auto"/>
          <w:kern w:val="0"/>
          <w:sz w:val="24"/>
          <w:szCs w:val="24"/>
        </w:rPr>
        <w:t>1</w:t>
      </w:r>
      <w:r>
        <w:rPr>
          <w:rFonts w:hint="eastAsia" w:ascii="仿宋" w:hAnsi="仿宋" w:eastAsia="仿宋" w:cs="仿宋"/>
          <w:b/>
          <w:color w:val="auto"/>
          <w:kern w:val="0"/>
          <w:sz w:val="24"/>
          <w:szCs w:val="24"/>
        </w:rPr>
        <w:t>份、副本</w:t>
      </w:r>
      <w:r>
        <w:rPr>
          <w:rFonts w:ascii="仿宋" w:hAnsi="仿宋" w:eastAsia="仿宋" w:cs="仿宋"/>
          <w:b/>
          <w:color w:val="auto"/>
          <w:kern w:val="0"/>
          <w:sz w:val="24"/>
          <w:szCs w:val="24"/>
        </w:rPr>
        <w:t>5</w:t>
      </w:r>
      <w:r>
        <w:rPr>
          <w:rFonts w:hint="eastAsia" w:ascii="仿宋" w:hAnsi="仿宋" w:eastAsia="仿宋" w:cs="仿宋"/>
          <w:b/>
          <w:color w:val="auto"/>
          <w:kern w:val="0"/>
          <w:sz w:val="24"/>
          <w:szCs w:val="24"/>
        </w:rPr>
        <w:t>份。</w:t>
      </w:r>
    </w:p>
    <w:p>
      <w:pPr>
        <w:widowControl/>
        <w:snapToGrid w:val="0"/>
        <w:spacing w:line="480" w:lineRule="exact"/>
        <w:ind w:left="-2" w:firstLine="436"/>
        <w:rPr>
          <w:rFonts w:ascii="仿宋" w:hAnsi="仿宋" w:eastAsia="仿宋" w:cs="仿宋"/>
          <w:color w:val="auto"/>
          <w:kern w:val="0"/>
          <w:sz w:val="24"/>
          <w:szCs w:val="24"/>
        </w:rPr>
      </w:pPr>
      <w:r>
        <w:rPr>
          <w:rFonts w:ascii="仿宋" w:hAnsi="仿宋" w:eastAsia="仿宋" w:cs="仿宋"/>
          <w:color w:val="auto"/>
          <w:kern w:val="0"/>
          <w:sz w:val="24"/>
          <w:szCs w:val="24"/>
        </w:rPr>
        <w:t>4</w:t>
      </w:r>
      <w:r>
        <w:rPr>
          <w:rFonts w:hint="eastAsia" w:ascii="仿宋" w:hAnsi="仿宋" w:eastAsia="仿宋" w:cs="仿宋"/>
          <w:color w:val="auto"/>
          <w:kern w:val="0"/>
          <w:sz w:val="24"/>
          <w:szCs w:val="24"/>
        </w:rPr>
        <w:t>、按招标文件要求提供和交付的货物和服务的投标报价详见《投标报价函》和《开标一览表》。</w:t>
      </w:r>
    </w:p>
    <w:p>
      <w:pPr>
        <w:widowControl/>
        <w:snapToGrid w:val="0"/>
        <w:spacing w:line="480" w:lineRule="exact"/>
        <w:ind w:left="-2" w:firstLine="436"/>
        <w:rPr>
          <w:rFonts w:ascii="仿宋" w:hAnsi="仿宋" w:eastAsia="仿宋" w:cs="仿宋"/>
          <w:color w:val="auto"/>
          <w:kern w:val="0"/>
          <w:sz w:val="24"/>
          <w:szCs w:val="24"/>
        </w:rPr>
      </w:pPr>
      <w:r>
        <w:rPr>
          <w:rFonts w:ascii="仿宋" w:hAnsi="仿宋" w:eastAsia="仿宋" w:cs="仿宋"/>
          <w:color w:val="auto"/>
          <w:kern w:val="0"/>
          <w:sz w:val="24"/>
          <w:szCs w:val="24"/>
        </w:rPr>
        <w:t>5</w:t>
      </w:r>
      <w:r>
        <w:rPr>
          <w:rFonts w:hint="eastAsia" w:ascii="仿宋" w:hAnsi="仿宋" w:eastAsia="仿宋" w:cs="仿宋"/>
          <w:color w:val="auto"/>
          <w:kern w:val="0"/>
          <w:sz w:val="24"/>
          <w:szCs w:val="24"/>
        </w:rPr>
        <w:t>、保证忠实地执行双方所签订的合同，并承担合同规定的责任和义务。</w:t>
      </w:r>
    </w:p>
    <w:p>
      <w:pPr>
        <w:widowControl/>
        <w:snapToGrid w:val="0"/>
        <w:spacing w:line="480" w:lineRule="exact"/>
        <w:ind w:left="-2" w:firstLine="436"/>
        <w:rPr>
          <w:rFonts w:ascii="仿宋" w:hAnsi="仿宋" w:eastAsia="仿宋" w:cs="仿宋"/>
          <w:color w:val="auto"/>
          <w:kern w:val="0"/>
          <w:sz w:val="24"/>
          <w:szCs w:val="24"/>
        </w:rPr>
      </w:pPr>
      <w:r>
        <w:rPr>
          <w:rFonts w:ascii="仿宋" w:hAnsi="仿宋" w:eastAsia="仿宋" w:cs="仿宋"/>
          <w:color w:val="auto"/>
          <w:kern w:val="0"/>
          <w:sz w:val="24"/>
          <w:szCs w:val="24"/>
        </w:rPr>
        <w:t>6</w:t>
      </w:r>
      <w:r>
        <w:rPr>
          <w:rFonts w:hint="eastAsia" w:ascii="仿宋" w:hAnsi="仿宋" w:eastAsia="仿宋" w:cs="仿宋"/>
          <w:color w:val="auto"/>
          <w:kern w:val="0"/>
          <w:sz w:val="24"/>
          <w:szCs w:val="24"/>
        </w:rPr>
        <w:t>、保证遵守招标文件中的其他有关规定。</w:t>
      </w:r>
    </w:p>
    <w:p>
      <w:pPr>
        <w:widowControl/>
        <w:snapToGrid w:val="0"/>
        <w:spacing w:line="480" w:lineRule="exact"/>
        <w:ind w:left="-2" w:firstLine="436"/>
        <w:rPr>
          <w:rFonts w:ascii="仿宋" w:hAnsi="仿宋" w:eastAsia="仿宋" w:cs="仿宋"/>
          <w:color w:val="auto"/>
          <w:kern w:val="0"/>
          <w:sz w:val="24"/>
          <w:szCs w:val="24"/>
        </w:rPr>
      </w:pPr>
      <w:r>
        <w:rPr>
          <w:rFonts w:ascii="仿宋" w:hAnsi="仿宋" w:eastAsia="仿宋" w:cs="仿宋"/>
          <w:color w:val="auto"/>
          <w:kern w:val="0"/>
          <w:sz w:val="24"/>
          <w:szCs w:val="24"/>
        </w:rPr>
        <w:t>7</w:t>
      </w:r>
      <w:r>
        <w:rPr>
          <w:rFonts w:hint="eastAsia" w:ascii="仿宋" w:hAnsi="仿宋" w:eastAsia="仿宋" w:cs="仿宋"/>
          <w:color w:val="auto"/>
          <w:kern w:val="0"/>
          <w:sz w:val="24"/>
          <w:szCs w:val="24"/>
        </w:rPr>
        <w:t>、如果在开标后的投标有效期内撤回投标，我方同意按招标方的规定进行处罚。</w:t>
      </w:r>
    </w:p>
    <w:p>
      <w:pPr>
        <w:widowControl/>
        <w:snapToGrid w:val="0"/>
        <w:spacing w:line="480" w:lineRule="exact"/>
        <w:ind w:left="-2" w:firstLine="436"/>
        <w:rPr>
          <w:rFonts w:ascii="仿宋" w:hAnsi="仿宋" w:eastAsia="仿宋" w:cs="仿宋"/>
          <w:color w:val="auto"/>
          <w:kern w:val="0"/>
          <w:sz w:val="24"/>
          <w:szCs w:val="24"/>
        </w:rPr>
      </w:pPr>
      <w:r>
        <w:rPr>
          <w:rFonts w:ascii="仿宋" w:hAnsi="仿宋" w:eastAsia="仿宋" w:cs="仿宋"/>
          <w:color w:val="auto"/>
          <w:kern w:val="0"/>
          <w:sz w:val="24"/>
          <w:szCs w:val="24"/>
        </w:rPr>
        <w:t>8</w:t>
      </w:r>
      <w:r>
        <w:rPr>
          <w:rFonts w:hint="eastAsia" w:ascii="仿宋" w:hAnsi="仿宋" w:eastAsia="仿宋" w:cs="仿宋"/>
          <w:color w:val="auto"/>
          <w:kern w:val="0"/>
          <w:sz w:val="24"/>
          <w:szCs w:val="24"/>
        </w:rPr>
        <w:t>、我方完全理解贵方不一定要接受最低价的投标或收到的任何投标。</w:t>
      </w:r>
    </w:p>
    <w:p>
      <w:pPr>
        <w:widowControl/>
        <w:snapToGrid w:val="0"/>
        <w:spacing w:line="480" w:lineRule="exact"/>
        <w:ind w:left="-2" w:firstLine="436"/>
        <w:rPr>
          <w:rFonts w:ascii="仿宋" w:hAnsi="仿宋" w:eastAsia="仿宋" w:cs="仿宋"/>
          <w:color w:val="auto"/>
          <w:kern w:val="0"/>
          <w:sz w:val="24"/>
          <w:szCs w:val="24"/>
        </w:rPr>
      </w:pPr>
      <w:r>
        <w:rPr>
          <w:rFonts w:ascii="仿宋" w:hAnsi="仿宋" w:eastAsia="仿宋" w:cs="仿宋"/>
          <w:color w:val="auto"/>
          <w:kern w:val="0"/>
          <w:sz w:val="24"/>
          <w:szCs w:val="24"/>
        </w:rPr>
        <w:t>9</w:t>
      </w:r>
      <w:r>
        <w:rPr>
          <w:rFonts w:hint="eastAsia" w:ascii="仿宋" w:hAnsi="仿宋" w:eastAsia="仿宋" w:cs="仿宋"/>
          <w:color w:val="auto"/>
          <w:kern w:val="0"/>
          <w:sz w:val="24"/>
          <w:szCs w:val="24"/>
        </w:rPr>
        <w:t>、我方愿意向贵方提供任何与该项投标有关的详细情况和技术资料，若贵方需要，我方愿意提供我方作出的一切承诺的证明材料。</w:t>
      </w:r>
    </w:p>
    <w:p>
      <w:pPr>
        <w:widowControl/>
        <w:snapToGrid w:val="0"/>
        <w:spacing w:line="480" w:lineRule="exact"/>
        <w:ind w:left="-2" w:firstLine="436"/>
        <w:rPr>
          <w:rFonts w:ascii="仿宋" w:hAnsi="仿宋" w:eastAsia="仿宋" w:cs="仿宋"/>
          <w:color w:val="auto"/>
          <w:kern w:val="0"/>
          <w:sz w:val="24"/>
          <w:szCs w:val="24"/>
        </w:rPr>
      </w:pPr>
      <w:r>
        <w:rPr>
          <w:rFonts w:ascii="仿宋" w:hAnsi="仿宋" w:eastAsia="仿宋" w:cs="仿宋"/>
          <w:color w:val="auto"/>
          <w:kern w:val="0"/>
          <w:sz w:val="24"/>
          <w:szCs w:val="24"/>
        </w:rPr>
        <w:t>10</w:t>
      </w:r>
      <w:r>
        <w:rPr>
          <w:rFonts w:hint="eastAsia" w:ascii="仿宋" w:hAnsi="仿宋" w:eastAsia="仿宋" w:cs="仿宋"/>
          <w:color w:val="auto"/>
          <w:kern w:val="0"/>
          <w:sz w:val="24"/>
          <w:szCs w:val="24"/>
        </w:rPr>
        <w:t>、我方已详细阅读全部招标文件，包括招标文件修改书（如有的话）、参考资料及有关附件，确认无误。</w:t>
      </w:r>
    </w:p>
    <w:p>
      <w:pPr>
        <w:widowControl/>
        <w:snapToGrid w:val="0"/>
        <w:spacing w:line="480" w:lineRule="exact"/>
        <w:ind w:left="-2" w:firstLine="436"/>
        <w:rPr>
          <w:rFonts w:ascii="仿宋" w:hAnsi="仿宋" w:eastAsia="仿宋" w:cs="仿宋"/>
          <w:color w:val="auto"/>
          <w:kern w:val="0"/>
          <w:sz w:val="24"/>
          <w:szCs w:val="24"/>
        </w:rPr>
      </w:pPr>
      <w:r>
        <w:rPr>
          <w:rFonts w:ascii="仿宋" w:hAnsi="仿宋" w:eastAsia="仿宋" w:cs="仿宋"/>
          <w:color w:val="auto"/>
          <w:kern w:val="0"/>
          <w:sz w:val="24"/>
          <w:szCs w:val="24"/>
        </w:rPr>
        <w:t>11</w:t>
      </w:r>
      <w:r>
        <w:rPr>
          <w:rFonts w:hint="eastAsia" w:ascii="仿宋" w:hAnsi="仿宋" w:eastAsia="仿宋" w:cs="仿宋"/>
          <w:color w:val="auto"/>
          <w:kern w:val="0"/>
          <w:sz w:val="24"/>
          <w:szCs w:val="24"/>
        </w:rPr>
        <w:t>、我方将严格遵守《中华人民共和国政府采购法》等相关法律法规的规定：供应商有下列情形之一的，处以采购金额</w:t>
      </w:r>
      <w:r>
        <w:rPr>
          <w:rFonts w:ascii="仿宋" w:hAnsi="仿宋" w:eastAsia="仿宋" w:cs="仿宋"/>
          <w:color w:val="auto"/>
          <w:kern w:val="0"/>
          <w:sz w:val="24"/>
          <w:szCs w:val="24"/>
        </w:rPr>
        <w:t>5</w:t>
      </w:r>
      <w:r>
        <w:rPr>
          <w:rFonts w:hint="eastAsia" w:ascii="仿宋" w:hAnsi="仿宋" w:eastAsia="仿宋" w:cs="仿宋"/>
          <w:color w:val="auto"/>
          <w:kern w:val="0"/>
          <w:sz w:val="24"/>
          <w:szCs w:val="24"/>
        </w:rPr>
        <w:t>‰以上</w:t>
      </w:r>
      <w:r>
        <w:rPr>
          <w:rFonts w:ascii="仿宋" w:hAnsi="仿宋" w:eastAsia="仿宋" w:cs="仿宋"/>
          <w:color w:val="auto"/>
          <w:kern w:val="0"/>
          <w:sz w:val="24"/>
          <w:szCs w:val="24"/>
        </w:rPr>
        <w:t>10</w:t>
      </w:r>
      <w:r>
        <w:rPr>
          <w:rFonts w:hint="eastAsia" w:ascii="仿宋" w:hAnsi="仿宋" w:eastAsia="仿宋" w:cs="仿宋"/>
          <w:color w:val="auto"/>
          <w:kern w:val="0"/>
          <w:sz w:val="24"/>
          <w:szCs w:val="24"/>
        </w:rPr>
        <w:t>‰以下的罚款，列入不良行为记录名单，在一至三年内禁止参加政府采购活动；如有违法所得并将其没收；情节严重的，由工商行政管理机关吊销营业执照；构成犯罪的，依法追究刑事责任：</w:t>
      </w:r>
    </w:p>
    <w:p>
      <w:pPr>
        <w:snapToGrid w:val="0"/>
        <w:spacing w:line="480" w:lineRule="exact"/>
        <w:ind w:left="-2" w:firstLine="436"/>
        <w:rPr>
          <w:rFonts w:ascii="仿宋" w:hAnsi="仿宋" w:eastAsia="仿宋" w:cs="仿宋"/>
          <w:color w:val="auto"/>
          <w:sz w:val="24"/>
          <w:szCs w:val="24"/>
        </w:rPr>
      </w:pPr>
      <w:r>
        <w:rPr>
          <w:rFonts w:hint="eastAsia" w:ascii="仿宋" w:hAnsi="仿宋" w:eastAsia="仿宋" w:cs="仿宋"/>
          <w:color w:val="auto"/>
          <w:kern w:val="0"/>
          <w:sz w:val="24"/>
          <w:szCs w:val="24"/>
        </w:rPr>
        <w:t>（</w:t>
      </w:r>
      <w:r>
        <w:rPr>
          <w:rFonts w:ascii="仿宋" w:hAnsi="仿宋" w:eastAsia="仿宋" w:cs="仿宋"/>
          <w:color w:val="auto"/>
          <w:kern w:val="0"/>
          <w:sz w:val="24"/>
          <w:szCs w:val="24"/>
        </w:rPr>
        <w:t>1</w:t>
      </w:r>
      <w:r>
        <w:rPr>
          <w:rFonts w:hint="eastAsia" w:ascii="仿宋" w:hAnsi="仿宋" w:eastAsia="仿宋" w:cs="仿宋"/>
          <w:color w:val="auto"/>
          <w:kern w:val="0"/>
          <w:sz w:val="24"/>
          <w:szCs w:val="24"/>
        </w:rPr>
        <w:t>）提供虚假材料谋取中标、成交的；</w:t>
      </w:r>
    </w:p>
    <w:p>
      <w:pPr>
        <w:widowControl/>
        <w:snapToGrid w:val="0"/>
        <w:spacing w:line="480" w:lineRule="exact"/>
        <w:ind w:left="-2" w:firstLine="436"/>
        <w:rPr>
          <w:rFonts w:ascii="仿宋" w:hAnsi="仿宋" w:eastAsia="仿宋" w:cs="仿宋"/>
          <w:color w:val="auto"/>
          <w:kern w:val="0"/>
          <w:sz w:val="24"/>
          <w:szCs w:val="24"/>
        </w:rPr>
      </w:pPr>
      <w:r>
        <w:rPr>
          <w:rFonts w:hint="eastAsia" w:ascii="仿宋" w:hAnsi="仿宋" w:eastAsia="仿宋" w:cs="仿宋"/>
          <w:color w:val="auto"/>
          <w:kern w:val="0"/>
          <w:sz w:val="24"/>
          <w:szCs w:val="24"/>
        </w:rPr>
        <w:t>（</w:t>
      </w:r>
      <w:r>
        <w:rPr>
          <w:rFonts w:ascii="仿宋" w:hAnsi="仿宋" w:eastAsia="仿宋" w:cs="仿宋"/>
          <w:color w:val="auto"/>
          <w:kern w:val="0"/>
          <w:sz w:val="24"/>
          <w:szCs w:val="24"/>
        </w:rPr>
        <w:t>2</w:t>
      </w:r>
      <w:r>
        <w:rPr>
          <w:rFonts w:hint="eastAsia" w:ascii="仿宋" w:hAnsi="仿宋" w:eastAsia="仿宋" w:cs="仿宋"/>
          <w:color w:val="auto"/>
          <w:kern w:val="0"/>
          <w:sz w:val="24"/>
          <w:szCs w:val="24"/>
        </w:rPr>
        <w:t>）采取不正当手段诋毁、排挤其他投标供应商的；</w:t>
      </w:r>
    </w:p>
    <w:p>
      <w:pPr>
        <w:snapToGrid w:val="0"/>
        <w:spacing w:line="480" w:lineRule="exact"/>
        <w:ind w:left="-2" w:firstLine="436"/>
        <w:rPr>
          <w:rFonts w:ascii="仿宋" w:hAnsi="仿宋" w:eastAsia="仿宋" w:cs="仿宋"/>
          <w:color w:val="auto"/>
          <w:sz w:val="24"/>
          <w:szCs w:val="24"/>
        </w:rPr>
      </w:pPr>
      <w:r>
        <w:rPr>
          <w:rFonts w:hint="eastAsia" w:ascii="仿宋" w:hAnsi="仿宋" w:eastAsia="仿宋" w:cs="仿宋"/>
          <w:color w:val="auto"/>
          <w:kern w:val="0"/>
          <w:sz w:val="24"/>
          <w:szCs w:val="24"/>
        </w:rPr>
        <w:t>（</w:t>
      </w:r>
      <w:r>
        <w:rPr>
          <w:rFonts w:ascii="仿宋" w:hAnsi="仿宋" w:eastAsia="仿宋" w:cs="仿宋"/>
          <w:color w:val="auto"/>
          <w:kern w:val="0"/>
          <w:sz w:val="24"/>
          <w:szCs w:val="24"/>
        </w:rPr>
        <w:t>3</w:t>
      </w:r>
      <w:r>
        <w:rPr>
          <w:rFonts w:hint="eastAsia" w:ascii="仿宋" w:hAnsi="仿宋" w:eastAsia="仿宋" w:cs="仿宋"/>
          <w:color w:val="auto"/>
          <w:kern w:val="0"/>
          <w:sz w:val="24"/>
          <w:szCs w:val="24"/>
        </w:rPr>
        <w:t>）与其它投标供应商恶意串通的；</w:t>
      </w:r>
    </w:p>
    <w:p>
      <w:pPr>
        <w:snapToGrid w:val="0"/>
        <w:spacing w:line="480" w:lineRule="exact"/>
        <w:ind w:left="-2" w:firstLine="436"/>
        <w:rPr>
          <w:rFonts w:ascii="仿宋" w:hAnsi="仿宋" w:eastAsia="仿宋" w:cs="仿宋"/>
          <w:color w:val="auto"/>
          <w:sz w:val="24"/>
          <w:szCs w:val="24"/>
        </w:rPr>
      </w:pPr>
      <w:r>
        <w:rPr>
          <w:rFonts w:hint="eastAsia" w:ascii="仿宋" w:hAnsi="仿宋" w:eastAsia="仿宋" w:cs="仿宋"/>
          <w:color w:val="auto"/>
          <w:kern w:val="0"/>
          <w:sz w:val="24"/>
          <w:szCs w:val="24"/>
        </w:rPr>
        <w:t>（</w:t>
      </w:r>
      <w:r>
        <w:rPr>
          <w:rFonts w:ascii="仿宋" w:hAnsi="仿宋" w:eastAsia="仿宋" w:cs="仿宋"/>
          <w:color w:val="auto"/>
          <w:kern w:val="0"/>
          <w:sz w:val="24"/>
          <w:szCs w:val="24"/>
        </w:rPr>
        <w:t>4</w:t>
      </w:r>
      <w:r>
        <w:rPr>
          <w:rFonts w:hint="eastAsia" w:ascii="仿宋" w:hAnsi="仿宋" w:eastAsia="仿宋" w:cs="仿宋"/>
          <w:color w:val="auto"/>
          <w:kern w:val="0"/>
          <w:sz w:val="24"/>
          <w:szCs w:val="24"/>
        </w:rPr>
        <w:t>）向招标方行贿或者提供其他不正当利益的；</w:t>
      </w:r>
    </w:p>
    <w:p>
      <w:pPr>
        <w:widowControl/>
        <w:snapToGrid w:val="0"/>
        <w:spacing w:line="480" w:lineRule="exact"/>
        <w:ind w:left="-2" w:firstLine="436"/>
        <w:rPr>
          <w:rFonts w:ascii="仿宋" w:hAnsi="仿宋" w:eastAsia="仿宋" w:cs="仿宋"/>
          <w:color w:val="auto"/>
          <w:kern w:val="0"/>
          <w:sz w:val="24"/>
          <w:szCs w:val="24"/>
        </w:rPr>
      </w:pPr>
      <w:r>
        <w:rPr>
          <w:rFonts w:hint="eastAsia" w:ascii="仿宋" w:hAnsi="仿宋" w:eastAsia="仿宋" w:cs="仿宋"/>
          <w:color w:val="auto"/>
          <w:kern w:val="0"/>
          <w:sz w:val="24"/>
          <w:szCs w:val="24"/>
        </w:rPr>
        <w:t>（</w:t>
      </w:r>
      <w:r>
        <w:rPr>
          <w:rFonts w:ascii="仿宋" w:hAnsi="仿宋" w:eastAsia="仿宋" w:cs="仿宋"/>
          <w:color w:val="auto"/>
          <w:kern w:val="0"/>
          <w:sz w:val="24"/>
          <w:szCs w:val="24"/>
        </w:rPr>
        <w:t>5</w:t>
      </w:r>
      <w:r>
        <w:rPr>
          <w:rFonts w:hint="eastAsia" w:ascii="仿宋" w:hAnsi="仿宋" w:eastAsia="仿宋" w:cs="仿宋"/>
          <w:color w:val="auto"/>
          <w:kern w:val="0"/>
          <w:sz w:val="24"/>
          <w:szCs w:val="24"/>
        </w:rPr>
        <w:t>）拒绝有关部门监督检查或提供虚假情况的。</w:t>
      </w:r>
    </w:p>
    <w:p>
      <w:pPr>
        <w:widowControl/>
        <w:snapToGrid w:val="0"/>
        <w:spacing w:line="480" w:lineRule="exact"/>
        <w:ind w:left="-2" w:firstLine="436"/>
        <w:rPr>
          <w:rFonts w:ascii="仿宋" w:hAnsi="仿宋" w:eastAsia="仿宋" w:cs="仿宋"/>
          <w:color w:val="auto"/>
          <w:kern w:val="0"/>
          <w:sz w:val="24"/>
          <w:szCs w:val="24"/>
        </w:rPr>
      </w:pPr>
      <w:r>
        <w:rPr>
          <w:rFonts w:ascii="仿宋" w:hAnsi="仿宋" w:eastAsia="仿宋" w:cs="仿宋"/>
          <w:color w:val="auto"/>
          <w:kern w:val="0"/>
          <w:sz w:val="24"/>
          <w:szCs w:val="24"/>
        </w:rPr>
        <w:t>12</w:t>
      </w:r>
      <w:r>
        <w:rPr>
          <w:rFonts w:hint="eastAsia" w:ascii="仿宋" w:hAnsi="仿宋" w:eastAsia="仿宋" w:cs="仿宋"/>
          <w:color w:val="auto"/>
          <w:kern w:val="0"/>
          <w:sz w:val="24"/>
          <w:szCs w:val="24"/>
        </w:rPr>
        <w:t>、我方的投标文件在开标后</w:t>
      </w:r>
      <w:r>
        <w:rPr>
          <w:rFonts w:ascii="仿宋" w:hAnsi="仿宋" w:eastAsia="仿宋" w:cs="仿宋"/>
          <w:color w:val="auto"/>
          <w:kern w:val="0"/>
          <w:sz w:val="24"/>
          <w:szCs w:val="24"/>
          <w:u w:val="single"/>
        </w:rPr>
        <w:t>90</w:t>
      </w:r>
      <w:r>
        <w:rPr>
          <w:rFonts w:hint="eastAsia" w:ascii="仿宋" w:hAnsi="仿宋" w:eastAsia="仿宋" w:cs="仿宋"/>
          <w:color w:val="auto"/>
          <w:kern w:val="0"/>
          <w:sz w:val="24"/>
          <w:szCs w:val="24"/>
        </w:rPr>
        <w:t>天内有效。</w:t>
      </w:r>
    </w:p>
    <w:p>
      <w:pPr>
        <w:widowControl/>
        <w:snapToGrid w:val="0"/>
        <w:spacing w:line="480" w:lineRule="exact"/>
        <w:ind w:left="-2" w:firstLine="436"/>
        <w:rPr>
          <w:rFonts w:ascii="仿宋" w:hAnsi="仿宋" w:eastAsia="仿宋" w:cs="仿宋"/>
          <w:color w:val="auto"/>
          <w:kern w:val="0"/>
          <w:sz w:val="24"/>
          <w:szCs w:val="24"/>
        </w:rPr>
      </w:pPr>
      <w:r>
        <w:rPr>
          <w:rFonts w:hint="eastAsia" w:ascii="仿宋" w:hAnsi="仿宋" w:eastAsia="仿宋" w:cs="仿宋"/>
          <w:color w:val="auto"/>
          <w:kern w:val="0"/>
          <w:sz w:val="24"/>
          <w:szCs w:val="24"/>
        </w:rPr>
        <w:t>与本投标有关的一切往来通讯请寄：</w:t>
      </w:r>
    </w:p>
    <w:p>
      <w:pPr>
        <w:widowControl/>
        <w:snapToGrid w:val="0"/>
        <w:spacing w:line="480" w:lineRule="exact"/>
        <w:ind w:left="-2" w:firstLine="436"/>
        <w:rPr>
          <w:rFonts w:ascii="仿宋" w:hAnsi="仿宋" w:eastAsia="仿宋" w:cs="仿宋"/>
          <w:color w:val="auto"/>
          <w:kern w:val="0"/>
          <w:sz w:val="24"/>
          <w:szCs w:val="24"/>
        </w:rPr>
      </w:pPr>
      <w:r>
        <w:rPr>
          <w:rFonts w:hint="eastAsia" w:ascii="仿宋" w:hAnsi="仿宋" w:eastAsia="仿宋" w:cs="仿宋"/>
          <w:color w:val="auto"/>
          <w:kern w:val="0"/>
          <w:sz w:val="24"/>
          <w:szCs w:val="24"/>
        </w:rPr>
        <w:t>地址：</w:t>
      </w:r>
      <w:r>
        <w:rPr>
          <w:rFonts w:ascii="仿宋" w:hAnsi="仿宋" w:eastAsia="仿宋" w:cs="仿宋"/>
          <w:color w:val="auto"/>
          <w:kern w:val="0"/>
          <w:sz w:val="24"/>
          <w:szCs w:val="24"/>
        </w:rPr>
        <w:t>___________________________________</w:t>
      </w:r>
    </w:p>
    <w:p>
      <w:pPr>
        <w:widowControl/>
        <w:snapToGrid w:val="0"/>
        <w:spacing w:line="480" w:lineRule="exact"/>
        <w:ind w:left="-2" w:firstLine="436"/>
        <w:rPr>
          <w:rFonts w:ascii="仿宋" w:hAnsi="仿宋" w:eastAsia="仿宋" w:cs="仿宋"/>
          <w:color w:val="auto"/>
          <w:kern w:val="0"/>
          <w:sz w:val="24"/>
          <w:szCs w:val="24"/>
        </w:rPr>
      </w:pPr>
      <w:r>
        <w:rPr>
          <w:rFonts w:hint="eastAsia" w:ascii="仿宋" w:hAnsi="仿宋" w:eastAsia="仿宋" w:cs="仿宋"/>
          <w:color w:val="auto"/>
          <w:kern w:val="0"/>
          <w:sz w:val="24"/>
          <w:szCs w:val="24"/>
        </w:rPr>
        <w:t>邮编：</w:t>
      </w:r>
      <w:r>
        <w:rPr>
          <w:rFonts w:ascii="仿宋" w:hAnsi="仿宋" w:eastAsia="仿宋" w:cs="仿宋"/>
          <w:color w:val="auto"/>
          <w:kern w:val="0"/>
          <w:sz w:val="24"/>
          <w:szCs w:val="24"/>
        </w:rPr>
        <w:t>____________</w:t>
      </w:r>
      <w:r>
        <w:rPr>
          <w:rFonts w:hint="eastAsia" w:ascii="仿宋" w:hAnsi="仿宋" w:eastAsia="仿宋" w:cs="仿宋"/>
          <w:color w:val="auto"/>
          <w:kern w:val="0"/>
          <w:sz w:val="24"/>
          <w:szCs w:val="24"/>
        </w:rPr>
        <w:t>　</w:t>
      </w:r>
    </w:p>
    <w:p>
      <w:pPr>
        <w:widowControl/>
        <w:snapToGrid w:val="0"/>
        <w:spacing w:line="480" w:lineRule="exact"/>
        <w:ind w:left="-2" w:firstLine="436"/>
        <w:rPr>
          <w:rFonts w:ascii="仿宋" w:hAnsi="仿宋" w:eastAsia="仿宋" w:cs="仿宋"/>
          <w:color w:val="auto"/>
          <w:kern w:val="0"/>
          <w:sz w:val="24"/>
          <w:szCs w:val="24"/>
        </w:rPr>
      </w:pPr>
      <w:r>
        <w:rPr>
          <w:rFonts w:hint="eastAsia" w:ascii="仿宋" w:hAnsi="仿宋" w:eastAsia="仿宋" w:cs="仿宋"/>
          <w:color w:val="auto"/>
          <w:kern w:val="0"/>
          <w:sz w:val="24"/>
          <w:szCs w:val="24"/>
        </w:rPr>
        <w:t>电话：</w:t>
      </w:r>
      <w:r>
        <w:rPr>
          <w:rFonts w:ascii="仿宋" w:hAnsi="仿宋" w:eastAsia="仿宋" w:cs="仿宋"/>
          <w:color w:val="auto"/>
          <w:kern w:val="0"/>
          <w:sz w:val="24"/>
          <w:szCs w:val="24"/>
        </w:rPr>
        <w:t>____________</w:t>
      </w:r>
      <w:r>
        <w:rPr>
          <w:rFonts w:hint="eastAsia" w:ascii="仿宋" w:hAnsi="仿宋" w:eastAsia="仿宋" w:cs="仿宋"/>
          <w:color w:val="auto"/>
          <w:kern w:val="0"/>
          <w:sz w:val="24"/>
          <w:szCs w:val="24"/>
        </w:rPr>
        <w:t>　</w:t>
      </w:r>
    </w:p>
    <w:p>
      <w:pPr>
        <w:widowControl/>
        <w:snapToGrid w:val="0"/>
        <w:spacing w:line="480" w:lineRule="exact"/>
        <w:ind w:left="-2" w:firstLine="436"/>
        <w:rPr>
          <w:rFonts w:ascii="仿宋" w:hAnsi="仿宋" w:eastAsia="仿宋" w:cs="仿宋"/>
          <w:color w:val="auto"/>
          <w:kern w:val="0"/>
          <w:sz w:val="24"/>
          <w:szCs w:val="24"/>
        </w:rPr>
      </w:pPr>
      <w:r>
        <w:rPr>
          <w:rFonts w:hint="eastAsia" w:ascii="仿宋" w:hAnsi="仿宋" w:eastAsia="仿宋" w:cs="仿宋"/>
          <w:color w:val="auto"/>
          <w:kern w:val="0"/>
          <w:sz w:val="24"/>
          <w:szCs w:val="24"/>
        </w:rPr>
        <w:t>传真：</w:t>
      </w:r>
      <w:r>
        <w:rPr>
          <w:rFonts w:ascii="仿宋" w:hAnsi="仿宋" w:eastAsia="仿宋" w:cs="仿宋"/>
          <w:color w:val="auto"/>
          <w:kern w:val="0"/>
          <w:sz w:val="24"/>
          <w:szCs w:val="24"/>
        </w:rPr>
        <w:t>____________</w:t>
      </w:r>
    </w:p>
    <w:p>
      <w:pPr>
        <w:autoSpaceDE w:val="0"/>
        <w:adjustRightInd w:val="0"/>
        <w:snapToGrid w:val="0"/>
        <w:ind w:firstLine="3427" w:firstLineChars="1428"/>
        <w:rPr>
          <w:rFonts w:ascii="仿宋" w:hAnsi="仿宋" w:eastAsia="仿宋" w:cs="仿宋"/>
          <w:color w:val="auto"/>
          <w:kern w:val="0"/>
          <w:sz w:val="24"/>
          <w:szCs w:val="24"/>
        </w:rPr>
      </w:pPr>
    </w:p>
    <w:p>
      <w:pPr>
        <w:autoSpaceDE w:val="0"/>
        <w:adjustRightInd w:val="0"/>
        <w:snapToGrid w:val="0"/>
        <w:ind w:firstLine="3427" w:firstLineChars="1428"/>
        <w:rPr>
          <w:rFonts w:ascii="仿宋" w:hAnsi="仿宋" w:eastAsia="仿宋" w:cs="仿宋"/>
          <w:color w:val="auto"/>
          <w:kern w:val="0"/>
          <w:sz w:val="24"/>
          <w:szCs w:val="24"/>
        </w:rPr>
      </w:pPr>
    </w:p>
    <w:p>
      <w:pPr>
        <w:autoSpaceDE w:val="0"/>
        <w:adjustRightInd w:val="0"/>
        <w:snapToGrid w:val="0"/>
        <w:ind w:firstLine="3441" w:firstLineChars="1428"/>
        <w:rPr>
          <w:rFonts w:ascii="仿宋" w:hAnsi="仿宋" w:eastAsia="仿宋" w:cs="仿宋"/>
          <w:b/>
          <w:bCs/>
          <w:color w:val="auto"/>
          <w:kern w:val="0"/>
          <w:sz w:val="24"/>
          <w:szCs w:val="24"/>
        </w:rPr>
      </w:pPr>
    </w:p>
    <w:p>
      <w:pPr>
        <w:widowControl/>
        <w:snapToGrid w:val="0"/>
        <w:spacing w:line="480" w:lineRule="exact"/>
        <w:ind w:firstLine="187" w:firstLineChars="78"/>
        <w:rPr>
          <w:rFonts w:ascii="仿宋" w:hAnsi="仿宋" w:eastAsia="仿宋" w:cs="仿宋"/>
          <w:color w:val="auto"/>
          <w:kern w:val="0"/>
          <w:sz w:val="24"/>
          <w:szCs w:val="24"/>
        </w:rPr>
      </w:pPr>
      <w:r>
        <w:rPr>
          <w:rFonts w:hint="eastAsia" w:ascii="仿宋" w:hAnsi="仿宋" w:eastAsia="仿宋" w:cs="仿宋"/>
          <w:color w:val="auto"/>
          <w:kern w:val="0"/>
          <w:sz w:val="24"/>
          <w:szCs w:val="24"/>
        </w:rPr>
        <w:t>全权代表</w:t>
      </w:r>
      <w:r>
        <w:rPr>
          <w:rFonts w:ascii="仿宋" w:hAnsi="仿宋" w:eastAsia="仿宋" w:cs="仿宋"/>
          <w:color w:val="auto"/>
          <w:kern w:val="0"/>
          <w:sz w:val="24"/>
          <w:szCs w:val="24"/>
        </w:rPr>
        <w:t>(</w:t>
      </w:r>
      <w:r>
        <w:rPr>
          <w:rFonts w:hint="eastAsia" w:ascii="仿宋" w:hAnsi="仿宋" w:eastAsia="仿宋" w:cs="仿宋"/>
          <w:color w:val="auto"/>
          <w:kern w:val="0"/>
          <w:sz w:val="24"/>
          <w:szCs w:val="24"/>
        </w:rPr>
        <w:t>签字</w:t>
      </w:r>
      <w:r>
        <w:rPr>
          <w:rFonts w:ascii="仿宋" w:hAnsi="仿宋" w:eastAsia="仿宋" w:cs="仿宋"/>
          <w:color w:val="auto"/>
          <w:kern w:val="0"/>
          <w:sz w:val="24"/>
          <w:szCs w:val="24"/>
        </w:rPr>
        <w:t>)</w:t>
      </w:r>
      <w:r>
        <w:rPr>
          <w:rFonts w:hint="eastAsia" w:ascii="仿宋" w:hAnsi="仿宋" w:eastAsia="仿宋" w:cs="仿宋"/>
          <w:color w:val="auto"/>
          <w:kern w:val="0"/>
          <w:sz w:val="24"/>
          <w:szCs w:val="24"/>
        </w:rPr>
        <w:t>：</w:t>
      </w:r>
    </w:p>
    <w:p>
      <w:pPr>
        <w:widowControl/>
        <w:snapToGrid w:val="0"/>
        <w:spacing w:line="480" w:lineRule="exact"/>
        <w:ind w:firstLine="187" w:firstLineChars="78"/>
        <w:rPr>
          <w:rFonts w:ascii="仿宋" w:hAnsi="仿宋" w:eastAsia="仿宋" w:cs="仿宋"/>
          <w:color w:val="auto"/>
          <w:kern w:val="0"/>
          <w:sz w:val="24"/>
          <w:szCs w:val="24"/>
        </w:rPr>
      </w:pPr>
      <w:r>
        <w:rPr>
          <w:rFonts w:hint="eastAsia" w:ascii="仿宋" w:hAnsi="仿宋" w:eastAsia="仿宋" w:cs="仿宋"/>
          <w:color w:val="auto"/>
          <w:kern w:val="0"/>
          <w:sz w:val="24"/>
          <w:szCs w:val="24"/>
        </w:rPr>
        <w:t>投标供应商</w:t>
      </w:r>
      <w:r>
        <w:rPr>
          <w:rFonts w:ascii="仿宋" w:hAnsi="仿宋" w:eastAsia="仿宋" w:cs="仿宋"/>
          <w:color w:val="auto"/>
          <w:kern w:val="0"/>
          <w:sz w:val="24"/>
          <w:szCs w:val="24"/>
        </w:rPr>
        <w:t>(</w:t>
      </w:r>
      <w:r>
        <w:rPr>
          <w:rFonts w:hint="eastAsia" w:ascii="仿宋" w:hAnsi="仿宋" w:eastAsia="仿宋" w:cs="仿宋"/>
          <w:color w:val="auto"/>
          <w:kern w:val="0"/>
          <w:sz w:val="24"/>
          <w:szCs w:val="24"/>
        </w:rPr>
        <w:t>盖章</w:t>
      </w:r>
      <w:r>
        <w:rPr>
          <w:rFonts w:ascii="仿宋" w:hAnsi="仿宋" w:eastAsia="仿宋" w:cs="仿宋"/>
          <w:color w:val="auto"/>
          <w:kern w:val="0"/>
          <w:sz w:val="24"/>
          <w:szCs w:val="24"/>
        </w:rPr>
        <w:t>)</w:t>
      </w:r>
      <w:r>
        <w:rPr>
          <w:rFonts w:hint="eastAsia" w:ascii="仿宋" w:hAnsi="仿宋" w:eastAsia="仿宋" w:cs="仿宋"/>
          <w:color w:val="auto"/>
          <w:kern w:val="0"/>
          <w:sz w:val="24"/>
          <w:szCs w:val="24"/>
        </w:rPr>
        <w:t>：</w:t>
      </w:r>
    </w:p>
    <w:p>
      <w:pPr>
        <w:autoSpaceDE w:val="0"/>
        <w:adjustRightInd w:val="0"/>
        <w:snapToGrid w:val="0"/>
        <w:ind w:firstLine="187" w:firstLineChars="78"/>
        <w:rPr>
          <w:rFonts w:ascii="仿宋" w:hAnsi="仿宋" w:eastAsia="仿宋" w:cs="仿宋"/>
          <w:b/>
          <w:bCs/>
          <w:color w:val="auto"/>
          <w:kern w:val="0"/>
          <w:sz w:val="24"/>
          <w:szCs w:val="24"/>
        </w:rPr>
      </w:pPr>
      <w:r>
        <w:rPr>
          <w:rFonts w:hint="eastAsia" w:ascii="仿宋" w:hAnsi="仿宋" w:eastAsia="仿宋" w:cs="仿宋"/>
          <w:color w:val="auto"/>
          <w:kern w:val="0"/>
          <w:sz w:val="24"/>
          <w:szCs w:val="24"/>
        </w:rPr>
        <w:t>日期：</w:t>
      </w:r>
      <w:r>
        <w:rPr>
          <w:rFonts w:ascii="仿宋" w:hAnsi="仿宋" w:eastAsia="仿宋" w:cs="仿宋"/>
          <w:color w:val="auto"/>
          <w:kern w:val="0"/>
          <w:sz w:val="24"/>
          <w:szCs w:val="24"/>
        </w:rPr>
        <w:t>2021</w:t>
      </w:r>
      <w:r>
        <w:rPr>
          <w:rFonts w:hint="eastAsia" w:ascii="仿宋" w:hAnsi="仿宋" w:eastAsia="仿宋" w:cs="仿宋"/>
          <w:color w:val="auto"/>
          <w:kern w:val="0"/>
          <w:sz w:val="24"/>
          <w:szCs w:val="24"/>
        </w:rPr>
        <w:t>年</w:t>
      </w:r>
      <w:r>
        <w:rPr>
          <w:rFonts w:ascii="仿宋" w:hAnsi="仿宋" w:eastAsia="仿宋" w:cs="仿宋"/>
          <w:color w:val="auto"/>
          <w:kern w:val="0"/>
          <w:sz w:val="24"/>
          <w:szCs w:val="24"/>
        </w:rPr>
        <w:t xml:space="preserve"> </w:t>
      </w:r>
      <w:r>
        <w:rPr>
          <w:rFonts w:hint="eastAsia" w:ascii="仿宋" w:hAnsi="仿宋" w:eastAsia="仿宋" w:cs="仿宋"/>
          <w:color w:val="auto"/>
          <w:kern w:val="0"/>
          <w:sz w:val="24"/>
          <w:szCs w:val="24"/>
        </w:rPr>
        <w:t>月</w:t>
      </w:r>
      <w:r>
        <w:rPr>
          <w:rFonts w:ascii="仿宋" w:hAnsi="仿宋" w:eastAsia="仿宋" w:cs="仿宋"/>
          <w:color w:val="auto"/>
          <w:kern w:val="0"/>
          <w:sz w:val="24"/>
          <w:szCs w:val="24"/>
        </w:rPr>
        <w:t xml:space="preserve">  </w:t>
      </w:r>
      <w:r>
        <w:rPr>
          <w:rFonts w:hint="eastAsia" w:ascii="仿宋" w:hAnsi="仿宋" w:eastAsia="仿宋" w:cs="仿宋"/>
          <w:color w:val="auto"/>
          <w:kern w:val="0"/>
          <w:sz w:val="24"/>
          <w:szCs w:val="24"/>
        </w:rPr>
        <w:t>日</w:t>
      </w:r>
    </w:p>
    <w:p>
      <w:pPr>
        <w:widowControl/>
        <w:snapToGrid w:val="0"/>
        <w:spacing w:line="480" w:lineRule="exact"/>
        <w:ind w:left="420" w:hanging="420"/>
        <w:jc w:val="center"/>
        <w:rPr>
          <w:rFonts w:ascii="仿宋" w:hAnsi="仿宋" w:eastAsia="仿宋" w:cs="仿宋"/>
          <w:b/>
          <w:bCs/>
          <w:color w:val="auto"/>
          <w:kern w:val="0"/>
          <w:sz w:val="28"/>
          <w:szCs w:val="28"/>
        </w:rPr>
      </w:pPr>
    </w:p>
    <w:p>
      <w:pPr>
        <w:spacing w:line="480" w:lineRule="auto"/>
        <w:jc w:val="left"/>
        <w:rPr>
          <w:rStyle w:val="97"/>
          <w:rFonts w:ascii="仿宋" w:hAnsi="仿宋" w:eastAsia="仿宋" w:cs="仿宋"/>
          <w:color w:val="auto"/>
          <w:sz w:val="28"/>
          <w:szCs w:val="28"/>
        </w:rPr>
      </w:pPr>
    </w:p>
    <w:p>
      <w:pPr>
        <w:pStyle w:val="57"/>
        <w:ind w:firstLine="552"/>
        <w:rPr>
          <w:rStyle w:val="97"/>
          <w:rFonts w:ascii="仿宋" w:hAnsi="仿宋" w:eastAsia="仿宋" w:cs="仿宋"/>
          <w:color w:val="auto"/>
          <w:sz w:val="28"/>
          <w:szCs w:val="28"/>
        </w:rPr>
      </w:pPr>
    </w:p>
    <w:p>
      <w:pPr>
        <w:rPr>
          <w:rStyle w:val="97"/>
          <w:rFonts w:ascii="仿宋" w:hAnsi="仿宋" w:eastAsia="仿宋" w:cs="仿宋"/>
          <w:color w:val="auto"/>
          <w:sz w:val="28"/>
          <w:szCs w:val="28"/>
        </w:rPr>
      </w:pPr>
    </w:p>
    <w:p>
      <w:pPr>
        <w:pStyle w:val="57"/>
        <w:ind w:firstLine="552"/>
        <w:rPr>
          <w:rStyle w:val="97"/>
          <w:rFonts w:ascii="仿宋" w:hAnsi="仿宋" w:eastAsia="仿宋" w:cs="仿宋"/>
          <w:color w:val="auto"/>
          <w:sz w:val="28"/>
          <w:szCs w:val="28"/>
        </w:rPr>
      </w:pPr>
    </w:p>
    <w:p>
      <w:pPr>
        <w:rPr>
          <w:rStyle w:val="97"/>
          <w:rFonts w:ascii="仿宋" w:hAnsi="仿宋" w:eastAsia="仿宋" w:cs="仿宋"/>
          <w:color w:val="auto"/>
          <w:sz w:val="28"/>
          <w:szCs w:val="28"/>
        </w:rPr>
      </w:pPr>
    </w:p>
    <w:p>
      <w:pPr>
        <w:spacing w:line="480" w:lineRule="auto"/>
        <w:jc w:val="left"/>
        <w:rPr>
          <w:rStyle w:val="97"/>
          <w:rFonts w:ascii="仿宋" w:hAnsi="仿宋" w:eastAsia="仿宋" w:cs="仿宋"/>
          <w:color w:val="auto"/>
          <w:szCs w:val="32"/>
        </w:rPr>
      </w:pPr>
    </w:p>
    <w:p>
      <w:pPr>
        <w:spacing w:line="480" w:lineRule="auto"/>
        <w:jc w:val="left"/>
        <w:rPr>
          <w:rStyle w:val="97"/>
          <w:rFonts w:ascii="仿宋" w:hAnsi="仿宋" w:eastAsia="仿宋" w:cs="仿宋"/>
          <w:color w:val="auto"/>
          <w:szCs w:val="32"/>
        </w:rPr>
      </w:pPr>
      <w:r>
        <w:rPr>
          <w:rStyle w:val="97"/>
          <w:rFonts w:hint="eastAsia" w:ascii="仿宋" w:hAnsi="仿宋" w:eastAsia="仿宋" w:cs="仿宋"/>
          <w:color w:val="auto"/>
          <w:szCs w:val="32"/>
        </w:rPr>
        <w:t>附件四</w:t>
      </w:r>
    </w:p>
    <w:p>
      <w:pPr>
        <w:adjustRightInd w:val="0"/>
        <w:snapToGrid w:val="0"/>
        <w:jc w:val="center"/>
        <w:rPr>
          <w:rFonts w:ascii="仿宋" w:hAnsi="仿宋" w:eastAsia="仿宋" w:cs="仿宋"/>
          <w:b/>
          <w:bCs/>
          <w:iCs/>
          <w:color w:val="auto"/>
          <w:spacing w:val="20"/>
          <w:sz w:val="36"/>
          <w:szCs w:val="36"/>
        </w:rPr>
      </w:pPr>
      <w:r>
        <w:rPr>
          <w:rFonts w:hint="eastAsia" w:ascii="仿宋" w:hAnsi="仿宋" w:eastAsia="仿宋" w:cs="仿宋"/>
          <w:b/>
          <w:bCs/>
          <w:iCs/>
          <w:color w:val="auto"/>
          <w:spacing w:val="20"/>
          <w:sz w:val="36"/>
          <w:szCs w:val="36"/>
        </w:rPr>
        <w:t>技术参数对照表</w:t>
      </w:r>
    </w:p>
    <w:p>
      <w:pPr>
        <w:adjustRightInd w:val="0"/>
        <w:snapToGrid w:val="0"/>
        <w:jc w:val="center"/>
        <w:rPr>
          <w:rFonts w:ascii="仿宋" w:hAnsi="仿宋" w:eastAsia="仿宋" w:cs="仿宋"/>
          <w:b/>
          <w:bCs/>
          <w:iCs/>
          <w:color w:val="auto"/>
          <w:spacing w:val="20"/>
          <w:sz w:val="36"/>
          <w:szCs w:val="36"/>
        </w:rPr>
      </w:pPr>
    </w:p>
    <w:p>
      <w:pPr>
        <w:adjustRightInd w:val="0"/>
        <w:snapToGrid w:val="0"/>
        <w:jc w:val="center"/>
        <w:rPr>
          <w:rFonts w:ascii="仿宋" w:hAnsi="仿宋" w:eastAsia="仿宋" w:cs="仿宋"/>
          <w:iCs/>
          <w:color w:val="auto"/>
          <w:spacing w:val="20"/>
          <w:sz w:val="30"/>
          <w:szCs w:val="30"/>
        </w:rPr>
      </w:pPr>
    </w:p>
    <w:p>
      <w:pPr>
        <w:adjustRightInd w:val="0"/>
        <w:snapToGrid w:val="0"/>
        <w:spacing w:line="360" w:lineRule="auto"/>
        <w:ind w:firstLine="160" w:firstLineChars="50"/>
        <w:rPr>
          <w:rFonts w:ascii="仿宋" w:hAnsi="仿宋" w:eastAsia="仿宋" w:cs="仿宋"/>
          <w:color w:val="auto"/>
          <w:spacing w:val="20"/>
          <w:sz w:val="28"/>
          <w:szCs w:val="28"/>
        </w:rPr>
      </w:pPr>
      <w:r>
        <w:rPr>
          <w:rFonts w:hint="eastAsia" w:ascii="仿宋" w:hAnsi="仿宋" w:eastAsia="仿宋" w:cs="仿宋"/>
          <w:color w:val="auto"/>
          <w:spacing w:val="20"/>
          <w:sz w:val="28"/>
          <w:szCs w:val="28"/>
        </w:rPr>
        <w:t>招标编号：</w:t>
      </w:r>
      <w:r>
        <w:rPr>
          <w:rFonts w:hint="eastAsia" w:ascii="仿宋" w:hAnsi="仿宋" w:eastAsia="仿宋" w:cs="仿宋"/>
          <w:color w:val="auto"/>
          <w:spacing w:val="20"/>
          <w:sz w:val="28"/>
          <w:szCs w:val="28"/>
          <w:lang w:eastAsia="zh-CN"/>
        </w:rPr>
        <w:t>JDOBCG2021B-45</w:t>
      </w:r>
      <w:r>
        <w:rPr>
          <w:rFonts w:hint="eastAsia" w:ascii="仿宋" w:hAnsi="仿宋" w:eastAsia="仿宋" w:cs="仿宋"/>
          <w:color w:val="auto"/>
          <w:spacing w:val="20"/>
          <w:sz w:val="28"/>
          <w:szCs w:val="28"/>
        </w:rPr>
        <w:t xml:space="preserve">  </w:t>
      </w:r>
      <w:r>
        <w:rPr>
          <w:rFonts w:ascii="仿宋" w:hAnsi="仿宋" w:eastAsia="仿宋" w:cs="仿宋"/>
          <w:color w:val="auto"/>
          <w:spacing w:val="20"/>
          <w:sz w:val="28"/>
          <w:szCs w:val="28"/>
        </w:rPr>
        <w:t xml:space="preserve">       </w:t>
      </w:r>
    </w:p>
    <w:tbl>
      <w:tblPr>
        <w:tblStyle w:val="47"/>
        <w:tblW w:w="95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1417"/>
        <w:gridCol w:w="2835"/>
        <w:gridCol w:w="2835"/>
        <w:gridCol w:w="893"/>
        <w:gridCol w:w="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802" w:type="dxa"/>
            <w:vAlign w:val="center"/>
          </w:tcPr>
          <w:p>
            <w:pPr>
              <w:adjustRightInd w:val="0"/>
              <w:snapToGrid w:val="0"/>
              <w:jc w:val="center"/>
              <w:rPr>
                <w:rFonts w:ascii="仿宋" w:hAnsi="仿宋" w:eastAsia="仿宋" w:cs="仿宋"/>
                <w:color w:val="auto"/>
                <w:spacing w:val="20"/>
                <w:sz w:val="24"/>
                <w:szCs w:val="24"/>
              </w:rPr>
            </w:pPr>
            <w:r>
              <w:rPr>
                <w:rFonts w:hint="eastAsia" w:ascii="仿宋" w:hAnsi="仿宋" w:eastAsia="仿宋" w:cs="仿宋"/>
                <w:color w:val="auto"/>
                <w:spacing w:val="20"/>
                <w:sz w:val="24"/>
                <w:szCs w:val="24"/>
              </w:rPr>
              <w:t>序号</w:t>
            </w:r>
          </w:p>
        </w:tc>
        <w:tc>
          <w:tcPr>
            <w:tcW w:w="1417" w:type="dxa"/>
            <w:vAlign w:val="center"/>
          </w:tcPr>
          <w:p>
            <w:pPr>
              <w:adjustRightInd w:val="0"/>
              <w:snapToGrid w:val="0"/>
              <w:rPr>
                <w:rFonts w:ascii="仿宋" w:hAnsi="仿宋" w:eastAsia="仿宋" w:cs="仿宋"/>
                <w:color w:val="auto"/>
                <w:spacing w:val="20"/>
                <w:sz w:val="24"/>
                <w:szCs w:val="24"/>
              </w:rPr>
            </w:pPr>
            <w:r>
              <w:rPr>
                <w:rFonts w:hint="eastAsia" w:ascii="仿宋" w:hAnsi="仿宋" w:eastAsia="仿宋" w:cs="仿宋"/>
                <w:color w:val="auto"/>
                <w:spacing w:val="20"/>
                <w:sz w:val="24"/>
                <w:szCs w:val="24"/>
              </w:rPr>
              <w:t>采购内容</w:t>
            </w:r>
          </w:p>
        </w:tc>
        <w:tc>
          <w:tcPr>
            <w:tcW w:w="2835" w:type="dxa"/>
            <w:vAlign w:val="center"/>
          </w:tcPr>
          <w:p>
            <w:pPr>
              <w:adjustRightInd w:val="0"/>
              <w:snapToGrid w:val="0"/>
              <w:jc w:val="center"/>
              <w:rPr>
                <w:rFonts w:ascii="仿宋" w:hAnsi="仿宋" w:eastAsia="仿宋" w:cs="仿宋"/>
                <w:color w:val="auto"/>
                <w:spacing w:val="20"/>
                <w:sz w:val="24"/>
                <w:szCs w:val="24"/>
              </w:rPr>
            </w:pPr>
            <w:r>
              <w:rPr>
                <w:rFonts w:hint="eastAsia" w:ascii="仿宋" w:hAnsi="仿宋" w:eastAsia="仿宋" w:cs="仿宋"/>
                <w:color w:val="auto"/>
                <w:spacing w:val="20"/>
                <w:sz w:val="24"/>
                <w:szCs w:val="24"/>
              </w:rPr>
              <w:t>招标文件</w:t>
            </w:r>
          </w:p>
          <w:p>
            <w:pPr>
              <w:adjustRightInd w:val="0"/>
              <w:snapToGrid w:val="0"/>
              <w:jc w:val="center"/>
              <w:rPr>
                <w:rFonts w:ascii="仿宋" w:hAnsi="仿宋" w:eastAsia="仿宋" w:cs="仿宋"/>
                <w:color w:val="auto"/>
                <w:spacing w:val="20"/>
                <w:sz w:val="24"/>
                <w:szCs w:val="24"/>
              </w:rPr>
            </w:pPr>
            <w:r>
              <w:rPr>
                <w:rFonts w:hint="eastAsia" w:ascii="仿宋" w:hAnsi="仿宋" w:eastAsia="仿宋" w:cs="仿宋"/>
                <w:color w:val="auto"/>
                <w:spacing w:val="20"/>
                <w:sz w:val="24"/>
                <w:szCs w:val="24"/>
              </w:rPr>
              <w:t>技术规范和服务要求</w:t>
            </w:r>
          </w:p>
        </w:tc>
        <w:tc>
          <w:tcPr>
            <w:tcW w:w="2835" w:type="dxa"/>
            <w:vAlign w:val="center"/>
          </w:tcPr>
          <w:p>
            <w:pPr>
              <w:adjustRightInd w:val="0"/>
              <w:snapToGrid w:val="0"/>
              <w:jc w:val="center"/>
              <w:rPr>
                <w:rFonts w:ascii="仿宋" w:hAnsi="仿宋" w:eastAsia="仿宋" w:cs="仿宋"/>
                <w:color w:val="auto"/>
                <w:spacing w:val="20"/>
                <w:sz w:val="24"/>
                <w:szCs w:val="24"/>
              </w:rPr>
            </w:pPr>
            <w:r>
              <w:rPr>
                <w:rFonts w:hint="eastAsia" w:ascii="仿宋" w:hAnsi="仿宋" w:eastAsia="仿宋" w:cs="仿宋"/>
                <w:color w:val="auto"/>
                <w:spacing w:val="20"/>
                <w:sz w:val="24"/>
                <w:szCs w:val="24"/>
              </w:rPr>
              <w:t>投标文件</w:t>
            </w:r>
          </w:p>
          <w:p>
            <w:pPr>
              <w:adjustRightInd w:val="0"/>
              <w:snapToGrid w:val="0"/>
              <w:jc w:val="center"/>
              <w:rPr>
                <w:rFonts w:ascii="仿宋" w:hAnsi="仿宋" w:eastAsia="仿宋" w:cs="仿宋"/>
                <w:color w:val="auto"/>
                <w:spacing w:val="20"/>
                <w:sz w:val="24"/>
                <w:szCs w:val="24"/>
              </w:rPr>
            </w:pPr>
            <w:r>
              <w:rPr>
                <w:rFonts w:hint="eastAsia" w:ascii="仿宋" w:hAnsi="仿宋" w:eastAsia="仿宋" w:cs="仿宋"/>
                <w:color w:val="auto"/>
                <w:spacing w:val="20"/>
                <w:sz w:val="24"/>
                <w:szCs w:val="24"/>
              </w:rPr>
              <w:t>技术规范和服务要求</w:t>
            </w:r>
          </w:p>
        </w:tc>
        <w:tc>
          <w:tcPr>
            <w:tcW w:w="893" w:type="dxa"/>
            <w:vAlign w:val="center"/>
          </w:tcPr>
          <w:p>
            <w:pPr>
              <w:adjustRightInd w:val="0"/>
              <w:snapToGrid w:val="0"/>
              <w:jc w:val="center"/>
              <w:rPr>
                <w:rFonts w:ascii="仿宋" w:hAnsi="仿宋" w:eastAsia="仿宋" w:cs="仿宋"/>
                <w:color w:val="auto"/>
                <w:spacing w:val="20"/>
                <w:sz w:val="24"/>
                <w:szCs w:val="24"/>
              </w:rPr>
            </w:pPr>
            <w:r>
              <w:rPr>
                <w:rFonts w:hint="eastAsia" w:ascii="仿宋" w:hAnsi="仿宋" w:eastAsia="仿宋" w:cs="仿宋"/>
                <w:color w:val="auto"/>
                <w:spacing w:val="20"/>
                <w:sz w:val="24"/>
                <w:szCs w:val="24"/>
              </w:rPr>
              <w:t>偏离</w:t>
            </w:r>
          </w:p>
        </w:tc>
        <w:tc>
          <w:tcPr>
            <w:tcW w:w="808" w:type="dxa"/>
            <w:vAlign w:val="center"/>
          </w:tcPr>
          <w:p>
            <w:pPr>
              <w:adjustRightInd w:val="0"/>
              <w:snapToGrid w:val="0"/>
              <w:jc w:val="center"/>
              <w:rPr>
                <w:rFonts w:ascii="仿宋" w:hAnsi="仿宋" w:eastAsia="仿宋" w:cs="仿宋"/>
                <w:color w:val="auto"/>
                <w:spacing w:val="20"/>
                <w:sz w:val="24"/>
                <w:szCs w:val="24"/>
              </w:rPr>
            </w:pPr>
            <w:r>
              <w:rPr>
                <w:rFonts w:hint="eastAsia" w:ascii="仿宋" w:hAnsi="仿宋" w:eastAsia="仿宋" w:cs="仿宋"/>
                <w:color w:val="auto"/>
                <w:spacing w:val="20"/>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2" w:type="dxa"/>
            <w:vAlign w:val="center"/>
          </w:tcPr>
          <w:p>
            <w:pPr>
              <w:adjustRightInd w:val="0"/>
              <w:snapToGrid w:val="0"/>
              <w:spacing w:line="480" w:lineRule="auto"/>
              <w:jc w:val="center"/>
              <w:rPr>
                <w:rFonts w:ascii="仿宋" w:hAnsi="仿宋" w:eastAsia="仿宋" w:cs="仿宋"/>
                <w:color w:val="auto"/>
                <w:spacing w:val="20"/>
                <w:sz w:val="24"/>
                <w:szCs w:val="24"/>
              </w:rPr>
            </w:pPr>
          </w:p>
        </w:tc>
        <w:tc>
          <w:tcPr>
            <w:tcW w:w="1417" w:type="dxa"/>
          </w:tcPr>
          <w:p>
            <w:pPr>
              <w:adjustRightInd w:val="0"/>
              <w:snapToGrid w:val="0"/>
              <w:spacing w:line="480" w:lineRule="auto"/>
              <w:jc w:val="center"/>
              <w:rPr>
                <w:rFonts w:ascii="仿宋" w:hAnsi="仿宋" w:eastAsia="仿宋" w:cs="仿宋"/>
                <w:color w:val="auto"/>
                <w:spacing w:val="20"/>
                <w:sz w:val="24"/>
                <w:szCs w:val="24"/>
              </w:rPr>
            </w:pPr>
          </w:p>
        </w:tc>
        <w:tc>
          <w:tcPr>
            <w:tcW w:w="2835" w:type="dxa"/>
          </w:tcPr>
          <w:p>
            <w:pPr>
              <w:adjustRightInd w:val="0"/>
              <w:snapToGrid w:val="0"/>
              <w:spacing w:line="480" w:lineRule="auto"/>
              <w:jc w:val="center"/>
              <w:rPr>
                <w:rFonts w:ascii="仿宋" w:hAnsi="仿宋" w:eastAsia="仿宋" w:cs="仿宋"/>
                <w:color w:val="auto"/>
                <w:spacing w:val="20"/>
                <w:sz w:val="24"/>
                <w:szCs w:val="24"/>
              </w:rPr>
            </w:pPr>
          </w:p>
        </w:tc>
        <w:tc>
          <w:tcPr>
            <w:tcW w:w="2835" w:type="dxa"/>
            <w:vAlign w:val="center"/>
          </w:tcPr>
          <w:p>
            <w:pPr>
              <w:adjustRightInd w:val="0"/>
              <w:snapToGrid w:val="0"/>
              <w:spacing w:line="480" w:lineRule="auto"/>
              <w:jc w:val="center"/>
              <w:rPr>
                <w:rFonts w:ascii="仿宋" w:hAnsi="仿宋" w:eastAsia="仿宋" w:cs="仿宋"/>
                <w:color w:val="auto"/>
                <w:spacing w:val="20"/>
                <w:sz w:val="24"/>
                <w:szCs w:val="24"/>
              </w:rPr>
            </w:pPr>
          </w:p>
        </w:tc>
        <w:tc>
          <w:tcPr>
            <w:tcW w:w="893" w:type="dxa"/>
            <w:vAlign w:val="center"/>
          </w:tcPr>
          <w:p>
            <w:pPr>
              <w:adjustRightInd w:val="0"/>
              <w:snapToGrid w:val="0"/>
              <w:spacing w:line="480" w:lineRule="auto"/>
              <w:jc w:val="center"/>
              <w:rPr>
                <w:rFonts w:ascii="仿宋" w:hAnsi="仿宋" w:eastAsia="仿宋" w:cs="仿宋"/>
                <w:color w:val="auto"/>
                <w:spacing w:val="20"/>
                <w:sz w:val="24"/>
                <w:szCs w:val="24"/>
              </w:rPr>
            </w:pPr>
          </w:p>
        </w:tc>
        <w:tc>
          <w:tcPr>
            <w:tcW w:w="808" w:type="dxa"/>
            <w:vAlign w:val="center"/>
          </w:tcPr>
          <w:p>
            <w:pPr>
              <w:adjustRightInd w:val="0"/>
              <w:snapToGrid w:val="0"/>
              <w:spacing w:line="480" w:lineRule="auto"/>
              <w:jc w:val="center"/>
              <w:rPr>
                <w:rFonts w:ascii="仿宋" w:hAnsi="仿宋" w:eastAsia="仿宋" w:cs="仿宋"/>
                <w:color w:val="auto"/>
                <w:spacing w:val="2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2" w:type="dxa"/>
            <w:vAlign w:val="center"/>
          </w:tcPr>
          <w:p>
            <w:pPr>
              <w:adjustRightInd w:val="0"/>
              <w:snapToGrid w:val="0"/>
              <w:spacing w:line="480" w:lineRule="auto"/>
              <w:jc w:val="center"/>
              <w:rPr>
                <w:rFonts w:ascii="仿宋" w:hAnsi="仿宋" w:eastAsia="仿宋" w:cs="仿宋"/>
                <w:color w:val="auto"/>
                <w:spacing w:val="20"/>
                <w:sz w:val="24"/>
                <w:szCs w:val="24"/>
              </w:rPr>
            </w:pPr>
          </w:p>
        </w:tc>
        <w:tc>
          <w:tcPr>
            <w:tcW w:w="1417" w:type="dxa"/>
          </w:tcPr>
          <w:p>
            <w:pPr>
              <w:adjustRightInd w:val="0"/>
              <w:snapToGrid w:val="0"/>
              <w:spacing w:line="480" w:lineRule="auto"/>
              <w:jc w:val="center"/>
              <w:rPr>
                <w:rFonts w:ascii="仿宋" w:hAnsi="仿宋" w:eastAsia="仿宋" w:cs="仿宋"/>
                <w:color w:val="auto"/>
                <w:spacing w:val="20"/>
                <w:sz w:val="24"/>
                <w:szCs w:val="24"/>
              </w:rPr>
            </w:pPr>
          </w:p>
        </w:tc>
        <w:tc>
          <w:tcPr>
            <w:tcW w:w="2835" w:type="dxa"/>
          </w:tcPr>
          <w:p>
            <w:pPr>
              <w:adjustRightInd w:val="0"/>
              <w:snapToGrid w:val="0"/>
              <w:spacing w:line="480" w:lineRule="auto"/>
              <w:jc w:val="center"/>
              <w:rPr>
                <w:rFonts w:ascii="仿宋" w:hAnsi="仿宋" w:eastAsia="仿宋" w:cs="仿宋"/>
                <w:color w:val="auto"/>
                <w:spacing w:val="20"/>
                <w:sz w:val="24"/>
                <w:szCs w:val="24"/>
              </w:rPr>
            </w:pPr>
          </w:p>
        </w:tc>
        <w:tc>
          <w:tcPr>
            <w:tcW w:w="2835" w:type="dxa"/>
            <w:vAlign w:val="center"/>
          </w:tcPr>
          <w:p>
            <w:pPr>
              <w:adjustRightInd w:val="0"/>
              <w:snapToGrid w:val="0"/>
              <w:spacing w:line="480" w:lineRule="auto"/>
              <w:jc w:val="center"/>
              <w:rPr>
                <w:rFonts w:ascii="仿宋" w:hAnsi="仿宋" w:eastAsia="仿宋" w:cs="仿宋"/>
                <w:color w:val="auto"/>
                <w:spacing w:val="20"/>
                <w:sz w:val="24"/>
                <w:szCs w:val="24"/>
              </w:rPr>
            </w:pPr>
          </w:p>
        </w:tc>
        <w:tc>
          <w:tcPr>
            <w:tcW w:w="893" w:type="dxa"/>
            <w:vAlign w:val="center"/>
          </w:tcPr>
          <w:p>
            <w:pPr>
              <w:adjustRightInd w:val="0"/>
              <w:snapToGrid w:val="0"/>
              <w:spacing w:line="480" w:lineRule="auto"/>
              <w:jc w:val="center"/>
              <w:rPr>
                <w:rFonts w:ascii="仿宋" w:hAnsi="仿宋" w:eastAsia="仿宋" w:cs="仿宋"/>
                <w:color w:val="auto"/>
                <w:spacing w:val="20"/>
                <w:sz w:val="24"/>
                <w:szCs w:val="24"/>
              </w:rPr>
            </w:pPr>
          </w:p>
        </w:tc>
        <w:tc>
          <w:tcPr>
            <w:tcW w:w="808" w:type="dxa"/>
            <w:vAlign w:val="center"/>
          </w:tcPr>
          <w:p>
            <w:pPr>
              <w:adjustRightInd w:val="0"/>
              <w:snapToGrid w:val="0"/>
              <w:spacing w:line="480" w:lineRule="auto"/>
              <w:jc w:val="center"/>
              <w:rPr>
                <w:rFonts w:ascii="仿宋" w:hAnsi="仿宋" w:eastAsia="仿宋" w:cs="仿宋"/>
                <w:color w:val="auto"/>
                <w:spacing w:val="2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2" w:type="dxa"/>
            <w:vAlign w:val="center"/>
          </w:tcPr>
          <w:p>
            <w:pPr>
              <w:adjustRightInd w:val="0"/>
              <w:snapToGrid w:val="0"/>
              <w:spacing w:line="480" w:lineRule="auto"/>
              <w:jc w:val="center"/>
              <w:rPr>
                <w:rFonts w:ascii="仿宋" w:hAnsi="仿宋" w:eastAsia="仿宋" w:cs="仿宋"/>
                <w:color w:val="auto"/>
                <w:spacing w:val="20"/>
                <w:sz w:val="24"/>
                <w:szCs w:val="24"/>
              </w:rPr>
            </w:pPr>
          </w:p>
        </w:tc>
        <w:tc>
          <w:tcPr>
            <w:tcW w:w="1417" w:type="dxa"/>
          </w:tcPr>
          <w:p>
            <w:pPr>
              <w:adjustRightInd w:val="0"/>
              <w:snapToGrid w:val="0"/>
              <w:spacing w:line="480" w:lineRule="auto"/>
              <w:jc w:val="center"/>
              <w:rPr>
                <w:rFonts w:ascii="仿宋" w:hAnsi="仿宋" w:eastAsia="仿宋" w:cs="仿宋"/>
                <w:color w:val="auto"/>
                <w:spacing w:val="20"/>
                <w:sz w:val="24"/>
                <w:szCs w:val="24"/>
              </w:rPr>
            </w:pPr>
          </w:p>
        </w:tc>
        <w:tc>
          <w:tcPr>
            <w:tcW w:w="2835" w:type="dxa"/>
          </w:tcPr>
          <w:p>
            <w:pPr>
              <w:adjustRightInd w:val="0"/>
              <w:snapToGrid w:val="0"/>
              <w:spacing w:line="480" w:lineRule="auto"/>
              <w:jc w:val="center"/>
              <w:rPr>
                <w:rFonts w:ascii="仿宋" w:hAnsi="仿宋" w:eastAsia="仿宋" w:cs="仿宋"/>
                <w:color w:val="auto"/>
                <w:spacing w:val="20"/>
                <w:sz w:val="24"/>
                <w:szCs w:val="24"/>
              </w:rPr>
            </w:pPr>
          </w:p>
        </w:tc>
        <w:tc>
          <w:tcPr>
            <w:tcW w:w="2835" w:type="dxa"/>
            <w:vAlign w:val="center"/>
          </w:tcPr>
          <w:p>
            <w:pPr>
              <w:adjustRightInd w:val="0"/>
              <w:snapToGrid w:val="0"/>
              <w:spacing w:line="480" w:lineRule="auto"/>
              <w:jc w:val="center"/>
              <w:rPr>
                <w:rFonts w:ascii="仿宋" w:hAnsi="仿宋" w:eastAsia="仿宋" w:cs="仿宋"/>
                <w:color w:val="auto"/>
                <w:spacing w:val="20"/>
                <w:sz w:val="24"/>
                <w:szCs w:val="24"/>
              </w:rPr>
            </w:pPr>
          </w:p>
        </w:tc>
        <w:tc>
          <w:tcPr>
            <w:tcW w:w="893" w:type="dxa"/>
            <w:vAlign w:val="center"/>
          </w:tcPr>
          <w:p>
            <w:pPr>
              <w:adjustRightInd w:val="0"/>
              <w:snapToGrid w:val="0"/>
              <w:spacing w:line="480" w:lineRule="auto"/>
              <w:jc w:val="center"/>
              <w:rPr>
                <w:rFonts w:ascii="仿宋" w:hAnsi="仿宋" w:eastAsia="仿宋" w:cs="仿宋"/>
                <w:color w:val="auto"/>
                <w:spacing w:val="20"/>
                <w:sz w:val="24"/>
                <w:szCs w:val="24"/>
              </w:rPr>
            </w:pPr>
          </w:p>
        </w:tc>
        <w:tc>
          <w:tcPr>
            <w:tcW w:w="808" w:type="dxa"/>
            <w:vAlign w:val="center"/>
          </w:tcPr>
          <w:p>
            <w:pPr>
              <w:adjustRightInd w:val="0"/>
              <w:snapToGrid w:val="0"/>
              <w:spacing w:line="480" w:lineRule="auto"/>
              <w:jc w:val="center"/>
              <w:rPr>
                <w:rFonts w:ascii="仿宋" w:hAnsi="仿宋" w:eastAsia="仿宋" w:cs="仿宋"/>
                <w:color w:val="auto"/>
                <w:spacing w:val="2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2" w:type="dxa"/>
            <w:vAlign w:val="center"/>
          </w:tcPr>
          <w:p>
            <w:pPr>
              <w:adjustRightInd w:val="0"/>
              <w:snapToGrid w:val="0"/>
              <w:spacing w:line="480" w:lineRule="auto"/>
              <w:jc w:val="center"/>
              <w:rPr>
                <w:rFonts w:ascii="仿宋" w:hAnsi="仿宋" w:eastAsia="仿宋" w:cs="仿宋"/>
                <w:color w:val="auto"/>
                <w:spacing w:val="20"/>
                <w:sz w:val="24"/>
                <w:szCs w:val="24"/>
              </w:rPr>
            </w:pPr>
          </w:p>
        </w:tc>
        <w:tc>
          <w:tcPr>
            <w:tcW w:w="1417" w:type="dxa"/>
          </w:tcPr>
          <w:p>
            <w:pPr>
              <w:adjustRightInd w:val="0"/>
              <w:snapToGrid w:val="0"/>
              <w:spacing w:line="480" w:lineRule="auto"/>
              <w:jc w:val="center"/>
              <w:rPr>
                <w:rFonts w:ascii="仿宋" w:hAnsi="仿宋" w:eastAsia="仿宋" w:cs="仿宋"/>
                <w:color w:val="auto"/>
                <w:spacing w:val="20"/>
                <w:sz w:val="24"/>
                <w:szCs w:val="24"/>
              </w:rPr>
            </w:pPr>
          </w:p>
        </w:tc>
        <w:tc>
          <w:tcPr>
            <w:tcW w:w="2835" w:type="dxa"/>
          </w:tcPr>
          <w:p>
            <w:pPr>
              <w:adjustRightInd w:val="0"/>
              <w:snapToGrid w:val="0"/>
              <w:spacing w:line="480" w:lineRule="auto"/>
              <w:jc w:val="center"/>
              <w:rPr>
                <w:rFonts w:ascii="仿宋" w:hAnsi="仿宋" w:eastAsia="仿宋" w:cs="仿宋"/>
                <w:color w:val="auto"/>
                <w:spacing w:val="20"/>
                <w:sz w:val="24"/>
                <w:szCs w:val="24"/>
              </w:rPr>
            </w:pPr>
          </w:p>
        </w:tc>
        <w:tc>
          <w:tcPr>
            <w:tcW w:w="2835" w:type="dxa"/>
            <w:vAlign w:val="center"/>
          </w:tcPr>
          <w:p>
            <w:pPr>
              <w:adjustRightInd w:val="0"/>
              <w:snapToGrid w:val="0"/>
              <w:spacing w:line="480" w:lineRule="auto"/>
              <w:jc w:val="center"/>
              <w:rPr>
                <w:rFonts w:ascii="仿宋" w:hAnsi="仿宋" w:eastAsia="仿宋" w:cs="仿宋"/>
                <w:color w:val="auto"/>
                <w:spacing w:val="20"/>
                <w:sz w:val="24"/>
                <w:szCs w:val="24"/>
              </w:rPr>
            </w:pPr>
          </w:p>
        </w:tc>
        <w:tc>
          <w:tcPr>
            <w:tcW w:w="893" w:type="dxa"/>
            <w:vAlign w:val="center"/>
          </w:tcPr>
          <w:p>
            <w:pPr>
              <w:adjustRightInd w:val="0"/>
              <w:snapToGrid w:val="0"/>
              <w:spacing w:line="480" w:lineRule="auto"/>
              <w:jc w:val="center"/>
              <w:rPr>
                <w:rFonts w:ascii="仿宋" w:hAnsi="仿宋" w:eastAsia="仿宋" w:cs="仿宋"/>
                <w:color w:val="auto"/>
                <w:spacing w:val="20"/>
                <w:sz w:val="24"/>
                <w:szCs w:val="24"/>
              </w:rPr>
            </w:pPr>
          </w:p>
        </w:tc>
        <w:tc>
          <w:tcPr>
            <w:tcW w:w="808" w:type="dxa"/>
            <w:vAlign w:val="center"/>
          </w:tcPr>
          <w:p>
            <w:pPr>
              <w:adjustRightInd w:val="0"/>
              <w:snapToGrid w:val="0"/>
              <w:spacing w:line="480" w:lineRule="auto"/>
              <w:jc w:val="center"/>
              <w:rPr>
                <w:rFonts w:ascii="仿宋" w:hAnsi="仿宋" w:eastAsia="仿宋" w:cs="仿宋"/>
                <w:color w:val="auto"/>
                <w:spacing w:val="2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2" w:type="dxa"/>
            <w:vAlign w:val="center"/>
          </w:tcPr>
          <w:p>
            <w:pPr>
              <w:adjustRightInd w:val="0"/>
              <w:snapToGrid w:val="0"/>
              <w:spacing w:line="480" w:lineRule="auto"/>
              <w:jc w:val="center"/>
              <w:rPr>
                <w:rFonts w:ascii="仿宋" w:hAnsi="仿宋" w:eastAsia="仿宋" w:cs="仿宋"/>
                <w:color w:val="auto"/>
                <w:spacing w:val="20"/>
                <w:sz w:val="24"/>
                <w:szCs w:val="24"/>
              </w:rPr>
            </w:pPr>
          </w:p>
        </w:tc>
        <w:tc>
          <w:tcPr>
            <w:tcW w:w="1417" w:type="dxa"/>
          </w:tcPr>
          <w:p>
            <w:pPr>
              <w:adjustRightInd w:val="0"/>
              <w:snapToGrid w:val="0"/>
              <w:spacing w:line="480" w:lineRule="auto"/>
              <w:jc w:val="center"/>
              <w:rPr>
                <w:rFonts w:ascii="仿宋" w:hAnsi="仿宋" w:eastAsia="仿宋" w:cs="仿宋"/>
                <w:color w:val="auto"/>
                <w:spacing w:val="20"/>
                <w:sz w:val="24"/>
                <w:szCs w:val="24"/>
              </w:rPr>
            </w:pPr>
          </w:p>
        </w:tc>
        <w:tc>
          <w:tcPr>
            <w:tcW w:w="2835" w:type="dxa"/>
          </w:tcPr>
          <w:p>
            <w:pPr>
              <w:adjustRightInd w:val="0"/>
              <w:snapToGrid w:val="0"/>
              <w:spacing w:line="480" w:lineRule="auto"/>
              <w:jc w:val="center"/>
              <w:rPr>
                <w:rFonts w:ascii="仿宋" w:hAnsi="仿宋" w:eastAsia="仿宋" w:cs="仿宋"/>
                <w:color w:val="auto"/>
                <w:spacing w:val="20"/>
                <w:sz w:val="24"/>
                <w:szCs w:val="24"/>
              </w:rPr>
            </w:pPr>
          </w:p>
        </w:tc>
        <w:tc>
          <w:tcPr>
            <w:tcW w:w="2835" w:type="dxa"/>
            <w:vAlign w:val="center"/>
          </w:tcPr>
          <w:p>
            <w:pPr>
              <w:adjustRightInd w:val="0"/>
              <w:snapToGrid w:val="0"/>
              <w:spacing w:line="480" w:lineRule="auto"/>
              <w:jc w:val="center"/>
              <w:rPr>
                <w:rFonts w:ascii="仿宋" w:hAnsi="仿宋" w:eastAsia="仿宋" w:cs="仿宋"/>
                <w:color w:val="auto"/>
                <w:spacing w:val="20"/>
                <w:sz w:val="24"/>
                <w:szCs w:val="24"/>
              </w:rPr>
            </w:pPr>
          </w:p>
        </w:tc>
        <w:tc>
          <w:tcPr>
            <w:tcW w:w="893" w:type="dxa"/>
            <w:vAlign w:val="center"/>
          </w:tcPr>
          <w:p>
            <w:pPr>
              <w:adjustRightInd w:val="0"/>
              <w:snapToGrid w:val="0"/>
              <w:spacing w:line="480" w:lineRule="auto"/>
              <w:jc w:val="center"/>
              <w:rPr>
                <w:rFonts w:ascii="仿宋" w:hAnsi="仿宋" w:eastAsia="仿宋" w:cs="仿宋"/>
                <w:color w:val="auto"/>
                <w:spacing w:val="20"/>
                <w:sz w:val="24"/>
                <w:szCs w:val="24"/>
              </w:rPr>
            </w:pPr>
          </w:p>
        </w:tc>
        <w:tc>
          <w:tcPr>
            <w:tcW w:w="808" w:type="dxa"/>
            <w:vAlign w:val="center"/>
          </w:tcPr>
          <w:p>
            <w:pPr>
              <w:adjustRightInd w:val="0"/>
              <w:snapToGrid w:val="0"/>
              <w:spacing w:line="480" w:lineRule="auto"/>
              <w:jc w:val="center"/>
              <w:rPr>
                <w:rFonts w:ascii="仿宋" w:hAnsi="仿宋" w:eastAsia="仿宋" w:cs="仿宋"/>
                <w:color w:val="auto"/>
                <w:spacing w:val="2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2" w:type="dxa"/>
            <w:vAlign w:val="center"/>
          </w:tcPr>
          <w:p>
            <w:pPr>
              <w:adjustRightInd w:val="0"/>
              <w:snapToGrid w:val="0"/>
              <w:spacing w:line="480" w:lineRule="auto"/>
              <w:jc w:val="center"/>
              <w:rPr>
                <w:rFonts w:ascii="仿宋" w:hAnsi="仿宋" w:eastAsia="仿宋" w:cs="仿宋"/>
                <w:b/>
                <w:color w:val="auto"/>
                <w:spacing w:val="20"/>
                <w:sz w:val="24"/>
                <w:szCs w:val="24"/>
              </w:rPr>
            </w:pPr>
            <w:r>
              <w:rPr>
                <w:rFonts w:hint="eastAsia" w:ascii="仿宋" w:hAnsi="仿宋" w:eastAsia="仿宋" w:cs="仿宋"/>
                <w:b/>
                <w:color w:val="auto"/>
                <w:spacing w:val="20"/>
                <w:sz w:val="24"/>
                <w:szCs w:val="24"/>
              </w:rPr>
              <w:t>……</w:t>
            </w:r>
          </w:p>
        </w:tc>
        <w:tc>
          <w:tcPr>
            <w:tcW w:w="1417" w:type="dxa"/>
          </w:tcPr>
          <w:p>
            <w:pPr>
              <w:adjustRightInd w:val="0"/>
              <w:snapToGrid w:val="0"/>
              <w:spacing w:line="480" w:lineRule="auto"/>
              <w:jc w:val="center"/>
              <w:rPr>
                <w:rFonts w:ascii="仿宋" w:hAnsi="仿宋" w:eastAsia="仿宋" w:cs="仿宋"/>
                <w:color w:val="auto"/>
                <w:spacing w:val="20"/>
                <w:sz w:val="24"/>
                <w:szCs w:val="24"/>
              </w:rPr>
            </w:pPr>
          </w:p>
        </w:tc>
        <w:tc>
          <w:tcPr>
            <w:tcW w:w="2835" w:type="dxa"/>
          </w:tcPr>
          <w:p>
            <w:pPr>
              <w:adjustRightInd w:val="0"/>
              <w:snapToGrid w:val="0"/>
              <w:spacing w:line="480" w:lineRule="auto"/>
              <w:jc w:val="center"/>
              <w:rPr>
                <w:rFonts w:ascii="仿宋" w:hAnsi="仿宋" w:eastAsia="仿宋" w:cs="仿宋"/>
                <w:color w:val="auto"/>
                <w:spacing w:val="20"/>
                <w:sz w:val="24"/>
                <w:szCs w:val="24"/>
              </w:rPr>
            </w:pPr>
          </w:p>
        </w:tc>
        <w:tc>
          <w:tcPr>
            <w:tcW w:w="2835" w:type="dxa"/>
            <w:vAlign w:val="center"/>
          </w:tcPr>
          <w:p>
            <w:pPr>
              <w:adjustRightInd w:val="0"/>
              <w:snapToGrid w:val="0"/>
              <w:spacing w:line="480" w:lineRule="auto"/>
              <w:jc w:val="center"/>
              <w:rPr>
                <w:rFonts w:ascii="仿宋" w:hAnsi="仿宋" w:eastAsia="仿宋" w:cs="仿宋"/>
                <w:color w:val="auto"/>
                <w:spacing w:val="20"/>
                <w:sz w:val="24"/>
                <w:szCs w:val="24"/>
              </w:rPr>
            </w:pPr>
          </w:p>
        </w:tc>
        <w:tc>
          <w:tcPr>
            <w:tcW w:w="893" w:type="dxa"/>
            <w:vAlign w:val="center"/>
          </w:tcPr>
          <w:p>
            <w:pPr>
              <w:adjustRightInd w:val="0"/>
              <w:snapToGrid w:val="0"/>
              <w:spacing w:line="480" w:lineRule="auto"/>
              <w:jc w:val="center"/>
              <w:rPr>
                <w:rFonts w:ascii="仿宋" w:hAnsi="仿宋" w:eastAsia="仿宋" w:cs="仿宋"/>
                <w:color w:val="auto"/>
                <w:spacing w:val="20"/>
                <w:sz w:val="24"/>
                <w:szCs w:val="24"/>
              </w:rPr>
            </w:pPr>
          </w:p>
        </w:tc>
        <w:tc>
          <w:tcPr>
            <w:tcW w:w="808" w:type="dxa"/>
            <w:vAlign w:val="center"/>
          </w:tcPr>
          <w:p>
            <w:pPr>
              <w:adjustRightInd w:val="0"/>
              <w:snapToGrid w:val="0"/>
              <w:spacing w:line="480" w:lineRule="auto"/>
              <w:jc w:val="center"/>
              <w:rPr>
                <w:rFonts w:ascii="仿宋" w:hAnsi="仿宋" w:eastAsia="仿宋" w:cs="仿宋"/>
                <w:color w:val="auto"/>
                <w:spacing w:val="20"/>
                <w:sz w:val="24"/>
                <w:szCs w:val="24"/>
              </w:rPr>
            </w:pPr>
          </w:p>
        </w:tc>
      </w:tr>
    </w:tbl>
    <w:p>
      <w:pPr>
        <w:adjustRightInd w:val="0"/>
        <w:snapToGrid w:val="0"/>
        <w:spacing w:line="500" w:lineRule="exact"/>
        <w:ind w:firstLine="800" w:firstLineChars="250"/>
        <w:rPr>
          <w:rFonts w:ascii="仿宋" w:hAnsi="仿宋" w:eastAsia="仿宋" w:cs="仿宋"/>
          <w:color w:val="auto"/>
          <w:spacing w:val="20"/>
          <w:sz w:val="28"/>
          <w:szCs w:val="28"/>
        </w:rPr>
      </w:pPr>
    </w:p>
    <w:p>
      <w:pPr>
        <w:adjustRightInd w:val="0"/>
        <w:snapToGrid w:val="0"/>
        <w:spacing w:line="500" w:lineRule="exact"/>
        <w:ind w:firstLine="800" w:firstLineChars="250"/>
        <w:rPr>
          <w:rFonts w:ascii="仿宋" w:hAnsi="仿宋" w:eastAsia="仿宋" w:cs="仿宋"/>
          <w:color w:val="auto"/>
          <w:sz w:val="28"/>
          <w:szCs w:val="28"/>
        </w:rPr>
      </w:pPr>
      <w:r>
        <w:rPr>
          <w:rFonts w:hint="eastAsia" w:ascii="仿宋" w:hAnsi="仿宋" w:eastAsia="仿宋" w:cs="仿宋"/>
          <w:color w:val="auto"/>
          <w:spacing w:val="20"/>
          <w:sz w:val="28"/>
          <w:szCs w:val="28"/>
        </w:rPr>
        <w:t>注：</w:t>
      </w:r>
      <w:r>
        <w:rPr>
          <w:rFonts w:ascii="仿宋" w:hAnsi="仿宋" w:eastAsia="仿宋" w:cs="仿宋"/>
          <w:color w:val="auto"/>
          <w:spacing w:val="20"/>
          <w:sz w:val="28"/>
          <w:szCs w:val="28"/>
        </w:rPr>
        <w:t>1</w:t>
      </w:r>
      <w:r>
        <w:rPr>
          <w:rFonts w:hint="eastAsia" w:ascii="仿宋" w:hAnsi="仿宋" w:eastAsia="仿宋" w:cs="仿宋"/>
          <w:color w:val="auto"/>
          <w:spacing w:val="20"/>
          <w:sz w:val="28"/>
          <w:szCs w:val="28"/>
        </w:rPr>
        <w:t>、必须与相应项目的所有技术规格相比较填列。</w:t>
      </w:r>
    </w:p>
    <w:p>
      <w:pPr>
        <w:adjustRightInd w:val="0"/>
        <w:snapToGrid w:val="0"/>
        <w:rPr>
          <w:rFonts w:ascii="仿宋" w:hAnsi="仿宋" w:eastAsia="仿宋" w:cs="仿宋"/>
          <w:color w:val="auto"/>
          <w:spacing w:val="20"/>
          <w:sz w:val="28"/>
          <w:szCs w:val="28"/>
        </w:rPr>
      </w:pPr>
    </w:p>
    <w:p>
      <w:pPr>
        <w:adjustRightInd w:val="0"/>
        <w:snapToGrid w:val="0"/>
        <w:rPr>
          <w:rFonts w:ascii="仿宋" w:hAnsi="仿宋" w:eastAsia="仿宋" w:cs="仿宋"/>
          <w:color w:val="auto"/>
          <w:spacing w:val="20"/>
          <w:sz w:val="28"/>
          <w:szCs w:val="28"/>
        </w:rPr>
      </w:pPr>
    </w:p>
    <w:p>
      <w:pPr>
        <w:adjustRightInd w:val="0"/>
        <w:snapToGrid w:val="0"/>
        <w:jc w:val="center"/>
        <w:rPr>
          <w:rFonts w:ascii="仿宋" w:hAnsi="仿宋" w:eastAsia="仿宋" w:cs="仿宋"/>
          <w:color w:val="auto"/>
          <w:spacing w:val="20"/>
          <w:sz w:val="28"/>
          <w:szCs w:val="28"/>
        </w:rPr>
      </w:pPr>
    </w:p>
    <w:p>
      <w:pPr>
        <w:autoSpaceDE w:val="0"/>
        <w:adjustRightInd w:val="0"/>
        <w:snapToGrid w:val="0"/>
        <w:ind w:firstLine="3735" w:firstLineChars="1550"/>
        <w:rPr>
          <w:rFonts w:ascii="仿宋" w:hAnsi="仿宋" w:eastAsia="仿宋" w:cs="仿宋"/>
          <w:b/>
          <w:bCs/>
          <w:color w:val="auto"/>
          <w:kern w:val="0"/>
          <w:sz w:val="24"/>
        </w:rPr>
      </w:pPr>
    </w:p>
    <w:p>
      <w:pPr>
        <w:widowControl/>
        <w:snapToGrid w:val="0"/>
        <w:spacing w:line="480" w:lineRule="exact"/>
        <w:ind w:firstLine="218" w:firstLineChars="78"/>
        <w:rPr>
          <w:rFonts w:ascii="仿宋" w:hAnsi="仿宋" w:eastAsia="仿宋" w:cs="仿宋"/>
          <w:color w:val="auto"/>
          <w:kern w:val="0"/>
          <w:sz w:val="28"/>
          <w:szCs w:val="28"/>
        </w:rPr>
      </w:pPr>
      <w:r>
        <w:rPr>
          <w:rFonts w:hint="eastAsia" w:ascii="仿宋" w:hAnsi="仿宋" w:eastAsia="仿宋" w:cs="仿宋"/>
          <w:color w:val="auto"/>
          <w:kern w:val="0"/>
          <w:sz w:val="28"/>
          <w:szCs w:val="28"/>
        </w:rPr>
        <w:t>全权代表</w:t>
      </w:r>
      <w:r>
        <w:rPr>
          <w:rFonts w:ascii="仿宋" w:hAnsi="仿宋" w:eastAsia="仿宋" w:cs="仿宋"/>
          <w:color w:val="auto"/>
          <w:kern w:val="0"/>
          <w:sz w:val="28"/>
          <w:szCs w:val="28"/>
        </w:rPr>
        <w:t>(</w:t>
      </w:r>
      <w:r>
        <w:rPr>
          <w:rFonts w:hint="eastAsia" w:ascii="仿宋" w:hAnsi="仿宋" w:eastAsia="仿宋" w:cs="仿宋"/>
          <w:color w:val="auto"/>
          <w:kern w:val="0"/>
          <w:sz w:val="28"/>
          <w:szCs w:val="28"/>
        </w:rPr>
        <w:t>签字</w:t>
      </w:r>
      <w:r>
        <w:rPr>
          <w:rFonts w:ascii="仿宋" w:hAnsi="仿宋" w:eastAsia="仿宋" w:cs="仿宋"/>
          <w:color w:val="auto"/>
          <w:kern w:val="0"/>
          <w:sz w:val="28"/>
          <w:szCs w:val="28"/>
        </w:rPr>
        <w:t>)</w:t>
      </w:r>
      <w:r>
        <w:rPr>
          <w:rFonts w:hint="eastAsia" w:ascii="仿宋" w:hAnsi="仿宋" w:eastAsia="仿宋" w:cs="仿宋"/>
          <w:color w:val="auto"/>
          <w:kern w:val="0"/>
          <w:sz w:val="28"/>
          <w:szCs w:val="28"/>
        </w:rPr>
        <w:t>：</w:t>
      </w:r>
    </w:p>
    <w:p>
      <w:pPr>
        <w:widowControl/>
        <w:snapToGrid w:val="0"/>
        <w:spacing w:line="480" w:lineRule="exact"/>
        <w:ind w:firstLine="218" w:firstLineChars="78"/>
        <w:rPr>
          <w:rFonts w:ascii="仿宋" w:hAnsi="仿宋" w:eastAsia="仿宋" w:cs="仿宋"/>
          <w:color w:val="auto"/>
          <w:kern w:val="0"/>
          <w:sz w:val="28"/>
          <w:szCs w:val="28"/>
        </w:rPr>
      </w:pPr>
      <w:r>
        <w:rPr>
          <w:rFonts w:hint="eastAsia" w:ascii="仿宋" w:hAnsi="仿宋" w:eastAsia="仿宋" w:cs="仿宋"/>
          <w:color w:val="auto"/>
          <w:kern w:val="0"/>
          <w:sz w:val="28"/>
          <w:szCs w:val="28"/>
        </w:rPr>
        <w:t>投标供应商</w:t>
      </w:r>
      <w:r>
        <w:rPr>
          <w:rFonts w:ascii="仿宋" w:hAnsi="仿宋" w:eastAsia="仿宋" w:cs="仿宋"/>
          <w:color w:val="auto"/>
          <w:kern w:val="0"/>
          <w:sz w:val="28"/>
          <w:szCs w:val="28"/>
        </w:rPr>
        <w:t>(</w:t>
      </w:r>
      <w:r>
        <w:rPr>
          <w:rFonts w:hint="eastAsia" w:ascii="仿宋" w:hAnsi="仿宋" w:eastAsia="仿宋" w:cs="仿宋"/>
          <w:color w:val="auto"/>
          <w:kern w:val="0"/>
          <w:sz w:val="28"/>
          <w:szCs w:val="28"/>
        </w:rPr>
        <w:t>盖章</w:t>
      </w:r>
      <w:r>
        <w:rPr>
          <w:rFonts w:ascii="仿宋" w:hAnsi="仿宋" w:eastAsia="仿宋" w:cs="仿宋"/>
          <w:color w:val="auto"/>
          <w:kern w:val="0"/>
          <w:sz w:val="28"/>
          <w:szCs w:val="28"/>
        </w:rPr>
        <w:t>)</w:t>
      </w:r>
      <w:r>
        <w:rPr>
          <w:rFonts w:hint="eastAsia" w:ascii="仿宋" w:hAnsi="仿宋" w:eastAsia="仿宋" w:cs="仿宋"/>
          <w:color w:val="auto"/>
          <w:kern w:val="0"/>
          <w:sz w:val="28"/>
          <w:szCs w:val="28"/>
        </w:rPr>
        <w:t>：</w:t>
      </w:r>
    </w:p>
    <w:p>
      <w:pPr>
        <w:autoSpaceDE w:val="0"/>
        <w:adjustRightInd w:val="0"/>
        <w:snapToGrid w:val="0"/>
        <w:ind w:firstLine="218" w:firstLineChars="78"/>
        <w:rPr>
          <w:rFonts w:ascii="仿宋" w:hAnsi="仿宋" w:eastAsia="仿宋" w:cs="仿宋"/>
          <w:b/>
          <w:bCs/>
          <w:color w:val="auto"/>
          <w:kern w:val="0"/>
          <w:sz w:val="24"/>
        </w:rPr>
      </w:pPr>
      <w:r>
        <w:rPr>
          <w:rFonts w:hint="eastAsia" w:ascii="仿宋" w:hAnsi="仿宋" w:eastAsia="仿宋" w:cs="仿宋"/>
          <w:color w:val="auto"/>
          <w:kern w:val="0"/>
          <w:sz w:val="28"/>
          <w:szCs w:val="28"/>
        </w:rPr>
        <w:t>日期：</w:t>
      </w:r>
      <w:r>
        <w:rPr>
          <w:rFonts w:ascii="仿宋" w:hAnsi="仿宋" w:eastAsia="仿宋" w:cs="仿宋"/>
          <w:color w:val="auto"/>
          <w:kern w:val="0"/>
          <w:sz w:val="28"/>
          <w:szCs w:val="28"/>
        </w:rPr>
        <w:t>2021</w:t>
      </w:r>
      <w:r>
        <w:rPr>
          <w:rFonts w:hint="eastAsia" w:ascii="仿宋" w:hAnsi="仿宋" w:eastAsia="仿宋" w:cs="仿宋"/>
          <w:color w:val="auto"/>
          <w:kern w:val="0"/>
          <w:sz w:val="28"/>
          <w:szCs w:val="28"/>
        </w:rPr>
        <w:t>年</w:t>
      </w:r>
      <w:r>
        <w:rPr>
          <w:rFonts w:ascii="仿宋" w:hAnsi="仿宋" w:eastAsia="仿宋" w:cs="仿宋"/>
          <w:color w:val="auto"/>
          <w:kern w:val="0"/>
          <w:sz w:val="28"/>
          <w:szCs w:val="28"/>
        </w:rPr>
        <w:t xml:space="preserve"> </w:t>
      </w:r>
      <w:r>
        <w:rPr>
          <w:rFonts w:hint="eastAsia" w:ascii="仿宋" w:hAnsi="仿宋" w:eastAsia="仿宋" w:cs="仿宋"/>
          <w:color w:val="auto"/>
          <w:kern w:val="0"/>
          <w:sz w:val="28"/>
          <w:szCs w:val="28"/>
        </w:rPr>
        <w:t>月</w:t>
      </w:r>
      <w:r>
        <w:rPr>
          <w:rFonts w:ascii="仿宋" w:hAnsi="仿宋" w:eastAsia="仿宋" w:cs="仿宋"/>
          <w:color w:val="auto"/>
          <w:kern w:val="0"/>
          <w:sz w:val="28"/>
          <w:szCs w:val="28"/>
        </w:rPr>
        <w:t xml:space="preserve">  </w:t>
      </w:r>
      <w:r>
        <w:rPr>
          <w:rFonts w:hint="eastAsia" w:ascii="仿宋" w:hAnsi="仿宋" w:eastAsia="仿宋" w:cs="仿宋"/>
          <w:color w:val="auto"/>
          <w:kern w:val="0"/>
          <w:sz w:val="28"/>
          <w:szCs w:val="28"/>
        </w:rPr>
        <w:t>日</w:t>
      </w:r>
    </w:p>
    <w:p>
      <w:pPr>
        <w:spacing w:line="480" w:lineRule="auto"/>
        <w:jc w:val="left"/>
        <w:rPr>
          <w:rStyle w:val="97"/>
          <w:rFonts w:ascii="仿宋" w:hAnsi="仿宋" w:eastAsia="仿宋" w:cs="仿宋"/>
          <w:color w:val="auto"/>
          <w:sz w:val="30"/>
          <w:szCs w:val="30"/>
        </w:rPr>
      </w:pPr>
    </w:p>
    <w:p>
      <w:pPr>
        <w:spacing w:line="480" w:lineRule="auto"/>
        <w:jc w:val="left"/>
        <w:rPr>
          <w:rStyle w:val="97"/>
          <w:rFonts w:ascii="仿宋" w:hAnsi="仿宋" w:eastAsia="仿宋" w:cs="仿宋"/>
          <w:color w:val="auto"/>
          <w:sz w:val="30"/>
          <w:szCs w:val="30"/>
        </w:rPr>
      </w:pPr>
    </w:p>
    <w:p>
      <w:pPr>
        <w:spacing w:line="480" w:lineRule="auto"/>
        <w:jc w:val="left"/>
        <w:rPr>
          <w:rStyle w:val="97"/>
          <w:rFonts w:ascii="仿宋" w:hAnsi="仿宋" w:eastAsia="仿宋" w:cs="仿宋"/>
          <w:color w:val="auto"/>
          <w:sz w:val="30"/>
          <w:szCs w:val="30"/>
        </w:rPr>
      </w:pPr>
    </w:p>
    <w:p>
      <w:pPr>
        <w:spacing w:line="480" w:lineRule="auto"/>
        <w:jc w:val="left"/>
        <w:rPr>
          <w:rStyle w:val="97"/>
          <w:rFonts w:ascii="仿宋" w:hAnsi="仿宋" w:eastAsia="仿宋" w:cs="仿宋"/>
          <w:color w:val="auto"/>
          <w:sz w:val="30"/>
          <w:szCs w:val="30"/>
        </w:rPr>
      </w:pPr>
    </w:p>
    <w:p>
      <w:pPr>
        <w:spacing w:line="480" w:lineRule="auto"/>
        <w:jc w:val="left"/>
        <w:rPr>
          <w:rStyle w:val="97"/>
          <w:rFonts w:ascii="仿宋" w:hAnsi="仿宋" w:eastAsia="仿宋" w:cs="仿宋"/>
          <w:color w:val="auto"/>
          <w:sz w:val="30"/>
          <w:szCs w:val="30"/>
        </w:rPr>
      </w:pPr>
    </w:p>
    <w:p>
      <w:pPr>
        <w:spacing w:line="480" w:lineRule="auto"/>
        <w:jc w:val="left"/>
        <w:rPr>
          <w:rStyle w:val="97"/>
          <w:rFonts w:ascii="仿宋" w:hAnsi="仿宋" w:eastAsia="仿宋" w:cs="仿宋"/>
          <w:color w:val="auto"/>
          <w:sz w:val="30"/>
          <w:szCs w:val="30"/>
        </w:rPr>
      </w:pPr>
      <w:r>
        <w:rPr>
          <w:rStyle w:val="97"/>
          <w:rFonts w:hint="eastAsia" w:ascii="仿宋" w:hAnsi="仿宋" w:eastAsia="仿宋" w:cs="仿宋"/>
          <w:color w:val="auto"/>
          <w:sz w:val="30"/>
          <w:szCs w:val="30"/>
        </w:rPr>
        <w:t>附件五</w:t>
      </w:r>
    </w:p>
    <w:p>
      <w:pPr>
        <w:snapToGrid w:val="0"/>
        <w:spacing w:before="156" w:beforeLines="50" w:after="50"/>
        <w:jc w:val="center"/>
        <w:rPr>
          <w:rFonts w:ascii="仿宋" w:hAnsi="仿宋" w:eastAsia="仿宋" w:cs="仿宋"/>
          <w:b/>
          <w:color w:val="auto"/>
          <w:sz w:val="32"/>
          <w:szCs w:val="32"/>
        </w:rPr>
      </w:pPr>
      <w:r>
        <w:rPr>
          <w:rFonts w:hint="eastAsia" w:ascii="仿宋" w:hAnsi="仿宋" w:eastAsia="仿宋" w:cs="仿宋"/>
          <w:b/>
          <w:color w:val="auto"/>
          <w:sz w:val="32"/>
          <w:szCs w:val="32"/>
        </w:rPr>
        <w:t>项目实施人员（主要从业人员及其技术资格）一览表</w:t>
      </w:r>
    </w:p>
    <w:p>
      <w:pPr>
        <w:pStyle w:val="57"/>
        <w:ind w:firstLine="420"/>
        <w:rPr>
          <w:color w:val="auto"/>
        </w:rPr>
      </w:pPr>
    </w:p>
    <w:tbl>
      <w:tblPr>
        <w:tblStyle w:val="47"/>
        <w:tblW w:w="9000"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80"/>
        <w:gridCol w:w="1260"/>
        <w:gridCol w:w="1980"/>
        <w:gridCol w:w="1260"/>
        <w:gridCol w:w="1800"/>
        <w:gridCol w:w="162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80" w:type="dxa"/>
            <w:tcBorders>
              <w:top w:val="single" w:color="auto" w:sz="4" w:space="0"/>
              <w:bottom w:val="single" w:color="auto" w:sz="4" w:space="0"/>
              <w:right w:val="single" w:color="auto" w:sz="4" w:space="0"/>
            </w:tcBorders>
            <w:vAlign w:val="center"/>
          </w:tcPr>
          <w:p>
            <w:pPr>
              <w:snapToGrid w:val="0"/>
              <w:jc w:val="center"/>
              <w:rPr>
                <w:rFonts w:ascii="仿宋" w:hAnsi="仿宋" w:eastAsia="仿宋" w:cs="仿宋"/>
                <w:color w:val="auto"/>
                <w:sz w:val="28"/>
                <w:szCs w:val="28"/>
              </w:rPr>
            </w:pPr>
            <w:r>
              <w:rPr>
                <w:rFonts w:hint="eastAsia" w:ascii="仿宋" w:hAnsi="仿宋" w:eastAsia="仿宋" w:cs="仿宋"/>
                <w:color w:val="auto"/>
                <w:sz w:val="28"/>
                <w:szCs w:val="28"/>
              </w:rPr>
              <w:t>姓名</w:t>
            </w: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s="仿宋"/>
                <w:color w:val="auto"/>
                <w:sz w:val="28"/>
                <w:szCs w:val="28"/>
              </w:rPr>
            </w:pPr>
            <w:r>
              <w:rPr>
                <w:rFonts w:hint="eastAsia" w:ascii="仿宋" w:hAnsi="仿宋" w:eastAsia="仿宋" w:cs="仿宋"/>
                <w:color w:val="auto"/>
                <w:sz w:val="28"/>
                <w:szCs w:val="28"/>
              </w:rPr>
              <w:t>职务</w:t>
            </w:r>
          </w:p>
        </w:tc>
        <w:tc>
          <w:tcPr>
            <w:tcW w:w="198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s="仿宋"/>
                <w:color w:val="auto"/>
                <w:sz w:val="28"/>
                <w:szCs w:val="28"/>
              </w:rPr>
            </w:pPr>
            <w:r>
              <w:rPr>
                <w:rFonts w:hint="eastAsia" w:ascii="仿宋" w:hAnsi="仿宋" w:eastAsia="仿宋" w:cs="仿宋"/>
                <w:color w:val="auto"/>
                <w:sz w:val="28"/>
                <w:szCs w:val="28"/>
              </w:rPr>
              <w:t>专业技</w:t>
            </w:r>
          </w:p>
          <w:p>
            <w:pPr>
              <w:snapToGrid w:val="0"/>
              <w:jc w:val="center"/>
              <w:rPr>
                <w:rFonts w:ascii="仿宋" w:hAnsi="仿宋" w:eastAsia="仿宋" w:cs="仿宋"/>
                <w:color w:val="auto"/>
                <w:sz w:val="28"/>
                <w:szCs w:val="28"/>
              </w:rPr>
            </w:pPr>
            <w:r>
              <w:rPr>
                <w:rFonts w:hint="eastAsia" w:ascii="仿宋" w:hAnsi="仿宋" w:eastAsia="仿宋" w:cs="仿宋"/>
                <w:color w:val="auto"/>
                <w:sz w:val="28"/>
                <w:szCs w:val="28"/>
              </w:rPr>
              <w:t>术资格</w:t>
            </w: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s="仿宋"/>
                <w:color w:val="auto"/>
                <w:sz w:val="28"/>
                <w:szCs w:val="28"/>
              </w:rPr>
            </w:pPr>
            <w:r>
              <w:rPr>
                <w:rFonts w:hint="eastAsia" w:ascii="仿宋" w:hAnsi="仿宋" w:eastAsia="仿宋" w:cs="仿宋"/>
                <w:color w:val="auto"/>
                <w:sz w:val="28"/>
                <w:szCs w:val="28"/>
              </w:rPr>
              <w:t>证书</w:t>
            </w:r>
          </w:p>
          <w:p>
            <w:pPr>
              <w:snapToGrid w:val="0"/>
              <w:jc w:val="center"/>
              <w:rPr>
                <w:rFonts w:ascii="仿宋" w:hAnsi="仿宋" w:eastAsia="仿宋" w:cs="仿宋"/>
                <w:color w:val="auto"/>
                <w:sz w:val="28"/>
                <w:szCs w:val="28"/>
              </w:rPr>
            </w:pPr>
            <w:r>
              <w:rPr>
                <w:rFonts w:hint="eastAsia" w:ascii="仿宋" w:hAnsi="仿宋" w:eastAsia="仿宋" w:cs="仿宋"/>
                <w:color w:val="auto"/>
                <w:sz w:val="28"/>
                <w:szCs w:val="28"/>
              </w:rPr>
              <w:t>编号</w:t>
            </w:r>
          </w:p>
        </w:tc>
        <w:tc>
          <w:tcPr>
            <w:tcW w:w="180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s="仿宋"/>
                <w:bCs/>
                <w:color w:val="auto"/>
                <w:sz w:val="28"/>
                <w:szCs w:val="28"/>
              </w:rPr>
            </w:pPr>
            <w:r>
              <w:rPr>
                <w:rFonts w:hint="eastAsia" w:ascii="仿宋" w:hAnsi="仿宋" w:eastAsia="仿宋" w:cs="仿宋"/>
                <w:bCs/>
                <w:color w:val="auto"/>
                <w:sz w:val="28"/>
                <w:szCs w:val="28"/>
              </w:rPr>
              <w:t>参加本单位工作时间</w:t>
            </w:r>
          </w:p>
        </w:tc>
        <w:tc>
          <w:tcPr>
            <w:tcW w:w="1620" w:type="dxa"/>
            <w:tcBorders>
              <w:top w:val="single" w:color="auto" w:sz="4" w:space="0"/>
              <w:left w:val="single" w:color="auto" w:sz="4" w:space="0"/>
              <w:bottom w:val="single" w:color="auto" w:sz="4" w:space="0"/>
            </w:tcBorders>
            <w:vAlign w:val="center"/>
          </w:tcPr>
          <w:p>
            <w:pPr>
              <w:snapToGrid w:val="0"/>
              <w:jc w:val="center"/>
              <w:rPr>
                <w:rFonts w:ascii="仿宋" w:hAnsi="仿宋" w:eastAsia="仿宋" w:cs="仿宋"/>
                <w:bCs/>
                <w:color w:val="auto"/>
                <w:sz w:val="28"/>
                <w:szCs w:val="28"/>
              </w:rPr>
            </w:pPr>
            <w:r>
              <w:rPr>
                <w:rFonts w:hint="eastAsia" w:ascii="仿宋" w:hAnsi="仿宋" w:eastAsia="仿宋" w:cs="仿宋"/>
                <w:bCs/>
                <w:color w:val="auto"/>
                <w:sz w:val="28"/>
                <w:szCs w:val="28"/>
              </w:rPr>
              <w:t>劳动合</w:t>
            </w:r>
          </w:p>
          <w:p>
            <w:pPr>
              <w:snapToGrid w:val="0"/>
              <w:jc w:val="center"/>
              <w:rPr>
                <w:rFonts w:ascii="仿宋" w:hAnsi="仿宋" w:eastAsia="仿宋" w:cs="仿宋"/>
                <w:bCs/>
                <w:color w:val="auto"/>
                <w:sz w:val="28"/>
                <w:szCs w:val="28"/>
              </w:rPr>
            </w:pPr>
            <w:r>
              <w:rPr>
                <w:rFonts w:hint="eastAsia" w:ascii="仿宋" w:hAnsi="仿宋" w:eastAsia="仿宋" w:cs="仿宋"/>
                <w:bCs/>
                <w:color w:val="auto"/>
                <w:sz w:val="28"/>
                <w:szCs w:val="28"/>
              </w:rPr>
              <w:t>同编号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80" w:type="dxa"/>
            <w:tcBorders>
              <w:top w:val="single" w:color="auto" w:sz="4" w:space="0"/>
              <w:bottom w:val="single" w:color="auto" w:sz="4" w:space="0"/>
              <w:right w:val="single" w:color="auto" w:sz="4" w:space="0"/>
            </w:tcBorders>
          </w:tcPr>
          <w:p>
            <w:pPr>
              <w:snapToGrid w:val="0"/>
              <w:spacing w:before="156" w:beforeLines="50" w:after="50" w:line="460" w:lineRule="exact"/>
              <w:rPr>
                <w:rFonts w:ascii="仿宋" w:hAnsi="仿宋" w:eastAsia="仿宋" w:cs="仿宋"/>
                <w:color w:val="auto"/>
                <w:sz w:val="28"/>
                <w:szCs w:val="28"/>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hAnsi="仿宋" w:eastAsia="仿宋" w:cs="仿宋"/>
                <w:color w:val="auto"/>
                <w:sz w:val="28"/>
                <w:szCs w:val="28"/>
              </w:rPr>
            </w:pPr>
          </w:p>
        </w:tc>
        <w:tc>
          <w:tcPr>
            <w:tcW w:w="1980"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hAnsi="仿宋" w:eastAsia="仿宋" w:cs="仿宋"/>
                <w:color w:val="auto"/>
                <w:sz w:val="28"/>
                <w:szCs w:val="28"/>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hAnsi="仿宋" w:eastAsia="仿宋" w:cs="仿宋"/>
                <w:color w:val="auto"/>
                <w:sz w:val="28"/>
                <w:szCs w:val="28"/>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hAnsi="仿宋" w:eastAsia="仿宋" w:cs="仿宋"/>
                <w:color w:val="auto"/>
                <w:sz w:val="28"/>
                <w:szCs w:val="28"/>
              </w:rPr>
            </w:pPr>
          </w:p>
        </w:tc>
        <w:tc>
          <w:tcPr>
            <w:tcW w:w="1620" w:type="dxa"/>
            <w:tcBorders>
              <w:top w:val="single" w:color="auto" w:sz="4" w:space="0"/>
              <w:left w:val="single" w:color="auto" w:sz="4" w:space="0"/>
              <w:bottom w:val="single" w:color="auto" w:sz="4" w:space="0"/>
            </w:tcBorders>
          </w:tcPr>
          <w:p>
            <w:pPr>
              <w:snapToGrid w:val="0"/>
              <w:spacing w:before="156" w:beforeLines="50" w:after="50" w:line="460" w:lineRule="exact"/>
              <w:rPr>
                <w:rFonts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80" w:type="dxa"/>
            <w:tcBorders>
              <w:top w:val="single" w:color="auto" w:sz="4" w:space="0"/>
              <w:bottom w:val="single" w:color="auto" w:sz="4" w:space="0"/>
              <w:right w:val="single" w:color="auto" w:sz="4" w:space="0"/>
            </w:tcBorders>
          </w:tcPr>
          <w:p>
            <w:pPr>
              <w:snapToGrid w:val="0"/>
              <w:spacing w:before="156" w:beforeLines="50" w:after="50" w:line="460" w:lineRule="exact"/>
              <w:rPr>
                <w:rFonts w:ascii="仿宋" w:hAnsi="仿宋" w:eastAsia="仿宋" w:cs="仿宋"/>
                <w:color w:val="auto"/>
                <w:sz w:val="28"/>
                <w:szCs w:val="28"/>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hAnsi="仿宋" w:eastAsia="仿宋" w:cs="仿宋"/>
                <w:color w:val="auto"/>
                <w:sz w:val="28"/>
                <w:szCs w:val="28"/>
              </w:rPr>
            </w:pPr>
          </w:p>
        </w:tc>
        <w:tc>
          <w:tcPr>
            <w:tcW w:w="1980"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hAnsi="仿宋" w:eastAsia="仿宋" w:cs="仿宋"/>
                <w:color w:val="auto"/>
                <w:sz w:val="28"/>
                <w:szCs w:val="28"/>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hAnsi="仿宋" w:eastAsia="仿宋" w:cs="仿宋"/>
                <w:color w:val="auto"/>
                <w:sz w:val="28"/>
                <w:szCs w:val="28"/>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hAnsi="仿宋" w:eastAsia="仿宋" w:cs="仿宋"/>
                <w:color w:val="auto"/>
                <w:sz w:val="28"/>
                <w:szCs w:val="28"/>
              </w:rPr>
            </w:pPr>
          </w:p>
        </w:tc>
        <w:tc>
          <w:tcPr>
            <w:tcW w:w="1620" w:type="dxa"/>
            <w:tcBorders>
              <w:top w:val="single" w:color="auto" w:sz="4" w:space="0"/>
              <w:left w:val="single" w:color="auto" w:sz="4" w:space="0"/>
              <w:bottom w:val="single" w:color="auto" w:sz="4" w:space="0"/>
            </w:tcBorders>
          </w:tcPr>
          <w:p>
            <w:pPr>
              <w:snapToGrid w:val="0"/>
              <w:spacing w:before="156" w:beforeLines="50" w:after="50" w:line="460" w:lineRule="exact"/>
              <w:rPr>
                <w:rFonts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080" w:type="dxa"/>
            <w:tcBorders>
              <w:top w:val="single" w:color="auto" w:sz="4" w:space="0"/>
              <w:bottom w:val="single" w:color="auto" w:sz="4" w:space="0"/>
              <w:right w:val="single" w:color="auto" w:sz="4" w:space="0"/>
            </w:tcBorders>
          </w:tcPr>
          <w:p>
            <w:pPr>
              <w:snapToGrid w:val="0"/>
              <w:spacing w:before="156" w:beforeLines="50" w:after="50" w:line="460" w:lineRule="exact"/>
              <w:rPr>
                <w:rFonts w:ascii="仿宋" w:hAnsi="仿宋" w:eastAsia="仿宋" w:cs="仿宋"/>
                <w:color w:val="auto"/>
                <w:sz w:val="28"/>
                <w:szCs w:val="28"/>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hAnsi="仿宋" w:eastAsia="仿宋" w:cs="仿宋"/>
                <w:color w:val="auto"/>
                <w:sz w:val="28"/>
                <w:szCs w:val="28"/>
              </w:rPr>
            </w:pPr>
          </w:p>
        </w:tc>
        <w:tc>
          <w:tcPr>
            <w:tcW w:w="1980" w:type="dxa"/>
            <w:tcBorders>
              <w:top w:val="single" w:color="auto" w:sz="4" w:space="0"/>
              <w:left w:val="single" w:color="auto" w:sz="4" w:space="0"/>
              <w:bottom w:val="single" w:color="auto" w:sz="4" w:space="0"/>
              <w:right w:val="single" w:color="auto" w:sz="4" w:space="0"/>
            </w:tcBorders>
          </w:tcPr>
          <w:p>
            <w:pPr>
              <w:pStyle w:val="28"/>
              <w:snapToGrid w:val="0"/>
              <w:spacing w:before="156" w:beforeLines="50" w:after="50" w:line="460" w:lineRule="exact"/>
              <w:ind w:left="5250"/>
              <w:rPr>
                <w:rFonts w:ascii="仿宋" w:hAnsi="仿宋" w:eastAsia="仿宋" w:cs="仿宋"/>
                <w:color w:val="auto"/>
                <w:kern w:val="2"/>
                <w:sz w:val="28"/>
                <w:szCs w:val="28"/>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hAnsi="仿宋" w:eastAsia="仿宋" w:cs="仿宋"/>
                <w:color w:val="auto"/>
                <w:sz w:val="28"/>
                <w:szCs w:val="28"/>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hAnsi="仿宋" w:eastAsia="仿宋" w:cs="仿宋"/>
                <w:color w:val="auto"/>
                <w:sz w:val="28"/>
                <w:szCs w:val="28"/>
              </w:rPr>
            </w:pPr>
          </w:p>
        </w:tc>
        <w:tc>
          <w:tcPr>
            <w:tcW w:w="1620" w:type="dxa"/>
            <w:tcBorders>
              <w:top w:val="single" w:color="auto" w:sz="4" w:space="0"/>
              <w:left w:val="single" w:color="auto" w:sz="4" w:space="0"/>
              <w:bottom w:val="single" w:color="auto" w:sz="4" w:space="0"/>
            </w:tcBorders>
          </w:tcPr>
          <w:p>
            <w:pPr>
              <w:snapToGrid w:val="0"/>
              <w:spacing w:before="156" w:beforeLines="50" w:after="50" w:line="460" w:lineRule="exact"/>
              <w:rPr>
                <w:rFonts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80" w:type="dxa"/>
            <w:tcBorders>
              <w:top w:val="single" w:color="auto" w:sz="4" w:space="0"/>
              <w:bottom w:val="single" w:color="auto" w:sz="4" w:space="0"/>
              <w:right w:val="single" w:color="auto" w:sz="4" w:space="0"/>
            </w:tcBorders>
          </w:tcPr>
          <w:p>
            <w:pPr>
              <w:snapToGrid w:val="0"/>
              <w:spacing w:before="156" w:beforeLines="50" w:after="50" w:line="460" w:lineRule="exact"/>
              <w:rPr>
                <w:rFonts w:ascii="仿宋" w:hAnsi="仿宋" w:eastAsia="仿宋" w:cs="仿宋"/>
                <w:color w:val="auto"/>
                <w:sz w:val="28"/>
                <w:szCs w:val="28"/>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hAnsi="仿宋" w:eastAsia="仿宋" w:cs="仿宋"/>
                <w:color w:val="auto"/>
                <w:sz w:val="28"/>
                <w:szCs w:val="28"/>
              </w:rPr>
            </w:pPr>
          </w:p>
        </w:tc>
        <w:tc>
          <w:tcPr>
            <w:tcW w:w="1980"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hAnsi="仿宋" w:eastAsia="仿宋" w:cs="仿宋"/>
                <w:color w:val="auto"/>
                <w:sz w:val="28"/>
                <w:szCs w:val="28"/>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hAnsi="仿宋" w:eastAsia="仿宋" w:cs="仿宋"/>
                <w:color w:val="auto"/>
                <w:sz w:val="28"/>
                <w:szCs w:val="28"/>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hAnsi="仿宋" w:eastAsia="仿宋" w:cs="仿宋"/>
                <w:color w:val="auto"/>
                <w:sz w:val="28"/>
                <w:szCs w:val="28"/>
              </w:rPr>
            </w:pPr>
          </w:p>
        </w:tc>
        <w:tc>
          <w:tcPr>
            <w:tcW w:w="1620" w:type="dxa"/>
            <w:tcBorders>
              <w:top w:val="single" w:color="auto" w:sz="4" w:space="0"/>
              <w:left w:val="single" w:color="auto" w:sz="4" w:space="0"/>
              <w:bottom w:val="single" w:color="auto" w:sz="4" w:space="0"/>
            </w:tcBorders>
          </w:tcPr>
          <w:p>
            <w:pPr>
              <w:snapToGrid w:val="0"/>
              <w:spacing w:before="156" w:beforeLines="50" w:after="50" w:line="460" w:lineRule="exact"/>
              <w:rPr>
                <w:rFonts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80" w:type="dxa"/>
            <w:tcBorders>
              <w:top w:val="single" w:color="auto" w:sz="4" w:space="0"/>
              <w:bottom w:val="single" w:color="auto" w:sz="4" w:space="0"/>
              <w:right w:val="single" w:color="auto" w:sz="4" w:space="0"/>
            </w:tcBorders>
          </w:tcPr>
          <w:p>
            <w:pPr>
              <w:snapToGrid w:val="0"/>
              <w:spacing w:before="156" w:beforeLines="50" w:after="50" w:line="460" w:lineRule="exact"/>
              <w:rPr>
                <w:rFonts w:ascii="仿宋" w:hAnsi="仿宋" w:eastAsia="仿宋" w:cs="仿宋"/>
                <w:color w:val="auto"/>
                <w:sz w:val="28"/>
                <w:szCs w:val="28"/>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hAnsi="仿宋" w:eastAsia="仿宋" w:cs="仿宋"/>
                <w:color w:val="auto"/>
                <w:sz w:val="28"/>
                <w:szCs w:val="28"/>
              </w:rPr>
            </w:pPr>
          </w:p>
        </w:tc>
        <w:tc>
          <w:tcPr>
            <w:tcW w:w="1980"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hAnsi="仿宋" w:eastAsia="仿宋" w:cs="仿宋"/>
                <w:color w:val="auto"/>
                <w:sz w:val="28"/>
                <w:szCs w:val="28"/>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hAnsi="仿宋" w:eastAsia="仿宋" w:cs="仿宋"/>
                <w:color w:val="auto"/>
                <w:sz w:val="28"/>
                <w:szCs w:val="28"/>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hAnsi="仿宋" w:eastAsia="仿宋" w:cs="仿宋"/>
                <w:color w:val="auto"/>
                <w:sz w:val="28"/>
                <w:szCs w:val="28"/>
              </w:rPr>
            </w:pPr>
          </w:p>
        </w:tc>
        <w:tc>
          <w:tcPr>
            <w:tcW w:w="1620" w:type="dxa"/>
            <w:tcBorders>
              <w:top w:val="single" w:color="auto" w:sz="4" w:space="0"/>
              <w:left w:val="single" w:color="auto" w:sz="4" w:space="0"/>
              <w:bottom w:val="single" w:color="auto" w:sz="4" w:space="0"/>
            </w:tcBorders>
          </w:tcPr>
          <w:p>
            <w:pPr>
              <w:snapToGrid w:val="0"/>
              <w:spacing w:before="156" w:beforeLines="50" w:after="50" w:line="460" w:lineRule="exact"/>
              <w:rPr>
                <w:rFonts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80" w:type="dxa"/>
            <w:tcBorders>
              <w:top w:val="single" w:color="auto" w:sz="4" w:space="0"/>
              <w:bottom w:val="single" w:color="auto" w:sz="4" w:space="0"/>
              <w:right w:val="single" w:color="auto" w:sz="4" w:space="0"/>
            </w:tcBorders>
          </w:tcPr>
          <w:p>
            <w:pPr>
              <w:snapToGrid w:val="0"/>
              <w:spacing w:before="156" w:beforeLines="50" w:after="50" w:line="460" w:lineRule="exact"/>
              <w:rPr>
                <w:rFonts w:ascii="仿宋" w:hAnsi="仿宋" w:eastAsia="仿宋" w:cs="仿宋"/>
                <w:color w:val="auto"/>
                <w:sz w:val="28"/>
                <w:szCs w:val="28"/>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hAnsi="仿宋" w:eastAsia="仿宋" w:cs="仿宋"/>
                <w:color w:val="auto"/>
                <w:sz w:val="28"/>
                <w:szCs w:val="28"/>
              </w:rPr>
            </w:pPr>
          </w:p>
        </w:tc>
        <w:tc>
          <w:tcPr>
            <w:tcW w:w="1980"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hAnsi="仿宋" w:eastAsia="仿宋" w:cs="仿宋"/>
                <w:color w:val="auto"/>
                <w:sz w:val="28"/>
                <w:szCs w:val="28"/>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hAnsi="仿宋" w:eastAsia="仿宋" w:cs="仿宋"/>
                <w:color w:val="auto"/>
                <w:sz w:val="28"/>
                <w:szCs w:val="28"/>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hAnsi="仿宋" w:eastAsia="仿宋" w:cs="仿宋"/>
                <w:color w:val="auto"/>
                <w:sz w:val="28"/>
                <w:szCs w:val="28"/>
              </w:rPr>
            </w:pPr>
          </w:p>
        </w:tc>
        <w:tc>
          <w:tcPr>
            <w:tcW w:w="1620" w:type="dxa"/>
            <w:tcBorders>
              <w:top w:val="single" w:color="auto" w:sz="4" w:space="0"/>
              <w:left w:val="single" w:color="auto" w:sz="4" w:space="0"/>
              <w:bottom w:val="single" w:color="auto" w:sz="4" w:space="0"/>
            </w:tcBorders>
          </w:tcPr>
          <w:p>
            <w:pPr>
              <w:snapToGrid w:val="0"/>
              <w:spacing w:before="156" w:beforeLines="50" w:after="50" w:line="460" w:lineRule="exact"/>
              <w:rPr>
                <w:rFonts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080" w:type="dxa"/>
            <w:tcBorders>
              <w:top w:val="single" w:color="auto" w:sz="4" w:space="0"/>
              <w:bottom w:val="single" w:color="auto" w:sz="4" w:space="0"/>
              <w:right w:val="single" w:color="auto" w:sz="4" w:space="0"/>
            </w:tcBorders>
          </w:tcPr>
          <w:p>
            <w:pPr>
              <w:snapToGrid w:val="0"/>
              <w:spacing w:before="156" w:beforeLines="50" w:after="50" w:line="460" w:lineRule="exact"/>
              <w:rPr>
                <w:rFonts w:ascii="仿宋" w:hAnsi="仿宋" w:eastAsia="仿宋" w:cs="仿宋"/>
                <w:color w:val="auto"/>
                <w:sz w:val="28"/>
                <w:szCs w:val="28"/>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hAnsi="仿宋" w:eastAsia="仿宋" w:cs="仿宋"/>
                <w:color w:val="auto"/>
                <w:sz w:val="28"/>
                <w:szCs w:val="28"/>
              </w:rPr>
            </w:pPr>
          </w:p>
        </w:tc>
        <w:tc>
          <w:tcPr>
            <w:tcW w:w="1980"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hAnsi="仿宋" w:eastAsia="仿宋" w:cs="仿宋"/>
                <w:color w:val="auto"/>
                <w:sz w:val="28"/>
                <w:szCs w:val="28"/>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hAnsi="仿宋" w:eastAsia="仿宋" w:cs="仿宋"/>
                <w:color w:val="auto"/>
                <w:sz w:val="28"/>
                <w:szCs w:val="28"/>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hAnsi="仿宋" w:eastAsia="仿宋" w:cs="仿宋"/>
                <w:color w:val="auto"/>
                <w:sz w:val="28"/>
                <w:szCs w:val="28"/>
              </w:rPr>
            </w:pPr>
          </w:p>
        </w:tc>
        <w:tc>
          <w:tcPr>
            <w:tcW w:w="1620" w:type="dxa"/>
            <w:tcBorders>
              <w:top w:val="single" w:color="auto" w:sz="4" w:space="0"/>
              <w:left w:val="single" w:color="auto" w:sz="4" w:space="0"/>
              <w:bottom w:val="single" w:color="auto" w:sz="4" w:space="0"/>
            </w:tcBorders>
          </w:tcPr>
          <w:p>
            <w:pPr>
              <w:snapToGrid w:val="0"/>
              <w:spacing w:before="156" w:beforeLines="50" w:after="50" w:line="460" w:lineRule="exact"/>
              <w:rPr>
                <w:rFonts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80" w:type="dxa"/>
            <w:tcBorders>
              <w:top w:val="single" w:color="auto" w:sz="4" w:space="0"/>
              <w:bottom w:val="single" w:color="auto" w:sz="4" w:space="0"/>
              <w:right w:val="single" w:color="auto" w:sz="4" w:space="0"/>
            </w:tcBorders>
          </w:tcPr>
          <w:p>
            <w:pPr>
              <w:snapToGrid w:val="0"/>
              <w:spacing w:before="156" w:beforeLines="50" w:after="50" w:line="460" w:lineRule="exact"/>
              <w:rPr>
                <w:rFonts w:ascii="仿宋" w:hAnsi="仿宋" w:eastAsia="仿宋" w:cs="仿宋"/>
                <w:color w:val="auto"/>
                <w:sz w:val="28"/>
                <w:szCs w:val="28"/>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hAnsi="仿宋" w:eastAsia="仿宋" w:cs="仿宋"/>
                <w:color w:val="auto"/>
                <w:sz w:val="28"/>
                <w:szCs w:val="28"/>
              </w:rPr>
            </w:pPr>
          </w:p>
        </w:tc>
        <w:tc>
          <w:tcPr>
            <w:tcW w:w="1980"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hAnsi="仿宋" w:eastAsia="仿宋" w:cs="仿宋"/>
                <w:color w:val="auto"/>
                <w:sz w:val="28"/>
                <w:szCs w:val="28"/>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hAnsi="仿宋" w:eastAsia="仿宋" w:cs="仿宋"/>
                <w:color w:val="auto"/>
                <w:sz w:val="28"/>
                <w:szCs w:val="28"/>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hAnsi="仿宋" w:eastAsia="仿宋" w:cs="仿宋"/>
                <w:color w:val="auto"/>
                <w:sz w:val="28"/>
                <w:szCs w:val="28"/>
              </w:rPr>
            </w:pPr>
          </w:p>
        </w:tc>
        <w:tc>
          <w:tcPr>
            <w:tcW w:w="1620" w:type="dxa"/>
            <w:tcBorders>
              <w:top w:val="single" w:color="auto" w:sz="4" w:space="0"/>
              <w:left w:val="single" w:color="auto" w:sz="4" w:space="0"/>
              <w:bottom w:val="single" w:color="auto" w:sz="4" w:space="0"/>
            </w:tcBorders>
          </w:tcPr>
          <w:p>
            <w:pPr>
              <w:snapToGrid w:val="0"/>
              <w:spacing w:before="156" w:beforeLines="50" w:after="50" w:line="460" w:lineRule="exact"/>
              <w:rPr>
                <w:rFonts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80" w:type="dxa"/>
            <w:tcBorders>
              <w:top w:val="single" w:color="auto" w:sz="4" w:space="0"/>
              <w:bottom w:val="single" w:color="auto" w:sz="4" w:space="0"/>
              <w:right w:val="single" w:color="auto" w:sz="4" w:space="0"/>
            </w:tcBorders>
          </w:tcPr>
          <w:p>
            <w:pPr>
              <w:snapToGrid w:val="0"/>
              <w:spacing w:before="156" w:beforeLines="50" w:after="50" w:line="460" w:lineRule="exact"/>
              <w:rPr>
                <w:rFonts w:ascii="仿宋" w:hAnsi="仿宋" w:eastAsia="仿宋" w:cs="仿宋"/>
                <w:color w:val="auto"/>
                <w:sz w:val="28"/>
                <w:szCs w:val="28"/>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hAnsi="仿宋" w:eastAsia="仿宋" w:cs="仿宋"/>
                <w:color w:val="auto"/>
                <w:sz w:val="28"/>
                <w:szCs w:val="28"/>
              </w:rPr>
            </w:pPr>
          </w:p>
        </w:tc>
        <w:tc>
          <w:tcPr>
            <w:tcW w:w="1980"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hAnsi="仿宋" w:eastAsia="仿宋" w:cs="仿宋"/>
                <w:color w:val="auto"/>
                <w:sz w:val="28"/>
                <w:szCs w:val="28"/>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hAnsi="仿宋" w:eastAsia="仿宋" w:cs="仿宋"/>
                <w:color w:val="auto"/>
                <w:sz w:val="28"/>
                <w:szCs w:val="28"/>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hAnsi="仿宋" w:eastAsia="仿宋" w:cs="仿宋"/>
                <w:color w:val="auto"/>
                <w:sz w:val="28"/>
                <w:szCs w:val="28"/>
              </w:rPr>
            </w:pPr>
          </w:p>
        </w:tc>
        <w:tc>
          <w:tcPr>
            <w:tcW w:w="1620" w:type="dxa"/>
            <w:tcBorders>
              <w:top w:val="single" w:color="auto" w:sz="4" w:space="0"/>
              <w:left w:val="single" w:color="auto" w:sz="4" w:space="0"/>
              <w:bottom w:val="single" w:color="auto" w:sz="4" w:space="0"/>
            </w:tcBorders>
          </w:tcPr>
          <w:p>
            <w:pPr>
              <w:snapToGrid w:val="0"/>
              <w:spacing w:before="156" w:beforeLines="50" w:after="50" w:line="460" w:lineRule="exact"/>
              <w:rPr>
                <w:rFonts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80" w:type="dxa"/>
            <w:tcBorders>
              <w:top w:val="single" w:color="auto" w:sz="4" w:space="0"/>
              <w:bottom w:val="single" w:color="auto" w:sz="4" w:space="0"/>
              <w:right w:val="single" w:color="auto" w:sz="4" w:space="0"/>
            </w:tcBorders>
          </w:tcPr>
          <w:p>
            <w:pPr>
              <w:snapToGrid w:val="0"/>
              <w:spacing w:before="156" w:beforeLines="50" w:after="50" w:line="460" w:lineRule="exact"/>
              <w:rPr>
                <w:rFonts w:ascii="仿宋" w:hAnsi="仿宋" w:eastAsia="仿宋" w:cs="仿宋"/>
                <w:color w:val="auto"/>
                <w:sz w:val="28"/>
                <w:szCs w:val="28"/>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hAnsi="仿宋" w:eastAsia="仿宋" w:cs="仿宋"/>
                <w:color w:val="auto"/>
                <w:sz w:val="28"/>
                <w:szCs w:val="28"/>
              </w:rPr>
            </w:pPr>
          </w:p>
        </w:tc>
        <w:tc>
          <w:tcPr>
            <w:tcW w:w="1980"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hAnsi="仿宋" w:eastAsia="仿宋" w:cs="仿宋"/>
                <w:color w:val="auto"/>
                <w:sz w:val="28"/>
                <w:szCs w:val="28"/>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hAnsi="仿宋" w:eastAsia="仿宋" w:cs="仿宋"/>
                <w:color w:val="auto"/>
                <w:sz w:val="28"/>
                <w:szCs w:val="28"/>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56" w:beforeLines="50" w:after="50" w:line="460" w:lineRule="exact"/>
              <w:rPr>
                <w:rFonts w:ascii="仿宋" w:hAnsi="仿宋" w:eastAsia="仿宋" w:cs="仿宋"/>
                <w:color w:val="auto"/>
                <w:sz w:val="28"/>
                <w:szCs w:val="28"/>
              </w:rPr>
            </w:pPr>
          </w:p>
        </w:tc>
        <w:tc>
          <w:tcPr>
            <w:tcW w:w="1620" w:type="dxa"/>
            <w:tcBorders>
              <w:top w:val="single" w:color="auto" w:sz="4" w:space="0"/>
              <w:left w:val="single" w:color="auto" w:sz="4" w:space="0"/>
              <w:bottom w:val="single" w:color="auto" w:sz="4" w:space="0"/>
            </w:tcBorders>
          </w:tcPr>
          <w:p>
            <w:pPr>
              <w:snapToGrid w:val="0"/>
              <w:spacing w:before="156" w:beforeLines="50" w:after="50" w:line="460" w:lineRule="exact"/>
              <w:rPr>
                <w:rFonts w:ascii="仿宋" w:hAnsi="仿宋" w:eastAsia="仿宋" w:cs="仿宋"/>
                <w:color w:val="auto"/>
                <w:sz w:val="28"/>
                <w:szCs w:val="28"/>
              </w:rPr>
            </w:pPr>
          </w:p>
        </w:tc>
      </w:tr>
    </w:tbl>
    <w:p>
      <w:pPr>
        <w:snapToGrid w:val="0"/>
        <w:spacing w:before="50" w:after="156" w:afterLines="50" w:line="460" w:lineRule="exact"/>
        <w:jc w:val="left"/>
        <w:rPr>
          <w:rFonts w:ascii="仿宋" w:hAnsi="仿宋" w:eastAsia="仿宋" w:cs="仿宋"/>
          <w:color w:val="auto"/>
          <w:sz w:val="28"/>
          <w:szCs w:val="28"/>
        </w:rPr>
      </w:pPr>
      <w:r>
        <w:rPr>
          <w:rFonts w:hint="eastAsia" w:ascii="仿宋" w:hAnsi="仿宋" w:eastAsia="仿宋" w:cs="仿宋"/>
          <w:color w:val="auto"/>
          <w:sz w:val="28"/>
          <w:szCs w:val="28"/>
        </w:rPr>
        <w:t>注：在填写时，如本表格不适合投标供应商的实际情况，可根据本表格式自行划表填写。</w:t>
      </w:r>
      <w:r>
        <w:rPr>
          <w:rFonts w:ascii="仿宋" w:hAnsi="仿宋" w:eastAsia="仿宋" w:cs="仿宋"/>
          <w:color w:val="auto"/>
          <w:sz w:val="28"/>
          <w:szCs w:val="28"/>
        </w:rPr>
        <w:t xml:space="preserve"> </w:t>
      </w:r>
    </w:p>
    <w:p>
      <w:pPr>
        <w:snapToGrid w:val="0"/>
        <w:spacing w:before="50" w:after="156" w:afterLines="50" w:line="460" w:lineRule="exact"/>
        <w:jc w:val="left"/>
        <w:rPr>
          <w:rFonts w:ascii="仿宋" w:hAnsi="仿宋" w:eastAsia="仿宋" w:cs="仿宋"/>
          <w:color w:val="auto"/>
          <w:sz w:val="28"/>
          <w:szCs w:val="28"/>
        </w:rPr>
      </w:pPr>
    </w:p>
    <w:p>
      <w:pPr>
        <w:widowControl/>
        <w:snapToGrid w:val="0"/>
        <w:spacing w:line="480" w:lineRule="exact"/>
        <w:ind w:firstLine="218" w:firstLineChars="78"/>
        <w:rPr>
          <w:rFonts w:ascii="仿宋" w:hAnsi="仿宋" w:eastAsia="仿宋" w:cs="仿宋"/>
          <w:color w:val="auto"/>
          <w:kern w:val="0"/>
          <w:sz w:val="28"/>
          <w:szCs w:val="28"/>
        </w:rPr>
      </w:pPr>
      <w:r>
        <w:rPr>
          <w:rFonts w:hint="eastAsia" w:ascii="仿宋" w:hAnsi="仿宋" w:eastAsia="仿宋" w:cs="仿宋"/>
          <w:color w:val="auto"/>
          <w:kern w:val="0"/>
          <w:sz w:val="28"/>
          <w:szCs w:val="28"/>
        </w:rPr>
        <w:t>全权代表</w:t>
      </w:r>
      <w:r>
        <w:rPr>
          <w:rFonts w:ascii="仿宋" w:hAnsi="仿宋" w:eastAsia="仿宋" w:cs="仿宋"/>
          <w:color w:val="auto"/>
          <w:kern w:val="0"/>
          <w:sz w:val="28"/>
          <w:szCs w:val="28"/>
        </w:rPr>
        <w:t>(</w:t>
      </w:r>
      <w:r>
        <w:rPr>
          <w:rFonts w:hint="eastAsia" w:ascii="仿宋" w:hAnsi="仿宋" w:eastAsia="仿宋" w:cs="仿宋"/>
          <w:color w:val="auto"/>
          <w:kern w:val="0"/>
          <w:sz w:val="28"/>
          <w:szCs w:val="28"/>
        </w:rPr>
        <w:t>签字</w:t>
      </w:r>
      <w:r>
        <w:rPr>
          <w:rFonts w:ascii="仿宋" w:hAnsi="仿宋" w:eastAsia="仿宋" w:cs="仿宋"/>
          <w:color w:val="auto"/>
          <w:kern w:val="0"/>
          <w:sz w:val="28"/>
          <w:szCs w:val="28"/>
        </w:rPr>
        <w:t>)</w:t>
      </w:r>
      <w:r>
        <w:rPr>
          <w:rFonts w:hint="eastAsia" w:ascii="仿宋" w:hAnsi="仿宋" w:eastAsia="仿宋" w:cs="仿宋"/>
          <w:color w:val="auto"/>
          <w:kern w:val="0"/>
          <w:sz w:val="28"/>
          <w:szCs w:val="28"/>
        </w:rPr>
        <w:t>：</w:t>
      </w:r>
    </w:p>
    <w:p>
      <w:pPr>
        <w:widowControl/>
        <w:snapToGrid w:val="0"/>
        <w:spacing w:line="480" w:lineRule="exact"/>
        <w:ind w:firstLine="218" w:firstLineChars="78"/>
        <w:rPr>
          <w:rFonts w:ascii="仿宋" w:hAnsi="仿宋" w:eastAsia="仿宋" w:cs="仿宋"/>
          <w:color w:val="auto"/>
          <w:kern w:val="0"/>
          <w:sz w:val="28"/>
          <w:szCs w:val="28"/>
        </w:rPr>
      </w:pPr>
      <w:r>
        <w:rPr>
          <w:rFonts w:hint="eastAsia" w:ascii="仿宋" w:hAnsi="仿宋" w:eastAsia="仿宋" w:cs="仿宋"/>
          <w:color w:val="auto"/>
          <w:kern w:val="0"/>
          <w:sz w:val="28"/>
          <w:szCs w:val="28"/>
        </w:rPr>
        <w:t>投标供应商</w:t>
      </w:r>
      <w:r>
        <w:rPr>
          <w:rFonts w:ascii="仿宋" w:hAnsi="仿宋" w:eastAsia="仿宋" w:cs="仿宋"/>
          <w:color w:val="auto"/>
          <w:kern w:val="0"/>
          <w:sz w:val="28"/>
          <w:szCs w:val="28"/>
        </w:rPr>
        <w:t>(</w:t>
      </w:r>
      <w:r>
        <w:rPr>
          <w:rFonts w:hint="eastAsia" w:ascii="仿宋" w:hAnsi="仿宋" w:eastAsia="仿宋" w:cs="仿宋"/>
          <w:color w:val="auto"/>
          <w:kern w:val="0"/>
          <w:sz w:val="28"/>
          <w:szCs w:val="28"/>
        </w:rPr>
        <w:t>盖章</w:t>
      </w:r>
      <w:r>
        <w:rPr>
          <w:rFonts w:ascii="仿宋" w:hAnsi="仿宋" w:eastAsia="仿宋" w:cs="仿宋"/>
          <w:color w:val="auto"/>
          <w:kern w:val="0"/>
          <w:sz w:val="28"/>
          <w:szCs w:val="28"/>
        </w:rPr>
        <w:t>)</w:t>
      </w:r>
      <w:r>
        <w:rPr>
          <w:rFonts w:hint="eastAsia" w:ascii="仿宋" w:hAnsi="仿宋" w:eastAsia="仿宋" w:cs="仿宋"/>
          <w:color w:val="auto"/>
          <w:kern w:val="0"/>
          <w:sz w:val="28"/>
          <w:szCs w:val="28"/>
        </w:rPr>
        <w:t>：</w:t>
      </w:r>
    </w:p>
    <w:p>
      <w:pPr>
        <w:autoSpaceDE w:val="0"/>
        <w:adjustRightInd w:val="0"/>
        <w:snapToGrid w:val="0"/>
        <w:ind w:firstLine="218" w:firstLineChars="78"/>
        <w:rPr>
          <w:rFonts w:ascii="仿宋" w:hAnsi="仿宋" w:eastAsia="仿宋" w:cs="仿宋"/>
          <w:b/>
          <w:bCs/>
          <w:color w:val="auto"/>
          <w:kern w:val="0"/>
          <w:sz w:val="24"/>
        </w:rPr>
      </w:pPr>
      <w:r>
        <w:rPr>
          <w:rFonts w:hint="eastAsia" w:ascii="仿宋" w:hAnsi="仿宋" w:eastAsia="仿宋" w:cs="仿宋"/>
          <w:color w:val="auto"/>
          <w:kern w:val="0"/>
          <w:sz w:val="28"/>
          <w:szCs w:val="28"/>
        </w:rPr>
        <w:t>日期：</w:t>
      </w:r>
      <w:r>
        <w:rPr>
          <w:rFonts w:ascii="仿宋" w:hAnsi="仿宋" w:eastAsia="仿宋" w:cs="仿宋"/>
          <w:color w:val="auto"/>
          <w:kern w:val="0"/>
          <w:sz w:val="28"/>
          <w:szCs w:val="28"/>
        </w:rPr>
        <w:t>2021</w:t>
      </w:r>
      <w:r>
        <w:rPr>
          <w:rFonts w:hint="eastAsia" w:ascii="仿宋" w:hAnsi="仿宋" w:eastAsia="仿宋" w:cs="仿宋"/>
          <w:color w:val="auto"/>
          <w:kern w:val="0"/>
          <w:sz w:val="28"/>
          <w:szCs w:val="28"/>
        </w:rPr>
        <w:t>年</w:t>
      </w:r>
      <w:r>
        <w:rPr>
          <w:rFonts w:ascii="仿宋" w:hAnsi="仿宋" w:eastAsia="仿宋" w:cs="仿宋"/>
          <w:color w:val="auto"/>
          <w:kern w:val="0"/>
          <w:sz w:val="28"/>
          <w:szCs w:val="28"/>
        </w:rPr>
        <w:t xml:space="preserve"> </w:t>
      </w:r>
      <w:r>
        <w:rPr>
          <w:rFonts w:hint="eastAsia" w:ascii="仿宋" w:hAnsi="仿宋" w:eastAsia="仿宋" w:cs="仿宋"/>
          <w:color w:val="auto"/>
          <w:kern w:val="0"/>
          <w:sz w:val="28"/>
          <w:szCs w:val="28"/>
        </w:rPr>
        <w:t>月</w:t>
      </w:r>
      <w:r>
        <w:rPr>
          <w:rFonts w:ascii="仿宋" w:hAnsi="仿宋" w:eastAsia="仿宋" w:cs="仿宋"/>
          <w:color w:val="auto"/>
          <w:kern w:val="0"/>
          <w:sz w:val="28"/>
          <w:szCs w:val="28"/>
        </w:rPr>
        <w:t xml:space="preserve">  </w:t>
      </w:r>
      <w:r>
        <w:rPr>
          <w:rFonts w:hint="eastAsia" w:ascii="仿宋" w:hAnsi="仿宋" w:eastAsia="仿宋" w:cs="仿宋"/>
          <w:color w:val="auto"/>
          <w:kern w:val="0"/>
          <w:sz w:val="28"/>
          <w:szCs w:val="28"/>
        </w:rPr>
        <w:t>日</w:t>
      </w:r>
    </w:p>
    <w:p>
      <w:pPr>
        <w:snapToGrid w:val="0"/>
        <w:spacing w:before="50" w:after="156" w:afterLines="50" w:line="460" w:lineRule="exact"/>
        <w:jc w:val="left"/>
        <w:rPr>
          <w:rFonts w:ascii="仿宋" w:hAnsi="仿宋" w:eastAsia="仿宋" w:cs="仿宋"/>
          <w:color w:val="auto"/>
          <w:sz w:val="28"/>
          <w:szCs w:val="28"/>
        </w:rPr>
      </w:pPr>
    </w:p>
    <w:p>
      <w:pPr>
        <w:autoSpaceDE w:val="0"/>
        <w:adjustRightInd w:val="0"/>
        <w:snapToGrid w:val="0"/>
        <w:rPr>
          <w:rStyle w:val="97"/>
          <w:rFonts w:ascii="仿宋" w:hAnsi="仿宋" w:eastAsia="仿宋" w:cs="仿宋"/>
          <w:color w:val="auto"/>
          <w:sz w:val="30"/>
          <w:szCs w:val="30"/>
        </w:rPr>
      </w:pPr>
    </w:p>
    <w:p>
      <w:pPr>
        <w:pStyle w:val="3"/>
        <w:ind w:left="0" w:leftChars="0" w:firstLine="0" w:firstLineChars="0"/>
      </w:pPr>
    </w:p>
    <w:p>
      <w:pPr>
        <w:autoSpaceDE w:val="0"/>
        <w:adjustRightInd w:val="0"/>
        <w:snapToGrid w:val="0"/>
        <w:rPr>
          <w:rStyle w:val="97"/>
          <w:rFonts w:ascii="仿宋" w:hAnsi="仿宋" w:eastAsia="仿宋" w:cs="仿宋"/>
          <w:color w:val="auto"/>
          <w:sz w:val="30"/>
          <w:szCs w:val="30"/>
        </w:rPr>
      </w:pPr>
      <w:r>
        <w:rPr>
          <w:rStyle w:val="97"/>
          <w:rFonts w:hint="eastAsia" w:ascii="仿宋" w:hAnsi="仿宋" w:eastAsia="仿宋" w:cs="仿宋"/>
          <w:color w:val="auto"/>
          <w:sz w:val="30"/>
          <w:szCs w:val="30"/>
        </w:rPr>
        <w:t>附件六</w:t>
      </w:r>
    </w:p>
    <w:p>
      <w:pPr>
        <w:ind w:left="-178" w:leftChars="-85"/>
        <w:jc w:val="center"/>
        <w:rPr>
          <w:rFonts w:ascii="仿宋" w:hAnsi="仿宋" w:eastAsia="仿宋" w:cs="仿宋"/>
          <w:b/>
          <w:color w:val="auto"/>
          <w:sz w:val="30"/>
          <w:szCs w:val="30"/>
        </w:rPr>
      </w:pPr>
      <w:r>
        <w:rPr>
          <w:rFonts w:hint="eastAsia" w:ascii="仿宋" w:hAnsi="仿宋" w:eastAsia="仿宋" w:cs="仿宋"/>
          <w:b/>
          <w:color w:val="auto"/>
          <w:spacing w:val="20"/>
          <w:sz w:val="36"/>
          <w:szCs w:val="36"/>
        </w:rPr>
        <w:t>商务条款应对表</w:t>
      </w:r>
    </w:p>
    <w:p>
      <w:pPr>
        <w:rPr>
          <w:rFonts w:ascii="仿宋" w:hAnsi="仿宋" w:eastAsia="仿宋" w:cs="仿宋"/>
          <w:b/>
          <w:color w:val="auto"/>
          <w:sz w:val="28"/>
          <w:szCs w:val="28"/>
          <w:u w:val="single"/>
        </w:rPr>
      </w:pPr>
      <w:r>
        <w:rPr>
          <w:rFonts w:hint="eastAsia" w:ascii="仿宋" w:hAnsi="仿宋" w:eastAsia="仿宋" w:cs="仿宋"/>
          <w:b/>
          <w:color w:val="auto"/>
          <w:sz w:val="28"/>
          <w:szCs w:val="28"/>
        </w:rPr>
        <w:t>招标编号：</w:t>
      </w:r>
      <w:r>
        <w:rPr>
          <w:rFonts w:hint="eastAsia" w:ascii="仿宋" w:hAnsi="仿宋" w:eastAsia="仿宋" w:cs="仿宋"/>
          <w:b/>
          <w:color w:val="auto"/>
          <w:sz w:val="24"/>
          <w:szCs w:val="24"/>
          <w:lang w:eastAsia="zh-CN"/>
        </w:rPr>
        <w:t>JDOBCG2021B-45</w:t>
      </w:r>
      <w:r>
        <w:rPr>
          <w:rFonts w:ascii="仿宋" w:hAnsi="仿宋" w:eastAsia="仿宋" w:cs="仿宋"/>
          <w:b/>
          <w:color w:val="auto"/>
          <w:sz w:val="28"/>
          <w:szCs w:val="28"/>
        </w:rPr>
        <w:t xml:space="preserve">                                           </w:t>
      </w:r>
    </w:p>
    <w:tbl>
      <w:tblPr>
        <w:tblStyle w:val="47"/>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3960"/>
        <w:gridCol w:w="3420"/>
        <w:gridCol w:w="126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648" w:type="dxa"/>
            <w:vAlign w:val="center"/>
          </w:tcPr>
          <w:p>
            <w:pPr>
              <w:adjustRightInd w:val="0"/>
              <w:snapToGrid w:val="0"/>
              <w:jc w:val="center"/>
              <w:rPr>
                <w:rFonts w:ascii="仿宋" w:hAnsi="仿宋" w:eastAsia="仿宋" w:cs="仿宋"/>
                <w:color w:val="auto"/>
                <w:spacing w:val="20"/>
                <w:sz w:val="18"/>
                <w:szCs w:val="18"/>
              </w:rPr>
            </w:pPr>
            <w:r>
              <w:rPr>
                <w:rFonts w:hint="eastAsia" w:ascii="仿宋" w:hAnsi="仿宋" w:eastAsia="仿宋" w:cs="仿宋"/>
                <w:color w:val="auto"/>
                <w:spacing w:val="20"/>
                <w:sz w:val="18"/>
                <w:szCs w:val="18"/>
              </w:rPr>
              <w:t>序号</w:t>
            </w:r>
          </w:p>
        </w:tc>
        <w:tc>
          <w:tcPr>
            <w:tcW w:w="3960" w:type="dxa"/>
            <w:vAlign w:val="center"/>
          </w:tcPr>
          <w:p>
            <w:pPr>
              <w:adjustRightInd w:val="0"/>
              <w:snapToGrid w:val="0"/>
              <w:jc w:val="center"/>
              <w:rPr>
                <w:rFonts w:ascii="仿宋" w:hAnsi="仿宋" w:eastAsia="仿宋" w:cs="仿宋"/>
                <w:color w:val="auto"/>
                <w:spacing w:val="20"/>
                <w:sz w:val="18"/>
                <w:szCs w:val="18"/>
              </w:rPr>
            </w:pPr>
            <w:r>
              <w:rPr>
                <w:rFonts w:hint="eastAsia" w:ascii="仿宋" w:hAnsi="仿宋" w:eastAsia="仿宋" w:cs="仿宋"/>
                <w:color w:val="auto"/>
                <w:spacing w:val="20"/>
                <w:sz w:val="18"/>
                <w:szCs w:val="18"/>
              </w:rPr>
              <w:t>招标文件要求</w:t>
            </w:r>
          </w:p>
        </w:tc>
        <w:tc>
          <w:tcPr>
            <w:tcW w:w="3420" w:type="dxa"/>
            <w:vAlign w:val="center"/>
          </w:tcPr>
          <w:p>
            <w:pPr>
              <w:adjustRightInd w:val="0"/>
              <w:snapToGrid w:val="0"/>
              <w:ind w:firstLine="110" w:firstLineChars="50"/>
              <w:jc w:val="center"/>
              <w:rPr>
                <w:rFonts w:ascii="仿宋" w:hAnsi="仿宋" w:eastAsia="仿宋" w:cs="仿宋"/>
                <w:color w:val="auto"/>
                <w:spacing w:val="20"/>
                <w:sz w:val="18"/>
                <w:szCs w:val="18"/>
              </w:rPr>
            </w:pPr>
            <w:r>
              <w:rPr>
                <w:rFonts w:hint="eastAsia" w:ascii="仿宋" w:hAnsi="仿宋" w:eastAsia="仿宋" w:cs="仿宋"/>
                <w:color w:val="auto"/>
                <w:spacing w:val="20"/>
                <w:sz w:val="18"/>
                <w:szCs w:val="18"/>
              </w:rPr>
              <w:t>投标响应</w:t>
            </w:r>
          </w:p>
        </w:tc>
        <w:tc>
          <w:tcPr>
            <w:tcW w:w="1260" w:type="dxa"/>
            <w:vAlign w:val="center"/>
          </w:tcPr>
          <w:p>
            <w:pPr>
              <w:adjustRightInd w:val="0"/>
              <w:snapToGrid w:val="0"/>
              <w:jc w:val="center"/>
              <w:rPr>
                <w:rFonts w:ascii="仿宋" w:hAnsi="仿宋" w:eastAsia="仿宋" w:cs="仿宋"/>
                <w:color w:val="auto"/>
                <w:spacing w:val="20"/>
                <w:sz w:val="18"/>
                <w:szCs w:val="18"/>
              </w:rPr>
            </w:pPr>
            <w:r>
              <w:rPr>
                <w:rFonts w:hint="eastAsia" w:ascii="仿宋" w:hAnsi="仿宋" w:eastAsia="仿宋" w:cs="仿宋"/>
                <w:color w:val="auto"/>
                <w:spacing w:val="20"/>
                <w:sz w:val="18"/>
                <w:szCs w:val="18"/>
              </w:rPr>
              <w:t>偏离情况</w:t>
            </w:r>
          </w:p>
        </w:tc>
        <w:tc>
          <w:tcPr>
            <w:tcW w:w="720" w:type="dxa"/>
            <w:vAlign w:val="center"/>
          </w:tcPr>
          <w:p>
            <w:pPr>
              <w:adjustRightInd w:val="0"/>
              <w:snapToGrid w:val="0"/>
              <w:jc w:val="center"/>
              <w:rPr>
                <w:rFonts w:ascii="仿宋" w:hAnsi="仿宋" w:eastAsia="仿宋" w:cs="仿宋"/>
                <w:color w:val="auto"/>
                <w:spacing w:val="20"/>
                <w:sz w:val="18"/>
                <w:szCs w:val="18"/>
              </w:rPr>
            </w:pPr>
            <w:r>
              <w:rPr>
                <w:rFonts w:hint="eastAsia" w:ascii="仿宋" w:hAnsi="仿宋" w:eastAsia="仿宋" w:cs="仿宋"/>
                <w:color w:val="auto"/>
                <w:spacing w:val="20"/>
                <w:sz w:val="18"/>
                <w:szCs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1" w:hRule="atLeast"/>
        </w:trPr>
        <w:tc>
          <w:tcPr>
            <w:tcW w:w="648" w:type="dxa"/>
            <w:vAlign w:val="center"/>
          </w:tcPr>
          <w:p>
            <w:pPr>
              <w:adjustRightInd w:val="0"/>
              <w:snapToGrid w:val="0"/>
              <w:jc w:val="center"/>
              <w:rPr>
                <w:rFonts w:ascii="仿宋" w:hAnsi="仿宋" w:eastAsia="仿宋" w:cs="仿宋"/>
                <w:color w:val="auto"/>
                <w:spacing w:val="20"/>
                <w:sz w:val="18"/>
                <w:szCs w:val="18"/>
              </w:rPr>
            </w:pPr>
            <w:r>
              <w:rPr>
                <w:rFonts w:ascii="仿宋" w:hAnsi="仿宋" w:eastAsia="仿宋" w:cs="仿宋"/>
                <w:color w:val="auto"/>
                <w:spacing w:val="20"/>
                <w:sz w:val="18"/>
                <w:szCs w:val="18"/>
              </w:rPr>
              <w:t>1</w:t>
            </w:r>
          </w:p>
        </w:tc>
        <w:tc>
          <w:tcPr>
            <w:tcW w:w="3960" w:type="dxa"/>
            <w:vAlign w:val="center"/>
          </w:tcPr>
          <w:p>
            <w:pPr>
              <w:numPr>
                <w:ilvl w:val="0"/>
                <w:numId w:val="16"/>
              </w:numPr>
              <w:adjustRightInd w:val="0"/>
              <w:snapToGrid w:val="0"/>
              <w:rPr>
                <w:rFonts w:ascii="仿宋" w:hAnsi="仿宋" w:eastAsia="仿宋" w:cs="仿宋"/>
                <w:b/>
                <w:color w:val="auto"/>
                <w:sz w:val="18"/>
                <w:szCs w:val="18"/>
              </w:rPr>
            </w:pPr>
            <w:r>
              <w:rPr>
                <w:rFonts w:hint="eastAsia" w:ascii="仿宋" w:hAnsi="仿宋" w:eastAsia="仿宋" w:cs="仿宋"/>
                <w:b/>
                <w:color w:val="auto"/>
                <w:sz w:val="18"/>
                <w:szCs w:val="18"/>
              </w:rPr>
              <w:t>总体要求</w:t>
            </w:r>
          </w:p>
          <w:p>
            <w:pPr>
              <w:adjustRightInd w:val="0"/>
              <w:snapToGrid w:val="0"/>
              <w:rPr>
                <w:rFonts w:ascii="仿宋" w:hAnsi="仿宋" w:eastAsia="仿宋" w:cs="仿宋"/>
                <w:color w:val="auto"/>
                <w:sz w:val="18"/>
                <w:szCs w:val="18"/>
              </w:rPr>
            </w:pPr>
            <w:r>
              <w:rPr>
                <w:rFonts w:ascii="仿宋" w:hAnsi="仿宋" w:eastAsia="仿宋" w:cs="仿宋"/>
                <w:color w:val="auto"/>
                <w:sz w:val="18"/>
                <w:szCs w:val="18"/>
              </w:rPr>
              <w:t>1</w:t>
            </w:r>
            <w:r>
              <w:rPr>
                <w:rFonts w:hint="eastAsia" w:ascii="仿宋" w:hAnsi="仿宋" w:eastAsia="仿宋" w:cs="仿宋"/>
                <w:color w:val="auto"/>
                <w:sz w:val="18"/>
                <w:szCs w:val="18"/>
              </w:rPr>
              <w:t>、必须符合招标文件</w:t>
            </w:r>
            <w:r>
              <w:rPr>
                <w:rFonts w:ascii="仿宋" w:hAnsi="仿宋" w:eastAsia="仿宋" w:cs="仿宋"/>
                <w:color w:val="auto"/>
                <w:sz w:val="18"/>
                <w:szCs w:val="18"/>
              </w:rPr>
              <w:t>(</w:t>
            </w:r>
            <w:r>
              <w:rPr>
                <w:rFonts w:hint="eastAsia" w:ascii="仿宋" w:hAnsi="仿宋" w:eastAsia="仿宋" w:cs="仿宋"/>
                <w:color w:val="auto"/>
                <w:sz w:val="18"/>
                <w:szCs w:val="18"/>
              </w:rPr>
              <w:t>包括补充更正，如有</w:t>
            </w:r>
            <w:r>
              <w:rPr>
                <w:rFonts w:ascii="仿宋" w:hAnsi="仿宋" w:eastAsia="仿宋" w:cs="仿宋"/>
                <w:color w:val="auto"/>
                <w:sz w:val="18"/>
                <w:szCs w:val="18"/>
              </w:rPr>
              <w:t>)</w:t>
            </w:r>
            <w:r>
              <w:rPr>
                <w:rFonts w:hint="eastAsia" w:ascii="仿宋" w:hAnsi="仿宋" w:eastAsia="仿宋" w:cs="仿宋"/>
                <w:color w:val="auto"/>
                <w:sz w:val="18"/>
                <w:szCs w:val="18"/>
              </w:rPr>
              <w:t>的技术要求和配置；投标供应商须保证所提供的产品包括相关附件为相应厂家原装正品，软件产品为相关厂家正版软件，符合国家有关规定。投标供应商须保证所提供产品具有合法的版权或使用权，本项目采购的平台、数据等所有附属产品的所有权均归采购单位所有。在本项目范围内使用过程中出现版权或使用权纠纷，应由中标单位负责，采购单位和采购机构不承担责任。</w:t>
            </w:r>
          </w:p>
          <w:p>
            <w:pPr>
              <w:adjustRightInd w:val="0"/>
              <w:snapToGrid w:val="0"/>
              <w:rPr>
                <w:rFonts w:ascii="宋体"/>
                <w:color w:val="auto"/>
              </w:rPr>
            </w:pPr>
            <w:r>
              <w:rPr>
                <w:rFonts w:ascii="仿宋" w:hAnsi="仿宋" w:eastAsia="仿宋" w:cs="仿宋"/>
                <w:color w:val="auto"/>
                <w:sz w:val="18"/>
                <w:szCs w:val="18"/>
              </w:rPr>
              <w:t>2</w:t>
            </w:r>
            <w:r>
              <w:rPr>
                <w:rFonts w:hint="eastAsia" w:ascii="仿宋" w:hAnsi="仿宋" w:eastAsia="仿宋" w:cs="仿宋"/>
                <w:color w:val="auto"/>
                <w:sz w:val="18"/>
                <w:szCs w:val="18"/>
              </w:rPr>
              <w:t>、售后服务按国家质量监督检验检疫总局和国家其他有关规定执行，国家没有规定的按厂商规定执行。国家规定标准低于厂商标准的按厂商标准执行，但最低免费质保服务期不得少于</w:t>
            </w:r>
            <w:r>
              <w:rPr>
                <w:rFonts w:hint="eastAsia" w:ascii="仿宋" w:hAnsi="仿宋" w:eastAsia="仿宋" w:cs="仿宋"/>
                <w:color w:val="auto"/>
                <w:sz w:val="18"/>
                <w:szCs w:val="18"/>
                <w:lang w:val="en-US" w:eastAsia="zh-CN"/>
              </w:rPr>
              <w:t>3</w:t>
            </w:r>
            <w:r>
              <w:rPr>
                <w:rFonts w:hint="eastAsia" w:ascii="仿宋" w:hAnsi="仿宋" w:eastAsia="仿宋" w:cs="仿宋"/>
                <w:color w:val="auto"/>
                <w:sz w:val="18"/>
                <w:szCs w:val="18"/>
              </w:rPr>
              <w:t>年。</w:t>
            </w:r>
          </w:p>
        </w:tc>
        <w:tc>
          <w:tcPr>
            <w:tcW w:w="3420" w:type="dxa"/>
            <w:vAlign w:val="center"/>
          </w:tcPr>
          <w:p>
            <w:pPr>
              <w:adjustRightInd w:val="0"/>
              <w:snapToGrid w:val="0"/>
              <w:jc w:val="center"/>
              <w:rPr>
                <w:rFonts w:ascii="仿宋" w:hAnsi="仿宋" w:eastAsia="仿宋" w:cs="仿宋"/>
                <w:color w:val="auto"/>
                <w:spacing w:val="20"/>
                <w:sz w:val="18"/>
                <w:szCs w:val="18"/>
              </w:rPr>
            </w:pPr>
          </w:p>
        </w:tc>
        <w:tc>
          <w:tcPr>
            <w:tcW w:w="1260" w:type="dxa"/>
            <w:vAlign w:val="center"/>
          </w:tcPr>
          <w:p>
            <w:pPr>
              <w:adjustRightInd w:val="0"/>
              <w:snapToGrid w:val="0"/>
              <w:jc w:val="center"/>
              <w:rPr>
                <w:rFonts w:ascii="仿宋" w:hAnsi="仿宋" w:eastAsia="仿宋" w:cs="仿宋"/>
                <w:color w:val="auto"/>
                <w:spacing w:val="20"/>
                <w:sz w:val="18"/>
                <w:szCs w:val="18"/>
              </w:rPr>
            </w:pPr>
          </w:p>
        </w:tc>
        <w:tc>
          <w:tcPr>
            <w:tcW w:w="720" w:type="dxa"/>
            <w:vAlign w:val="center"/>
          </w:tcPr>
          <w:p>
            <w:pPr>
              <w:adjustRightInd w:val="0"/>
              <w:snapToGrid w:val="0"/>
              <w:jc w:val="center"/>
              <w:rPr>
                <w:rFonts w:ascii="仿宋" w:hAnsi="仿宋" w:eastAsia="仿宋" w:cs="仿宋"/>
                <w:color w:val="auto"/>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48" w:type="dxa"/>
            <w:vAlign w:val="center"/>
          </w:tcPr>
          <w:p>
            <w:pPr>
              <w:adjustRightInd w:val="0"/>
              <w:snapToGrid w:val="0"/>
              <w:jc w:val="center"/>
              <w:rPr>
                <w:rFonts w:ascii="仿宋" w:hAnsi="仿宋" w:eastAsia="仿宋" w:cs="仿宋"/>
                <w:color w:val="auto"/>
                <w:spacing w:val="20"/>
                <w:sz w:val="18"/>
                <w:szCs w:val="18"/>
              </w:rPr>
            </w:pPr>
            <w:r>
              <w:rPr>
                <w:rFonts w:ascii="仿宋" w:hAnsi="仿宋" w:eastAsia="仿宋" w:cs="仿宋"/>
                <w:color w:val="auto"/>
                <w:spacing w:val="20"/>
                <w:sz w:val="18"/>
                <w:szCs w:val="18"/>
              </w:rPr>
              <w:t>2</w:t>
            </w:r>
          </w:p>
        </w:tc>
        <w:tc>
          <w:tcPr>
            <w:tcW w:w="3960" w:type="dxa"/>
            <w:vAlign w:val="center"/>
          </w:tcPr>
          <w:p>
            <w:pPr>
              <w:adjustRightInd w:val="0"/>
              <w:snapToGrid w:val="0"/>
              <w:rPr>
                <w:rFonts w:ascii="仿宋" w:hAnsi="仿宋" w:eastAsia="仿宋" w:cs="仿宋"/>
                <w:b/>
                <w:color w:val="auto"/>
                <w:sz w:val="18"/>
                <w:szCs w:val="18"/>
              </w:rPr>
            </w:pPr>
            <w:r>
              <w:rPr>
                <w:rFonts w:hint="eastAsia" w:ascii="仿宋" w:hAnsi="仿宋" w:eastAsia="仿宋" w:cs="仿宋"/>
                <w:b/>
                <w:color w:val="auto"/>
                <w:sz w:val="18"/>
                <w:szCs w:val="18"/>
              </w:rPr>
              <w:t>二、付款方式</w:t>
            </w:r>
          </w:p>
          <w:p>
            <w:pPr>
              <w:adjustRightInd w:val="0"/>
              <w:snapToGrid w:val="0"/>
              <w:rPr>
                <w:rFonts w:ascii="仿宋" w:hAnsi="仿宋" w:eastAsia="仿宋" w:cs="仿宋"/>
                <w:color w:val="auto"/>
                <w:sz w:val="18"/>
                <w:szCs w:val="18"/>
              </w:rPr>
            </w:pPr>
            <w:r>
              <w:rPr>
                <w:rFonts w:hint="eastAsia" w:ascii="仿宋" w:hAnsi="仿宋" w:eastAsia="仿宋" w:cs="仿宋"/>
                <w:color w:val="auto"/>
                <w:sz w:val="18"/>
                <w:szCs w:val="18"/>
              </w:rPr>
              <w:t>按财务结算要求，通过银行划帐方式结算。</w:t>
            </w:r>
          </w:p>
        </w:tc>
        <w:tc>
          <w:tcPr>
            <w:tcW w:w="3420" w:type="dxa"/>
            <w:vAlign w:val="center"/>
          </w:tcPr>
          <w:p>
            <w:pPr>
              <w:adjustRightInd w:val="0"/>
              <w:snapToGrid w:val="0"/>
              <w:jc w:val="center"/>
              <w:rPr>
                <w:rFonts w:ascii="仿宋" w:hAnsi="仿宋" w:eastAsia="仿宋" w:cs="仿宋"/>
                <w:color w:val="auto"/>
                <w:spacing w:val="20"/>
                <w:sz w:val="18"/>
                <w:szCs w:val="18"/>
              </w:rPr>
            </w:pPr>
          </w:p>
        </w:tc>
        <w:tc>
          <w:tcPr>
            <w:tcW w:w="1260" w:type="dxa"/>
            <w:vAlign w:val="center"/>
          </w:tcPr>
          <w:p>
            <w:pPr>
              <w:adjustRightInd w:val="0"/>
              <w:snapToGrid w:val="0"/>
              <w:jc w:val="center"/>
              <w:rPr>
                <w:rFonts w:ascii="仿宋" w:hAnsi="仿宋" w:eastAsia="仿宋" w:cs="仿宋"/>
                <w:color w:val="auto"/>
                <w:spacing w:val="20"/>
                <w:sz w:val="18"/>
                <w:szCs w:val="18"/>
              </w:rPr>
            </w:pPr>
          </w:p>
        </w:tc>
        <w:tc>
          <w:tcPr>
            <w:tcW w:w="720" w:type="dxa"/>
            <w:vAlign w:val="center"/>
          </w:tcPr>
          <w:p>
            <w:pPr>
              <w:adjustRightInd w:val="0"/>
              <w:snapToGrid w:val="0"/>
              <w:jc w:val="center"/>
              <w:rPr>
                <w:rFonts w:ascii="仿宋" w:hAnsi="仿宋" w:eastAsia="仿宋" w:cs="仿宋"/>
                <w:color w:val="auto"/>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648" w:type="dxa"/>
            <w:vAlign w:val="center"/>
          </w:tcPr>
          <w:p>
            <w:pPr>
              <w:adjustRightInd w:val="0"/>
              <w:snapToGrid w:val="0"/>
              <w:jc w:val="center"/>
              <w:rPr>
                <w:rFonts w:ascii="仿宋" w:hAnsi="仿宋" w:eastAsia="仿宋" w:cs="仿宋"/>
                <w:color w:val="auto"/>
                <w:spacing w:val="20"/>
                <w:sz w:val="18"/>
                <w:szCs w:val="18"/>
              </w:rPr>
            </w:pPr>
            <w:r>
              <w:rPr>
                <w:rFonts w:ascii="仿宋" w:hAnsi="仿宋" w:eastAsia="仿宋" w:cs="仿宋"/>
                <w:color w:val="auto"/>
                <w:spacing w:val="20"/>
                <w:sz w:val="18"/>
                <w:szCs w:val="18"/>
              </w:rPr>
              <w:t>3</w:t>
            </w:r>
          </w:p>
        </w:tc>
        <w:tc>
          <w:tcPr>
            <w:tcW w:w="3960" w:type="dxa"/>
            <w:vAlign w:val="center"/>
          </w:tcPr>
          <w:p>
            <w:pPr>
              <w:adjustRightInd w:val="0"/>
              <w:snapToGrid w:val="0"/>
              <w:rPr>
                <w:rFonts w:ascii="仿宋" w:hAnsi="仿宋" w:eastAsia="仿宋" w:cs="仿宋"/>
                <w:bCs/>
                <w:color w:val="auto"/>
                <w:sz w:val="18"/>
                <w:szCs w:val="18"/>
              </w:rPr>
            </w:pPr>
          </w:p>
        </w:tc>
        <w:tc>
          <w:tcPr>
            <w:tcW w:w="3420" w:type="dxa"/>
            <w:vAlign w:val="center"/>
          </w:tcPr>
          <w:p>
            <w:pPr>
              <w:adjustRightInd w:val="0"/>
              <w:snapToGrid w:val="0"/>
              <w:jc w:val="center"/>
              <w:rPr>
                <w:rFonts w:ascii="仿宋" w:hAnsi="仿宋" w:eastAsia="仿宋" w:cs="仿宋"/>
                <w:color w:val="auto"/>
                <w:spacing w:val="20"/>
                <w:sz w:val="18"/>
                <w:szCs w:val="18"/>
              </w:rPr>
            </w:pPr>
          </w:p>
        </w:tc>
        <w:tc>
          <w:tcPr>
            <w:tcW w:w="1260" w:type="dxa"/>
            <w:vAlign w:val="center"/>
          </w:tcPr>
          <w:p>
            <w:pPr>
              <w:adjustRightInd w:val="0"/>
              <w:snapToGrid w:val="0"/>
              <w:jc w:val="center"/>
              <w:rPr>
                <w:rFonts w:ascii="仿宋" w:hAnsi="仿宋" w:eastAsia="仿宋" w:cs="仿宋"/>
                <w:color w:val="auto"/>
                <w:spacing w:val="20"/>
                <w:sz w:val="18"/>
                <w:szCs w:val="18"/>
              </w:rPr>
            </w:pPr>
          </w:p>
        </w:tc>
        <w:tc>
          <w:tcPr>
            <w:tcW w:w="720" w:type="dxa"/>
            <w:vAlign w:val="center"/>
          </w:tcPr>
          <w:p>
            <w:pPr>
              <w:adjustRightInd w:val="0"/>
              <w:snapToGrid w:val="0"/>
              <w:jc w:val="center"/>
              <w:rPr>
                <w:rFonts w:ascii="仿宋" w:hAnsi="仿宋" w:eastAsia="仿宋" w:cs="仿宋"/>
                <w:color w:val="auto"/>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648" w:type="dxa"/>
            <w:vAlign w:val="center"/>
          </w:tcPr>
          <w:p>
            <w:pPr>
              <w:adjustRightInd w:val="0"/>
              <w:snapToGrid w:val="0"/>
              <w:jc w:val="center"/>
              <w:rPr>
                <w:rFonts w:ascii="仿宋" w:hAnsi="仿宋" w:eastAsia="仿宋" w:cs="仿宋"/>
                <w:color w:val="auto"/>
                <w:spacing w:val="20"/>
                <w:sz w:val="18"/>
                <w:szCs w:val="18"/>
              </w:rPr>
            </w:pPr>
            <w:r>
              <w:rPr>
                <w:rFonts w:hint="eastAsia" w:ascii="仿宋" w:hAnsi="仿宋" w:eastAsia="仿宋" w:cs="仿宋"/>
                <w:color w:val="auto"/>
                <w:spacing w:val="20"/>
                <w:sz w:val="18"/>
                <w:szCs w:val="18"/>
              </w:rPr>
              <w:t>……</w:t>
            </w:r>
          </w:p>
        </w:tc>
        <w:tc>
          <w:tcPr>
            <w:tcW w:w="3960" w:type="dxa"/>
            <w:vAlign w:val="center"/>
          </w:tcPr>
          <w:p>
            <w:pPr>
              <w:adjustRightInd w:val="0"/>
              <w:snapToGrid w:val="0"/>
              <w:rPr>
                <w:rFonts w:ascii="仿宋" w:hAnsi="仿宋" w:eastAsia="仿宋" w:cs="仿宋"/>
                <w:b/>
                <w:color w:val="auto"/>
                <w:sz w:val="18"/>
                <w:szCs w:val="18"/>
              </w:rPr>
            </w:pPr>
            <w:r>
              <w:rPr>
                <w:rFonts w:hint="eastAsia" w:ascii="仿宋" w:hAnsi="仿宋" w:eastAsia="仿宋" w:cs="仿宋"/>
                <w:color w:val="auto"/>
                <w:spacing w:val="20"/>
                <w:sz w:val="18"/>
                <w:szCs w:val="18"/>
              </w:rPr>
              <w:t>……</w:t>
            </w:r>
          </w:p>
        </w:tc>
        <w:tc>
          <w:tcPr>
            <w:tcW w:w="3420" w:type="dxa"/>
            <w:vAlign w:val="center"/>
          </w:tcPr>
          <w:p>
            <w:pPr>
              <w:adjustRightInd w:val="0"/>
              <w:snapToGrid w:val="0"/>
              <w:jc w:val="center"/>
              <w:rPr>
                <w:rFonts w:ascii="仿宋" w:hAnsi="仿宋" w:eastAsia="仿宋" w:cs="仿宋"/>
                <w:color w:val="auto"/>
                <w:spacing w:val="20"/>
                <w:sz w:val="18"/>
                <w:szCs w:val="18"/>
              </w:rPr>
            </w:pPr>
          </w:p>
        </w:tc>
        <w:tc>
          <w:tcPr>
            <w:tcW w:w="1260" w:type="dxa"/>
            <w:vAlign w:val="center"/>
          </w:tcPr>
          <w:p>
            <w:pPr>
              <w:adjustRightInd w:val="0"/>
              <w:snapToGrid w:val="0"/>
              <w:jc w:val="center"/>
              <w:rPr>
                <w:rFonts w:ascii="仿宋" w:hAnsi="仿宋" w:eastAsia="仿宋" w:cs="仿宋"/>
                <w:color w:val="auto"/>
                <w:spacing w:val="20"/>
                <w:sz w:val="18"/>
                <w:szCs w:val="18"/>
              </w:rPr>
            </w:pPr>
          </w:p>
        </w:tc>
        <w:tc>
          <w:tcPr>
            <w:tcW w:w="720" w:type="dxa"/>
            <w:vAlign w:val="center"/>
          </w:tcPr>
          <w:p>
            <w:pPr>
              <w:adjustRightInd w:val="0"/>
              <w:snapToGrid w:val="0"/>
              <w:jc w:val="center"/>
              <w:rPr>
                <w:rFonts w:ascii="仿宋" w:hAnsi="仿宋" w:eastAsia="仿宋" w:cs="仿宋"/>
                <w:color w:val="auto"/>
                <w:spacing w:val="20"/>
                <w:sz w:val="18"/>
                <w:szCs w:val="18"/>
              </w:rPr>
            </w:pPr>
          </w:p>
        </w:tc>
      </w:tr>
    </w:tbl>
    <w:p>
      <w:pPr>
        <w:adjustRightInd w:val="0"/>
        <w:snapToGrid w:val="0"/>
        <w:spacing w:line="360" w:lineRule="auto"/>
        <w:rPr>
          <w:rFonts w:ascii="仿宋" w:hAnsi="仿宋" w:eastAsia="仿宋" w:cs="仿宋"/>
          <w:color w:val="auto"/>
          <w:spacing w:val="20"/>
          <w:sz w:val="28"/>
          <w:szCs w:val="28"/>
        </w:rPr>
      </w:pPr>
      <w:r>
        <w:rPr>
          <w:rFonts w:hint="eastAsia" w:ascii="仿宋" w:hAnsi="仿宋" w:eastAsia="仿宋" w:cs="仿宋"/>
          <w:color w:val="auto"/>
          <w:spacing w:val="20"/>
          <w:sz w:val="28"/>
          <w:szCs w:val="28"/>
        </w:rPr>
        <w:t>注：</w:t>
      </w:r>
      <w:r>
        <w:rPr>
          <w:rFonts w:ascii="仿宋" w:hAnsi="仿宋" w:eastAsia="仿宋" w:cs="仿宋"/>
          <w:color w:val="auto"/>
          <w:spacing w:val="20"/>
          <w:sz w:val="28"/>
          <w:szCs w:val="28"/>
        </w:rPr>
        <w:t>1</w:t>
      </w:r>
      <w:r>
        <w:rPr>
          <w:rFonts w:hint="eastAsia" w:ascii="仿宋" w:hAnsi="仿宋" w:eastAsia="仿宋" w:cs="仿宋"/>
          <w:color w:val="auto"/>
          <w:spacing w:val="20"/>
          <w:sz w:val="28"/>
          <w:szCs w:val="28"/>
        </w:rPr>
        <w:t>、对照商务条款逐项比较填写；</w:t>
      </w:r>
    </w:p>
    <w:p>
      <w:pPr>
        <w:adjustRightInd w:val="0"/>
        <w:snapToGrid w:val="0"/>
        <w:spacing w:line="360" w:lineRule="auto"/>
        <w:ind w:left="319" w:leftChars="152" w:firstLine="320" w:firstLineChars="100"/>
        <w:rPr>
          <w:rFonts w:ascii="仿宋" w:hAnsi="仿宋" w:eastAsia="仿宋" w:cs="仿宋"/>
          <w:color w:val="auto"/>
          <w:sz w:val="28"/>
          <w:szCs w:val="28"/>
        </w:rPr>
      </w:pPr>
      <w:r>
        <w:rPr>
          <w:rFonts w:ascii="仿宋" w:hAnsi="仿宋" w:eastAsia="仿宋" w:cs="仿宋"/>
          <w:color w:val="auto"/>
          <w:spacing w:val="20"/>
          <w:sz w:val="28"/>
          <w:szCs w:val="28"/>
        </w:rPr>
        <w:t>2</w:t>
      </w:r>
      <w:r>
        <w:rPr>
          <w:rFonts w:hint="eastAsia" w:ascii="仿宋" w:hAnsi="仿宋" w:eastAsia="仿宋" w:cs="仿宋"/>
          <w:color w:val="auto"/>
          <w:spacing w:val="20"/>
          <w:sz w:val="28"/>
          <w:szCs w:val="28"/>
        </w:rPr>
        <w:t>、行数不够可自行增加。</w:t>
      </w:r>
    </w:p>
    <w:p>
      <w:pPr>
        <w:autoSpaceDE w:val="0"/>
        <w:adjustRightInd w:val="0"/>
        <w:snapToGrid w:val="0"/>
        <w:rPr>
          <w:rFonts w:ascii="仿宋" w:hAnsi="仿宋" w:eastAsia="仿宋" w:cs="仿宋"/>
          <w:color w:val="auto"/>
          <w:kern w:val="0"/>
          <w:sz w:val="28"/>
          <w:szCs w:val="28"/>
        </w:rPr>
      </w:pPr>
    </w:p>
    <w:p>
      <w:pPr>
        <w:widowControl/>
        <w:snapToGrid w:val="0"/>
        <w:spacing w:line="480" w:lineRule="exact"/>
        <w:ind w:firstLine="218" w:firstLineChars="78"/>
        <w:rPr>
          <w:rFonts w:ascii="仿宋" w:hAnsi="仿宋" w:eastAsia="仿宋" w:cs="仿宋"/>
          <w:color w:val="auto"/>
          <w:kern w:val="0"/>
          <w:sz w:val="28"/>
          <w:szCs w:val="28"/>
        </w:rPr>
      </w:pPr>
      <w:r>
        <w:rPr>
          <w:rFonts w:hint="eastAsia" w:ascii="仿宋" w:hAnsi="仿宋" w:eastAsia="仿宋" w:cs="仿宋"/>
          <w:color w:val="auto"/>
          <w:kern w:val="0"/>
          <w:sz w:val="28"/>
          <w:szCs w:val="28"/>
        </w:rPr>
        <w:t>全权代表</w:t>
      </w:r>
      <w:r>
        <w:rPr>
          <w:rFonts w:ascii="仿宋" w:hAnsi="仿宋" w:eastAsia="仿宋" w:cs="仿宋"/>
          <w:color w:val="auto"/>
          <w:kern w:val="0"/>
          <w:sz w:val="28"/>
          <w:szCs w:val="28"/>
        </w:rPr>
        <w:t>(</w:t>
      </w:r>
      <w:r>
        <w:rPr>
          <w:rFonts w:hint="eastAsia" w:ascii="仿宋" w:hAnsi="仿宋" w:eastAsia="仿宋" w:cs="仿宋"/>
          <w:color w:val="auto"/>
          <w:kern w:val="0"/>
          <w:sz w:val="28"/>
          <w:szCs w:val="28"/>
        </w:rPr>
        <w:t>签字</w:t>
      </w:r>
      <w:r>
        <w:rPr>
          <w:rFonts w:ascii="仿宋" w:hAnsi="仿宋" w:eastAsia="仿宋" w:cs="仿宋"/>
          <w:color w:val="auto"/>
          <w:kern w:val="0"/>
          <w:sz w:val="28"/>
          <w:szCs w:val="28"/>
        </w:rPr>
        <w:t>)</w:t>
      </w:r>
      <w:r>
        <w:rPr>
          <w:rFonts w:hint="eastAsia" w:ascii="仿宋" w:hAnsi="仿宋" w:eastAsia="仿宋" w:cs="仿宋"/>
          <w:color w:val="auto"/>
          <w:kern w:val="0"/>
          <w:sz w:val="28"/>
          <w:szCs w:val="28"/>
        </w:rPr>
        <w:t>：</w:t>
      </w:r>
    </w:p>
    <w:p>
      <w:pPr>
        <w:widowControl/>
        <w:snapToGrid w:val="0"/>
        <w:spacing w:line="480" w:lineRule="exact"/>
        <w:ind w:firstLine="218" w:firstLineChars="78"/>
        <w:rPr>
          <w:rFonts w:ascii="仿宋" w:hAnsi="仿宋" w:eastAsia="仿宋" w:cs="仿宋"/>
          <w:color w:val="auto"/>
          <w:kern w:val="0"/>
          <w:sz w:val="28"/>
          <w:szCs w:val="28"/>
        </w:rPr>
      </w:pPr>
      <w:r>
        <w:rPr>
          <w:rFonts w:hint="eastAsia" w:ascii="仿宋" w:hAnsi="仿宋" w:eastAsia="仿宋" w:cs="仿宋"/>
          <w:color w:val="auto"/>
          <w:kern w:val="0"/>
          <w:sz w:val="28"/>
          <w:szCs w:val="28"/>
        </w:rPr>
        <w:t>投标供应商</w:t>
      </w:r>
      <w:r>
        <w:rPr>
          <w:rFonts w:ascii="仿宋" w:hAnsi="仿宋" w:eastAsia="仿宋" w:cs="仿宋"/>
          <w:color w:val="auto"/>
          <w:kern w:val="0"/>
          <w:sz w:val="28"/>
          <w:szCs w:val="28"/>
        </w:rPr>
        <w:t>(</w:t>
      </w:r>
      <w:r>
        <w:rPr>
          <w:rFonts w:hint="eastAsia" w:ascii="仿宋" w:hAnsi="仿宋" w:eastAsia="仿宋" w:cs="仿宋"/>
          <w:color w:val="auto"/>
          <w:kern w:val="0"/>
          <w:sz w:val="28"/>
          <w:szCs w:val="28"/>
        </w:rPr>
        <w:t>盖章</w:t>
      </w:r>
      <w:r>
        <w:rPr>
          <w:rFonts w:ascii="仿宋" w:hAnsi="仿宋" w:eastAsia="仿宋" w:cs="仿宋"/>
          <w:color w:val="auto"/>
          <w:kern w:val="0"/>
          <w:sz w:val="28"/>
          <w:szCs w:val="28"/>
        </w:rPr>
        <w:t>)</w:t>
      </w:r>
      <w:r>
        <w:rPr>
          <w:rFonts w:hint="eastAsia" w:ascii="仿宋" w:hAnsi="仿宋" w:eastAsia="仿宋" w:cs="仿宋"/>
          <w:color w:val="auto"/>
          <w:kern w:val="0"/>
          <w:sz w:val="28"/>
          <w:szCs w:val="28"/>
        </w:rPr>
        <w:t>：</w:t>
      </w:r>
    </w:p>
    <w:p>
      <w:pPr>
        <w:autoSpaceDE w:val="0"/>
        <w:adjustRightInd w:val="0"/>
        <w:snapToGrid w:val="0"/>
        <w:ind w:firstLine="218" w:firstLineChars="78"/>
        <w:rPr>
          <w:rFonts w:ascii="仿宋" w:hAnsi="仿宋" w:eastAsia="仿宋" w:cs="仿宋"/>
          <w:b/>
          <w:bCs/>
          <w:color w:val="auto"/>
          <w:kern w:val="0"/>
          <w:sz w:val="24"/>
        </w:rPr>
      </w:pPr>
      <w:r>
        <w:rPr>
          <w:rFonts w:hint="eastAsia" w:ascii="仿宋" w:hAnsi="仿宋" w:eastAsia="仿宋" w:cs="仿宋"/>
          <w:color w:val="auto"/>
          <w:kern w:val="0"/>
          <w:sz w:val="28"/>
          <w:szCs w:val="28"/>
        </w:rPr>
        <w:t>日期：</w:t>
      </w:r>
      <w:r>
        <w:rPr>
          <w:rFonts w:ascii="仿宋" w:hAnsi="仿宋" w:eastAsia="仿宋" w:cs="仿宋"/>
          <w:color w:val="auto"/>
          <w:kern w:val="0"/>
          <w:sz w:val="28"/>
          <w:szCs w:val="28"/>
        </w:rPr>
        <w:t>2021</w:t>
      </w:r>
      <w:r>
        <w:rPr>
          <w:rFonts w:hint="eastAsia" w:ascii="仿宋" w:hAnsi="仿宋" w:eastAsia="仿宋" w:cs="仿宋"/>
          <w:color w:val="auto"/>
          <w:kern w:val="0"/>
          <w:sz w:val="28"/>
          <w:szCs w:val="28"/>
        </w:rPr>
        <w:t>年</w:t>
      </w:r>
      <w:r>
        <w:rPr>
          <w:rFonts w:ascii="仿宋" w:hAnsi="仿宋" w:eastAsia="仿宋" w:cs="仿宋"/>
          <w:color w:val="auto"/>
          <w:kern w:val="0"/>
          <w:sz w:val="28"/>
          <w:szCs w:val="28"/>
        </w:rPr>
        <w:t xml:space="preserve"> </w:t>
      </w:r>
      <w:r>
        <w:rPr>
          <w:rFonts w:hint="eastAsia" w:ascii="仿宋" w:hAnsi="仿宋" w:eastAsia="仿宋" w:cs="仿宋"/>
          <w:color w:val="auto"/>
          <w:kern w:val="0"/>
          <w:sz w:val="28"/>
          <w:szCs w:val="28"/>
        </w:rPr>
        <w:t>月</w:t>
      </w:r>
      <w:r>
        <w:rPr>
          <w:rFonts w:ascii="仿宋" w:hAnsi="仿宋" w:eastAsia="仿宋" w:cs="仿宋"/>
          <w:color w:val="auto"/>
          <w:kern w:val="0"/>
          <w:sz w:val="28"/>
          <w:szCs w:val="28"/>
        </w:rPr>
        <w:t xml:space="preserve">  </w:t>
      </w:r>
      <w:r>
        <w:rPr>
          <w:rFonts w:hint="eastAsia" w:ascii="仿宋" w:hAnsi="仿宋" w:eastAsia="仿宋" w:cs="仿宋"/>
          <w:color w:val="auto"/>
          <w:kern w:val="0"/>
          <w:sz w:val="28"/>
          <w:szCs w:val="28"/>
        </w:rPr>
        <w:t>日</w:t>
      </w:r>
    </w:p>
    <w:p>
      <w:pPr>
        <w:autoSpaceDE w:val="0"/>
        <w:adjustRightInd w:val="0"/>
        <w:snapToGrid w:val="0"/>
        <w:rPr>
          <w:rFonts w:ascii="仿宋" w:hAnsi="仿宋" w:eastAsia="仿宋" w:cs="仿宋"/>
          <w:b/>
          <w:color w:val="auto"/>
          <w:sz w:val="30"/>
          <w:szCs w:val="30"/>
        </w:rPr>
      </w:pPr>
      <w:r>
        <w:rPr>
          <w:rFonts w:ascii="仿宋" w:hAnsi="仿宋" w:eastAsia="仿宋" w:cs="仿宋"/>
          <w:b/>
          <w:color w:val="auto"/>
          <w:sz w:val="30"/>
          <w:szCs w:val="30"/>
        </w:rPr>
        <w:br w:type="page"/>
      </w:r>
    </w:p>
    <w:p>
      <w:pPr>
        <w:autoSpaceDE w:val="0"/>
        <w:adjustRightInd w:val="0"/>
        <w:snapToGrid w:val="0"/>
        <w:rPr>
          <w:rStyle w:val="97"/>
          <w:rFonts w:ascii="仿宋" w:hAnsi="仿宋" w:eastAsia="仿宋" w:cs="仿宋"/>
          <w:color w:val="auto"/>
          <w:sz w:val="30"/>
          <w:szCs w:val="32"/>
        </w:rPr>
      </w:pPr>
      <w:r>
        <w:rPr>
          <w:rStyle w:val="97"/>
          <w:rFonts w:hint="eastAsia" w:ascii="仿宋" w:hAnsi="仿宋" w:eastAsia="仿宋" w:cs="仿宋"/>
          <w:color w:val="auto"/>
          <w:sz w:val="30"/>
          <w:szCs w:val="32"/>
        </w:rPr>
        <w:t>附件七：</w:t>
      </w:r>
    </w:p>
    <w:p>
      <w:pPr>
        <w:ind w:left="-178" w:leftChars="-85"/>
        <w:jc w:val="center"/>
        <w:rPr>
          <w:rFonts w:ascii="仿宋" w:hAnsi="仿宋" w:eastAsia="仿宋" w:cs="仿宋"/>
          <w:b/>
          <w:color w:val="auto"/>
          <w:spacing w:val="20"/>
          <w:sz w:val="36"/>
        </w:rPr>
      </w:pPr>
      <w:r>
        <w:rPr>
          <w:rFonts w:hint="eastAsia" w:ascii="仿宋" w:hAnsi="仿宋" w:eastAsia="仿宋" w:cs="仿宋"/>
          <w:b/>
          <w:color w:val="auto"/>
          <w:spacing w:val="20"/>
          <w:sz w:val="36"/>
        </w:rPr>
        <w:t>服务计划表</w:t>
      </w:r>
    </w:p>
    <w:p>
      <w:pPr>
        <w:adjustRightInd w:val="0"/>
        <w:snapToGrid w:val="0"/>
        <w:spacing w:after="156" w:afterLines="50"/>
        <w:rPr>
          <w:rFonts w:ascii="仿宋" w:hAnsi="仿宋" w:eastAsia="仿宋" w:cs="仿宋"/>
          <w:b/>
          <w:color w:val="auto"/>
          <w:spacing w:val="20"/>
          <w:sz w:val="36"/>
        </w:rPr>
      </w:pPr>
      <w:r>
        <w:rPr>
          <w:rFonts w:hint="eastAsia" w:ascii="仿宋" w:hAnsi="仿宋" w:eastAsia="仿宋" w:cs="仿宋"/>
          <w:color w:val="auto"/>
          <w:spacing w:val="20"/>
          <w:sz w:val="28"/>
          <w:szCs w:val="28"/>
        </w:rPr>
        <w:t>招标编号：</w:t>
      </w:r>
      <w:r>
        <w:rPr>
          <w:rFonts w:hint="eastAsia" w:ascii="仿宋" w:hAnsi="仿宋" w:eastAsia="仿宋" w:cs="仿宋"/>
          <w:color w:val="auto"/>
          <w:spacing w:val="20"/>
          <w:sz w:val="28"/>
          <w:szCs w:val="28"/>
          <w:lang w:eastAsia="zh-CN"/>
        </w:rPr>
        <w:t>JDOBCG2021B-45</w:t>
      </w:r>
      <w:r>
        <w:rPr>
          <w:rFonts w:hint="eastAsia" w:ascii="仿宋" w:hAnsi="仿宋" w:eastAsia="仿宋" w:cs="仿宋"/>
          <w:color w:val="auto"/>
          <w:spacing w:val="20"/>
          <w:sz w:val="28"/>
          <w:szCs w:val="28"/>
        </w:rPr>
        <w:t xml:space="preserve">  </w:t>
      </w:r>
      <w:r>
        <w:rPr>
          <w:rFonts w:ascii="仿宋" w:hAnsi="仿宋" w:eastAsia="仿宋" w:cs="仿宋"/>
          <w:color w:val="auto"/>
          <w:spacing w:val="20"/>
          <w:sz w:val="28"/>
          <w:szCs w:val="28"/>
        </w:rPr>
        <w:t xml:space="preserve">    </w:t>
      </w:r>
      <w:r>
        <w:rPr>
          <w:rFonts w:ascii="仿宋" w:hAnsi="仿宋" w:eastAsia="仿宋" w:cs="仿宋"/>
          <w:color w:val="auto"/>
        </w:rPr>
        <w:t xml:space="preserve">                       </w:t>
      </w:r>
    </w:p>
    <w:tbl>
      <w:tblPr>
        <w:tblStyle w:val="47"/>
        <w:tblW w:w="9174" w:type="dxa"/>
        <w:jc w:val="center"/>
        <w:tblLayout w:type="fixed"/>
        <w:tblCellMar>
          <w:top w:w="0" w:type="dxa"/>
          <w:left w:w="0" w:type="dxa"/>
          <w:bottom w:w="0" w:type="dxa"/>
          <w:right w:w="0" w:type="dxa"/>
        </w:tblCellMar>
      </w:tblPr>
      <w:tblGrid>
        <w:gridCol w:w="740"/>
        <w:gridCol w:w="3366"/>
        <w:gridCol w:w="3537"/>
        <w:gridCol w:w="1531"/>
      </w:tblGrid>
      <w:tr>
        <w:tblPrEx>
          <w:tblCellMar>
            <w:top w:w="0" w:type="dxa"/>
            <w:left w:w="0" w:type="dxa"/>
            <w:bottom w:w="0" w:type="dxa"/>
            <w:right w:w="0" w:type="dxa"/>
          </w:tblCellMar>
        </w:tblPrEx>
        <w:trPr>
          <w:cantSplit/>
          <w:trHeight w:val="655" w:hRule="atLeast"/>
          <w:jc w:val="center"/>
        </w:trPr>
        <w:tc>
          <w:tcPr>
            <w:tcW w:w="740" w:type="dxa"/>
            <w:tcBorders>
              <w:top w:val="single" w:color="auto" w:sz="8" w:space="0"/>
              <w:left w:val="single" w:color="auto" w:sz="8" w:space="0"/>
              <w:bottom w:val="single" w:color="auto" w:sz="8" w:space="0"/>
              <w:right w:val="single" w:color="auto" w:sz="8" w:space="0"/>
            </w:tcBorders>
            <w:vAlign w:val="center"/>
          </w:tcPr>
          <w:p>
            <w:pPr>
              <w:widowControl/>
              <w:snapToGrid w:val="0"/>
              <w:jc w:val="center"/>
              <w:rPr>
                <w:rFonts w:ascii="仿宋" w:hAnsi="仿宋" w:eastAsia="仿宋" w:cs="仿宋"/>
                <w:b/>
                <w:color w:val="auto"/>
                <w:kern w:val="0"/>
                <w:sz w:val="28"/>
                <w:szCs w:val="28"/>
              </w:rPr>
            </w:pPr>
            <w:r>
              <w:rPr>
                <w:rFonts w:hint="eastAsia" w:ascii="仿宋" w:hAnsi="仿宋" w:eastAsia="仿宋" w:cs="仿宋"/>
                <w:b/>
                <w:color w:val="auto"/>
                <w:kern w:val="0"/>
                <w:sz w:val="28"/>
                <w:szCs w:val="28"/>
              </w:rPr>
              <w:t>序号</w:t>
            </w:r>
          </w:p>
        </w:tc>
        <w:tc>
          <w:tcPr>
            <w:tcW w:w="3366" w:type="dxa"/>
            <w:tcBorders>
              <w:top w:val="single" w:color="auto" w:sz="8" w:space="0"/>
              <w:left w:val="nil"/>
              <w:bottom w:val="single" w:color="auto" w:sz="8" w:space="0"/>
              <w:right w:val="single" w:color="auto" w:sz="4" w:space="0"/>
            </w:tcBorders>
            <w:vAlign w:val="center"/>
          </w:tcPr>
          <w:p>
            <w:pPr>
              <w:widowControl/>
              <w:snapToGrid w:val="0"/>
              <w:jc w:val="center"/>
              <w:rPr>
                <w:rFonts w:ascii="仿宋" w:hAnsi="仿宋" w:eastAsia="仿宋" w:cs="仿宋"/>
                <w:b/>
                <w:color w:val="auto"/>
                <w:kern w:val="0"/>
                <w:sz w:val="28"/>
                <w:szCs w:val="28"/>
              </w:rPr>
            </w:pPr>
            <w:r>
              <w:rPr>
                <w:rFonts w:hint="eastAsia" w:ascii="仿宋" w:hAnsi="仿宋" w:eastAsia="仿宋" w:cs="仿宋"/>
                <w:b/>
                <w:color w:val="auto"/>
                <w:kern w:val="0"/>
                <w:sz w:val="28"/>
                <w:szCs w:val="28"/>
              </w:rPr>
              <w:t>质量保障措施及服务内容</w:t>
            </w:r>
          </w:p>
        </w:tc>
        <w:tc>
          <w:tcPr>
            <w:tcW w:w="3537" w:type="dxa"/>
            <w:tcBorders>
              <w:top w:val="single" w:color="auto" w:sz="8" w:space="0"/>
              <w:left w:val="single" w:color="auto" w:sz="4" w:space="0"/>
              <w:bottom w:val="single" w:color="auto" w:sz="8" w:space="0"/>
              <w:right w:val="single" w:color="auto" w:sz="8" w:space="0"/>
            </w:tcBorders>
            <w:vAlign w:val="center"/>
          </w:tcPr>
          <w:p>
            <w:pPr>
              <w:widowControl/>
              <w:snapToGrid w:val="0"/>
              <w:jc w:val="center"/>
              <w:rPr>
                <w:rFonts w:ascii="仿宋" w:hAnsi="仿宋" w:eastAsia="仿宋" w:cs="仿宋"/>
                <w:b/>
                <w:color w:val="auto"/>
                <w:kern w:val="0"/>
                <w:sz w:val="28"/>
                <w:szCs w:val="28"/>
              </w:rPr>
            </w:pPr>
            <w:r>
              <w:rPr>
                <w:rFonts w:hint="eastAsia" w:ascii="仿宋" w:hAnsi="仿宋" w:eastAsia="仿宋" w:cs="仿宋"/>
                <w:b/>
                <w:color w:val="auto"/>
                <w:kern w:val="0"/>
                <w:sz w:val="28"/>
                <w:szCs w:val="28"/>
              </w:rPr>
              <w:t>承</w:t>
            </w:r>
            <w:r>
              <w:rPr>
                <w:rFonts w:ascii="仿宋" w:hAnsi="仿宋" w:eastAsia="仿宋" w:cs="仿宋"/>
                <w:b/>
                <w:color w:val="auto"/>
                <w:kern w:val="0"/>
                <w:sz w:val="28"/>
                <w:szCs w:val="28"/>
              </w:rPr>
              <w:t xml:space="preserve">  </w:t>
            </w:r>
            <w:r>
              <w:rPr>
                <w:rFonts w:hint="eastAsia" w:ascii="仿宋" w:hAnsi="仿宋" w:eastAsia="仿宋" w:cs="仿宋"/>
                <w:b/>
                <w:color w:val="auto"/>
                <w:kern w:val="0"/>
                <w:sz w:val="28"/>
                <w:szCs w:val="28"/>
              </w:rPr>
              <w:t>诺</w:t>
            </w:r>
          </w:p>
        </w:tc>
        <w:tc>
          <w:tcPr>
            <w:tcW w:w="153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ascii="仿宋" w:hAnsi="仿宋" w:eastAsia="仿宋" w:cs="仿宋"/>
                <w:b/>
                <w:color w:val="auto"/>
                <w:kern w:val="0"/>
                <w:sz w:val="28"/>
                <w:szCs w:val="28"/>
              </w:rPr>
            </w:pPr>
            <w:r>
              <w:rPr>
                <w:rFonts w:hint="eastAsia" w:ascii="仿宋" w:hAnsi="仿宋" w:eastAsia="仿宋" w:cs="仿宋"/>
                <w:b/>
                <w:color w:val="auto"/>
                <w:kern w:val="0"/>
                <w:sz w:val="28"/>
                <w:szCs w:val="28"/>
              </w:rPr>
              <w:t>备注</w:t>
            </w:r>
          </w:p>
        </w:tc>
      </w:tr>
      <w:tr>
        <w:tblPrEx>
          <w:tblCellMar>
            <w:top w:w="0" w:type="dxa"/>
            <w:left w:w="0" w:type="dxa"/>
            <w:bottom w:w="0" w:type="dxa"/>
            <w:right w:w="0" w:type="dxa"/>
          </w:tblCellMar>
        </w:tblPrEx>
        <w:trPr>
          <w:cantSplit/>
          <w:trHeight w:val="567" w:hRule="atLeast"/>
          <w:jc w:val="center"/>
        </w:trPr>
        <w:tc>
          <w:tcPr>
            <w:tcW w:w="740" w:type="dxa"/>
            <w:tcBorders>
              <w:top w:val="nil"/>
              <w:left w:val="single" w:color="auto" w:sz="8" w:space="0"/>
              <w:bottom w:val="single" w:color="auto" w:sz="8" w:space="0"/>
              <w:right w:val="single" w:color="auto" w:sz="8" w:space="0"/>
            </w:tcBorders>
            <w:vAlign w:val="center"/>
          </w:tcPr>
          <w:p>
            <w:pPr>
              <w:widowControl/>
              <w:snapToGrid w:val="0"/>
              <w:jc w:val="center"/>
              <w:rPr>
                <w:rFonts w:ascii="仿宋" w:hAnsi="仿宋" w:eastAsia="仿宋" w:cs="仿宋"/>
                <w:color w:val="auto"/>
                <w:kern w:val="0"/>
                <w:sz w:val="28"/>
                <w:szCs w:val="28"/>
              </w:rPr>
            </w:pPr>
            <w:r>
              <w:rPr>
                <w:rFonts w:ascii="仿宋" w:hAnsi="仿宋" w:eastAsia="仿宋" w:cs="仿宋"/>
                <w:color w:val="auto"/>
                <w:kern w:val="0"/>
                <w:sz w:val="28"/>
                <w:szCs w:val="28"/>
              </w:rPr>
              <w:t>1</w:t>
            </w:r>
          </w:p>
        </w:tc>
        <w:tc>
          <w:tcPr>
            <w:tcW w:w="3366" w:type="dxa"/>
            <w:tcBorders>
              <w:top w:val="nil"/>
              <w:left w:val="nil"/>
              <w:bottom w:val="single" w:color="auto" w:sz="8" w:space="0"/>
              <w:right w:val="single" w:color="auto" w:sz="4" w:space="0"/>
            </w:tcBorders>
            <w:vAlign w:val="center"/>
          </w:tcPr>
          <w:p>
            <w:pPr>
              <w:widowControl/>
              <w:snapToGrid w:val="0"/>
              <w:textAlignment w:val="baseline"/>
              <w:rPr>
                <w:rFonts w:ascii="仿宋" w:hAnsi="仿宋" w:eastAsia="仿宋" w:cs="仿宋"/>
                <w:color w:val="auto"/>
                <w:kern w:val="0"/>
                <w:sz w:val="28"/>
                <w:szCs w:val="28"/>
              </w:rPr>
            </w:pPr>
            <w:r>
              <w:rPr>
                <w:rFonts w:hint="eastAsia" w:ascii="仿宋" w:hAnsi="仿宋" w:eastAsia="仿宋" w:cs="仿宋"/>
                <w:color w:val="auto"/>
                <w:kern w:val="0"/>
                <w:sz w:val="28"/>
                <w:szCs w:val="28"/>
              </w:rPr>
              <w:t>产品保修</w:t>
            </w:r>
          </w:p>
        </w:tc>
        <w:tc>
          <w:tcPr>
            <w:tcW w:w="3537" w:type="dxa"/>
            <w:tcBorders>
              <w:top w:val="nil"/>
              <w:left w:val="single" w:color="auto" w:sz="4" w:space="0"/>
              <w:bottom w:val="single" w:color="auto" w:sz="8" w:space="0"/>
              <w:right w:val="single" w:color="auto" w:sz="8" w:space="0"/>
            </w:tcBorders>
            <w:vAlign w:val="center"/>
          </w:tcPr>
          <w:p>
            <w:pPr>
              <w:widowControl/>
              <w:snapToGrid w:val="0"/>
              <w:jc w:val="center"/>
              <w:rPr>
                <w:rFonts w:ascii="仿宋" w:hAnsi="仿宋" w:eastAsia="仿宋" w:cs="仿宋"/>
                <w:color w:val="auto"/>
                <w:kern w:val="0"/>
                <w:sz w:val="28"/>
                <w:szCs w:val="28"/>
              </w:rPr>
            </w:pPr>
          </w:p>
        </w:tc>
        <w:tc>
          <w:tcPr>
            <w:tcW w:w="1531"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ascii="仿宋" w:hAnsi="仿宋" w:eastAsia="仿宋" w:cs="仿宋"/>
                <w:color w:val="auto"/>
                <w:kern w:val="0"/>
                <w:sz w:val="28"/>
                <w:szCs w:val="28"/>
              </w:rPr>
            </w:pPr>
          </w:p>
        </w:tc>
      </w:tr>
      <w:tr>
        <w:trPr>
          <w:cantSplit/>
          <w:trHeight w:val="567" w:hRule="atLeast"/>
          <w:jc w:val="center"/>
        </w:trPr>
        <w:tc>
          <w:tcPr>
            <w:tcW w:w="740" w:type="dxa"/>
            <w:tcBorders>
              <w:top w:val="nil"/>
              <w:left w:val="single" w:color="auto" w:sz="8" w:space="0"/>
              <w:bottom w:val="single" w:color="auto" w:sz="8" w:space="0"/>
              <w:right w:val="single" w:color="auto" w:sz="8" w:space="0"/>
            </w:tcBorders>
            <w:vAlign w:val="center"/>
          </w:tcPr>
          <w:p>
            <w:pPr>
              <w:widowControl/>
              <w:snapToGrid w:val="0"/>
              <w:jc w:val="center"/>
              <w:rPr>
                <w:rFonts w:ascii="仿宋" w:hAnsi="仿宋" w:eastAsia="仿宋" w:cs="仿宋"/>
                <w:color w:val="auto"/>
                <w:kern w:val="0"/>
                <w:sz w:val="28"/>
                <w:szCs w:val="28"/>
              </w:rPr>
            </w:pPr>
            <w:r>
              <w:rPr>
                <w:rFonts w:ascii="仿宋" w:hAnsi="仿宋" w:eastAsia="仿宋" w:cs="仿宋"/>
                <w:color w:val="auto"/>
                <w:kern w:val="0"/>
                <w:sz w:val="28"/>
                <w:szCs w:val="28"/>
              </w:rPr>
              <w:t>2</w:t>
            </w:r>
          </w:p>
        </w:tc>
        <w:tc>
          <w:tcPr>
            <w:tcW w:w="3366" w:type="dxa"/>
            <w:tcBorders>
              <w:top w:val="nil"/>
              <w:left w:val="nil"/>
              <w:bottom w:val="single" w:color="auto" w:sz="8" w:space="0"/>
              <w:right w:val="single" w:color="auto" w:sz="4" w:space="0"/>
            </w:tcBorders>
            <w:vAlign w:val="center"/>
          </w:tcPr>
          <w:p>
            <w:pPr>
              <w:widowControl/>
              <w:snapToGrid w:val="0"/>
              <w:rPr>
                <w:rFonts w:ascii="仿宋" w:hAnsi="仿宋" w:eastAsia="仿宋" w:cs="仿宋"/>
                <w:color w:val="auto"/>
                <w:kern w:val="0"/>
                <w:sz w:val="28"/>
                <w:szCs w:val="28"/>
              </w:rPr>
            </w:pPr>
            <w:r>
              <w:rPr>
                <w:rFonts w:hint="eastAsia" w:ascii="仿宋" w:hAnsi="仿宋" w:eastAsia="仿宋" w:cs="仿宋"/>
                <w:color w:val="auto"/>
                <w:kern w:val="0"/>
                <w:sz w:val="28"/>
                <w:szCs w:val="28"/>
              </w:rPr>
              <w:t>有关技术人员免费</w:t>
            </w:r>
          </w:p>
          <w:p>
            <w:pPr>
              <w:widowControl/>
              <w:snapToGrid w:val="0"/>
              <w:rPr>
                <w:rFonts w:ascii="仿宋" w:hAnsi="仿宋" w:eastAsia="仿宋" w:cs="仿宋"/>
                <w:color w:val="auto"/>
                <w:kern w:val="0"/>
                <w:sz w:val="28"/>
                <w:szCs w:val="28"/>
              </w:rPr>
            </w:pPr>
            <w:r>
              <w:rPr>
                <w:rFonts w:hint="eastAsia" w:ascii="仿宋" w:hAnsi="仿宋" w:eastAsia="仿宋" w:cs="仿宋"/>
                <w:color w:val="auto"/>
                <w:kern w:val="0"/>
                <w:sz w:val="28"/>
                <w:szCs w:val="28"/>
              </w:rPr>
              <w:t>提供安装技术指导</w:t>
            </w:r>
          </w:p>
        </w:tc>
        <w:tc>
          <w:tcPr>
            <w:tcW w:w="3537" w:type="dxa"/>
            <w:tcBorders>
              <w:top w:val="nil"/>
              <w:left w:val="single" w:color="auto" w:sz="4" w:space="0"/>
              <w:bottom w:val="single" w:color="auto" w:sz="8" w:space="0"/>
              <w:right w:val="single" w:color="auto" w:sz="8" w:space="0"/>
            </w:tcBorders>
            <w:vAlign w:val="center"/>
          </w:tcPr>
          <w:p>
            <w:pPr>
              <w:widowControl/>
              <w:snapToGrid w:val="0"/>
              <w:jc w:val="left"/>
              <w:rPr>
                <w:rFonts w:ascii="仿宋" w:hAnsi="仿宋" w:eastAsia="仿宋" w:cs="仿宋"/>
                <w:color w:val="auto"/>
                <w:kern w:val="0"/>
                <w:sz w:val="28"/>
                <w:szCs w:val="28"/>
              </w:rPr>
            </w:pPr>
          </w:p>
          <w:p>
            <w:pPr>
              <w:widowControl/>
              <w:snapToGrid w:val="0"/>
              <w:jc w:val="center"/>
              <w:rPr>
                <w:rFonts w:ascii="仿宋" w:hAnsi="仿宋" w:eastAsia="仿宋" w:cs="仿宋"/>
                <w:color w:val="auto"/>
                <w:kern w:val="0"/>
                <w:sz w:val="28"/>
                <w:szCs w:val="28"/>
              </w:rPr>
            </w:pPr>
          </w:p>
        </w:tc>
        <w:tc>
          <w:tcPr>
            <w:tcW w:w="1531"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ascii="仿宋" w:hAnsi="仿宋" w:eastAsia="仿宋" w:cs="仿宋"/>
                <w:color w:val="auto"/>
                <w:kern w:val="0"/>
                <w:sz w:val="28"/>
                <w:szCs w:val="28"/>
              </w:rPr>
            </w:pPr>
          </w:p>
        </w:tc>
      </w:tr>
      <w:tr>
        <w:tblPrEx>
          <w:tblCellMar>
            <w:top w:w="0" w:type="dxa"/>
            <w:left w:w="0" w:type="dxa"/>
            <w:bottom w:w="0" w:type="dxa"/>
            <w:right w:w="0" w:type="dxa"/>
          </w:tblCellMar>
        </w:tblPrEx>
        <w:trPr>
          <w:cantSplit/>
          <w:trHeight w:val="567" w:hRule="atLeast"/>
          <w:jc w:val="center"/>
        </w:trPr>
        <w:tc>
          <w:tcPr>
            <w:tcW w:w="740" w:type="dxa"/>
            <w:tcBorders>
              <w:top w:val="nil"/>
              <w:left w:val="single" w:color="auto" w:sz="8" w:space="0"/>
              <w:bottom w:val="single" w:color="auto" w:sz="8" w:space="0"/>
              <w:right w:val="single" w:color="auto" w:sz="8" w:space="0"/>
            </w:tcBorders>
            <w:vAlign w:val="center"/>
          </w:tcPr>
          <w:p>
            <w:pPr>
              <w:widowControl/>
              <w:snapToGrid w:val="0"/>
              <w:jc w:val="center"/>
              <w:rPr>
                <w:rFonts w:ascii="仿宋" w:hAnsi="仿宋" w:eastAsia="仿宋" w:cs="仿宋"/>
                <w:color w:val="auto"/>
                <w:kern w:val="0"/>
                <w:sz w:val="28"/>
                <w:szCs w:val="28"/>
              </w:rPr>
            </w:pPr>
            <w:r>
              <w:rPr>
                <w:rFonts w:ascii="仿宋" w:hAnsi="仿宋" w:eastAsia="仿宋" w:cs="仿宋"/>
                <w:color w:val="auto"/>
                <w:kern w:val="0"/>
                <w:sz w:val="28"/>
                <w:szCs w:val="28"/>
              </w:rPr>
              <w:t>3</w:t>
            </w:r>
          </w:p>
        </w:tc>
        <w:tc>
          <w:tcPr>
            <w:tcW w:w="3366" w:type="dxa"/>
            <w:tcBorders>
              <w:top w:val="nil"/>
              <w:left w:val="nil"/>
              <w:bottom w:val="single" w:color="auto" w:sz="8" w:space="0"/>
              <w:right w:val="single" w:color="auto" w:sz="4" w:space="0"/>
            </w:tcBorders>
            <w:vAlign w:val="center"/>
          </w:tcPr>
          <w:p>
            <w:pPr>
              <w:widowControl/>
              <w:snapToGrid w:val="0"/>
              <w:rPr>
                <w:rFonts w:ascii="仿宋" w:hAnsi="仿宋" w:eastAsia="仿宋" w:cs="仿宋"/>
                <w:color w:val="auto"/>
                <w:kern w:val="0"/>
                <w:sz w:val="28"/>
                <w:szCs w:val="28"/>
              </w:rPr>
            </w:pPr>
            <w:r>
              <w:rPr>
                <w:rFonts w:hint="eastAsia" w:ascii="仿宋" w:hAnsi="仿宋" w:eastAsia="仿宋" w:cs="仿宋"/>
                <w:color w:val="auto"/>
                <w:kern w:val="0"/>
                <w:sz w:val="28"/>
                <w:szCs w:val="28"/>
              </w:rPr>
              <w:t>产品免费换货期限</w:t>
            </w:r>
          </w:p>
        </w:tc>
        <w:tc>
          <w:tcPr>
            <w:tcW w:w="3537" w:type="dxa"/>
            <w:tcBorders>
              <w:top w:val="nil"/>
              <w:left w:val="single" w:color="auto" w:sz="4" w:space="0"/>
              <w:bottom w:val="single" w:color="auto" w:sz="8" w:space="0"/>
              <w:right w:val="single" w:color="auto" w:sz="8" w:space="0"/>
            </w:tcBorders>
            <w:vAlign w:val="center"/>
          </w:tcPr>
          <w:p>
            <w:pPr>
              <w:widowControl/>
              <w:snapToGrid w:val="0"/>
              <w:jc w:val="center"/>
              <w:rPr>
                <w:rFonts w:ascii="仿宋" w:hAnsi="仿宋" w:eastAsia="仿宋" w:cs="仿宋"/>
                <w:color w:val="auto"/>
                <w:kern w:val="0"/>
                <w:sz w:val="28"/>
                <w:szCs w:val="28"/>
              </w:rPr>
            </w:pPr>
          </w:p>
        </w:tc>
        <w:tc>
          <w:tcPr>
            <w:tcW w:w="1531"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ascii="仿宋" w:hAnsi="仿宋" w:eastAsia="仿宋" w:cs="仿宋"/>
                <w:color w:val="auto"/>
                <w:kern w:val="0"/>
                <w:sz w:val="28"/>
                <w:szCs w:val="28"/>
              </w:rPr>
            </w:pPr>
          </w:p>
        </w:tc>
      </w:tr>
      <w:tr>
        <w:tblPrEx>
          <w:tblCellMar>
            <w:top w:w="0" w:type="dxa"/>
            <w:left w:w="0" w:type="dxa"/>
            <w:bottom w:w="0" w:type="dxa"/>
            <w:right w:w="0" w:type="dxa"/>
          </w:tblCellMar>
        </w:tblPrEx>
        <w:trPr>
          <w:cantSplit/>
          <w:trHeight w:val="567" w:hRule="atLeast"/>
          <w:jc w:val="center"/>
        </w:trPr>
        <w:tc>
          <w:tcPr>
            <w:tcW w:w="740" w:type="dxa"/>
            <w:tcBorders>
              <w:top w:val="nil"/>
              <w:left w:val="single" w:color="auto" w:sz="8" w:space="0"/>
              <w:bottom w:val="single" w:color="auto" w:sz="8" w:space="0"/>
              <w:right w:val="single" w:color="auto" w:sz="8" w:space="0"/>
            </w:tcBorders>
            <w:vAlign w:val="center"/>
          </w:tcPr>
          <w:p>
            <w:pPr>
              <w:widowControl/>
              <w:snapToGrid w:val="0"/>
              <w:jc w:val="center"/>
              <w:rPr>
                <w:rFonts w:ascii="仿宋" w:hAnsi="仿宋" w:eastAsia="仿宋" w:cs="仿宋"/>
                <w:color w:val="auto"/>
                <w:kern w:val="0"/>
                <w:sz w:val="28"/>
                <w:szCs w:val="28"/>
              </w:rPr>
            </w:pPr>
            <w:r>
              <w:rPr>
                <w:rFonts w:ascii="仿宋" w:hAnsi="仿宋" w:eastAsia="仿宋" w:cs="仿宋"/>
                <w:color w:val="auto"/>
                <w:kern w:val="0"/>
                <w:sz w:val="28"/>
                <w:szCs w:val="28"/>
              </w:rPr>
              <w:t>4</w:t>
            </w:r>
          </w:p>
        </w:tc>
        <w:tc>
          <w:tcPr>
            <w:tcW w:w="3366" w:type="dxa"/>
            <w:tcBorders>
              <w:top w:val="nil"/>
              <w:left w:val="nil"/>
              <w:bottom w:val="single" w:color="auto" w:sz="8" w:space="0"/>
              <w:right w:val="single" w:color="auto" w:sz="4" w:space="0"/>
            </w:tcBorders>
            <w:vAlign w:val="center"/>
          </w:tcPr>
          <w:p>
            <w:pPr>
              <w:widowControl/>
              <w:snapToGrid w:val="0"/>
              <w:rPr>
                <w:rFonts w:ascii="仿宋" w:hAnsi="仿宋" w:eastAsia="仿宋" w:cs="仿宋"/>
                <w:color w:val="auto"/>
                <w:kern w:val="0"/>
                <w:sz w:val="28"/>
                <w:szCs w:val="28"/>
              </w:rPr>
            </w:pPr>
            <w:r>
              <w:rPr>
                <w:rFonts w:hint="eastAsia" w:ascii="仿宋" w:hAnsi="仿宋" w:eastAsia="仿宋" w:cs="仿宋"/>
                <w:color w:val="auto"/>
                <w:kern w:val="0"/>
                <w:sz w:val="28"/>
                <w:szCs w:val="28"/>
              </w:rPr>
              <w:t>免费上门服务期限</w:t>
            </w:r>
          </w:p>
        </w:tc>
        <w:tc>
          <w:tcPr>
            <w:tcW w:w="3537" w:type="dxa"/>
            <w:tcBorders>
              <w:top w:val="nil"/>
              <w:left w:val="single" w:color="auto" w:sz="4" w:space="0"/>
              <w:bottom w:val="single" w:color="auto" w:sz="8" w:space="0"/>
              <w:right w:val="single" w:color="auto" w:sz="8" w:space="0"/>
            </w:tcBorders>
            <w:vAlign w:val="center"/>
          </w:tcPr>
          <w:p>
            <w:pPr>
              <w:widowControl/>
              <w:snapToGrid w:val="0"/>
              <w:jc w:val="center"/>
              <w:rPr>
                <w:rFonts w:ascii="仿宋" w:hAnsi="仿宋" w:eastAsia="仿宋" w:cs="仿宋"/>
                <w:color w:val="auto"/>
                <w:kern w:val="0"/>
                <w:sz w:val="28"/>
                <w:szCs w:val="28"/>
              </w:rPr>
            </w:pPr>
          </w:p>
        </w:tc>
        <w:tc>
          <w:tcPr>
            <w:tcW w:w="1531"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ascii="仿宋" w:hAnsi="仿宋" w:eastAsia="仿宋" w:cs="仿宋"/>
                <w:color w:val="auto"/>
                <w:kern w:val="0"/>
                <w:sz w:val="28"/>
                <w:szCs w:val="28"/>
              </w:rPr>
            </w:pPr>
          </w:p>
        </w:tc>
      </w:tr>
      <w:tr>
        <w:tblPrEx>
          <w:tblCellMar>
            <w:top w:w="0" w:type="dxa"/>
            <w:left w:w="0" w:type="dxa"/>
            <w:bottom w:w="0" w:type="dxa"/>
            <w:right w:w="0" w:type="dxa"/>
          </w:tblCellMar>
        </w:tblPrEx>
        <w:trPr>
          <w:cantSplit/>
          <w:trHeight w:val="567" w:hRule="atLeast"/>
          <w:jc w:val="center"/>
        </w:trPr>
        <w:tc>
          <w:tcPr>
            <w:tcW w:w="740" w:type="dxa"/>
            <w:tcBorders>
              <w:top w:val="nil"/>
              <w:left w:val="single" w:color="auto" w:sz="8" w:space="0"/>
              <w:bottom w:val="single" w:color="auto" w:sz="8" w:space="0"/>
              <w:right w:val="single" w:color="auto" w:sz="8" w:space="0"/>
            </w:tcBorders>
            <w:vAlign w:val="center"/>
          </w:tcPr>
          <w:p>
            <w:pPr>
              <w:widowControl/>
              <w:snapToGrid w:val="0"/>
              <w:jc w:val="center"/>
              <w:rPr>
                <w:rFonts w:ascii="仿宋" w:hAnsi="仿宋" w:eastAsia="仿宋" w:cs="仿宋"/>
                <w:color w:val="auto"/>
                <w:kern w:val="0"/>
                <w:sz w:val="28"/>
                <w:szCs w:val="28"/>
              </w:rPr>
            </w:pPr>
            <w:r>
              <w:rPr>
                <w:rFonts w:ascii="仿宋" w:hAnsi="仿宋" w:eastAsia="仿宋" w:cs="仿宋"/>
                <w:color w:val="auto"/>
                <w:kern w:val="0"/>
                <w:sz w:val="28"/>
                <w:szCs w:val="28"/>
              </w:rPr>
              <w:t>5</w:t>
            </w:r>
          </w:p>
        </w:tc>
        <w:tc>
          <w:tcPr>
            <w:tcW w:w="3366" w:type="dxa"/>
            <w:tcBorders>
              <w:top w:val="nil"/>
              <w:left w:val="nil"/>
              <w:bottom w:val="single" w:color="auto" w:sz="8" w:space="0"/>
              <w:right w:val="single" w:color="auto" w:sz="4" w:space="0"/>
            </w:tcBorders>
            <w:vAlign w:val="center"/>
          </w:tcPr>
          <w:p>
            <w:pPr>
              <w:widowControl/>
              <w:snapToGrid w:val="0"/>
              <w:rPr>
                <w:rFonts w:ascii="仿宋" w:hAnsi="仿宋" w:eastAsia="仿宋" w:cs="仿宋"/>
                <w:color w:val="auto"/>
                <w:kern w:val="0"/>
                <w:sz w:val="28"/>
                <w:szCs w:val="28"/>
              </w:rPr>
            </w:pPr>
            <w:r>
              <w:rPr>
                <w:rFonts w:hint="eastAsia" w:ascii="仿宋" w:hAnsi="仿宋" w:eastAsia="仿宋" w:cs="仿宋"/>
                <w:color w:val="auto"/>
                <w:kern w:val="0"/>
                <w:sz w:val="28"/>
                <w:szCs w:val="28"/>
              </w:rPr>
              <w:t>质保期内产品故障</w:t>
            </w:r>
          </w:p>
          <w:p>
            <w:pPr>
              <w:widowControl/>
              <w:snapToGrid w:val="0"/>
              <w:rPr>
                <w:rFonts w:ascii="仿宋" w:hAnsi="仿宋" w:eastAsia="仿宋" w:cs="仿宋"/>
                <w:color w:val="auto"/>
                <w:kern w:val="0"/>
                <w:sz w:val="28"/>
                <w:szCs w:val="28"/>
              </w:rPr>
            </w:pPr>
            <w:r>
              <w:rPr>
                <w:rFonts w:hint="eastAsia" w:ascii="仿宋" w:hAnsi="仿宋" w:eastAsia="仿宋" w:cs="仿宋"/>
                <w:color w:val="auto"/>
                <w:kern w:val="0"/>
                <w:sz w:val="28"/>
                <w:szCs w:val="28"/>
              </w:rPr>
              <w:t>服务响应时限</w:t>
            </w:r>
          </w:p>
        </w:tc>
        <w:tc>
          <w:tcPr>
            <w:tcW w:w="3537" w:type="dxa"/>
            <w:tcBorders>
              <w:top w:val="nil"/>
              <w:left w:val="single" w:color="auto" w:sz="4" w:space="0"/>
              <w:bottom w:val="single" w:color="auto" w:sz="8" w:space="0"/>
              <w:right w:val="single" w:color="auto" w:sz="8" w:space="0"/>
            </w:tcBorders>
            <w:vAlign w:val="center"/>
          </w:tcPr>
          <w:p>
            <w:pPr>
              <w:widowControl/>
              <w:snapToGrid w:val="0"/>
              <w:jc w:val="left"/>
              <w:rPr>
                <w:rFonts w:ascii="仿宋" w:hAnsi="仿宋" w:eastAsia="仿宋" w:cs="仿宋"/>
                <w:color w:val="auto"/>
                <w:kern w:val="0"/>
                <w:sz w:val="28"/>
                <w:szCs w:val="28"/>
              </w:rPr>
            </w:pPr>
          </w:p>
          <w:p>
            <w:pPr>
              <w:widowControl/>
              <w:snapToGrid w:val="0"/>
              <w:jc w:val="center"/>
              <w:rPr>
                <w:rFonts w:ascii="仿宋" w:hAnsi="仿宋" w:eastAsia="仿宋" w:cs="仿宋"/>
                <w:color w:val="auto"/>
                <w:kern w:val="0"/>
                <w:sz w:val="28"/>
                <w:szCs w:val="28"/>
              </w:rPr>
            </w:pPr>
          </w:p>
        </w:tc>
        <w:tc>
          <w:tcPr>
            <w:tcW w:w="1531"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ascii="仿宋" w:hAnsi="仿宋" w:eastAsia="仿宋" w:cs="仿宋"/>
                <w:color w:val="auto"/>
                <w:kern w:val="0"/>
                <w:sz w:val="28"/>
                <w:szCs w:val="28"/>
              </w:rPr>
            </w:pPr>
          </w:p>
        </w:tc>
      </w:tr>
      <w:tr>
        <w:tblPrEx>
          <w:tblCellMar>
            <w:top w:w="0" w:type="dxa"/>
            <w:left w:w="0" w:type="dxa"/>
            <w:bottom w:w="0" w:type="dxa"/>
            <w:right w:w="0" w:type="dxa"/>
          </w:tblCellMar>
        </w:tblPrEx>
        <w:trPr>
          <w:cantSplit/>
          <w:trHeight w:val="567" w:hRule="atLeast"/>
          <w:jc w:val="center"/>
        </w:trPr>
        <w:tc>
          <w:tcPr>
            <w:tcW w:w="740" w:type="dxa"/>
            <w:tcBorders>
              <w:top w:val="nil"/>
              <w:left w:val="single" w:color="auto" w:sz="8" w:space="0"/>
              <w:bottom w:val="single" w:color="auto" w:sz="8" w:space="0"/>
              <w:right w:val="single" w:color="auto" w:sz="8" w:space="0"/>
            </w:tcBorders>
            <w:vAlign w:val="center"/>
          </w:tcPr>
          <w:p>
            <w:pPr>
              <w:widowControl/>
              <w:snapToGrid w:val="0"/>
              <w:jc w:val="center"/>
              <w:rPr>
                <w:rFonts w:ascii="仿宋" w:hAnsi="仿宋" w:eastAsia="仿宋" w:cs="仿宋"/>
                <w:color w:val="auto"/>
                <w:kern w:val="0"/>
                <w:sz w:val="28"/>
                <w:szCs w:val="28"/>
              </w:rPr>
            </w:pPr>
            <w:r>
              <w:rPr>
                <w:rFonts w:ascii="仿宋" w:hAnsi="仿宋" w:eastAsia="仿宋" w:cs="仿宋"/>
                <w:color w:val="auto"/>
                <w:kern w:val="0"/>
                <w:sz w:val="28"/>
                <w:szCs w:val="28"/>
              </w:rPr>
              <w:t>6</w:t>
            </w:r>
          </w:p>
        </w:tc>
        <w:tc>
          <w:tcPr>
            <w:tcW w:w="3366" w:type="dxa"/>
            <w:tcBorders>
              <w:top w:val="nil"/>
              <w:left w:val="nil"/>
              <w:bottom w:val="single" w:color="auto" w:sz="8" w:space="0"/>
              <w:right w:val="single" w:color="auto" w:sz="4" w:space="0"/>
            </w:tcBorders>
            <w:vAlign w:val="center"/>
          </w:tcPr>
          <w:p>
            <w:pPr>
              <w:widowControl/>
              <w:snapToGrid w:val="0"/>
              <w:rPr>
                <w:rFonts w:ascii="仿宋" w:hAnsi="仿宋" w:eastAsia="仿宋" w:cs="仿宋"/>
                <w:color w:val="auto"/>
                <w:kern w:val="0"/>
                <w:sz w:val="28"/>
                <w:szCs w:val="28"/>
              </w:rPr>
            </w:pPr>
            <w:r>
              <w:rPr>
                <w:rFonts w:hint="eastAsia" w:ascii="仿宋" w:hAnsi="仿宋" w:eastAsia="仿宋" w:cs="仿宋"/>
                <w:color w:val="auto"/>
                <w:kern w:val="0"/>
                <w:sz w:val="28"/>
                <w:szCs w:val="28"/>
              </w:rPr>
              <w:t>服务时间（</w:t>
            </w:r>
            <w:r>
              <w:rPr>
                <w:rFonts w:ascii="仿宋" w:hAnsi="仿宋" w:eastAsia="仿宋" w:cs="仿宋"/>
                <w:color w:val="auto"/>
                <w:kern w:val="0"/>
                <w:sz w:val="28"/>
                <w:szCs w:val="28"/>
              </w:rPr>
              <w:t>5*8</w:t>
            </w:r>
            <w:r>
              <w:rPr>
                <w:rFonts w:hint="eastAsia" w:ascii="仿宋" w:hAnsi="仿宋" w:eastAsia="仿宋" w:cs="仿宋"/>
                <w:color w:val="auto"/>
                <w:kern w:val="0"/>
                <w:sz w:val="28"/>
                <w:szCs w:val="28"/>
              </w:rPr>
              <w:t>、</w:t>
            </w:r>
            <w:r>
              <w:rPr>
                <w:rFonts w:ascii="仿宋" w:hAnsi="仿宋" w:eastAsia="仿宋" w:cs="仿宋"/>
                <w:color w:val="auto"/>
                <w:kern w:val="0"/>
                <w:sz w:val="28"/>
                <w:szCs w:val="28"/>
              </w:rPr>
              <w:t>5*24</w:t>
            </w:r>
            <w:r>
              <w:rPr>
                <w:rFonts w:hint="eastAsia" w:ascii="仿宋" w:hAnsi="仿宋" w:eastAsia="仿宋" w:cs="仿宋"/>
                <w:color w:val="auto"/>
                <w:kern w:val="0"/>
                <w:sz w:val="28"/>
                <w:szCs w:val="28"/>
              </w:rPr>
              <w:t>、</w:t>
            </w:r>
          </w:p>
          <w:p>
            <w:pPr>
              <w:widowControl/>
              <w:snapToGrid w:val="0"/>
              <w:rPr>
                <w:rFonts w:ascii="仿宋" w:hAnsi="仿宋" w:eastAsia="仿宋" w:cs="仿宋"/>
                <w:color w:val="auto"/>
                <w:kern w:val="0"/>
                <w:sz w:val="28"/>
                <w:szCs w:val="28"/>
              </w:rPr>
            </w:pPr>
            <w:r>
              <w:rPr>
                <w:rFonts w:ascii="仿宋" w:hAnsi="仿宋" w:eastAsia="仿宋" w:cs="仿宋"/>
                <w:color w:val="auto"/>
                <w:kern w:val="0"/>
                <w:sz w:val="28"/>
                <w:szCs w:val="28"/>
              </w:rPr>
              <w:t>7*8</w:t>
            </w:r>
            <w:r>
              <w:rPr>
                <w:rFonts w:hint="eastAsia" w:ascii="仿宋" w:hAnsi="仿宋" w:eastAsia="仿宋" w:cs="仿宋"/>
                <w:color w:val="auto"/>
                <w:kern w:val="0"/>
                <w:sz w:val="28"/>
                <w:szCs w:val="28"/>
              </w:rPr>
              <w:t>、</w:t>
            </w:r>
            <w:r>
              <w:rPr>
                <w:rFonts w:ascii="仿宋" w:hAnsi="仿宋" w:eastAsia="仿宋" w:cs="仿宋"/>
                <w:color w:val="auto"/>
                <w:kern w:val="0"/>
                <w:sz w:val="28"/>
                <w:szCs w:val="28"/>
              </w:rPr>
              <w:t>7*24</w:t>
            </w:r>
            <w:r>
              <w:rPr>
                <w:rFonts w:hint="eastAsia" w:ascii="仿宋" w:hAnsi="仿宋" w:eastAsia="仿宋" w:cs="仿宋"/>
                <w:color w:val="auto"/>
                <w:kern w:val="0"/>
                <w:sz w:val="28"/>
                <w:szCs w:val="28"/>
              </w:rPr>
              <w:t>小时）</w:t>
            </w:r>
          </w:p>
        </w:tc>
        <w:tc>
          <w:tcPr>
            <w:tcW w:w="3537" w:type="dxa"/>
            <w:tcBorders>
              <w:top w:val="nil"/>
              <w:left w:val="single" w:color="auto" w:sz="4" w:space="0"/>
              <w:bottom w:val="single" w:color="auto" w:sz="8" w:space="0"/>
              <w:right w:val="single" w:color="auto" w:sz="8" w:space="0"/>
            </w:tcBorders>
            <w:vAlign w:val="center"/>
          </w:tcPr>
          <w:p>
            <w:pPr>
              <w:widowControl/>
              <w:snapToGrid w:val="0"/>
              <w:jc w:val="left"/>
              <w:rPr>
                <w:rFonts w:ascii="仿宋" w:hAnsi="仿宋" w:eastAsia="仿宋" w:cs="仿宋"/>
                <w:color w:val="auto"/>
                <w:kern w:val="0"/>
                <w:sz w:val="28"/>
                <w:szCs w:val="28"/>
              </w:rPr>
            </w:pPr>
          </w:p>
          <w:p>
            <w:pPr>
              <w:widowControl/>
              <w:snapToGrid w:val="0"/>
              <w:jc w:val="center"/>
              <w:rPr>
                <w:rFonts w:ascii="仿宋" w:hAnsi="仿宋" w:eastAsia="仿宋" w:cs="仿宋"/>
                <w:color w:val="auto"/>
                <w:kern w:val="0"/>
                <w:sz w:val="28"/>
                <w:szCs w:val="28"/>
              </w:rPr>
            </w:pPr>
          </w:p>
        </w:tc>
        <w:tc>
          <w:tcPr>
            <w:tcW w:w="1531"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ascii="仿宋" w:hAnsi="仿宋" w:eastAsia="仿宋" w:cs="仿宋"/>
                <w:color w:val="auto"/>
                <w:kern w:val="0"/>
                <w:sz w:val="28"/>
                <w:szCs w:val="28"/>
              </w:rPr>
            </w:pPr>
            <w:r>
              <w:rPr>
                <w:rFonts w:hint="eastAsia" w:ascii="仿宋" w:hAnsi="仿宋" w:eastAsia="仿宋" w:cs="仿宋"/>
                <w:color w:val="auto"/>
                <w:kern w:val="0"/>
                <w:sz w:val="28"/>
                <w:szCs w:val="21"/>
              </w:rPr>
              <w:t>每周的服务天数和服务时间</w:t>
            </w:r>
          </w:p>
        </w:tc>
      </w:tr>
      <w:tr>
        <w:trPr>
          <w:cantSplit/>
          <w:trHeight w:val="567" w:hRule="atLeast"/>
          <w:jc w:val="center"/>
        </w:trPr>
        <w:tc>
          <w:tcPr>
            <w:tcW w:w="740" w:type="dxa"/>
            <w:tcBorders>
              <w:top w:val="nil"/>
              <w:left w:val="single" w:color="auto" w:sz="8" w:space="0"/>
              <w:bottom w:val="single" w:color="auto" w:sz="4" w:space="0"/>
              <w:right w:val="single" w:color="auto" w:sz="8" w:space="0"/>
            </w:tcBorders>
            <w:vAlign w:val="center"/>
          </w:tcPr>
          <w:p>
            <w:pPr>
              <w:widowControl/>
              <w:snapToGrid w:val="0"/>
              <w:jc w:val="center"/>
              <w:rPr>
                <w:rFonts w:ascii="仿宋" w:hAnsi="仿宋" w:eastAsia="仿宋" w:cs="仿宋"/>
                <w:color w:val="auto"/>
                <w:kern w:val="0"/>
                <w:sz w:val="28"/>
                <w:szCs w:val="28"/>
              </w:rPr>
            </w:pPr>
            <w:r>
              <w:rPr>
                <w:rFonts w:ascii="仿宋" w:hAnsi="仿宋" w:eastAsia="仿宋" w:cs="仿宋"/>
                <w:color w:val="auto"/>
                <w:kern w:val="0"/>
                <w:sz w:val="28"/>
                <w:szCs w:val="28"/>
              </w:rPr>
              <w:t>7</w:t>
            </w:r>
          </w:p>
        </w:tc>
        <w:tc>
          <w:tcPr>
            <w:tcW w:w="3366" w:type="dxa"/>
            <w:tcBorders>
              <w:top w:val="nil"/>
              <w:left w:val="nil"/>
              <w:bottom w:val="single" w:color="auto" w:sz="4" w:space="0"/>
              <w:right w:val="single" w:color="auto" w:sz="4" w:space="0"/>
            </w:tcBorders>
            <w:vAlign w:val="center"/>
          </w:tcPr>
          <w:p>
            <w:pPr>
              <w:widowControl/>
              <w:snapToGrid w:val="0"/>
              <w:rPr>
                <w:rFonts w:ascii="仿宋" w:hAnsi="仿宋" w:eastAsia="仿宋" w:cs="仿宋"/>
                <w:color w:val="auto"/>
                <w:kern w:val="0"/>
                <w:sz w:val="28"/>
                <w:szCs w:val="28"/>
              </w:rPr>
            </w:pPr>
            <w:r>
              <w:rPr>
                <w:rFonts w:hint="eastAsia" w:ascii="仿宋" w:hAnsi="仿宋" w:eastAsia="仿宋" w:cs="仿宋"/>
                <w:color w:val="auto"/>
                <w:kern w:val="0"/>
                <w:sz w:val="28"/>
                <w:szCs w:val="28"/>
              </w:rPr>
              <w:t>质保期满后的保修</w:t>
            </w:r>
          </w:p>
          <w:p>
            <w:pPr>
              <w:widowControl/>
              <w:snapToGrid w:val="0"/>
              <w:rPr>
                <w:rFonts w:ascii="仿宋" w:hAnsi="仿宋" w:eastAsia="仿宋" w:cs="仿宋"/>
                <w:color w:val="auto"/>
                <w:kern w:val="0"/>
                <w:sz w:val="28"/>
                <w:szCs w:val="28"/>
              </w:rPr>
            </w:pPr>
            <w:r>
              <w:rPr>
                <w:rFonts w:hint="eastAsia" w:ascii="仿宋" w:hAnsi="仿宋" w:eastAsia="仿宋" w:cs="仿宋"/>
                <w:color w:val="auto"/>
                <w:kern w:val="0"/>
                <w:sz w:val="28"/>
                <w:szCs w:val="28"/>
              </w:rPr>
              <w:t>服务费用</w:t>
            </w:r>
          </w:p>
        </w:tc>
        <w:tc>
          <w:tcPr>
            <w:tcW w:w="3537" w:type="dxa"/>
            <w:tcBorders>
              <w:top w:val="nil"/>
              <w:left w:val="single" w:color="auto" w:sz="4" w:space="0"/>
              <w:bottom w:val="single" w:color="auto" w:sz="4" w:space="0"/>
              <w:right w:val="single" w:color="auto" w:sz="8" w:space="0"/>
            </w:tcBorders>
            <w:vAlign w:val="center"/>
          </w:tcPr>
          <w:p>
            <w:pPr>
              <w:widowControl/>
              <w:snapToGrid w:val="0"/>
              <w:jc w:val="left"/>
              <w:rPr>
                <w:rFonts w:ascii="仿宋" w:hAnsi="仿宋" w:eastAsia="仿宋" w:cs="仿宋"/>
                <w:color w:val="auto"/>
                <w:kern w:val="0"/>
                <w:sz w:val="28"/>
                <w:szCs w:val="28"/>
              </w:rPr>
            </w:pPr>
          </w:p>
          <w:p>
            <w:pPr>
              <w:widowControl/>
              <w:snapToGrid w:val="0"/>
              <w:jc w:val="center"/>
              <w:rPr>
                <w:rFonts w:ascii="仿宋" w:hAnsi="仿宋" w:eastAsia="仿宋" w:cs="仿宋"/>
                <w:color w:val="auto"/>
                <w:kern w:val="0"/>
                <w:sz w:val="28"/>
                <w:szCs w:val="28"/>
              </w:rPr>
            </w:pPr>
          </w:p>
        </w:tc>
        <w:tc>
          <w:tcPr>
            <w:tcW w:w="1531" w:type="dxa"/>
            <w:tcBorders>
              <w:top w:val="nil"/>
              <w:left w:val="nil"/>
              <w:bottom w:val="single" w:color="auto" w:sz="4" w:space="0"/>
              <w:right w:val="single" w:color="auto" w:sz="8" w:space="0"/>
            </w:tcBorders>
            <w:tcMar>
              <w:top w:w="0" w:type="dxa"/>
              <w:left w:w="108" w:type="dxa"/>
              <w:bottom w:w="0" w:type="dxa"/>
              <w:right w:w="108" w:type="dxa"/>
            </w:tcMar>
            <w:vAlign w:val="center"/>
          </w:tcPr>
          <w:p>
            <w:pPr>
              <w:widowControl/>
              <w:snapToGrid w:val="0"/>
              <w:jc w:val="center"/>
              <w:rPr>
                <w:rFonts w:ascii="仿宋" w:hAnsi="仿宋" w:eastAsia="仿宋" w:cs="仿宋"/>
                <w:color w:val="auto"/>
                <w:kern w:val="0"/>
                <w:sz w:val="28"/>
                <w:szCs w:val="28"/>
              </w:rPr>
            </w:pPr>
          </w:p>
        </w:tc>
      </w:tr>
      <w:tr>
        <w:tblPrEx>
          <w:tblCellMar>
            <w:top w:w="0" w:type="dxa"/>
            <w:left w:w="0" w:type="dxa"/>
            <w:bottom w:w="0" w:type="dxa"/>
            <w:right w:w="0" w:type="dxa"/>
          </w:tblCellMar>
        </w:tblPrEx>
        <w:trPr>
          <w:cantSplit/>
          <w:trHeight w:val="738" w:hRule="atLeast"/>
          <w:jc w:val="center"/>
        </w:trPr>
        <w:tc>
          <w:tcPr>
            <w:tcW w:w="740" w:type="dxa"/>
            <w:tcBorders>
              <w:top w:val="single" w:color="auto" w:sz="4" w:space="0"/>
              <w:left w:val="single" w:color="auto" w:sz="8" w:space="0"/>
              <w:bottom w:val="single" w:color="auto" w:sz="4" w:space="0"/>
              <w:right w:val="single" w:color="auto" w:sz="8" w:space="0"/>
            </w:tcBorders>
            <w:vAlign w:val="center"/>
          </w:tcPr>
          <w:p>
            <w:pPr>
              <w:widowControl/>
              <w:snapToGrid w:val="0"/>
              <w:jc w:val="center"/>
              <w:rPr>
                <w:rFonts w:ascii="仿宋" w:hAnsi="仿宋" w:eastAsia="仿宋" w:cs="仿宋"/>
                <w:color w:val="auto"/>
                <w:kern w:val="0"/>
                <w:sz w:val="28"/>
                <w:szCs w:val="28"/>
              </w:rPr>
            </w:pPr>
            <w:r>
              <w:rPr>
                <w:rFonts w:ascii="仿宋" w:hAnsi="仿宋" w:eastAsia="仿宋" w:cs="仿宋"/>
                <w:color w:val="auto"/>
                <w:kern w:val="0"/>
                <w:sz w:val="28"/>
                <w:szCs w:val="28"/>
              </w:rPr>
              <w:t>8</w:t>
            </w:r>
          </w:p>
        </w:tc>
        <w:tc>
          <w:tcPr>
            <w:tcW w:w="3366" w:type="dxa"/>
            <w:tcBorders>
              <w:top w:val="single" w:color="auto" w:sz="4" w:space="0"/>
              <w:left w:val="nil"/>
              <w:bottom w:val="single" w:color="auto" w:sz="4" w:space="0"/>
              <w:right w:val="single" w:color="auto" w:sz="4" w:space="0"/>
            </w:tcBorders>
            <w:vAlign w:val="center"/>
          </w:tcPr>
          <w:p>
            <w:pPr>
              <w:widowControl/>
              <w:snapToGrid w:val="0"/>
              <w:rPr>
                <w:rFonts w:ascii="仿宋" w:hAnsi="仿宋" w:eastAsia="仿宋" w:cs="仿宋"/>
                <w:color w:val="auto"/>
                <w:kern w:val="0"/>
                <w:sz w:val="28"/>
                <w:szCs w:val="28"/>
              </w:rPr>
            </w:pPr>
            <w:r>
              <w:rPr>
                <w:rFonts w:hint="eastAsia" w:ascii="仿宋" w:hAnsi="仿宋" w:eastAsia="仿宋" w:cs="仿宋"/>
                <w:color w:val="auto"/>
                <w:kern w:val="0"/>
                <w:sz w:val="28"/>
                <w:szCs w:val="28"/>
              </w:rPr>
              <w:t>交货时间</w:t>
            </w:r>
          </w:p>
        </w:tc>
        <w:tc>
          <w:tcPr>
            <w:tcW w:w="3537" w:type="dxa"/>
            <w:tcBorders>
              <w:top w:val="single" w:color="auto" w:sz="4" w:space="0"/>
              <w:left w:val="single" w:color="auto" w:sz="4" w:space="0"/>
              <w:bottom w:val="single" w:color="auto" w:sz="4" w:space="0"/>
              <w:right w:val="single" w:color="auto" w:sz="8" w:space="0"/>
            </w:tcBorders>
            <w:vAlign w:val="center"/>
          </w:tcPr>
          <w:p>
            <w:pPr>
              <w:widowControl/>
              <w:snapToGrid w:val="0"/>
              <w:jc w:val="center"/>
              <w:rPr>
                <w:rFonts w:ascii="仿宋" w:hAnsi="仿宋" w:eastAsia="仿宋" w:cs="仿宋"/>
                <w:color w:val="auto"/>
                <w:kern w:val="0"/>
                <w:sz w:val="28"/>
                <w:szCs w:val="28"/>
              </w:rPr>
            </w:pPr>
          </w:p>
        </w:tc>
        <w:tc>
          <w:tcPr>
            <w:tcW w:w="1531"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snapToGrid w:val="0"/>
              <w:jc w:val="center"/>
              <w:rPr>
                <w:rFonts w:ascii="仿宋" w:hAnsi="仿宋" w:eastAsia="仿宋" w:cs="仿宋"/>
                <w:color w:val="auto"/>
                <w:kern w:val="0"/>
                <w:sz w:val="28"/>
                <w:szCs w:val="28"/>
              </w:rPr>
            </w:pPr>
          </w:p>
        </w:tc>
      </w:tr>
      <w:tr>
        <w:tblPrEx>
          <w:tblCellMar>
            <w:top w:w="0" w:type="dxa"/>
            <w:left w:w="0" w:type="dxa"/>
            <w:bottom w:w="0" w:type="dxa"/>
            <w:right w:w="0" w:type="dxa"/>
          </w:tblCellMar>
        </w:tblPrEx>
        <w:trPr>
          <w:cantSplit/>
          <w:trHeight w:val="783" w:hRule="atLeast"/>
          <w:jc w:val="center"/>
        </w:trPr>
        <w:tc>
          <w:tcPr>
            <w:tcW w:w="740" w:type="dxa"/>
            <w:tcBorders>
              <w:top w:val="single" w:color="auto" w:sz="4" w:space="0"/>
              <w:left w:val="single" w:color="auto" w:sz="8" w:space="0"/>
              <w:bottom w:val="single" w:color="auto" w:sz="8" w:space="0"/>
              <w:right w:val="single" w:color="auto" w:sz="8" w:space="0"/>
            </w:tcBorders>
            <w:vAlign w:val="center"/>
          </w:tcPr>
          <w:p>
            <w:pPr>
              <w:snapToGrid w:val="0"/>
              <w:jc w:val="center"/>
              <w:rPr>
                <w:rFonts w:ascii="仿宋" w:hAnsi="仿宋" w:eastAsia="仿宋" w:cs="仿宋"/>
                <w:color w:val="auto"/>
                <w:kern w:val="0"/>
                <w:sz w:val="28"/>
                <w:szCs w:val="28"/>
              </w:rPr>
            </w:pPr>
            <w:r>
              <w:rPr>
                <w:rFonts w:ascii="仿宋" w:hAnsi="仿宋" w:eastAsia="仿宋" w:cs="仿宋"/>
                <w:color w:val="auto"/>
                <w:kern w:val="0"/>
                <w:sz w:val="28"/>
                <w:szCs w:val="28"/>
              </w:rPr>
              <w:t>9</w:t>
            </w:r>
          </w:p>
        </w:tc>
        <w:tc>
          <w:tcPr>
            <w:tcW w:w="3366" w:type="dxa"/>
            <w:tcBorders>
              <w:top w:val="single" w:color="auto" w:sz="4" w:space="0"/>
              <w:left w:val="nil"/>
              <w:bottom w:val="single" w:color="auto" w:sz="8" w:space="0"/>
              <w:right w:val="single" w:color="auto" w:sz="4" w:space="0"/>
            </w:tcBorders>
            <w:vAlign w:val="center"/>
          </w:tcPr>
          <w:p>
            <w:pPr>
              <w:snapToGrid w:val="0"/>
              <w:rPr>
                <w:rFonts w:ascii="仿宋" w:hAnsi="仿宋" w:eastAsia="仿宋" w:cs="仿宋"/>
                <w:color w:val="auto"/>
                <w:kern w:val="0"/>
                <w:sz w:val="28"/>
                <w:szCs w:val="28"/>
              </w:rPr>
            </w:pPr>
            <w:r>
              <w:rPr>
                <w:rFonts w:hint="eastAsia" w:ascii="仿宋" w:hAnsi="仿宋" w:eastAsia="仿宋" w:cs="仿宋"/>
                <w:color w:val="auto"/>
                <w:kern w:val="0"/>
                <w:sz w:val="28"/>
                <w:szCs w:val="28"/>
              </w:rPr>
              <w:t>其他服务</w:t>
            </w:r>
          </w:p>
        </w:tc>
        <w:tc>
          <w:tcPr>
            <w:tcW w:w="3537" w:type="dxa"/>
            <w:tcBorders>
              <w:top w:val="single" w:color="auto" w:sz="4" w:space="0"/>
              <w:left w:val="single" w:color="auto" w:sz="4" w:space="0"/>
              <w:bottom w:val="single" w:color="auto" w:sz="8" w:space="0"/>
              <w:right w:val="single" w:color="auto" w:sz="8" w:space="0"/>
            </w:tcBorders>
            <w:vAlign w:val="center"/>
          </w:tcPr>
          <w:p>
            <w:pPr>
              <w:widowControl/>
              <w:snapToGrid w:val="0"/>
              <w:jc w:val="center"/>
              <w:rPr>
                <w:rFonts w:ascii="仿宋" w:hAnsi="仿宋" w:eastAsia="仿宋" w:cs="仿宋"/>
                <w:color w:val="auto"/>
                <w:kern w:val="0"/>
                <w:sz w:val="28"/>
                <w:szCs w:val="28"/>
              </w:rPr>
            </w:pPr>
          </w:p>
        </w:tc>
        <w:tc>
          <w:tcPr>
            <w:tcW w:w="1531"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ascii="仿宋" w:hAnsi="仿宋" w:eastAsia="仿宋" w:cs="仿宋"/>
                <w:color w:val="auto"/>
                <w:kern w:val="0"/>
                <w:sz w:val="28"/>
                <w:szCs w:val="28"/>
              </w:rPr>
            </w:pPr>
          </w:p>
        </w:tc>
      </w:tr>
    </w:tbl>
    <w:p>
      <w:pPr>
        <w:widowControl/>
        <w:snapToGrid w:val="0"/>
        <w:jc w:val="right"/>
        <w:rPr>
          <w:rFonts w:ascii="仿宋" w:hAnsi="仿宋" w:eastAsia="仿宋" w:cs="仿宋"/>
          <w:color w:val="auto"/>
          <w:sz w:val="24"/>
        </w:rPr>
      </w:pPr>
    </w:p>
    <w:p>
      <w:pPr>
        <w:autoSpaceDE w:val="0"/>
        <w:adjustRightInd w:val="0"/>
        <w:snapToGrid w:val="0"/>
        <w:ind w:firstLine="3735" w:firstLineChars="1550"/>
        <w:rPr>
          <w:rFonts w:ascii="仿宋" w:hAnsi="仿宋" w:eastAsia="仿宋" w:cs="仿宋"/>
          <w:b/>
          <w:bCs/>
          <w:color w:val="auto"/>
          <w:kern w:val="0"/>
          <w:sz w:val="24"/>
        </w:rPr>
      </w:pPr>
    </w:p>
    <w:p>
      <w:pPr>
        <w:widowControl/>
        <w:snapToGrid w:val="0"/>
        <w:spacing w:line="480" w:lineRule="exact"/>
        <w:ind w:firstLine="5535" w:firstLineChars="1977"/>
        <w:rPr>
          <w:rFonts w:ascii="仿宋" w:hAnsi="仿宋" w:eastAsia="仿宋" w:cs="仿宋"/>
          <w:color w:val="auto"/>
          <w:kern w:val="0"/>
          <w:sz w:val="28"/>
          <w:szCs w:val="28"/>
        </w:rPr>
      </w:pPr>
      <w:r>
        <w:rPr>
          <w:rFonts w:hint="eastAsia" w:ascii="仿宋" w:hAnsi="仿宋" w:eastAsia="仿宋" w:cs="仿宋"/>
          <w:color w:val="auto"/>
          <w:kern w:val="0"/>
          <w:sz w:val="28"/>
          <w:szCs w:val="28"/>
        </w:rPr>
        <w:t>全权代表</w:t>
      </w:r>
      <w:r>
        <w:rPr>
          <w:rFonts w:ascii="仿宋" w:hAnsi="仿宋" w:eastAsia="仿宋" w:cs="仿宋"/>
          <w:color w:val="auto"/>
          <w:kern w:val="0"/>
          <w:sz w:val="28"/>
          <w:szCs w:val="28"/>
        </w:rPr>
        <w:t>(</w:t>
      </w:r>
      <w:r>
        <w:rPr>
          <w:rFonts w:hint="eastAsia" w:ascii="仿宋" w:hAnsi="仿宋" w:eastAsia="仿宋" w:cs="仿宋"/>
          <w:color w:val="auto"/>
          <w:kern w:val="0"/>
          <w:sz w:val="28"/>
          <w:szCs w:val="28"/>
        </w:rPr>
        <w:t>签字</w:t>
      </w:r>
      <w:r>
        <w:rPr>
          <w:rFonts w:ascii="仿宋" w:hAnsi="仿宋" w:eastAsia="仿宋" w:cs="仿宋"/>
          <w:color w:val="auto"/>
          <w:kern w:val="0"/>
          <w:sz w:val="28"/>
          <w:szCs w:val="28"/>
        </w:rPr>
        <w:t>)</w:t>
      </w:r>
      <w:r>
        <w:rPr>
          <w:rFonts w:hint="eastAsia" w:ascii="仿宋" w:hAnsi="仿宋" w:eastAsia="仿宋" w:cs="仿宋"/>
          <w:color w:val="auto"/>
          <w:kern w:val="0"/>
          <w:sz w:val="28"/>
          <w:szCs w:val="28"/>
        </w:rPr>
        <w:t>：</w:t>
      </w:r>
    </w:p>
    <w:p>
      <w:pPr>
        <w:widowControl/>
        <w:snapToGrid w:val="0"/>
        <w:spacing w:line="480" w:lineRule="exact"/>
        <w:ind w:firstLine="5535" w:firstLineChars="1977"/>
        <w:rPr>
          <w:rFonts w:ascii="仿宋" w:hAnsi="仿宋" w:eastAsia="仿宋" w:cs="仿宋"/>
          <w:color w:val="auto"/>
          <w:kern w:val="0"/>
          <w:sz w:val="28"/>
          <w:szCs w:val="28"/>
        </w:rPr>
      </w:pPr>
      <w:r>
        <w:rPr>
          <w:rFonts w:hint="eastAsia" w:ascii="仿宋" w:hAnsi="仿宋" w:eastAsia="仿宋" w:cs="仿宋"/>
          <w:color w:val="auto"/>
          <w:kern w:val="0"/>
          <w:sz w:val="28"/>
          <w:szCs w:val="28"/>
        </w:rPr>
        <w:t>投标供应商</w:t>
      </w:r>
      <w:r>
        <w:rPr>
          <w:rFonts w:ascii="仿宋" w:hAnsi="仿宋" w:eastAsia="仿宋" w:cs="仿宋"/>
          <w:color w:val="auto"/>
          <w:kern w:val="0"/>
          <w:sz w:val="28"/>
          <w:szCs w:val="28"/>
        </w:rPr>
        <w:t>(</w:t>
      </w:r>
      <w:r>
        <w:rPr>
          <w:rFonts w:hint="eastAsia" w:ascii="仿宋" w:hAnsi="仿宋" w:eastAsia="仿宋" w:cs="仿宋"/>
          <w:color w:val="auto"/>
          <w:kern w:val="0"/>
          <w:sz w:val="28"/>
          <w:szCs w:val="28"/>
        </w:rPr>
        <w:t>盖章</w:t>
      </w:r>
      <w:r>
        <w:rPr>
          <w:rFonts w:ascii="仿宋" w:hAnsi="仿宋" w:eastAsia="仿宋" w:cs="仿宋"/>
          <w:color w:val="auto"/>
          <w:kern w:val="0"/>
          <w:sz w:val="28"/>
          <w:szCs w:val="28"/>
        </w:rPr>
        <w:t>)</w:t>
      </w:r>
      <w:r>
        <w:rPr>
          <w:rFonts w:hint="eastAsia" w:ascii="仿宋" w:hAnsi="仿宋" w:eastAsia="仿宋" w:cs="仿宋"/>
          <w:color w:val="auto"/>
          <w:kern w:val="0"/>
          <w:sz w:val="28"/>
          <w:szCs w:val="28"/>
        </w:rPr>
        <w:t>：</w:t>
      </w:r>
    </w:p>
    <w:p>
      <w:pPr>
        <w:autoSpaceDE w:val="0"/>
        <w:adjustRightInd w:val="0"/>
        <w:snapToGrid w:val="0"/>
        <w:ind w:firstLine="5535" w:firstLineChars="1977"/>
        <w:rPr>
          <w:rFonts w:ascii="仿宋" w:hAnsi="仿宋" w:eastAsia="仿宋" w:cs="仿宋"/>
          <w:b/>
          <w:bCs/>
          <w:color w:val="auto"/>
          <w:kern w:val="0"/>
          <w:sz w:val="24"/>
        </w:rPr>
      </w:pPr>
      <w:r>
        <w:rPr>
          <w:rFonts w:hint="eastAsia" w:ascii="仿宋" w:hAnsi="仿宋" w:eastAsia="仿宋" w:cs="仿宋"/>
          <w:color w:val="auto"/>
          <w:kern w:val="0"/>
          <w:sz w:val="28"/>
          <w:szCs w:val="28"/>
        </w:rPr>
        <w:t>日期：</w:t>
      </w:r>
      <w:r>
        <w:rPr>
          <w:rFonts w:ascii="仿宋" w:hAnsi="仿宋" w:eastAsia="仿宋" w:cs="仿宋"/>
          <w:color w:val="auto"/>
          <w:kern w:val="0"/>
          <w:sz w:val="28"/>
          <w:szCs w:val="28"/>
        </w:rPr>
        <w:t>2021</w:t>
      </w:r>
      <w:r>
        <w:rPr>
          <w:rFonts w:hint="eastAsia" w:ascii="仿宋" w:hAnsi="仿宋" w:eastAsia="仿宋" w:cs="仿宋"/>
          <w:color w:val="auto"/>
          <w:kern w:val="0"/>
          <w:sz w:val="28"/>
          <w:szCs w:val="28"/>
        </w:rPr>
        <w:t>年</w:t>
      </w:r>
      <w:r>
        <w:rPr>
          <w:rFonts w:ascii="仿宋" w:hAnsi="仿宋" w:eastAsia="仿宋" w:cs="仿宋"/>
          <w:color w:val="auto"/>
          <w:kern w:val="0"/>
          <w:sz w:val="28"/>
          <w:szCs w:val="28"/>
        </w:rPr>
        <w:t xml:space="preserve"> </w:t>
      </w:r>
      <w:r>
        <w:rPr>
          <w:rFonts w:hint="eastAsia" w:ascii="仿宋" w:hAnsi="仿宋" w:eastAsia="仿宋" w:cs="仿宋"/>
          <w:color w:val="auto"/>
          <w:kern w:val="0"/>
          <w:sz w:val="28"/>
          <w:szCs w:val="28"/>
        </w:rPr>
        <w:t>月</w:t>
      </w:r>
      <w:r>
        <w:rPr>
          <w:rFonts w:ascii="仿宋" w:hAnsi="仿宋" w:eastAsia="仿宋" w:cs="仿宋"/>
          <w:color w:val="auto"/>
          <w:kern w:val="0"/>
          <w:sz w:val="28"/>
          <w:szCs w:val="28"/>
        </w:rPr>
        <w:t xml:space="preserve">  </w:t>
      </w:r>
      <w:r>
        <w:rPr>
          <w:rFonts w:hint="eastAsia" w:ascii="仿宋" w:hAnsi="仿宋" w:eastAsia="仿宋" w:cs="仿宋"/>
          <w:color w:val="auto"/>
          <w:kern w:val="0"/>
          <w:sz w:val="28"/>
          <w:szCs w:val="28"/>
        </w:rPr>
        <w:t>日</w:t>
      </w:r>
    </w:p>
    <w:p>
      <w:pPr>
        <w:ind w:left="540" w:firstLine="30"/>
        <w:jc w:val="center"/>
        <w:rPr>
          <w:rFonts w:ascii="仿宋" w:hAnsi="仿宋" w:eastAsia="仿宋" w:cs="仿宋"/>
          <w:color w:val="auto"/>
          <w:sz w:val="30"/>
          <w:szCs w:val="30"/>
        </w:rPr>
      </w:pPr>
    </w:p>
    <w:p>
      <w:pPr>
        <w:spacing w:line="480" w:lineRule="auto"/>
        <w:jc w:val="left"/>
        <w:rPr>
          <w:rStyle w:val="97"/>
          <w:rFonts w:ascii="仿宋" w:hAnsi="仿宋" w:eastAsia="仿宋" w:cs="仿宋"/>
          <w:color w:val="auto"/>
          <w:sz w:val="30"/>
          <w:szCs w:val="30"/>
        </w:rPr>
      </w:pPr>
    </w:p>
    <w:p>
      <w:pPr>
        <w:spacing w:line="480" w:lineRule="auto"/>
        <w:jc w:val="left"/>
        <w:rPr>
          <w:rStyle w:val="97"/>
          <w:rFonts w:ascii="仿宋" w:hAnsi="仿宋" w:eastAsia="仿宋" w:cs="仿宋"/>
          <w:color w:val="auto"/>
          <w:sz w:val="30"/>
          <w:szCs w:val="30"/>
        </w:rPr>
      </w:pPr>
    </w:p>
    <w:p>
      <w:pPr>
        <w:spacing w:line="480" w:lineRule="auto"/>
        <w:jc w:val="left"/>
        <w:rPr>
          <w:rStyle w:val="97"/>
          <w:rFonts w:ascii="仿宋" w:hAnsi="仿宋" w:eastAsia="仿宋" w:cs="仿宋"/>
          <w:color w:val="auto"/>
          <w:sz w:val="30"/>
          <w:szCs w:val="30"/>
        </w:rPr>
      </w:pPr>
    </w:p>
    <w:p>
      <w:pPr>
        <w:pStyle w:val="57"/>
        <w:rPr>
          <w:color w:val="auto"/>
        </w:rPr>
      </w:pPr>
    </w:p>
    <w:p>
      <w:pPr>
        <w:spacing w:line="480" w:lineRule="auto"/>
        <w:jc w:val="left"/>
        <w:rPr>
          <w:rStyle w:val="97"/>
          <w:rFonts w:ascii="仿宋" w:hAnsi="仿宋" w:eastAsia="仿宋" w:cs="仿宋"/>
          <w:color w:val="auto"/>
          <w:sz w:val="30"/>
          <w:szCs w:val="30"/>
        </w:rPr>
      </w:pPr>
      <w:r>
        <w:rPr>
          <w:rStyle w:val="97"/>
          <w:rFonts w:hint="eastAsia" w:ascii="仿宋" w:hAnsi="仿宋" w:eastAsia="仿宋" w:cs="仿宋"/>
          <w:color w:val="auto"/>
          <w:sz w:val="30"/>
          <w:szCs w:val="30"/>
        </w:rPr>
        <w:t>附件八</w:t>
      </w:r>
    </w:p>
    <w:p>
      <w:pPr>
        <w:widowControl/>
        <w:snapToGrid w:val="0"/>
        <w:ind w:firstLine="3238" w:firstLineChars="896"/>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法定代表人授权书</w:t>
      </w:r>
    </w:p>
    <w:p>
      <w:pPr>
        <w:widowControl/>
        <w:snapToGrid w:val="0"/>
        <w:rPr>
          <w:rFonts w:ascii="仿宋" w:hAnsi="仿宋" w:eastAsia="仿宋" w:cs="仿宋"/>
          <w:color w:val="auto"/>
          <w:kern w:val="0"/>
          <w:sz w:val="24"/>
        </w:rPr>
      </w:pPr>
    </w:p>
    <w:p>
      <w:pPr>
        <w:widowControl/>
        <w:snapToGrid w:val="0"/>
        <w:rPr>
          <w:rFonts w:ascii="仿宋" w:hAnsi="仿宋" w:eastAsia="仿宋" w:cs="仿宋"/>
          <w:color w:val="auto"/>
          <w:kern w:val="0"/>
          <w:sz w:val="30"/>
          <w:szCs w:val="30"/>
        </w:rPr>
      </w:pPr>
      <w:r>
        <w:rPr>
          <w:rFonts w:hint="eastAsia" w:ascii="仿宋" w:hAnsi="仿宋" w:eastAsia="仿宋" w:cs="仿宋"/>
          <w:color w:val="auto"/>
          <w:kern w:val="0"/>
          <w:sz w:val="30"/>
          <w:szCs w:val="30"/>
          <w:lang w:eastAsia="zh-CN"/>
        </w:rPr>
        <w:t>欧邦工程管理集团有限公司</w:t>
      </w:r>
      <w:r>
        <w:rPr>
          <w:rFonts w:hint="eastAsia" w:ascii="仿宋" w:hAnsi="仿宋" w:eastAsia="仿宋" w:cs="仿宋"/>
          <w:color w:val="auto"/>
          <w:kern w:val="0"/>
          <w:sz w:val="30"/>
          <w:szCs w:val="30"/>
        </w:rPr>
        <w:t>：</w:t>
      </w:r>
    </w:p>
    <w:p>
      <w:pPr>
        <w:pStyle w:val="43"/>
        <w:autoSpaceDE w:val="0"/>
        <w:adjustRightInd w:val="0"/>
        <w:snapToGrid w:val="0"/>
        <w:ind w:firstLine="600" w:firstLineChars="200"/>
        <w:rPr>
          <w:rFonts w:ascii="仿宋" w:hAnsi="仿宋" w:eastAsia="仿宋" w:cs="仿宋"/>
          <w:color w:val="auto"/>
          <w:sz w:val="30"/>
          <w:szCs w:val="30"/>
        </w:rPr>
      </w:pPr>
      <w:r>
        <w:rPr>
          <w:rFonts w:hint="eastAsia" w:ascii="仿宋" w:hAnsi="仿宋" w:eastAsia="仿宋" w:cs="仿宋"/>
          <w:color w:val="auto"/>
          <w:sz w:val="30"/>
          <w:szCs w:val="30"/>
        </w:rPr>
        <w:t>本授权书声明：注册于</w:t>
      </w:r>
      <w:r>
        <w:rPr>
          <w:rFonts w:ascii="仿宋" w:hAnsi="仿宋" w:eastAsia="仿宋" w:cs="仿宋"/>
          <w:color w:val="auto"/>
          <w:sz w:val="30"/>
          <w:szCs w:val="30"/>
          <w:u w:val="single"/>
        </w:rPr>
        <w:t xml:space="preserve">                  </w:t>
      </w:r>
      <w:r>
        <w:rPr>
          <w:rFonts w:hint="eastAsia" w:ascii="仿宋" w:hAnsi="仿宋" w:eastAsia="仿宋" w:cs="仿宋"/>
          <w:color w:val="auto"/>
          <w:sz w:val="30"/>
          <w:szCs w:val="30"/>
        </w:rPr>
        <w:t>（投标供应商地址）的</w:t>
      </w:r>
      <w:r>
        <w:rPr>
          <w:rFonts w:ascii="仿宋" w:hAnsi="仿宋" w:eastAsia="仿宋" w:cs="仿宋"/>
          <w:color w:val="auto"/>
          <w:sz w:val="30"/>
          <w:szCs w:val="30"/>
          <w:u w:val="single"/>
        </w:rPr>
        <w:t xml:space="preserve">                      </w:t>
      </w:r>
      <w:r>
        <w:rPr>
          <w:rFonts w:hint="eastAsia" w:ascii="仿宋" w:hAnsi="仿宋" w:eastAsia="仿宋" w:cs="仿宋"/>
          <w:color w:val="auto"/>
          <w:sz w:val="30"/>
          <w:szCs w:val="30"/>
        </w:rPr>
        <w:t>（投标供应商名称）</w:t>
      </w:r>
      <w:r>
        <w:rPr>
          <w:rFonts w:ascii="仿宋" w:hAnsi="仿宋" w:eastAsia="仿宋" w:cs="仿宋"/>
          <w:color w:val="auto"/>
          <w:sz w:val="30"/>
          <w:szCs w:val="30"/>
          <w:u w:val="single"/>
        </w:rPr>
        <w:t>            </w:t>
      </w:r>
      <w:r>
        <w:rPr>
          <w:rFonts w:hint="eastAsia" w:ascii="仿宋" w:hAnsi="仿宋" w:eastAsia="仿宋" w:cs="仿宋"/>
          <w:color w:val="auto"/>
          <w:sz w:val="30"/>
          <w:szCs w:val="30"/>
        </w:rPr>
        <w:t>法定代表人（法定代表人职务、姓名）代表本公司授权在下面签字的</w:t>
      </w:r>
      <w:r>
        <w:rPr>
          <w:rFonts w:ascii="仿宋" w:hAnsi="仿宋" w:eastAsia="仿宋" w:cs="仿宋"/>
          <w:color w:val="auto"/>
          <w:sz w:val="30"/>
          <w:szCs w:val="30"/>
          <w:u w:val="single"/>
        </w:rPr>
        <w:t xml:space="preserve">        </w:t>
      </w:r>
      <w:r>
        <w:rPr>
          <w:rFonts w:hint="eastAsia" w:ascii="仿宋" w:hAnsi="仿宋" w:eastAsia="仿宋" w:cs="仿宋"/>
          <w:color w:val="auto"/>
          <w:sz w:val="30"/>
          <w:szCs w:val="30"/>
        </w:rPr>
        <w:t>（全权代表人姓名、职务）为本公司的合法代理人，就贵方组织的</w:t>
      </w:r>
      <w:r>
        <w:rPr>
          <w:rFonts w:hint="eastAsia" w:ascii="仿宋" w:hAnsi="仿宋" w:eastAsia="仿宋" w:cs="仿宋"/>
          <w:color w:val="auto"/>
          <w:sz w:val="30"/>
          <w:szCs w:val="30"/>
          <w:u w:val="single"/>
          <w:lang w:eastAsia="zh-CN"/>
        </w:rPr>
        <w:t>建德市“安心返”系统及“17防”平台项目</w:t>
      </w:r>
      <w:r>
        <w:rPr>
          <w:rFonts w:hint="eastAsia" w:ascii="仿宋" w:hAnsi="仿宋" w:eastAsia="仿宋" w:cs="仿宋"/>
          <w:color w:val="auto"/>
          <w:sz w:val="30"/>
          <w:szCs w:val="30"/>
        </w:rPr>
        <w:t>（招标编号：</w:t>
      </w:r>
      <w:r>
        <w:rPr>
          <w:rFonts w:hint="eastAsia" w:ascii="仿宋" w:hAnsi="仿宋" w:eastAsia="仿宋" w:cs="仿宋"/>
          <w:color w:val="auto"/>
          <w:lang w:eastAsia="zh-CN"/>
        </w:rPr>
        <w:t>JDOBCG2021B-45</w:t>
      </w:r>
      <w:r>
        <w:rPr>
          <w:rFonts w:hint="eastAsia" w:ascii="仿宋" w:hAnsi="仿宋" w:eastAsia="仿宋" w:cs="仿宋"/>
          <w:color w:val="auto"/>
          <w:sz w:val="30"/>
          <w:szCs w:val="30"/>
        </w:rPr>
        <w:t>）以本公司名义处理一切与之有关的事务。</w:t>
      </w:r>
    </w:p>
    <w:p>
      <w:pPr>
        <w:widowControl/>
        <w:snapToGrid w:val="0"/>
        <w:spacing w:line="360" w:lineRule="auto"/>
        <w:rPr>
          <w:rFonts w:ascii="仿宋" w:hAnsi="仿宋" w:eastAsia="仿宋" w:cs="仿宋"/>
          <w:color w:val="auto"/>
          <w:kern w:val="0"/>
          <w:sz w:val="30"/>
          <w:szCs w:val="30"/>
        </w:rPr>
      </w:pPr>
      <w:r>
        <w:rPr>
          <w:rFonts w:ascii="仿宋" w:hAnsi="仿宋" w:eastAsia="仿宋" w:cs="仿宋"/>
          <w:color w:val="auto"/>
          <w:kern w:val="0"/>
          <w:sz w:val="30"/>
          <w:szCs w:val="30"/>
        </w:rPr>
        <w:t>    </w:t>
      </w:r>
      <w:r>
        <w:rPr>
          <w:rFonts w:hint="eastAsia" w:ascii="仿宋" w:hAnsi="仿宋" w:eastAsia="仿宋" w:cs="仿宋"/>
          <w:color w:val="auto"/>
          <w:kern w:val="0"/>
          <w:sz w:val="30"/>
          <w:szCs w:val="30"/>
        </w:rPr>
        <w:t>本授权书于</w:t>
      </w:r>
      <w:r>
        <w:rPr>
          <w:rFonts w:ascii="仿宋" w:hAnsi="仿宋" w:eastAsia="仿宋" w:cs="仿宋"/>
          <w:color w:val="auto"/>
          <w:kern w:val="0"/>
          <w:sz w:val="30"/>
          <w:szCs w:val="30"/>
        </w:rPr>
        <w:t>2021</w:t>
      </w:r>
      <w:r>
        <w:rPr>
          <w:rFonts w:hint="eastAsia" w:ascii="仿宋" w:hAnsi="仿宋" w:eastAsia="仿宋" w:cs="仿宋"/>
          <w:color w:val="auto"/>
          <w:kern w:val="0"/>
          <w:sz w:val="30"/>
          <w:szCs w:val="30"/>
        </w:rPr>
        <w:t>年</w:t>
      </w:r>
      <w:r>
        <w:rPr>
          <w:rFonts w:ascii="仿宋" w:hAnsi="仿宋" w:eastAsia="仿宋" w:cs="仿宋"/>
          <w:color w:val="auto"/>
          <w:kern w:val="0"/>
          <w:sz w:val="30"/>
          <w:szCs w:val="30"/>
        </w:rPr>
        <w:t xml:space="preserve"> </w:t>
      </w:r>
      <w:r>
        <w:rPr>
          <w:rFonts w:hint="eastAsia" w:ascii="仿宋" w:hAnsi="仿宋" w:eastAsia="仿宋" w:cs="仿宋"/>
          <w:color w:val="auto"/>
          <w:kern w:val="0"/>
          <w:sz w:val="30"/>
          <w:szCs w:val="30"/>
        </w:rPr>
        <w:t>月</w:t>
      </w:r>
      <w:r>
        <w:rPr>
          <w:rFonts w:ascii="仿宋" w:hAnsi="仿宋" w:eastAsia="仿宋" w:cs="仿宋"/>
          <w:color w:val="auto"/>
          <w:kern w:val="0"/>
          <w:sz w:val="30"/>
          <w:szCs w:val="30"/>
        </w:rPr>
        <w:t xml:space="preserve"> </w:t>
      </w:r>
      <w:r>
        <w:rPr>
          <w:rFonts w:hint="eastAsia" w:ascii="仿宋" w:hAnsi="仿宋" w:eastAsia="仿宋" w:cs="仿宋"/>
          <w:color w:val="auto"/>
          <w:kern w:val="0"/>
          <w:sz w:val="30"/>
          <w:szCs w:val="30"/>
        </w:rPr>
        <w:t>日签字生效，特此声明。</w:t>
      </w:r>
    </w:p>
    <w:p>
      <w:pPr>
        <w:widowControl/>
        <w:snapToGrid w:val="0"/>
        <w:rPr>
          <w:rFonts w:ascii="仿宋" w:hAnsi="仿宋" w:eastAsia="仿宋" w:cs="仿宋"/>
          <w:color w:val="auto"/>
          <w:kern w:val="0"/>
          <w:sz w:val="30"/>
          <w:szCs w:val="30"/>
        </w:rPr>
      </w:pPr>
      <w:r>
        <w:rPr>
          <w:rFonts w:ascii="仿宋" w:hAnsi="仿宋" w:eastAsia="仿宋" w:cs="仿宋"/>
          <w:color w:val="auto"/>
          <w:kern w:val="0"/>
          <w:sz w:val="30"/>
          <w:szCs w:val="30"/>
        </w:rPr>
        <w:t xml:space="preserve">          </w:t>
      </w:r>
    </w:p>
    <w:p>
      <w:pPr>
        <w:widowControl/>
        <w:snapToGrid w:val="0"/>
        <w:rPr>
          <w:rFonts w:ascii="仿宋" w:hAnsi="仿宋" w:eastAsia="仿宋" w:cs="仿宋"/>
          <w:color w:val="auto"/>
          <w:kern w:val="0"/>
          <w:sz w:val="30"/>
          <w:szCs w:val="30"/>
        </w:rPr>
      </w:pPr>
      <w:r>
        <w:rPr>
          <w:rFonts w:ascii="仿宋" w:hAnsi="仿宋" w:eastAsia="仿宋" w:cs="仿宋"/>
          <w:color w:val="auto"/>
          <w:kern w:val="0"/>
          <w:sz w:val="30"/>
          <w:szCs w:val="30"/>
        </w:rPr>
        <w:t>          </w:t>
      </w:r>
    </w:p>
    <w:p>
      <w:pPr>
        <w:widowControl/>
        <w:snapToGrid w:val="0"/>
        <w:ind w:firstLine="300" w:firstLineChars="100"/>
        <w:jc w:val="left"/>
        <w:rPr>
          <w:rFonts w:ascii="仿宋" w:hAnsi="仿宋" w:eastAsia="仿宋" w:cs="仿宋"/>
          <w:color w:val="auto"/>
          <w:kern w:val="0"/>
          <w:sz w:val="30"/>
          <w:szCs w:val="30"/>
        </w:rPr>
      </w:pPr>
      <w:r>
        <w:rPr>
          <w:rFonts w:hint="eastAsia" w:ascii="仿宋" w:hAnsi="仿宋" w:eastAsia="仿宋" w:cs="仿宋"/>
          <w:color w:val="auto"/>
          <w:kern w:val="0"/>
          <w:sz w:val="30"/>
          <w:szCs w:val="30"/>
        </w:rPr>
        <w:t>全权代表身份证号：</w:t>
      </w:r>
    </w:p>
    <w:p>
      <w:pPr>
        <w:widowControl/>
        <w:snapToGrid w:val="0"/>
        <w:ind w:firstLine="300" w:firstLineChars="100"/>
        <w:jc w:val="left"/>
        <w:rPr>
          <w:rFonts w:ascii="仿宋" w:hAnsi="仿宋" w:eastAsia="仿宋" w:cs="仿宋"/>
          <w:color w:val="auto"/>
          <w:kern w:val="0"/>
          <w:sz w:val="30"/>
          <w:szCs w:val="30"/>
        </w:rPr>
      </w:pPr>
      <w:r>
        <w:rPr>
          <w:rFonts w:hint="eastAsia" w:ascii="仿宋" w:hAnsi="仿宋" w:eastAsia="仿宋" w:cs="仿宋"/>
          <w:color w:val="auto"/>
          <w:kern w:val="0"/>
          <w:sz w:val="30"/>
          <w:szCs w:val="30"/>
        </w:rPr>
        <w:t>联系电话：</w:t>
      </w:r>
    </w:p>
    <w:p>
      <w:pPr>
        <w:widowControl/>
        <w:snapToGrid w:val="0"/>
        <w:ind w:firstLine="300" w:firstLineChars="100"/>
        <w:jc w:val="left"/>
        <w:rPr>
          <w:rFonts w:ascii="仿宋" w:hAnsi="仿宋" w:eastAsia="仿宋" w:cs="仿宋"/>
          <w:color w:val="auto"/>
          <w:kern w:val="0"/>
          <w:sz w:val="30"/>
          <w:szCs w:val="30"/>
        </w:rPr>
      </w:pPr>
      <w:r>
        <w:rPr>
          <w:rFonts w:hint="eastAsia" w:ascii="仿宋" w:hAnsi="仿宋" w:eastAsia="仿宋" w:cs="仿宋"/>
          <w:color w:val="auto"/>
          <w:kern w:val="0"/>
          <w:sz w:val="30"/>
          <w:szCs w:val="30"/>
        </w:rPr>
        <w:t>手机号码：</w:t>
      </w:r>
    </w:p>
    <w:p>
      <w:pPr>
        <w:widowControl/>
        <w:snapToGrid w:val="0"/>
        <w:ind w:firstLine="300" w:firstLineChars="100"/>
        <w:jc w:val="left"/>
        <w:rPr>
          <w:rFonts w:ascii="仿宋" w:hAnsi="仿宋" w:eastAsia="仿宋" w:cs="仿宋"/>
          <w:color w:val="auto"/>
          <w:kern w:val="0"/>
          <w:sz w:val="30"/>
          <w:szCs w:val="30"/>
        </w:rPr>
      </w:pPr>
      <w:r>
        <w:rPr>
          <w:rFonts w:hint="eastAsia" w:ascii="仿宋" w:hAnsi="仿宋" w:eastAsia="仿宋" w:cs="仿宋"/>
          <w:color w:val="auto"/>
          <w:kern w:val="0"/>
          <w:sz w:val="30"/>
          <w:szCs w:val="30"/>
        </w:rPr>
        <w:t>传</w:t>
      </w:r>
      <w:r>
        <w:rPr>
          <w:rFonts w:ascii="仿宋" w:hAnsi="仿宋" w:eastAsia="仿宋" w:cs="仿宋"/>
          <w:color w:val="auto"/>
          <w:kern w:val="0"/>
          <w:sz w:val="30"/>
          <w:szCs w:val="30"/>
        </w:rPr>
        <w:t xml:space="preserve">    </w:t>
      </w:r>
      <w:r>
        <w:rPr>
          <w:rFonts w:hint="eastAsia" w:ascii="仿宋" w:hAnsi="仿宋" w:eastAsia="仿宋" w:cs="仿宋"/>
          <w:color w:val="auto"/>
          <w:kern w:val="0"/>
          <w:sz w:val="30"/>
          <w:szCs w:val="30"/>
        </w:rPr>
        <w:t>真：</w:t>
      </w:r>
    </w:p>
    <w:p>
      <w:pPr>
        <w:widowControl/>
        <w:snapToGrid w:val="0"/>
        <w:ind w:firstLine="300" w:firstLineChars="100"/>
        <w:jc w:val="left"/>
        <w:rPr>
          <w:rFonts w:ascii="仿宋" w:hAnsi="仿宋" w:eastAsia="仿宋" w:cs="仿宋"/>
          <w:color w:val="auto"/>
          <w:kern w:val="0"/>
          <w:sz w:val="30"/>
          <w:szCs w:val="30"/>
        </w:rPr>
      </w:pPr>
      <w:r>
        <w:rPr>
          <w:rFonts w:hint="eastAsia" w:ascii="仿宋" w:hAnsi="仿宋" w:eastAsia="仿宋" w:cs="仿宋"/>
          <w:color w:val="auto"/>
          <w:kern w:val="0"/>
          <w:sz w:val="30"/>
          <w:szCs w:val="30"/>
        </w:rPr>
        <w:t>邮政编码：</w:t>
      </w:r>
    </w:p>
    <w:p>
      <w:pPr>
        <w:widowControl/>
        <w:snapToGrid w:val="0"/>
        <w:ind w:firstLine="300" w:firstLineChars="100"/>
        <w:jc w:val="left"/>
        <w:rPr>
          <w:rFonts w:ascii="仿宋" w:hAnsi="仿宋" w:eastAsia="仿宋" w:cs="仿宋"/>
          <w:color w:val="auto"/>
          <w:kern w:val="0"/>
          <w:sz w:val="30"/>
          <w:szCs w:val="30"/>
        </w:rPr>
      </w:pPr>
      <w:r>
        <w:rPr>
          <w:rFonts w:hint="eastAsia" w:ascii="仿宋" w:hAnsi="仿宋" w:eastAsia="仿宋" w:cs="仿宋"/>
          <w:color w:val="auto"/>
          <w:kern w:val="0"/>
          <w:sz w:val="30"/>
          <w:szCs w:val="30"/>
        </w:rPr>
        <w:t>联系地址：</w:t>
      </w:r>
    </w:p>
    <w:p>
      <w:pPr>
        <w:widowControl/>
        <w:snapToGrid w:val="0"/>
        <w:ind w:firstLine="1500" w:firstLineChars="500"/>
        <w:rPr>
          <w:rFonts w:ascii="仿宋" w:hAnsi="仿宋" w:eastAsia="仿宋" w:cs="仿宋"/>
          <w:color w:val="auto"/>
          <w:kern w:val="0"/>
          <w:sz w:val="30"/>
          <w:szCs w:val="30"/>
        </w:rPr>
      </w:pPr>
    </w:p>
    <w:p>
      <w:pPr>
        <w:widowControl/>
        <w:snapToGrid w:val="0"/>
        <w:ind w:firstLine="1500" w:firstLineChars="500"/>
        <w:rPr>
          <w:rFonts w:ascii="仿宋" w:hAnsi="仿宋" w:eastAsia="仿宋" w:cs="仿宋"/>
          <w:color w:val="auto"/>
          <w:kern w:val="0"/>
          <w:sz w:val="30"/>
          <w:szCs w:val="30"/>
        </w:rPr>
      </w:pPr>
    </w:p>
    <w:p>
      <w:pPr>
        <w:widowControl/>
        <w:snapToGrid w:val="0"/>
        <w:rPr>
          <w:rFonts w:ascii="仿宋" w:hAnsi="仿宋" w:eastAsia="仿宋" w:cs="仿宋"/>
          <w:color w:val="auto"/>
          <w:kern w:val="0"/>
          <w:sz w:val="30"/>
          <w:szCs w:val="30"/>
        </w:rPr>
      </w:pPr>
    </w:p>
    <w:p>
      <w:pPr>
        <w:widowControl/>
        <w:snapToGrid w:val="0"/>
        <w:ind w:firstLine="1500" w:firstLineChars="500"/>
        <w:rPr>
          <w:rFonts w:ascii="仿宋" w:hAnsi="仿宋" w:eastAsia="仿宋" w:cs="仿宋"/>
          <w:color w:val="auto"/>
          <w:kern w:val="0"/>
          <w:sz w:val="30"/>
          <w:szCs w:val="30"/>
        </w:rPr>
      </w:pPr>
    </w:p>
    <w:p>
      <w:pPr>
        <w:widowControl/>
        <w:snapToGrid w:val="0"/>
        <w:ind w:firstLine="600" w:firstLineChars="200"/>
        <w:rPr>
          <w:rFonts w:ascii="仿宋" w:hAnsi="仿宋" w:eastAsia="仿宋" w:cs="仿宋"/>
          <w:color w:val="auto"/>
          <w:kern w:val="0"/>
          <w:sz w:val="30"/>
          <w:szCs w:val="30"/>
        </w:rPr>
      </w:pPr>
      <w:r>
        <w:rPr>
          <w:rFonts w:ascii="仿宋" w:hAnsi="仿宋" w:eastAsia="仿宋" w:cs="仿宋"/>
          <w:color w:val="auto"/>
          <w:kern w:val="0"/>
          <w:sz w:val="30"/>
          <w:szCs w:val="30"/>
        </w:rPr>
        <w:t xml:space="preserve">                                </w:t>
      </w:r>
      <w:r>
        <w:rPr>
          <w:rFonts w:hint="eastAsia" w:ascii="仿宋" w:hAnsi="仿宋" w:eastAsia="仿宋" w:cs="仿宋"/>
          <w:color w:val="auto"/>
          <w:kern w:val="0"/>
          <w:sz w:val="30"/>
          <w:szCs w:val="30"/>
        </w:rPr>
        <w:t>法定代表人签字：</w:t>
      </w:r>
    </w:p>
    <w:p>
      <w:pPr>
        <w:widowControl/>
        <w:snapToGrid w:val="0"/>
        <w:ind w:firstLine="600" w:firstLineChars="200"/>
        <w:rPr>
          <w:rFonts w:ascii="仿宋" w:hAnsi="仿宋" w:eastAsia="仿宋" w:cs="仿宋"/>
          <w:color w:val="auto"/>
          <w:kern w:val="0"/>
          <w:sz w:val="30"/>
          <w:szCs w:val="30"/>
        </w:rPr>
      </w:pPr>
    </w:p>
    <w:p>
      <w:pPr>
        <w:widowControl/>
        <w:snapToGrid w:val="0"/>
        <w:jc w:val="center"/>
        <w:rPr>
          <w:rFonts w:ascii="仿宋" w:hAnsi="仿宋" w:eastAsia="仿宋" w:cs="仿宋"/>
          <w:color w:val="auto"/>
          <w:kern w:val="0"/>
          <w:sz w:val="30"/>
          <w:szCs w:val="30"/>
        </w:rPr>
      </w:pPr>
      <w:r>
        <w:rPr>
          <w:rFonts w:ascii="仿宋" w:hAnsi="仿宋" w:eastAsia="仿宋" w:cs="仿宋"/>
          <w:color w:val="auto"/>
          <w:kern w:val="0"/>
          <w:sz w:val="30"/>
          <w:szCs w:val="30"/>
        </w:rPr>
        <w:t xml:space="preserve">                    </w:t>
      </w:r>
      <w:r>
        <w:rPr>
          <w:rFonts w:hint="eastAsia" w:ascii="仿宋" w:hAnsi="仿宋" w:eastAsia="仿宋" w:cs="仿宋"/>
          <w:color w:val="auto"/>
          <w:kern w:val="0"/>
          <w:sz w:val="30"/>
          <w:szCs w:val="30"/>
        </w:rPr>
        <w:t>单位公章：</w:t>
      </w:r>
    </w:p>
    <w:p>
      <w:pPr>
        <w:widowControl/>
        <w:snapToGrid w:val="0"/>
        <w:rPr>
          <w:rFonts w:ascii="仿宋" w:hAnsi="仿宋" w:eastAsia="仿宋" w:cs="仿宋"/>
          <w:color w:val="auto"/>
          <w:kern w:val="0"/>
          <w:sz w:val="30"/>
          <w:szCs w:val="30"/>
        </w:rPr>
      </w:pPr>
      <w:r>
        <w:rPr>
          <w:rFonts w:ascii="仿宋" w:hAnsi="仿宋" w:eastAsia="仿宋" w:cs="仿宋"/>
          <w:color w:val="auto"/>
          <w:kern w:val="0"/>
          <w:sz w:val="30"/>
          <w:szCs w:val="30"/>
        </w:rPr>
        <w:t> </w:t>
      </w:r>
    </w:p>
    <w:p>
      <w:pPr>
        <w:widowControl/>
        <w:snapToGrid w:val="0"/>
        <w:jc w:val="center"/>
        <w:rPr>
          <w:rFonts w:ascii="仿宋" w:hAnsi="仿宋" w:eastAsia="仿宋" w:cs="仿宋"/>
          <w:color w:val="auto"/>
          <w:kern w:val="0"/>
          <w:sz w:val="30"/>
          <w:szCs w:val="30"/>
        </w:rPr>
      </w:pPr>
      <w:r>
        <w:rPr>
          <w:rFonts w:ascii="仿宋" w:hAnsi="仿宋" w:eastAsia="仿宋" w:cs="仿宋"/>
          <w:color w:val="auto"/>
          <w:kern w:val="0"/>
          <w:sz w:val="30"/>
          <w:szCs w:val="30"/>
        </w:rPr>
        <w:t xml:space="preserve">                        2021</w:t>
      </w:r>
      <w:r>
        <w:rPr>
          <w:rFonts w:hint="eastAsia" w:ascii="仿宋" w:hAnsi="仿宋" w:eastAsia="仿宋" w:cs="仿宋"/>
          <w:color w:val="auto"/>
          <w:kern w:val="0"/>
          <w:sz w:val="30"/>
          <w:szCs w:val="30"/>
        </w:rPr>
        <w:t>年</w:t>
      </w:r>
      <w:r>
        <w:rPr>
          <w:rFonts w:ascii="仿宋" w:hAnsi="仿宋" w:eastAsia="仿宋" w:cs="仿宋"/>
          <w:color w:val="auto"/>
          <w:kern w:val="0"/>
          <w:sz w:val="30"/>
          <w:szCs w:val="30"/>
        </w:rPr>
        <w:t xml:space="preserve">  </w:t>
      </w:r>
      <w:r>
        <w:rPr>
          <w:rFonts w:hint="eastAsia" w:ascii="仿宋" w:hAnsi="仿宋" w:eastAsia="仿宋" w:cs="仿宋"/>
          <w:color w:val="auto"/>
          <w:kern w:val="0"/>
          <w:sz w:val="30"/>
          <w:szCs w:val="30"/>
        </w:rPr>
        <w:t>月</w:t>
      </w:r>
      <w:r>
        <w:rPr>
          <w:rFonts w:ascii="仿宋" w:hAnsi="仿宋" w:eastAsia="仿宋" w:cs="仿宋"/>
          <w:color w:val="auto"/>
          <w:kern w:val="0"/>
          <w:sz w:val="30"/>
          <w:szCs w:val="30"/>
        </w:rPr>
        <w:t xml:space="preserve">  </w:t>
      </w:r>
      <w:r>
        <w:rPr>
          <w:rFonts w:hint="eastAsia" w:ascii="仿宋" w:hAnsi="仿宋" w:eastAsia="仿宋" w:cs="仿宋"/>
          <w:color w:val="auto"/>
          <w:kern w:val="0"/>
          <w:sz w:val="30"/>
          <w:szCs w:val="30"/>
        </w:rPr>
        <w:t>日</w:t>
      </w:r>
    </w:p>
    <w:p>
      <w:pPr>
        <w:spacing w:line="480" w:lineRule="auto"/>
        <w:jc w:val="left"/>
        <w:rPr>
          <w:rStyle w:val="97"/>
          <w:rFonts w:ascii="仿宋" w:hAnsi="仿宋" w:eastAsia="仿宋" w:cs="仿宋"/>
          <w:color w:val="auto"/>
          <w:sz w:val="30"/>
          <w:szCs w:val="30"/>
        </w:rPr>
      </w:pPr>
    </w:p>
    <w:p>
      <w:pPr>
        <w:pStyle w:val="6"/>
        <w:numPr>
          <w:ilvl w:val="1"/>
          <w:numId w:val="0"/>
        </w:numPr>
        <w:rPr>
          <w:color w:val="auto"/>
        </w:rPr>
      </w:pPr>
    </w:p>
    <w:p>
      <w:pPr>
        <w:spacing w:line="480" w:lineRule="auto"/>
        <w:jc w:val="left"/>
        <w:rPr>
          <w:rStyle w:val="97"/>
          <w:rFonts w:hint="eastAsia" w:ascii="仿宋" w:hAnsi="仿宋" w:eastAsia="仿宋" w:cs="仿宋"/>
          <w:color w:val="auto"/>
          <w:sz w:val="30"/>
          <w:szCs w:val="30"/>
        </w:rPr>
      </w:pPr>
    </w:p>
    <w:p>
      <w:pPr>
        <w:spacing w:line="480" w:lineRule="auto"/>
        <w:jc w:val="left"/>
        <w:rPr>
          <w:rStyle w:val="97"/>
          <w:rFonts w:ascii="仿宋" w:hAnsi="仿宋" w:eastAsia="仿宋" w:cs="仿宋"/>
          <w:color w:val="auto"/>
          <w:sz w:val="30"/>
          <w:szCs w:val="30"/>
        </w:rPr>
      </w:pPr>
      <w:r>
        <w:rPr>
          <w:rStyle w:val="97"/>
          <w:rFonts w:hint="eastAsia" w:ascii="仿宋" w:hAnsi="仿宋" w:eastAsia="仿宋" w:cs="仿宋"/>
          <w:color w:val="auto"/>
          <w:sz w:val="30"/>
          <w:szCs w:val="30"/>
        </w:rPr>
        <w:t>附件九</w:t>
      </w:r>
    </w:p>
    <w:p>
      <w:pPr>
        <w:jc w:val="center"/>
        <w:rPr>
          <w:rFonts w:ascii="仿宋" w:hAnsi="仿宋" w:eastAsia="仿宋" w:cs="仿宋"/>
          <w:b/>
          <w:color w:val="auto"/>
          <w:spacing w:val="20"/>
          <w:kern w:val="4"/>
          <w:sz w:val="36"/>
          <w:szCs w:val="36"/>
        </w:rPr>
      </w:pPr>
      <w:r>
        <w:rPr>
          <w:rFonts w:hint="eastAsia" w:ascii="仿宋" w:hAnsi="仿宋" w:eastAsia="仿宋" w:cs="仿宋"/>
          <w:b/>
          <w:color w:val="auto"/>
          <w:spacing w:val="20"/>
          <w:kern w:val="4"/>
          <w:sz w:val="36"/>
          <w:szCs w:val="36"/>
        </w:rPr>
        <w:t>关于资格的声明函</w:t>
      </w:r>
    </w:p>
    <w:p>
      <w:pPr>
        <w:ind w:left="540" w:firstLine="30"/>
        <w:jc w:val="center"/>
        <w:rPr>
          <w:rFonts w:ascii="仿宋" w:hAnsi="仿宋" w:eastAsia="仿宋" w:cs="仿宋"/>
          <w:b/>
          <w:color w:val="auto"/>
          <w:sz w:val="36"/>
          <w:szCs w:val="36"/>
        </w:rPr>
      </w:pPr>
    </w:p>
    <w:p>
      <w:pPr>
        <w:spacing w:line="600" w:lineRule="exact"/>
        <w:rPr>
          <w:rFonts w:ascii="仿宋" w:hAnsi="仿宋" w:eastAsia="仿宋" w:cs="仿宋"/>
          <w:color w:val="auto"/>
          <w:sz w:val="28"/>
          <w:szCs w:val="28"/>
        </w:rPr>
      </w:pPr>
      <w:r>
        <w:rPr>
          <w:rFonts w:hint="eastAsia" w:ascii="仿宋" w:hAnsi="仿宋" w:eastAsia="仿宋" w:cs="仿宋"/>
          <w:color w:val="auto"/>
          <w:sz w:val="28"/>
          <w:szCs w:val="28"/>
          <w:lang w:eastAsia="zh-CN"/>
        </w:rPr>
        <w:t>欧邦工程管理集团有限公司</w:t>
      </w:r>
      <w:r>
        <w:rPr>
          <w:rFonts w:hint="eastAsia" w:ascii="仿宋" w:hAnsi="仿宋" w:eastAsia="仿宋" w:cs="仿宋"/>
          <w:color w:val="auto"/>
          <w:sz w:val="28"/>
          <w:szCs w:val="28"/>
        </w:rPr>
        <w:t>：</w:t>
      </w:r>
    </w:p>
    <w:p>
      <w:pPr>
        <w:spacing w:line="600" w:lineRule="exact"/>
        <w:rPr>
          <w:rFonts w:ascii="仿宋" w:hAnsi="仿宋" w:eastAsia="仿宋" w:cs="仿宋"/>
          <w:color w:val="auto"/>
          <w:sz w:val="28"/>
          <w:szCs w:val="28"/>
        </w:rPr>
      </w:pPr>
      <w:r>
        <w:rPr>
          <w:rFonts w:ascii="仿宋" w:hAnsi="仿宋" w:eastAsia="仿宋" w:cs="仿宋"/>
          <w:color w:val="auto"/>
          <w:sz w:val="28"/>
          <w:szCs w:val="28"/>
        </w:rPr>
        <w:t xml:space="preserve">    </w:t>
      </w:r>
      <w:r>
        <w:rPr>
          <w:rFonts w:hint="eastAsia" w:ascii="仿宋" w:hAnsi="仿宋" w:eastAsia="仿宋" w:cs="仿宋"/>
          <w:color w:val="auto"/>
          <w:sz w:val="28"/>
          <w:szCs w:val="28"/>
        </w:rPr>
        <w:t>关于贵方</w:t>
      </w:r>
      <w:r>
        <w:rPr>
          <w:rFonts w:ascii="仿宋" w:hAnsi="仿宋" w:eastAsia="仿宋" w:cs="仿宋"/>
          <w:color w:val="auto"/>
          <w:sz w:val="28"/>
          <w:szCs w:val="28"/>
        </w:rPr>
        <w:t>2021</w:t>
      </w:r>
      <w:r>
        <w:rPr>
          <w:rFonts w:hint="eastAsia" w:ascii="仿宋" w:hAnsi="仿宋" w:eastAsia="仿宋" w:cs="仿宋"/>
          <w:color w:val="auto"/>
          <w:sz w:val="28"/>
          <w:szCs w:val="28"/>
        </w:rPr>
        <w:t>年</w:t>
      </w:r>
      <w:r>
        <w:rPr>
          <w:rFonts w:ascii="仿宋" w:hAnsi="仿宋" w:eastAsia="仿宋" w:cs="仿宋"/>
          <w:color w:val="auto"/>
          <w:sz w:val="28"/>
          <w:szCs w:val="28"/>
        </w:rPr>
        <w:t xml:space="preserve">  </w:t>
      </w:r>
      <w:r>
        <w:rPr>
          <w:rFonts w:hint="eastAsia" w:ascii="仿宋" w:hAnsi="仿宋" w:eastAsia="仿宋" w:cs="仿宋"/>
          <w:color w:val="auto"/>
          <w:sz w:val="28"/>
          <w:szCs w:val="28"/>
        </w:rPr>
        <w:t>月</w:t>
      </w:r>
      <w:r>
        <w:rPr>
          <w:rFonts w:ascii="仿宋" w:hAnsi="仿宋" w:eastAsia="仿宋" w:cs="仿宋"/>
          <w:color w:val="auto"/>
          <w:sz w:val="28"/>
          <w:szCs w:val="28"/>
        </w:rPr>
        <w:t xml:space="preserve"> </w:t>
      </w:r>
      <w:r>
        <w:rPr>
          <w:rFonts w:hint="eastAsia" w:ascii="仿宋" w:hAnsi="仿宋" w:eastAsia="仿宋" w:cs="仿宋"/>
          <w:color w:val="auto"/>
          <w:sz w:val="28"/>
          <w:szCs w:val="28"/>
        </w:rPr>
        <w:t>日</w:t>
      </w:r>
      <w:r>
        <w:rPr>
          <w:rFonts w:hint="eastAsia" w:ascii="仿宋" w:hAnsi="仿宋" w:eastAsia="仿宋" w:cs="仿宋"/>
          <w:bCs/>
          <w:color w:val="auto"/>
          <w:sz w:val="28"/>
          <w:szCs w:val="28"/>
          <w:u w:val="single"/>
          <w:lang w:eastAsia="zh-CN"/>
        </w:rPr>
        <w:t>建德市“安心返”系统及“17防”平台项目</w:t>
      </w:r>
      <w:r>
        <w:rPr>
          <w:rFonts w:hint="eastAsia" w:ascii="仿宋" w:hAnsi="仿宋" w:eastAsia="仿宋" w:cs="仿宋"/>
          <w:color w:val="auto"/>
          <w:sz w:val="30"/>
          <w:szCs w:val="30"/>
        </w:rPr>
        <w:t>（</w:t>
      </w:r>
      <w:r>
        <w:rPr>
          <w:rFonts w:hint="eastAsia" w:ascii="仿宋" w:hAnsi="仿宋" w:eastAsia="仿宋" w:cs="仿宋"/>
          <w:color w:val="auto"/>
          <w:sz w:val="28"/>
          <w:szCs w:val="28"/>
        </w:rPr>
        <w:t>编号为</w:t>
      </w:r>
      <w:r>
        <w:rPr>
          <w:rFonts w:hint="eastAsia" w:ascii="仿宋" w:hAnsi="仿宋" w:eastAsia="仿宋" w:cs="仿宋"/>
          <w:color w:val="auto"/>
          <w:sz w:val="28"/>
          <w:szCs w:val="28"/>
          <w:lang w:eastAsia="zh-CN"/>
        </w:rPr>
        <w:t>JDOBCG2021B-45</w:t>
      </w:r>
      <w:r>
        <w:rPr>
          <w:rFonts w:hint="eastAsia" w:ascii="仿宋" w:hAnsi="仿宋" w:eastAsia="仿宋" w:cs="仿宋"/>
          <w:color w:val="auto"/>
          <w:sz w:val="28"/>
          <w:szCs w:val="28"/>
        </w:rPr>
        <w:t>）的投标邀请，本公司愿意参加投标，并证明提交的下列文件和说明是准确和真实的。</w:t>
      </w:r>
    </w:p>
    <w:p>
      <w:pPr>
        <w:spacing w:line="600" w:lineRule="exact"/>
        <w:rPr>
          <w:rFonts w:ascii="仿宋" w:hAnsi="仿宋" w:eastAsia="仿宋" w:cs="仿宋"/>
          <w:color w:val="auto"/>
          <w:sz w:val="28"/>
          <w:szCs w:val="28"/>
        </w:rPr>
      </w:pPr>
      <w:r>
        <w:rPr>
          <w:rFonts w:ascii="仿宋" w:hAnsi="仿宋" w:eastAsia="仿宋" w:cs="仿宋"/>
          <w:color w:val="auto"/>
          <w:sz w:val="28"/>
          <w:szCs w:val="28"/>
        </w:rPr>
        <w:t xml:space="preserve">    1</w:t>
      </w:r>
      <w:r>
        <w:rPr>
          <w:rFonts w:hint="eastAsia" w:ascii="仿宋" w:hAnsi="仿宋" w:eastAsia="仿宋" w:cs="仿宋"/>
          <w:color w:val="auto"/>
          <w:sz w:val="28"/>
          <w:szCs w:val="28"/>
        </w:rPr>
        <w:t>、工商营业执照年检后副本复印件（加盖公章）</w:t>
      </w:r>
    </w:p>
    <w:p>
      <w:pPr>
        <w:spacing w:line="600" w:lineRule="exact"/>
        <w:rPr>
          <w:rFonts w:ascii="仿宋" w:hAnsi="仿宋" w:eastAsia="仿宋" w:cs="仿宋"/>
          <w:color w:val="auto"/>
          <w:sz w:val="28"/>
          <w:szCs w:val="28"/>
        </w:rPr>
      </w:pPr>
      <w:r>
        <w:rPr>
          <w:rFonts w:ascii="仿宋" w:hAnsi="仿宋" w:eastAsia="仿宋" w:cs="仿宋"/>
          <w:color w:val="auto"/>
          <w:sz w:val="28"/>
          <w:szCs w:val="28"/>
        </w:rPr>
        <w:t xml:space="preserve">    2</w:t>
      </w:r>
      <w:r>
        <w:rPr>
          <w:rFonts w:hint="eastAsia" w:ascii="仿宋" w:hAnsi="仿宋" w:eastAsia="仿宋" w:cs="仿宋"/>
          <w:color w:val="auto"/>
          <w:sz w:val="28"/>
          <w:szCs w:val="28"/>
        </w:rPr>
        <w:t>、税务登记证复印件（加盖公章）</w:t>
      </w:r>
    </w:p>
    <w:p>
      <w:pPr>
        <w:spacing w:line="600" w:lineRule="exact"/>
        <w:rPr>
          <w:rFonts w:ascii="仿宋" w:hAnsi="仿宋" w:eastAsia="仿宋" w:cs="仿宋"/>
          <w:color w:val="auto"/>
          <w:sz w:val="28"/>
          <w:szCs w:val="28"/>
        </w:rPr>
      </w:pPr>
      <w:r>
        <w:rPr>
          <w:rFonts w:ascii="仿宋" w:hAnsi="仿宋" w:eastAsia="仿宋" w:cs="仿宋"/>
          <w:color w:val="auto"/>
          <w:sz w:val="28"/>
          <w:szCs w:val="28"/>
        </w:rPr>
        <w:t xml:space="preserve">    3</w:t>
      </w:r>
      <w:r>
        <w:rPr>
          <w:rFonts w:hint="eastAsia" w:ascii="仿宋" w:hAnsi="仿宋" w:eastAsia="仿宋" w:cs="仿宋"/>
          <w:color w:val="auto"/>
          <w:sz w:val="28"/>
          <w:szCs w:val="28"/>
        </w:rPr>
        <w:t>、投标方一般情况。</w:t>
      </w:r>
    </w:p>
    <w:p>
      <w:pPr>
        <w:spacing w:line="600" w:lineRule="exact"/>
        <w:rPr>
          <w:rFonts w:ascii="仿宋" w:hAnsi="仿宋" w:eastAsia="仿宋" w:cs="仿宋"/>
          <w:color w:val="auto"/>
          <w:sz w:val="28"/>
          <w:szCs w:val="28"/>
        </w:rPr>
      </w:pPr>
      <w:r>
        <w:rPr>
          <w:rFonts w:ascii="仿宋" w:hAnsi="仿宋" w:eastAsia="仿宋" w:cs="仿宋"/>
          <w:color w:val="auto"/>
          <w:sz w:val="28"/>
          <w:szCs w:val="28"/>
        </w:rPr>
        <w:t xml:space="preserve">    4</w:t>
      </w:r>
      <w:r>
        <w:rPr>
          <w:rFonts w:hint="eastAsia" w:ascii="仿宋" w:hAnsi="仿宋" w:eastAsia="仿宋" w:cs="仿宋"/>
          <w:color w:val="auto"/>
          <w:sz w:val="28"/>
          <w:szCs w:val="28"/>
        </w:rPr>
        <w:t>、</w:t>
      </w:r>
      <w:r>
        <w:rPr>
          <w:rFonts w:ascii="仿宋" w:hAnsi="仿宋" w:eastAsia="仿宋" w:cs="仿宋"/>
          <w:color w:val="auto"/>
          <w:sz w:val="28"/>
          <w:szCs w:val="28"/>
        </w:rPr>
        <w:t>2020</w:t>
      </w:r>
      <w:r>
        <w:rPr>
          <w:rFonts w:hint="eastAsia" w:ascii="仿宋" w:hAnsi="仿宋" w:eastAsia="仿宋" w:cs="仿宋"/>
          <w:color w:val="auto"/>
          <w:sz w:val="28"/>
          <w:szCs w:val="28"/>
        </w:rPr>
        <w:t>年财务报表或验资报告（加盖公章）。</w:t>
      </w:r>
    </w:p>
    <w:p>
      <w:pPr>
        <w:spacing w:line="600" w:lineRule="exact"/>
        <w:ind w:firstLine="600"/>
        <w:rPr>
          <w:rFonts w:ascii="仿宋" w:hAnsi="仿宋" w:eastAsia="仿宋" w:cs="仿宋"/>
          <w:color w:val="auto"/>
          <w:sz w:val="28"/>
          <w:szCs w:val="28"/>
        </w:rPr>
      </w:pPr>
      <w:r>
        <w:rPr>
          <w:rFonts w:ascii="仿宋" w:hAnsi="仿宋" w:eastAsia="仿宋" w:cs="仿宋"/>
          <w:color w:val="auto"/>
          <w:sz w:val="28"/>
          <w:szCs w:val="28"/>
        </w:rPr>
        <w:t>5</w:t>
      </w:r>
      <w:r>
        <w:rPr>
          <w:rFonts w:hint="eastAsia" w:ascii="仿宋" w:hAnsi="仿宋" w:eastAsia="仿宋" w:cs="仿宋"/>
          <w:color w:val="auto"/>
          <w:sz w:val="28"/>
          <w:szCs w:val="28"/>
        </w:rPr>
        <w:t>、相关资质证明材料</w:t>
      </w:r>
    </w:p>
    <w:p>
      <w:pPr>
        <w:spacing w:line="600" w:lineRule="exact"/>
        <w:jc w:val="center"/>
        <w:rPr>
          <w:rFonts w:ascii="仿宋" w:hAnsi="仿宋" w:eastAsia="仿宋" w:cs="仿宋"/>
          <w:color w:val="auto"/>
          <w:sz w:val="28"/>
          <w:szCs w:val="28"/>
        </w:rPr>
      </w:pPr>
    </w:p>
    <w:p>
      <w:pPr>
        <w:spacing w:line="600" w:lineRule="exact"/>
        <w:jc w:val="center"/>
        <w:rPr>
          <w:rFonts w:ascii="仿宋" w:hAnsi="仿宋" w:eastAsia="仿宋" w:cs="仿宋"/>
          <w:color w:val="auto"/>
          <w:sz w:val="28"/>
          <w:szCs w:val="28"/>
        </w:rPr>
      </w:pPr>
    </w:p>
    <w:p>
      <w:pPr>
        <w:adjustRightInd w:val="0"/>
        <w:snapToGrid w:val="0"/>
        <w:rPr>
          <w:rFonts w:ascii="仿宋" w:hAnsi="仿宋" w:eastAsia="仿宋" w:cs="仿宋"/>
          <w:color w:val="auto"/>
          <w:sz w:val="28"/>
          <w:szCs w:val="28"/>
          <w:u w:val="single"/>
        </w:rPr>
      </w:pPr>
    </w:p>
    <w:p>
      <w:pPr>
        <w:widowControl/>
        <w:snapToGrid w:val="0"/>
        <w:spacing w:line="480" w:lineRule="exact"/>
        <w:ind w:firstLine="218" w:firstLineChars="78"/>
        <w:rPr>
          <w:rFonts w:ascii="仿宋" w:hAnsi="仿宋" w:eastAsia="仿宋" w:cs="仿宋"/>
          <w:color w:val="auto"/>
          <w:kern w:val="0"/>
          <w:sz w:val="28"/>
          <w:szCs w:val="28"/>
        </w:rPr>
      </w:pPr>
      <w:r>
        <w:rPr>
          <w:rFonts w:hint="eastAsia" w:ascii="仿宋" w:hAnsi="仿宋" w:eastAsia="仿宋" w:cs="仿宋"/>
          <w:color w:val="auto"/>
          <w:kern w:val="0"/>
          <w:sz w:val="28"/>
          <w:szCs w:val="28"/>
        </w:rPr>
        <w:t>全权代表</w:t>
      </w:r>
      <w:r>
        <w:rPr>
          <w:rFonts w:ascii="仿宋" w:hAnsi="仿宋" w:eastAsia="仿宋" w:cs="仿宋"/>
          <w:color w:val="auto"/>
          <w:kern w:val="0"/>
          <w:sz w:val="28"/>
          <w:szCs w:val="28"/>
        </w:rPr>
        <w:t>(</w:t>
      </w:r>
      <w:r>
        <w:rPr>
          <w:rFonts w:hint="eastAsia" w:ascii="仿宋" w:hAnsi="仿宋" w:eastAsia="仿宋" w:cs="仿宋"/>
          <w:color w:val="auto"/>
          <w:kern w:val="0"/>
          <w:sz w:val="28"/>
          <w:szCs w:val="28"/>
        </w:rPr>
        <w:t>签字</w:t>
      </w:r>
      <w:r>
        <w:rPr>
          <w:rFonts w:ascii="仿宋" w:hAnsi="仿宋" w:eastAsia="仿宋" w:cs="仿宋"/>
          <w:color w:val="auto"/>
          <w:kern w:val="0"/>
          <w:sz w:val="28"/>
          <w:szCs w:val="28"/>
        </w:rPr>
        <w:t>)</w:t>
      </w:r>
      <w:r>
        <w:rPr>
          <w:rFonts w:hint="eastAsia" w:ascii="仿宋" w:hAnsi="仿宋" w:eastAsia="仿宋" w:cs="仿宋"/>
          <w:color w:val="auto"/>
          <w:kern w:val="0"/>
          <w:sz w:val="28"/>
          <w:szCs w:val="28"/>
        </w:rPr>
        <w:t>：</w:t>
      </w:r>
    </w:p>
    <w:p>
      <w:pPr>
        <w:widowControl/>
        <w:snapToGrid w:val="0"/>
        <w:spacing w:line="480" w:lineRule="exact"/>
        <w:ind w:firstLine="218" w:firstLineChars="78"/>
        <w:rPr>
          <w:rFonts w:ascii="仿宋" w:hAnsi="仿宋" w:eastAsia="仿宋" w:cs="仿宋"/>
          <w:color w:val="auto"/>
          <w:kern w:val="0"/>
          <w:sz w:val="28"/>
          <w:szCs w:val="28"/>
        </w:rPr>
      </w:pPr>
      <w:r>
        <w:rPr>
          <w:rFonts w:hint="eastAsia" w:ascii="仿宋" w:hAnsi="仿宋" w:eastAsia="仿宋" w:cs="仿宋"/>
          <w:color w:val="auto"/>
          <w:kern w:val="0"/>
          <w:sz w:val="28"/>
          <w:szCs w:val="28"/>
        </w:rPr>
        <w:t>投标供应商</w:t>
      </w:r>
      <w:r>
        <w:rPr>
          <w:rFonts w:ascii="仿宋" w:hAnsi="仿宋" w:eastAsia="仿宋" w:cs="仿宋"/>
          <w:color w:val="auto"/>
          <w:kern w:val="0"/>
          <w:sz w:val="28"/>
          <w:szCs w:val="28"/>
        </w:rPr>
        <w:t>(</w:t>
      </w:r>
      <w:r>
        <w:rPr>
          <w:rFonts w:hint="eastAsia" w:ascii="仿宋" w:hAnsi="仿宋" w:eastAsia="仿宋" w:cs="仿宋"/>
          <w:color w:val="auto"/>
          <w:kern w:val="0"/>
          <w:sz w:val="28"/>
          <w:szCs w:val="28"/>
        </w:rPr>
        <w:t>盖章</w:t>
      </w:r>
      <w:r>
        <w:rPr>
          <w:rFonts w:ascii="仿宋" w:hAnsi="仿宋" w:eastAsia="仿宋" w:cs="仿宋"/>
          <w:color w:val="auto"/>
          <w:kern w:val="0"/>
          <w:sz w:val="28"/>
          <w:szCs w:val="28"/>
        </w:rPr>
        <w:t>)</w:t>
      </w:r>
      <w:r>
        <w:rPr>
          <w:rFonts w:hint="eastAsia" w:ascii="仿宋" w:hAnsi="仿宋" w:eastAsia="仿宋" w:cs="仿宋"/>
          <w:color w:val="auto"/>
          <w:kern w:val="0"/>
          <w:sz w:val="28"/>
          <w:szCs w:val="28"/>
        </w:rPr>
        <w:t>：</w:t>
      </w:r>
    </w:p>
    <w:p>
      <w:pPr>
        <w:autoSpaceDE w:val="0"/>
        <w:adjustRightInd w:val="0"/>
        <w:snapToGrid w:val="0"/>
        <w:ind w:firstLine="218" w:firstLineChars="78"/>
        <w:rPr>
          <w:rFonts w:ascii="仿宋" w:hAnsi="仿宋" w:eastAsia="仿宋" w:cs="仿宋"/>
          <w:b/>
          <w:bCs/>
          <w:color w:val="auto"/>
          <w:kern w:val="0"/>
          <w:sz w:val="24"/>
        </w:rPr>
      </w:pPr>
      <w:r>
        <w:rPr>
          <w:rFonts w:hint="eastAsia" w:ascii="仿宋" w:hAnsi="仿宋" w:eastAsia="仿宋" w:cs="仿宋"/>
          <w:color w:val="auto"/>
          <w:kern w:val="0"/>
          <w:sz w:val="28"/>
          <w:szCs w:val="28"/>
        </w:rPr>
        <w:t>日期：</w:t>
      </w:r>
      <w:r>
        <w:rPr>
          <w:rFonts w:ascii="仿宋" w:hAnsi="仿宋" w:eastAsia="仿宋" w:cs="仿宋"/>
          <w:color w:val="auto"/>
          <w:kern w:val="0"/>
          <w:sz w:val="28"/>
          <w:szCs w:val="28"/>
        </w:rPr>
        <w:t>2021</w:t>
      </w:r>
      <w:r>
        <w:rPr>
          <w:rFonts w:hint="eastAsia" w:ascii="仿宋" w:hAnsi="仿宋" w:eastAsia="仿宋" w:cs="仿宋"/>
          <w:color w:val="auto"/>
          <w:kern w:val="0"/>
          <w:sz w:val="28"/>
          <w:szCs w:val="28"/>
        </w:rPr>
        <w:t>年</w:t>
      </w:r>
      <w:r>
        <w:rPr>
          <w:rFonts w:ascii="仿宋" w:hAnsi="仿宋" w:eastAsia="仿宋" w:cs="仿宋"/>
          <w:color w:val="auto"/>
          <w:kern w:val="0"/>
          <w:sz w:val="28"/>
          <w:szCs w:val="28"/>
        </w:rPr>
        <w:t xml:space="preserve"> </w:t>
      </w:r>
      <w:r>
        <w:rPr>
          <w:rFonts w:hint="eastAsia" w:ascii="仿宋" w:hAnsi="仿宋" w:eastAsia="仿宋" w:cs="仿宋"/>
          <w:color w:val="auto"/>
          <w:kern w:val="0"/>
          <w:sz w:val="28"/>
          <w:szCs w:val="28"/>
        </w:rPr>
        <w:t>月</w:t>
      </w:r>
      <w:r>
        <w:rPr>
          <w:rFonts w:ascii="仿宋" w:hAnsi="仿宋" w:eastAsia="仿宋" w:cs="仿宋"/>
          <w:color w:val="auto"/>
          <w:kern w:val="0"/>
          <w:sz w:val="28"/>
          <w:szCs w:val="28"/>
        </w:rPr>
        <w:t xml:space="preserve">  </w:t>
      </w:r>
      <w:r>
        <w:rPr>
          <w:rFonts w:hint="eastAsia" w:ascii="仿宋" w:hAnsi="仿宋" w:eastAsia="仿宋" w:cs="仿宋"/>
          <w:color w:val="auto"/>
          <w:kern w:val="0"/>
          <w:sz w:val="28"/>
          <w:szCs w:val="28"/>
        </w:rPr>
        <w:t>日</w:t>
      </w:r>
    </w:p>
    <w:p>
      <w:pPr>
        <w:spacing w:line="600" w:lineRule="exact"/>
        <w:jc w:val="center"/>
        <w:rPr>
          <w:rFonts w:ascii="仿宋" w:hAnsi="仿宋" w:eastAsia="仿宋" w:cs="仿宋"/>
          <w:color w:val="auto"/>
          <w:sz w:val="28"/>
          <w:szCs w:val="28"/>
        </w:rPr>
      </w:pPr>
    </w:p>
    <w:p>
      <w:pPr>
        <w:rPr>
          <w:rFonts w:ascii="仿宋" w:hAnsi="仿宋" w:eastAsia="仿宋" w:cs="仿宋"/>
          <w:color w:val="auto"/>
          <w:sz w:val="28"/>
          <w:szCs w:val="28"/>
        </w:rPr>
      </w:pPr>
    </w:p>
    <w:p>
      <w:pPr>
        <w:rPr>
          <w:rFonts w:ascii="仿宋" w:hAnsi="仿宋" w:eastAsia="仿宋" w:cs="仿宋"/>
          <w:color w:val="auto"/>
          <w:sz w:val="28"/>
          <w:szCs w:val="28"/>
        </w:rPr>
      </w:pPr>
    </w:p>
    <w:p>
      <w:pPr>
        <w:spacing w:line="480" w:lineRule="auto"/>
        <w:jc w:val="left"/>
        <w:rPr>
          <w:rStyle w:val="97"/>
          <w:rFonts w:ascii="仿宋" w:hAnsi="仿宋" w:eastAsia="仿宋" w:cs="仿宋"/>
          <w:color w:val="auto"/>
          <w:sz w:val="30"/>
          <w:szCs w:val="30"/>
        </w:rPr>
      </w:pPr>
      <w:r>
        <w:rPr>
          <w:rStyle w:val="97"/>
          <w:rFonts w:ascii="仿宋" w:hAnsi="仿宋" w:eastAsia="仿宋" w:cs="仿宋"/>
          <w:color w:val="auto"/>
          <w:sz w:val="30"/>
          <w:szCs w:val="30"/>
        </w:rPr>
        <w:br w:type="page"/>
      </w:r>
    </w:p>
    <w:p>
      <w:pPr>
        <w:spacing w:line="480" w:lineRule="auto"/>
        <w:jc w:val="left"/>
        <w:rPr>
          <w:rStyle w:val="97"/>
          <w:rFonts w:ascii="仿宋" w:hAnsi="仿宋" w:eastAsia="仿宋" w:cs="仿宋"/>
          <w:color w:val="auto"/>
          <w:sz w:val="30"/>
          <w:szCs w:val="30"/>
        </w:rPr>
      </w:pPr>
      <w:r>
        <w:rPr>
          <w:rStyle w:val="97"/>
          <w:rFonts w:hint="eastAsia" w:ascii="仿宋" w:hAnsi="仿宋" w:eastAsia="仿宋" w:cs="仿宋"/>
          <w:color w:val="auto"/>
          <w:sz w:val="30"/>
          <w:szCs w:val="30"/>
        </w:rPr>
        <w:t>附件十</w:t>
      </w:r>
    </w:p>
    <w:p>
      <w:pPr>
        <w:spacing w:line="48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投标方一般情况</w:t>
      </w:r>
    </w:p>
    <w:tbl>
      <w:tblPr>
        <w:tblStyle w:val="47"/>
        <w:tblW w:w="8301"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2935"/>
        <w:gridCol w:w="958"/>
        <w:gridCol w:w="3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65" w:type="dxa"/>
            <w:vAlign w:val="center"/>
          </w:tcPr>
          <w:p>
            <w:pPr>
              <w:spacing w:line="360" w:lineRule="auto"/>
              <w:jc w:val="center"/>
              <w:rPr>
                <w:rFonts w:ascii="仿宋" w:hAnsi="仿宋" w:eastAsia="仿宋" w:cs="仿宋"/>
                <w:color w:val="auto"/>
                <w:sz w:val="28"/>
                <w:szCs w:val="28"/>
              </w:rPr>
            </w:pPr>
            <w:r>
              <w:rPr>
                <w:rFonts w:ascii="仿宋" w:hAnsi="仿宋" w:eastAsia="仿宋" w:cs="仿宋"/>
                <w:color w:val="auto"/>
                <w:sz w:val="28"/>
                <w:szCs w:val="28"/>
              </w:rPr>
              <w:t>1</w:t>
            </w:r>
          </w:p>
        </w:tc>
        <w:tc>
          <w:tcPr>
            <w:tcW w:w="7636" w:type="dxa"/>
            <w:gridSpan w:val="3"/>
            <w:vAlign w:val="center"/>
          </w:tcPr>
          <w:p>
            <w:pPr>
              <w:spacing w:line="360" w:lineRule="auto"/>
              <w:rPr>
                <w:rFonts w:ascii="仿宋" w:hAnsi="仿宋" w:eastAsia="仿宋" w:cs="仿宋"/>
                <w:color w:val="auto"/>
                <w:sz w:val="28"/>
                <w:szCs w:val="28"/>
              </w:rPr>
            </w:pPr>
            <w:r>
              <w:rPr>
                <w:rFonts w:hint="eastAsia" w:ascii="仿宋" w:hAnsi="仿宋" w:eastAsia="仿宋" w:cs="仿宋"/>
                <w:color w:val="auto"/>
                <w:sz w:val="28"/>
                <w:szCs w:val="28"/>
              </w:rPr>
              <w:t>企业名称：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65" w:type="dxa"/>
            <w:vAlign w:val="center"/>
          </w:tcPr>
          <w:p>
            <w:pPr>
              <w:spacing w:line="360" w:lineRule="auto"/>
              <w:jc w:val="center"/>
              <w:rPr>
                <w:rFonts w:ascii="仿宋" w:hAnsi="仿宋" w:eastAsia="仿宋" w:cs="仿宋"/>
                <w:color w:val="auto"/>
                <w:sz w:val="28"/>
                <w:szCs w:val="28"/>
              </w:rPr>
            </w:pPr>
            <w:r>
              <w:rPr>
                <w:rFonts w:ascii="仿宋" w:hAnsi="仿宋" w:eastAsia="仿宋" w:cs="仿宋"/>
                <w:color w:val="auto"/>
                <w:sz w:val="28"/>
                <w:szCs w:val="28"/>
              </w:rPr>
              <w:t>2</w:t>
            </w:r>
          </w:p>
        </w:tc>
        <w:tc>
          <w:tcPr>
            <w:tcW w:w="7636" w:type="dxa"/>
            <w:gridSpan w:val="3"/>
            <w:vAlign w:val="center"/>
          </w:tcPr>
          <w:p>
            <w:pPr>
              <w:spacing w:line="360" w:lineRule="auto"/>
              <w:rPr>
                <w:rFonts w:ascii="仿宋" w:hAnsi="仿宋" w:eastAsia="仿宋" w:cs="仿宋"/>
                <w:color w:val="auto"/>
                <w:sz w:val="28"/>
                <w:szCs w:val="28"/>
              </w:rPr>
            </w:pPr>
            <w:r>
              <w:rPr>
                <w:rFonts w:hint="eastAsia" w:ascii="仿宋" w:hAnsi="仿宋" w:eastAsia="仿宋" w:cs="仿宋"/>
                <w:color w:val="auto"/>
                <w:sz w:val="28"/>
                <w:szCs w:val="28"/>
              </w:rPr>
              <w:t>总部地址：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65" w:type="dxa"/>
            <w:vAlign w:val="center"/>
          </w:tcPr>
          <w:p>
            <w:pPr>
              <w:spacing w:line="360" w:lineRule="auto"/>
              <w:jc w:val="center"/>
              <w:rPr>
                <w:rFonts w:ascii="仿宋" w:hAnsi="仿宋" w:eastAsia="仿宋" w:cs="仿宋"/>
                <w:color w:val="auto"/>
                <w:sz w:val="28"/>
                <w:szCs w:val="28"/>
              </w:rPr>
            </w:pPr>
            <w:r>
              <w:rPr>
                <w:rFonts w:ascii="仿宋" w:hAnsi="仿宋" w:eastAsia="仿宋" w:cs="仿宋"/>
                <w:color w:val="auto"/>
                <w:sz w:val="28"/>
                <w:szCs w:val="28"/>
              </w:rPr>
              <w:t>3</w:t>
            </w:r>
          </w:p>
        </w:tc>
        <w:tc>
          <w:tcPr>
            <w:tcW w:w="7636" w:type="dxa"/>
            <w:gridSpan w:val="3"/>
            <w:vAlign w:val="center"/>
          </w:tcPr>
          <w:p>
            <w:pPr>
              <w:spacing w:line="360" w:lineRule="auto"/>
              <w:rPr>
                <w:rFonts w:ascii="仿宋" w:hAnsi="仿宋" w:eastAsia="仿宋" w:cs="仿宋"/>
                <w:color w:val="auto"/>
                <w:sz w:val="28"/>
                <w:szCs w:val="28"/>
              </w:rPr>
            </w:pPr>
            <w:r>
              <w:rPr>
                <w:rFonts w:hint="eastAsia" w:ascii="仿宋" w:hAnsi="仿宋" w:eastAsia="仿宋" w:cs="仿宋"/>
                <w:color w:val="auto"/>
                <w:sz w:val="28"/>
                <w:szCs w:val="28"/>
              </w:rPr>
              <w:t>当地代表处地址：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65" w:type="dxa"/>
            <w:vAlign w:val="center"/>
          </w:tcPr>
          <w:p>
            <w:pPr>
              <w:spacing w:line="360" w:lineRule="auto"/>
              <w:jc w:val="center"/>
              <w:rPr>
                <w:rFonts w:ascii="仿宋" w:hAnsi="仿宋" w:eastAsia="仿宋" w:cs="仿宋"/>
                <w:color w:val="auto"/>
                <w:sz w:val="28"/>
                <w:szCs w:val="28"/>
              </w:rPr>
            </w:pPr>
            <w:r>
              <w:rPr>
                <w:rFonts w:ascii="仿宋" w:hAnsi="仿宋" w:eastAsia="仿宋" w:cs="仿宋"/>
                <w:color w:val="auto"/>
                <w:sz w:val="28"/>
                <w:szCs w:val="28"/>
              </w:rPr>
              <w:t>4</w:t>
            </w:r>
          </w:p>
        </w:tc>
        <w:tc>
          <w:tcPr>
            <w:tcW w:w="3893" w:type="dxa"/>
            <w:gridSpan w:val="2"/>
            <w:vAlign w:val="center"/>
          </w:tcPr>
          <w:p>
            <w:pPr>
              <w:spacing w:line="360" w:lineRule="auto"/>
              <w:rPr>
                <w:rFonts w:ascii="仿宋" w:hAnsi="仿宋" w:eastAsia="仿宋" w:cs="仿宋"/>
                <w:color w:val="auto"/>
                <w:sz w:val="28"/>
                <w:szCs w:val="28"/>
              </w:rPr>
            </w:pPr>
            <w:r>
              <w:rPr>
                <w:rFonts w:hint="eastAsia" w:ascii="仿宋" w:hAnsi="仿宋" w:eastAsia="仿宋" w:cs="仿宋"/>
                <w:color w:val="auto"/>
                <w:sz w:val="28"/>
                <w:szCs w:val="28"/>
              </w:rPr>
              <w:t>电</w:t>
            </w:r>
            <w:r>
              <w:rPr>
                <w:rFonts w:ascii="仿宋" w:hAnsi="仿宋" w:eastAsia="仿宋" w:cs="仿宋"/>
                <w:color w:val="auto"/>
                <w:sz w:val="28"/>
                <w:szCs w:val="28"/>
              </w:rPr>
              <w:t xml:space="preserve">  </w:t>
            </w:r>
            <w:r>
              <w:rPr>
                <w:rFonts w:hint="eastAsia" w:ascii="仿宋" w:hAnsi="仿宋" w:eastAsia="仿宋" w:cs="仿宋"/>
                <w:color w:val="auto"/>
                <w:sz w:val="28"/>
                <w:szCs w:val="28"/>
              </w:rPr>
              <w:t>话：</w:t>
            </w:r>
          </w:p>
        </w:tc>
        <w:tc>
          <w:tcPr>
            <w:tcW w:w="3743" w:type="dxa"/>
            <w:vAlign w:val="center"/>
          </w:tcPr>
          <w:p>
            <w:pPr>
              <w:spacing w:line="360" w:lineRule="auto"/>
              <w:rPr>
                <w:rFonts w:ascii="仿宋" w:hAnsi="仿宋" w:eastAsia="仿宋" w:cs="仿宋"/>
                <w:color w:val="auto"/>
                <w:sz w:val="28"/>
                <w:szCs w:val="28"/>
              </w:rPr>
            </w:pPr>
            <w:r>
              <w:rPr>
                <w:rFonts w:hint="eastAsia" w:ascii="仿宋" w:hAnsi="仿宋" w:eastAsia="仿宋" w:cs="仿宋"/>
                <w:color w:val="auto"/>
                <w:sz w:val="28"/>
                <w:szCs w:val="28"/>
              </w:rPr>
              <w:t>联</w:t>
            </w:r>
            <w:r>
              <w:rPr>
                <w:rFonts w:ascii="仿宋" w:hAnsi="仿宋" w:eastAsia="仿宋" w:cs="仿宋"/>
                <w:color w:val="auto"/>
                <w:sz w:val="28"/>
                <w:szCs w:val="28"/>
              </w:rPr>
              <w:t xml:space="preserve"> </w:t>
            </w:r>
            <w:r>
              <w:rPr>
                <w:rFonts w:hint="eastAsia" w:ascii="仿宋" w:hAnsi="仿宋" w:eastAsia="仿宋" w:cs="仿宋"/>
                <w:color w:val="auto"/>
                <w:sz w:val="28"/>
                <w:szCs w:val="28"/>
              </w:rPr>
              <w:t>系</w:t>
            </w:r>
            <w:r>
              <w:rPr>
                <w:rFonts w:ascii="仿宋" w:hAnsi="仿宋" w:eastAsia="仿宋" w:cs="仿宋"/>
                <w:color w:val="auto"/>
                <w:sz w:val="28"/>
                <w:szCs w:val="28"/>
              </w:rPr>
              <w:t xml:space="preserve"> </w:t>
            </w:r>
            <w:r>
              <w:rPr>
                <w:rFonts w:hint="eastAsia" w:ascii="仿宋" w:hAnsi="仿宋" w:eastAsia="仿宋" w:cs="仿宋"/>
                <w:color w:val="auto"/>
                <w:sz w:val="28"/>
                <w:szCs w:val="28"/>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65" w:type="dxa"/>
            <w:vAlign w:val="center"/>
          </w:tcPr>
          <w:p>
            <w:pPr>
              <w:spacing w:line="360" w:lineRule="auto"/>
              <w:jc w:val="center"/>
              <w:rPr>
                <w:rFonts w:ascii="仿宋" w:hAnsi="仿宋" w:eastAsia="仿宋" w:cs="仿宋"/>
                <w:color w:val="auto"/>
                <w:sz w:val="28"/>
                <w:szCs w:val="28"/>
              </w:rPr>
            </w:pPr>
            <w:r>
              <w:rPr>
                <w:rFonts w:ascii="仿宋" w:hAnsi="仿宋" w:eastAsia="仿宋" w:cs="仿宋"/>
                <w:color w:val="auto"/>
                <w:sz w:val="28"/>
                <w:szCs w:val="28"/>
              </w:rPr>
              <w:t>5</w:t>
            </w:r>
          </w:p>
        </w:tc>
        <w:tc>
          <w:tcPr>
            <w:tcW w:w="3893" w:type="dxa"/>
            <w:gridSpan w:val="2"/>
            <w:vAlign w:val="center"/>
          </w:tcPr>
          <w:p>
            <w:pPr>
              <w:spacing w:line="360" w:lineRule="auto"/>
              <w:rPr>
                <w:rFonts w:ascii="仿宋" w:hAnsi="仿宋" w:eastAsia="仿宋" w:cs="仿宋"/>
                <w:color w:val="auto"/>
                <w:sz w:val="28"/>
                <w:szCs w:val="28"/>
              </w:rPr>
            </w:pPr>
            <w:r>
              <w:rPr>
                <w:rFonts w:hint="eastAsia" w:ascii="仿宋" w:hAnsi="仿宋" w:eastAsia="仿宋" w:cs="仿宋"/>
                <w:color w:val="auto"/>
                <w:sz w:val="28"/>
                <w:szCs w:val="28"/>
              </w:rPr>
              <w:t>传</w:t>
            </w:r>
            <w:r>
              <w:rPr>
                <w:rFonts w:ascii="仿宋" w:hAnsi="仿宋" w:eastAsia="仿宋" w:cs="仿宋"/>
                <w:color w:val="auto"/>
                <w:sz w:val="28"/>
                <w:szCs w:val="28"/>
              </w:rPr>
              <w:t xml:space="preserve">  </w:t>
            </w:r>
            <w:r>
              <w:rPr>
                <w:rFonts w:hint="eastAsia" w:ascii="仿宋" w:hAnsi="仿宋" w:eastAsia="仿宋" w:cs="仿宋"/>
                <w:color w:val="auto"/>
                <w:sz w:val="28"/>
                <w:szCs w:val="28"/>
              </w:rPr>
              <w:t>真：</w:t>
            </w:r>
          </w:p>
        </w:tc>
        <w:tc>
          <w:tcPr>
            <w:tcW w:w="3743" w:type="dxa"/>
            <w:vAlign w:val="center"/>
          </w:tcPr>
          <w:p>
            <w:pPr>
              <w:spacing w:line="360" w:lineRule="auto"/>
              <w:rPr>
                <w:rFonts w:ascii="仿宋" w:hAnsi="仿宋" w:eastAsia="仿宋" w:cs="仿宋"/>
                <w:color w:val="auto"/>
                <w:sz w:val="28"/>
                <w:szCs w:val="28"/>
              </w:rPr>
            </w:pPr>
            <w:r>
              <w:rPr>
                <w:rFonts w:hint="eastAsia" w:ascii="仿宋" w:hAnsi="仿宋" w:eastAsia="仿宋" w:cs="仿宋"/>
                <w:color w:val="auto"/>
                <w:sz w:val="28"/>
                <w:szCs w:val="28"/>
              </w:rPr>
              <w:t>电子信箱：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65" w:type="dxa"/>
            <w:vAlign w:val="center"/>
          </w:tcPr>
          <w:p>
            <w:pPr>
              <w:spacing w:line="360" w:lineRule="auto"/>
              <w:jc w:val="center"/>
              <w:rPr>
                <w:rFonts w:ascii="仿宋" w:hAnsi="仿宋" w:eastAsia="仿宋" w:cs="仿宋"/>
                <w:color w:val="auto"/>
                <w:sz w:val="28"/>
                <w:szCs w:val="28"/>
              </w:rPr>
            </w:pPr>
            <w:r>
              <w:rPr>
                <w:rFonts w:ascii="仿宋" w:hAnsi="仿宋" w:eastAsia="仿宋" w:cs="仿宋"/>
                <w:color w:val="auto"/>
                <w:sz w:val="28"/>
                <w:szCs w:val="28"/>
              </w:rPr>
              <w:t>6</w:t>
            </w:r>
          </w:p>
        </w:tc>
        <w:tc>
          <w:tcPr>
            <w:tcW w:w="3893" w:type="dxa"/>
            <w:gridSpan w:val="2"/>
            <w:vAlign w:val="center"/>
          </w:tcPr>
          <w:p>
            <w:pPr>
              <w:spacing w:line="360" w:lineRule="auto"/>
              <w:rPr>
                <w:rFonts w:ascii="仿宋" w:hAnsi="仿宋" w:eastAsia="仿宋" w:cs="仿宋"/>
                <w:color w:val="auto"/>
                <w:sz w:val="28"/>
                <w:szCs w:val="28"/>
              </w:rPr>
            </w:pPr>
            <w:r>
              <w:rPr>
                <w:rFonts w:hint="eastAsia" w:ascii="仿宋" w:hAnsi="仿宋" w:eastAsia="仿宋" w:cs="仿宋"/>
                <w:color w:val="auto"/>
                <w:sz w:val="28"/>
                <w:szCs w:val="28"/>
              </w:rPr>
              <w:t>注册地：</w:t>
            </w:r>
          </w:p>
        </w:tc>
        <w:tc>
          <w:tcPr>
            <w:tcW w:w="3743" w:type="dxa"/>
            <w:vAlign w:val="center"/>
          </w:tcPr>
          <w:p>
            <w:pPr>
              <w:spacing w:line="360" w:lineRule="auto"/>
              <w:rPr>
                <w:rFonts w:ascii="仿宋" w:hAnsi="仿宋" w:eastAsia="仿宋" w:cs="仿宋"/>
                <w:color w:val="auto"/>
                <w:sz w:val="28"/>
                <w:szCs w:val="28"/>
              </w:rPr>
            </w:pPr>
            <w:r>
              <w:rPr>
                <w:rFonts w:hint="eastAsia" w:ascii="仿宋" w:hAnsi="仿宋" w:eastAsia="仿宋" w:cs="仿宋"/>
                <w:color w:val="auto"/>
                <w:sz w:val="28"/>
                <w:szCs w:val="28"/>
              </w:rPr>
              <w:t>注册年份：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65" w:type="dxa"/>
            <w:vAlign w:val="center"/>
          </w:tcPr>
          <w:p>
            <w:pPr>
              <w:spacing w:line="360" w:lineRule="auto"/>
              <w:jc w:val="center"/>
              <w:rPr>
                <w:rFonts w:ascii="仿宋" w:hAnsi="仿宋" w:eastAsia="仿宋" w:cs="仿宋"/>
                <w:color w:val="auto"/>
                <w:sz w:val="28"/>
                <w:szCs w:val="28"/>
              </w:rPr>
            </w:pPr>
            <w:r>
              <w:rPr>
                <w:rFonts w:ascii="仿宋" w:hAnsi="仿宋" w:eastAsia="仿宋" w:cs="仿宋"/>
                <w:color w:val="auto"/>
                <w:sz w:val="28"/>
                <w:szCs w:val="28"/>
              </w:rPr>
              <w:t>7</w:t>
            </w:r>
          </w:p>
        </w:tc>
        <w:tc>
          <w:tcPr>
            <w:tcW w:w="7636" w:type="dxa"/>
            <w:gridSpan w:val="3"/>
            <w:vAlign w:val="center"/>
          </w:tcPr>
          <w:p>
            <w:pPr>
              <w:spacing w:line="360" w:lineRule="auto"/>
              <w:rPr>
                <w:rFonts w:ascii="仿宋" w:hAnsi="仿宋" w:eastAsia="仿宋" w:cs="仿宋"/>
                <w:color w:val="auto"/>
                <w:sz w:val="28"/>
                <w:szCs w:val="28"/>
              </w:rPr>
            </w:pPr>
            <w:r>
              <w:rPr>
                <w:rFonts w:hint="eastAsia" w:ascii="仿宋" w:hAnsi="仿宋" w:eastAsia="仿宋" w:cs="仿宋"/>
                <w:color w:val="auto"/>
                <w:sz w:val="28"/>
                <w:szCs w:val="28"/>
              </w:rPr>
              <w:t>公司的资质等级（请附上有关证书的复印件）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65" w:type="dxa"/>
            <w:vAlign w:val="center"/>
          </w:tcPr>
          <w:p>
            <w:pPr>
              <w:spacing w:line="360" w:lineRule="auto"/>
              <w:jc w:val="center"/>
              <w:rPr>
                <w:rFonts w:ascii="仿宋" w:hAnsi="仿宋" w:eastAsia="仿宋" w:cs="仿宋"/>
                <w:color w:val="auto"/>
                <w:sz w:val="28"/>
                <w:szCs w:val="28"/>
              </w:rPr>
            </w:pPr>
            <w:r>
              <w:rPr>
                <w:rFonts w:ascii="仿宋" w:hAnsi="仿宋" w:eastAsia="仿宋" w:cs="仿宋"/>
                <w:color w:val="auto"/>
                <w:sz w:val="28"/>
                <w:szCs w:val="28"/>
              </w:rPr>
              <w:t>8</w:t>
            </w:r>
          </w:p>
        </w:tc>
        <w:tc>
          <w:tcPr>
            <w:tcW w:w="7636" w:type="dxa"/>
            <w:gridSpan w:val="3"/>
            <w:vAlign w:val="center"/>
          </w:tcPr>
          <w:p>
            <w:pPr>
              <w:spacing w:line="360" w:lineRule="auto"/>
              <w:rPr>
                <w:rFonts w:ascii="仿宋" w:hAnsi="仿宋" w:eastAsia="仿宋" w:cs="仿宋"/>
                <w:color w:val="auto"/>
                <w:sz w:val="28"/>
                <w:szCs w:val="28"/>
              </w:rPr>
            </w:pPr>
            <w:r>
              <w:rPr>
                <w:rFonts w:hint="eastAsia" w:ascii="仿宋" w:hAnsi="仿宋" w:eastAsia="仿宋" w:cs="仿宋"/>
                <w:color w:val="auto"/>
                <w:sz w:val="28"/>
                <w:szCs w:val="28"/>
              </w:rPr>
              <w:t>公司（是否通过，何种）质量保证体系认证（如通过请附相关证书复印件，提供认证机构年审监督报告）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665" w:type="dxa"/>
            <w:vAlign w:val="center"/>
          </w:tcPr>
          <w:p>
            <w:pPr>
              <w:spacing w:line="360" w:lineRule="auto"/>
              <w:jc w:val="center"/>
              <w:rPr>
                <w:rFonts w:ascii="仿宋" w:hAnsi="仿宋" w:eastAsia="仿宋" w:cs="仿宋"/>
                <w:color w:val="auto"/>
                <w:sz w:val="28"/>
                <w:szCs w:val="28"/>
              </w:rPr>
            </w:pPr>
            <w:r>
              <w:rPr>
                <w:rFonts w:ascii="仿宋" w:hAnsi="仿宋" w:eastAsia="仿宋" w:cs="仿宋"/>
                <w:color w:val="auto"/>
                <w:sz w:val="28"/>
                <w:szCs w:val="28"/>
              </w:rPr>
              <w:t>9</w:t>
            </w:r>
          </w:p>
        </w:tc>
        <w:tc>
          <w:tcPr>
            <w:tcW w:w="2935" w:type="dxa"/>
            <w:vAlign w:val="center"/>
          </w:tcPr>
          <w:p>
            <w:pPr>
              <w:spacing w:line="360" w:lineRule="auto"/>
              <w:rPr>
                <w:rFonts w:ascii="仿宋" w:hAnsi="仿宋" w:eastAsia="仿宋" w:cs="仿宋"/>
                <w:color w:val="auto"/>
                <w:sz w:val="28"/>
                <w:szCs w:val="28"/>
              </w:rPr>
            </w:pPr>
            <w:r>
              <w:rPr>
                <w:rFonts w:hint="eastAsia" w:ascii="仿宋" w:hAnsi="仿宋" w:eastAsia="仿宋" w:cs="仿宋"/>
                <w:color w:val="auto"/>
                <w:sz w:val="28"/>
                <w:szCs w:val="28"/>
              </w:rPr>
              <w:t>其他需要说明的情况</w:t>
            </w:r>
          </w:p>
        </w:tc>
        <w:tc>
          <w:tcPr>
            <w:tcW w:w="4701" w:type="dxa"/>
            <w:gridSpan w:val="2"/>
            <w:vAlign w:val="center"/>
          </w:tcPr>
          <w:p>
            <w:pPr>
              <w:spacing w:line="360" w:lineRule="auto"/>
              <w:rPr>
                <w:rFonts w:ascii="仿宋" w:hAnsi="仿宋" w:eastAsia="仿宋" w:cs="仿宋"/>
                <w:color w:val="auto"/>
                <w:sz w:val="28"/>
                <w:szCs w:val="28"/>
              </w:rPr>
            </w:pPr>
          </w:p>
          <w:p>
            <w:pPr>
              <w:spacing w:line="360" w:lineRule="auto"/>
              <w:rPr>
                <w:rFonts w:ascii="仿宋" w:hAnsi="仿宋" w:eastAsia="仿宋" w:cs="仿宋"/>
                <w:color w:val="auto"/>
                <w:sz w:val="28"/>
                <w:szCs w:val="28"/>
              </w:rPr>
            </w:pPr>
          </w:p>
        </w:tc>
      </w:tr>
    </w:tbl>
    <w:p>
      <w:pPr>
        <w:ind w:firstLine="573"/>
        <w:rPr>
          <w:rFonts w:ascii="仿宋" w:hAnsi="仿宋" w:eastAsia="仿宋" w:cs="仿宋"/>
          <w:color w:val="auto"/>
          <w:sz w:val="28"/>
          <w:szCs w:val="28"/>
        </w:rPr>
      </w:pPr>
      <w:r>
        <w:rPr>
          <w:rFonts w:hint="eastAsia" w:ascii="仿宋" w:hAnsi="仿宋" w:eastAsia="仿宋" w:cs="仿宋"/>
          <w:color w:val="auto"/>
          <w:sz w:val="28"/>
          <w:szCs w:val="28"/>
        </w:rPr>
        <w:t>说明：所有独立投标申请人或联合体成员都须填写此表；</w:t>
      </w:r>
    </w:p>
    <w:p>
      <w:pPr>
        <w:jc w:val="center"/>
        <w:rPr>
          <w:rFonts w:ascii="仿宋" w:hAnsi="仿宋" w:eastAsia="仿宋" w:cs="仿宋"/>
          <w:color w:val="auto"/>
          <w:sz w:val="28"/>
          <w:szCs w:val="28"/>
        </w:rPr>
      </w:pPr>
    </w:p>
    <w:p>
      <w:pPr>
        <w:autoSpaceDE w:val="0"/>
        <w:adjustRightInd w:val="0"/>
        <w:snapToGrid w:val="0"/>
        <w:ind w:firstLine="3614" w:firstLineChars="1500"/>
        <w:jc w:val="left"/>
        <w:rPr>
          <w:rFonts w:ascii="仿宋" w:hAnsi="仿宋" w:eastAsia="仿宋" w:cs="仿宋"/>
          <w:b/>
          <w:bCs/>
          <w:color w:val="auto"/>
          <w:kern w:val="0"/>
          <w:sz w:val="24"/>
        </w:rPr>
      </w:pPr>
    </w:p>
    <w:p>
      <w:pPr>
        <w:widowControl/>
        <w:snapToGrid w:val="0"/>
        <w:spacing w:line="480" w:lineRule="exact"/>
        <w:ind w:firstLine="218" w:firstLineChars="78"/>
        <w:rPr>
          <w:rFonts w:ascii="仿宋" w:hAnsi="仿宋" w:eastAsia="仿宋" w:cs="仿宋"/>
          <w:color w:val="auto"/>
          <w:kern w:val="0"/>
          <w:sz w:val="28"/>
          <w:szCs w:val="28"/>
        </w:rPr>
      </w:pPr>
      <w:r>
        <w:rPr>
          <w:rFonts w:hint="eastAsia" w:ascii="仿宋" w:hAnsi="仿宋" w:eastAsia="仿宋" w:cs="仿宋"/>
          <w:color w:val="auto"/>
          <w:kern w:val="0"/>
          <w:sz w:val="28"/>
          <w:szCs w:val="28"/>
        </w:rPr>
        <w:t>全权代表</w:t>
      </w:r>
      <w:r>
        <w:rPr>
          <w:rFonts w:ascii="仿宋" w:hAnsi="仿宋" w:eastAsia="仿宋" w:cs="仿宋"/>
          <w:color w:val="auto"/>
          <w:kern w:val="0"/>
          <w:sz w:val="28"/>
          <w:szCs w:val="28"/>
        </w:rPr>
        <w:t>(</w:t>
      </w:r>
      <w:r>
        <w:rPr>
          <w:rFonts w:hint="eastAsia" w:ascii="仿宋" w:hAnsi="仿宋" w:eastAsia="仿宋" w:cs="仿宋"/>
          <w:color w:val="auto"/>
          <w:kern w:val="0"/>
          <w:sz w:val="28"/>
          <w:szCs w:val="28"/>
        </w:rPr>
        <w:t>签字</w:t>
      </w:r>
      <w:r>
        <w:rPr>
          <w:rFonts w:ascii="仿宋" w:hAnsi="仿宋" w:eastAsia="仿宋" w:cs="仿宋"/>
          <w:color w:val="auto"/>
          <w:kern w:val="0"/>
          <w:sz w:val="28"/>
          <w:szCs w:val="28"/>
        </w:rPr>
        <w:t>)</w:t>
      </w:r>
      <w:r>
        <w:rPr>
          <w:rFonts w:hint="eastAsia" w:ascii="仿宋" w:hAnsi="仿宋" w:eastAsia="仿宋" w:cs="仿宋"/>
          <w:color w:val="auto"/>
          <w:kern w:val="0"/>
          <w:sz w:val="28"/>
          <w:szCs w:val="28"/>
        </w:rPr>
        <w:t>：</w:t>
      </w:r>
    </w:p>
    <w:p>
      <w:pPr>
        <w:widowControl/>
        <w:snapToGrid w:val="0"/>
        <w:spacing w:line="480" w:lineRule="exact"/>
        <w:ind w:firstLine="218" w:firstLineChars="78"/>
        <w:rPr>
          <w:rFonts w:ascii="仿宋" w:hAnsi="仿宋" w:eastAsia="仿宋" w:cs="仿宋"/>
          <w:color w:val="auto"/>
          <w:kern w:val="0"/>
          <w:sz w:val="28"/>
          <w:szCs w:val="28"/>
        </w:rPr>
      </w:pPr>
      <w:r>
        <w:rPr>
          <w:rFonts w:hint="eastAsia" w:ascii="仿宋" w:hAnsi="仿宋" w:eastAsia="仿宋" w:cs="仿宋"/>
          <w:color w:val="auto"/>
          <w:kern w:val="0"/>
          <w:sz w:val="28"/>
          <w:szCs w:val="28"/>
        </w:rPr>
        <w:t>投标供应商</w:t>
      </w:r>
      <w:r>
        <w:rPr>
          <w:rFonts w:ascii="仿宋" w:hAnsi="仿宋" w:eastAsia="仿宋" w:cs="仿宋"/>
          <w:color w:val="auto"/>
          <w:kern w:val="0"/>
          <w:sz w:val="28"/>
          <w:szCs w:val="28"/>
        </w:rPr>
        <w:t>(</w:t>
      </w:r>
      <w:r>
        <w:rPr>
          <w:rFonts w:hint="eastAsia" w:ascii="仿宋" w:hAnsi="仿宋" w:eastAsia="仿宋" w:cs="仿宋"/>
          <w:color w:val="auto"/>
          <w:kern w:val="0"/>
          <w:sz w:val="28"/>
          <w:szCs w:val="28"/>
        </w:rPr>
        <w:t>盖章</w:t>
      </w:r>
      <w:r>
        <w:rPr>
          <w:rFonts w:ascii="仿宋" w:hAnsi="仿宋" w:eastAsia="仿宋" w:cs="仿宋"/>
          <w:color w:val="auto"/>
          <w:kern w:val="0"/>
          <w:sz w:val="28"/>
          <w:szCs w:val="28"/>
        </w:rPr>
        <w:t>)</w:t>
      </w:r>
      <w:r>
        <w:rPr>
          <w:rFonts w:hint="eastAsia" w:ascii="仿宋" w:hAnsi="仿宋" w:eastAsia="仿宋" w:cs="仿宋"/>
          <w:color w:val="auto"/>
          <w:kern w:val="0"/>
          <w:sz w:val="28"/>
          <w:szCs w:val="28"/>
        </w:rPr>
        <w:t>：</w:t>
      </w:r>
    </w:p>
    <w:p>
      <w:pPr>
        <w:autoSpaceDE w:val="0"/>
        <w:adjustRightInd w:val="0"/>
        <w:snapToGrid w:val="0"/>
        <w:ind w:firstLine="218" w:firstLineChars="78"/>
        <w:rPr>
          <w:rFonts w:ascii="仿宋" w:hAnsi="仿宋" w:eastAsia="仿宋" w:cs="仿宋"/>
          <w:b/>
          <w:bCs/>
          <w:color w:val="auto"/>
          <w:kern w:val="0"/>
          <w:sz w:val="24"/>
        </w:rPr>
      </w:pPr>
      <w:r>
        <w:rPr>
          <w:rFonts w:hint="eastAsia" w:ascii="仿宋" w:hAnsi="仿宋" w:eastAsia="仿宋" w:cs="仿宋"/>
          <w:color w:val="auto"/>
          <w:kern w:val="0"/>
          <w:sz w:val="28"/>
          <w:szCs w:val="28"/>
        </w:rPr>
        <w:t>日期：</w:t>
      </w:r>
      <w:r>
        <w:rPr>
          <w:rFonts w:ascii="仿宋" w:hAnsi="仿宋" w:eastAsia="仿宋" w:cs="仿宋"/>
          <w:color w:val="auto"/>
          <w:kern w:val="0"/>
          <w:sz w:val="28"/>
          <w:szCs w:val="28"/>
        </w:rPr>
        <w:t>2021</w:t>
      </w:r>
      <w:r>
        <w:rPr>
          <w:rFonts w:hint="eastAsia" w:ascii="仿宋" w:hAnsi="仿宋" w:eastAsia="仿宋" w:cs="仿宋"/>
          <w:color w:val="auto"/>
          <w:kern w:val="0"/>
          <w:sz w:val="28"/>
          <w:szCs w:val="28"/>
        </w:rPr>
        <w:t>年</w:t>
      </w:r>
      <w:r>
        <w:rPr>
          <w:rFonts w:ascii="仿宋" w:hAnsi="仿宋" w:eastAsia="仿宋" w:cs="仿宋"/>
          <w:color w:val="auto"/>
          <w:kern w:val="0"/>
          <w:sz w:val="28"/>
          <w:szCs w:val="28"/>
        </w:rPr>
        <w:t xml:space="preserve"> </w:t>
      </w:r>
      <w:r>
        <w:rPr>
          <w:rFonts w:hint="eastAsia" w:ascii="仿宋" w:hAnsi="仿宋" w:eastAsia="仿宋" w:cs="仿宋"/>
          <w:color w:val="auto"/>
          <w:kern w:val="0"/>
          <w:sz w:val="28"/>
          <w:szCs w:val="28"/>
        </w:rPr>
        <w:t>月</w:t>
      </w:r>
      <w:r>
        <w:rPr>
          <w:rFonts w:ascii="仿宋" w:hAnsi="仿宋" w:eastAsia="仿宋" w:cs="仿宋"/>
          <w:color w:val="auto"/>
          <w:kern w:val="0"/>
          <w:sz w:val="28"/>
          <w:szCs w:val="28"/>
        </w:rPr>
        <w:t xml:space="preserve">  </w:t>
      </w:r>
      <w:r>
        <w:rPr>
          <w:rFonts w:hint="eastAsia" w:ascii="仿宋" w:hAnsi="仿宋" w:eastAsia="仿宋" w:cs="仿宋"/>
          <w:color w:val="auto"/>
          <w:kern w:val="0"/>
          <w:sz w:val="28"/>
          <w:szCs w:val="28"/>
        </w:rPr>
        <w:t>日</w:t>
      </w:r>
    </w:p>
    <w:p>
      <w:pPr>
        <w:adjustRightInd w:val="0"/>
        <w:snapToGrid w:val="0"/>
        <w:jc w:val="center"/>
        <w:rPr>
          <w:rFonts w:ascii="仿宋" w:hAnsi="仿宋" w:eastAsia="仿宋" w:cs="仿宋"/>
          <w:color w:val="auto"/>
          <w:sz w:val="28"/>
          <w:szCs w:val="28"/>
          <w:u w:val="single"/>
        </w:rPr>
      </w:pPr>
    </w:p>
    <w:p>
      <w:pPr>
        <w:snapToGrid w:val="0"/>
        <w:spacing w:before="50" w:after="156" w:afterLines="50" w:line="360" w:lineRule="auto"/>
        <w:jc w:val="left"/>
        <w:rPr>
          <w:rFonts w:ascii="仿宋" w:hAnsi="仿宋" w:eastAsia="仿宋" w:cs="仿宋"/>
          <w:b/>
          <w:color w:val="auto"/>
          <w:sz w:val="30"/>
          <w:szCs w:val="30"/>
        </w:rPr>
      </w:pPr>
    </w:p>
    <w:p>
      <w:pPr>
        <w:snapToGrid w:val="0"/>
        <w:spacing w:before="50" w:after="156" w:afterLines="50" w:line="360" w:lineRule="auto"/>
        <w:jc w:val="left"/>
        <w:rPr>
          <w:rFonts w:ascii="仿宋" w:hAnsi="仿宋" w:eastAsia="仿宋" w:cs="仿宋"/>
          <w:b/>
          <w:color w:val="auto"/>
          <w:sz w:val="30"/>
          <w:szCs w:val="30"/>
        </w:rPr>
      </w:pPr>
    </w:p>
    <w:p>
      <w:pPr>
        <w:snapToGrid w:val="0"/>
        <w:spacing w:before="50" w:after="156" w:afterLines="50"/>
        <w:jc w:val="left"/>
        <w:rPr>
          <w:rFonts w:ascii="仿宋" w:hAnsi="仿宋" w:eastAsia="仿宋" w:cs="仿宋"/>
          <w:b/>
          <w:color w:val="auto"/>
          <w:sz w:val="30"/>
          <w:szCs w:val="30"/>
        </w:rPr>
      </w:pPr>
    </w:p>
    <w:p>
      <w:pPr>
        <w:jc w:val="left"/>
        <w:rPr>
          <w:rStyle w:val="97"/>
          <w:rFonts w:ascii="仿宋" w:hAnsi="仿宋" w:eastAsia="仿宋" w:cs="仿宋"/>
          <w:color w:val="auto"/>
          <w:sz w:val="30"/>
          <w:szCs w:val="32"/>
        </w:rPr>
      </w:pPr>
      <w:r>
        <w:rPr>
          <w:rStyle w:val="97"/>
          <w:rFonts w:hint="eastAsia" w:ascii="仿宋" w:hAnsi="仿宋" w:eastAsia="仿宋" w:cs="仿宋"/>
          <w:color w:val="auto"/>
          <w:sz w:val="30"/>
          <w:szCs w:val="32"/>
        </w:rPr>
        <w:t>附件十一：</w:t>
      </w:r>
    </w:p>
    <w:p>
      <w:pPr>
        <w:pStyle w:val="37"/>
        <w:snapToGrid w:val="0"/>
        <w:spacing w:line="360" w:lineRule="auto"/>
        <w:ind w:left="803" w:hanging="803"/>
        <w:jc w:val="center"/>
        <w:rPr>
          <w:rFonts w:ascii="仿宋" w:hAnsi="仿宋" w:eastAsia="仿宋" w:cs="仿宋"/>
          <w:b/>
          <w:color w:val="auto"/>
          <w:spacing w:val="20"/>
          <w:sz w:val="36"/>
          <w:szCs w:val="20"/>
        </w:rPr>
      </w:pPr>
      <w:r>
        <w:rPr>
          <w:rFonts w:hint="eastAsia" w:ascii="仿宋" w:hAnsi="仿宋" w:eastAsia="仿宋" w:cs="仿宋"/>
          <w:b/>
          <w:color w:val="auto"/>
          <w:spacing w:val="20"/>
          <w:sz w:val="36"/>
          <w:szCs w:val="20"/>
        </w:rPr>
        <w:t>投标人类似项目实施情况一览表</w:t>
      </w:r>
    </w:p>
    <w:p>
      <w:pPr>
        <w:pStyle w:val="37"/>
        <w:snapToGrid w:val="0"/>
        <w:spacing w:line="360" w:lineRule="auto"/>
        <w:ind w:left="666" w:leftChars="-85" w:hanging="844" w:hangingChars="264"/>
        <w:rPr>
          <w:rFonts w:ascii="仿宋" w:hAnsi="仿宋" w:eastAsia="仿宋" w:cs="仿宋"/>
          <w:b/>
          <w:color w:val="auto"/>
          <w:szCs w:val="28"/>
          <w:u w:val="single"/>
        </w:rPr>
      </w:pPr>
      <w:r>
        <w:rPr>
          <w:rFonts w:hint="eastAsia" w:ascii="仿宋" w:hAnsi="仿宋" w:eastAsia="仿宋" w:cs="仿宋"/>
          <w:color w:val="auto"/>
          <w:spacing w:val="20"/>
          <w:szCs w:val="28"/>
        </w:rPr>
        <w:t>招标编号：</w:t>
      </w:r>
      <w:r>
        <w:rPr>
          <w:rFonts w:hint="eastAsia" w:ascii="仿宋" w:hAnsi="仿宋" w:eastAsia="仿宋" w:cs="仿宋"/>
          <w:color w:val="auto"/>
          <w:lang w:eastAsia="zh-CN"/>
        </w:rPr>
        <w:t>JDOBCG2021B-45</w:t>
      </w:r>
      <w:r>
        <w:rPr>
          <w:rFonts w:hint="eastAsia" w:ascii="仿宋" w:hAnsi="仿宋" w:eastAsia="仿宋" w:cs="仿宋"/>
          <w:color w:val="auto"/>
        </w:rPr>
        <w:t xml:space="preserve">  </w:t>
      </w:r>
      <w:r>
        <w:rPr>
          <w:rFonts w:ascii="仿宋" w:hAnsi="仿宋" w:eastAsia="仿宋" w:cs="仿宋"/>
          <w:color w:val="auto"/>
        </w:rPr>
        <w:t xml:space="preserve">             </w:t>
      </w:r>
    </w:p>
    <w:tbl>
      <w:tblPr>
        <w:tblStyle w:val="47"/>
        <w:tblW w:w="920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68"/>
        <w:gridCol w:w="1332"/>
        <w:gridCol w:w="900"/>
        <w:gridCol w:w="900"/>
        <w:gridCol w:w="1440"/>
        <w:gridCol w:w="1242"/>
        <w:gridCol w:w="202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6" w:hRule="atLeast"/>
          <w:jc w:val="center"/>
        </w:trPr>
        <w:tc>
          <w:tcPr>
            <w:tcW w:w="1368" w:type="dxa"/>
            <w:vMerge w:val="restart"/>
            <w:tcBorders>
              <w:top w:val="single" w:color="auto" w:sz="4" w:space="0"/>
              <w:bottom w:val="single" w:color="auto" w:sz="4" w:space="0"/>
              <w:right w:val="single" w:color="auto" w:sz="4" w:space="0"/>
            </w:tcBorders>
            <w:vAlign w:val="center"/>
          </w:tcPr>
          <w:p>
            <w:pPr>
              <w:snapToGrid w:val="0"/>
              <w:jc w:val="center"/>
              <w:rPr>
                <w:rFonts w:ascii="仿宋" w:hAnsi="仿宋" w:eastAsia="仿宋" w:cs="仿宋"/>
                <w:color w:val="auto"/>
                <w:sz w:val="24"/>
                <w:szCs w:val="24"/>
              </w:rPr>
            </w:pPr>
            <w:r>
              <w:rPr>
                <w:rFonts w:hint="eastAsia" w:ascii="仿宋" w:hAnsi="仿宋" w:eastAsia="仿宋" w:cs="仿宋"/>
                <w:color w:val="auto"/>
                <w:sz w:val="24"/>
                <w:szCs w:val="24"/>
              </w:rPr>
              <w:t>采购单位名称</w:t>
            </w:r>
          </w:p>
        </w:tc>
        <w:tc>
          <w:tcPr>
            <w:tcW w:w="1332"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s="仿宋"/>
                <w:color w:val="auto"/>
                <w:sz w:val="24"/>
                <w:szCs w:val="24"/>
              </w:rPr>
            </w:pPr>
            <w:r>
              <w:rPr>
                <w:rFonts w:hint="eastAsia" w:ascii="仿宋" w:hAnsi="仿宋" w:eastAsia="仿宋" w:cs="仿宋"/>
                <w:color w:val="auto"/>
                <w:sz w:val="24"/>
                <w:szCs w:val="24"/>
              </w:rPr>
              <w:t>设备或项目名称</w:t>
            </w:r>
          </w:p>
        </w:tc>
        <w:tc>
          <w:tcPr>
            <w:tcW w:w="900"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s="仿宋"/>
                <w:color w:val="auto"/>
                <w:sz w:val="24"/>
                <w:szCs w:val="24"/>
              </w:rPr>
            </w:pPr>
            <w:r>
              <w:rPr>
                <w:rFonts w:hint="eastAsia" w:ascii="仿宋" w:hAnsi="仿宋" w:eastAsia="仿宋" w:cs="仿宋"/>
                <w:color w:val="auto"/>
                <w:sz w:val="24"/>
                <w:szCs w:val="24"/>
              </w:rPr>
              <w:t>采购</w:t>
            </w:r>
          </w:p>
          <w:p>
            <w:pPr>
              <w:snapToGrid w:val="0"/>
              <w:jc w:val="center"/>
              <w:rPr>
                <w:rFonts w:ascii="仿宋" w:hAnsi="仿宋" w:eastAsia="仿宋" w:cs="仿宋"/>
                <w:color w:val="auto"/>
                <w:sz w:val="24"/>
                <w:szCs w:val="24"/>
              </w:rPr>
            </w:pPr>
            <w:r>
              <w:rPr>
                <w:rFonts w:hint="eastAsia" w:ascii="仿宋" w:hAnsi="仿宋" w:eastAsia="仿宋" w:cs="仿宋"/>
                <w:color w:val="auto"/>
                <w:sz w:val="24"/>
                <w:szCs w:val="24"/>
              </w:rPr>
              <w:t>数量</w:t>
            </w:r>
          </w:p>
        </w:tc>
        <w:tc>
          <w:tcPr>
            <w:tcW w:w="900"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s="仿宋"/>
                <w:color w:val="auto"/>
                <w:sz w:val="24"/>
                <w:szCs w:val="24"/>
              </w:rPr>
            </w:pPr>
            <w:r>
              <w:rPr>
                <w:rFonts w:hint="eastAsia" w:ascii="仿宋" w:hAnsi="仿宋" w:eastAsia="仿宋" w:cs="仿宋"/>
                <w:color w:val="auto"/>
                <w:sz w:val="24"/>
                <w:szCs w:val="24"/>
              </w:rPr>
              <w:t>单价</w:t>
            </w:r>
          </w:p>
        </w:tc>
        <w:tc>
          <w:tcPr>
            <w:tcW w:w="1440"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s="仿宋"/>
                <w:color w:val="auto"/>
                <w:sz w:val="24"/>
                <w:szCs w:val="24"/>
              </w:rPr>
            </w:pPr>
            <w:r>
              <w:rPr>
                <w:rFonts w:hint="eastAsia" w:ascii="仿宋" w:hAnsi="仿宋" w:eastAsia="仿宋" w:cs="仿宋"/>
                <w:color w:val="auto"/>
                <w:sz w:val="24"/>
                <w:szCs w:val="24"/>
              </w:rPr>
              <w:t>合同</w:t>
            </w:r>
          </w:p>
          <w:p>
            <w:pPr>
              <w:snapToGrid w:val="0"/>
              <w:jc w:val="center"/>
              <w:rPr>
                <w:rFonts w:ascii="仿宋" w:hAnsi="仿宋" w:eastAsia="仿宋" w:cs="仿宋"/>
                <w:color w:val="auto"/>
                <w:sz w:val="24"/>
                <w:szCs w:val="24"/>
              </w:rPr>
            </w:pPr>
            <w:r>
              <w:rPr>
                <w:rFonts w:hint="eastAsia" w:ascii="仿宋" w:hAnsi="仿宋" w:eastAsia="仿宋" w:cs="仿宋"/>
                <w:color w:val="auto"/>
                <w:sz w:val="24"/>
                <w:szCs w:val="24"/>
              </w:rPr>
              <w:t>金额</w:t>
            </w:r>
          </w:p>
          <w:p>
            <w:pPr>
              <w:snapToGrid w:val="0"/>
              <w:jc w:val="center"/>
              <w:rPr>
                <w:rFonts w:ascii="仿宋" w:hAnsi="仿宋" w:eastAsia="仿宋" w:cs="仿宋"/>
                <w:color w:val="auto"/>
                <w:sz w:val="24"/>
                <w:szCs w:val="24"/>
              </w:rPr>
            </w:pPr>
            <w:r>
              <w:rPr>
                <w:rFonts w:hint="eastAsia" w:ascii="仿宋" w:hAnsi="仿宋" w:eastAsia="仿宋" w:cs="仿宋"/>
                <w:color w:val="auto"/>
                <w:sz w:val="24"/>
                <w:szCs w:val="24"/>
              </w:rPr>
              <w:t>（万元）</w:t>
            </w:r>
          </w:p>
        </w:tc>
        <w:tc>
          <w:tcPr>
            <w:tcW w:w="1242"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s="仿宋"/>
                <w:color w:val="auto"/>
                <w:sz w:val="24"/>
                <w:szCs w:val="24"/>
              </w:rPr>
            </w:pPr>
            <w:r>
              <w:rPr>
                <w:rFonts w:hint="eastAsia" w:ascii="仿宋" w:hAnsi="仿宋" w:eastAsia="仿宋" w:cs="仿宋"/>
                <w:color w:val="auto"/>
                <w:sz w:val="24"/>
                <w:szCs w:val="24"/>
              </w:rPr>
              <w:t>附件页码</w:t>
            </w:r>
          </w:p>
        </w:tc>
        <w:tc>
          <w:tcPr>
            <w:tcW w:w="2025" w:type="dxa"/>
            <w:vMerge w:val="restart"/>
            <w:tcBorders>
              <w:top w:val="single" w:color="auto" w:sz="4" w:space="0"/>
              <w:left w:val="single" w:color="auto" w:sz="4" w:space="0"/>
              <w:bottom w:val="single" w:color="auto" w:sz="4" w:space="0"/>
            </w:tcBorders>
            <w:vAlign w:val="center"/>
          </w:tcPr>
          <w:p>
            <w:pPr>
              <w:snapToGrid w:val="0"/>
              <w:jc w:val="center"/>
              <w:rPr>
                <w:rFonts w:ascii="仿宋" w:hAnsi="仿宋" w:eastAsia="仿宋" w:cs="仿宋"/>
                <w:color w:val="auto"/>
                <w:sz w:val="24"/>
                <w:szCs w:val="24"/>
              </w:rPr>
            </w:pPr>
            <w:r>
              <w:rPr>
                <w:rFonts w:hint="eastAsia" w:ascii="仿宋" w:hAnsi="仿宋" w:eastAsia="仿宋" w:cs="仿宋"/>
                <w:color w:val="auto"/>
                <w:sz w:val="24"/>
                <w:szCs w:val="24"/>
              </w:rPr>
              <w:t>采购单位联系人及联系电话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316" w:hRule="atLeast"/>
          <w:jc w:val="center"/>
        </w:trPr>
        <w:tc>
          <w:tcPr>
            <w:tcW w:w="1368" w:type="dxa"/>
            <w:vMerge w:val="continue"/>
            <w:tcBorders>
              <w:top w:val="single" w:color="auto" w:sz="4" w:space="0"/>
              <w:bottom w:val="single" w:color="auto" w:sz="4" w:space="0"/>
              <w:right w:val="single" w:color="auto" w:sz="4" w:space="0"/>
            </w:tcBorders>
            <w:vAlign w:val="center"/>
          </w:tcPr>
          <w:p>
            <w:pPr>
              <w:widowControl/>
              <w:jc w:val="left"/>
              <w:rPr>
                <w:rFonts w:ascii="仿宋" w:hAnsi="仿宋" w:eastAsia="仿宋" w:cs="仿宋"/>
                <w:color w:val="auto"/>
                <w:sz w:val="24"/>
                <w:szCs w:val="24"/>
              </w:rPr>
            </w:pPr>
          </w:p>
        </w:tc>
        <w:tc>
          <w:tcPr>
            <w:tcW w:w="13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sz w:val="24"/>
                <w:szCs w:val="24"/>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sz w:val="24"/>
                <w:szCs w:val="24"/>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sz w:val="24"/>
                <w:szCs w:val="24"/>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sz w:val="24"/>
                <w:szCs w:val="24"/>
              </w:rPr>
            </w:pPr>
          </w:p>
        </w:tc>
        <w:tc>
          <w:tcPr>
            <w:tcW w:w="1242"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s="仿宋"/>
                <w:color w:val="auto"/>
                <w:sz w:val="24"/>
                <w:szCs w:val="24"/>
              </w:rPr>
            </w:pPr>
            <w:r>
              <w:rPr>
                <w:rFonts w:hint="eastAsia" w:ascii="仿宋" w:hAnsi="仿宋" w:eastAsia="仿宋" w:cs="仿宋"/>
                <w:color w:val="auto"/>
                <w:sz w:val="24"/>
                <w:szCs w:val="24"/>
              </w:rPr>
              <w:t>合</w:t>
            </w:r>
          </w:p>
          <w:p>
            <w:pPr>
              <w:snapToGrid w:val="0"/>
              <w:jc w:val="center"/>
              <w:rPr>
                <w:rFonts w:ascii="仿宋" w:hAnsi="仿宋" w:eastAsia="仿宋" w:cs="仿宋"/>
                <w:color w:val="auto"/>
                <w:sz w:val="24"/>
                <w:szCs w:val="24"/>
              </w:rPr>
            </w:pPr>
            <w:r>
              <w:rPr>
                <w:rFonts w:hint="eastAsia" w:ascii="仿宋" w:hAnsi="仿宋" w:eastAsia="仿宋" w:cs="仿宋"/>
                <w:color w:val="auto"/>
                <w:sz w:val="24"/>
                <w:szCs w:val="24"/>
              </w:rPr>
              <w:t>同</w:t>
            </w:r>
          </w:p>
        </w:tc>
        <w:tc>
          <w:tcPr>
            <w:tcW w:w="2025" w:type="dxa"/>
            <w:vMerge w:val="continue"/>
            <w:tcBorders>
              <w:top w:val="single" w:color="auto" w:sz="4" w:space="0"/>
              <w:left w:val="single" w:color="auto" w:sz="4" w:space="0"/>
              <w:bottom w:val="single" w:color="auto" w:sz="4" w:space="0"/>
            </w:tcBorders>
            <w:vAlign w:val="center"/>
          </w:tcPr>
          <w:p>
            <w:pPr>
              <w:widowControl/>
              <w:spacing w:line="360" w:lineRule="auto"/>
              <w:jc w:val="left"/>
              <w:rPr>
                <w:rFonts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68" w:type="dxa"/>
            <w:tcBorders>
              <w:top w:val="single" w:color="auto" w:sz="4" w:space="0"/>
              <w:bottom w:val="single" w:color="auto" w:sz="4" w:space="0"/>
              <w:right w:val="single" w:color="auto" w:sz="4" w:space="0"/>
            </w:tcBorders>
          </w:tcPr>
          <w:p>
            <w:pPr>
              <w:snapToGrid w:val="0"/>
              <w:spacing w:before="50" w:after="156" w:afterLines="50" w:line="360" w:lineRule="auto"/>
              <w:jc w:val="left"/>
              <w:rPr>
                <w:rFonts w:ascii="仿宋" w:hAnsi="仿宋" w:eastAsia="仿宋" w:cs="仿宋"/>
                <w:color w:val="auto"/>
                <w:sz w:val="24"/>
                <w:szCs w:val="24"/>
              </w:rPr>
            </w:pPr>
          </w:p>
        </w:tc>
        <w:tc>
          <w:tcPr>
            <w:tcW w:w="1332" w:type="dxa"/>
            <w:tcBorders>
              <w:top w:val="single" w:color="auto" w:sz="4" w:space="0"/>
              <w:left w:val="single" w:color="auto" w:sz="4" w:space="0"/>
              <w:bottom w:val="single" w:color="auto" w:sz="4" w:space="0"/>
              <w:right w:val="single" w:color="auto" w:sz="4" w:space="0"/>
            </w:tcBorders>
          </w:tcPr>
          <w:p>
            <w:pPr>
              <w:snapToGrid w:val="0"/>
              <w:spacing w:before="50" w:after="156" w:afterLines="50" w:line="360" w:lineRule="auto"/>
              <w:jc w:val="left"/>
              <w:rPr>
                <w:rFonts w:ascii="仿宋" w:hAnsi="仿宋" w:eastAsia="仿宋" w:cs="仿宋"/>
                <w:color w:val="auto"/>
                <w:sz w:val="24"/>
                <w:szCs w:val="24"/>
              </w:rPr>
            </w:pPr>
          </w:p>
        </w:tc>
        <w:tc>
          <w:tcPr>
            <w:tcW w:w="900" w:type="dxa"/>
            <w:tcBorders>
              <w:top w:val="single" w:color="auto" w:sz="4" w:space="0"/>
              <w:left w:val="single" w:color="auto" w:sz="4" w:space="0"/>
              <w:bottom w:val="single" w:color="auto" w:sz="4" w:space="0"/>
              <w:right w:val="single" w:color="auto" w:sz="4" w:space="0"/>
            </w:tcBorders>
          </w:tcPr>
          <w:p>
            <w:pPr>
              <w:snapToGrid w:val="0"/>
              <w:spacing w:before="50" w:after="156" w:afterLines="50" w:line="360" w:lineRule="auto"/>
              <w:jc w:val="left"/>
              <w:rPr>
                <w:rFonts w:ascii="仿宋" w:hAnsi="仿宋" w:eastAsia="仿宋" w:cs="仿宋"/>
                <w:color w:val="auto"/>
                <w:sz w:val="24"/>
                <w:szCs w:val="24"/>
              </w:rPr>
            </w:pPr>
          </w:p>
        </w:tc>
        <w:tc>
          <w:tcPr>
            <w:tcW w:w="900" w:type="dxa"/>
            <w:tcBorders>
              <w:top w:val="single" w:color="auto" w:sz="4" w:space="0"/>
              <w:left w:val="single" w:color="auto" w:sz="4" w:space="0"/>
              <w:bottom w:val="single" w:color="auto" w:sz="4" w:space="0"/>
              <w:right w:val="single" w:color="auto" w:sz="4" w:space="0"/>
            </w:tcBorders>
          </w:tcPr>
          <w:p>
            <w:pPr>
              <w:snapToGrid w:val="0"/>
              <w:spacing w:before="50" w:after="156" w:afterLines="50" w:line="360" w:lineRule="auto"/>
              <w:jc w:val="left"/>
              <w:rPr>
                <w:rFonts w:ascii="仿宋" w:hAnsi="仿宋" w:eastAsia="仿宋" w:cs="仿宋"/>
                <w:color w:val="auto"/>
                <w:sz w:val="24"/>
                <w:szCs w:val="24"/>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50" w:after="156" w:afterLines="50" w:line="360" w:lineRule="auto"/>
              <w:jc w:val="left"/>
              <w:rPr>
                <w:rFonts w:ascii="仿宋" w:hAnsi="仿宋" w:eastAsia="仿宋" w:cs="仿宋"/>
                <w:color w:val="auto"/>
                <w:sz w:val="24"/>
                <w:szCs w:val="24"/>
              </w:rPr>
            </w:pPr>
          </w:p>
        </w:tc>
        <w:tc>
          <w:tcPr>
            <w:tcW w:w="1242" w:type="dxa"/>
            <w:tcBorders>
              <w:top w:val="single" w:color="auto" w:sz="4" w:space="0"/>
              <w:left w:val="single" w:color="auto" w:sz="4" w:space="0"/>
              <w:bottom w:val="single" w:color="auto" w:sz="4" w:space="0"/>
              <w:right w:val="single" w:color="auto" w:sz="4" w:space="0"/>
            </w:tcBorders>
          </w:tcPr>
          <w:p>
            <w:pPr>
              <w:snapToGrid w:val="0"/>
              <w:spacing w:before="50" w:after="156" w:afterLines="50" w:line="360" w:lineRule="auto"/>
              <w:jc w:val="left"/>
              <w:rPr>
                <w:rFonts w:ascii="仿宋" w:hAnsi="仿宋" w:eastAsia="仿宋" w:cs="仿宋"/>
                <w:color w:val="auto"/>
                <w:sz w:val="24"/>
                <w:szCs w:val="24"/>
              </w:rPr>
            </w:pPr>
          </w:p>
        </w:tc>
        <w:tc>
          <w:tcPr>
            <w:tcW w:w="2025" w:type="dxa"/>
            <w:tcBorders>
              <w:top w:val="single" w:color="auto" w:sz="4" w:space="0"/>
              <w:left w:val="single" w:color="auto" w:sz="4" w:space="0"/>
              <w:bottom w:val="single" w:color="auto" w:sz="4" w:space="0"/>
            </w:tcBorders>
          </w:tcPr>
          <w:p>
            <w:pPr>
              <w:snapToGrid w:val="0"/>
              <w:spacing w:before="50" w:after="156" w:afterLines="50" w:line="360" w:lineRule="auto"/>
              <w:jc w:val="left"/>
              <w:rPr>
                <w:rFonts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1368" w:type="dxa"/>
            <w:tcBorders>
              <w:top w:val="single" w:color="auto" w:sz="4" w:space="0"/>
              <w:bottom w:val="single" w:color="auto" w:sz="4" w:space="0"/>
              <w:right w:val="single" w:color="auto" w:sz="4" w:space="0"/>
            </w:tcBorders>
          </w:tcPr>
          <w:p>
            <w:pPr>
              <w:snapToGrid w:val="0"/>
              <w:spacing w:before="50" w:after="156" w:afterLines="50" w:line="360" w:lineRule="auto"/>
              <w:jc w:val="left"/>
              <w:rPr>
                <w:rFonts w:ascii="仿宋" w:hAnsi="仿宋" w:eastAsia="仿宋" w:cs="仿宋"/>
                <w:color w:val="auto"/>
                <w:sz w:val="24"/>
                <w:szCs w:val="24"/>
              </w:rPr>
            </w:pPr>
          </w:p>
        </w:tc>
        <w:tc>
          <w:tcPr>
            <w:tcW w:w="1332" w:type="dxa"/>
            <w:tcBorders>
              <w:top w:val="single" w:color="auto" w:sz="4" w:space="0"/>
              <w:left w:val="single" w:color="auto" w:sz="4" w:space="0"/>
              <w:bottom w:val="single" w:color="auto" w:sz="4" w:space="0"/>
              <w:right w:val="single" w:color="auto" w:sz="4" w:space="0"/>
            </w:tcBorders>
          </w:tcPr>
          <w:p>
            <w:pPr>
              <w:snapToGrid w:val="0"/>
              <w:spacing w:before="50" w:after="156" w:afterLines="50" w:line="360" w:lineRule="auto"/>
              <w:jc w:val="left"/>
              <w:rPr>
                <w:rFonts w:ascii="仿宋" w:hAnsi="仿宋" w:eastAsia="仿宋" w:cs="仿宋"/>
                <w:color w:val="auto"/>
                <w:sz w:val="24"/>
                <w:szCs w:val="24"/>
              </w:rPr>
            </w:pPr>
          </w:p>
        </w:tc>
        <w:tc>
          <w:tcPr>
            <w:tcW w:w="900" w:type="dxa"/>
            <w:tcBorders>
              <w:top w:val="single" w:color="auto" w:sz="4" w:space="0"/>
              <w:left w:val="single" w:color="auto" w:sz="4" w:space="0"/>
              <w:bottom w:val="single" w:color="auto" w:sz="4" w:space="0"/>
              <w:right w:val="single" w:color="auto" w:sz="4" w:space="0"/>
            </w:tcBorders>
          </w:tcPr>
          <w:p>
            <w:pPr>
              <w:snapToGrid w:val="0"/>
              <w:spacing w:before="50" w:after="156" w:afterLines="50" w:line="360" w:lineRule="auto"/>
              <w:jc w:val="left"/>
              <w:rPr>
                <w:rFonts w:ascii="仿宋" w:hAnsi="仿宋" w:eastAsia="仿宋" w:cs="仿宋"/>
                <w:color w:val="auto"/>
                <w:sz w:val="24"/>
                <w:szCs w:val="24"/>
              </w:rPr>
            </w:pPr>
          </w:p>
        </w:tc>
        <w:tc>
          <w:tcPr>
            <w:tcW w:w="900" w:type="dxa"/>
            <w:tcBorders>
              <w:top w:val="single" w:color="auto" w:sz="4" w:space="0"/>
              <w:left w:val="single" w:color="auto" w:sz="4" w:space="0"/>
              <w:bottom w:val="single" w:color="auto" w:sz="4" w:space="0"/>
              <w:right w:val="single" w:color="auto" w:sz="4" w:space="0"/>
            </w:tcBorders>
          </w:tcPr>
          <w:p>
            <w:pPr>
              <w:snapToGrid w:val="0"/>
              <w:spacing w:before="50" w:after="156" w:afterLines="50" w:line="360" w:lineRule="auto"/>
              <w:jc w:val="left"/>
              <w:rPr>
                <w:rFonts w:ascii="仿宋" w:hAnsi="仿宋" w:eastAsia="仿宋" w:cs="仿宋"/>
                <w:color w:val="auto"/>
                <w:sz w:val="24"/>
                <w:szCs w:val="24"/>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50" w:after="156" w:afterLines="50" w:line="360" w:lineRule="auto"/>
              <w:jc w:val="left"/>
              <w:rPr>
                <w:rFonts w:ascii="仿宋" w:hAnsi="仿宋" w:eastAsia="仿宋" w:cs="仿宋"/>
                <w:color w:val="auto"/>
                <w:sz w:val="24"/>
                <w:szCs w:val="24"/>
              </w:rPr>
            </w:pPr>
          </w:p>
        </w:tc>
        <w:tc>
          <w:tcPr>
            <w:tcW w:w="1242" w:type="dxa"/>
            <w:tcBorders>
              <w:top w:val="single" w:color="auto" w:sz="4" w:space="0"/>
              <w:left w:val="single" w:color="auto" w:sz="4" w:space="0"/>
              <w:bottom w:val="single" w:color="auto" w:sz="4" w:space="0"/>
              <w:right w:val="single" w:color="auto" w:sz="4" w:space="0"/>
            </w:tcBorders>
          </w:tcPr>
          <w:p>
            <w:pPr>
              <w:snapToGrid w:val="0"/>
              <w:spacing w:before="50" w:after="156" w:afterLines="50" w:line="360" w:lineRule="auto"/>
              <w:jc w:val="left"/>
              <w:rPr>
                <w:rFonts w:ascii="仿宋" w:hAnsi="仿宋" w:eastAsia="仿宋" w:cs="仿宋"/>
                <w:color w:val="auto"/>
                <w:sz w:val="24"/>
                <w:szCs w:val="24"/>
              </w:rPr>
            </w:pPr>
          </w:p>
        </w:tc>
        <w:tc>
          <w:tcPr>
            <w:tcW w:w="2025" w:type="dxa"/>
            <w:tcBorders>
              <w:top w:val="single" w:color="auto" w:sz="4" w:space="0"/>
              <w:left w:val="single" w:color="auto" w:sz="4" w:space="0"/>
              <w:bottom w:val="single" w:color="auto" w:sz="4" w:space="0"/>
            </w:tcBorders>
          </w:tcPr>
          <w:p>
            <w:pPr>
              <w:snapToGrid w:val="0"/>
              <w:spacing w:before="50" w:after="156" w:afterLines="50" w:line="360" w:lineRule="auto"/>
              <w:jc w:val="left"/>
              <w:rPr>
                <w:rFonts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68" w:type="dxa"/>
            <w:tcBorders>
              <w:top w:val="single" w:color="auto" w:sz="4" w:space="0"/>
              <w:bottom w:val="single" w:color="auto" w:sz="4" w:space="0"/>
              <w:right w:val="single" w:color="auto" w:sz="4" w:space="0"/>
            </w:tcBorders>
          </w:tcPr>
          <w:p>
            <w:pPr>
              <w:snapToGrid w:val="0"/>
              <w:spacing w:before="50" w:after="156" w:afterLines="50" w:line="360" w:lineRule="auto"/>
              <w:jc w:val="left"/>
              <w:rPr>
                <w:rFonts w:ascii="仿宋" w:hAnsi="仿宋" w:eastAsia="仿宋" w:cs="仿宋"/>
                <w:color w:val="auto"/>
                <w:sz w:val="24"/>
                <w:szCs w:val="24"/>
              </w:rPr>
            </w:pPr>
          </w:p>
        </w:tc>
        <w:tc>
          <w:tcPr>
            <w:tcW w:w="1332" w:type="dxa"/>
            <w:tcBorders>
              <w:top w:val="single" w:color="auto" w:sz="4" w:space="0"/>
              <w:left w:val="single" w:color="auto" w:sz="4" w:space="0"/>
              <w:bottom w:val="single" w:color="auto" w:sz="4" w:space="0"/>
              <w:right w:val="single" w:color="auto" w:sz="4" w:space="0"/>
            </w:tcBorders>
          </w:tcPr>
          <w:p>
            <w:pPr>
              <w:snapToGrid w:val="0"/>
              <w:spacing w:before="50" w:after="156" w:afterLines="50" w:line="360" w:lineRule="auto"/>
              <w:jc w:val="left"/>
              <w:rPr>
                <w:rFonts w:ascii="仿宋" w:hAnsi="仿宋" w:eastAsia="仿宋" w:cs="仿宋"/>
                <w:color w:val="auto"/>
                <w:sz w:val="24"/>
                <w:szCs w:val="24"/>
              </w:rPr>
            </w:pPr>
          </w:p>
        </w:tc>
        <w:tc>
          <w:tcPr>
            <w:tcW w:w="900" w:type="dxa"/>
            <w:tcBorders>
              <w:top w:val="single" w:color="auto" w:sz="4" w:space="0"/>
              <w:left w:val="single" w:color="auto" w:sz="4" w:space="0"/>
              <w:bottom w:val="single" w:color="auto" w:sz="4" w:space="0"/>
              <w:right w:val="single" w:color="auto" w:sz="4" w:space="0"/>
            </w:tcBorders>
          </w:tcPr>
          <w:p>
            <w:pPr>
              <w:snapToGrid w:val="0"/>
              <w:spacing w:before="50" w:after="156" w:afterLines="50" w:line="360" w:lineRule="auto"/>
              <w:jc w:val="left"/>
              <w:rPr>
                <w:rFonts w:ascii="仿宋" w:hAnsi="仿宋" w:eastAsia="仿宋" w:cs="仿宋"/>
                <w:color w:val="auto"/>
                <w:sz w:val="24"/>
                <w:szCs w:val="24"/>
              </w:rPr>
            </w:pPr>
          </w:p>
        </w:tc>
        <w:tc>
          <w:tcPr>
            <w:tcW w:w="900" w:type="dxa"/>
            <w:tcBorders>
              <w:top w:val="single" w:color="auto" w:sz="4" w:space="0"/>
              <w:left w:val="single" w:color="auto" w:sz="4" w:space="0"/>
              <w:bottom w:val="single" w:color="auto" w:sz="4" w:space="0"/>
              <w:right w:val="single" w:color="auto" w:sz="4" w:space="0"/>
            </w:tcBorders>
          </w:tcPr>
          <w:p>
            <w:pPr>
              <w:snapToGrid w:val="0"/>
              <w:spacing w:before="50" w:after="156" w:afterLines="50" w:line="360" w:lineRule="auto"/>
              <w:jc w:val="left"/>
              <w:rPr>
                <w:rFonts w:ascii="仿宋" w:hAnsi="仿宋" w:eastAsia="仿宋" w:cs="仿宋"/>
                <w:color w:val="auto"/>
                <w:sz w:val="24"/>
                <w:szCs w:val="24"/>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50" w:after="156" w:afterLines="50" w:line="360" w:lineRule="auto"/>
              <w:jc w:val="left"/>
              <w:rPr>
                <w:rFonts w:ascii="仿宋" w:hAnsi="仿宋" w:eastAsia="仿宋" w:cs="仿宋"/>
                <w:color w:val="auto"/>
                <w:sz w:val="24"/>
                <w:szCs w:val="24"/>
              </w:rPr>
            </w:pPr>
          </w:p>
        </w:tc>
        <w:tc>
          <w:tcPr>
            <w:tcW w:w="1242" w:type="dxa"/>
            <w:tcBorders>
              <w:top w:val="single" w:color="auto" w:sz="4" w:space="0"/>
              <w:left w:val="single" w:color="auto" w:sz="4" w:space="0"/>
              <w:bottom w:val="single" w:color="auto" w:sz="4" w:space="0"/>
              <w:right w:val="single" w:color="auto" w:sz="4" w:space="0"/>
            </w:tcBorders>
          </w:tcPr>
          <w:p>
            <w:pPr>
              <w:snapToGrid w:val="0"/>
              <w:spacing w:before="50" w:after="156" w:afterLines="50" w:line="360" w:lineRule="auto"/>
              <w:jc w:val="left"/>
              <w:rPr>
                <w:rFonts w:ascii="仿宋" w:hAnsi="仿宋" w:eastAsia="仿宋" w:cs="仿宋"/>
                <w:color w:val="auto"/>
                <w:sz w:val="24"/>
                <w:szCs w:val="24"/>
              </w:rPr>
            </w:pPr>
          </w:p>
        </w:tc>
        <w:tc>
          <w:tcPr>
            <w:tcW w:w="2025" w:type="dxa"/>
            <w:tcBorders>
              <w:top w:val="single" w:color="auto" w:sz="4" w:space="0"/>
              <w:left w:val="single" w:color="auto" w:sz="4" w:space="0"/>
              <w:bottom w:val="single" w:color="auto" w:sz="4" w:space="0"/>
            </w:tcBorders>
          </w:tcPr>
          <w:p>
            <w:pPr>
              <w:snapToGrid w:val="0"/>
              <w:spacing w:before="50" w:after="156" w:afterLines="50" w:line="360" w:lineRule="auto"/>
              <w:jc w:val="left"/>
              <w:rPr>
                <w:rFonts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68" w:type="dxa"/>
            <w:tcBorders>
              <w:top w:val="single" w:color="auto" w:sz="4" w:space="0"/>
              <w:bottom w:val="single" w:color="auto" w:sz="4" w:space="0"/>
              <w:right w:val="single" w:color="auto" w:sz="4" w:space="0"/>
            </w:tcBorders>
          </w:tcPr>
          <w:p>
            <w:pPr>
              <w:snapToGrid w:val="0"/>
              <w:spacing w:before="50" w:after="156" w:afterLines="50" w:line="360" w:lineRule="auto"/>
              <w:jc w:val="left"/>
              <w:rPr>
                <w:rFonts w:ascii="仿宋" w:hAnsi="仿宋" w:eastAsia="仿宋" w:cs="仿宋"/>
                <w:color w:val="auto"/>
                <w:sz w:val="24"/>
                <w:szCs w:val="24"/>
              </w:rPr>
            </w:pPr>
          </w:p>
        </w:tc>
        <w:tc>
          <w:tcPr>
            <w:tcW w:w="1332" w:type="dxa"/>
            <w:tcBorders>
              <w:top w:val="single" w:color="auto" w:sz="4" w:space="0"/>
              <w:left w:val="single" w:color="auto" w:sz="4" w:space="0"/>
              <w:bottom w:val="single" w:color="auto" w:sz="4" w:space="0"/>
              <w:right w:val="single" w:color="auto" w:sz="4" w:space="0"/>
            </w:tcBorders>
          </w:tcPr>
          <w:p>
            <w:pPr>
              <w:snapToGrid w:val="0"/>
              <w:spacing w:before="50" w:after="156" w:afterLines="50" w:line="360" w:lineRule="auto"/>
              <w:jc w:val="left"/>
              <w:rPr>
                <w:rFonts w:ascii="仿宋" w:hAnsi="仿宋" w:eastAsia="仿宋" w:cs="仿宋"/>
                <w:color w:val="auto"/>
                <w:sz w:val="24"/>
                <w:szCs w:val="24"/>
              </w:rPr>
            </w:pPr>
          </w:p>
        </w:tc>
        <w:tc>
          <w:tcPr>
            <w:tcW w:w="900" w:type="dxa"/>
            <w:tcBorders>
              <w:top w:val="single" w:color="auto" w:sz="4" w:space="0"/>
              <w:left w:val="single" w:color="auto" w:sz="4" w:space="0"/>
              <w:bottom w:val="single" w:color="auto" w:sz="4" w:space="0"/>
              <w:right w:val="single" w:color="auto" w:sz="4" w:space="0"/>
            </w:tcBorders>
          </w:tcPr>
          <w:p>
            <w:pPr>
              <w:snapToGrid w:val="0"/>
              <w:spacing w:before="50" w:after="156" w:afterLines="50" w:line="360" w:lineRule="auto"/>
              <w:jc w:val="left"/>
              <w:rPr>
                <w:rFonts w:ascii="仿宋" w:hAnsi="仿宋" w:eastAsia="仿宋" w:cs="仿宋"/>
                <w:color w:val="auto"/>
                <w:sz w:val="24"/>
                <w:szCs w:val="24"/>
              </w:rPr>
            </w:pPr>
          </w:p>
        </w:tc>
        <w:tc>
          <w:tcPr>
            <w:tcW w:w="900" w:type="dxa"/>
            <w:tcBorders>
              <w:top w:val="single" w:color="auto" w:sz="4" w:space="0"/>
              <w:left w:val="single" w:color="auto" w:sz="4" w:space="0"/>
              <w:bottom w:val="single" w:color="auto" w:sz="4" w:space="0"/>
              <w:right w:val="single" w:color="auto" w:sz="4" w:space="0"/>
            </w:tcBorders>
          </w:tcPr>
          <w:p>
            <w:pPr>
              <w:snapToGrid w:val="0"/>
              <w:spacing w:before="50" w:after="156" w:afterLines="50" w:line="360" w:lineRule="auto"/>
              <w:jc w:val="left"/>
              <w:rPr>
                <w:rFonts w:ascii="仿宋" w:hAnsi="仿宋" w:eastAsia="仿宋" w:cs="仿宋"/>
                <w:color w:val="auto"/>
                <w:sz w:val="24"/>
                <w:szCs w:val="24"/>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50" w:after="156" w:afterLines="50" w:line="360" w:lineRule="auto"/>
              <w:jc w:val="left"/>
              <w:rPr>
                <w:rFonts w:ascii="仿宋" w:hAnsi="仿宋" w:eastAsia="仿宋" w:cs="仿宋"/>
                <w:color w:val="auto"/>
                <w:sz w:val="24"/>
                <w:szCs w:val="24"/>
              </w:rPr>
            </w:pPr>
          </w:p>
        </w:tc>
        <w:tc>
          <w:tcPr>
            <w:tcW w:w="1242" w:type="dxa"/>
            <w:tcBorders>
              <w:top w:val="single" w:color="auto" w:sz="4" w:space="0"/>
              <w:left w:val="single" w:color="auto" w:sz="4" w:space="0"/>
              <w:bottom w:val="single" w:color="auto" w:sz="4" w:space="0"/>
              <w:right w:val="single" w:color="auto" w:sz="4" w:space="0"/>
            </w:tcBorders>
          </w:tcPr>
          <w:p>
            <w:pPr>
              <w:snapToGrid w:val="0"/>
              <w:spacing w:before="50" w:after="156" w:afterLines="50" w:line="360" w:lineRule="auto"/>
              <w:jc w:val="left"/>
              <w:rPr>
                <w:rFonts w:ascii="仿宋" w:hAnsi="仿宋" w:eastAsia="仿宋" w:cs="仿宋"/>
                <w:color w:val="auto"/>
                <w:sz w:val="24"/>
                <w:szCs w:val="24"/>
              </w:rPr>
            </w:pPr>
          </w:p>
        </w:tc>
        <w:tc>
          <w:tcPr>
            <w:tcW w:w="2025" w:type="dxa"/>
            <w:tcBorders>
              <w:top w:val="single" w:color="auto" w:sz="4" w:space="0"/>
              <w:left w:val="single" w:color="auto" w:sz="4" w:space="0"/>
              <w:bottom w:val="single" w:color="auto" w:sz="4" w:space="0"/>
            </w:tcBorders>
          </w:tcPr>
          <w:p>
            <w:pPr>
              <w:snapToGrid w:val="0"/>
              <w:spacing w:before="50" w:after="156" w:afterLines="50" w:line="360" w:lineRule="auto"/>
              <w:jc w:val="left"/>
              <w:rPr>
                <w:rFonts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68" w:type="dxa"/>
            <w:tcBorders>
              <w:top w:val="single" w:color="auto" w:sz="4" w:space="0"/>
              <w:bottom w:val="single" w:color="auto" w:sz="4" w:space="0"/>
              <w:right w:val="single" w:color="auto" w:sz="4" w:space="0"/>
            </w:tcBorders>
          </w:tcPr>
          <w:p>
            <w:pPr>
              <w:snapToGrid w:val="0"/>
              <w:spacing w:before="50" w:after="156" w:afterLines="50" w:line="360" w:lineRule="auto"/>
              <w:jc w:val="left"/>
              <w:rPr>
                <w:rFonts w:ascii="仿宋" w:hAnsi="仿宋" w:eastAsia="仿宋" w:cs="仿宋"/>
                <w:color w:val="auto"/>
                <w:sz w:val="24"/>
                <w:szCs w:val="24"/>
              </w:rPr>
            </w:pPr>
          </w:p>
        </w:tc>
        <w:tc>
          <w:tcPr>
            <w:tcW w:w="1332" w:type="dxa"/>
            <w:tcBorders>
              <w:top w:val="single" w:color="auto" w:sz="4" w:space="0"/>
              <w:left w:val="single" w:color="auto" w:sz="4" w:space="0"/>
              <w:bottom w:val="single" w:color="auto" w:sz="4" w:space="0"/>
              <w:right w:val="single" w:color="auto" w:sz="4" w:space="0"/>
            </w:tcBorders>
          </w:tcPr>
          <w:p>
            <w:pPr>
              <w:snapToGrid w:val="0"/>
              <w:spacing w:before="50" w:after="156" w:afterLines="50" w:line="360" w:lineRule="auto"/>
              <w:jc w:val="left"/>
              <w:rPr>
                <w:rFonts w:ascii="仿宋" w:hAnsi="仿宋" w:eastAsia="仿宋" w:cs="仿宋"/>
                <w:color w:val="auto"/>
                <w:sz w:val="24"/>
                <w:szCs w:val="24"/>
              </w:rPr>
            </w:pPr>
          </w:p>
        </w:tc>
        <w:tc>
          <w:tcPr>
            <w:tcW w:w="900" w:type="dxa"/>
            <w:tcBorders>
              <w:top w:val="single" w:color="auto" w:sz="4" w:space="0"/>
              <w:left w:val="single" w:color="auto" w:sz="4" w:space="0"/>
              <w:bottom w:val="single" w:color="auto" w:sz="4" w:space="0"/>
              <w:right w:val="single" w:color="auto" w:sz="4" w:space="0"/>
            </w:tcBorders>
          </w:tcPr>
          <w:p>
            <w:pPr>
              <w:snapToGrid w:val="0"/>
              <w:spacing w:before="50" w:after="156" w:afterLines="50" w:line="360" w:lineRule="auto"/>
              <w:jc w:val="left"/>
              <w:rPr>
                <w:rFonts w:ascii="仿宋" w:hAnsi="仿宋" w:eastAsia="仿宋" w:cs="仿宋"/>
                <w:color w:val="auto"/>
                <w:sz w:val="24"/>
                <w:szCs w:val="24"/>
              </w:rPr>
            </w:pPr>
          </w:p>
        </w:tc>
        <w:tc>
          <w:tcPr>
            <w:tcW w:w="900" w:type="dxa"/>
            <w:tcBorders>
              <w:top w:val="single" w:color="auto" w:sz="4" w:space="0"/>
              <w:left w:val="single" w:color="auto" w:sz="4" w:space="0"/>
              <w:bottom w:val="single" w:color="auto" w:sz="4" w:space="0"/>
              <w:right w:val="single" w:color="auto" w:sz="4" w:space="0"/>
            </w:tcBorders>
          </w:tcPr>
          <w:p>
            <w:pPr>
              <w:snapToGrid w:val="0"/>
              <w:spacing w:before="50" w:after="156" w:afterLines="50" w:line="360" w:lineRule="auto"/>
              <w:jc w:val="left"/>
              <w:rPr>
                <w:rFonts w:ascii="仿宋" w:hAnsi="仿宋" w:eastAsia="仿宋" w:cs="仿宋"/>
                <w:color w:val="auto"/>
                <w:sz w:val="24"/>
                <w:szCs w:val="24"/>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50" w:after="156" w:afterLines="50" w:line="360" w:lineRule="auto"/>
              <w:jc w:val="left"/>
              <w:rPr>
                <w:rFonts w:ascii="仿宋" w:hAnsi="仿宋" w:eastAsia="仿宋" w:cs="仿宋"/>
                <w:color w:val="auto"/>
                <w:sz w:val="24"/>
                <w:szCs w:val="24"/>
              </w:rPr>
            </w:pPr>
          </w:p>
        </w:tc>
        <w:tc>
          <w:tcPr>
            <w:tcW w:w="1242" w:type="dxa"/>
            <w:tcBorders>
              <w:top w:val="single" w:color="auto" w:sz="4" w:space="0"/>
              <w:left w:val="single" w:color="auto" w:sz="4" w:space="0"/>
              <w:bottom w:val="single" w:color="auto" w:sz="4" w:space="0"/>
              <w:right w:val="single" w:color="auto" w:sz="4" w:space="0"/>
            </w:tcBorders>
          </w:tcPr>
          <w:p>
            <w:pPr>
              <w:snapToGrid w:val="0"/>
              <w:spacing w:before="50" w:after="156" w:afterLines="50" w:line="360" w:lineRule="auto"/>
              <w:jc w:val="left"/>
              <w:rPr>
                <w:rFonts w:ascii="仿宋" w:hAnsi="仿宋" w:eastAsia="仿宋" w:cs="仿宋"/>
                <w:color w:val="auto"/>
                <w:sz w:val="24"/>
                <w:szCs w:val="24"/>
              </w:rPr>
            </w:pPr>
          </w:p>
        </w:tc>
        <w:tc>
          <w:tcPr>
            <w:tcW w:w="2025" w:type="dxa"/>
            <w:tcBorders>
              <w:top w:val="single" w:color="auto" w:sz="4" w:space="0"/>
              <w:left w:val="single" w:color="auto" w:sz="4" w:space="0"/>
              <w:bottom w:val="single" w:color="auto" w:sz="4" w:space="0"/>
            </w:tcBorders>
          </w:tcPr>
          <w:p>
            <w:pPr>
              <w:snapToGrid w:val="0"/>
              <w:spacing w:before="50" w:after="156" w:afterLines="50" w:line="360" w:lineRule="auto"/>
              <w:jc w:val="left"/>
              <w:rPr>
                <w:rFonts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68" w:type="dxa"/>
            <w:tcBorders>
              <w:top w:val="single" w:color="auto" w:sz="4" w:space="0"/>
              <w:bottom w:val="single" w:color="auto" w:sz="4" w:space="0"/>
              <w:right w:val="single" w:color="auto" w:sz="4" w:space="0"/>
            </w:tcBorders>
          </w:tcPr>
          <w:p>
            <w:pPr>
              <w:snapToGrid w:val="0"/>
              <w:spacing w:before="50" w:after="156" w:afterLines="50" w:line="360" w:lineRule="auto"/>
              <w:jc w:val="left"/>
              <w:rPr>
                <w:rFonts w:ascii="仿宋" w:hAnsi="仿宋" w:eastAsia="仿宋" w:cs="仿宋"/>
                <w:color w:val="auto"/>
                <w:sz w:val="24"/>
                <w:szCs w:val="24"/>
              </w:rPr>
            </w:pPr>
          </w:p>
        </w:tc>
        <w:tc>
          <w:tcPr>
            <w:tcW w:w="1332" w:type="dxa"/>
            <w:tcBorders>
              <w:top w:val="single" w:color="auto" w:sz="4" w:space="0"/>
              <w:left w:val="single" w:color="auto" w:sz="4" w:space="0"/>
              <w:bottom w:val="single" w:color="auto" w:sz="4" w:space="0"/>
              <w:right w:val="single" w:color="auto" w:sz="4" w:space="0"/>
            </w:tcBorders>
          </w:tcPr>
          <w:p>
            <w:pPr>
              <w:snapToGrid w:val="0"/>
              <w:spacing w:before="50" w:after="156" w:afterLines="50" w:line="360" w:lineRule="auto"/>
              <w:jc w:val="left"/>
              <w:rPr>
                <w:rFonts w:ascii="仿宋" w:hAnsi="仿宋" w:eastAsia="仿宋" w:cs="仿宋"/>
                <w:color w:val="auto"/>
                <w:sz w:val="24"/>
                <w:szCs w:val="24"/>
              </w:rPr>
            </w:pPr>
          </w:p>
        </w:tc>
        <w:tc>
          <w:tcPr>
            <w:tcW w:w="900" w:type="dxa"/>
            <w:tcBorders>
              <w:top w:val="single" w:color="auto" w:sz="4" w:space="0"/>
              <w:left w:val="single" w:color="auto" w:sz="4" w:space="0"/>
              <w:bottom w:val="single" w:color="auto" w:sz="4" w:space="0"/>
              <w:right w:val="single" w:color="auto" w:sz="4" w:space="0"/>
            </w:tcBorders>
          </w:tcPr>
          <w:p>
            <w:pPr>
              <w:snapToGrid w:val="0"/>
              <w:spacing w:before="50" w:after="156" w:afterLines="50" w:line="360" w:lineRule="auto"/>
              <w:jc w:val="left"/>
              <w:rPr>
                <w:rFonts w:ascii="仿宋" w:hAnsi="仿宋" w:eastAsia="仿宋" w:cs="仿宋"/>
                <w:color w:val="auto"/>
                <w:sz w:val="24"/>
                <w:szCs w:val="24"/>
              </w:rPr>
            </w:pPr>
          </w:p>
        </w:tc>
        <w:tc>
          <w:tcPr>
            <w:tcW w:w="900" w:type="dxa"/>
            <w:tcBorders>
              <w:top w:val="single" w:color="auto" w:sz="4" w:space="0"/>
              <w:left w:val="single" w:color="auto" w:sz="4" w:space="0"/>
              <w:bottom w:val="single" w:color="auto" w:sz="4" w:space="0"/>
              <w:right w:val="single" w:color="auto" w:sz="4" w:space="0"/>
            </w:tcBorders>
          </w:tcPr>
          <w:p>
            <w:pPr>
              <w:snapToGrid w:val="0"/>
              <w:spacing w:before="50" w:after="156" w:afterLines="50" w:line="360" w:lineRule="auto"/>
              <w:jc w:val="left"/>
              <w:rPr>
                <w:rFonts w:ascii="仿宋" w:hAnsi="仿宋" w:eastAsia="仿宋" w:cs="仿宋"/>
                <w:color w:val="auto"/>
                <w:sz w:val="24"/>
                <w:szCs w:val="24"/>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50" w:after="156" w:afterLines="50" w:line="360" w:lineRule="auto"/>
              <w:jc w:val="left"/>
              <w:rPr>
                <w:rFonts w:ascii="仿宋" w:hAnsi="仿宋" w:eastAsia="仿宋" w:cs="仿宋"/>
                <w:color w:val="auto"/>
                <w:sz w:val="24"/>
                <w:szCs w:val="24"/>
              </w:rPr>
            </w:pPr>
          </w:p>
        </w:tc>
        <w:tc>
          <w:tcPr>
            <w:tcW w:w="1242" w:type="dxa"/>
            <w:tcBorders>
              <w:top w:val="single" w:color="auto" w:sz="4" w:space="0"/>
              <w:left w:val="single" w:color="auto" w:sz="4" w:space="0"/>
              <w:bottom w:val="single" w:color="auto" w:sz="4" w:space="0"/>
              <w:right w:val="single" w:color="auto" w:sz="4" w:space="0"/>
            </w:tcBorders>
          </w:tcPr>
          <w:p>
            <w:pPr>
              <w:snapToGrid w:val="0"/>
              <w:spacing w:before="50" w:after="156" w:afterLines="50" w:line="360" w:lineRule="auto"/>
              <w:jc w:val="left"/>
              <w:rPr>
                <w:rFonts w:ascii="仿宋" w:hAnsi="仿宋" w:eastAsia="仿宋" w:cs="仿宋"/>
                <w:color w:val="auto"/>
                <w:sz w:val="24"/>
                <w:szCs w:val="24"/>
              </w:rPr>
            </w:pPr>
          </w:p>
        </w:tc>
        <w:tc>
          <w:tcPr>
            <w:tcW w:w="2025" w:type="dxa"/>
            <w:tcBorders>
              <w:top w:val="single" w:color="auto" w:sz="4" w:space="0"/>
              <w:left w:val="single" w:color="auto" w:sz="4" w:space="0"/>
              <w:bottom w:val="single" w:color="auto" w:sz="4" w:space="0"/>
            </w:tcBorders>
          </w:tcPr>
          <w:p>
            <w:pPr>
              <w:snapToGrid w:val="0"/>
              <w:spacing w:before="50" w:after="156" w:afterLines="50" w:line="360" w:lineRule="auto"/>
              <w:jc w:val="left"/>
              <w:rPr>
                <w:rFonts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68" w:type="dxa"/>
            <w:tcBorders>
              <w:top w:val="single" w:color="auto" w:sz="4" w:space="0"/>
              <w:bottom w:val="single" w:color="auto" w:sz="4" w:space="0"/>
              <w:right w:val="single" w:color="auto" w:sz="4" w:space="0"/>
            </w:tcBorders>
          </w:tcPr>
          <w:p>
            <w:pPr>
              <w:snapToGrid w:val="0"/>
              <w:spacing w:before="50" w:after="156" w:afterLines="50" w:line="360" w:lineRule="auto"/>
              <w:jc w:val="left"/>
              <w:rPr>
                <w:rFonts w:ascii="仿宋" w:hAnsi="仿宋" w:eastAsia="仿宋" w:cs="仿宋"/>
                <w:color w:val="auto"/>
                <w:sz w:val="24"/>
                <w:szCs w:val="24"/>
              </w:rPr>
            </w:pPr>
          </w:p>
        </w:tc>
        <w:tc>
          <w:tcPr>
            <w:tcW w:w="1332" w:type="dxa"/>
            <w:tcBorders>
              <w:top w:val="single" w:color="auto" w:sz="4" w:space="0"/>
              <w:left w:val="single" w:color="auto" w:sz="4" w:space="0"/>
              <w:bottom w:val="single" w:color="auto" w:sz="4" w:space="0"/>
              <w:right w:val="single" w:color="auto" w:sz="4" w:space="0"/>
            </w:tcBorders>
          </w:tcPr>
          <w:p>
            <w:pPr>
              <w:snapToGrid w:val="0"/>
              <w:spacing w:before="50" w:after="156" w:afterLines="50" w:line="360" w:lineRule="auto"/>
              <w:jc w:val="left"/>
              <w:rPr>
                <w:rFonts w:ascii="仿宋" w:hAnsi="仿宋" w:eastAsia="仿宋" w:cs="仿宋"/>
                <w:color w:val="auto"/>
                <w:sz w:val="24"/>
                <w:szCs w:val="24"/>
              </w:rPr>
            </w:pPr>
          </w:p>
        </w:tc>
        <w:tc>
          <w:tcPr>
            <w:tcW w:w="900" w:type="dxa"/>
            <w:tcBorders>
              <w:top w:val="single" w:color="auto" w:sz="4" w:space="0"/>
              <w:left w:val="single" w:color="auto" w:sz="4" w:space="0"/>
              <w:bottom w:val="single" w:color="auto" w:sz="4" w:space="0"/>
              <w:right w:val="single" w:color="auto" w:sz="4" w:space="0"/>
            </w:tcBorders>
          </w:tcPr>
          <w:p>
            <w:pPr>
              <w:snapToGrid w:val="0"/>
              <w:spacing w:before="50" w:after="156" w:afterLines="50" w:line="360" w:lineRule="auto"/>
              <w:jc w:val="left"/>
              <w:rPr>
                <w:rFonts w:ascii="仿宋" w:hAnsi="仿宋" w:eastAsia="仿宋" w:cs="仿宋"/>
                <w:color w:val="auto"/>
                <w:sz w:val="24"/>
                <w:szCs w:val="24"/>
              </w:rPr>
            </w:pPr>
          </w:p>
        </w:tc>
        <w:tc>
          <w:tcPr>
            <w:tcW w:w="900" w:type="dxa"/>
            <w:tcBorders>
              <w:top w:val="single" w:color="auto" w:sz="4" w:space="0"/>
              <w:left w:val="single" w:color="auto" w:sz="4" w:space="0"/>
              <w:bottom w:val="single" w:color="auto" w:sz="4" w:space="0"/>
              <w:right w:val="single" w:color="auto" w:sz="4" w:space="0"/>
            </w:tcBorders>
          </w:tcPr>
          <w:p>
            <w:pPr>
              <w:snapToGrid w:val="0"/>
              <w:spacing w:before="50" w:after="156" w:afterLines="50" w:line="360" w:lineRule="auto"/>
              <w:jc w:val="left"/>
              <w:rPr>
                <w:rFonts w:ascii="仿宋" w:hAnsi="仿宋" w:eastAsia="仿宋" w:cs="仿宋"/>
                <w:color w:val="auto"/>
                <w:sz w:val="24"/>
                <w:szCs w:val="24"/>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50" w:after="156" w:afterLines="50" w:line="360" w:lineRule="auto"/>
              <w:jc w:val="left"/>
              <w:rPr>
                <w:rFonts w:ascii="仿宋" w:hAnsi="仿宋" w:eastAsia="仿宋" w:cs="仿宋"/>
                <w:color w:val="auto"/>
                <w:sz w:val="24"/>
                <w:szCs w:val="24"/>
              </w:rPr>
            </w:pPr>
          </w:p>
        </w:tc>
        <w:tc>
          <w:tcPr>
            <w:tcW w:w="1242" w:type="dxa"/>
            <w:tcBorders>
              <w:top w:val="single" w:color="auto" w:sz="4" w:space="0"/>
              <w:left w:val="single" w:color="auto" w:sz="4" w:space="0"/>
              <w:bottom w:val="single" w:color="auto" w:sz="4" w:space="0"/>
              <w:right w:val="single" w:color="auto" w:sz="4" w:space="0"/>
            </w:tcBorders>
          </w:tcPr>
          <w:p>
            <w:pPr>
              <w:snapToGrid w:val="0"/>
              <w:spacing w:before="50" w:after="156" w:afterLines="50" w:line="360" w:lineRule="auto"/>
              <w:jc w:val="left"/>
              <w:rPr>
                <w:rFonts w:ascii="仿宋" w:hAnsi="仿宋" w:eastAsia="仿宋" w:cs="仿宋"/>
                <w:color w:val="auto"/>
                <w:sz w:val="24"/>
                <w:szCs w:val="24"/>
              </w:rPr>
            </w:pPr>
          </w:p>
        </w:tc>
        <w:tc>
          <w:tcPr>
            <w:tcW w:w="2025" w:type="dxa"/>
            <w:tcBorders>
              <w:top w:val="single" w:color="auto" w:sz="4" w:space="0"/>
              <w:left w:val="single" w:color="auto" w:sz="4" w:space="0"/>
              <w:bottom w:val="single" w:color="auto" w:sz="4" w:space="0"/>
            </w:tcBorders>
          </w:tcPr>
          <w:p>
            <w:pPr>
              <w:snapToGrid w:val="0"/>
              <w:spacing w:before="50" w:after="156" w:afterLines="50" w:line="360" w:lineRule="auto"/>
              <w:jc w:val="left"/>
              <w:rPr>
                <w:rFonts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5" w:hRule="atLeast"/>
          <w:jc w:val="center"/>
        </w:trPr>
        <w:tc>
          <w:tcPr>
            <w:tcW w:w="1368" w:type="dxa"/>
            <w:tcBorders>
              <w:top w:val="single" w:color="auto" w:sz="4" w:space="0"/>
              <w:bottom w:val="single" w:color="auto" w:sz="4" w:space="0"/>
              <w:right w:val="single" w:color="auto" w:sz="4" w:space="0"/>
            </w:tcBorders>
            <w:vAlign w:val="center"/>
          </w:tcPr>
          <w:p>
            <w:pPr>
              <w:snapToGrid w:val="0"/>
              <w:spacing w:before="50" w:after="156" w:afterLines="50"/>
              <w:rPr>
                <w:rFonts w:ascii="仿宋" w:hAnsi="仿宋" w:eastAsia="仿宋" w:cs="仿宋"/>
                <w:color w:val="auto"/>
                <w:sz w:val="24"/>
                <w:szCs w:val="24"/>
              </w:rPr>
            </w:pPr>
            <w:r>
              <w:rPr>
                <w:rFonts w:hint="eastAsia" w:ascii="仿宋" w:hAnsi="仿宋" w:eastAsia="仿宋" w:cs="仿宋"/>
                <w:color w:val="auto"/>
                <w:sz w:val="24"/>
                <w:szCs w:val="24"/>
              </w:rPr>
              <w:t>备注</w:t>
            </w:r>
          </w:p>
        </w:tc>
        <w:tc>
          <w:tcPr>
            <w:tcW w:w="7839" w:type="dxa"/>
            <w:gridSpan w:val="6"/>
            <w:tcBorders>
              <w:top w:val="single" w:color="auto" w:sz="4" w:space="0"/>
              <w:left w:val="single" w:color="auto" w:sz="4" w:space="0"/>
              <w:bottom w:val="single" w:color="auto" w:sz="4" w:space="0"/>
            </w:tcBorders>
            <w:vAlign w:val="center"/>
          </w:tcPr>
          <w:p>
            <w:pPr>
              <w:snapToGrid w:val="0"/>
              <w:spacing w:before="50" w:after="156" w:afterLines="50"/>
              <w:rPr>
                <w:rFonts w:ascii="仿宋" w:hAnsi="仿宋" w:eastAsia="仿宋" w:cs="仿宋"/>
                <w:color w:val="auto"/>
                <w:sz w:val="24"/>
                <w:szCs w:val="24"/>
              </w:rPr>
            </w:pPr>
            <w:r>
              <w:rPr>
                <w:rFonts w:hint="eastAsia" w:ascii="仿宋" w:hAnsi="仿宋" w:eastAsia="仿宋" w:cs="仿宋"/>
                <w:color w:val="auto"/>
                <w:sz w:val="24"/>
                <w:szCs w:val="24"/>
              </w:rPr>
              <w:t>须提供投标人同类项目合同复印件。</w:t>
            </w:r>
          </w:p>
        </w:tc>
      </w:tr>
    </w:tbl>
    <w:p>
      <w:pPr>
        <w:widowControl/>
        <w:snapToGrid w:val="0"/>
        <w:spacing w:line="480" w:lineRule="exact"/>
        <w:jc w:val="center"/>
        <w:rPr>
          <w:rFonts w:ascii="仿宋" w:hAnsi="仿宋" w:eastAsia="仿宋" w:cs="仿宋"/>
          <w:color w:val="auto"/>
          <w:kern w:val="0"/>
          <w:sz w:val="28"/>
          <w:szCs w:val="28"/>
        </w:rPr>
      </w:pPr>
    </w:p>
    <w:p>
      <w:pPr>
        <w:autoSpaceDE w:val="0"/>
        <w:adjustRightInd w:val="0"/>
        <w:snapToGrid w:val="0"/>
        <w:ind w:firstLine="3735" w:firstLineChars="1550"/>
        <w:rPr>
          <w:rFonts w:ascii="仿宋" w:hAnsi="仿宋" w:eastAsia="仿宋" w:cs="仿宋"/>
          <w:b/>
          <w:bCs/>
          <w:color w:val="auto"/>
          <w:kern w:val="0"/>
          <w:sz w:val="24"/>
        </w:rPr>
      </w:pPr>
    </w:p>
    <w:p>
      <w:pPr>
        <w:widowControl/>
        <w:snapToGrid w:val="0"/>
        <w:spacing w:line="480" w:lineRule="exact"/>
        <w:ind w:firstLine="218" w:firstLineChars="78"/>
        <w:rPr>
          <w:rFonts w:ascii="仿宋" w:hAnsi="仿宋" w:eastAsia="仿宋" w:cs="仿宋"/>
          <w:color w:val="auto"/>
          <w:kern w:val="0"/>
          <w:sz w:val="28"/>
          <w:szCs w:val="28"/>
        </w:rPr>
      </w:pPr>
      <w:r>
        <w:rPr>
          <w:rFonts w:hint="eastAsia" w:ascii="仿宋" w:hAnsi="仿宋" w:eastAsia="仿宋" w:cs="仿宋"/>
          <w:color w:val="auto"/>
          <w:kern w:val="0"/>
          <w:sz w:val="28"/>
          <w:szCs w:val="28"/>
        </w:rPr>
        <w:t>全权代表</w:t>
      </w:r>
      <w:r>
        <w:rPr>
          <w:rFonts w:ascii="仿宋" w:hAnsi="仿宋" w:eastAsia="仿宋" w:cs="仿宋"/>
          <w:color w:val="auto"/>
          <w:kern w:val="0"/>
          <w:sz w:val="28"/>
          <w:szCs w:val="28"/>
        </w:rPr>
        <w:t>(</w:t>
      </w:r>
      <w:r>
        <w:rPr>
          <w:rFonts w:hint="eastAsia" w:ascii="仿宋" w:hAnsi="仿宋" w:eastAsia="仿宋" w:cs="仿宋"/>
          <w:color w:val="auto"/>
          <w:kern w:val="0"/>
          <w:sz w:val="28"/>
          <w:szCs w:val="28"/>
        </w:rPr>
        <w:t>签字</w:t>
      </w:r>
      <w:r>
        <w:rPr>
          <w:rFonts w:ascii="仿宋" w:hAnsi="仿宋" w:eastAsia="仿宋" w:cs="仿宋"/>
          <w:color w:val="auto"/>
          <w:kern w:val="0"/>
          <w:sz w:val="28"/>
          <w:szCs w:val="28"/>
        </w:rPr>
        <w:t>)</w:t>
      </w:r>
      <w:r>
        <w:rPr>
          <w:rFonts w:hint="eastAsia" w:ascii="仿宋" w:hAnsi="仿宋" w:eastAsia="仿宋" w:cs="仿宋"/>
          <w:color w:val="auto"/>
          <w:kern w:val="0"/>
          <w:sz w:val="28"/>
          <w:szCs w:val="28"/>
        </w:rPr>
        <w:t>：</w:t>
      </w:r>
    </w:p>
    <w:p>
      <w:pPr>
        <w:widowControl/>
        <w:snapToGrid w:val="0"/>
        <w:spacing w:line="480" w:lineRule="exact"/>
        <w:ind w:firstLine="218" w:firstLineChars="78"/>
        <w:rPr>
          <w:rFonts w:ascii="仿宋" w:hAnsi="仿宋" w:eastAsia="仿宋" w:cs="仿宋"/>
          <w:color w:val="auto"/>
          <w:kern w:val="0"/>
          <w:sz w:val="28"/>
          <w:szCs w:val="28"/>
        </w:rPr>
      </w:pPr>
      <w:r>
        <w:rPr>
          <w:rFonts w:hint="eastAsia" w:ascii="仿宋" w:hAnsi="仿宋" w:eastAsia="仿宋" w:cs="仿宋"/>
          <w:color w:val="auto"/>
          <w:kern w:val="0"/>
          <w:sz w:val="28"/>
          <w:szCs w:val="28"/>
        </w:rPr>
        <w:t>投标供应商</w:t>
      </w:r>
      <w:r>
        <w:rPr>
          <w:rFonts w:ascii="仿宋" w:hAnsi="仿宋" w:eastAsia="仿宋" w:cs="仿宋"/>
          <w:color w:val="auto"/>
          <w:kern w:val="0"/>
          <w:sz w:val="28"/>
          <w:szCs w:val="28"/>
        </w:rPr>
        <w:t>(</w:t>
      </w:r>
      <w:r>
        <w:rPr>
          <w:rFonts w:hint="eastAsia" w:ascii="仿宋" w:hAnsi="仿宋" w:eastAsia="仿宋" w:cs="仿宋"/>
          <w:color w:val="auto"/>
          <w:kern w:val="0"/>
          <w:sz w:val="28"/>
          <w:szCs w:val="28"/>
        </w:rPr>
        <w:t>盖章</w:t>
      </w:r>
      <w:r>
        <w:rPr>
          <w:rFonts w:ascii="仿宋" w:hAnsi="仿宋" w:eastAsia="仿宋" w:cs="仿宋"/>
          <w:color w:val="auto"/>
          <w:kern w:val="0"/>
          <w:sz w:val="28"/>
          <w:szCs w:val="28"/>
        </w:rPr>
        <w:t>)</w:t>
      </w:r>
      <w:r>
        <w:rPr>
          <w:rFonts w:hint="eastAsia" w:ascii="仿宋" w:hAnsi="仿宋" w:eastAsia="仿宋" w:cs="仿宋"/>
          <w:color w:val="auto"/>
          <w:kern w:val="0"/>
          <w:sz w:val="28"/>
          <w:szCs w:val="28"/>
        </w:rPr>
        <w:t>：</w:t>
      </w:r>
    </w:p>
    <w:p>
      <w:pPr>
        <w:autoSpaceDE w:val="0"/>
        <w:adjustRightInd w:val="0"/>
        <w:snapToGrid w:val="0"/>
        <w:ind w:firstLine="218" w:firstLineChars="78"/>
        <w:rPr>
          <w:rFonts w:ascii="仿宋" w:hAnsi="仿宋" w:eastAsia="仿宋" w:cs="仿宋"/>
          <w:b/>
          <w:bCs/>
          <w:color w:val="auto"/>
          <w:kern w:val="0"/>
          <w:sz w:val="24"/>
        </w:rPr>
      </w:pPr>
      <w:r>
        <w:rPr>
          <w:rFonts w:hint="eastAsia" w:ascii="仿宋" w:hAnsi="仿宋" w:eastAsia="仿宋" w:cs="仿宋"/>
          <w:color w:val="auto"/>
          <w:kern w:val="0"/>
          <w:sz w:val="28"/>
          <w:szCs w:val="28"/>
        </w:rPr>
        <w:t>日期：</w:t>
      </w:r>
      <w:r>
        <w:rPr>
          <w:rFonts w:ascii="仿宋" w:hAnsi="仿宋" w:eastAsia="仿宋" w:cs="仿宋"/>
          <w:color w:val="auto"/>
          <w:kern w:val="0"/>
          <w:sz w:val="28"/>
          <w:szCs w:val="28"/>
        </w:rPr>
        <w:t>2021</w:t>
      </w:r>
      <w:r>
        <w:rPr>
          <w:rFonts w:hint="eastAsia" w:ascii="仿宋" w:hAnsi="仿宋" w:eastAsia="仿宋" w:cs="仿宋"/>
          <w:color w:val="auto"/>
          <w:kern w:val="0"/>
          <w:sz w:val="28"/>
          <w:szCs w:val="28"/>
        </w:rPr>
        <w:t>年</w:t>
      </w:r>
      <w:r>
        <w:rPr>
          <w:rFonts w:ascii="仿宋" w:hAnsi="仿宋" w:eastAsia="仿宋" w:cs="仿宋"/>
          <w:color w:val="auto"/>
          <w:kern w:val="0"/>
          <w:sz w:val="28"/>
          <w:szCs w:val="28"/>
        </w:rPr>
        <w:t xml:space="preserve"> </w:t>
      </w:r>
      <w:r>
        <w:rPr>
          <w:rFonts w:hint="eastAsia" w:ascii="仿宋" w:hAnsi="仿宋" w:eastAsia="仿宋" w:cs="仿宋"/>
          <w:color w:val="auto"/>
          <w:kern w:val="0"/>
          <w:sz w:val="28"/>
          <w:szCs w:val="28"/>
        </w:rPr>
        <w:t>月</w:t>
      </w:r>
      <w:r>
        <w:rPr>
          <w:rFonts w:ascii="仿宋" w:hAnsi="仿宋" w:eastAsia="仿宋" w:cs="仿宋"/>
          <w:color w:val="auto"/>
          <w:kern w:val="0"/>
          <w:sz w:val="28"/>
          <w:szCs w:val="28"/>
        </w:rPr>
        <w:t xml:space="preserve">  </w:t>
      </w:r>
      <w:r>
        <w:rPr>
          <w:rFonts w:hint="eastAsia" w:ascii="仿宋" w:hAnsi="仿宋" w:eastAsia="仿宋" w:cs="仿宋"/>
          <w:color w:val="auto"/>
          <w:kern w:val="0"/>
          <w:sz w:val="28"/>
          <w:szCs w:val="28"/>
        </w:rPr>
        <w:t>日</w:t>
      </w:r>
    </w:p>
    <w:p>
      <w:pPr>
        <w:spacing w:line="480" w:lineRule="auto"/>
        <w:jc w:val="left"/>
        <w:rPr>
          <w:rStyle w:val="97"/>
          <w:rFonts w:ascii="仿宋" w:hAnsi="仿宋" w:eastAsia="仿宋" w:cs="仿宋"/>
          <w:color w:val="auto"/>
          <w:sz w:val="30"/>
          <w:szCs w:val="30"/>
        </w:rPr>
      </w:pPr>
    </w:p>
    <w:p>
      <w:pPr>
        <w:spacing w:line="480" w:lineRule="auto"/>
        <w:jc w:val="left"/>
        <w:rPr>
          <w:rStyle w:val="97"/>
          <w:rFonts w:ascii="仿宋" w:hAnsi="仿宋" w:eastAsia="仿宋" w:cs="仿宋"/>
          <w:color w:val="auto"/>
          <w:sz w:val="30"/>
          <w:szCs w:val="30"/>
        </w:rPr>
      </w:pPr>
    </w:p>
    <w:p>
      <w:pPr>
        <w:spacing w:line="480" w:lineRule="auto"/>
        <w:jc w:val="left"/>
        <w:rPr>
          <w:rStyle w:val="97"/>
          <w:rFonts w:ascii="仿宋" w:hAnsi="仿宋" w:eastAsia="仿宋" w:cs="仿宋"/>
          <w:color w:val="auto"/>
          <w:sz w:val="30"/>
          <w:szCs w:val="30"/>
        </w:rPr>
      </w:pPr>
    </w:p>
    <w:p>
      <w:pPr>
        <w:pStyle w:val="3"/>
        <w:ind w:left="0" w:leftChars="0" w:firstLine="0" w:firstLineChars="0"/>
        <w:rPr>
          <w:rFonts w:hint="default"/>
          <w:lang w:val="en-US"/>
        </w:rPr>
      </w:pPr>
    </w:p>
    <w:p>
      <w:pPr>
        <w:rPr>
          <w:rStyle w:val="97"/>
          <w:rFonts w:ascii="仿宋" w:hAnsi="仿宋" w:eastAsia="仿宋" w:cs="仿宋"/>
          <w:color w:val="auto"/>
          <w:sz w:val="30"/>
          <w:szCs w:val="30"/>
        </w:rPr>
      </w:pPr>
      <w:r>
        <w:rPr>
          <w:rStyle w:val="97"/>
          <w:rFonts w:hint="eastAsia" w:ascii="仿宋" w:hAnsi="仿宋" w:eastAsia="仿宋" w:cs="仿宋"/>
          <w:color w:val="auto"/>
          <w:sz w:val="30"/>
          <w:szCs w:val="30"/>
        </w:rPr>
        <w:t>附件十二（</w:t>
      </w:r>
      <w:r>
        <w:rPr>
          <w:rStyle w:val="97"/>
          <w:rFonts w:ascii="仿宋" w:hAnsi="仿宋" w:eastAsia="仿宋" w:cs="仿宋"/>
          <w:color w:val="auto"/>
          <w:sz w:val="30"/>
          <w:szCs w:val="30"/>
        </w:rPr>
        <w:t>1</w:t>
      </w:r>
      <w:r>
        <w:rPr>
          <w:rStyle w:val="97"/>
          <w:rFonts w:hint="eastAsia" w:ascii="仿宋" w:hAnsi="仿宋" w:eastAsia="仿宋" w:cs="仿宋"/>
          <w:color w:val="auto"/>
          <w:sz w:val="30"/>
          <w:szCs w:val="30"/>
        </w:rPr>
        <w:t>）投标文件封面格式</w:t>
      </w:r>
    </w:p>
    <w:p>
      <w:pPr>
        <w:rPr>
          <w:rFonts w:ascii="仿宋" w:hAnsi="仿宋" w:eastAsia="仿宋" w:cs="仿宋"/>
          <w:color w:val="auto"/>
          <w:sz w:val="32"/>
          <w:szCs w:val="32"/>
        </w:rPr>
      </w:pPr>
      <w:r>
        <w:rPr>
          <w:rFonts w:hint="eastAsia" w:ascii="仿宋" w:hAnsi="仿宋" w:eastAsia="仿宋" w:cs="仿宋"/>
          <w:b/>
          <w:color w:val="auto"/>
          <w:sz w:val="32"/>
          <w:szCs w:val="32"/>
        </w:rPr>
        <w:t>正（副）本</w:t>
      </w:r>
    </w:p>
    <w:p>
      <w:pPr>
        <w:spacing w:line="360" w:lineRule="auto"/>
        <w:jc w:val="center"/>
        <w:rPr>
          <w:rFonts w:ascii="仿宋" w:hAnsi="仿宋" w:eastAsia="仿宋" w:cs="仿宋"/>
          <w:b/>
          <w:color w:val="auto"/>
          <w:spacing w:val="-20"/>
          <w:sz w:val="52"/>
          <w:szCs w:val="52"/>
        </w:rPr>
      </w:pPr>
    </w:p>
    <w:p>
      <w:pPr>
        <w:spacing w:line="360" w:lineRule="auto"/>
        <w:jc w:val="center"/>
        <w:rPr>
          <w:rFonts w:hint="eastAsia" w:ascii="仿宋" w:hAnsi="仿宋" w:eastAsia="仿宋" w:cs="仿宋"/>
          <w:b/>
          <w:color w:val="auto"/>
          <w:spacing w:val="-20"/>
          <w:sz w:val="52"/>
          <w:szCs w:val="52"/>
          <w:lang w:eastAsia="zh-CN"/>
        </w:rPr>
      </w:pPr>
      <w:r>
        <w:rPr>
          <w:rFonts w:hint="eastAsia" w:ascii="仿宋" w:hAnsi="仿宋" w:eastAsia="仿宋" w:cs="仿宋"/>
          <w:b/>
          <w:color w:val="auto"/>
          <w:spacing w:val="-20"/>
          <w:sz w:val="52"/>
          <w:szCs w:val="52"/>
          <w:lang w:eastAsia="zh-CN"/>
        </w:rPr>
        <w:t>建德市“安心返”系统及“17防”平台项目</w:t>
      </w:r>
    </w:p>
    <w:p>
      <w:pPr>
        <w:spacing w:line="360" w:lineRule="auto"/>
        <w:jc w:val="center"/>
        <w:rPr>
          <w:rFonts w:ascii="仿宋" w:hAnsi="仿宋" w:eastAsia="仿宋" w:cs="仿宋"/>
          <w:color w:val="auto"/>
          <w:sz w:val="32"/>
          <w:szCs w:val="32"/>
        </w:rPr>
      </w:pPr>
    </w:p>
    <w:p>
      <w:pPr>
        <w:spacing w:line="360" w:lineRule="auto"/>
        <w:jc w:val="center"/>
        <w:rPr>
          <w:rFonts w:ascii="仿宋" w:hAnsi="仿宋" w:eastAsia="仿宋" w:cs="仿宋"/>
          <w:color w:val="auto"/>
          <w:sz w:val="32"/>
          <w:szCs w:val="32"/>
        </w:rPr>
      </w:pPr>
      <w:r>
        <w:rPr>
          <w:rFonts w:hint="eastAsia" w:ascii="仿宋" w:hAnsi="仿宋" w:eastAsia="仿宋" w:cs="仿宋"/>
          <w:color w:val="auto"/>
          <w:sz w:val="32"/>
          <w:szCs w:val="32"/>
        </w:rPr>
        <w:t>招标编号：</w:t>
      </w:r>
      <w:r>
        <w:rPr>
          <w:rFonts w:hint="eastAsia" w:ascii="仿宋" w:hAnsi="仿宋" w:eastAsia="仿宋" w:cs="仿宋"/>
          <w:color w:val="auto"/>
          <w:sz w:val="32"/>
          <w:szCs w:val="32"/>
          <w:lang w:eastAsia="zh-CN"/>
        </w:rPr>
        <w:t>JDOBCG2021B-45</w:t>
      </w:r>
      <w:r>
        <w:rPr>
          <w:rFonts w:hint="eastAsia" w:ascii="仿宋" w:hAnsi="仿宋" w:eastAsia="仿宋" w:cs="仿宋"/>
          <w:color w:val="auto"/>
          <w:sz w:val="32"/>
          <w:szCs w:val="32"/>
        </w:rPr>
        <w:t xml:space="preserve">  </w:t>
      </w:r>
      <w:r>
        <w:rPr>
          <w:rFonts w:ascii="仿宋" w:hAnsi="仿宋" w:eastAsia="仿宋" w:cs="仿宋"/>
          <w:color w:val="auto"/>
          <w:sz w:val="32"/>
          <w:szCs w:val="32"/>
        </w:rPr>
        <w:t xml:space="preserve"> </w:t>
      </w:r>
    </w:p>
    <w:p>
      <w:pPr>
        <w:jc w:val="center"/>
        <w:rPr>
          <w:rFonts w:ascii="仿宋" w:hAnsi="仿宋" w:eastAsia="仿宋" w:cs="仿宋"/>
          <w:color w:val="auto"/>
          <w:sz w:val="32"/>
        </w:rPr>
      </w:pPr>
    </w:p>
    <w:p>
      <w:pPr>
        <w:jc w:val="center"/>
        <w:rPr>
          <w:rFonts w:ascii="仿宋" w:hAnsi="仿宋" w:eastAsia="仿宋" w:cs="仿宋"/>
          <w:b/>
          <w:color w:val="auto"/>
          <w:sz w:val="36"/>
          <w:szCs w:val="36"/>
        </w:rPr>
      </w:pPr>
      <w:r>
        <w:rPr>
          <w:rFonts w:hint="eastAsia" w:ascii="仿宋" w:hAnsi="仿宋" w:eastAsia="仿宋" w:cs="仿宋"/>
          <w:b/>
          <w:color w:val="auto"/>
          <w:sz w:val="36"/>
          <w:szCs w:val="36"/>
        </w:rPr>
        <w:t>（资格审查文件或技术文件或商务资信文件或报价文件）</w:t>
      </w:r>
    </w:p>
    <w:p>
      <w:pPr>
        <w:spacing w:line="1000" w:lineRule="exact"/>
        <w:rPr>
          <w:rFonts w:ascii="仿宋" w:hAnsi="仿宋" w:eastAsia="仿宋" w:cs="仿宋"/>
          <w:color w:val="auto"/>
          <w:sz w:val="24"/>
          <w:szCs w:val="24"/>
        </w:rPr>
      </w:pPr>
    </w:p>
    <w:p>
      <w:pPr>
        <w:spacing w:line="1000" w:lineRule="exact"/>
        <w:jc w:val="center"/>
        <w:rPr>
          <w:rFonts w:ascii="仿宋" w:hAnsi="仿宋" w:eastAsia="仿宋" w:cs="仿宋"/>
          <w:color w:val="auto"/>
          <w:sz w:val="72"/>
          <w:szCs w:val="72"/>
        </w:rPr>
      </w:pPr>
      <w:r>
        <w:rPr>
          <w:rFonts w:hint="eastAsia" w:ascii="仿宋" w:hAnsi="仿宋" w:eastAsia="仿宋" w:cs="仿宋"/>
          <w:color w:val="auto"/>
          <w:sz w:val="72"/>
          <w:szCs w:val="72"/>
        </w:rPr>
        <w:t>投</w:t>
      </w:r>
    </w:p>
    <w:p>
      <w:pPr>
        <w:spacing w:line="1000" w:lineRule="exact"/>
        <w:jc w:val="center"/>
        <w:rPr>
          <w:rFonts w:ascii="仿宋" w:hAnsi="仿宋" w:eastAsia="仿宋" w:cs="仿宋"/>
          <w:color w:val="auto"/>
          <w:sz w:val="72"/>
          <w:szCs w:val="72"/>
        </w:rPr>
      </w:pPr>
      <w:r>
        <w:rPr>
          <w:rFonts w:hint="eastAsia" w:ascii="仿宋" w:hAnsi="仿宋" w:eastAsia="仿宋" w:cs="仿宋"/>
          <w:color w:val="auto"/>
          <w:sz w:val="72"/>
          <w:szCs w:val="72"/>
        </w:rPr>
        <w:t>标</w:t>
      </w:r>
    </w:p>
    <w:p>
      <w:pPr>
        <w:spacing w:line="1000" w:lineRule="exact"/>
        <w:jc w:val="center"/>
        <w:rPr>
          <w:rFonts w:ascii="仿宋" w:hAnsi="仿宋" w:eastAsia="仿宋" w:cs="仿宋"/>
          <w:color w:val="auto"/>
          <w:sz w:val="72"/>
          <w:szCs w:val="72"/>
        </w:rPr>
      </w:pPr>
      <w:r>
        <w:rPr>
          <w:rFonts w:hint="eastAsia" w:ascii="仿宋" w:hAnsi="仿宋" w:eastAsia="仿宋" w:cs="仿宋"/>
          <w:color w:val="auto"/>
          <w:sz w:val="72"/>
          <w:szCs w:val="72"/>
        </w:rPr>
        <w:t>文</w:t>
      </w:r>
    </w:p>
    <w:p>
      <w:pPr>
        <w:spacing w:line="1000" w:lineRule="exact"/>
        <w:jc w:val="center"/>
        <w:rPr>
          <w:rFonts w:ascii="仿宋" w:hAnsi="仿宋" w:eastAsia="仿宋" w:cs="仿宋"/>
          <w:color w:val="auto"/>
          <w:sz w:val="72"/>
          <w:szCs w:val="72"/>
        </w:rPr>
      </w:pPr>
      <w:r>
        <w:rPr>
          <w:rFonts w:hint="eastAsia" w:ascii="仿宋" w:hAnsi="仿宋" w:eastAsia="仿宋" w:cs="仿宋"/>
          <w:color w:val="auto"/>
          <w:sz w:val="72"/>
          <w:szCs w:val="72"/>
        </w:rPr>
        <w:t>件</w:t>
      </w:r>
    </w:p>
    <w:p>
      <w:pPr>
        <w:jc w:val="center"/>
        <w:rPr>
          <w:rFonts w:ascii="仿宋" w:hAnsi="仿宋" w:eastAsia="仿宋" w:cs="仿宋"/>
          <w:color w:val="auto"/>
          <w:sz w:val="24"/>
          <w:szCs w:val="24"/>
        </w:rPr>
      </w:pPr>
    </w:p>
    <w:p>
      <w:pPr>
        <w:jc w:val="center"/>
        <w:rPr>
          <w:rFonts w:ascii="仿宋" w:hAnsi="仿宋" w:eastAsia="仿宋" w:cs="仿宋"/>
          <w:color w:val="auto"/>
          <w:sz w:val="24"/>
          <w:szCs w:val="24"/>
        </w:rPr>
      </w:pPr>
    </w:p>
    <w:p>
      <w:pPr>
        <w:rPr>
          <w:rFonts w:ascii="仿宋" w:hAnsi="仿宋" w:eastAsia="仿宋" w:cs="仿宋"/>
          <w:color w:val="auto"/>
          <w:sz w:val="24"/>
          <w:szCs w:val="24"/>
        </w:rPr>
      </w:pPr>
    </w:p>
    <w:p>
      <w:pPr>
        <w:spacing w:line="480" w:lineRule="auto"/>
        <w:jc w:val="center"/>
        <w:rPr>
          <w:rFonts w:ascii="仿宋" w:hAnsi="仿宋" w:eastAsia="仿宋" w:cs="仿宋"/>
          <w:color w:val="auto"/>
          <w:sz w:val="32"/>
          <w:szCs w:val="32"/>
        </w:rPr>
      </w:pPr>
      <w:r>
        <w:rPr>
          <w:rFonts w:hint="eastAsia" w:ascii="仿宋" w:hAnsi="仿宋" w:eastAsia="仿宋" w:cs="仿宋"/>
          <w:color w:val="auto"/>
          <w:sz w:val="32"/>
          <w:szCs w:val="32"/>
        </w:rPr>
        <w:t>投标供应商全称：（加盖单位公章）</w:t>
      </w:r>
    </w:p>
    <w:p>
      <w:pPr>
        <w:spacing w:line="480" w:lineRule="auto"/>
        <w:jc w:val="center"/>
        <w:rPr>
          <w:rFonts w:ascii="仿宋" w:hAnsi="仿宋" w:eastAsia="仿宋" w:cs="仿宋"/>
          <w:color w:val="auto"/>
          <w:sz w:val="32"/>
          <w:szCs w:val="32"/>
        </w:rPr>
      </w:pPr>
      <w:r>
        <w:rPr>
          <w:rFonts w:ascii="仿宋" w:hAnsi="仿宋" w:eastAsia="仿宋" w:cs="仿宋"/>
          <w:color w:val="auto"/>
          <w:sz w:val="32"/>
          <w:szCs w:val="32"/>
        </w:rPr>
        <w:t>2021</w:t>
      </w:r>
      <w:r>
        <w:rPr>
          <w:rFonts w:hint="eastAsia" w:ascii="仿宋" w:hAnsi="仿宋" w:eastAsia="仿宋" w:cs="仿宋"/>
          <w:color w:val="auto"/>
          <w:sz w:val="32"/>
          <w:szCs w:val="32"/>
        </w:rPr>
        <w:t>年</w:t>
      </w:r>
      <w:r>
        <w:rPr>
          <w:rFonts w:ascii="仿宋" w:hAnsi="仿宋" w:eastAsia="仿宋" w:cs="仿宋"/>
          <w:color w:val="auto"/>
          <w:sz w:val="32"/>
          <w:szCs w:val="32"/>
        </w:rPr>
        <w:t xml:space="preserve"> </w:t>
      </w:r>
      <w:r>
        <w:rPr>
          <w:rFonts w:hint="eastAsia" w:ascii="仿宋" w:hAnsi="仿宋" w:eastAsia="仿宋" w:cs="仿宋"/>
          <w:color w:val="auto"/>
          <w:sz w:val="32"/>
          <w:szCs w:val="32"/>
        </w:rPr>
        <w:t>月</w:t>
      </w:r>
      <w:r>
        <w:rPr>
          <w:rFonts w:ascii="仿宋" w:hAnsi="仿宋" w:eastAsia="仿宋" w:cs="仿宋"/>
          <w:color w:val="auto"/>
          <w:sz w:val="32"/>
          <w:szCs w:val="32"/>
        </w:rPr>
        <w:t xml:space="preserve">  </w:t>
      </w:r>
      <w:r>
        <w:rPr>
          <w:rFonts w:hint="eastAsia" w:ascii="仿宋" w:hAnsi="仿宋" w:eastAsia="仿宋" w:cs="仿宋"/>
          <w:color w:val="auto"/>
          <w:sz w:val="32"/>
          <w:szCs w:val="32"/>
        </w:rPr>
        <w:t>日</w:t>
      </w:r>
    </w:p>
    <w:p>
      <w:pPr>
        <w:pStyle w:val="57"/>
        <w:ind w:firstLine="0" w:firstLineChars="0"/>
        <w:rPr>
          <w:color w:val="auto"/>
        </w:rPr>
      </w:pPr>
    </w:p>
    <w:p>
      <w:pPr>
        <w:spacing w:line="480" w:lineRule="auto"/>
        <w:rPr>
          <w:rStyle w:val="97"/>
          <w:rFonts w:hint="eastAsia" w:ascii="仿宋" w:hAnsi="仿宋" w:eastAsia="仿宋" w:cs="仿宋"/>
          <w:color w:val="auto"/>
          <w:sz w:val="30"/>
          <w:szCs w:val="30"/>
        </w:rPr>
      </w:pPr>
    </w:p>
    <w:p>
      <w:pPr>
        <w:spacing w:line="480" w:lineRule="auto"/>
        <w:rPr>
          <w:rStyle w:val="97"/>
          <w:rFonts w:ascii="仿宋" w:hAnsi="仿宋" w:eastAsia="仿宋" w:cs="仿宋"/>
          <w:color w:val="auto"/>
          <w:sz w:val="30"/>
          <w:szCs w:val="30"/>
        </w:rPr>
      </w:pPr>
      <w:r>
        <w:rPr>
          <w:rStyle w:val="97"/>
          <w:rFonts w:hint="eastAsia" w:ascii="仿宋" w:hAnsi="仿宋" w:eastAsia="仿宋" w:cs="仿宋"/>
          <w:color w:val="auto"/>
          <w:sz w:val="30"/>
          <w:szCs w:val="30"/>
        </w:rPr>
        <w:t>（</w:t>
      </w:r>
      <w:r>
        <w:rPr>
          <w:rStyle w:val="97"/>
          <w:rFonts w:ascii="仿宋" w:hAnsi="仿宋" w:eastAsia="仿宋" w:cs="仿宋"/>
          <w:color w:val="auto"/>
          <w:sz w:val="30"/>
          <w:szCs w:val="30"/>
        </w:rPr>
        <w:t>2</w:t>
      </w:r>
      <w:r>
        <w:rPr>
          <w:rStyle w:val="97"/>
          <w:rFonts w:hint="eastAsia" w:ascii="仿宋" w:hAnsi="仿宋" w:eastAsia="仿宋" w:cs="仿宋"/>
          <w:color w:val="auto"/>
          <w:sz w:val="30"/>
          <w:szCs w:val="30"/>
        </w:rPr>
        <w:t>）投标文件外包装格式</w:t>
      </w:r>
    </w:p>
    <w:p>
      <w:pPr>
        <w:spacing w:line="480" w:lineRule="auto"/>
        <w:rPr>
          <w:rStyle w:val="97"/>
          <w:rFonts w:ascii="仿宋" w:hAnsi="仿宋" w:eastAsia="仿宋" w:cs="仿宋"/>
          <w:color w:val="auto"/>
          <w:sz w:val="30"/>
          <w:szCs w:val="30"/>
        </w:rPr>
      </w:pPr>
    </w:p>
    <w:p>
      <w:pPr>
        <w:spacing w:line="360" w:lineRule="auto"/>
        <w:jc w:val="center"/>
        <w:rPr>
          <w:rFonts w:hint="eastAsia" w:ascii="仿宋" w:hAnsi="仿宋" w:eastAsia="仿宋" w:cs="仿宋"/>
          <w:b/>
          <w:color w:val="auto"/>
          <w:spacing w:val="-20"/>
          <w:sz w:val="52"/>
          <w:szCs w:val="52"/>
          <w:lang w:eastAsia="zh-CN"/>
        </w:rPr>
      </w:pPr>
      <w:r>
        <w:rPr>
          <w:rFonts w:hint="eastAsia" w:ascii="仿宋" w:hAnsi="仿宋" w:eastAsia="仿宋" w:cs="仿宋"/>
          <w:b/>
          <w:color w:val="auto"/>
          <w:spacing w:val="-20"/>
          <w:sz w:val="52"/>
          <w:szCs w:val="52"/>
          <w:lang w:eastAsia="zh-CN"/>
        </w:rPr>
        <w:t>建德市“安心返”系统及“17防”平台项目</w:t>
      </w:r>
    </w:p>
    <w:p>
      <w:pPr>
        <w:spacing w:line="360" w:lineRule="auto"/>
        <w:jc w:val="center"/>
        <w:rPr>
          <w:rFonts w:ascii="仿宋" w:hAnsi="仿宋" w:eastAsia="仿宋" w:cs="仿宋"/>
          <w:color w:val="auto"/>
          <w:sz w:val="32"/>
          <w:szCs w:val="32"/>
        </w:rPr>
      </w:pPr>
    </w:p>
    <w:p>
      <w:pPr>
        <w:spacing w:line="360" w:lineRule="auto"/>
        <w:jc w:val="center"/>
        <w:rPr>
          <w:rFonts w:ascii="仿宋" w:hAnsi="仿宋" w:eastAsia="仿宋" w:cs="仿宋"/>
          <w:color w:val="auto"/>
          <w:sz w:val="32"/>
          <w:szCs w:val="32"/>
        </w:rPr>
      </w:pPr>
      <w:r>
        <w:rPr>
          <w:rFonts w:hint="eastAsia" w:ascii="仿宋" w:hAnsi="仿宋" w:eastAsia="仿宋" w:cs="仿宋"/>
          <w:color w:val="auto"/>
          <w:sz w:val="32"/>
          <w:szCs w:val="32"/>
        </w:rPr>
        <w:t>招标编号：</w:t>
      </w:r>
      <w:r>
        <w:rPr>
          <w:rFonts w:hint="eastAsia" w:ascii="仿宋" w:hAnsi="仿宋" w:eastAsia="仿宋" w:cs="仿宋"/>
          <w:color w:val="auto"/>
          <w:sz w:val="32"/>
          <w:szCs w:val="32"/>
          <w:lang w:eastAsia="zh-CN"/>
        </w:rPr>
        <w:t>JDOBCG2021B-45</w:t>
      </w:r>
      <w:r>
        <w:rPr>
          <w:rFonts w:hint="eastAsia" w:ascii="仿宋" w:hAnsi="仿宋" w:eastAsia="仿宋" w:cs="仿宋"/>
          <w:color w:val="auto"/>
          <w:sz w:val="32"/>
          <w:szCs w:val="32"/>
        </w:rPr>
        <w:t xml:space="preserve">  </w:t>
      </w:r>
    </w:p>
    <w:p>
      <w:pPr>
        <w:spacing w:line="360" w:lineRule="auto"/>
        <w:jc w:val="center"/>
        <w:rPr>
          <w:rFonts w:ascii="仿宋" w:hAnsi="仿宋" w:eastAsia="仿宋" w:cs="仿宋"/>
          <w:color w:val="auto"/>
          <w:sz w:val="32"/>
          <w:szCs w:val="32"/>
        </w:rPr>
      </w:pPr>
    </w:p>
    <w:p>
      <w:pPr>
        <w:jc w:val="center"/>
        <w:rPr>
          <w:rFonts w:ascii="仿宋" w:hAnsi="仿宋" w:eastAsia="仿宋" w:cs="仿宋"/>
          <w:b/>
          <w:color w:val="auto"/>
          <w:sz w:val="36"/>
          <w:szCs w:val="36"/>
        </w:rPr>
      </w:pPr>
      <w:r>
        <w:rPr>
          <w:rFonts w:hint="eastAsia" w:ascii="仿宋" w:hAnsi="仿宋" w:eastAsia="仿宋" w:cs="仿宋"/>
          <w:b/>
          <w:color w:val="auto"/>
          <w:sz w:val="36"/>
          <w:szCs w:val="36"/>
        </w:rPr>
        <w:t>（资格审查文件或技术文件或商务资信文件或报价文件）</w:t>
      </w:r>
    </w:p>
    <w:p>
      <w:pPr>
        <w:pStyle w:val="26"/>
        <w:spacing w:line="360" w:lineRule="auto"/>
        <w:ind w:firstLine="800" w:firstLineChars="250"/>
        <w:rPr>
          <w:rFonts w:ascii="仿宋" w:hAnsi="仿宋" w:eastAsia="仿宋" w:cs="仿宋"/>
          <w:color w:val="auto"/>
          <w:sz w:val="32"/>
        </w:rPr>
      </w:pPr>
    </w:p>
    <w:p>
      <w:pPr>
        <w:pStyle w:val="26"/>
        <w:spacing w:line="360" w:lineRule="auto"/>
        <w:ind w:firstLine="800" w:firstLineChars="250"/>
        <w:rPr>
          <w:rFonts w:ascii="仿宋" w:hAnsi="仿宋" w:eastAsia="仿宋" w:cs="仿宋"/>
          <w:color w:val="auto"/>
          <w:sz w:val="32"/>
        </w:rPr>
      </w:pPr>
    </w:p>
    <w:p>
      <w:pPr>
        <w:pStyle w:val="26"/>
        <w:spacing w:line="360" w:lineRule="auto"/>
        <w:rPr>
          <w:rFonts w:ascii="仿宋" w:hAnsi="仿宋" w:eastAsia="仿宋" w:cs="仿宋"/>
          <w:color w:val="auto"/>
          <w:sz w:val="30"/>
          <w:szCs w:val="30"/>
          <w:u w:val="single"/>
        </w:rPr>
      </w:pPr>
      <w:r>
        <w:rPr>
          <w:rFonts w:hint="eastAsia" w:ascii="仿宋" w:hAnsi="仿宋" w:eastAsia="仿宋" w:cs="仿宋"/>
          <w:color w:val="auto"/>
          <w:sz w:val="30"/>
          <w:szCs w:val="30"/>
        </w:rPr>
        <w:t>采购单位名称：</w:t>
      </w:r>
    </w:p>
    <w:p>
      <w:pPr>
        <w:pStyle w:val="26"/>
        <w:spacing w:line="360" w:lineRule="auto"/>
        <w:rPr>
          <w:rFonts w:ascii="仿宋" w:hAnsi="仿宋" w:eastAsia="仿宋" w:cs="仿宋"/>
          <w:color w:val="auto"/>
          <w:sz w:val="30"/>
          <w:szCs w:val="30"/>
        </w:rPr>
      </w:pPr>
      <w:r>
        <w:rPr>
          <w:rFonts w:hint="eastAsia" w:ascii="仿宋" w:hAnsi="仿宋" w:eastAsia="仿宋" w:cs="仿宋"/>
          <w:color w:val="auto"/>
          <w:sz w:val="30"/>
          <w:szCs w:val="30"/>
        </w:rPr>
        <w:t>投标供应商名称</w:t>
      </w:r>
      <w:r>
        <w:rPr>
          <w:rFonts w:ascii="仿宋" w:hAnsi="仿宋" w:eastAsia="仿宋" w:cs="仿宋"/>
          <w:color w:val="auto"/>
          <w:sz w:val="30"/>
          <w:szCs w:val="30"/>
        </w:rPr>
        <w:t>:                                (</w:t>
      </w:r>
      <w:r>
        <w:rPr>
          <w:rFonts w:hint="eastAsia" w:ascii="仿宋" w:hAnsi="仿宋" w:eastAsia="仿宋" w:cs="仿宋"/>
          <w:color w:val="auto"/>
          <w:sz w:val="30"/>
          <w:szCs w:val="30"/>
        </w:rPr>
        <w:t>盖公章</w:t>
      </w:r>
      <w:r>
        <w:rPr>
          <w:rFonts w:ascii="仿宋" w:hAnsi="仿宋" w:eastAsia="仿宋" w:cs="仿宋"/>
          <w:color w:val="auto"/>
          <w:sz w:val="30"/>
          <w:szCs w:val="30"/>
        </w:rPr>
        <w:t>)</w:t>
      </w:r>
    </w:p>
    <w:p>
      <w:pPr>
        <w:pStyle w:val="26"/>
        <w:spacing w:line="360" w:lineRule="auto"/>
        <w:rPr>
          <w:rFonts w:ascii="仿宋" w:hAnsi="仿宋" w:eastAsia="仿宋" w:cs="仿宋"/>
          <w:color w:val="auto"/>
          <w:sz w:val="30"/>
          <w:szCs w:val="30"/>
        </w:rPr>
      </w:pPr>
      <w:r>
        <w:rPr>
          <w:rFonts w:hint="eastAsia" w:ascii="仿宋" w:hAnsi="仿宋" w:eastAsia="仿宋" w:cs="仿宋"/>
          <w:color w:val="auto"/>
          <w:sz w:val="30"/>
          <w:szCs w:val="30"/>
        </w:rPr>
        <w:t>投标供应商法定代表人或其委托代理人</w:t>
      </w:r>
      <w:r>
        <w:rPr>
          <w:rFonts w:ascii="仿宋" w:hAnsi="仿宋" w:eastAsia="仿宋" w:cs="仿宋"/>
          <w:color w:val="auto"/>
          <w:sz w:val="30"/>
          <w:szCs w:val="30"/>
        </w:rPr>
        <w:t>:         (</w:t>
      </w:r>
      <w:r>
        <w:rPr>
          <w:rFonts w:hint="eastAsia" w:ascii="仿宋" w:hAnsi="仿宋" w:eastAsia="仿宋" w:cs="仿宋"/>
          <w:color w:val="auto"/>
          <w:sz w:val="30"/>
          <w:szCs w:val="30"/>
        </w:rPr>
        <w:t>签字或盖章</w:t>
      </w:r>
      <w:r>
        <w:rPr>
          <w:rFonts w:ascii="仿宋" w:hAnsi="仿宋" w:eastAsia="仿宋" w:cs="仿宋"/>
          <w:color w:val="auto"/>
          <w:sz w:val="30"/>
          <w:szCs w:val="30"/>
        </w:rPr>
        <w:t>)</w:t>
      </w:r>
    </w:p>
    <w:p>
      <w:pPr>
        <w:pStyle w:val="26"/>
        <w:spacing w:line="360" w:lineRule="auto"/>
        <w:rPr>
          <w:rFonts w:ascii="仿宋" w:hAnsi="仿宋" w:eastAsia="仿宋" w:cs="仿宋"/>
          <w:color w:val="auto"/>
          <w:sz w:val="30"/>
          <w:szCs w:val="30"/>
          <w:u w:val="single"/>
        </w:rPr>
      </w:pPr>
      <w:r>
        <w:rPr>
          <w:rFonts w:hint="eastAsia" w:ascii="仿宋" w:hAnsi="仿宋" w:eastAsia="仿宋" w:cs="仿宋"/>
          <w:color w:val="auto"/>
          <w:sz w:val="30"/>
          <w:szCs w:val="30"/>
        </w:rPr>
        <w:t>投标供应商地址：</w:t>
      </w:r>
      <w:r>
        <w:rPr>
          <w:rFonts w:ascii="仿宋" w:hAnsi="仿宋" w:eastAsia="仿宋" w:cs="仿宋"/>
          <w:color w:val="auto"/>
          <w:sz w:val="30"/>
          <w:szCs w:val="30"/>
        </w:rPr>
        <w:t xml:space="preserve">                                   </w:t>
      </w:r>
    </w:p>
    <w:p>
      <w:pPr>
        <w:pStyle w:val="26"/>
        <w:spacing w:line="360" w:lineRule="auto"/>
        <w:rPr>
          <w:rFonts w:ascii="仿宋" w:hAnsi="仿宋" w:eastAsia="仿宋" w:cs="仿宋"/>
          <w:color w:val="auto"/>
          <w:sz w:val="30"/>
          <w:szCs w:val="30"/>
        </w:rPr>
      </w:pPr>
      <w:r>
        <w:rPr>
          <w:rFonts w:hint="eastAsia" w:ascii="仿宋" w:hAnsi="仿宋" w:eastAsia="仿宋" w:cs="仿宋"/>
          <w:color w:val="auto"/>
          <w:sz w:val="30"/>
          <w:szCs w:val="30"/>
        </w:rPr>
        <w:t>邮编：</w:t>
      </w:r>
      <w:r>
        <w:rPr>
          <w:rFonts w:ascii="仿宋" w:hAnsi="仿宋" w:eastAsia="仿宋" w:cs="仿宋"/>
          <w:color w:val="auto"/>
          <w:sz w:val="30"/>
          <w:szCs w:val="30"/>
        </w:rPr>
        <w:t xml:space="preserve">                                           </w:t>
      </w:r>
    </w:p>
    <w:p>
      <w:pPr>
        <w:pStyle w:val="26"/>
        <w:spacing w:line="360" w:lineRule="auto"/>
        <w:rPr>
          <w:rFonts w:ascii="仿宋" w:hAnsi="仿宋" w:eastAsia="仿宋" w:cs="仿宋"/>
          <w:color w:val="auto"/>
          <w:sz w:val="30"/>
          <w:szCs w:val="30"/>
        </w:rPr>
      </w:pPr>
      <w:r>
        <w:rPr>
          <w:rFonts w:hint="eastAsia" w:ascii="仿宋" w:hAnsi="仿宋" w:eastAsia="仿宋" w:cs="仿宋"/>
          <w:color w:val="auto"/>
          <w:sz w:val="30"/>
          <w:szCs w:val="30"/>
        </w:rPr>
        <w:t>联系人：</w:t>
      </w:r>
      <w:r>
        <w:rPr>
          <w:rFonts w:ascii="仿宋" w:hAnsi="仿宋" w:eastAsia="仿宋" w:cs="仿宋"/>
          <w:color w:val="auto"/>
          <w:sz w:val="30"/>
          <w:szCs w:val="30"/>
        </w:rPr>
        <w:t xml:space="preserve">                                         </w:t>
      </w:r>
    </w:p>
    <w:p>
      <w:pPr>
        <w:pStyle w:val="26"/>
        <w:spacing w:line="360" w:lineRule="auto"/>
        <w:rPr>
          <w:rFonts w:ascii="仿宋" w:hAnsi="仿宋" w:eastAsia="仿宋" w:cs="仿宋"/>
          <w:color w:val="auto"/>
          <w:sz w:val="30"/>
          <w:szCs w:val="30"/>
        </w:rPr>
      </w:pPr>
      <w:r>
        <w:rPr>
          <w:rFonts w:hint="eastAsia" w:ascii="仿宋" w:hAnsi="仿宋" w:eastAsia="仿宋" w:cs="仿宋"/>
          <w:color w:val="auto"/>
          <w:sz w:val="30"/>
          <w:szCs w:val="30"/>
        </w:rPr>
        <w:t>联系电话：</w:t>
      </w:r>
      <w:r>
        <w:rPr>
          <w:rFonts w:ascii="仿宋" w:hAnsi="仿宋" w:eastAsia="仿宋" w:cs="仿宋"/>
          <w:color w:val="auto"/>
          <w:sz w:val="30"/>
          <w:szCs w:val="30"/>
        </w:rPr>
        <w:t xml:space="preserve">   </w:t>
      </w:r>
    </w:p>
    <w:p>
      <w:pPr>
        <w:pStyle w:val="26"/>
        <w:spacing w:after="156" w:afterLines="50" w:line="360" w:lineRule="auto"/>
        <w:rPr>
          <w:rFonts w:ascii="仿宋" w:hAnsi="仿宋" w:eastAsia="仿宋" w:cs="仿宋"/>
          <w:color w:val="auto"/>
          <w:sz w:val="32"/>
          <w:u w:val="single"/>
        </w:rPr>
      </w:pPr>
    </w:p>
    <w:p>
      <w:pPr>
        <w:spacing w:line="48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在开标截止时间之前不得启封</w:t>
      </w:r>
    </w:p>
    <w:p>
      <w:pPr>
        <w:rPr>
          <w:rFonts w:ascii="宋体" w:cs="宋体"/>
          <w:b/>
          <w:color w:val="auto"/>
          <w:spacing w:val="-2"/>
          <w:sz w:val="30"/>
          <w:szCs w:val="30"/>
        </w:rPr>
      </w:pPr>
    </w:p>
    <w:p>
      <w:pPr>
        <w:rPr>
          <w:rFonts w:ascii="宋体" w:cs="宋体"/>
          <w:b/>
          <w:color w:val="auto"/>
          <w:spacing w:val="-2"/>
          <w:sz w:val="30"/>
          <w:szCs w:val="30"/>
        </w:rPr>
      </w:pPr>
    </w:p>
    <w:p>
      <w:pPr>
        <w:rPr>
          <w:rFonts w:hint="eastAsia" w:ascii="宋体" w:hAnsi="宋体" w:cs="宋体"/>
          <w:b/>
          <w:color w:val="auto"/>
          <w:spacing w:val="-2"/>
          <w:sz w:val="30"/>
          <w:szCs w:val="30"/>
        </w:rPr>
      </w:pPr>
    </w:p>
    <w:p>
      <w:pPr>
        <w:rPr>
          <w:rFonts w:ascii="微软雅黑" w:hAnsi="微软雅黑" w:eastAsia="微软雅黑" w:cs="宋体"/>
          <w:color w:val="auto"/>
          <w:spacing w:val="8"/>
          <w:kern w:val="0"/>
          <w:sz w:val="26"/>
          <w:szCs w:val="26"/>
          <w:shd w:val="clear" w:color="auto" w:fill="FFFFFF"/>
        </w:rPr>
      </w:pPr>
      <w:r>
        <w:rPr>
          <w:rFonts w:hint="eastAsia" w:ascii="宋体" w:hAnsi="宋体" w:cs="宋体"/>
          <w:b/>
          <w:color w:val="auto"/>
          <w:spacing w:val="-2"/>
          <w:sz w:val="30"/>
          <w:szCs w:val="30"/>
        </w:rPr>
        <w:t>附件十三</w:t>
      </w:r>
      <w:r>
        <w:rPr>
          <w:rFonts w:ascii="微软雅黑" w:hAnsi="微软雅黑" w:eastAsia="微软雅黑" w:cs="宋体"/>
          <w:color w:val="auto"/>
          <w:spacing w:val="8"/>
          <w:kern w:val="0"/>
          <w:sz w:val="26"/>
          <w:szCs w:val="26"/>
          <w:shd w:val="clear" w:color="auto" w:fill="FFFFFF"/>
        </w:rPr>
        <w:t xml:space="preserve">                       </w:t>
      </w:r>
    </w:p>
    <w:tbl>
      <w:tblPr>
        <w:tblStyle w:val="47"/>
        <w:tblW w:w="3878" w:type="dxa"/>
        <w:jc w:val="right"/>
        <w:tblBorders>
          <w:top w:val="double" w:color="auto" w:sz="12" w:space="0"/>
          <w:left w:val="double" w:color="auto" w:sz="12" w:space="0"/>
          <w:bottom w:val="double" w:color="auto" w:sz="12" w:space="0"/>
          <w:right w:val="doub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85"/>
        <w:gridCol w:w="1893"/>
      </w:tblGrid>
      <w:tr>
        <w:tblPrEx>
          <w:tblBorders>
            <w:top w:val="double" w:color="auto" w:sz="12" w:space="0"/>
            <w:left w:val="double" w:color="auto" w:sz="12" w:space="0"/>
            <w:bottom w:val="double" w:color="auto" w:sz="12" w:space="0"/>
            <w:right w:val="double" w:color="auto" w:sz="12" w:space="0"/>
            <w:insideH w:val="single" w:color="auto" w:sz="6" w:space="0"/>
            <w:insideV w:val="single" w:color="auto" w:sz="6" w:space="0"/>
          </w:tblBorders>
          <w:tblCellMar>
            <w:top w:w="0" w:type="dxa"/>
            <w:left w:w="108" w:type="dxa"/>
            <w:bottom w:w="0" w:type="dxa"/>
            <w:right w:w="108" w:type="dxa"/>
          </w:tblCellMar>
        </w:tblPrEx>
        <w:trPr>
          <w:trHeight w:val="644" w:hRule="atLeast"/>
          <w:jc w:val="right"/>
        </w:trPr>
        <w:tc>
          <w:tcPr>
            <w:tcW w:w="1985" w:type="dxa"/>
            <w:tcBorders>
              <w:top w:val="double" w:color="auto" w:sz="12" w:space="0"/>
              <w:bottom w:val="double" w:color="auto" w:sz="12" w:space="0"/>
            </w:tcBorders>
            <w:vAlign w:val="center"/>
          </w:tcPr>
          <w:p>
            <w:pPr>
              <w:widowControl/>
              <w:spacing w:line="400" w:lineRule="exact"/>
              <w:jc w:val="center"/>
              <w:rPr>
                <w:rFonts w:ascii="微软雅黑" w:hAnsi="微软雅黑" w:eastAsia="微软雅黑" w:cs="宋体"/>
                <w:color w:val="auto"/>
                <w:spacing w:val="8"/>
                <w:kern w:val="0"/>
                <w:sz w:val="26"/>
                <w:szCs w:val="26"/>
              </w:rPr>
            </w:pPr>
            <w:r>
              <w:rPr>
                <w:rFonts w:hint="eastAsia" w:ascii="微软雅黑" w:hAnsi="微软雅黑" w:eastAsia="微软雅黑" w:cs="宋体"/>
                <w:color w:val="auto"/>
                <w:spacing w:val="8"/>
                <w:kern w:val="0"/>
                <w:sz w:val="26"/>
                <w:szCs w:val="26"/>
              </w:rPr>
              <w:t>现场体温实测</w:t>
            </w:r>
          </w:p>
        </w:tc>
        <w:tc>
          <w:tcPr>
            <w:tcW w:w="1893" w:type="dxa"/>
            <w:tcBorders>
              <w:top w:val="double" w:color="auto" w:sz="12" w:space="0"/>
              <w:bottom w:val="double" w:color="auto" w:sz="12" w:space="0"/>
            </w:tcBorders>
            <w:vAlign w:val="center"/>
          </w:tcPr>
          <w:p>
            <w:pPr>
              <w:widowControl/>
              <w:spacing w:line="400" w:lineRule="exact"/>
              <w:jc w:val="left"/>
              <w:rPr>
                <w:rFonts w:ascii="微软雅黑" w:hAnsi="微软雅黑" w:eastAsia="微软雅黑" w:cs="宋体"/>
                <w:color w:val="auto"/>
                <w:spacing w:val="8"/>
                <w:kern w:val="0"/>
                <w:sz w:val="26"/>
                <w:szCs w:val="26"/>
              </w:rPr>
            </w:pPr>
          </w:p>
        </w:tc>
      </w:tr>
    </w:tbl>
    <w:p>
      <w:pPr>
        <w:widowControl/>
        <w:jc w:val="center"/>
        <w:rPr>
          <w:rFonts w:ascii="微软雅黑" w:hAnsi="微软雅黑" w:eastAsia="微软雅黑" w:cs="宋体"/>
          <w:b/>
          <w:color w:val="auto"/>
          <w:spacing w:val="8"/>
          <w:kern w:val="0"/>
          <w:sz w:val="26"/>
          <w:szCs w:val="26"/>
          <w:shd w:val="clear" w:color="auto" w:fill="FFFFFF"/>
        </w:rPr>
      </w:pPr>
      <w:r>
        <w:rPr>
          <w:rFonts w:hint="eastAsia" w:ascii="微软雅黑" w:hAnsi="微软雅黑" w:eastAsia="微软雅黑" w:cs="宋体"/>
          <w:b/>
          <w:color w:val="auto"/>
          <w:spacing w:val="8"/>
          <w:kern w:val="0"/>
          <w:sz w:val="26"/>
          <w:szCs w:val="26"/>
          <w:shd w:val="clear" w:color="auto" w:fill="FFFFFF"/>
        </w:rPr>
        <w:t>开评标人员健康信息登记表</w:t>
      </w:r>
    </w:p>
    <w:tbl>
      <w:tblPr>
        <w:tblStyle w:val="47"/>
        <w:tblW w:w="9719" w:type="dxa"/>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1655"/>
        <w:gridCol w:w="1547"/>
        <w:gridCol w:w="281"/>
        <w:gridCol w:w="1431"/>
        <w:gridCol w:w="186"/>
        <w:gridCol w:w="1585"/>
        <w:gridCol w:w="3034"/>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649" w:hRule="atLeast"/>
          <w:jc w:val="center"/>
        </w:trPr>
        <w:tc>
          <w:tcPr>
            <w:tcW w:w="1655" w:type="dxa"/>
            <w:tcBorders>
              <w:top w:val="single" w:color="000000" w:sz="4" w:space="0"/>
            </w:tcBorders>
          </w:tcPr>
          <w:p>
            <w:pPr>
              <w:widowControl/>
              <w:jc w:val="center"/>
              <w:rPr>
                <w:rFonts w:ascii="宋体" w:cs="宋体"/>
                <w:color w:val="auto"/>
                <w:spacing w:val="8"/>
                <w:kern w:val="0"/>
                <w:szCs w:val="21"/>
              </w:rPr>
            </w:pPr>
            <w:r>
              <w:rPr>
                <w:rFonts w:hint="eastAsia" w:ascii="宋体" w:hAnsi="宋体" w:cs="宋体"/>
                <w:color w:val="auto"/>
                <w:spacing w:val="8"/>
                <w:kern w:val="0"/>
                <w:szCs w:val="21"/>
              </w:rPr>
              <w:t>姓名</w:t>
            </w:r>
          </w:p>
        </w:tc>
        <w:tc>
          <w:tcPr>
            <w:tcW w:w="1547" w:type="dxa"/>
            <w:tcBorders>
              <w:top w:val="single" w:color="000000" w:sz="4" w:space="0"/>
            </w:tcBorders>
          </w:tcPr>
          <w:p>
            <w:pPr>
              <w:widowControl/>
              <w:jc w:val="center"/>
              <w:rPr>
                <w:rFonts w:ascii="宋体" w:cs="宋体"/>
                <w:color w:val="auto"/>
                <w:spacing w:val="8"/>
                <w:kern w:val="0"/>
                <w:szCs w:val="21"/>
              </w:rPr>
            </w:pPr>
          </w:p>
        </w:tc>
        <w:tc>
          <w:tcPr>
            <w:tcW w:w="1712" w:type="dxa"/>
            <w:gridSpan w:val="2"/>
            <w:tcBorders>
              <w:top w:val="single" w:color="000000" w:sz="4" w:space="0"/>
            </w:tcBorders>
          </w:tcPr>
          <w:p>
            <w:pPr>
              <w:widowControl/>
              <w:jc w:val="center"/>
              <w:rPr>
                <w:rFonts w:ascii="宋体" w:cs="宋体"/>
                <w:color w:val="auto"/>
                <w:spacing w:val="8"/>
                <w:kern w:val="0"/>
                <w:szCs w:val="21"/>
              </w:rPr>
            </w:pPr>
            <w:r>
              <w:rPr>
                <w:rFonts w:hint="eastAsia" w:ascii="宋体" w:hAnsi="宋体" w:cs="宋体"/>
                <w:color w:val="auto"/>
                <w:spacing w:val="8"/>
                <w:kern w:val="0"/>
                <w:szCs w:val="21"/>
              </w:rPr>
              <w:t>身份证号码</w:t>
            </w:r>
          </w:p>
        </w:tc>
        <w:tc>
          <w:tcPr>
            <w:tcW w:w="4805" w:type="dxa"/>
            <w:gridSpan w:val="3"/>
            <w:tcBorders>
              <w:top w:val="single" w:color="000000" w:sz="4" w:space="0"/>
            </w:tcBorders>
          </w:tcPr>
          <w:p>
            <w:pPr>
              <w:widowControl/>
              <w:jc w:val="center"/>
              <w:rPr>
                <w:rFonts w:ascii="宋体" w:cs="宋体"/>
                <w:color w:val="auto"/>
                <w:spacing w:val="8"/>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660" w:hRule="atLeast"/>
          <w:jc w:val="center"/>
        </w:trPr>
        <w:tc>
          <w:tcPr>
            <w:tcW w:w="1655" w:type="dxa"/>
          </w:tcPr>
          <w:p>
            <w:pPr>
              <w:widowControl/>
              <w:jc w:val="center"/>
              <w:rPr>
                <w:rFonts w:ascii="宋体" w:cs="宋体"/>
                <w:color w:val="auto"/>
                <w:spacing w:val="8"/>
                <w:kern w:val="0"/>
                <w:szCs w:val="21"/>
              </w:rPr>
            </w:pPr>
            <w:r>
              <w:rPr>
                <w:rFonts w:hint="eastAsia" w:ascii="宋体" w:hAnsi="宋体" w:cs="宋体"/>
                <w:color w:val="auto"/>
                <w:spacing w:val="8"/>
                <w:kern w:val="0"/>
                <w:szCs w:val="21"/>
              </w:rPr>
              <w:t>单位名称</w:t>
            </w:r>
          </w:p>
        </w:tc>
        <w:tc>
          <w:tcPr>
            <w:tcW w:w="3259" w:type="dxa"/>
            <w:gridSpan w:val="3"/>
          </w:tcPr>
          <w:p>
            <w:pPr>
              <w:widowControl/>
              <w:jc w:val="center"/>
              <w:rPr>
                <w:rFonts w:ascii="宋体" w:cs="宋体"/>
                <w:color w:val="auto"/>
                <w:spacing w:val="8"/>
                <w:kern w:val="0"/>
                <w:szCs w:val="21"/>
              </w:rPr>
            </w:pPr>
          </w:p>
        </w:tc>
        <w:tc>
          <w:tcPr>
            <w:tcW w:w="1771" w:type="dxa"/>
            <w:gridSpan w:val="2"/>
          </w:tcPr>
          <w:p>
            <w:pPr>
              <w:widowControl/>
              <w:jc w:val="center"/>
              <w:rPr>
                <w:rFonts w:ascii="宋体" w:cs="宋体"/>
                <w:color w:val="auto"/>
                <w:spacing w:val="8"/>
                <w:kern w:val="0"/>
                <w:szCs w:val="21"/>
              </w:rPr>
            </w:pPr>
            <w:r>
              <w:rPr>
                <w:rFonts w:hint="eastAsia" w:ascii="宋体" w:hAnsi="宋体" w:cs="宋体"/>
                <w:color w:val="auto"/>
                <w:spacing w:val="8"/>
                <w:kern w:val="0"/>
                <w:szCs w:val="21"/>
              </w:rPr>
              <w:t>单位电话</w:t>
            </w:r>
          </w:p>
        </w:tc>
        <w:tc>
          <w:tcPr>
            <w:tcW w:w="3034" w:type="dxa"/>
          </w:tcPr>
          <w:p>
            <w:pPr>
              <w:widowControl/>
              <w:jc w:val="center"/>
              <w:rPr>
                <w:rFonts w:ascii="宋体" w:cs="宋体"/>
                <w:color w:val="auto"/>
                <w:spacing w:val="8"/>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660" w:hRule="atLeast"/>
          <w:jc w:val="center"/>
        </w:trPr>
        <w:tc>
          <w:tcPr>
            <w:tcW w:w="1655" w:type="dxa"/>
          </w:tcPr>
          <w:p>
            <w:pPr>
              <w:widowControl/>
              <w:jc w:val="center"/>
              <w:rPr>
                <w:rFonts w:ascii="宋体" w:cs="宋体"/>
                <w:color w:val="auto"/>
                <w:spacing w:val="8"/>
                <w:kern w:val="0"/>
                <w:szCs w:val="21"/>
              </w:rPr>
            </w:pPr>
            <w:r>
              <w:rPr>
                <w:rFonts w:hint="eastAsia" w:ascii="宋体" w:hAnsi="宋体" w:cs="宋体"/>
                <w:color w:val="auto"/>
                <w:spacing w:val="8"/>
                <w:kern w:val="0"/>
                <w:szCs w:val="21"/>
              </w:rPr>
              <w:t>个人地址</w:t>
            </w:r>
          </w:p>
        </w:tc>
        <w:tc>
          <w:tcPr>
            <w:tcW w:w="3259" w:type="dxa"/>
            <w:gridSpan w:val="3"/>
          </w:tcPr>
          <w:p>
            <w:pPr>
              <w:widowControl/>
              <w:jc w:val="center"/>
              <w:rPr>
                <w:rFonts w:ascii="宋体" w:cs="宋体"/>
                <w:color w:val="auto"/>
                <w:spacing w:val="8"/>
                <w:kern w:val="0"/>
                <w:szCs w:val="21"/>
              </w:rPr>
            </w:pPr>
          </w:p>
        </w:tc>
        <w:tc>
          <w:tcPr>
            <w:tcW w:w="1771" w:type="dxa"/>
            <w:gridSpan w:val="2"/>
          </w:tcPr>
          <w:p>
            <w:pPr>
              <w:widowControl/>
              <w:jc w:val="center"/>
              <w:rPr>
                <w:rFonts w:ascii="宋体" w:cs="宋体"/>
                <w:color w:val="auto"/>
                <w:spacing w:val="8"/>
                <w:kern w:val="0"/>
                <w:szCs w:val="21"/>
              </w:rPr>
            </w:pPr>
            <w:r>
              <w:rPr>
                <w:rFonts w:hint="eastAsia" w:ascii="宋体" w:hAnsi="宋体" w:cs="宋体"/>
                <w:color w:val="auto"/>
                <w:spacing w:val="8"/>
                <w:kern w:val="0"/>
                <w:szCs w:val="21"/>
              </w:rPr>
              <w:t>手机号码</w:t>
            </w:r>
          </w:p>
        </w:tc>
        <w:tc>
          <w:tcPr>
            <w:tcW w:w="3034" w:type="dxa"/>
          </w:tcPr>
          <w:p>
            <w:pPr>
              <w:widowControl/>
              <w:jc w:val="center"/>
              <w:rPr>
                <w:rFonts w:ascii="宋体" w:cs="宋体"/>
                <w:color w:val="auto"/>
                <w:spacing w:val="8"/>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660" w:hRule="atLeast"/>
          <w:jc w:val="center"/>
        </w:trPr>
        <w:tc>
          <w:tcPr>
            <w:tcW w:w="1655" w:type="dxa"/>
          </w:tcPr>
          <w:p>
            <w:pPr>
              <w:widowControl/>
              <w:jc w:val="center"/>
              <w:rPr>
                <w:rFonts w:ascii="宋体" w:cs="宋体"/>
                <w:color w:val="auto"/>
                <w:spacing w:val="8"/>
                <w:kern w:val="0"/>
                <w:szCs w:val="21"/>
              </w:rPr>
            </w:pPr>
            <w:r>
              <w:rPr>
                <w:rFonts w:hint="eastAsia" w:ascii="宋体" w:hAnsi="宋体" w:cs="宋体"/>
                <w:color w:val="auto"/>
                <w:spacing w:val="8"/>
                <w:kern w:val="0"/>
                <w:szCs w:val="21"/>
              </w:rPr>
              <w:t>人员身份</w:t>
            </w:r>
          </w:p>
        </w:tc>
        <w:tc>
          <w:tcPr>
            <w:tcW w:w="8064" w:type="dxa"/>
            <w:gridSpan w:val="6"/>
          </w:tcPr>
          <w:p>
            <w:pPr>
              <w:widowControl/>
              <w:jc w:val="center"/>
              <w:rPr>
                <w:rFonts w:ascii="宋体" w:cs="宋体"/>
                <w:color w:val="auto"/>
                <w:spacing w:val="8"/>
                <w:kern w:val="0"/>
                <w:szCs w:val="21"/>
              </w:rPr>
            </w:pPr>
            <w:r>
              <w:rPr>
                <w:rFonts w:hint="eastAsia" w:ascii="宋体" w:hAnsi="宋体" w:cs="宋体"/>
                <w:color w:val="auto"/>
                <w:spacing w:val="8"/>
                <w:kern w:val="0"/>
                <w:szCs w:val="21"/>
              </w:rPr>
              <w:t>□招标人代表□招标代理□投标人代表□评标专家</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99" w:hRule="atLeast"/>
          <w:jc w:val="center"/>
        </w:trPr>
        <w:tc>
          <w:tcPr>
            <w:tcW w:w="9719" w:type="dxa"/>
            <w:gridSpan w:val="7"/>
          </w:tcPr>
          <w:p>
            <w:pPr>
              <w:widowControl/>
              <w:jc w:val="center"/>
              <w:rPr>
                <w:rFonts w:ascii="宋体" w:cs="宋体"/>
                <w:color w:val="auto"/>
                <w:spacing w:val="8"/>
                <w:kern w:val="0"/>
                <w:szCs w:val="21"/>
              </w:rPr>
            </w:pPr>
            <w:r>
              <w:rPr>
                <w:rFonts w:hint="eastAsia" w:ascii="宋体" w:hAnsi="宋体" w:cs="宋体"/>
                <w:color w:val="auto"/>
                <w:spacing w:val="8"/>
                <w:kern w:val="0"/>
                <w:szCs w:val="21"/>
              </w:rPr>
              <w:t>个人健康情况</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145" w:hRule="atLeast"/>
          <w:jc w:val="center"/>
        </w:trPr>
        <w:tc>
          <w:tcPr>
            <w:tcW w:w="1655" w:type="dxa"/>
            <w:vAlign w:val="center"/>
          </w:tcPr>
          <w:p>
            <w:pPr>
              <w:widowControl/>
              <w:jc w:val="center"/>
              <w:rPr>
                <w:rFonts w:ascii="宋体" w:cs="宋体"/>
                <w:color w:val="auto"/>
                <w:spacing w:val="8"/>
                <w:kern w:val="0"/>
                <w:szCs w:val="21"/>
              </w:rPr>
            </w:pPr>
            <w:r>
              <w:rPr>
                <w:rFonts w:hint="eastAsia" w:ascii="宋体" w:hAnsi="宋体" w:cs="宋体"/>
                <w:color w:val="auto"/>
                <w:spacing w:val="8"/>
                <w:kern w:val="0"/>
                <w:szCs w:val="21"/>
              </w:rPr>
              <w:t>发热、乏力</w:t>
            </w:r>
          </w:p>
        </w:tc>
        <w:tc>
          <w:tcPr>
            <w:tcW w:w="1547" w:type="dxa"/>
            <w:vAlign w:val="center"/>
          </w:tcPr>
          <w:p>
            <w:pPr>
              <w:widowControl/>
              <w:jc w:val="center"/>
              <w:rPr>
                <w:rFonts w:ascii="宋体" w:cs="宋体"/>
                <w:color w:val="auto"/>
                <w:spacing w:val="8"/>
                <w:kern w:val="0"/>
                <w:szCs w:val="21"/>
              </w:rPr>
            </w:pPr>
            <w:r>
              <w:rPr>
                <w:rFonts w:hint="eastAsia" w:ascii="宋体" w:hAnsi="宋体" w:cs="宋体"/>
                <w:color w:val="auto"/>
                <w:spacing w:val="8"/>
                <w:kern w:val="0"/>
                <w:szCs w:val="21"/>
              </w:rPr>
              <w:t>□有</w:t>
            </w:r>
          </w:p>
          <w:p>
            <w:pPr>
              <w:widowControl/>
              <w:jc w:val="center"/>
              <w:rPr>
                <w:rFonts w:ascii="宋体" w:cs="宋体"/>
                <w:color w:val="auto"/>
                <w:spacing w:val="8"/>
                <w:kern w:val="0"/>
                <w:szCs w:val="21"/>
              </w:rPr>
            </w:pPr>
            <w:r>
              <w:rPr>
                <w:rFonts w:hint="eastAsia" w:ascii="宋体" w:hAnsi="宋体" w:cs="宋体"/>
                <w:color w:val="auto"/>
                <w:spacing w:val="8"/>
                <w:kern w:val="0"/>
                <w:szCs w:val="21"/>
              </w:rPr>
              <w:t>□无</w:t>
            </w:r>
          </w:p>
        </w:tc>
        <w:tc>
          <w:tcPr>
            <w:tcW w:w="1712" w:type="dxa"/>
            <w:gridSpan w:val="2"/>
            <w:vAlign w:val="center"/>
          </w:tcPr>
          <w:p>
            <w:pPr>
              <w:widowControl/>
              <w:jc w:val="center"/>
              <w:rPr>
                <w:rFonts w:ascii="宋体" w:cs="宋体"/>
                <w:color w:val="auto"/>
                <w:spacing w:val="8"/>
                <w:kern w:val="0"/>
                <w:szCs w:val="21"/>
              </w:rPr>
            </w:pPr>
            <w:r>
              <w:rPr>
                <w:rFonts w:hint="eastAsia" w:ascii="宋体" w:hAnsi="宋体" w:cs="宋体"/>
                <w:color w:val="auto"/>
                <w:spacing w:val="8"/>
                <w:kern w:val="0"/>
                <w:szCs w:val="21"/>
              </w:rPr>
              <w:t>咳嗽、气促</w:t>
            </w:r>
          </w:p>
        </w:tc>
        <w:tc>
          <w:tcPr>
            <w:tcW w:w="4805" w:type="dxa"/>
            <w:gridSpan w:val="3"/>
            <w:vAlign w:val="center"/>
          </w:tcPr>
          <w:p>
            <w:pPr>
              <w:widowControl/>
              <w:jc w:val="center"/>
              <w:rPr>
                <w:rFonts w:ascii="宋体" w:cs="宋体"/>
                <w:color w:val="auto"/>
                <w:spacing w:val="8"/>
                <w:kern w:val="0"/>
                <w:szCs w:val="21"/>
              </w:rPr>
            </w:pPr>
            <w:r>
              <w:rPr>
                <w:rFonts w:hint="eastAsia" w:ascii="宋体" w:hAnsi="宋体" w:cs="宋体"/>
                <w:color w:val="auto"/>
                <w:spacing w:val="8"/>
                <w:kern w:val="0"/>
                <w:szCs w:val="21"/>
              </w:rPr>
              <w:t>□有</w:t>
            </w:r>
          </w:p>
          <w:p>
            <w:pPr>
              <w:widowControl/>
              <w:jc w:val="center"/>
              <w:rPr>
                <w:rFonts w:ascii="宋体" w:cs="宋体"/>
                <w:color w:val="auto"/>
                <w:spacing w:val="8"/>
                <w:kern w:val="0"/>
                <w:szCs w:val="21"/>
              </w:rPr>
            </w:pPr>
            <w:r>
              <w:rPr>
                <w:rFonts w:hint="eastAsia" w:ascii="宋体" w:hAnsi="宋体" w:cs="宋体"/>
                <w:color w:val="auto"/>
                <w:spacing w:val="8"/>
                <w:kern w:val="0"/>
                <w:szCs w:val="21"/>
              </w:rPr>
              <w:t>□无</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289" w:hRule="atLeast"/>
          <w:jc w:val="center"/>
        </w:trPr>
        <w:tc>
          <w:tcPr>
            <w:tcW w:w="9719" w:type="dxa"/>
            <w:gridSpan w:val="7"/>
            <w:vAlign w:val="center"/>
          </w:tcPr>
          <w:p>
            <w:pPr>
              <w:widowControl/>
              <w:jc w:val="center"/>
              <w:rPr>
                <w:rFonts w:ascii="宋体" w:cs="宋体"/>
                <w:color w:val="auto"/>
                <w:spacing w:val="8"/>
                <w:kern w:val="0"/>
                <w:szCs w:val="21"/>
              </w:rPr>
            </w:pPr>
            <w:r>
              <w:rPr>
                <w:rFonts w:hint="eastAsia" w:ascii="宋体" w:hAnsi="宋体" w:cs="宋体"/>
                <w:color w:val="auto"/>
                <w:spacing w:val="8"/>
                <w:kern w:val="0"/>
                <w:szCs w:val="21"/>
              </w:rPr>
              <w:t>是否在近</w:t>
            </w:r>
            <w:r>
              <w:rPr>
                <w:rFonts w:ascii="宋体" w:hAnsi="宋体" w:cs="宋体"/>
                <w:color w:val="auto"/>
                <w:spacing w:val="8"/>
                <w:kern w:val="0"/>
                <w:szCs w:val="21"/>
              </w:rPr>
              <w:t>14</w:t>
            </w:r>
            <w:r>
              <w:rPr>
                <w:rFonts w:hint="eastAsia" w:ascii="宋体" w:hAnsi="宋体" w:cs="宋体"/>
                <w:color w:val="auto"/>
                <w:spacing w:val="8"/>
                <w:kern w:val="0"/>
                <w:szCs w:val="21"/>
              </w:rPr>
              <w:t>天内离开过杭州？</w:t>
            </w:r>
          </w:p>
          <w:p>
            <w:pPr>
              <w:widowControl/>
              <w:jc w:val="center"/>
              <w:rPr>
                <w:rFonts w:ascii="宋体" w:cs="宋体"/>
                <w:b/>
                <w:color w:val="auto"/>
                <w:spacing w:val="8"/>
                <w:kern w:val="0"/>
                <w:szCs w:val="21"/>
              </w:rPr>
            </w:pPr>
            <w:r>
              <w:rPr>
                <w:rFonts w:hint="eastAsia" w:ascii="宋体" w:hAnsi="宋体" w:cs="宋体"/>
                <w:b/>
                <w:color w:val="auto"/>
                <w:spacing w:val="8"/>
                <w:kern w:val="0"/>
                <w:szCs w:val="21"/>
              </w:rPr>
              <w:t>□离开过杭州</w:t>
            </w:r>
            <w:r>
              <w:rPr>
                <w:rFonts w:ascii="宋体" w:hAnsi="宋体" w:cs="宋体"/>
                <w:b/>
                <w:color w:val="auto"/>
                <w:spacing w:val="8"/>
                <w:kern w:val="0"/>
                <w:szCs w:val="21"/>
              </w:rPr>
              <w:t xml:space="preserve">           </w:t>
            </w:r>
            <w:r>
              <w:rPr>
                <w:rFonts w:hint="eastAsia" w:ascii="宋体" w:hAnsi="宋体" w:cs="宋体"/>
                <w:b/>
                <w:color w:val="auto"/>
                <w:spacing w:val="8"/>
                <w:kern w:val="0"/>
                <w:szCs w:val="21"/>
              </w:rPr>
              <w:t>□从未离开杭州</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660" w:hRule="atLeast"/>
          <w:jc w:val="center"/>
        </w:trPr>
        <w:tc>
          <w:tcPr>
            <w:tcW w:w="1655" w:type="dxa"/>
            <w:vAlign w:val="center"/>
          </w:tcPr>
          <w:p>
            <w:pPr>
              <w:widowControl/>
              <w:jc w:val="center"/>
              <w:rPr>
                <w:rFonts w:ascii="宋体" w:cs="宋体"/>
                <w:color w:val="auto"/>
                <w:spacing w:val="8"/>
                <w:kern w:val="0"/>
                <w:szCs w:val="21"/>
              </w:rPr>
            </w:pPr>
            <w:r>
              <w:rPr>
                <w:rFonts w:hint="eastAsia" w:ascii="宋体" w:hAnsi="宋体" w:cs="宋体"/>
                <w:color w:val="auto"/>
                <w:spacing w:val="8"/>
                <w:kern w:val="0"/>
                <w:szCs w:val="21"/>
              </w:rPr>
              <w:t>离杭目的地</w:t>
            </w:r>
          </w:p>
        </w:tc>
        <w:tc>
          <w:tcPr>
            <w:tcW w:w="1828" w:type="dxa"/>
            <w:gridSpan w:val="2"/>
            <w:vAlign w:val="center"/>
          </w:tcPr>
          <w:p>
            <w:pPr>
              <w:widowControl/>
              <w:jc w:val="center"/>
              <w:rPr>
                <w:rFonts w:ascii="宋体" w:cs="宋体"/>
                <w:color w:val="auto"/>
                <w:spacing w:val="8"/>
                <w:kern w:val="0"/>
                <w:szCs w:val="21"/>
              </w:rPr>
            </w:pPr>
          </w:p>
        </w:tc>
        <w:tc>
          <w:tcPr>
            <w:tcW w:w="1617" w:type="dxa"/>
            <w:gridSpan w:val="2"/>
            <w:vAlign w:val="center"/>
          </w:tcPr>
          <w:p>
            <w:pPr>
              <w:widowControl/>
              <w:jc w:val="center"/>
              <w:rPr>
                <w:rFonts w:ascii="宋体" w:cs="宋体"/>
                <w:color w:val="auto"/>
                <w:spacing w:val="8"/>
                <w:kern w:val="0"/>
                <w:szCs w:val="21"/>
              </w:rPr>
            </w:pPr>
            <w:r>
              <w:rPr>
                <w:rFonts w:hint="eastAsia" w:ascii="宋体" w:hAnsi="宋体" w:cs="宋体"/>
                <w:color w:val="auto"/>
                <w:spacing w:val="8"/>
                <w:kern w:val="0"/>
                <w:szCs w:val="21"/>
              </w:rPr>
              <w:t>离杭时间</w:t>
            </w:r>
          </w:p>
        </w:tc>
        <w:tc>
          <w:tcPr>
            <w:tcW w:w="4619" w:type="dxa"/>
            <w:gridSpan w:val="2"/>
            <w:vAlign w:val="center"/>
          </w:tcPr>
          <w:p>
            <w:pPr>
              <w:widowControl/>
              <w:jc w:val="center"/>
              <w:rPr>
                <w:rFonts w:ascii="宋体" w:cs="宋体"/>
                <w:color w:val="auto"/>
                <w:spacing w:val="8"/>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835" w:hRule="atLeast"/>
          <w:jc w:val="center"/>
        </w:trPr>
        <w:tc>
          <w:tcPr>
            <w:tcW w:w="1655" w:type="dxa"/>
            <w:vAlign w:val="center"/>
          </w:tcPr>
          <w:p>
            <w:pPr>
              <w:widowControl/>
              <w:spacing w:line="400" w:lineRule="exact"/>
              <w:jc w:val="center"/>
              <w:rPr>
                <w:rFonts w:ascii="宋体" w:cs="宋体"/>
                <w:color w:val="auto"/>
                <w:spacing w:val="8"/>
                <w:kern w:val="0"/>
                <w:szCs w:val="21"/>
              </w:rPr>
            </w:pPr>
            <w:r>
              <w:rPr>
                <w:rFonts w:hint="eastAsia" w:ascii="宋体" w:hAnsi="宋体" w:cs="宋体"/>
                <w:color w:val="auto"/>
                <w:spacing w:val="8"/>
                <w:kern w:val="0"/>
                <w:szCs w:val="21"/>
              </w:rPr>
              <w:t>乘坐交通</w:t>
            </w:r>
          </w:p>
          <w:p>
            <w:pPr>
              <w:widowControl/>
              <w:spacing w:line="400" w:lineRule="exact"/>
              <w:jc w:val="center"/>
              <w:rPr>
                <w:rFonts w:ascii="宋体" w:cs="宋体"/>
                <w:color w:val="auto"/>
                <w:spacing w:val="8"/>
                <w:kern w:val="0"/>
                <w:szCs w:val="21"/>
              </w:rPr>
            </w:pPr>
            <w:r>
              <w:rPr>
                <w:rFonts w:hint="eastAsia" w:ascii="宋体" w:hAnsi="宋体" w:cs="宋体"/>
                <w:color w:val="auto"/>
                <w:spacing w:val="8"/>
                <w:kern w:val="0"/>
                <w:szCs w:val="21"/>
              </w:rPr>
              <w:t>工具（车次）</w:t>
            </w:r>
          </w:p>
        </w:tc>
        <w:tc>
          <w:tcPr>
            <w:tcW w:w="1828" w:type="dxa"/>
            <w:gridSpan w:val="2"/>
            <w:vAlign w:val="center"/>
          </w:tcPr>
          <w:p>
            <w:pPr>
              <w:widowControl/>
              <w:jc w:val="center"/>
              <w:rPr>
                <w:rFonts w:ascii="宋体" w:cs="宋体"/>
                <w:color w:val="auto"/>
                <w:spacing w:val="8"/>
                <w:kern w:val="0"/>
                <w:szCs w:val="21"/>
              </w:rPr>
            </w:pPr>
          </w:p>
        </w:tc>
        <w:tc>
          <w:tcPr>
            <w:tcW w:w="1617" w:type="dxa"/>
            <w:gridSpan w:val="2"/>
            <w:tcBorders>
              <w:right w:val="single" w:color="auto" w:sz="4" w:space="0"/>
            </w:tcBorders>
            <w:vAlign w:val="center"/>
          </w:tcPr>
          <w:p>
            <w:pPr>
              <w:widowControl/>
              <w:jc w:val="center"/>
              <w:rPr>
                <w:rFonts w:ascii="宋体" w:cs="宋体"/>
                <w:color w:val="auto"/>
                <w:spacing w:val="8"/>
                <w:kern w:val="0"/>
                <w:szCs w:val="21"/>
              </w:rPr>
            </w:pPr>
            <w:r>
              <w:rPr>
                <w:rFonts w:hint="eastAsia" w:ascii="宋体" w:hAnsi="宋体" w:cs="宋体"/>
                <w:color w:val="auto"/>
                <w:spacing w:val="8"/>
                <w:kern w:val="0"/>
                <w:szCs w:val="21"/>
              </w:rPr>
              <w:t>返杭时间</w:t>
            </w:r>
          </w:p>
        </w:tc>
        <w:tc>
          <w:tcPr>
            <w:tcW w:w="4619" w:type="dxa"/>
            <w:gridSpan w:val="2"/>
            <w:tcBorders>
              <w:left w:val="single" w:color="auto" w:sz="4" w:space="0"/>
            </w:tcBorders>
            <w:vAlign w:val="center"/>
          </w:tcPr>
          <w:p>
            <w:pPr>
              <w:widowControl/>
              <w:jc w:val="center"/>
              <w:rPr>
                <w:rFonts w:ascii="宋体" w:cs="宋体"/>
                <w:color w:val="auto"/>
                <w:spacing w:val="8"/>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920" w:hRule="atLeast"/>
          <w:jc w:val="center"/>
        </w:trPr>
        <w:tc>
          <w:tcPr>
            <w:tcW w:w="5100" w:type="dxa"/>
            <w:gridSpan w:val="5"/>
            <w:tcBorders>
              <w:right w:val="single" w:color="auto" w:sz="4" w:space="0"/>
            </w:tcBorders>
          </w:tcPr>
          <w:p>
            <w:pPr>
              <w:widowControl/>
              <w:rPr>
                <w:rFonts w:ascii="宋体" w:cs="宋体"/>
                <w:color w:val="auto"/>
                <w:spacing w:val="8"/>
                <w:kern w:val="0"/>
                <w:szCs w:val="21"/>
              </w:rPr>
            </w:pPr>
            <w:r>
              <w:rPr>
                <w:rFonts w:hint="eastAsia" w:ascii="宋体" w:hAnsi="宋体" w:cs="宋体"/>
                <w:color w:val="auto"/>
                <w:spacing w:val="8"/>
                <w:kern w:val="0"/>
                <w:szCs w:val="21"/>
              </w:rPr>
              <w:t>近</w:t>
            </w:r>
            <w:r>
              <w:rPr>
                <w:rFonts w:ascii="宋体" w:hAnsi="宋体" w:cs="宋体"/>
                <w:color w:val="auto"/>
                <w:spacing w:val="8"/>
                <w:kern w:val="0"/>
                <w:szCs w:val="21"/>
              </w:rPr>
              <w:t>14</w:t>
            </w:r>
            <w:r>
              <w:rPr>
                <w:rFonts w:hint="eastAsia" w:ascii="宋体" w:hAnsi="宋体" w:cs="宋体"/>
                <w:color w:val="auto"/>
                <w:spacing w:val="8"/>
                <w:kern w:val="0"/>
                <w:szCs w:val="21"/>
              </w:rPr>
              <w:t>天内是否与疫情重点地区人员接触？</w:t>
            </w:r>
          </w:p>
          <w:p>
            <w:pPr>
              <w:widowControl/>
              <w:rPr>
                <w:rFonts w:ascii="宋体" w:cs="宋体"/>
                <w:b/>
                <w:color w:val="auto"/>
                <w:spacing w:val="8"/>
                <w:kern w:val="0"/>
                <w:szCs w:val="21"/>
              </w:rPr>
            </w:pPr>
            <w:r>
              <w:rPr>
                <w:rFonts w:hint="eastAsia" w:ascii="宋体" w:hAnsi="宋体" w:cs="宋体"/>
                <w:b/>
                <w:color w:val="auto"/>
                <w:spacing w:val="8"/>
                <w:kern w:val="0"/>
                <w:szCs w:val="21"/>
              </w:rPr>
              <w:t>□未接触过</w:t>
            </w:r>
            <w:r>
              <w:rPr>
                <w:rFonts w:ascii="宋体" w:hAnsi="宋体" w:cs="宋体"/>
                <w:b/>
                <w:color w:val="auto"/>
                <w:spacing w:val="8"/>
                <w:kern w:val="0"/>
                <w:szCs w:val="21"/>
              </w:rPr>
              <w:t xml:space="preserve">           </w:t>
            </w:r>
            <w:r>
              <w:rPr>
                <w:rFonts w:hint="eastAsia" w:ascii="宋体" w:hAnsi="宋体" w:cs="宋体"/>
                <w:b/>
                <w:color w:val="auto"/>
                <w:spacing w:val="8"/>
                <w:kern w:val="0"/>
                <w:szCs w:val="21"/>
              </w:rPr>
              <w:t>□接触过</w:t>
            </w:r>
          </w:p>
          <w:p>
            <w:pPr>
              <w:widowControl/>
              <w:rPr>
                <w:rFonts w:ascii="宋体" w:cs="宋体"/>
                <w:color w:val="auto"/>
                <w:spacing w:val="8"/>
                <w:kern w:val="0"/>
                <w:szCs w:val="21"/>
              </w:rPr>
            </w:pPr>
            <w:r>
              <w:rPr>
                <w:rFonts w:hint="eastAsia" w:ascii="宋体" w:hAnsi="宋体" w:cs="宋体"/>
                <w:b/>
                <w:color w:val="auto"/>
                <w:spacing w:val="8"/>
                <w:kern w:val="0"/>
                <w:szCs w:val="21"/>
              </w:rPr>
              <w:t>具体接触时间及地点：</w:t>
            </w:r>
          </w:p>
        </w:tc>
        <w:tc>
          <w:tcPr>
            <w:tcW w:w="4619" w:type="dxa"/>
            <w:gridSpan w:val="2"/>
            <w:tcBorders>
              <w:left w:val="single" w:color="auto" w:sz="4" w:space="0"/>
            </w:tcBorders>
          </w:tcPr>
          <w:p>
            <w:pPr>
              <w:widowControl/>
              <w:rPr>
                <w:rFonts w:ascii="宋体" w:cs="宋体"/>
                <w:color w:val="auto"/>
                <w:spacing w:val="8"/>
                <w:kern w:val="0"/>
                <w:szCs w:val="21"/>
              </w:rPr>
            </w:pPr>
            <w:r>
              <w:rPr>
                <w:rFonts w:hint="eastAsia" w:ascii="宋体" w:hAnsi="宋体" w:cs="宋体"/>
                <w:color w:val="auto"/>
                <w:spacing w:val="8"/>
                <w:kern w:val="0"/>
                <w:szCs w:val="21"/>
              </w:rPr>
              <w:t>是否接触过确诊病人或疑似病人？</w:t>
            </w:r>
          </w:p>
          <w:p>
            <w:pPr>
              <w:widowControl/>
              <w:rPr>
                <w:rFonts w:ascii="宋体" w:cs="宋体"/>
                <w:b/>
                <w:color w:val="auto"/>
                <w:spacing w:val="8"/>
                <w:kern w:val="0"/>
                <w:szCs w:val="21"/>
              </w:rPr>
            </w:pPr>
            <w:r>
              <w:rPr>
                <w:rFonts w:hint="eastAsia" w:ascii="宋体" w:hAnsi="宋体" w:cs="宋体"/>
                <w:b/>
                <w:color w:val="auto"/>
                <w:spacing w:val="8"/>
                <w:kern w:val="0"/>
                <w:szCs w:val="21"/>
              </w:rPr>
              <w:t>□未接触过</w:t>
            </w:r>
            <w:r>
              <w:rPr>
                <w:rFonts w:ascii="宋体" w:hAnsi="宋体" w:cs="宋体"/>
                <w:b/>
                <w:color w:val="auto"/>
                <w:spacing w:val="8"/>
                <w:kern w:val="0"/>
                <w:szCs w:val="21"/>
              </w:rPr>
              <w:t xml:space="preserve">           </w:t>
            </w:r>
            <w:r>
              <w:rPr>
                <w:rFonts w:hint="eastAsia" w:ascii="宋体" w:hAnsi="宋体" w:cs="宋体"/>
                <w:b/>
                <w:color w:val="auto"/>
                <w:spacing w:val="8"/>
                <w:kern w:val="0"/>
                <w:szCs w:val="21"/>
              </w:rPr>
              <w:t>□接触过</w:t>
            </w:r>
          </w:p>
          <w:p>
            <w:pPr>
              <w:widowControl/>
              <w:rPr>
                <w:rFonts w:ascii="宋体" w:cs="宋体"/>
                <w:color w:val="auto"/>
                <w:spacing w:val="8"/>
                <w:kern w:val="0"/>
                <w:szCs w:val="21"/>
              </w:rPr>
            </w:pPr>
            <w:r>
              <w:rPr>
                <w:rFonts w:hint="eastAsia" w:ascii="宋体" w:hAnsi="宋体" w:cs="宋体"/>
                <w:b/>
                <w:color w:val="auto"/>
                <w:spacing w:val="8"/>
                <w:kern w:val="0"/>
                <w:szCs w:val="21"/>
              </w:rPr>
              <w:t>具体接触时间及地点：</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976" w:hRule="atLeast"/>
          <w:jc w:val="center"/>
        </w:trPr>
        <w:tc>
          <w:tcPr>
            <w:tcW w:w="9719" w:type="dxa"/>
            <w:gridSpan w:val="7"/>
            <w:tcBorders>
              <w:bottom w:val="single" w:color="000000" w:sz="4" w:space="0"/>
            </w:tcBorders>
            <w:vAlign w:val="center"/>
          </w:tcPr>
          <w:p>
            <w:pPr>
              <w:widowControl/>
              <w:spacing w:line="500" w:lineRule="exact"/>
              <w:jc w:val="left"/>
              <w:rPr>
                <w:rFonts w:ascii="宋体" w:cs="宋体"/>
                <w:color w:val="auto"/>
                <w:spacing w:val="8"/>
                <w:kern w:val="0"/>
                <w:szCs w:val="21"/>
              </w:rPr>
            </w:pPr>
            <w:r>
              <w:rPr>
                <w:rFonts w:hint="eastAsia" w:ascii="宋体" w:hAnsi="宋体" w:cs="宋体"/>
                <w:color w:val="auto"/>
                <w:spacing w:val="8"/>
                <w:kern w:val="0"/>
                <w:szCs w:val="21"/>
              </w:rPr>
              <w:t>本人承诺以上信息真实准确。如有不实，愿承担由此引起的一切后果及法律责任。</w:t>
            </w:r>
          </w:p>
          <w:p>
            <w:pPr>
              <w:widowControl/>
              <w:spacing w:line="500" w:lineRule="exact"/>
              <w:jc w:val="left"/>
              <w:rPr>
                <w:rFonts w:ascii="宋体" w:cs="宋体"/>
                <w:color w:val="auto"/>
                <w:spacing w:val="8"/>
                <w:kern w:val="0"/>
                <w:szCs w:val="21"/>
              </w:rPr>
            </w:pPr>
            <w:r>
              <w:rPr>
                <w:rFonts w:ascii="宋体" w:hAnsi="宋体" w:cs="宋体"/>
                <w:color w:val="auto"/>
                <w:spacing w:val="8"/>
                <w:kern w:val="0"/>
                <w:szCs w:val="21"/>
              </w:rPr>
              <w:t xml:space="preserve">                    </w:t>
            </w:r>
            <w:r>
              <w:rPr>
                <w:rFonts w:hint="eastAsia" w:ascii="宋体" w:hAnsi="宋体" w:cs="宋体"/>
                <w:color w:val="auto"/>
                <w:spacing w:val="8"/>
                <w:kern w:val="0"/>
                <w:szCs w:val="21"/>
              </w:rPr>
              <w:t>申请人（签名）：</w:t>
            </w:r>
            <w:r>
              <w:rPr>
                <w:rFonts w:ascii="宋体" w:hAnsi="宋体" w:cs="宋体"/>
                <w:color w:val="auto"/>
                <w:spacing w:val="8"/>
                <w:kern w:val="0"/>
                <w:szCs w:val="21"/>
              </w:rPr>
              <w:t xml:space="preserve">       </w:t>
            </w:r>
            <w:r>
              <w:rPr>
                <w:rFonts w:hint="eastAsia" w:ascii="宋体" w:hAnsi="宋体" w:cs="宋体"/>
                <w:color w:val="auto"/>
                <w:spacing w:val="8"/>
                <w:kern w:val="0"/>
                <w:szCs w:val="21"/>
              </w:rPr>
              <w:t>日期：</w:t>
            </w:r>
          </w:p>
          <w:p>
            <w:pPr>
              <w:widowControl/>
              <w:spacing w:line="500" w:lineRule="exact"/>
              <w:jc w:val="left"/>
              <w:rPr>
                <w:rFonts w:ascii="宋体" w:cs="宋体"/>
                <w:color w:val="auto"/>
                <w:spacing w:val="8"/>
                <w:kern w:val="0"/>
                <w:szCs w:val="21"/>
              </w:rPr>
            </w:pPr>
            <w:r>
              <w:rPr>
                <w:rFonts w:ascii="宋体" w:hAnsi="宋体" w:cs="宋体"/>
                <w:color w:val="auto"/>
                <w:spacing w:val="8"/>
                <w:kern w:val="0"/>
                <w:szCs w:val="21"/>
              </w:rPr>
              <w:t xml:space="preserve">                    </w:t>
            </w:r>
          </w:p>
          <w:p>
            <w:pPr>
              <w:widowControl/>
              <w:spacing w:line="500" w:lineRule="exact"/>
              <w:ind w:firstLine="2034" w:firstLineChars="900"/>
              <w:jc w:val="left"/>
              <w:rPr>
                <w:rFonts w:ascii="宋体" w:cs="宋体"/>
                <w:color w:val="auto"/>
                <w:spacing w:val="8"/>
                <w:kern w:val="0"/>
                <w:szCs w:val="21"/>
              </w:rPr>
            </w:pPr>
            <w:r>
              <w:rPr>
                <w:rFonts w:hint="eastAsia" w:ascii="宋体" w:hAnsi="宋体" w:cs="宋体"/>
                <w:color w:val="auto"/>
                <w:spacing w:val="8"/>
                <w:kern w:val="0"/>
                <w:szCs w:val="21"/>
              </w:rPr>
              <w:t>所在单位（公章）：</w:t>
            </w:r>
          </w:p>
        </w:tc>
      </w:tr>
    </w:tbl>
    <w:p>
      <w:pPr>
        <w:rPr>
          <w:color w:val="auto"/>
        </w:rPr>
      </w:pPr>
    </w:p>
    <w:sectPr>
      <w:headerReference r:id="rId8" w:type="default"/>
      <w:footerReference r:id="rId9" w:type="default"/>
      <w:pgSz w:w="11906" w:h="16838"/>
      <w:pgMar w:top="1247" w:right="1247" w:bottom="1559" w:left="1247" w:header="851" w:footer="851" w:gutter="17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Helvetica">
    <w:altName w:val="Arial"/>
    <w:panose1 w:val="020B0604020202020204"/>
    <w:charset w:val="00"/>
    <w:family w:val="swiss"/>
    <w:pitch w:val="default"/>
    <w:sig w:usb0="00000000" w:usb1="00000000" w:usb2="00000000" w:usb3="00000000" w:csb0="00000001" w:csb1="00000000"/>
  </w:font>
  <w:font w:name="Arial Narrow">
    <w:altName w:val="Arial"/>
    <w:panose1 w:val="020B0606020202030204"/>
    <w:charset w:val="00"/>
    <w:family w:val="swiss"/>
    <w:pitch w:val="default"/>
    <w:sig w:usb0="00000000" w:usb1="00000000" w:usb2="00000000" w:usb3="00000000" w:csb0="2000009F" w:csb1="DFD70000"/>
  </w:font>
  <w:font w:name="方正姚体">
    <w:panose1 w:val="02010601030101010101"/>
    <w:charset w:val="86"/>
    <w:family w:val="auto"/>
    <w:pitch w:val="default"/>
    <w:sig w:usb0="00000003"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 w:name="新宋体">
    <w:panose1 w:val="02010609030101010101"/>
    <w:charset w:val="86"/>
    <w:family w:val="modern"/>
    <w:pitch w:val="default"/>
    <w:sig w:usb0="00000003" w:usb1="288F0000" w:usb2="00000006" w:usb3="00000000" w:csb0="00040001" w:csb1="00000000"/>
  </w:font>
  <w:font w:name="Helv">
    <w:altName w:val="Segoe Print"/>
    <w:panose1 w:val="020B0604020202030204"/>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yriad Pro">
    <w:altName w:val="Segoe Print"/>
    <w:panose1 w:val="00000000000000000000"/>
    <w:charset w:val="00"/>
    <w:family w:val="swiss"/>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entury">
    <w:panose1 w:val="02040604050505020304"/>
    <w:charset w:val="00"/>
    <w:family w:val="roman"/>
    <w:pitch w:val="default"/>
    <w:sig w:usb0="00000287" w:usb1="00000000" w:usb2="00000000" w:usb3="00000000" w:csb0="2000009F" w:csb1="DFD70000"/>
  </w:font>
  <w:font w:name="Wingdings-Regular">
    <w:altName w:val="Courier New"/>
    <w:panose1 w:val="00000000000000000000"/>
    <w:charset w:val="02"/>
    <w:family w:val="auto"/>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right"/>
    </w:pPr>
    <w:r>
      <w:rPr>
        <w:rFonts w:hint="eastAsia"/>
      </w:rPr>
      <w:t>浙江建安工程管理有限公司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framePr w:wrap="around" w:vAnchor="text" w:hAnchor="margin" w:xAlign="center" w:y="1"/>
      <w:rPr>
        <w:rStyle w:val="51"/>
        <w:szCs w:val="32"/>
      </w:rPr>
    </w:pPr>
    <w:r>
      <w:rPr>
        <w:rStyle w:val="51"/>
        <w:szCs w:val="32"/>
      </w:rPr>
      <w:fldChar w:fldCharType="begin"/>
    </w:r>
    <w:r>
      <w:rPr>
        <w:rStyle w:val="51"/>
        <w:szCs w:val="32"/>
      </w:rPr>
      <w:instrText xml:space="preserve">PAGE  </w:instrText>
    </w:r>
    <w:r>
      <w:rPr>
        <w:rStyle w:val="51"/>
        <w:szCs w:val="32"/>
      </w:rPr>
      <w:fldChar w:fldCharType="end"/>
    </w:r>
  </w:p>
  <w:p>
    <w:pPr>
      <w:pStyle w:val="3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2"/>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exact"/>
      <w:rPr>
        <w:sz w:val="18"/>
        <w:szCs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FF3109"/>
    <w:multiLevelType w:val="singleLevel"/>
    <w:tmpl w:val="D0FF3109"/>
    <w:lvl w:ilvl="0" w:tentative="0">
      <w:start w:val="3"/>
      <w:numFmt w:val="chineseCounting"/>
      <w:suff w:val="nothing"/>
      <w:lvlText w:val="%1、"/>
      <w:lvlJc w:val="left"/>
      <w:rPr>
        <w:rFonts w:hint="eastAsia" w:cs="Times New Roman"/>
      </w:rPr>
    </w:lvl>
  </w:abstractNum>
  <w:abstractNum w:abstractNumId="1">
    <w:nsid w:val="F52190A6"/>
    <w:multiLevelType w:val="singleLevel"/>
    <w:tmpl w:val="F52190A6"/>
    <w:lvl w:ilvl="0" w:tentative="0">
      <w:start w:val="1"/>
      <w:numFmt w:val="decimal"/>
      <w:suff w:val="nothing"/>
      <w:lvlText w:val="%1）"/>
      <w:lvlJc w:val="left"/>
    </w:lvl>
  </w:abstractNum>
  <w:abstractNum w:abstractNumId="2">
    <w:nsid w:val="0000000B"/>
    <w:multiLevelType w:val="multilevel"/>
    <w:tmpl w:val="0000000B"/>
    <w:lvl w:ilvl="0" w:tentative="0">
      <w:start w:val="1"/>
      <w:numFmt w:val="decimal"/>
      <w:pStyle w:val="5"/>
      <w:isLgl/>
      <w:lvlText w:val="%1."/>
      <w:lvlJc w:val="left"/>
      <w:pPr>
        <w:tabs>
          <w:tab w:val="left" w:pos="360"/>
        </w:tabs>
      </w:pPr>
      <w:rPr>
        <w:rFonts w:hint="default" w:ascii="Arial" w:hAnsi="Arial" w:cs="Times New Roman"/>
        <w:b/>
        <w:i w:val="0"/>
        <w:sz w:val="32"/>
      </w:rPr>
    </w:lvl>
    <w:lvl w:ilvl="1" w:tentative="0">
      <w:start w:val="1"/>
      <w:numFmt w:val="decimal"/>
      <w:pStyle w:val="6"/>
      <w:lvlText w:val="%1.%2."/>
      <w:lvlJc w:val="left"/>
      <w:pPr>
        <w:tabs>
          <w:tab w:val="left" w:pos="720"/>
        </w:tabs>
        <w:ind w:left="987" w:hanging="567"/>
      </w:pPr>
      <w:rPr>
        <w:rFonts w:hint="eastAsia" w:cs="Times New Roman"/>
      </w:rPr>
    </w:lvl>
    <w:lvl w:ilvl="2" w:tentative="0">
      <w:start w:val="1"/>
      <w:numFmt w:val="decimal"/>
      <w:pStyle w:val="7"/>
      <w:lvlText w:val="%1.%2.%3."/>
      <w:lvlJc w:val="left"/>
      <w:pPr>
        <w:tabs>
          <w:tab w:val="left" w:pos="709"/>
        </w:tabs>
        <w:ind w:left="709" w:hanging="709"/>
      </w:pPr>
      <w:rPr>
        <w:rFonts w:hint="eastAsia" w:cs="Times New Roman"/>
      </w:rPr>
    </w:lvl>
    <w:lvl w:ilvl="3" w:tentative="0">
      <w:start w:val="1"/>
      <w:numFmt w:val="decimal"/>
      <w:lvlText w:val="%1.%2.%3.%4."/>
      <w:lvlJc w:val="left"/>
      <w:pPr>
        <w:tabs>
          <w:tab w:val="left" w:pos="851"/>
        </w:tabs>
        <w:ind w:left="851" w:hanging="851"/>
      </w:pPr>
      <w:rPr>
        <w:rFonts w:hint="eastAsia" w:cs="Times New Roman"/>
      </w:rPr>
    </w:lvl>
    <w:lvl w:ilvl="4" w:tentative="0">
      <w:start w:val="1"/>
      <w:numFmt w:val="decimal"/>
      <w:lvlText w:val="%1.%2.%3.%4.%5."/>
      <w:lvlJc w:val="left"/>
      <w:pPr>
        <w:tabs>
          <w:tab w:val="left" w:pos="992"/>
        </w:tabs>
        <w:ind w:left="992" w:hanging="992"/>
      </w:pPr>
      <w:rPr>
        <w:rFonts w:hint="eastAsia" w:cs="Times New Roman"/>
      </w:rPr>
    </w:lvl>
    <w:lvl w:ilvl="5" w:tentative="0">
      <w:start w:val="1"/>
      <w:numFmt w:val="decimal"/>
      <w:lvlText w:val="%1.%2.%3.%4.%5.%6."/>
      <w:lvlJc w:val="left"/>
      <w:pPr>
        <w:tabs>
          <w:tab w:val="left" w:pos="1134"/>
        </w:tabs>
        <w:ind w:left="1134" w:hanging="1134"/>
      </w:pPr>
      <w:rPr>
        <w:rFonts w:hint="eastAsia" w:cs="Times New Roman"/>
      </w:rPr>
    </w:lvl>
    <w:lvl w:ilvl="6" w:tentative="0">
      <w:start w:val="1"/>
      <w:numFmt w:val="decimal"/>
      <w:lvlText w:val="%1.%2.%3.%4.%5.%6.%7."/>
      <w:lvlJc w:val="left"/>
      <w:pPr>
        <w:tabs>
          <w:tab w:val="left" w:pos="1276"/>
        </w:tabs>
        <w:ind w:left="1276" w:hanging="1276"/>
      </w:pPr>
      <w:rPr>
        <w:rFonts w:hint="eastAsia" w:cs="Times New Roman"/>
      </w:rPr>
    </w:lvl>
    <w:lvl w:ilvl="7" w:tentative="0">
      <w:start w:val="1"/>
      <w:numFmt w:val="decimal"/>
      <w:lvlText w:val="%1.%2.%3.%4.%5.%6.%7.%8."/>
      <w:lvlJc w:val="left"/>
      <w:pPr>
        <w:tabs>
          <w:tab w:val="left" w:pos="1418"/>
        </w:tabs>
        <w:ind w:left="1418" w:hanging="1418"/>
      </w:pPr>
      <w:rPr>
        <w:rFonts w:hint="eastAsia" w:cs="Times New Roman"/>
      </w:rPr>
    </w:lvl>
    <w:lvl w:ilvl="8" w:tentative="0">
      <w:start w:val="1"/>
      <w:numFmt w:val="decimal"/>
      <w:lvlText w:val="%1.%2.%3.%4.%5.%6.%7.%8.%9."/>
      <w:lvlJc w:val="left"/>
      <w:pPr>
        <w:tabs>
          <w:tab w:val="left" w:pos="1559"/>
        </w:tabs>
        <w:ind w:left="1559" w:hanging="1559"/>
      </w:pPr>
      <w:rPr>
        <w:rFonts w:hint="eastAsia" w:cs="Times New Roman"/>
      </w:rPr>
    </w:lvl>
  </w:abstractNum>
  <w:abstractNum w:abstractNumId="3">
    <w:nsid w:val="0000000C"/>
    <w:multiLevelType w:val="multilevel"/>
    <w:tmpl w:val="0000000C"/>
    <w:lvl w:ilvl="0" w:tentative="0">
      <w:start w:val="1"/>
      <w:numFmt w:val="japaneseCounting"/>
      <w:lvlText w:val="〈%1〉"/>
      <w:lvlJc w:val="left"/>
      <w:pPr>
        <w:tabs>
          <w:tab w:val="left" w:pos="1425"/>
        </w:tabs>
        <w:ind w:left="1425" w:hanging="855"/>
      </w:pPr>
      <w:rPr>
        <w:rFonts w:hint="default" w:cs="Times New Roman"/>
      </w:rPr>
    </w:lvl>
    <w:lvl w:ilvl="1" w:tentative="0">
      <w:start w:val="1"/>
      <w:numFmt w:val="lowerLetter"/>
      <w:lvlText w:val="%2)"/>
      <w:lvlJc w:val="left"/>
      <w:pPr>
        <w:tabs>
          <w:tab w:val="left" w:pos="1410"/>
        </w:tabs>
        <w:ind w:left="1410" w:hanging="420"/>
      </w:pPr>
      <w:rPr>
        <w:rFonts w:cs="Times New Roman"/>
      </w:rPr>
    </w:lvl>
    <w:lvl w:ilvl="2" w:tentative="0">
      <w:start w:val="1"/>
      <w:numFmt w:val="lowerRoman"/>
      <w:lvlText w:val="%3."/>
      <w:lvlJc w:val="right"/>
      <w:pPr>
        <w:tabs>
          <w:tab w:val="left" w:pos="1830"/>
        </w:tabs>
        <w:ind w:left="1830" w:hanging="420"/>
      </w:pPr>
      <w:rPr>
        <w:rFonts w:cs="Times New Roman"/>
      </w:rPr>
    </w:lvl>
    <w:lvl w:ilvl="3" w:tentative="0">
      <w:start w:val="1"/>
      <w:numFmt w:val="decimal"/>
      <w:lvlText w:val="%4."/>
      <w:lvlJc w:val="left"/>
      <w:pPr>
        <w:tabs>
          <w:tab w:val="left" w:pos="2250"/>
        </w:tabs>
        <w:ind w:left="2250" w:hanging="420"/>
      </w:pPr>
      <w:rPr>
        <w:rFonts w:cs="Times New Roman"/>
      </w:rPr>
    </w:lvl>
    <w:lvl w:ilvl="4" w:tentative="0">
      <w:start w:val="1"/>
      <w:numFmt w:val="lowerLetter"/>
      <w:lvlText w:val="%5)"/>
      <w:lvlJc w:val="left"/>
      <w:pPr>
        <w:tabs>
          <w:tab w:val="left" w:pos="2670"/>
        </w:tabs>
        <w:ind w:left="2670" w:hanging="420"/>
      </w:pPr>
      <w:rPr>
        <w:rFonts w:cs="Times New Roman"/>
      </w:rPr>
    </w:lvl>
    <w:lvl w:ilvl="5" w:tentative="0">
      <w:start w:val="1"/>
      <w:numFmt w:val="lowerRoman"/>
      <w:lvlText w:val="%6."/>
      <w:lvlJc w:val="right"/>
      <w:pPr>
        <w:tabs>
          <w:tab w:val="left" w:pos="3090"/>
        </w:tabs>
        <w:ind w:left="3090" w:hanging="420"/>
      </w:pPr>
      <w:rPr>
        <w:rFonts w:cs="Times New Roman"/>
      </w:rPr>
    </w:lvl>
    <w:lvl w:ilvl="6" w:tentative="0">
      <w:start w:val="1"/>
      <w:numFmt w:val="decimal"/>
      <w:lvlText w:val="%7."/>
      <w:lvlJc w:val="left"/>
      <w:pPr>
        <w:tabs>
          <w:tab w:val="left" w:pos="3510"/>
        </w:tabs>
        <w:ind w:left="3510" w:hanging="420"/>
      </w:pPr>
      <w:rPr>
        <w:rFonts w:cs="Times New Roman"/>
      </w:rPr>
    </w:lvl>
    <w:lvl w:ilvl="7" w:tentative="0">
      <w:start w:val="1"/>
      <w:numFmt w:val="lowerLetter"/>
      <w:lvlText w:val="%8)"/>
      <w:lvlJc w:val="left"/>
      <w:pPr>
        <w:tabs>
          <w:tab w:val="left" w:pos="3930"/>
        </w:tabs>
        <w:ind w:left="3930" w:hanging="420"/>
      </w:pPr>
      <w:rPr>
        <w:rFonts w:cs="Times New Roman"/>
      </w:rPr>
    </w:lvl>
    <w:lvl w:ilvl="8" w:tentative="0">
      <w:start w:val="1"/>
      <w:numFmt w:val="lowerRoman"/>
      <w:lvlText w:val="%9."/>
      <w:lvlJc w:val="right"/>
      <w:pPr>
        <w:tabs>
          <w:tab w:val="left" w:pos="4350"/>
        </w:tabs>
        <w:ind w:left="4350" w:hanging="420"/>
      </w:pPr>
      <w:rPr>
        <w:rFonts w:cs="Times New Roman"/>
      </w:rPr>
    </w:lvl>
  </w:abstractNum>
  <w:abstractNum w:abstractNumId="4">
    <w:nsid w:val="0000000D"/>
    <w:multiLevelType w:val="singleLevel"/>
    <w:tmpl w:val="0000000D"/>
    <w:lvl w:ilvl="0" w:tentative="0">
      <w:start w:val="1"/>
      <w:numFmt w:val="bullet"/>
      <w:pStyle w:val="185"/>
      <w:lvlText w:val=""/>
      <w:lvlJc w:val="left"/>
      <w:pPr>
        <w:tabs>
          <w:tab w:val="left" w:pos="360"/>
        </w:tabs>
        <w:ind w:left="360" w:hanging="360"/>
      </w:pPr>
      <w:rPr>
        <w:rFonts w:hint="default" w:ascii="Symbol" w:hAnsi="Symbol"/>
      </w:rPr>
    </w:lvl>
  </w:abstractNum>
  <w:abstractNum w:abstractNumId="5">
    <w:nsid w:val="0000000E"/>
    <w:multiLevelType w:val="multilevel"/>
    <w:tmpl w:val="0000000E"/>
    <w:lvl w:ilvl="0" w:tentative="0">
      <w:start w:val="1"/>
      <w:numFmt w:val="bullet"/>
      <w:pStyle w:val="275"/>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6">
    <w:nsid w:val="00000010"/>
    <w:multiLevelType w:val="singleLevel"/>
    <w:tmpl w:val="00000010"/>
    <w:lvl w:ilvl="0" w:tentative="0">
      <w:start w:val="1"/>
      <w:numFmt w:val="bullet"/>
      <w:pStyle w:val="145"/>
      <w:lvlText w:val=""/>
      <w:lvlJc w:val="left"/>
      <w:pPr>
        <w:tabs>
          <w:tab w:val="left" w:pos="360"/>
        </w:tabs>
        <w:ind w:left="360" w:hanging="360"/>
      </w:pPr>
      <w:rPr>
        <w:rFonts w:hint="default" w:ascii="Wingdings" w:hAnsi="Wingdings"/>
      </w:rPr>
    </w:lvl>
  </w:abstractNum>
  <w:abstractNum w:abstractNumId="7">
    <w:nsid w:val="00000011"/>
    <w:multiLevelType w:val="multilevel"/>
    <w:tmpl w:val="00000011"/>
    <w:lvl w:ilvl="0" w:tentative="0">
      <w:start w:val="1"/>
      <w:numFmt w:val="chineseCountingThousand"/>
      <w:lvlText w:val="%1. "/>
      <w:legacy w:legacy="1" w:legacySpace="0" w:legacyIndent="0"/>
      <w:lvlJc w:val="left"/>
      <w:rPr>
        <w:rFonts w:cs="Times New Roman"/>
        <w:sz w:val="32"/>
      </w:rPr>
    </w:lvl>
    <w:lvl w:ilvl="1" w:tentative="0">
      <w:start w:val="1"/>
      <w:numFmt w:val="none"/>
      <w:suff w:val="nothing"/>
      <w:lvlText w:val=""/>
      <w:lvlJc w:val="left"/>
      <w:rPr>
        <w:rFonts w:cs="Times New Roman"/>
      </w:rPr>
    </w:lvl>
    <w:lvl w:ilvl="2" w:tentative="0">
      <w:start w:val="1"/>
      <w:numFmt w:val="none"/>
      <w:suff w:val="nothing"/>
      <w:lvlText w:val=""/>
      <w:lvlJc w:val="left"/>
      <w:rPr>
        <w:rFonts w:cs="Times New Roman"/>
      </w:rPr>
    </w:lvl>
    <w:lvl w:ilvl="3" w:tentative="0">
      <w:start w:val="1"/>
      <w:numFmt w:val="none"/>
      <w:suff w:val="nothing"/>
      <w:lvlText w:val=""/>
      <w:lvlJc w:val="left"/>
      <w:rPr>
        <w:rFonts w:cs="Times New Roman"/>
      </w:rPr>
    </w:lvl>
    <w:lvl w:ilvl="4" w:tentative="0">
      <w:start w:val="1"/>
      <w:numFmt w:val="none"/>
      <w:suff w:val="nothing"/>
      <w:lvlText w:val=""/>
      <w:lvlJc w:val="left"/>
      <w:rPr>
        <w:rFonts w:cs="Times New Roman"/>
      </w:rPr>
    </w:lvl>
    <w:lvl w:ilvl="5" w:tentative="0">
      <w:start w:val="1"/>
      <w:numFmt w:val="none"/>
      <w:suff w:val="nothing"/>
      <w:lvlText w:val=""/>
      <w:lvlJc w:val="left"/>
      <w:rPr>
        <w:rFonts w:cs="Times New Roman"/>
      </w:rPr>
    </w:lvl>
    <w:lvl w:ilvl="6" w:tentative="0">
      <w:start w:val="1"/>
      <w:numFmt w:val="none"/>
      <w:pStyle w:val="11"/>
      <w:suff w:val="nothing"/>
      <w:lvlText w:val=""/>
      <w:lvlJc w:val="left"/>
      <w:rPr>
        <w:rFonts w:cs="Times New Roman"/>
      </w:rPr>
    </w:lvl>
    <w:lvl w:ilvl="7" w:tentative="0">
      <w:start w:val="1"/>
      <w:numFmt w:val="none"/>
      <w:pStyle w:val="12"/>
      <w:suff w:val="nothing"/>
      <w:lvlText w:val=""/>
      <w:lvlJc w:val="left"/>
      <w:rPr>
        <w:rFonts w:cs="Times New Roman"/>
      </w:rPr>
    </w:lvl>
    <w:lvl w:ilvl="8" w:tentative="0">
      <w:start w:val="1"/>
      <w:numFmt w:val="none"/>
      <w:pStyle w:val="13"/>
      <w:suff w:val="nothing"/>
      <w:lvlText w:val=""/>
      <w:lvlJc w:val="left"/>
      <w:rPr>
        <w:rFonts w:cs="Times New Roman"/>
      </w:rPr>
    </w:lvl>
  </w:abstractNum>
  <w:abstractNum w:abstractNumId="8">
    <w:nsid w:val="00000012"/>
    <w:multiLevelType w:val="multilevel"/>
    <w:tmpl w:val="00000012"/>
    <w:lvl w:ilvl="0" w:tentative="0">
      <w:start w:val="1"/>
      <w:numFmt w:val="bullet"/>
      <w:lvlText w:val=""/>
      <w:lvlJc w:val="left"/>
      <w:pPr>
        <w:tabs>
          <w:tab w:val="left" w:pos="1260"/>
        </w:tabs>
        <w:ind w:left="1260" w:hanging="420"/>
      </w:pPr>
      <w:rPr>
        <w:rFonts w:hint="default" w:ascii="Wingdings" w:hAnsi="Wingdings"/>
      </w:rPr>
    </w:lvl>
    <w:lvl w:ilvl="1" w:tentative="0">
      <w:start w:val="1"/>
      <w:numFmt w:val="bullet"/>
      <w:pStyle w:val="207"/>
      <w:lvlText w:val=""/>
      <w:lvlJc w:val="left"/>
      <w:pPr>
        <w:tabs>
          <w:tab w:val="left" w:pos="1680"/>
        </w:tabs>
        <w:ind w:left="1680" w:hanging="420"/>
      </w:pPr>
      <w:rPr>
        <w:rFonts w:hint="default" w:ascii="Wingdings" w:hAnsi="Wingdings"/>
        <w:color w:val="000000"/>
      </w:rPr>
    </w:lvl>
    <w:lvl w:ilvl="2" w:tentative="0">
      <w:start w:val="1"/>
      <w:numFmt w:val="lowerRoman"/>
      <w:lvlText w:val="%3."/>
      <w:lvlJc w:val="right"/>
      <w:pPr>
        <w:ind w:left="2100" w:hanging="420"/>
      </w:pPr>
      <w:rPr>
        <w:rFonts w:cs="Times New Roman"/>
      </w:rPr>
    </w:lvl>
    <w:lvl w:ilvl="3" w:tentative="0">
      <w:start w:val="1"/>
      <w:numFmt w:val="decimal"/>
      <w:lvlText w:val="%4."/>
      <w:lvlJc w:val="left"/>
      <w:pPr>
        <w:ind w:left="2520" w:hanging="420"/>
      </w:pPr>
      <w:rPr>
        <w:rFonts w:cs="Times New Roman"/>
      </w:rPr>
    </w:lvl>
    <w:lvl w:ilvl="4" w:tentative="0">
      <w:start w:val="1"/>
      <w:numFmt w:val="lowerLetter"/>
      <w:lvlText w:val="%5)"/>
      <w:lvlJc w:val="left"/>
      <w:pPr>
        <w:ind w:left="2940" w:hanging="420"/>
      </w:pPr>
      <w:rPr>
        <w:rFonts w:cs="Times New Roman"/>
      </w:rPr>
    </w:lvl>
    <w:lvl w:ilvl="5" w:tentative="0">
      <w:start w:val="1"/>
      <w:numFmt w:val="lowerRoman"/>
      <w:lvlText w:val="%6."/>
      <w:lvlJc w:val="right"/>
      <w:pPr>
        <w:ind w:left="3360" w:hanging="420"/>
      </w:pPr>
      <w:rPr>
        <w:rFonts w:cs="Times New Roman"/>
      </w:rPr>
    </w:lvl>
    <w:lvl w:ilvl="6" w:tentative="0">
      <w:start w:val="1"/>
      <w:numFmt w:val="decimal"/>
      <w:lvlText w:val="%7."/>
      <w:lvlJc w:val="left"/>
      <w:pPr>
        <w:ind w:left="3780" w:hanging="420"/>
      </w:pPr>
      <w:rPr>
        <w:rFonts w:cs="Times New Roman"/>
      </w:rPr>
    </w:lvl>
    <w:lvl w:ilvl="7" w:tentative="0">
      <w:start w:val="1"/>
      <w:numFmt w:val="lowerLetter"/>
      <w:lvlText w:val="%8)"/>
      <w:lvlJc w:val="left"/>
      <w:pPr>
        <w:ind w:left="4200" w:hanging="420"/>
      </w:pPr>
      <w:rPr>
        <w:rFonts w:cs="Times New Roman"/>
      </w:rPr>
    </w:lvl>
    <w:lvl w:ilvl="8" w:tentative="0">
      <w:start w:val="1"/>
      <w:numFmt w:val="lowerRoman"/>
      <w:lvlText w:val="%9."/>
      <w:lvlJc w:val="right"/>
      <w:pPr>
        <w:ind w:left="4620" w:hanging="420"/>
      </w:pPr>
      <w:rPr>
        <w:rFonts w:cs="Times New Roman"/>
      </w:rPr>
    </w:lvl>
  </w:abstractNum>
  <w:abstractNum w:abstractNumId="9">
    <w:nsid w:val="00000013"/>
    <w:multiLevelType w:val="multilevel"/>
    <w:tmpl w:val="00000013"/>
    <w:lvl w:ilvl="0" w:tentative="0">
      <w:start w:val="4"/>
      <w:numFmt w:val="decimal"/>
      <w:lvlText w:val="%1．"/>
      <w:lvlJc w:val="left"/>
      <w:pPr>
        <w:tabs>
          <w:tab w:val="left" w:pos="360"/>
        </w:tabs>
        <w:ind w:left="360" w:hanging="360"/>
      </w:pPr>
      <w:rPr>
        <w:rFonts w:hint="eastAsia" w:cs="Times New Roman"/>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37"/>
      <w:numFmt w:val="decimal"/>
      <w:lvlText w:val="%4）"/>
      <w:lvlJc w:val="left"/>
      <w:pPr>
        <w:tabs>
          <w:tab w:val="left" w:pos="2100"/>
        </w:tabs>
        <w:ind w:left="2100" w:hanging="840"/>
      </w:pPr>
      <w:rPr>
        <w:rFonts w:hint="eastAsia" w:cs="Times New Roman"/>
      </w:rPr>
    </w:lvl>
    <w:lvl w:ilvl="4" w:tentative="0">
      <w:start w:val="1"/>
      <w:numFmt w:val="decimal"/>
      <w:pStyle w:val="189"/>
      <w:lvlText w:val="%5．"/>
      <w:lvlJc w:val="left"/>
      <w:pPr>
        <w:tabs>
          <w:tab w:val="left" w:pos="2040"/>
        </w:tabs>
        <w:ind w:left="2040" w:hanging="360"/>
      </w:pPr>
      <w:rPr>
        <w:rFonts w:hint="eastAsia" w:cs="Times New Roman"/>
      </w:rPr>
    </w:lvl>
    <w:lvl w:ilvl="5" w:tentative="0">
      <w:start w:val="1"/>
      <w:numFmt w:val="lowerRoman"/>
      <w:pStyle w:val="200"/>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0">
    <w:nsid w:val="00000014"/>
    <w:multiLevelType w:val="multilevel"/>
    <w:tmpl w:val="00000014"/>
    <w:lvl w:ilvl="0" w:tentative="0">
      <w:start w:val="1"/>
      <w:numFmt w:val="decimal"/>
      <w:pStyle w:val="171"/>
      <w:suff w:val="nothing"/>
      <w:lvlText w:val="%1."/>
      <w:lvlJc w:val="left"/>
      <w:rPr>
        <w:rFonts w:hint="eastAsia" w:cs="Times New Roman"/>
        <w:b/>
        <w:i w:val="0"/>
        <w:sz w:val="32"/>
        <w:szCs w:val="32"/>
      </w:rPr>
    </w:lvl>
    <w:lvl w:ilvl="1" w:tentative="0">
      <w:start w:val="0"/>
      <w:numFmt w:val="decimal"/>
      <w:pStyle w:val="181"/>
      <w:suff w:val="nothing"/>
      <w:lvlText w:val="%1.%2."/>
      <w:lvlJc w:val="left"/>
      <w:pPr>
        <w:ind w:left="380" w:hanging="380"/>
      </w:pPr>
      <w:rPr>
        <w:rFonts w:hint="eastAsia" w:cs="Times New Roman"/>
        <w:b/>
        <w:i w:val="0"/>
        <w:sz w:val="28"/>
        <w:szCs w:val="28"/>
      </w:rPr>
    </w:lvl>
    <w:lvl w:ilvl="2" w:tentative="0">
      <w:start w:val="1"/>
      <w:numFmt w:val="decimal"/>
      <w:pStyle w:val="260"/>
      <w:suff w:val="nothing"/>
      <w:lvlText w:val="%1.%2.%3."/>
      <w:lvlJc w:val="left"/>
      <w:rPr>
        <w:rFonts w:hint="eastAsia" w:cs="Times New Roman"/>
        <w:b/>
        <w:i w:val="0"/>
        <w:sz w:val="24"/>
        <w:szCs w:val="24"/>
      </w:rPr>
    </w:lvl>
    <w:lvl w:ilvl="3" w:tentative="0">
      <w:start w:val="1"/>
      <w:numFmt w:val="decimal"/>
      <w:suff w:val="nothing"/>
      <w:lvlText w:val="%1.%2.%3.%4."/>
      <w:lvlJc w:val="left"/>
      <w:rPr>
        <w:rFonts w:hint="eastAsia" w:cs="Times New Roman"/>
        <w:b/>
        <w:i w:val="0"/>
        <w:sz w:val="21"/>
        <w:szCs w:val="21"/>
      </w:rPr>
    </w:lvl>
    <w:lvl w:ilvl="4" w:tentative="0">
      <w:start w:val="1"/>
      <w:numFmt w:val="decimal"/>
      <w:lvlText w:val="%1.%2.%3.%4.%5."/>
      <w:lvlJc w:val="left"/>
      <w:pPr>
        <w:tabs>
          <w:tab w:val="left" w:pos="9067"/>
        </w:tabs>
        <w:ind w:left="9067" w:hanging="992"/>
      </w:pPr>
      <w:rPr>
        <w:rFonts w:hint="eastAsia" w:cs="Times New Roman"/>
      </w:rPr>
    </w:lvl>
    <w:lvl w:ilvl="5" w:tentative="0">
      <w:start w:val="1"/>
      <w:numFmt w:val="decimal"/>
      <w:lvlText w:val="%1.%2.%3.%4.%5.%6."/>
      <w:lvlJc w:val="left"/>
      <w:pPr>
        <w:tabs>
          <w:tab w:val="left" w:pos="9209"/>
        </w:tabs>
        <w:ind w:left="9209" w:hanging="1134"/>
      </w:pPr>
      <w:rPr>
        <w:rFonts w:hint="eastAsia" w:cs="Times New Roman"/>
      </w:rPr>
    </w:lvl>
    <w:lvl w:ilvl="6" w:tentative="0">
      <w:start w:val="1"/>
      <w:numFmt w:val="decimal"/>
      <w:lvlText w:val="%1.%2.%3.%4.%5.%6.%7."/>
      <w:lvlJc w:val="left"/>
      <w:pPr>
        <w:tabs>
          <w:tab w:val="left" w:pos="9351"/>
        </w:tabs>
        <w:ind w:left="9351" w:hanging="1276"/>
      </w:pPr>
      <w:rPr>
        <w:rFonts w:hint="eastAsia" w:cs="Times New Roman"/>
      </w:rPr>
    </w:lvl>
    <w:lvl w:ilvl="7" w:tentative="0">
      <w:start w:val="1"/>
      <w:numFmt w:val="decimal"/>
      <w:lvlText w:val="%1.%2.%3.%4.%5.%6.%7.%8."/>
      <w:lvlJc w:val="left"/>
      <w:pPr>
        <w:tabs>
          <w:tab w:val="left" w:pos="9493"/>
        </w:tabs>
        <w:ind w:left="9493" w:hanging="1418"/>
      </w:pPr>
      <w:rPr>
        <w:rFonts w:hint="eastAsia" w:cs="Times New Roman"/>
      </w:rPr>
    </w:lvl>
    <w:lvl w:ilvl="8" w:tentative="0">
      <w:start w:val="1"/>
      <w:numFmt w:val="decimal"/>
      <w:lvlText w:val="%1.%2.%3.%4.%5.%6.%7.%8.%9."/>
      <w:lvlJc w:val="left"/>
      <w:pPr>
        <w:tabs>
          <w:tab w:val="left" w:pos="9634"/>
        </w:tabs>
        <w:ind w:left="9634" w:hanging="1559"/>
      </w:pPr>
      <w:rPr>
        <w:rFonts w:hint="eastAsia" w:cs="Times New Roman"/>
      </w:rPr>
    </w:lvl>
  </w:abstractNum>
  <w:abstractNum w:abstractNumId="11">
    <w:nsid w:val="0667461E"/>
    <w:multiLevelType w:val="multilevel"/>
    <w:tmpl w:val="0667461E"/>
    <w:lvl w:ilvl="0" w:tentative="0">
      <w:start w:val="1"/>
      <w:numFmt w:val="chineseCountingThousand"/>
      <w:pStyle w:val="328"/>
      <w:suff w:val="space"/>
      <w:lvlText w:val="第%1章"/>
      <w:lvlJc w:val="left"/>
      <w:pPr>
        <w:ind w:left="0" w:firstLine="0"/>
      </w:pPr>
      <w:rPr>
        <w:rFonts w:hint="default" w:ascii="Times New Roman" w:hAnsi="Times New Roman" w:eastAsia="宋体"/>
        <w:b/>
        <w:i w:val="0"/>
        <w:sz w:val="36"/>
      </w:rPr>
    </w:lvl>
    <w:lvl w:ilvl="1" w:tentative="0">
      <w:start w:val="1"/>
      <w:numFmt w:val="decimal"/>
      <w:pStyle w:val="322"/>
      <w:isLgl/>
      <w:suff w:val="space"/>
      <w:lvlText w:val="%1.%2"/>
      <w:lvlJc w:val="left"/>
      <w:pPr>
        <w:ind w:left="0" w:firstLine="0"/>
      </w:pPr>
      <w:rPr>
        <w:rFonts w:hint="default" w:ascii="Times New Roman" w:hAnsi="Times New Roman"/>
        <w:b/>
        <w:i w:val="0"/>
        <w:sz w:val="32"/>
      </w:rPr>
    </w:lvl>
    <w:lvl w:ilvl="2" w:tentative="0">
      <w:start w:val="1"/>
      <w:numFmt w:val="decimal"/>
      <w:pStyle w:val="323"/>
      <w:isLgl/>
      <w:suff w:val="space"/>
      <w:lvlText w:val="%1.%2.%3"/>
      <w:lvlJc w:val="left"/>
      <w:pPr>
        <w:ind w:left="0" w:firstLine="0"/>
      </w:pPr>
      <w:rPr>
        <w:rFonts w:hint="default" w:ascii="Times New Roman" w:hAnsi="Times New Roman"/>
        <w:b/>
        <w:i w:val="0"/>
        <w:color w:val="auto"/>
        <w:sz w:val="30"/>
      </w:rPr>
    </w:lvl>
    <w:lvl w:ilvl="3" w:tentative="0">
      <w:start w:val="1"/>
      <w:numFmt w:val="decimal"/>
      <w:pStyle w:val="324"/>
      <w:isLgl/>
      <w:suff w:val="space"/>
      <w:lvlText w:val="%1.%2.%3.%4"/>
      <w:lvlJc w:val="left"/>
      <w:pPr>
        <w:ind w:left="0" w:firstLine="0"/>
      </w:pPr>
      <w:rPr>
        <w:rFonts w:hint="default" w:ascii="Times New Roman" w:hAnsi="Times New Roman"/>
        <w:b/>
        <w:i w:val="0"/>
        <w:sz w:val="28"/>
      </w:rPr>
    </w:lvl>
    <w:lvl w:ilvl="4" w:tentative="0">
      <w:start w:val="1"/>
      <w:numFmt w:val="decimal"/>
      <w:pStyle w:val="325"/>
      <w:isLgl/>
      <w:suff w:val="space"/>
      <w:lvlText w:val="%1.%2.%3.%4.%5"/>
      <w:lvlJc w:val="left"/>
      <w:pPr>
        <w:ind w:left="0" w:firstLine="0"/>
      </w:pPr>
      <w:rPr>
        <w:rFonts w:hint="default" w:ascii="Times New Roman" w:hAnsi="Times New Roman"/>
        <w:b/>
        <w:i w:val="0"/>
        <w:sz w:val="24"/>
      </w:rPr>
    </w:lvl>
    <w:lvl w:ilvl="5" w:tentative="0">
      <w:start w:val="1"/>
      <w:numFmt w:val="decimal"/>
      <w:isLgl/>
      <w:suff w:val="space"/>
      <w:lvlText w:val="%1.%2.%3.%4.%5.%6"/>
      <w:lvlJc w:val="left"/>
      <w:pPr>
        <w:ind w:left="0" w:firstLine="0"/>
      </w:pPr>
      <w:rPr>
        <w:b w:val="0"/>
        <w:bCs w:val="0"/>
        <w:i w:val="0"/>
        <w:iCs w:val="0"/>
        <w:caps w:val="0"/>
        <w:smallCaps w:val="0"/>
        <w:strike w:val="0"/>
        <w:dstrike w:val="0"/>
        <w:outline w:val="0"/>
        <w:shadow w:val="0"/>
        <w:emboss w:val="0"/>
        <w:imprint w:val="0"/>
        <w:vanish w:val="0"/>
        <w:spacing w:val="0"/>
        <w:position w:val="0"/>
        <w:u w:val="none"/>
        <w:vertAlign w:val="baseline"/>
      </w:rPr>
    </w:lvl>
    <w:lvl w:ilvl="6" w:tentative="0">
      <w:start w:val="1"/>
      <w:numFmt w:val="decimal"/>
      <w:isLgl/>
      <w:suff w:val="space"/>
      <w:lvlText w:val="%1.%2.%3.%4.%5.%6.%7"/>
      <w:lvlJc w:val="left"/>
      <w:pPr>
        <w:ind w:left="0" w:firstLine="0"/>
      </w:pPr>
      <w:rPr>
        <w:rFonts w:hint="default" w:ascii="Times New Roman" w:hAnsi="Times New Roman"/>
        <w:b/>
        <w:i w:val="0"/>
        <w:sz w:val="24"/>
      </w:rPr>
    </w:lvl>
    <w:lvl w:ilvl="7" w:tentative="0">
      <w:start w:val="1"/>
      <w:numFmt w:val="decimal"/>
      <w:isLgl/>
      <w:suff w:val="space"/>
      <w:lvlText w:val="%1.%2.%3.%4.%5.%6.%7.%8"/>
      <w:lvlJc w:val="left"/>
      <w:pPr>
        <w:ind w:left="0" w:firstLine="0"/>
      </w:pPr>
      <w:rPr>
        <w:rFonts w:hint="default" w:ascii="Times New Roman" w:hAnsi="Times New Roman"/>
        <w:b/>
        <w:i w:val="0"/>
        <w:sz w:val="24"/>
      </w:rPr>
    </w:lvl>
    <w:lvl w:ilvl="8" w:tentative="0">
      <w:start w:val="1"/>
      <w:numFmt w:val="decimal"/>
      <w:isLgl/>
      <w:suff w:val="space"/>
      <w:lvlText w:val="%1.%2.%3.%4.%5.%6.%7.%8.%9"/>
      <w:lvlJc w:val="left"/>
      <w:pPr>
        <w:ind w:left="0" w:firstLine="0"/>
      </w:pPr>
      <w:rPr>
        <w:rFonts w:hint="default" w:ascii="Times New Roman" w:hAnsi="Times New Roman"/>
        <w:b/>
        <w:i w:val="0"/>
        <w:sz w:val="24"/>
      </w:rPr>
    </w:lvl>
  </w:abstractNum>
  <w:abstractNum w:abstractNumId="12">
    <w:nsid w:val="315A131E"/>
    <w:multiLevelType w:val="multilevel"/>
    <w:tmpl w:val="315A131E"/>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3">
    <w:nsid w:val="3C19EAE1"/>
    <w:multiLevelType w:val="singleLevel"/>
    <w:tmpl w:val="3C19EAE1"/>
    <w:lvl w:ilvl="0" w:tentative="0">
      <w:start w:val="9"/>
      <w:numFmt w:val="chineseCounting"/>
      <w:suff w:val="space"/>
      <w:lvlText w:val="第%1章"/>
      <w:lvlJc w:val="left"/>
      <w:rPr>
        <w:rFonts w:hint="eastAsia"/>
      </w:rPr>
    </w:lvl>
  </w:abstractNum>
  <w:abstractNum w:abstractNumId="14">
    <w:nsid w:val="6FBCFD4E"/>
    <w:multiLevelType w:val="singleLevel"/>
    <w:tmpl w:val="6FBCFD4E"/>
    <w:lvl w:ilvl="0" w:tentative="0">
      <w:start w:val="1"/>
      <w:numFmt w:val="chineseCounting"/>
      <w:suff w:val="space"/>
      <w:lvlText w:val="第%1条"/>
      <w:lvlJc w:val="left"/>
      <w:rPr>
        <w:rFonts w:hint="eastAsia"/>
      </w:rPr>
    </w:lvl>
  </w:abstractNum>
  <w:abstractNum w:abstractNumId="15">
    <w:nsid w:val="73280354"/>
    <w:multiLevelType w:val="multilevel"/>
    <w:tmpl w:val="73280354"/>
    <w:lvl w:ilvl="0" w:tentative="0">
      <w:start w:val="1"/>
      <w:numFmt w:val="japaneseCounting"/>
      <w:lvlText w:val="%1、"/>
      <w:lvlJc w:val="left"/>
      <w:pPr>
        <w:ind w:left="360" w:hanging="360"/>
      </w:pPr>
      <w:rPr>
        <w:rFonts w:hint="eastAsia" w:cs="Times New Roman"/>
      </w:rPr>
    </w:lvl>
    <w:lvl w:ilvl="1" w:tentative="0">
      <w:start w:val="1"/>
      <w:numFmt w:val="lowerLetter"/>
      <w:lvlText w:val="%2)"/>
      <w:lvlJc w:val="left"/>
      <w:pPr>
        <w:ind w:left="960" w:hanging="480"/>
      </w:pPr>
      <w:rPr>
        <w:rFonts w:cs="Times New Roman"/>
      </w:rPr>
    </w:lvl>
    <w:lvl w:ilvl="2" w:tentative="0">
      <w:start w:val="1"/>
      <w:numFmt w:val="lowerRoman"/>
      <w:lvlText w:val="%3."/>
      <w:lvlJc w:val="right"/>
      <w:pPr>
        <w:ind w:left="1440" w:hanging="480"/>
      </w:pPr>
      <w:rPr>
        <w:rFonts w:cs="Times New Roman"/>
      </w:rPr>
    </w:lvl>
    <w:lvl w:ilvl="3" w:tentative="0">
      <w:start w:val="1"/>
      <w:numFmt w:val="decimal"/>
      <w:lvlText w:val="%4."/>
      <w:lvlJc w:val="left"/>
      <w:pPr>
        <w:ind w:left="1920" w:hanging="480"/>
      </w:pPr>
      <w:rPr>
        <w:rFonts w:cs="Times New Roman"/>
      </w:rPr>
    </w:lvl>
    <w:lvl w:ilvl="4" w:tentative="0">
      <w:start w:val="1"/>
      <w:numFmt w:val="lowerLetter"/>
      <w:lvlText w:val="%5)"/>
      <w:lvlJc w:val="left"/>
      <w:pPr>
        <w:ind w:left="2400" w:hanging="480"/>
      </w:pPr>
      <w:rPr>
        <w:rFonts w:cs="Times New Roman"/>
      </w:rPr>
    </w:lvl>
    <w:lvl w:ilvl="5" w:tentative="0">
      <w:start w:val="1"/>
      <w:numFmt w:val="lowerRoman"/>
      <w:lvlText w:val="%6."/>
      <w:lvlJc w:val="right"/>
      <w:pPr>
        <w:ind w:left="2880" w:hanging="480"/>
      </w:pPr>
      <w:rPr>
        <w:rFonts w:cs="Times New Roman"/>
      </w:rPr>
    </w:lvl>
    <w:lvl w:ilvl="6" w:tentative="0">
      <w:start w:val="1"/>
      <w:numFmt w:val="decimal"/>
      <w:lvlText w:val="%7."/>
      <w:lvlJc w:val="left"/>
      <w:pPr>
        <w:ind w:left="3360" w:hanging="480"/>
      </w:pPr>
      <w:rPr>
        <w:rFonts w:cs="Times New Roman"/>
      </w:rPr>
    </w:lvl>
    <w:lvl w:ilvl="7" w:tentative="0">
      <w:start w:val="1"/>
      <w:numFmt w:val="lowerLetter"/>
      <w:lvlText w:val="%8)"/>
      <w:lvlJc w:val="left"/>
      <w:pPr>
        <w:ind w:left="3840" w:hanging="480"/>
      </w:pPr>
      <w:rPr>
        <w:rFonts w:cs="Times New Roman"/>
      </w:rPr>
    </w:lvl>
    <w:lvl w:ilvl="8" w:tentative="0">
      <w:start w:val="1"/>
      <w:numFmt w:val="lowerRoman"/>
      <w:lvlText w:val="%9."/>
      <w:lvlJc w:val="right"/>
      <w:pPr>
        <w:ind w:left="4320" w:hanging="480"/>
      </w:pPr>
      <w:rPr>
        <w:rFonts w:cs="Times New Roman"/>
      </w:rPr>
    </w:lvl>
  </w:abstractNum>
  <w:num w:numId="1">
    <w:abstractNumId w:val="2"/>
  </w:num>
  <w:num w:numId="2">
    <w:abstractNumId w:val="7"/>
  </w:num>
  <w:num w:numId="3">
    <w:abstractNumId w:val="6"/>
  </w:num>
  <w:num w:numId="4">
    <w:abstractNumId w:val="10"/>
  </w:num>
  <w:num w:numId="5">
    <w:abstractNumId w:val="4"/>
  </w:num>
  <w:num w:numId="6">
    <w:abstractNumId w:val="9"/>
  </w:num>
  <w:num w:numId="7">
    <w:abstractNumId w:val="8"/>
  </w:num>
  <w:num w:numId="8">
    <w:abstractNumId w:val="5"/>
  </w:num>
  <w:num w:numId="9">
    <w:abstractNumId w:val="11"/>
  </w:num>
  <w:num w:numId="10">
    <w:abstractNumId w:val="0"/>
  </w:num>
  <w:num w:numId="11">
    <w:abstractNumId w:val="3"/>
  </w:num>
  <w:num w:numId="12">
    <w:abstractNumId w:val="1"/>
  </w:num>
  <w:num w:numId="13">
    <w:abstractNumId w:val="12"/>
  </w:num>
  <w:num w:numId="14">
    <w:abstractNumId w:val="14"/>
  </w:num>
  <w:num w:numId="15">
    <w:abstractNumId w:val="1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507"/>
    <w:rsid w:val="00016044"/>
    <w:rsid w:val="00026261"/>
    <w:rsid w:val="00037133"/>
    <w:rsid w:val="00037B1C"/>
    <w:rsid w:val="00040AD8"/>
    <w:rsid w:val="00056A50"/>
    <w:rsid w:val="00062475"/>
    <w:rsid w:val="00065EF9"/>
    <w:rsid w:val="0007014B"/>
    <w:rsid w:val="0007028A"/>
    <w:rsid w:val="00070E81"/>
    <w:rsid w:val="00071626"/>
    <w:rsid w:val="000734F7"/>
    <w:rsid w:val="00074E59"/>
    <w:rsid w:val="00075829"/>
    <w:rsid w:val="00076446"/>
    <w:rsid w:val="000828A1"/>
    <w:rsid w:val="00095DEC"/>
    <w:rsid w:val="000A0496"/>
    <w:rsid w:val="000A0A62"/>
    <w:rsid w:val="000A1971"/>
    <w:rsid w:val="000A299F"/>
    <w:rsid w:val="000A420F"/>
    <w:rsid w:val="000A4F4F"/>
    <w:rsid w:val="000A6482"/>
    <w:rsid w:val="000B21DC"/>
    <w:rsid w:val="000B5ECD"/>
    <w:rsid w:val="000B6999"/>
    <w:rsid w:val="000C537B"/>
    <w:rsid w:val="000C5801"/>
    <w:rsid w:val="000C69BE"/>
    <w:rsid w:val="000D376A"/>
    <w:rsid w:val="000D4997"/>
    <w:rsid w:val="000E1C44"/>
    <w:rsid w:val="000E7D53"/>
    <w:rsid w:val="000F660F"/>
    <w:rsid w:val="00100279"/>
    <w:rsid w:val="00105984"/>
    <w:rsid w:val="00110D76"/>
    <w:rsid w:val="00110F1F"/>
    <w:rsid w:val="0012209B"/>
    <w:rsid w:val="0012429A"/>
    <w:rsid w:val="00124361"/>
    <w:rsid w:val="0013459B"/>
    <w:rsid w:val="00136A3B"/>
    <w:rsid w:val="00140D90"/>
    <w:rsid w:val="00141324"/>
    <w:rsid w:val="001416C1"/>
    <w:rsid w:val="00147C80"/>
    <w:rsid w:val="00151AFB"/>
    <w:rsid w:val="001538C5"/>
    <w:rsid w:val="001573CF"/>
    <w:rsid w:val="001679CF"/>
    <w:rsid w:val="00172A27"/>
    <w:rsid w:val="001735B1"/>
    <w:rsid w:val="00173804"/>
    <w:rsid w:val="00180864"/>
    <w:rsid w:val="00181890"/>
    <w:rsid w:val="00192E2F"/>
    <w:rsid w:val="00194F81"/>
    <w:rsid w:val="001A2969"/>
    <w:rsid w:val="001A465D"/>
    <w:rsid w:val="001A62F7"/>
    <w:rsid w:val="001A682F"/>
    <w:rsid w:val="001A6D59"/>
    <w:rsid w:val="001A768C"/>
    <w:rsid w:val="001B0E77"/>
    <w:rsid w:val="001B30A0"/>
    <w:rsid w:val="001B5864"/>
    <w:rsid w:val="001B5D31"/>
    <w:rsid w:val="001C5228"/>
    <w:rsid w:val="001E19FA"/>
    <w:rsid w:val="001E1D97"/>
    <w:rsid w:val="001E2068"/>
    <w:rsid w:val="001E7053"/>
    <w:rsid w:val="001F235A"/>
    <w:rsid w:val="001F7143"/>
    <w:rsid w:val="002017AA"/>
    <w:rsid w:val="00207F98"/>
    <w:rsid w:val="00213864"/>
    <w:rsid w:val="00214097"/>
    <w:rsid w:val="002163A8"/>
    <w:rsid w:val="00222F70"/>
    <w:rsid w:val="00223B1F"/>
    <w:rsid w:val="00232821"/>
    <w:rsid w:val="00237AD7"/>
    <w:rsid w:val="002458D9"/>
    <w:rsid w:val="002500DA"/>
    <w:rsid w:val="002536C7"/>
    <w:rsid w:val="00257FD9"/>
    <w:rsid w:val="002603BC"/>
    <w:rsid w:val="00260FD4"/>
    <w:rsid w:val="00267424"/>
    <w:rsid w:val="00272149"/>
    <w:rsid w:val="0027479B"/>
    <w:rsid w:val="00277ECF"/>
    <w:rsid w:val="002A5682"/>
    <w:rsid w:val="002B00DC"/>
    <w:rsid w:val="002B0516"/>
    <w:rsid w:val="002B501B"/>
    <w:rsid w:val="002B7C3F"/>
    <w:rsid w:val="002C2BCA"/>
    <w:rsid w:val="002C7A8B"/>
    <w:rsid w:val="002E0D7B"/>
    <w:rsid w:val="002E3230"/>
    <w:rsid w:val="002E5027"/>
    <w:rsid w:val="002E5BA4"/>
    <w:rsid w:val="002F17A4"/>
    <w:rsid w:val="002F7FF0"/>
    <w:rsid w:val="00310822"/>
    <w:rsid w:val="003222F0"/>
    <w:rsid w:val="00323D9C"/>
    <w:rsid w:val="0032411B"/>
    <w:rsid w:val="00332666"/>
    <w:rsid w:val="00332A89"/>
    <w:rsid w:val="00334D36"/>
    <w:rsid w:val="00337D7E"/>
    <w:rsid w:val="00341237"/>
    <w:rsid w:val="00341470"/>
    <w:rsid w:val="003454A2"/>
    <w:rsid w:val="0035104E"/>
    <w:rsid w:val="00351E7A"/>
    <w:rsid w:val="0035259D"/>
    <w:rsid w:val="00352D5E"/>
    <w:rsid w:val="0035316B"/>
    <w:rsid w:val="003547AF"/>
    <w:rsid w:val="00357BD6"/>
    <w:rsid w:val="00360A4D"/>
    <w:rsid w:val="00366EF0"/>
    <w:rsid w:val="00367E4E"/>
    <w:rsid w:val="00371682"/>
    <w:rsid w:val="00376C56"/>
    <w:rsid w:val="00376F3A"/>
    <w:rsid w:val="003775FE"/>
    <w:rsid w:val="0038499B"/>
    <w:rsid w:val="00384E7D"/>
    <w:rsid w:val="003A6525"/>
    <w:rsid w:val="003A779E"/>
    <w:rsid w:val="003B36C6"/>
    <w:rsid w:val="003B4FF8"/>
    <w:rsid w:val="003B5965"/>
    <w:rsid w:val="003B7CA3"/>
    <w:rsid w:val="003C052C"/>
    <w:rsid w:val="003C1D30"/>
    <w:rsid w:val="003C2957"/>
    <w:rsid w:val="003C5D49"/>
    <w:rsid w:val="003C62AD"/>
    <w:rsid w:val="003D0E88"/>
    <w:rsid w:val="003D100F"/>
    <w:rsid w:val="003D6E61"/>
    <w:rsid w:val="003E34D4"/>
    <w:rsid w:val="003E3CA8"/>
    <w:rsid w:val="003E7634"/>
    <w:rsid w:val="003E7824"/>
    <w:rsid w:val="003F1D5D"/>
    <w:rsid w:val="003F27D2"/>
    <w:rsid w:val="003F32AB"/>
    <w:rsid w:val="003F3FE9"/>
    <w:rsid w:val="003F7CF4"/>
    <w:rsid w:val="00402982"/>
    <w:rsid w:val="00406BC9"/>
    <w:rsid w:val="004075B3"/>
    <w:rsid w:val="00412C0A"/>
    <w:rsid w:val="004145B3"/>
    <w:rsid w:val="004200E5"/>
    <w:rsid w:val="00423C15"/>
    <w:rsid w:val="00443BE5"/>
    <w:rsid w:val="00451DA7"/>
    <w:rsid w:val="00464AA6"/>
    <w:rsid w:val="004673DF"/>
    <w:rsid w:val="00472D32"/>
    <w:rsid w:val="00474E11"/>
    <w:rsid w:val="0047581D"/>
    <w:rsid w:val="00475FC8"/>
    <w:rsid w:val="00481905"/>
    <w:rsid w:val="00492427"/>
    <w:rsid w:val="004934CF"/>
    <w:rsid w:val="00493815"/>
    <w:rsid w:val="0049684E"/>
    <w:rsid w:val="00496F2E"/>
    <w:rsid w:val="004972CC"/>
    <w:rsid w:val="004A237C"/>
    <w:rsid w:val="004A272C"/>
    <w:rsid w:val="004A662F"/>
    <w:rsid w:val="004B2190"/>
    <w:rsid w:val="004C34E2"/>
    <w:rsid w:val="004C38C3"/>
    <w:rsid w:val="004C5EAC"/>
    <w:rsid w:val="004C63D6"/>
    <w:rsid w:val="004C7395"/>
    <w:rsid w:val="004D12B5"/>
    <w:rsid w:val="004D6942"/>
    <w:rsid w:val="004E06B9"/>
    <w:rsid w:val="004E4D37"/>
    <w:rsid w:val="004E6209"/>
    <w:rsid w:val="004F08A0"/>
    <w:rsid w:val="004F1207"/>
    <w:rsid w:val="004F122E"/>
    <w:rsid w:val="004F14CF"/>
    <w:rsid w:val="004F6D7F"/>
    <w:rsid w:val="004F6FAB"/>
    <w:rsid w:val="004F7B44"/>
    <w:rsid w:val="00501984"/>
    <w:rsid w:val="0050242D"/>
    <w:rsid w:val="0050568F"/>
    <w:rsid w:val="00510A71"/>
    <w:rsid w:val="005120B9"/>
    <w:rsid w:val="005146EA"/>
    <w:rsid w:val="00514B23"/>
    <w:rsid w:val="005226CA"/>
    <w:rsid w:val="00527679"/>
    <w:rsid w:val="00530876"/>
    <w:rsid w:val="005405C7"/>
    <w:rsid w:val="00547C98"/>
    <w:rsid w:val="00547F71"/>
    <w:rsid w:val="00550B40"/>
    <w:rsid w:val="0055615E"/>
    <w:rsid w:val="00556286"/>
    <w:rsid w:val="0056056E"/>
    <w:rsid w:val="00563125"/>
    <w:rsid w:val="005664C5"/>
    <w:rsid w:val="00572180"/>
    <w:rsid w:val="00572BC9"/>
    <w:rsid w:val="005828D7"/>
    <w:rsid w:val="0058603E"/>
    <w:rsid w:val="00587476"/>
    <w:rsid w:val="005950AC"/>
    <w:rsid w:val="005955CD"/>
    <w:rsid w:val="005A308A"/>
    <w:rsid w:val="005A5A82"/>
    <w:rsid w:val="005A704F"/>
    <w:rsid w:val="005B0B5E"/>
    <w:rsid w:val="005B1ABA"/>
    <w:rsid w:val="005B3D8E"/>
    <w:rsid w:val="005B4B8D"/>
    <w:rsid w:val="005B6F41"/>
    <w:rsid w:val="005C2804"/>
    <w:rsid w:val="005C517E"/>
    <w:rsid w:val="005C6D71"/>
    <w:rsid w:val="005D7D19"/>
    <w:rsid w:val="005E525F"/>
    <w:rsid w:val="005F37E6"/>
    <w:rsid w:val="005F6933"/>
    <w:rsid w:val="00600B32"/>
    <w:rsid w:val="00600BF4"/>
    <w:rsid w:val="006120F8"/>
    <w:rsid w:val="00612642"/>
    <w:rsid w:val="00612E6B"/>
    <w:rsid w:val="00613447"/>
    <w:rsid w:val="00615073"/>
    <w:rsid w:val="00620CE3"/>
    <w:rsid w:val="00636A95"/>
    <w:rsid w:val="00640B40"/>
    <w:rsid w:val="00647C81"/>
    <w:rsid w:val="00647E6C"/>
    <w:rsid w:val="00647F38"/>
    <w:rsid w:val="00651C8F"/>
    <w:rsid w:val="00652E9C"/>
    <w:rsid w:val="0065306D"/>
    <w:rsid w:val="00653E2A"/>
    <w:rsid w:val="00656F86"/>
    <w:rsid w:val="00657C0E"/>
    <w:rsid w:val="006628F6"/>
    <w:rsid w:val="00663A28"/>
    <w:rsid w:val="00663EE5"/>
    <w:rsid w:val="006704D4"/>
    <w:rsid w:val="00671178"/>
    <w:rsid w:val="006755C1"/>
    <w:rsid w:val="00680E25"/>
    <w:rsid w:val="00680F90"/>
    <w:rsid w:val="00683EF1"/>
    <w:rsid w:val="00686D3D"/>
    <w:rsid w:val="0069658F"/>
    <w:rsid w:val="006978CD"/>
    <w:rsid w:val="006B10DB"/>
    <w:rsid w:val="006B2C7E"/>
    <w:rsid w:val="006B3A50"/>
    <w:rsid w:val="006B45F1"/>
    <w:rsid w:val="006B6587"/>
    <w:rsid w:val="006B72C8"/>
    <w:rsid w:val="006C321C"/>
    <w:rsid w:val="006E22BF"/>
    <w:rsid w:val="006E2309"/>
    <w:rsid w:val="006E43CF"/>
    <w:rsid w:val="006F1E48"/>
    <w:rsid w:val="006F451E"/>
    <w:rsid w:val="006F5AB8"/>
    <w:rsid w:val="006F5E0F"/>
    <w:rsid w:val="006F6947"/>
    <w:rsid w:val="0070250A"/>
    <w:rsid w:val="007076DA"/>
    <w:rsid w:val="00712269"/>
    <w:rsid w:val="00712397"/>
    <w:rsid w:val="0071267E"/>
    <w:rsid w:val="00714D36"/>
    <w:rsid w:val="00722579"/>
    <w:rsid w:val="007245DC"/>
    <w:rsid w:val="00731340"/>
    <w:rsid w:val="0073453B"/>
    <w:rsid w:val="007414D9"/>
    <w:rsid w:val="00744CAD"/>
    <w:rsid w:val="0075258C"/>
    <w:rsid w:val="00754CC1"/>
    <w:rsid w:val="00754FDC"/>
    <w:rsid w:val="00755150"/>
    <w:rsid w:val="00755B24"/>
    <w:rsid w:val="00755F7F"/>
    <w:rsid w:val="007679CA"/>
    <w:rsid w:val="007724C2"/>
    <w:rsid w:val="00775CA8"/>
    <w:rsid w:val="00776553"/>
    <w:rsid w:val="00783457"/>
    <w:rsid w:val="00787997"/>
    <w:rsid w:val="00790717"/>
    <w:rsid w:val="00792B28"/>
    <w:rsid w:val="00792D61"/>
    <w:rsid w:val="0079550C"/>
    <w:rsid w:val="007B00E7"/>
    <w:rsid w:val="007B33A9"/>
    <w:rsid w:val="007B4136"/>
    <w:rsid w:val="007B564A"/>
    <w:rsid w:val="007B6767"/>
    <w:rsid w:val="007C6D74"/>
    <w:rsid w:val="007C716E"/>
    <w:rsid w:val="007D0EB1"/>
    <w:rsid w:val="007D3655"/>
    <w:rsid w:val="007D491A"/>
    <w:rsid w:val="007E1B63"/>
    <w:rsid w:val="007E28D5"/>
    <w:rsid w:val="007E2ED4"/>
    <w:rsid w:val="007E48D6"/>
    <w:rsid w:val="007E4CD2"/>
    <w:rsid w:val="007E7379"/>
    <w:rsid w:val="007E7CE9"/>
    <w:rsid w:val="007E7EDE"/>
    <w:rsid w:val="007F6237"/>
    <w:rsid w:val="007F7756"/>
    <w:rsid w:val="00804279"/>
    <w:rsid w:val="00820E61"/>
    <w:rsid w:val="0082213E"/>
    <w:rsid w:val="008226A3"/>
    <w:rsid w:val="0082579B"/>
    <w:rsid w:val="00827257"/>
    <w:rsid w:val="0083088D"/>
    <w:rsid w:val="00830ADD"/>
    <w:rsid w:val="00830ED5"/>
    <w:rsid w:val="0083136E"/>
    <w:rsid w:val="008355F0"/>
    <w:rsid w:val="0083659C"/>
    <w:rsid w:val="00837993"/>
    <w:rsid w:val="00847961"/>
    <w:rsid w:val="00851E53"/>
    <w:rsid w:val="00851FFF"/>
    <w:rsid w:val="00865610"/>
    <w:rsid w:val="008663FF"/>
    <w:rsid w:val="008666A2"/>
    <w:rsid w:val="00867D33"/>
    <w:rsid w:val="008716F4"/>
    <w:rsid w:val="00873888"/>
    <w:rsid w:val="0089267E"/>
    <w:rsid w:val="00893752"/>
    <w:rsid w:val="00894678"/>
    <w:rsid w:val="0089642B"/>
    <w:rsid w:val="008A0031"/>
    <w:rsid w:val="008A0675"/>
    <w:rsid w:val="008A22F3"/>
    <w:rsid w:val="008A7A55"/>
    <w:rsid w:val="008B6AC1"/>
    <w:rsid w:val="008C28A7"/>
    <w:rsid w:val="008C6C5D"/>
    <w:rsid w:val="008D124E"/>
    <w:rsid w:val="008D6DC8"/>
    <w:rsid w:val="008E26FF"/>
    <w:rsid w:val="008E664E"/>
    <w:rsid w:val="008E6C16"/>
    <w:rsid w:val="008E7B14"/>
    <w:rsid w:val="008F0072"/>
    <w:rsid w:val="008F315F"/>
    <w:rsid w:val="008F53A4"/>
    <w:rsid w:val="00902145"/>
    <w:rsid w:val="00905773"/>
    <w:rsid w:val="00905CEC"/>
    <w:rsid w:val="00911709"/>
    <w:rsid w:val="00913B38"/>
    <w:rsid w:val="00914F08"/>
    <w:rsid w:val="00914FA2"/>
    <w:rsid w:val="00916933"/>
    <w:rsid w:val="0091693C"/>
    <w:rsid w:val="0091747F"/>
    <w:rsid w:val="00921F0D"/>
    <w:rsid w:val="009257DF"/>
    <w:rsid w:val="00930977"/>
    <w:rsid w:val="009347C6"/>
    <w:rsid w:val="009427A3"/>
    <w:rsid w:val="00943EB5"/>
    <w:rsid w:val="009443E3"/>
    <w:rsid w:val="009505A4"/>
    <w:rsid w:val="009516FE"/>
    <w:rsid w:val="00955587"/>
    <w:rsid w:val="009560A3"/>
    <w:rsid w:val="009620FC"/>
    <w:rsid w:val="00962CC4"/>
    <w:rsid w:val="0096316A"/>
    <w:rsid w:val="00972CEE"/>
    <w:rsid w:val="00976A64"/>
    <w:rsid w:val="00984313"/>
    <w:rsid w:val="00984869"/>
    <w:rsid w:val="00985090"/>
    <w:rsid w:val="0099427F"/>
    <w:rsid w:val="009A056B"/>
    <w:rsid w:val="009B0EF0"/>
    <w:rsid w:val="009B29B6"/>
    <w:rsid w:val="009B5941"/>
    <w:rsid w:val="009C051B"/>
    <w:rsid w:val="009C09E7"/>
    <w:rsid w:val="009C31B4"/>
    <w:rsid w:val="009C32C3"/>
    <w:rsid w:val="009C4192"/>
    <w:rsid w:val="009C62B1"/>
    <w:rsid w:val="009C763B"/>
    <w:rsid w:val="009D0491"/>
    <w:rsid w:val="009D1EA2"/>
    <w:rsid w:val="009D3572"/>
    <w:rsid w:val="009D65B3"/>
    <w:rsid w:val="009E1D6A"/>
    <w:rsid w:val="009E4F3C"/>
    <w:rsid w:val="009F3283"/>
    <w:rsid w:val="009F331D"/>
    <w:rsid w:val="009F7323"/>
    <w:rsid w:val="00A01E11"/>
    <w:rsid w:val="00A11CF2"/>
    <w:rsid w:val="00A155B4"/>
    <w:rsid w:val="00A16F53"/>
    <w:rsid w:val="00A17C57"/>
    <w:rsid w:val="00A26960"/>
    <w:rsid w:val="00A30F7E"/>
    <w:rsid w:val="00A34349"/>
    <w:rsid w:val="00A34456"/>
    <w:rsid w:val="00A34D19"/>
    <w:rsid w:val="00A365F1"/>
    <w:rsid w:val="00A45412"/>
    <w:rsid w:val="00A51501"/>
    <w:rsid w:val="00A53A01"/>
    <w:rsid w:val="00A62F50"/>
    <w:rsid w:val="00A64D8A"/>
    <w:rsid w:val="00A70188"/>
    <w:rsid w:val="00A711D0"/>
    <w:rsid w:val="00A7182F"/>
    <w:rsid w:val="00A75F17"/>
    <w:rsid w:val="00A76BEB"/>
    <w:rsid w:val="00A77FDE"/>
    <w:rsid w:val="00A81CA3"/>
    <w:rsid w:val="00A82747"/>
    <w:rsid w:val="00A84ED2"/>
    <w:rsid w:val="00A937B2"/>
    <w:rsid w:val="00A94AEF"/>
    <w:rsid w:val="00A95C6F"/>
    <w:rsid w:val="00A96EE1"/>
    <w:rsid w:val="00AA0AAB"/>
    <w:rsid w:val="00AA469A"/>
    <w:rsid w:val="00AA5AB1"/>
    <w:rsid w:val="00AB5AD0"/>
    <w:rsid w:val="00AB5B86"/>
    <w:rsid w:val="00AC052E"/>
    <w:rsid w:val="00AD30E7"/>
    <w:rsid w:val="00AD4ED7"/>
    <w:rsid w:val="00AD5CCE"/>
    <w:rsid w:val="00AD64AD"/>
    <w:rsid w:val="00AD7C01"/>
    <w:rsid w:val="00AE0683"/>
    <w:rsid w:val="00AF2CB3"/>
    <w:rsid w:val="00B0059E"/>
    <w:rsid w:val="00B009D3"/>
    <w:rsid w:val="00B10D6F"/>
    <w:rsid w:val="00B14885"/>
    <w:rsid w:val="00B15B83"/>
    <w:rsid w:val="00B17EE1"/>
    <w:rsid w:val="00B2113D"/>
    <w:rsid w:val="00B269AD"/>
    <w:rsid w:val="00B33514"/>
    <w:rsid w:val="00B34FBC"/>
    <w:rsid w:val="00B36A7D"/>
    <w:rsid w:val="00B40CDB"/>
    <w:rsid w:val="00B41C54"/>
    <w:rsid w:val="00B42404"/>
    <w:rsid w:val="00B44594"/>
    <w:rsid w:val="00B510B8"/>
    <w:rsid w:val="00B55353"/>
    <w:rsid w:val="00B55702"/>
    <w:rsid w:val="00B6307D"/>
    <w:rsid w:val="00B64011"/>
    <w:rsid w:val="00B72091"/>
    <w:rsid w:val="00B72D6B"/>
    <w:rsid w:val="00B743A0"/>
    <w:rsid w:val="00B74DA5"/>
    <w:rsid w:val="00B75EC6"/>
    <w:rsid w:val="00B82421"/>
    <w:rsid w:val="00B853DE"/>
    <w:rsid w:val="00B85634"/>
    <w:rsid w:val="00B9784B"/>
    <w:rsid w:val="00BA48FF"/>
    <w:rsid w:val="00BB1055"/>
    <w:rsid w:val="00BB4F8C"/>
    <w:rsid w:val="00BB5669"/>
    <w:rsid w:val="00BC112E"/>
    <w:rsid w:val="00BC20FD"/>
    <w:rsid w:val="00BC574E"/>
    <w:rsid w:val="00BD0767"/>
    <w:rsid w:val="00BD320A"/>
    <w:rsid w:val="00BD3978"/>
    <w:rsid w:val="00BD4637"/>
    <w:rsid w:val="00BD4810"/>
    <w:rsid w:val="00BD57EA"/>
    <w:rsid w:val="00BD62D2"/>
    <w:rsid w:val="00BE629F"/>
    <w:rsid w:val="00C01401"/>
    <w:rsid w:val="00C01669"/>
    <w:rsid w:val="00C0578C"/>
    <w:rsid w:val="00C22D49"/>
    <w:rsid w:val="00C31BD9"/>
    <w:rsid w:val="00C3241C"/>
    <w:rsid w:val="00C3469F"/>
    <w:rsid w:val="00C3499E"/>
    <w:rsid w:val="00C34F3F"/>
    <w:rsid w:val="00C351D8"/>
    <w:rsid w:val="00C3631E"/>
    <w:rsid w:val="00C363F3"/>
    <w:rsid w:val="00C37487"/>
    <w:rsid w:val="00C40CCC"/>
    <w:rsid w:val="00C41172"/>
    <w:rsid w:val="00C44F59"/>
    <w:rsid w:val="00C4511F"/>
    <w:rsid w:val="00C51F20"/>
    <w:rsid w:val="00C527BD"/>
    <w:rsid w:val="00C56025"/>
    <w:rsid w:val="00C6268F"/>
    <w:rsid w:val="00C6630F"/>
    <w:rsid w:val="00C66387"/>
    <w:rsid w:val="00C670C9"/>
    <w:rsid w:val="00C70486"/>
    <w:rsid w:val="00C72C8E"/>
    <w:rsid w:val="00C72F18"/>
    <w:rsid w:val="00C738CB"/>
    <w:rsid w:val="00C7795C"/>
    <w:rsid w:val="00C8126A"/>
    <w:rsid w:val="00C82A1D"/>
    <w:rsid w:val="00C83A9B"/>
    <w:rsid w:val="00C87DAA"/>
    <w:rsid w:val="00C907DF"/>
    <w:rsid w:val="00C93654"/>
    <w:rsid w:val="00C944D0"/>
    <w:rsid w:val="00C950DB"/>
    <w:rsid w:val="00C95287"/>
    <w:rsid w:val="00C95465"/>
    <w:rsid w:val="00C95D79"/>
    <w:rsid w:val="00C96CC6"/>
    <w:rsid w:val="00CA288B"/>
    <w:rsid w:val="00CA2DA5"/>
    <w:rsid w:val="00CA7C42"/>
    <w:rsid w:val="00CB086D"/>
    <w:rsid w:val="00CB340A"/>
    <w:rsid w:val="00CB3F7D"/>
    <w:rsid w:val="00CB58BD"/>
    <w:rsid w:val="00CC501B"/>
    <w:rsid w:val="00CC72F7"/>
    <w:rsid w:val="00CD1331"/>
    <w:rsid w:val="00CD5FF6"/>
    <w:rsid w:val="00CE3AB6"/>
    <w:rsid w:val="00CE6F10"/>
    <w:rsid w:val="00CF072B"/>
    <w:rsid w:val="00CF1F32"/>
    <w:rsid w:val="00CF2939"/>
    <w:rsid w:val="00CF445D"/>
    <w:rsid w:val="00CF5D32"/>
    <w:rsid w:val="00CF69FD"/>
    <w:rsid w:val="00D001A5"/>
    <w:rsid w:val="00D040CE"/>
    <w:rsid w:val="00D06704"/>
    <w:rsid w:val="00D14C63"/>
    <w:rsid w:val="00D23711"/>
    <w:rsid w:val="00D239F3"/>
    <w:rsid w:val="00D242AE"/>
    <w:rsid w:val="00D30FEB"/>
    <w:rsid w:val="00D3130E"/>
    <w:rsid w:val="00D33BB1"/>
    <w:rsid w:val="00D34D77"/>
    <w:rsid w:val="00D36B29"/>
    <w:rsid w:val="00D40D79"/>
    <w:rsid w:val="00D47A13"/>
    <w:rsid w:val="00D51522"/>
    <w:rsid w:val="00D53910"/>
    <w:rsid w:val="00D5680F"/>
    <w:rsid w:val="00D576BC"/>
    <w:rsid w:val="00D6537C"/>
    <w:rsid w:val="00D6783E"/>
    <w:rsid w:val="00D70615"/>
    <w:rsid w:val="00D7708B"/>
    <w:rsid w:val="00D829BF"/>
    <w:rsid w:val="00D83974"/>
    <w:rsid w:val="00D94119"/>
    <w:rsid w:val="00D94BFE"/>
    <w:rsid w:val="00D965BB"/>
    <w:rsid w:val="00DA0B6F"/>
    <w:rsid w:val="00DA101C"/>
    <w:rsid w:val="00DA4AAE"/>
    <w:rsid w:val="00DA684D"/>
    <w:rsid w:val="00DA6A6F"/>
    <w:rsid w:val="00DB2F2E"/>
    <w:rsid w:val="00DB3057"/>
    <w:rsid w:val="00DB70E1"/>
    <w:rsid w:val="00DD231B"/>
    <w:rsid w:val="00DD3440"/>
    <w:rsid w:val="00DE0886"/>
    <w:rsid w:val="00DE1372"/>
    <w:rsid w:val="00DF06C0"/>
    <w:rsid w:val="00DF4DBB"/>
    <w:rsid w:val="00E01671"/>
    <w:rsid w:val="00E12D24"/>
    <w:rsid w:val="00E141EF"/>
    <w:rsid w:val="00E16E00"/>
    <w:rsid w:val="00E16F29"/>
    <w:rsid w:val="00E17715"/>
    <w:rsid w:val="00E17B7C"/>
    <w:rsid w:val="00E32325"/>
    <w:rsid w:val="00E336F1"/>
    <w:rsid w:val="00E4469F"/>
    <w:rsid w:val="00E52B0E"/>
    <w:rsid w:val="00E566C7"/>
    <w:rsid w:val="00E62D92"/>
    <w:rsid w:val="00E63CBF"/>
    <w:rsid w:val="00E667CF"/>
    <w:rsid w:val="00E70A42"/>
    <w:rsid w:val="00E70F3B"/>
    <w:rsid w:val="00E84BF0"/>
    <w:rsid w:val="00E86F19"/>
    <w:rsid w:val="00E908EE"/>
    <w:rsid w:val="00E94F8A"/>
    <w:rsid w:val="00E975C7"/>
    <w:rsid w:val="00EA12D2"/>
    <w:rsid w:val="00EB031F"/>
    <w:rsid w:val="00EB31DB"/>
    <w:rsid w:val="00EC1A24"/>
    <w:rsid w:val="00EC2473"/>
    <w:rsid w:val="00EC61C8"/>
    <w:rsid w:val="00EC7183"/>
    <w:rsid w:val="00ED2389"/>
    <w:rsid w:val="00ED4535"/>
    <w:rsid w:val="00EE1196"/>
    <w:rsid w:val="00EE16F7"/>
    <w:rsid w:val="00EE27F8"/>
    <w:rsid w:val="00EE442F"/>
    <w:rsid w:val="00EE57F5"/>
    <w:rsid w:val="00EE7E1F"/>
    <w:rsid w:val="00EF0AAF"/>
    <w:rsid w:val="00EF248F"/>
    <w:rsid w:val="00EF6BEA"/>
    <w:rsid w:val="00EF796B"/>
    <w:rsid w:val="00F00C46"/>
    <w:rsid w:val="00F01B24"/>
    <w:rsid w:val="00F03039"/>
    <w:rsid w:val="00F03870"/>
    <w:rsid w:val="00F04B42"/>
    <w:rsid w:val="00F07584"/>
    <w:rsid w:val="00F1130E"/>
    <w:rsid w:val="00F128B9"/>
    <w:rsid w:val="00F20FBC"/>
    <w:rsid w:val="00F27D33"/>
    <w:rsid w:val="00F329C4"/>
    <w:rsid w:val="00F3474A"/>
    <w:rsid w:val="00F35D90"/>
    <w:rsid w:val="00F41BCA"/>
    <w:rsid w:val="00F4233E"/>
    <w:rsid w:val="00F43107"/>
    <w:rsid w:val="00F43479"/>
    <w:rsid w:val="00F45E0C"/>
    <w:rsid w:val="00F53611"/>
    <w:rsid w:val="00F568BE"/>
    <w:rsid w:val="00F56D70"/>
    <w:rsid w:val="00F6173E"/>
    <w:rsid w:val="00F617C1"/>
    <w:rsid w:val="00F662EB"/>
    <w:rsid w:val="00F7310D"/>
    <w:rsid w:val="00F80F2C"/>
    <w:rsid w:val="00FA29E4"/>
    <w:rsid w:val="00FA642F"/>
    <w:rsid w:val="00FB2433"/>
    <w:rsid w:val="00FB42F2"/>
    <w:rsid w:val="00FB5B82"/>
    <w:rsid w:val="00FC12D7"/>
    <w:rsid w:val="00FC1C25"/>
    <w:rsid w:val="00FC5973"/>
    <w:rsid w:val="00FC7686"/>
    <w:rsid w:val="00FD1762"/>
    <w:rsid w:val="00FD6671"/>
    <w:rsid w:val="00FD7591"/>
    <w:rsid w:val="00FE1590"/>
    <w:rsid w:val="00FE42F7"/>
    <w:rsid w:val="011917E0"/>
    <w:rsid w:val="01CD61FD"/>
    <w:rsid w:val="01E413EF"/>
    <w:rsid w:val="020A78EB"/>
    <w:rsid w:val="02513FF2"/>
    <w:rsid w:val="02CF6330"/>
    <w:rsid w:val="02EA14D3"/>
    <w:rsid w:val="03094650"/>
    <w:rsid w:val="0335290B"/>
    <w:rsid w:val="0358008B"/>
    <w:rsid w:val="03F14D48"/>
    <w:rsid w:val="0424424F"/>
    <w:rsid w:val="04414C80"/>
    <w:rsid w:val="04781CE1"/>
    <w:rsid w:val="04A21DF6"/>
    <w:rsid w:val="04F02024"/>
    <w:rsid w:val="05082C1A"/>
    <w:rsid w:val="054668D8"/>
    <w:rsid w:val="05543586"/>
    <w:rsid w:val="061F08E4"/>
    <w:rsid w:val="06633D57"/>
    <w:rsid w:val="06685547"/>
    <w:rsid w:val="067A2A04"/>
    <w:rsid w:val="069B70BE"/>
    <w:rsid w:val="06B61A75"/>
    <w:rsid w:val="07074B80"/>
    <w:rsid w:val="071734F7"/>
    <w:rsid w:val="07495AAB"/>
    <w:rsid w:val="079E4140"/>
    <w:rsid w:val="07AE4F38"/>
    <w:rsid w:val="07EE12A9"/>
    <w:rsid w:val="080A40BA"/>
    <w:rsid w:val="081927DC"/>
    <w:rsid w:val="08845C81"/>
    <w:rsid w:val="08CC1F27"/>
    <w:rsid w:val="092C3189"/>
    <w:rsid w:val="09517D22"/>
    <w:rsid w:val="09976284"/>
    <w:rsid w:val="09BE35BD"/>
    <w:rsid w:val="0A0739C9"/>
    <w:rsid w:val="0A7E0E31"/>
    <w:rsid w:val="0AD521E9"/>
    <w:rsid w:val="0AD81609"/>
    <w:rsid w:val="0ADD567E"/>
    <w:rsid w:val="0B0D2FC5"/>
    <w:rsid w:val="0B201AF2"/>
    <w:rsid w:val="0B6661BB"/>
    <w:rsid w:val="0B6E11BD"/>
    <w:rsid w:val="0B821E87"/>
    <w:rsid w:val="0B8A320D"/>
    <w:rsid w:val="0B9F7D24"/>
    <w:rsid w:val="0C003982"/>
    <w:rsid w:val="0C061C41"/>
    <w:rsid w:val="0C0B2ED4"/>
    <w:rsid w:val="0C4E230F"/>
    <w:rsid w:val="0C5943E9"/>
    <w:rsid w:val="0C7B3FAC"/>
    <w:rsid w:val="0C924776"/>
    <w:rsid w:val="0D3C6C16"/>
    <w:rsid w:val="0D706A96"/>
    <w:rsid w:val="0DE90D5F"/>
    <w:rsid w:val="0E3E6BE7"/>
    <w:rsid w:val="0E4125E2"/>
    <w:rsid w:val="0E4834BD"/>
    <w:rsid w:val="0E705E63"/>
    <w:rsid w:val="0EE12CAF"/>
    <w:rsid w:val="0F014EE3"/>
    <w:rsid w:val="0F1A0C96"/>
    <w:rsid w:val="0F3E1E19"/>
    <w:rsid w:val="0F992376"/>
    <w:rsid w:val="0FD20A25"/>
    <w:rsid w:val="0FEF732A"/>
    <w:rsid w:val="10B20C12"/>
    <w:rsid w:val="10FC4B56"/>
    <w:rsid w:val="10FD3BF0"/>
    <w:rsid w:val="111331AD"/>
    <w:rsid w:val="112A7AA9"/>
    <w:rsid w:val="11345325"/>
    <w:rsid w:val="11F74BAA"/>
    <w:rsid w:val="12454B6B"/>
    <w:rsid w:val="12497244"/>
    <w:rsid w:val="12517AE4"/>
    <w:rsid w:val="12710410"/>
    <w:rsid w:val="13177DF7"/>
    <w:rsid w:val="133129E7"/>
    <w:rsid w:val="136D2D5E"/>
    <w:rsid w:val="13924E35"/>
    <w:rsid w:val="13DC6C94"/>
    <w:rsid w:val="153730A4"/>
    <w:rsid w:val="15411966"/>
    <w:rsid w:val="155823C4"/>
    <w:rsid w:val="15634BA9"/>
    <w:rsid w:val="157D1D16"/>
    <w:rsid w:val="1607138A"/>
    <w:rsid w:val="160F090A"/>
    <w:rsid w:val="16B80A98"/>
    <w:rsid w:val="16C409FE"/>
    <w:rsid w:val="16EB431C"/>
    <w:rsid w:val="170800F8"/>
    <w:rsid w:val="171F0F97"/>
    <w:rsid w:val="178972D5"/>
    <w:rsid w:val="17CA6475"/>
    <w:rsid w:val="17F12D72"/>
    <w:rsid w:val="181C7052"/>
    <w:rsid w:val="18786978"/>
    <w:rsid w:val="18952023"/>
    <w:rsid w:val="189B608D"/>
    <w:rsid w:val="194D4F21"/>
    <w:rsid w:val="194D7A02"/>
    <w:rsid w:val="19815758"/>
    <w:rsid w:val="19E92C40"/>
    <w:rsid w:val="1A3B6336"/>
    <w:rsid w:val="1A4C6EB0"/>
    <w:rsid w:val="1A6A3780"/>
    <w:rsid w:val="1AB86451"/>
    <w:rsid w:val="1ADF6042"/>
    <w:rsid w:val="1B1309E5"/>
    <w:rsid w:val="1B2D45FF"/>
    <w:rsid w:val="1B460F25"/>
    <w:rsid w:val="1B487F8D"/>
    <w:rsid w:val="1B4A661E"/>
    <w:rsid w:val="1B8D642E"/>
    <w:rsid w:val="1B903939"/>
    <w:rsid w:val="1BC329A0"/>
    <w:rsid w:val="1C35198A"/>
    <w:rsid w:val="1C383762"/>
    <w:rsid w:val="1C567DC3"/>
    <w:rsid w:val="1C6E364F"/>
    <w:rsid w:val="1C980D70"/>
    <w:rsid w:val="1CC25250"/>
    <w:rsid w:val="1CCF5716"/>
    <w:rsid w:val="1CE676A2"/>
    <w:rsid w:val="1CF96EAF"/>
    <w:rsid w:val="1D0D7BC6"/>
    <w:rsid w:val="1D343DF6"/>
    <w:rsid w:val="1E314D11"/>
    <w:rsid w:val="1E633DAF"/>
    <w:rsid w:val="1E9F2DDA"/>
    <w:rsid w:val="1EA000F6"/>
    <w:rsid w:val="1EA0746E"/>
    <w:rsid w:val="1EAC1836"/>
    <w:rsid w:val="1EF54CAC"/>
    <w:rsid w:val="1F250811"/>
    <w:rsid w:val="1F3D292F"/>
    <w:rsid w:val="20283A1F"/>
    <w:rsid w:val="2048353E"/>
    <w:rsid w:val="207900B3"/>
    <w:rsid w:val="20882F37"/>
    <w:rsid w:val="20B3672A"/>
    <w:rsid w:val="20CA5655"/>
    <w:rsid w:val="210E4A00"/>
    <w:rsid w:val="211E1C6F"/>
    <w:rsid w:val="21580F6A"/>
    <w:rsid w:val="2179562E"/>
    <w:rsid w:val="226808F7"/>
    <w:rsid w:val="229357FA"/>
    <w:rsid w:val="22995958"/>
    <w:rsid w:val="2329590D"/>
    <w:rsid w:val="23523791"/>
    <w:rsid w:val="237A6D08"/>
    <w:rsid w:val="238E1C43"/>
    <w:rsid w:val="23902990"/>
    <w:rsid w:val="23A44128"/>
    <w:rsid w:val="23A92476"/>
    <w:rsid w:val="24140222"/>
    <w:rsid w:val="249C2E16"/>
    <w:rsid w:val="24BB6A68"/>
    <w:rsid w:val="251D55C8"/>
    <w:rsid w:val="25296688"/>
    <w:rsid w:val="25494FFA"/>
    <w:rsid w:val="254C68D0"/>
    <w:rsid w:val="256B0D5F"/>
    <w:rsid w:val="25740E8A"/>
    <w:rsid w:val="25822111"/>
    <w:rsid w:val="25844E5A"/>
    <w:rsid w:val="259F7026"/>
    <w:rsid w:val="25EC6881"/>
    <w:rsid w:val="25FA6BCA"/>
    <w:rsid w:val="26057CCC"/>
    <w:rsid w:val="26411246"/>
    <w:rsid w:val="266B6BC3"/>
    <w:rsid w:val="26BC4F7B"/>
    <w:rsid w:val="26BF150C"/>
    <w:rsid w:val="26D34679"/>
    <w:rsid w:val="26F82CAB"/>
    <w:rsid w:val="27341992"/>
    <w:rsid w:val="27557645"/>
    <w:rsid w:val="27636E70"/>
    <w:rsid w:val="278067C7"/>
    <w:rsid w:val="279A1A1D"/>
    <w:rsid w:val="279E72B1"/>
    <w:rsid w:val="27BB4313"/>
    <w:rsid w:val="27D505CF"/>
    <w:rsid w:val="285F4386"/>
    <w:rsid w:val="28805007"/>
    <w:rsid w:val="28D80D72"/>
    <w:rsid w:val="29741CCB"/>
    <w:rsid w:val="298A5E4C"/>
    <w:rsid w:val="29E51041"/>
    <w:rsid w:val="2A6B5DDC"/>
    <w:rsid w:val="2A8709E5"/>
    <w:rsid w:val="2A8C512D"/>
    <w:rsid w:val="2AAE4521"/>
    <w:rsid w:val="2AC8572A"/>
    <w:rsid w:val="2AE9526F"/>
    <w:rsid w:val="2B6B4122"/>
    <w:rsid w:val="2BC01E75"/>
    <w:rsid w:val="2BD03FD3"/>
    <w:rsid w:val="2BDA7B69"/>
    <w:rsid w:val="2BE22842"/>
    <w:rsid w:val="2BFE003F"/>
    <w:rsid w:val="2C3931AB"/>
    <w:rsid w:val="2C875D6D"/>
    <w:rsid w:val="2C941EB4"/>
    <w:rsid w:val="2CB018C6"/>
    <w:rsid w:val="2D247F68"/>
    <w:rsid w:val="2D874A4A"/>
    <w:rsid w:val="2D963B2C"/>
    <w:rsid w:val="2DAD692B"/>
    <w:rsid w:val="2DD0545E"/>
    <w:rsid w:val="2E1000F9"/>
    <w:rsid w:val="2E8B6184"/>
    <w:rsid w:val="2E9F2F01"/>
    <w:rsid w:val="2EF1118F"/>
    <w:rsid w:val="2F0F3497"/>
    <w:rsid w:val="2F5142C8"/>
    <w:rsid w:val="2F9840F5"/>
    <w:rsid w:val="2FAB7C18"/>
    <w:rsid w:val="2FC74994"/>
    <w:rsid w:val="2FCB1037"/>
    <w:rsid w:val="302A78E2"/>
    <w:rsid w:val="30702335"/>
    <w:rsid w:val="30B12153"/>
    <w:rsid w:val="30D505AF"/>
    <w:rsid w:val="30E40164"/>
    <w:rsid w:val="31141D36"/>
    <w:rsid w:val="31707D24"/>
    <w:rsid w:val="319835B4"/>
    <w:rsid w:val="31A21DD0"/>
    <w:rsid w:val="31A5215A"/>
    <w:rsid w:val="31C13828"/>
    <w:rsid w:val="31CA513E"/>
    <w:rsid w:val="31DE43E9"/>
    <w:rsid w:val="31EC48DA"/>
    <w:rsid w:val="31F25CE5"/>
    <w:rsid w:val="330142AE"/>
    <w:rsid w:val="330E3649"/>
    <w:rsid w:val="334014E2"/>
    <w:rsid w:val="334134A1"/>
    <w:rsid w:val="334D5D44"/>
    <w:rsid w:val="33817283"/>
    <w:rsid w:val="33B9690F"/>
    <w:rsid w:val="33F125EB"/>
    <w:rsid w:val="342A758D"/>
    <w:rsid w:val="342F36CF"/>
    <w:rsid w:val="343F7B90"/>
    <w:rsid w:val="349F3547"/>
    <w:rsid w:val="34A71E2F"/>
    <w:rsid w:val="359B245C"/>
    <w:rsid w:val="35A11890"/>
    <w:rsid w:val="35A316ED"/>
    <w:rsid w:val="35A42C59"/>
    <w:rsid w:val="35F10500"/>
    <w:rsid w:val="361442C5"/>
    <w:rsid w:val="362267C3"/>
    <w:rsid w:val="36312331"/>
    <w:rsid w:val="3641212A"/>
    <w:rsid w:val="366848A0"/>
    <w:rsid w:val="367D3810"/>
    <w:rsid w:val="36816585"/>
    <w:rsid w:val="36AD61D4"/>
    <w:rsid w:val="36C57C32"/>
    <w:rsid w:val="37765F01"/>
    <w:rsid w:val="377D6009"/>
    <w:rsid w:val="37A1573C"/>
    <w:rsid w:val="37F05285"/>
    <w:rsid w:val="3864063D"/>
    <w:rsid w:val="3892272B"/>
    <w:rsid w:val="38DE5A09"/>
    <w:rsid w:val="391C6344"/>
    <w:rsid w:val="39356E23"/>
    <w:rsid w:val="393E5003"/>
    <w:rsid w:val="39647D57"/>
    <w:rsid w:val="39E25881"/>
    <w:rsid w:val="3A830015"/>
    <w:rsid w:val="3A9F7993"/>
    <w:rsid w:val="3B027070"/>
    <w:rsid w:val="3B2845D9"/>
    <w:rsid w:val="3B2A0034"/>
    <w:rsid w:val="3B54115C"/>
    <w:rsid w:val="3B7715F7"/>
    <w:rsid w:val="3BA25407"/>
    <w:rsid w:val="3C4F40A7"/>
    <w:rsid w:val="3CB830A4"/>
    <w:rsid w:val="3CBA5A99"/>
    <w:rsid w:val="3CC65AC6"/>
    <w:rsid w:val="3D5A0987"/>
    <w:rsid w:val="3D826C79"/>
    <w:rsid w:val="3DA422CD"/>
    <w:rsid w:val="3E564A25"/>
    <w:rsid w:val="3E9001F1"/>
    <w:rsid w:val="3EA24847"/>
    <w:rsid w:val="3EBE06C8"/>
    <w:rsid w:val="3EBE409B"/>
    <w:rsid w:val="3EF17E70"/>
    <w:rsid w:val="3F263625"/>
    <w:rsid w:val="3F2B61EE"/>
    <w:rsid w:val="3F4C79D4"/>
    <w:rsid w:val="3F5D7E31"/>
    <w:rsid w:val="3F706032"/>
    <w:rsid w:val="40215D33"/>
    <w:rsid w:val="40410BA7"/>
    <w:rsid w:val="41514C7C"/>
    <w:rsid w:val="41801F79"/>
    <w:rsid w:val="418117BB"/>
    <w:rsid w:val="41BF010B"/>
    <w:rsid w:val="41DE6DF2"/>
    <w:rsid w:val="41E9411B"/>
    <w:rsid w:val="42672FEB"/>
    <w:rsid w:val="42752198"/>
    <w:rsid w:val="42B63309"/>
    <w:rsid w:val="42BB3480"/>
    <w:rsid w:val="42DC0934"/>
    <w:rsid w:val="42FC2809"/>
    <w:rsid w:val="4361083F"/>
    <w:rsid w:val="439A4C1C"/>
    <w:rsid w:val="43C256F2"/>
    <w:rsid w:val="44044F72"/>
    <w:rsid w:val="440E486B"/>
    <w:rsid w:val="44721BE9"/>
    <w:rsid w:val="44955610"/>
    <w:rsid w:val="44BD04CB"/>
    <w:rsid w:val="44D84861"/>
    <w:rsid w:val="451B2EDF"/>
    <w:rsid w:val="451E4351"/>
    <w:rsid w:val="455001D9"/>
    <w:rsid w:val="456379CB"/>
    <w:rsid w:val="45714242"/>
    <w:rsid w:val="45E71095"/>
    <w:rsid w:val="45F27FB9"/>
    <w:rsid w:val="461D6E69"/>
    <w:rsid w:val="46435A09"/>
    <w:rsid w:val="465F427C"/>
    <w:rsid w:val="46666DC9"/>
    <w:rsid w:val="46AF17B6"/>
    <w:rsid w:val="46E81114"/>
    <w:rsid w:val="47137B45"/>
    <w:rsid w:val="47717679"/>
    <w:rsid w:val="47B85C40"/>
    <w:rsid w:val="47C91D28"/>
    <w:rsid w:val="47F25559"/>
    <w:rsid w:val="48D957A6"/>
    <w:rsid w:val="48DE0909"/>
    <w:rsid w:val="49661A00"/>
    <w:rsid w:val="49A939AB"/>
    <w:rsid w:val="49B60238"/>
    <w:rsid w:val="4A1C63FF"/>
    <w:rsid w:val="4A9A3CDD"/>
    <w:rsid w:val="4ABD7AE5"/>
    <w:rsid w:val="4AFF1FD5"/>
    <w:rsid w:val="4B32399B"/>
    <w:rsid w:val="4B6773C6"/>
    <w:rsid w:val="4BE37DDD"/>
    <w:rsid w:val="4CE80E73"/>
    <w:rsid w:val="4D043663"/>
    <w:rsid w:val="4D0815F6"/>
    <w:rsid w:val="4D263351"/>
    <w:rsid w:val="4D604F98"/>
    <w:rsid w:val="4E340AD0"/>
    <w:rsid w:val="4EA46954"/>
    <w:rsid w:val="4EE0529E"/>
    <w:rsid w:val="4F6E7EA9"/>
    <w:rsid w:val="4F7F22CD"/>
    <w:rsid w:val="4F8C4D6C"/>
    <w:rsid w:val="4FDA2F72"/>
    <w:rsid w:val="4FE31710"/>
    <w:rsid w:val="504903E5"/>
    <w:rsid w:val="505666D7"/>
    <w:rsid w:val="5058710B"/>
    <w:rsid w:val="50600C4B"/>
    <w:rsid w:val="50D30B89"/>
    <w:rsid w:val="50E522EC"/>
    <w:rsid w:val="50EF6A2E"/>
    <w:rsid w:val="50FA4CB1"/>
    <w:rsid w:val="50FE1A5D"/>
    <w:rsid w:val="51CF632D"/>
    <w:rsid w:val="51F263B7"/>
    <w:rsid w:val="52095886"/>
    <w:rsid w:val="522E380C"/>
    <w:rsid w:val="524D695C"/>
    <w:rsid w:val="524E64ED"/>
    <w:rsid w:val="52A767F6"/>
    <w:rsid w:val="52DB7FC1"/>
    <w:rsid w:val="52E65207"/>
    <w:rsid w:val="52F46467"/>
    <w:rsid w:val="531C02AF"/>
    <w:rsid w:val="5375632B"/>
    <w:rsid w:val="538D764B"/>
    <w:rsid w:val="539B3C1A"/>
    <w:rsid w:val="542218BA"/>
    <w:rsid w:val="54312FB2"/>
    <w:rsid w:val="548E3176"/>
    <w:rsid w:val="54D6314F"/>
    <w:rsid w:val="54EB19ED"/>
    <w:rsid w:val="55CE0F5E"/>
    <w:rsid w:val="55FD6C03"/>
    <w:rsid w:val="5658595A"/>
    <w:rsid w:val="56AD1781"/>
    <w:rsid w:val="56E5383B"/>
    <w:rsid w:val="56F701E5"/>
    <w:rsid w:val="57124CB5"/>
    <w:rsid w:val="575339F8"/>
    <w:rsid w:val="575A3E1B"/>
    <w:rsid w:val="57E5318A"/>
    <w:rsid w:val="581C0535"/>
    <w:rsid w:val="586002E5"/>
    <w:rsid w:val="58B33B8C"/>
    <w:rsid w:val="58DD2755"/>
    <w:rsid w:val="590C5626"/>
    <w:rsid w:val="59336CDC"/>
    <w:rsid w:val="59534C13"/>
    <w:rsid w:val="59A428B9"/>
    <w:rsid w:val="5A6E01CD"/>
    <w:rsid w:val="5AA830AA"/>
    <w:rsid w:val="5AD24740"/>
    <w:rsid w:val="5B0F515D"/>
    <w:rsid w:val="5B16721C"/>
    <w:rsid w:val="5B2367C2"/>
    <w:rsid w:val="5B4103D8"/>
    <w:rsid w:val="5C2F2F43"/>
    <w:rsid w:val="5CA8594E"/>
    <w:rsid w:val="5CE25F43"/>
    <w:rsid w:val="5D154EB4"/>
    <w:rsid w:val="5D3C0A81"/>
    <w:rsid w:val="5D4F4B86"/>
    <w:rsid w:val="5D6D3161"/>
    <w:rsid w:val="5D996150"/>
    <w:rsid w:val="5DB00CF4"/>
    <w:rsid w:val="5DED62DB"/>
    <w:rsid w:val="5E42030A"/>
    <w:rsid w:val="5E581A0F"/>
    <w:rsid w:val="5E7B1144"/>
    <w:rsid w:val="5EBC6AC9"/>
    <w:rsid w:val="5F03495E"/>
    <w:rsid w:val="60024E97"/>
    <w:rsid w:val="6012443A"/>
    <w:rsid w:val="60324ABB"/>
    <w:rsid w:val="603525BF"/>
    <w:rsid w:val="603B2692"/>
    <w:rsid w:val="604279EF"/>
    <w:rsid w:val="60CB09E4"/>
    <w:rsid w:val="60CC1659"/>
    <w:rsid w:val="60E10CAA"/>
    <w:rsid w:val="61AD4524"/>
    <w:rsid w:val="61D7187C"/>
    <w:rsid w:val="621C6F7A"/>
    <w:rsid w:val="632B5A11"/>
    <w:rsid w:val="639763C0"/>
    <w:rsid w:val="639C08B9"/>
    <w:rsid w:val="643815BC"/>
    <w:rsid w:val="64400567"/>
    <w:rsid w:val="646E3B40"/>
    <w:rsid w:val="650E63B1"/>
    <w:rsid w:val="653269D0"/>
    <w:rsid w:val="65D94174"/>
    <w:rsid w:val="65DFFC44"/>
    <w:rsid w:val="66464337"/>
    <w:rsid w:val="66546DBB"/>
    <w:rsid w:val="66ED4386"/>
    <w:rsid w:val="66FB1098"/>
    <w:rsid w:val="67306B19"/>
    <w:rsid w:val="67841693"/>
    <w:rsid w:val="67E24C35"/>
    <w:rsid w:val="67E7083D"/>
    <w:rsid w:val="68125140"/>
    <w:rsid w:val="6841088D"/>
    <w:rsid w:val="68837A1C"/>
    <w:rsid w:val="68D9372F"/>
    <w:rsid w:val="694F22CF"/>
    <w:rsid w:val="696C7A3C"/>
    <w:rsid w:val="69BD4382"/>
    <w:rsid w:val="69FA4B21"/>
    <w:rsid w:val="6A5833AB"/>
    <w:rsid w:val="6AE91793"/>
    <w:rsid w:val="6AF77B9B"/>
    <w:rsid w:val="6AF93A8C"/>
    <w:rsid w:val="6B06697E"/>
    <w:rsid w:val="6B5B5827"/>
    <w:rsid w:val="6C092833"/>
    <w:rsid w:val="6C15141B"/>
    <w:rsid w:val="6C927AC4"/>
    <w:rsid w:val="6C98177E"/>
    <w:rsid w:val="6C9E5603"/>
    <w:rsid w:val="6CAB6ED5"/>
    <w:rsid w:val="6CAC5E55"/>
    <w:rsid w:val="6CAE7295"/>
    <w:rsid w:val="6D072AFE"/>
    <w:rsid w:val="6D432691"/>
    <w:rsid w:val="6D663515"/>
    <w:rsid w:val="6DAE3C49"/>
    <w:rsid w:val="6E0D759F"/>
    <w:rsid w:val="6E6411E9"/>
    <w:rsid w:val="6F5A0DAB"/>
    <w:rsid w:val="6F730093"/>
    <w:rsid w:val="6F8B5149"/>
    <w:rsid w:val="700B3A02"/>
    <w:rsid w:val="71BB177A"/>
    <w:rsid w:val="71DA041E"/>
    <w:rsid w:val="71E8347B"/>
    <w:rsid w:val="72404BB2"/>
    <w:rsid w:val="72A54001"/>
    <w:rsid w:val="72AE4A23"/>
    <w:rsid w:val="72BD5247"/>
    <w:rsid w:val="72EB2E97"/>
    <w:rsid w:val="73067DE5"/>
    <w:rsid w:val="732744BC"/>
    <w:rsid w:val="73A41480"/>
    <w:rsid w:val="73B23CBE"/>
    <w:rsid w:val="73C73415"/>
    <w:rsid w:val="741629B0"/>
    <w:rsid w:val="741C71F6"/>
    <w:rsid w:val="74314040"/>
    <w:rsid w:val="743E2427"/>
    <w:rsid w:val="74661527"/>
    <w:rsid w:val="749402ED"/>
    <w:rsid w:val="74C71153"/>
    <w:rsid w:val="750E5B52"/>
    <w:rsid w:val="75264D31"/>
    <w:rsid w:val="754137C9"/>
    <w:rsid w:val="754724E0"/>
    <w:rsid w:val="7558625D"/>
    <w:rsid w:val="75594E45"/>
    <w:rsid w:val="75946E69"/>
    <w:rsid w:val="75FF04BB"/>
    <w:rsid w:val="76092AF9"/>
    <w:rsid w:val="761D1FE8"/>
    <w:rsid w:val="762B112B"/>
    <w:rsid w:val="76523440"/>
    <w:rsid w:val="76646B96"/>
    <w:rsid w:val="76E1614E"/>
    <w:rsid w:val="774E387D"/>
    <w:rsid w:val="775104F3"/>
    <w:rsid w:val="77DB3552"/>
    <w:rsid w:val="77F823E3"/>
    <w:rsid w:val="782837D8"/>
    <w:rsid w:val="783C08C4"/>
    <w:rsid w:val="788879F3"/>
    <w:rsid w:val="788A39FC"/>
    <w:rsid w:val="78AE17DB"/>
    <w:rsid w:val="78D913E8"/>
    <w:rsid w:val="78E22959"/>
    <w:rsid w:val="78E64B57"/>
    <w:rsid w:val="79295693"/>
    <w:rsid w:val="79556945"/>
    <w:rsid w:val="79770A9C"/>
    <w:rsid w:val="798C2340"/>
    <w:rsid w:val="799C07D4"/>
    <w:rsid w:val="79C71039"/>
    <w:rsid w:val="79F75828"/>
    <w:rsid w:val="7A030BD8"/>
    <w:rsid w:val="7A0A1F38"/>
    <w:rsid w:val="7A153000"/>
    <w:rsid w:val="7A216073"/>
    <w:rsid w:val="7A9C314A"/>
    <w:rsid w:val="7ABD11C9"/>
    <w:rsid w:val="7AF97AFC"/>
    <w:rsid w:val="7B262824"/>
    <w:rsid w:val="7B49649D"/>
    <w:rsid w:val="7B8F330B"/>
    <w:rsid w:val="7B93556B"/>
    <w:rsid w:val="7BFA6A0E"/>
    <w:rsid w:val="7BFE6929"/>
    <w:rsid w:val="7C0F56DD"/>
    <w:rsid w:val="7C271257"/>
    <w:rsid w:val="7C296D4B"/>
    <w:rsid w:val="7C3776DC"/>
    <w:rsid w:val="7C3E5ED5"/>
    <w:rsid w:val="7CEB6DA2"/>
    <w:rsid w:val="7CEC751D"/>
    <w:rsid w:val="7D116D86"/>
    <w:rsid w:val="7D746944"/>
    <w:rsid w:val="7D8E085B"/>
    <w:rsid w:val="7DD8007A"/>
    <w:rsid w:val="7DEF6462"/>
    <w:rsid w:val="7DFE4BD2"/>
    <w:rsid w:val="7E115AF8"/>
    <w:rsid w:val="7E53317E"/>
    <w:rsid w:val="7E587866"/>
    <w:rsid w:val="7E82250F"/>
    <w:rsid w:val="7EF113A0"/>
    <w:rsid w:val="7EF953FA"/>
    <w:rsid w:val="7F4E36EE"/>
    <w:rsid w:val="7F9B666E"/>
    <w:rsid w:val="7FE6130C"/>
    <w:rsid w:val="7FEA3F31"/>
    <w:rsid w:val="7FEE4546"/>
    <w:rsid w:val="9E7D0113"/>
    <w:rsid w:val="BFF529A3"/>
    <w:rsid w:val="F973FE88"/>
    <w:rsid w:val="F9BF9C8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uiPriority="99"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nhideWhenUsed="0" w:uiPriority="99" w:semiHidden="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semiHidden="0" w:name="annotation reference"/>
    <w:lsdException w:uiPriority="99" w:name="line number" w:locked="1"/>
    <w:lsdException w:qFormat="1" w:unhideWhenUsed="0" w:uiPriority="99" w:semiHidden="0" w:name="page number"/>
    <w:lsdException w:uiPriority="99" w:name="endnote reference" w:locked="1"/>
    <w:lsdException w:qFormat="1" w:unhideWhenUsed="0" w:uiPriority="99" w:semiHidden="0" w:name="endnote text"/>
    <w:lsdException w:uiPriority="99" w:name="table of authorities" w:locked="1"/>
    <w:lsdException w:uiPriority="99" w:name="macro" w:locked="1"/>
    <w:lsdException w:uiPriority="99" w:name="toa heading" w:locked="1"/>
    <w:lsdException w:qFormat="1" w:unhideWhenUsed="0" w:uiPriority="99" w:semiHidden="0" w:name="List"/>
    <w:lsdException w:qFormat="1" w:unhideWhenUsed="0" w:uiPriority="99" w:semiHidden="0" w:name="List Bullet"/>
    <w:lsdException w:uiPriority="99" w:name="List Number" w:locked="1"/>
    <w:lsdException w:uiPriority="99" w:name="List 2" w:locked="1"/>
    <w:lsdException w:uiPriority="99" w:name="List 3" w:locked="1"/>
    <w:lsdException w:uiPriority="99" w:name="List 4" w:locked="1"/>
    <w:lsdException w:uiPriority="99" w:name="List 5" w:locked="1"/>
    <w:lsdException w:qFormat="1" w:unhideWhenUsed="0" w:uiPriority="99" w:semiHidden="0" w:name="List Bullet 2"/>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20" w:semiHidden="0" w:name="Emphasis" w:locked="1"/>
    <w:lsdException w:qFormat="1" w:unhideWhenUsed="0" w:uiPriority="99" w:semiHidden="0" w:name="Document Map"/>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5">
    <w:name w:val="heading 1"/>
    <w:basedOn w:val="1"/>
    <w:next w:val="1"/>
    <w:link w:val="59"/>
    <w:qFormat/>
    <w:uiPriority w:val="99"/>
    <w:pPr>
      <w:keepNext/>
      <w:keepLines/>
      <w:numPr>
        <w:ilvl w:val="0"/>
        <w:numId w:val="1"/>
      </w:numPr>
      <w:autoSpaceDE w:val="0"/>
      <w:autoSpaceDN w:val="0"/>
      <w:adjustRightInd w:val="0"/>
      <w:spacing w:before="340" w:after="330" w:line="360" w:lineRule="auto"/>
      <w:jc w:val="left"/>
      <w:textAlignment w:val="baseline"/>
      <w:outlineLvl w:val="0"/>
    </w:pPr>
    <w:rPr>
      <w:rFonts w:ascii="宋体" w:hAnsi="Arial" w:eastAsia="黑体"/>
      <w:color w:val="000000"/>
      <w:kern w:val="44"/>
      <w:sz w:val="36"/>
    </w:rPr>
  </w:style>
  <w:style w:type="paragraph" w:styleId="6">
    <w:name w:val="heading 2"/>
    <w:basedOn w:val="1"/>
    <w:next w:val="1"/>
    <w:link w:val="56"/>
    <w:qFormat/>
    <w:uiPriority w:val="99"/>
    <w:pPr>
      <w:keepNext/>
      <w:keepLines/>
      <w:numPr>
        <w:ilvl w:val="1"/>
        <w:numId w:val="1"/>
      </w:numPr>
      <w:spacing w:before="260" w:after="260" w:line="416" w:lineRule="auto"/>
      <w:outlineLvl w:val="1"/>
    </w:pPr>
    <w:rPr>
      <w:rFonts w:ascii="Arial" w:hAnsi="Arial" w:eastAsia="黑体"/>
      <w:bCs/>
      <w:kern w:val="0"/>
      <w:sz w:val="32"/>
      <w:szCs w:val="32"/>
    </w:rPr>
  </w:style>
  <w:style w:type="paragraph" w:styleId="7">
    <w:name w:val="heading 3"/>
    <w:basedOn w:val="1"/>
    <w:next w:val="1"/>
    <w:link w:val="55"/>
    <w:qFormat/>
    <w:uiPriority w:val="99"/>
    <w:pPr>
      <w:numPr>
        <w:ilvl w:val="2"/>
        <w:numId w:val="1"/>
      </w:numPr>
      <w:autoSpaceDE w:val="0"/>
      <w:autoSpaceDN w:val="0"/>
      <w:adjustRightInd w:val="0"/>
      <w:spacing w:line="300" w:lineRule="auto"/>
      <w:textAlignment w:val="baseline"/>
      <w:outlineLvl w:val="2"/>
    </w:pPr>
    <w:rPr>
      <w:rFonts w:ascii="黑体" w:hAnsi="Calibri" w:eastAsia="黑体"/>
      <w:color w:val="000000"/>
      <w:kern w:val="0"/>
      <w:sz w:val="28"/>
    </w:rPr>
  </w:style>
  <w:style w:type="paragraph" w:styleId="8">
    <w:name w:val="heading 4"/>
    <w:basedOn w:val="1"/>
    <w:next w:val="1"/>
    <w:link w:val="60"/>
    <w:qFormat/>
    <w:uiPriority w:val="99"/>
    <w:pPr>
      <w:keepNext/>
      <w:keepLines/>
      <w:spacing w:before="280" w:after="290" w:line="376" w:lineRule="auto"/>
      <w:outlineLvl w:val="3"/>
    </w:pPr>
    <w:rPr>
      <w:rFonts w:ascii="Cambria" w:hAnsi="Cambria"/>
      <w:kern w:val="0"/>
      <w:sz w:val="28"/>
    </w:rPr>
  </w:style>
  <w:style w:type="paragraph" w:styleId="9">
    <w:name w:val="heading 5"/>
    <w:basedOn w:val="1"/>
    <w:next w:val="1"/>
    <w:link w:val="61"/>
    <w:qFormat/>
    <w:uiPriority w:val="99"/>
    <w:pPr>
      <w:keepNext/>
      <w:keepLines/>
      <w:spacing w:before="280" w:after="290" w:line="376" w:lineRule="auto"/>
      <w:outlineLvl w:val="4"/>
    </w:pPr>
    <w:rPr>
      <w:rFonts w:ascii="Calibri" w:hAnsi="Calibri"/>
      <w:kern w:val="0"/>
      <w:sz w:val="28"/>
    </w:rPr>
  </w:style>
  <w:style w:type="paragraph" w:styleId="10">
    <w:name w:val="heading 6"/>
    <w:basedOn w:val="1"/>
    <w:next w:val="1"/>
    <w:link w:val="62"/>
    <w:qFormat/>
    <w:uiPriority w:val="99"/>
    <w:pPr>
      <w:keepNext/>
      <w:keepLines/>
      <w:spacing w:before="240" w:after="64" w:line="320" w:lineRule="auto"/>
      <w:outlineLvl w:val="5"/>
    </w:pPr>
    <w:rPr>
      <w:rFonts w:ascii="Cambria" w:hAnsi="Cambria"/>
      <w:kern w:val="0"/>
      <w:sz w:val="24"/>
    </w:rPr>
  </w:style>
  <w:style w:type="paragraph" w:styleId="11">
    <w:name w:val="heading 7"/>
    <w:basedOn w:val="1"/>
    <w:next w:val="1"/>
    <w:link w:val="63"/>
    <w:qFormat/>
    <w:uiPriority w:val="99"/>
    <w:pPr>
      <w:keepNext/>
      <w:keepLines/>
      <w:numPr>
        <w:ilvl w:val="6"/>
        <w:numId w:val="2"/>
      </w:numPr>
      <w:adjustRightInd w:val="0"/>
      <w:spacing w:before="240" w:after="64" w:line="320" w:lineRule="atLeast"/>
      <w:textAlignment w:val="baseline"/>
      <w:outlineLvl w:val="6"/>
    </w:pPr>
    <w:rPr>
      <w:rFonts w:ascii="宋体" w:hAnsi="Calibri" w:eastAsia="仿宋_GB2312"/>
      <w:kern w:val="0"/>
      <w:sz w:val="24"/>
    </w:rPr>
  </w:style>
  <w:style w:type="paragraph" w:styleId="12">
    <w:name w:val="heading 8"/>
    <w:basedOn w:val="1"/>
    <w:next w:val="1"/>
    <w:link w:val="64"/>
    <w:qFormat/>
    <w:uiPriority w:val="99"/>
    <w:pPr>
      <w:keepNext/>
      <w:keepLines/>
      <w:numPr>
        <w:ilvl w:val="7"/>
        <w:numId w:val="2"/>
      </w:numPr>
      <w:adjustRightInd w:val="0"/>
      <w:spacing w:before="240" w:after="64" w:line="320" w:lineRule="atLeast"/>
      <w:textAlignment w:val="baseline"/>
      <w:outlineLvl w:val="7"/>
    </w:pPr>
    <w:rPr>
      <w:rFonts w:ascii="Arial" w:hAnsi="Arial" w:eastAsia="黑体"/>
      <w:kern w:val="0"/>
      <w:sz w:val="24"/>
    </w:rPr>
  </w:style>
  <w:style w:type="paragraph" w:styleId="13">
    <w:name w:val="heading 9"/>
    <w:basedOn w:val="1"/>
    <w:next w:val="1"/>
    <w:link w:val="65"/>
    <w:qFormat/>
    <w:uiPriority w:val="99"/>
    <w:pPr>
      <w:keepNext/>
      <w:keepLines/>
      <w:numPr>
        <w:ilvl w:val="8"/>
        <w:numId w:val="2"/>
      </w:numPr>
      <w:adjustRightInd w:val="0"/>
      <w:spacing w:before="240" w:after="64" w:line="320" w:lineRule="atLeast"/>
      <w:textAlignment w:val="baseline"/>
      <w:outlineLvl w:val="8"/>
    </w:pPr>
    <w:rPr>
      <w:rFonts w:ascii="Arial" w:hAnsi="Arial" w:eastAsia="黑体"/>
      <w:kern w:val="0"/>
      <w:sz w:val="28"/>
    </w:rPr>
  </w:style>
  <w:style w:type="character" w:default="1" w:styleId="49">
    <w:name w:val="Default Paragraph Font"/>
    <w:semiHidden/>
    <w:unhideWhenUsed/>
    <w:qFormat/>
    <w:uiPriority w:val="1"/>
  </w:style>
  <w:style w:type="table" w:default="1" w:styleId="47">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link w:val="88"/>
    <w:qFormat/>
    <w:uiPriority w:val="99"/>
    <w:pPr>
      <w:ind w:firstLine="420"/>
    </w:pPr>
    <w:rPr>
      <w:rFonts w:ascii="Calibri" w:hAnsi="Calibri"/>
    </w:rPr>
  </w:style>
  <w:style w:type="paragraph" w:styleId="3">
    <w:name w:val="Body Text Indent"/>
    <w:basedOn w:val="1"/>
    <w:next w:val="4"/>
    <w:link w:val="71"/>
    <w:qFormat/>
    <w:uiPriority w:val="99"/>
    <w:pPr>
      <w:spacing w:line="480" w:lineRule="auto"/>
      <w:ind w:firstLine="600"/>
    </w:pPr>
    <w:rPr>
      <w:rFonts w:ascii="Calibri" w:hAnsi="Calibri"/>
      <w:sz w:val="28"/>
    </w:rPr>
  </w:style>
  <w:style w:type="paragraph" w:customStyle="1" w:styleId="4">
    <w:name w:val="样式 正文文本缩进 + 左  0 字符"/>
    <w:basedOn w:val="1"/>
    <w:qFormat/>
    <w:uiPriority w:val="0"/>
    <w:pPr>
      <w:spacing w:line="360" w:lineRule="auto"/>
      <w:ind w:firstLine="250" w:firstLineChars="250"/>
    </w:pPr>
    <w:rPr>
      <w:rFonts w:cs="宋体"/>
      <w:sz w:val="24"/>
      <w:szCs w:val="20"/>
    </w:rPr>
  </w:style>
  <w:style w:type="paragraph" w:styleId="14">
    <w:name w:val="toc 7"/>
    <w:basedOn w:val="1"/>
    <w:next w:val="1"/>
    <w:qFormat/>
    <w:uiPriority w:val="99"/>
    <w:pPr>
      <w:ind w:left="2520" w:leftChars="1200"/>
    </w:pPr>
    <w:rPr>
      <w:rFonts w:eastAsia="黑体"/>
      <w:szCs w:val="24"/>
    </w:rPr>
  </w:style>
  <w:style w:type="paragraph" w:styleId="15">
    <w:name w:val="caption"/>
    <w:basedOn w:val="1"/>
    <w:next w:val="1"/>
    <w:qFormat/>
    <w:uiPriority w:val="99"/>
    <w:rPr>
      <w:rFonts w:ascii="Arial" w:hAnsi="Arial" w:eastAsia="黑体" w:cs="Arial"/>
      <w:sz w:val="20"/>
    </w:rPr>
  </w:style>
  <w:style w:type="paragraph" w:styleId="16">
    <w:name w:val="List Bullet"/>
    <w:basedOn w:val="1"/>
    <w:qFormat/>
    <w:uiPriority w:val="99"/>
    <w:pPr>
      <w:widowControl/>
      <w:tabs>
        <w:tab w:val="left" w:pos="900"/>
      </w:tabs>
      <w:spacing w:before="100" w:beforeAutospacing="1" w:afterLines="50" w:afterAutospacing="1"/>
      <w:ind w:left="900" w:hanging="420"/>
      <w:jc w:val="left"/>
    </w:pPr>
    <w:rPr>
      <w:kern w:val="0"/>
    </w:rPr>
  </w:style>
  <w:style w:type="paragraph" w:styleId="17">
    <w:name w:val="Document Map"/>
    <w:basedOn w:val="1"/>
    <w:link w:val="66"/>
    <w:qFormat/>
    <w:uiPriority w:val="99"/>
    <w:pPr>
      <w:shd w:val="clear" w:color="auto" w:fill="000080"/>
    </w:pPr>
    <w:rPr>
      <w:rFonts w:ascii="Calibri" w:hAnsi="Calibri"/>
      <w:kern w:val="0"/>
      <w:sz w:val="2"/>
    </w:rPr>
  </w:style>
  <w:style w:type="paragraph" w:styleId="18">
    <w:name w:val="annotation text"/>
    <w:basedOn w:val="1"/>
    <w:link w:val="67"/>
    <w:qFormat/>
    <w:uiPriority w:val="99"/>
    <w:pPr>
      <w:jc w:val="left"/>
    </w:pPr>
    <w:rPr>
      <w:rFonts w:ascii="Calibri" w:hAnsi="Calibri"/>
      <w:kern w:val="0"/>
      <w:sz w:val="20"/>
    </w:rPr>
  </w:style>
  <w:style w:type="paragraph" w:styleId="19">
    <w:name w:val="Body Text 3"/>
    <w:basedOn w:val="1"/>
    <w:link w:val="68"/>
    <w:qFormat/>
    <w:uiPriority w:val="99"/>
    <w:rPr>
      <w:rFonts w:ascii="Calibri" w:hAnsi="Calibri"/>
      <w:kern w:val="0"/>
      <w:sz w:val="16"/>
    </w:rPr>
  </w:style>
  <w:style w:type="paragraph" w:styleId="20">
    <w:name w:val="Body Text"/>
    <w:basedOn w:val="1"/>
    <w:next w:val="21"/>
    <w:link w:val="69"/>
    <w:qFormat/>
    <w:uiPriority w:val="99"/>
    <w:pPr>
      <w:spacing w:after="120"/>
    </w:pPr>
    <w:rPr>
      <w:rFonts w:ascii="仿宋_GB2312" w:hAnsi="Calibri"/>
      <w:sz w:val="32"/>
    </w:rPr>
  </w:style>
  <w:style w:type="paragraph" w:styleId="21">
    <w:name w:val="Body Text First Indent"/>
    <w:basedOn w:val="20"/>
    <w:next w:val="22"/>
    <w:link w:val="70"/>
    <w:qFormat/>
    <w:uiPriority w:val="99"/>
    <w:pPr>
      <w:spacing w:line="360" w:lineRule="auto"/>
      <w:ind w:firstLine="200" w:firstLineChars="200"/>
      <w:jc w:val="left"/>
    </w:pPr>
    <w:rPr>
      <w:sz w:val="20"/>
    </w:rPr>
  </w:style>
  <w:style w:type="paragraph" w:styleId="22">
    <w:name w:val="toc 6"/>
    <w:basedOn w:val="1"/>
    <w:next w:val="1"/>
    <w:qFormat/>
    <w:uiPriority w:val="99"/>
    <w:pPr>
      <w:ind w:left="2100" w:leftChars="1000"/>
    </w:pPr>
    <w:rPr>
      <w:rFonts w:eastAsia="黑体"/>
      <w:szCs w:val="24"/>
    </w:rPr>
  </w:style>
  <w:style w:type="paragraph" w:styleId="23">
    <w:name w:val="List Bullet 2"/>
    <w:basedOn w:val="1"/>
    <w:qFormat/>
    <w:uiPriority w:val="99"/>
    <w:pPr>
      <w:tabs>
        <w:tab w:val="left" w:pos="360"/>
        <w:tab w:val="left" w:pos="1191"/>
      </w:tabs>
      <w:snapToGrid w:val="0"/>
      <w:spacing w:line="360" w:lineRule="auto"/>
      <w:ind w:left="482" w:hanging="482" w:hangingChars="200"/>
      <w:jc w:val="left"/>
    </w:pPr>
    <w:rPr>
      <w:b/>
      <w:bCs/>
      <w:sz w:val="24"/>
      <w:szCs w:val="32"/>
    </w:rPr>
  </w:style>
  <w:style w:type="paragraph" w:styleId="24">
    <w:name w:val="toc 5"/>
    <w:basedOn w:val="1"/>
    <w:next w:val="1"/>
    <w:qFormat/>
    <w:uiPriority w:val="99"/>
    <w:pPr>
      <w:ind w:left="1680" w:leftChars="800"/>
    </w:pPr>
    <w:rPr>
      <w:rFonts w:eastAsia="黑体"/>
      <w:szCs w:val="24"/>
    </w:rPr>
  </w:style>
  <w:style w:type="paragraph" w:styleId="25">
    <w:name w:val="toc 3"/>
    <w:basedOn w:val="1"/>
    <w:next w:val="1"/>
    <w:qFormat/>
    <w:uiPriority w:val="99"/>
    <w:pPr>
      <w:ind w:left="840" w:leftChars="400"/>
    </w:pPr>
    <w:rPr>
      <w:rFonts w:eastAsia="黑体"/>
      <w:szCs w:val="24"/>
    </w:rPr>
  </w:style>
  <w:style w:type="paragraph" w:styleId="26">
    <w:name w:val="Plain Text"/>
    <w:basedOn w:val="1"/>
    <w:link w:val="72"/>
    <w:qFormat/>
    <w:uiPriority w:val="99"/>
    <w:pPr>
      <w:widowControl/>
      <w:overflowPunct w:val="0"/>
      <w:autoSpaceDE w:val="0"/>
      <w:autoSpaceDN w:val="0"/>
      <w:adjustRightInd w:val="0"/>
      <w:jc w:val="left"/>
      <w:textAlignment w:val="baseline"/>
    </w:pPr>
    <w:rPr>
      <w:rFonts w:ascii="宋体" w:hAnsi="Courier New"/>
      <w:kern w:val="0"/>
    </w:rPr>
  </w:style>
  <w:style w:type="paragraph" w:styleId="27">
    <w:name w:val="toc 8"/>
    <w:basedOn w:val="1"/>
    <w:next w:val="1"/>
    <w:qFormat/>
    <w:uiPriority w:val="99"/>
    <w:pPr>
      <w:ind w:left="2940" w:leftChars="1400"/>
    </w:pPr>
    <w:rPr>
      <w:rFonts w:eastAsia="黑体"/>
      <w:szCs w:val="24"/>
    </w:rPr>
  </w:style>
  <w:style w:type="paragraph" w:styleId="28">
    <w:name w:val="Date"/>
    <w:basedOn w:val="1"/>
    <w:next w:val="1"/>
    <w:link w:val="73"/>
    <w:qFormat/>
    <w:uiPriority w:val="99"/>
    <w:pPr>
      <w:ind w:left="100"/>
    </w:pPr>
    <w:rPr>
      <w:rFonts w:ascii="Calibri" w:hAnsi="Calibri"/>
      <w:kern w:val="0"/>
      <w:sz w:val="20"/>
    </w:rPr>
  </w:style>
  <w:style w:type="paragraph" w:styleId="29">
    <w:name w:val="Body Text Indent 2"/>
    <w:basedOn w:val="1"/>
    <w:link w:val="74"/>
    <w:qFormat/>
    <w:uiPriority w:val="99"/>
    <w:pPr>
      <w:spacing w:after="120" w:line="480" w:lineRule="auto"/>
      <w:ind w:left="420" w:leftChars="200"/>
    </w:pPr>
    <w:rPr>
      <w:rFonts w:ascii="Calibri" w:hAnsi="Calibri"/>
      <w:kern w:val="0"/>
      <w:sz w:val="20"/>
    </w:rPr>
  </w:style>
  <w:style w:type="paragraph" w:styleId="30">
    <w:name w:val="endnote text"/>
    <w:basedOn w:val="1"/>
    <w:link w:val="75"/>
    <w:qFormat/>
    <w:uiPriority w:val="99"/>
    <w:pPr>
      <w:snapToGrid w:val="0"/>
      <w:spacing w:afterLines="50"/>
      <w:jc w:val="left"/>
    </w:pPr>
    <w:rPr>
      <w:rFonts w:ascii="Calibri" w:hAnsi="Calibri"/>
      <w:kern w:val="0"/>
      <w:sz w:val="20"/>
    </w:rPr>
  </w:style>
  <w:style w:type="paragraph" w:styleId="31">
    <w:name w:val="Balloon Text"/>
    <w:basedOn w:val="1"/>
    <w:link w:val="76"/>
    <w:qFormat/>
    <w:uiPriority w:val="99"/>
    <w:rPr>
      <w:rFonts w:ascii="Calibri" w:hAnsi="Calibri"/>
      <w:kern w:val="0"/>
      <w:sz w:val="2"/>
    </w:rPr>
  </w:style>
  <w:style w:type="paragraph" w:styleId="32">
    <w:name w:val="footer"/>
    <w:basedOn w:val="1"/>
    <w:link w:val="77"/>
    <w:qFormat/>
    <w:uiPriority w:val="99"/>
    <w:pPr>
      <w:tabs>
        <w:tab w:val="center" w:pos="4153"/>
        <w:tab w:val="right" w:pos="8306"/>
      </w:tabs>
      <w:snapToGrid w:val="0"/>
      <w:jc w:val="left"/>
    </w:pPr>
    <w:rPr>
      <w:rFonts w:ascii="Calibri" w:hAnsi="Calibri"/>
      <w:kern w:val="0"/>
      <w:sz w:val="18"/>
    </w:rPr>
  </w:style>
  <w:style w:type="paragraph" w:styleId="33">
    <w:name w:val="header"/>
    <w:basedOn w:val="1"/>
    <w:link w:val="78"/>
    <w:qFormat/>
    <w:uiPriority w:val="99"/>
    <w:pPr>
      <w:pBdr>
        <w:bottom w:val="single" w:color="auto" w:sz="6" w:space="1"/>
      </w:pBdr>
      <w:tabs>
        <w:tab w:val="center" w:pos="4153"/>
        <w:tab w:val="right" w:pos="8306"/>
      </w:tabs>
      <w:snapToGrid w:val="0"/>
      <w:jc w:val="center"/>
    </w:pPr>
    <w:rPr>
      <w:rFonts w:ascii="Calibri" w:hAnsi="Calibri"/>
      <w:kern w:val="0"/>
      <w:sz w:val="18"/>
    </w:rPr>
  </w:style>
  <w:style w:type="paragraph" w:styleId="34">
    <w:name w:val="toc 1"/>
    <w:basedOn w:val="1"/>
    <w:next w:val="1"/>
    <w:qFormat/>
    <w:uiPriority w:val="99"/>
    <w:rPr>
      <w:rFonts w:eastAsia="黑体"/>
      <w:b/>
      <w:sz w:val="24"/>
      <w:szCs w:val="24"/>
    </w:rPr>
  </w:style>
  <w:style w:type="paragraph" w:styleId="35">
    <w:name w:val="toc 4"/>
    <w:basedOn w:val="1"/>
    <w:next w:val="1"/>
    <w:qFormat/>
    <w:uiPriority w:val="99"/>
    <w:pPr>
      <w:ind w:left="1260" w:leftChars="600"/>
    </w:pPr>
    <w:rPr>
      <w:rFonts w:eastAsia="黑体"/>
      <w:szCs w:val="24"/>
    </w:rPr>
  </w:style>
  <w:style w:type="paragraph" w:styleId="36">
    <w:name w:val="Subtitle"/>
    <w:basedOn w:val="1"/>
    <w:link w:val="79"/>
    <w:qFormat/>
    <w:uiPriority w:val="99"/>
    <w:pPr>
      <w:spacing w:afterLines="50"/>
      <w:jc w:val="center"/>
    </w:pPr>
    <w:rPr>
      <w:rFonts w:ascii="Cambria" w:hAnsi="Cambria"/>
      <w:kern w:val="28"/>
      <w:sz w:val="32"/>
    </w:rPr>
  </w:style>
  <w:style w:type="paragraph" w:styleId="37">
    <w:name w:val="List"/>
    <w:basedOn w:val="1"/>
    <w:qFormat/>
    <w:uiPriority w:val="99"/>
    <w:pPr>
      <w:ind w:left="200" w:hanging="200" w:hangingChars="200"/>
    </w:pPr>
    <w:rPr>
      <w:sz w:val="28"/>
      <w:szCs w:val="24"/>
    </w:rPr>
  </w:style>
  <w:style w:type="paragraph" w:styleId="38">
    <w:name w:val="Body Text Indent 3"/>
    <w:basedOn w:val="1"/>
    <w:link w:val="80"/>
    <w:qFormat/>
    <w:uiPriority w:val="99"/>
    <w:pPr>
      <w:spacing w:line="500" w:lineRule="atLeast"/>
      <w:ind w:firstLine="720" w:firstLineChars="300"/>
    </w:pPr>
    <w:rPr>
      <w:rFonts w:ascii="Calibri" w:hAnsi="Calibri"/>
      <w:kern w:val="0"/>
      <w:sz w:val="16"/>
    </w:rPr>
  </w:style>
  <w:style w:type="paragraph" w:styleId="39">
    <w:name w:val="toc 2"/>
    <w:basedOn w:val="1"/>
    <w:next w:val="1"/>
    <w:qFormat/>
    <w:uiPriority w:val="99"/>
    <w:pPr>
      <w:tabs>
        <w:tab w:val="right" w:leader="dot" w:pos="8909"/>
      </w:tabs>
      <w:ind w:left="420" w:leftChars="200"/>
    </w:pPr>
    <w:rPr>
      <w:rFonts w:eastAsia="黑体"/>
      <w:szCs w:val="24"/>
    </w:rPr>
  </w:style>
  <w:style w:type="paragraph" w:styleId="40">
    <w:name w:val="toc 9"/>
    <w:basedOn w:val="1"/>
    <w:next w:val="1"/>
    <w:qFormat/>
    <w:uiPriority w:val="99"/>
    <w:pPr>
      <w:ind w:left="3360" w:leftChars="1600"/>
    </w:pPr>
    <w:rPr>
      <w:rFonts w:eastAsia="黑体"/>
      <w:szCs w:val="24"/>
    </w:rPr>
  </w:style>
  <w:style w:type="paragraph" w:styleId="41">
    <w:name w:val="Body Text 2"/>
    <w:basedOn w:val="1"/>
    <w:link w:val="81"/>
    <w:qFormat/>
    <w:uiPriority w:val="99"/>
    <w:pPr>
      <w:autoSpaceDE w:val="0"/>
      <w:autoSpaceDN w:val="0"/>
      <w:adjustRightInd w:val="0"/>
    </w:pPr>
    <w:rPr>
      <w:rFonts w:ascii="Calibri" w:hAnsi="Calibri"/>
      <w:kern w:val="0"/>
      <w:sz w:val="20"/>
    </w:rPr>
  </w:style>
  <w:style w:type="paragraph" w:styleId="42">
    <w:name w:val="HTML Preformatted"/>
    <w:basedOn w:val="1"/>
    <w:link w:val="82"/>
    <w:qFormat/>
    <w:uiPriority w:val="99"/>
    <w:rPr>
      <w:rFonts w:ascii="Courier New" w:hAnsi="Courier New"/>
      <w:kern w:val="0"/>
      <w:sz w:val="20"/>
    </w:rPr>
  </w:style>
  <w:style w:type="paragraph" w:styleId="43">
    <w:name w:val="Normal (Web)"/>
    <w:basedOn w:val="1"/>
    <w:qFormat/>
    <w:uiPriority w:val="99"/>
    <w:pPr>
      <w:widowControl/>
      <w:spacing w:before="100" w:beforeAutospacing="1" w:after="100" w:afterAutospacing="1"/>
      <w:jc w:val="left"/>
    </w:pPr>
    <w:rPr>
      <w:rFonts w:ascii="宋体" w:hAnsi="宋体"/>
      <w:color w:val="000000"/>
      <w:kern w:val="0"/>
      <w:sz w:val="24"/>
      <w:szCs w:val="24"/>
    </w:rPr>
  </w:style>
  <w:style w:type="paragraph" w:styleId="44">
    <w:name w:val="Title"/>
    <w:basedOn w:val="1"/>
    <w:link w:val="83"/>
    <w:qFormat/>
    <w:uiPriority w:val="99"/>
    <w:pPr>
      <w:widowControl/>
      <w:overflowPunct w:val="0"/>
      <w:autoSpaceDE w:val="0"/>
      <w:autoSpaceDN w:val="0"/>
      <w:adjustRightInd w:val="0"/>
      <w:jc w:val="center"/>
      <w:textAlignment w:val="baseline"/>
    </w:pPr>
    <w:rPr>
      <w:rFonts w:ascii="Cambria" w:hAnsi="Cambria"/>
      <w:kern w:val="0"/>
      <w:sz w:val="32"/>
    </w:rPr>
  </w:style>
  <w:style w:type="paragraph" w:styleId="45">
    <w:name w:val="annotation subject"/>
    <w:basedOn w:val="18"/>
    <w:next w:val="18"/>
    <w:link w:val="84"/>
    <w:qFormat/>
    <w:uiPriority w:val="99"/>
  </w:style>
  <w:style w:type="paragraph" w:styleId="46">
    <w:name w:val="Body Text First Indent 2"/>
    <w:basedOn w:val="3"/>
    <w:link w:val="85"/>
    <w:qFormat/>
    <w:uiPriority w:val="99"/>
    <w:pPr>
      <w:spacing w:after="120" w:line="240" w:lineRule="auto"/>
      <w:ind w:left="420" w:leftChars="200" w:firstLine="420" w:firstLineChars="200"/>
    </w:pPr>
    <w:rPr>
      <w:sz w:val="20"/>
    </w:rPr>
  </w:style>
  <w:style w:type="table" w:styleId="48">
    <w:name w:val="Table Grid"/>
    <w:basedOn w:val="47"/>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0">
    <w:name w:val="Strong"/>
    <w:basedOn w:val="49"/>
    <w:qFormat/>
    <w:uiPriority w:val="99"/>
    <w:rPr>
      <w:rFonts w:cs="Times New Roman"/>
    </w:rPr>
  </w:style>
  <w:style w:type="character" w:styleId="51">
    <w:name w:val="page number"/>
    <w:basedOn w:val="49"/>
    <w:qFormat/>
    <w:uiPriority w:val="99"/>
    <w:rPr>
      <w:rFonts w:ascii="仿宋_GB2312" w:eastAsia="仿宋_GB2312" w:cs="Times New Roman"/>
      <w:sz w:val="32"/>
    </w:rPr>
  </w:style>
  <w:style w:type="character" w:styleId="52">
    <w:name w:val="FollowedHyperlink"/>
    <w:basedOn w:val="49"/>
    <w:qFormat/>
    <w:uiPriority w:val="99"/>
    <w:rPr>
      <w:rFonts w:ascii="仿宋_GB2312" w:eastAsia="仿宋_GB2312" w:cs="Times New Roman"/>
      <w:color w:val="800080"/>
      <w:sz w:val="32"/>
      <w:u w:val="single"/>
    </w:rPr>
  </w:style>
  <w:style w:type="character" w:styleId="53">
    <w:name w:val="Hyperlink"/>
    <w:basedOn w:val="49"/>
    <w:qFormat/>
    <w:uiPriority w:val="99"/>
    <w:rPr>
      <w:rFonts w:ascii="仿宋_GB2312" w:eastAsia="仿宋_GB2312" w:cs="Times New Roman"/>
      <w:color w:val="0000FF"/>
      <w:sz w:val="32"/>
      <w:u w:val="single"/>
    </w:rPr>
  </w:style>
  <w:style w:type="character" w:styleId="54">
    <w:name w:val="annotation reference"/>
    <w:basedOn w:val="49"/>
    <w:qFormat/>
    <w:uiPriority w:val="99"/>
    <w:rPr>
      <w:rFonts w:cs="Times New Roman"/>
      <w:sz w:val="21"/>
    </w:rPr>
  </w:style>
  <w:style w:type="character" w:customStyle="1" w:styleId="55">
    <w:name w:val="标题 3 Char"/>
    <w:basedOn w:val="49"/>
    <w:link w:val="7"/>
    <w:qFormat/>
    <w:locked/>
    <w:uiPriority w:val="99"/>
    <w:rPr>
      <w:rFonts w:ascii="黑体" w:eastAsia="黑体"/>
      <w:color w:val="000000"/>
      <w:kern w:val="0"/>
      <w:sz w:val="28"/>
      <w:szCs w:val="20"/>
    </w:rPr>
  </w:style>
  <w:style w:type="character" w:customStyle="1" w:styleId="56">
    <w:name w:val="标题 2 Char"/>
    <w:basedOn w:val="49"/>
    <w:link w:val="6"/>
    <w:qFormat/>
    <w:locked/>
    <w:uiPriority w:val="99"/>
    <w:rPr>
      <w:rFonts w:ascii="Arial" w:hAnsi="Arial" w:eastAsia="黑体"/>
      <w:bCs/>
      <w:kern w:val="0"/>
      <w:sz w:val="32"/>
      <w:szCs w:val="32"/>
    </w:rPr>
  </w:style>
  <w:style w:type="paragraph" w:customStyle="1" w:styleId="57">
    <w:name w:val="段"/>
    <w:next w:val="1"/>
    <w:qFormat/>
    <w:uiPriority w:val="99"/>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8">
    <w:name w:val="章正文"/>
    <w:basedOn w:val="1"/>
    <w:qFormat/>
    <w:uiPriority w:val="99"/>
    <w:pPr>
      <w:spacing w:beforeLines="50" w:after="120" w:line="300" w:lineRule="auto"/>
      <w:ind w:firstLine="480"/>
    </w:pPr>
    <w:rPr>
      <w:rFonts w:ascii="Helvetica" w:hAnsi="Helvetica"/>
      <w:kern w:val="0"/>
      <w:sz w:val="24"/>
      <w:szCs w:val="24"/>
    </w:rPr>
  </w:style>
  <w:style w:type="character" w:customStyle="1" w:styleId="59">
    <w:name w:val="标题 1 Char"/>
    <w:basedOn w:val="49"/>
    <w:link w:val="5"/>
    <w:qFormat/>
    <w:locked/>
    <w:uiPriority w:val="99"/>
    <w:rPr>
      <w:rFonts w:ascii="宋体" w:hAnsi="Arial" w:eastAsia="黑体"/>
      <w:color w:val="000000"/>
      <w:kern w:val="44"/>
      <w:sz w:val="36"/>
      <w:szCs w:val="20"/>
    </w:rPr>
  </w:style>
  <w:style w:type="character" w:customStyle="1" w:styleId="60">
    <w:name w:val="标题 4 Char"/>
    <w:basedOn w:val="49"/>
    <w:link w:val="8"/>
    <w:semiHidden/>
    <w:qFormat/>
    <w:locked/>
    <w:uiPriority w:val="99"/>
    <w:rPr>
      <w:rFonts w:ascii="Cambria" w:hAnsi="Cambria" w:eastAsia="宋体" w:cs="Times New Roman"/>
      <w:sz w:val="28"/>
    </w:rPr>
  </w:style>
  <w:style w:type="character" w:customStyle="1" w:styleId="61">
    <w:name w:val="标题 5 Char"/>
    <w:basedOn w:val="49"/>
    <w:link w:val="9"/>
    <w:semiHidden/>
    <w:qFormat/>
    <w:locked/>
    <w:uiPriority w:val="99"/>
    <w:rPr>
      <w:rFonts w:cs="Times New Roman"/>
      <w:sz w:val="28"/>
    </w:rPr>
  </w:style>
  <w:style w:type="character" w:customStyle="1" w:styleId="62">
    <w:name w:val="标题 6 Char"/>
    <w:basedOn w:val="49"/>
    <w:link w:val="10"/>
    <w:semiHidden/>
    <w:qFormat/>
    <w:locked/>
    <w:uiPriority w:val="99"/>
    <w:rPr>
      <w:rFonts w:ascii="Cambria" w:hAnsi="Cambria" w:eastAsia="宋体" w:cs="Times New Roman"/>
      <w:sz w:val="24"/>
    </w:rPr>
  </w:style>
  <w:style w:type="character" w:customStyle="1" w:styleId="63">
    <w:name w:val="标题 7 Char"/>
    <w:basedOn w:val="49"/>
    <w:link w:val="11"/>
    <w:qFormat/>
    <w:locked/>
    <w:uiPriority w:val="99"/>
    <w:rPr>
      <w:rFonts w:ascii="宋体" w:eastAsia="仿宋_GB2312"/>
      <w:kern w:val="0"/>
      <w:sz w:val="24"/>
      <w:szCs w:val="20"/>
    </w:rPr>
  </w:style>
  <w:style w:type="character" w:customStyle="1" w:styleId="64">
    <w:name w:val="标题 8 Char"/>
    <w:basedOn w:val="49"/>
    <w:link w:val="12"/>
    <w:qFormat/>
    <w:locked/>
    <w:uiPriority w:val="99"/>
    <w:rPr>
      <w:rFonts w:ascii="Arial" w:hAnsi="Arial" w:eastAsia="黑体"/>
      <w:kern w:val="0"/>
      <w:sz w:val="24"/>
      <w:szCs w:val="20"/>
    </w:rPr>
  </w:style>
  <w:style w:type="character" w:customStyle="1" w:styleId="65">
    <w:name w:val="标题 9 Char"/>
    <w:basedOn w:val="49"/>
    <w:link w:val="13"/>
    <w:qFormat/>
    <w:locked/>
    <w:uiPriority w:val="99"/>
    <w:rPr>
      <w:rFonts w:ascii="Arial" w:hAnsi="Arial" w:eastAsia="黑体"/>
      <w:kern w:val="0"/>
      <w:sz w:val="28"/>
      <w:szCs w:val="20"/>
    </w:rPr>
  </w:style>
  <w:style w:type="character" w:customStyle="1" w:styleId="66">
    <w:name w:val="文档结构图 Char"/>
    <w:basedOn w:val="49"/>
    <w:link w:val="17"/>
    <w:semiHidden/>
    <w:qFormat/>
    <w:locked/>
    <w:uiPriority w:val="99"/>
    <w:rPr>
      <w:rFonts w:cs="Times New Roman"/>
      <w:sz w:val="2"/>
    </w:rPr>
  </w:style>
  <w:style w:type="character" w:customStyle="1" w:styleId="67">
    <w:name w:val="批注文字 Char"/>
    <w:basedOn w:val="49"/>
    <w:link w:val="18"/>
    <w:semiHidden/>
    <w:qFormat/>
    <w:locked/>
    <w:uiPriority w:val="99"/>
    <w:rPr>
      <w:rFonts w:cs="Times New Roman"/>
      <w:sz w:val="20"/>
    </w:rPr>
  </w:style>
  <w:style w:type="character" w:customStyle="1" w:styleId="68">
    <w:name w:val="正文文本 3 Char"/>
    <w:basedOn w:val="49"/>
    <w:link w:val="19"/>
    <w:semiHidden/>
    <w:qFormat/>
    <w:locked/>
    <w:uiPriority w:val="99"/>
    <w:rPr>
      <w:rFonts w:cs="Times New Roman"/>
      <w:sz w:val="16"/>
    </w:rPr>
  </w:style>
  <w:style w:type="character" w:customStyle="1" w:styleId="69">
    <w:name w:val="正文文本 Char"/>
    <w:basedOn w:val="49"/>
    <w:link w:val="20"/>
    <w:qFormat/>
    <w:locked/>
    <w:uiPriority w:val="99"/>
    <w:rPr>
      <w:rFonts w:ascii="仿宋_GB2312" w:eastAsia="宋体" w:cs="Times New Roman"/>
      <w:kern w:val="2"/>
      <w:sz w:val="32"/>
      <w:lang w:val="en-US" w:eastAsia="zh-CN"/>
    </w:rPr>
  </w:style>
  <w:style w:type="character" w:customStyle="1" w:styleId="70">
    <w:name w:val="正文首行缩进 Char"/>
    <w:basedOn w:val="69"/>
    <w:link w:val="21"/>
    <w:semiHidden/>
    <w:qFormat/>
    <w:locked/>
    <w:uiPriority w:val="99"/>
    <w:rPr>
      <w:rFonts w:ascii="仿宋_GB2312" w:eastAsia="宋体" w:cs="Times New Roman"/>
      <w:kern w:val="2"/>
      <w:sz w:val="20"/>
      <w:lang w:val="en-US" w:eastAsia="zh-CN"/>
    </w:rPr>
  </w:style>
  <w:style w:type="character" w:customStyle="1" w:styleId="71">
    <w:name w:val="正文文本缩进 Char"/>
    <w:basedOn w:val="49"/>
    <w:link w:val="3"/>
    <w:qFormat/>
    <w:locked/>
    <w:uiPriority w:val="99"/>
    <w:rPr>
      <w:rFonts w:eastAsia="宋体" w:cs="Times New Roman"/>
      <w:kern w:val="2"/>
      <w:sz w:val="28"/>
      <w:lang w:val="en-US" w:eastAsia="zh-CN"/>
    </w:rPr>
  </w:style>
  <w:style w:type="character" w:customStyle="1" w:styleId="72">
    <w:name w:val="纯文本 Char1"/>
    <w:basedOn w:val="49"/>
    <w:link w:val="26"/>
    <w:qFormat/>
    <w:locked/>
    <w:uiPriority w:val="99"/>
    <w:rPr>
      <w:rFonts w:ascii="宋体" w:hAnsi="Courier New" w:eastAsia="宋体" w:cs="Times New Roman"/>
      <w:sz w:val="21"/>
      <w:lang w:val="en-US" w:eastAsia="zh-CN"/>
    </w:rPr>
  </w:style>
  <w:style w:type="character" w:customStyle="1" w:styleId="73">
    <w:name w:val="日期 Char"/>
    <w:basedOn w:val="49"/>
    <w:link w:val="28"/>
    <w:semiHidden/>
    <w:qFormat/>
    <w:locked/>
    <w:uiPriority w:val="99"/>
    <w:rPr>
      <w:rFonts w:cs="Times New Roman"/>
      <w:sz w:val="20"/>
    </w:rPr>
  </w:style>
  <w:style w:type="character" w:customStyle="1" w:styleId="74">
    <w:name w:val="正文文本缩进 2 Char"/>
    <w:basedOn w:val="49"/>
    <w:link w:val="29"/>
    <w:semiHidden/>
    <w:qFormat/>
    <w:locked/>
    <w:uiPriority w:val="99"/>
    <w:rPr>
      <w:rFonts w:cs="Times New Roman"/>
      <w:sz w:val="20"/>
    </w:rPr>
  </w:style>
  <w:style w:type="character" w:customStyle="1" w:styleId="75">
    <w:name w:val="尾注文本 Char"/>
    <w:basedOn w:val="49"/>
    <w:link w:val="30"/>
    <w:semiHidden/>
    <w:qFormat/>
    <w:locked/>
    <w:uiPriority w:val="99"/>
    <w:rPr>
      <w:rFonts w:cs="Times New Roman"/>
      <w:sz w:val="20"/>
    </w:rPr>
  </w:style>
  <w:style w:type="character" w:customStyle="1" w:styleId="76">
    <w:name w:val="批注框文本 Char"/>
    <w:basedOn w:val="49"/>
    <w:link w:val="31"/>
    <w:semiHidden/>
    <w:qFormat/>
    <w:locked/>
    <w:uiPriority w:val="99"/>
    <w:rPr>
      <w:rFonts w:cs="Times New Roman"/>
      <w:sz w:val="2"/>
    </w:rPr>
  </w:style>
  <w:style w:type="character" w:customStyle="1" w:styleId="77">
    <w:name w:val="页脚 Char"/>
    <w:basedOn w:val="49"/>
    <w:link w:val="32"/>
    <w:semiHidden/>
    <w:qFormat/>
    <w:locked/>
    <w:uiPriority w:val="99"/>
    <w:rPr>
      <w:rFonts w:cs="Times New Roman"/>
      <w:sz w:val="18"/>
    </w:rPr>
  </w:style>
  <w:style w:type="character" w:customStyle="1" w:styleId="78">
    <w:name w:val="页眉 Char"/>
    <w:basedOn w:val="49"/>
    <w:link w:val="33"/>
    <w:semiHidden/>
    <w:qFormat/>
    <w:locked/>
    <w:uiPriority w:val="99"/>
    <w:rPr>
      <w:rFonts w:cs="Times New Roman"/>
      <w:sz w:val="18"/>
    </w:rPr>
  </w:style>
  <w:style w:type="character" w:customStyle="1" w:styleId="79">
    <w:name w:val="副标题 Char"/>
    <w:basedOn w:val="49"/>
    <w:link w:val="36"/>
    <w:qFormat/>
    <w:locked/>
    <w:uiPriority w:val="99"/>
    <w:rPr>
      <w:rFonts w:ascii="Cambria" w:hAnsi="Cambria" w:cs="Times New Roman"/>
      <w:kern w:val="28"/>
      <w:sz w:val="32"/>
    </w:rPr>
  </w:style>
  <w:style w:type="character" w:customStyle="1" w:styleId="80">
    <w:name w:val="正文文本缩进 3 Char"/>
    <w:basedOn w:val="49"/>
    <w:link w:val="38"/>
    <w:semiHidden/>
    <w:qFormat/>
    <w:locked/>
    <w:uiPriority w:val="99"/>
    <w:rPr>
      <w:rFonts w:cs="Times New Roman"/>
      <w:sz w:val="16"/>
    </w:rPr>
  </w:style>
  <w:style w:type="character" w:customStyle="1" w:styleId="81">
    <w:name w:val="正文文本 2 Char"/>
    <w:basedOn w:val="49"/>
    <w:link w:val="41"/>
    <w:semiHidden/>
    <w:qFormat/>
    <w:locked/>
    <w:uiPriority w:val="99"/>
    <w:rPr>
      <w:rFonts w:cs="Times New Roman"/>
      <w:sz w:val="20"/>
    </w:rPr>
  </w:style>
  <w:style w:type="character" w:customStyle="1" w:styleId="82">
    <w:name w:val="HTML 预设格式 Char"/>
    <w:basedOn w:val="49"/>
    <w:link w:val="42"/>
    <w:semiHidden/>
    <w:qFormat/>
    <w:locked/>
    <w:uiPriority w:val="99"/>
    <w:rPr>
      <w:rFonts w:ascii="Courier New" w:hAnsi="Courier New" w:cs="Times New Roman"/>
      <w:sz w:val="20"/>
    </w:rPr>
  </w:style>
  <w:style w:type="character" w:customStyle="1" w:styleId="83">
    <w:name w:val="标题 Char"/>
    <w:basedOn w:val="49"/>
    <w:link w:val="44"/>
    <w:qFormat/>
    <w:locked/>
    <w:uiPriority w:val="99"/>
    <w:rPr>
      <w:rFonts w:ascii="Cambria" w:hAnsi="Cambria" w:cs="Times New Roman"/>
      <w:sz w:val="32"/>
    </w:rPr>
  </w:style>
  <w:style w:type="character" w:customStyle="1" w:styleId="84">
    <w:name w:val="批注主题 Char"/>
    <w:basedOn w:val="67"/>
    <w:link w:val="45"/>
    <w:semiHidden/>
    <w:qFormat/>
    <w:locked/>
    <w:uiPriority w:val="99"/>
    <w:rPr>
      <w:rFonts w:cs="Times New Roman"/>
      <w:sz w:val="20"/>
    </w:rPr>
  </w:style>
  <w:style w:type="character" w:customStyle="1" w:styleId="85">
    <w:name w:val="正文首行缩进 2 Char"/>
    <w:basedOn w:val="71"/>
    <w:link w:val="46"/>
    <w:semiHidden/>
    <w:qFormat/>
    <w:locked/>
    <w:uiPriority w:val="99"/>
    <w:rPr>
      <w:rFonts w:eastAsia="宋体" w:cs="Times New Roman"/>
      <w:kern w:val="2"/>
      <w:sz w:val="20"/>
      <w:lang w:val="en-US" w:eastAsia="zh-CN"/>
    </w:rPr>
  </w:style>
  <w:style w:type="paragraph" w:customStyle="1" w:styleId="86">
    <w:name w:val="_Style 10"/>
    <w:basedOn w:val="1"/>
    <w:qFormat/>
    <w:uiPriority w:val="99"/>
    <w:rPr>
      <w:rFonts w:ascii="仿宋_GB2312" w:eastAsia="仿宋_GB2312"/>
      <w:b/>
      <w:sz w:val="32"/>
      <w:szCs w:val="32"/>
    </w:rPr>
  </w:style>
  <w:style w:type="character" w:customStyle="1" w:styleId="87">
    <w:name w:val="pubtime"/>
    <w:qFormat/>
    <w:uiPriority w:val="99"/>
    <w:rPr>
      <w:color w:val="000000"/>
      <w:sz w:val="18"/>
    </w:rPr>
  </w:style>
  <w:style w:type="character" w:customStyle="1" w:styleId="88">
    <w:name w:val="正文缩进 Char1"/>
    <w:link w:val="2"/>
    <w:qFormat/>
    <w:locked/>
    <w:uiPriority w:val="99"/>
    <w:rPr>
      <w:rFonts w:eastAsia="宋体"/>
      <w:kern w:val="2"/>
      <w:sz w:val="21"/>
      <w:lang w:val="en-US" w:eastAsia="zh-CN"/>
    </w:rPr>
  </w:style>
  <w:style w:type="character" w:customStyle="1" w:styleId="89">
    <w:name w:val="tpc_content1"/>
    <w:qFormat/>
    <w:uiPriority w:val="99"/>
    <w:rPr>
      <w:sz w:val="20"/>
    </w:rPr>
  </w:style>
  <w:style w:type="character" w:customStyle="1" w:styleId="90">
    <w:name w:val="font31"/>
    <w:basedOn w:val="49"/>
    <w:qFormat/>
    <w:uiPriority w:val="99"/>
    <w:rPr>
      <w:rFonts w:ascii="宋体" w:hAnsi="宋体" w:eastAsia="宋体"/>
      <w:b/>
      <w:color w:val="000000"/>
      <w:sz w:val="20"/>
      <w:u w:val="none"/>
    </w:rPr>
  </w:style>
  <w:style w:type="character" w:customStyle="1" w:styleId="91">
    <w:name w:val="time"/>
    <w:qFormat/>
    <w:uiPriority w:val="99"/>
    <w:rPr>
      <w:color w:val="769199"/>
    </w:rPr>
  </w:style>
  <w:style w:type="character" w:customStyle="1" w:styleId="92">
    <w:name w:val="Normal Indent Char"/>
    <w:qFormat/>
    <w:locked/>
    <w:uiPriority w:val="99"/>
    <w:rPr>
      <w:rFonts w:eastAsia="宋体"/>
      <w:kern w:val="2"/>
      <w:sz w:val="21"/>
      <w:lang w:val="en-US" w:eastAsia="zh-CN"/>
    </w:rPr>
  </w:style>
  <w:style w:type="character" w:customStyle="1" w:styleId="93">
    <w:name w:val="more"/>
    <w:qFormat/>
    <w:uiPriority w:val="99"/>
    <w:rPr>
      <w:rFonts w:ascii="仿宋_GB2312" w:eastAsia="仿宋_GB2312"/>
      <w:sz w:val="32"/>
    </w:rPr>
  </w:style>
  <w:style w:type="character" w:customStyle="1" w:styleId="94">
    <w:name w:val="huide001"/>
    <w:qFormat/>
    <w:uiPriority w:val="99"/>
    <w:rPr>
      <w:rFonts w:ascii="Arial" w:hAnsi="Arial"/>
      <w:color w:val="666666"/>
      <w:sz w:val="18"/>
    </w:rPr>
  </w:style>
  <w:style w:type="character" w:customStyle="1" w:styleId="95">
    <w:name w:val="unnamed11"/>
    <w:qFormat/>
    <w:uiPriority w:val="99"/>
    <w:rPr>
      <w:sz w:val="20"/>
    </w:rPr>
  </w:style>
  <w:style w:type="character" w:customStyle="1" w:styleId="96">
    <w:name w:val="tw4winTerm"/>
    <w:qFormat/>
    <w:uiPriority w:val="99"/>
    <w:rPr>
      <w:color w:val="0000FF"/>
    </w:rPr>
  </w:style>
  <w:style w:type="character" w:customStyle="1" w:styleId="97">
    <w:name w:val="标题 1 Char Char"/>
    <w:basedOn w:val="49"/>
    <w:qFormat/>
    <w:uiPriority w:val="99"/>
    <w:rPr>
      <w:rFonts w:ascii="仿宋_GB2312" w:eastAsia="宋体" w:cs="Times New Roman"/>
      <w:spacing w:val="-2"/>
      <w:sz w:val="32"/>
      <w:lang w:val="en-US" w:eastAsia="zh-CN"/>
    </w:rPr>
  </w:style>
  <w:style w:type="character" w:customStyle="1" w:styleId="98">
    <w:name w:val="font3"/>
    <w:qFormat/>
    <w:uiPriority w:val="99"/>
    <w:rPr>
      <w:rFonts w:ascii="仿宋_GB2312" w:eastAsia="仿宋_GB2312"/>
      <w:sz w:val="32"/>
    </w:rPr>
  </w:style>
  <w:style w:type="character" w:customStyle="1" w:styleId="99">
    <w:name w:val="纯文本 Char"/>
    <w:qFormat/>
    <w:uiPriority w:val="99"/>
    <w:rPr>
      <w:rFonts w:ascii="宋体" w:hAnsi="Courier New" w:eastAsia="宋体"/>
      <w:kern w:val="2"/>
      <w:sz w:val="20"/>
      <w:lang w:val="en-US" w:eastAsia="zh-CN"/>
    </w:rPr>
  </w:style>
  <w:style w:type="character" w:customStyle="1" w:styleId="100">
    <w:name w:val="书籍标题1"/>
    <w:qFormat/>
    <w:uiPriority w:val="99"/>
    <w:rPr>
      <w:b/>
      <w:smallCaps/>
      <w:spacing w:val="5"/>
    </w:rPr>
  </w:style>
  <w:style w:type="character" w:customStyle="1" w:styleId="101">
    <w:name w:val="标题 3 Char Char"/>
    <w:qFormat/>
    <w:uiPriority w:val="99"/>
    <w:rPr>
      <w:rFonts w:eastAsia="宋体"/>
      <w:b/>
      <w:kern w:val="2"/>
      <w:sz w:val="32"/>
      <w:lang w:val="en-US" w:eastAsia="zh-CN"/>
    </w:rPr>
  </w:style>
  <w:style w:type="character" w:customStyle="1" w:styleId="102">
    <w:name w:val="tw4winMark"/>
    <w:qFormat/>
    <w:uiPriority w:val="99"/>
    <w:rPr>
      <w:rFonts w:ascii="Courier New" w:hAnsi="Courier New"/>
      <w:vanish/>
      <w:color w:val="800080"/>
      <w:vertAlign w:val="subscript"/>
    </w:rPr>
  </w:style>
  <w:style w:type="character" w:customStyle="1" w:styleId="103">
    <w:name w:val="point_normal1"/>
    <w:qFormat/>
    <w:uiPriority w:val="99"/>
    <w:rPr>
      <w:rFonts w:ascii="Arial" w:hAnsi="Arial"/>
      <w:sz w:val="18"/>
    </w:rPr>
  </w:style>
  <w:style w:type="character" w:customStyle="1" w:styleId="104">
    <w:name w:val="font21"/>
    <w:qFormat/>
    <w:uiPriority w:val="99"/>
    <w:rPr>
      <w:rFonts w:ascii="宋体" w:hAnsi="宋体" w:eastAsia="宋体"/>
      <w:b/>
      <w:color w:val="000000"/>
      <w:sz w:val="20"/>
      <w:u w:val="none"/>
    </w:rPr>
  </w:style>
  <w:style w:type="character" w:customStyle="1" w:styleId="105">
    <w:name w:val="Char Char3"/>
    <w:qFormat/>
    <w:uiPriority w:val="99"/>
    <w:rPr>
      <w:rFonts w:ascii="宋体" w:hAnsi="Courier New" w:eastAsia="宋体"/>
      <w:sz w:val="21"/>
      <w:lang w:val="en-US" w:eastAsia="zh-CN"/>
    </w:rPr>
  </w:style>
  <w:style w:type="character" w:customStyle="1" w:styleId="106">
    <w:name w:val="font71"/>
    <w:qFormat/>
    <w:uiPriority w:val="99"/>
    <w:rPr>
      <w:rFonts w:ascii="宋体" w:hAnsi="宋体" w:eastAsia="宋体"/>
      <w:b/>
      <w:color w:val="000000"/>
      <w:sz w:val="20"/>
      <w:u w:val="none"/>
    </w:rPr>
  </w:style>
  <w:style w:type="character" w:customStyle="1" w:styleId="107">
    <w:name w:val="A C"/>
    <w:qFormat/>
    <w:uiPriority w:val="99"/>
    <w:rPr>
      <w:rFonts w:ascii="仿宋_GB2312"/>
      <w:sz w:val="24"/>
    </w:rPr>
  </w:style>
  <w:style w:type="character" w:customStyle="1" w:styleId="108">
    <w:name w:val="保留正文 Char"/>
    <w:link w:val="109"/>
    <w:qFormat/>
    <w:locked/>
    <w:uiPriority w:val="99"/>
    <w:rPr>
      <w:rFonts w:ascii="仿宋_GB2312" w:eastAsia="宋体"/>
      <w:b/>
      <w:kern w:val="2"/>
      <w:sz w:val="24"/>
      <w:lang w:val="en-US" w:eastAsia="zh-CN"/>
    </w:rPr>
  </w:style>
  <w:style w:type="paragraph" w:customStyle="1" w:styleId="109">
    <w:name w:val="保留正文"/>
    <w:basedOn w:val="20"/>
    <w:link w:val="108"/>
    <w:qFormat/>
    <w:uiPriority w:val="99"/>
    <w:pPr>
      <w:keepNext/>
      <w:spacing w:after="160"/>
    </w:pPr>
    <w:rPr>
      <w:b/>
      <w:sz w:val="24"/>
    </w:rPr>
  </w:style>
  <w:style w:type="character" w:customStyle="1" w:styleId="110">
    <w:name w:val="para"/>
    <w:qFormat/>
    <w:uiPriority w:val="99"/>
    <w:rPr>
      <w:rFonts w:ascii="仿宋_GB2312" w:eastAsia="仿宋_GB2312"/>
      <w:sz w:val="32"/>
    </w:rPr>
  </w:style>
  <w:style w:type="character" w:customStyle="1" w:styleId="111">
    <w:name w:val="样式 标题 4 + 黑体 五号 Char"/>
    <w:qFormat/>
    <w:uiPriority w:val="99"/>
    <w:rPr>
      <w:rFonts w:ascii="黑体" w:hAnsi="黑体" w:eastAsia="黑体"/>
      <w:b/>
      <w:kern w:val="2"/>
      <w:sz w:val="28"/>
      <w:lang w:val="en-US" w:eastAsia="zh-CN"/>
    </w:rPr>
  </w:style>
  <w:style w:type="character" w:customStyle="1" w:styleId="112">
    <w:name w:val="1051"/>
    <w:qFormat/>
    <w:uiPriority w:val="99"/>
    <w:rPr>
      <w:sz w:val="21"/>
    </w:rPr>
  </w:style>
  <w:style w:type="character" w:customStyle="1" w:styleId="113">
    <w:name w:val="Head 2"/>
    <w:qFormat/>
    <w:uiPriority w:val="99"/>
    <w:rPr>
      <w:rFonts w:ascii="仿宋_GB2312"/>
      <w:sz w:val="24"/>
    </w:rPr>
  </w:style>
  <w:style w:type="character" w:customStyle="1" w:styleId="114">
    <w:name w:val="line1"/>
    <w:qFormat/>
    <w:uiPriority w:val="99"/>
    <w:rPr>
      <w:u w:val="none"/>
    </w:rPr>
  </w:style>
  <w:style w:type="character" w:customStyle="1" w:styleId="115">
    <w:name w:val="表格 Char Char"/>
    <w:link w:val="116"/>
    <w:qFormat/>
    <w:locked/>
    <w:uiPriority w:val="99"/>
    <w:rPr>
      <w:rFonts w:ascii="仿宋_GB2312" w:hAnsi="宋体" w:eastAsia="仿宋_GB2312"/>
      <w:sz w:val="21"/>
      <w:lang w:val="en-US" w:eastAsia="zh-CN"/>
    </w:rPr>
  </w:style>
  <w:style w:type="paragraph" w:customStyle="1" w:styleId="116">
    <w:name w:val="表格"/>
    <w:basedOn w:val="1"/>
    <w:link w:val="115"/>
    <w:qFormat/>
    <w:uiPriority w:val="99"/>
    <w:pPr>
      <w:snapToGrid w:val="0"/>
      <w:spacing w:after="156"/>
    </w:pPr>
    <w:rPr>
      <w:rFonts w:ascii="仿宋_GB2312" w:hAnsi="宋体" w:eastAsia="仿宋_GB2312"/>
      <w:kern w:val="0"/>
    </w:rPr>
  </w:style>
  <w:style w:type="character" w:customStyle="1" w:styleId="117">
    <w:name w:val="ho121"/>
    <w:qFormat/>
    <w:uiPriority w:val="99"/>
    <w:rPr>
      <w:color w:val="CC0000"/>
    </w:rPr>
  </w:style>
  <w:style w:type="character" w:customStyle="1" w:styleId="118">
    <w:name w:val="Normal Indent Char1 Char1 Char2 Char Char Char Char Char Char Char Char Char Char Char Char Char Char"/>
    <w:qFormat/>
    <w:uiPriority w:val="99"/>
    <w:rPr>
      <w:rFonts w:eastAsia="仿宋_GB2312"/>
      <w:kern w:val="2"/>
      <w:sz w:val="24"/>
      <w:lang w:val="en-US" w:eastAsia="zh-CN"/>
    </w:rPr>
  </w:style>
  <w:style w:type="character" w:customStyle="1" w:styleId="119">
    <w:name w:val="font51"/>
    <w:basedOn w:val="49"/>
    <w:qFormat/>
    <w:uiPriority w:val="99"/>
    <w:rPr>
      <w:rFonts w:ascii="宋体" w:hAnsi="宋体" w:eastAsia="宋体"/>
      <w:b/>
      <w:color w:val="000000"/>
      <w:sz w:val="20"/>
      <w:u w:val="none"/>
    </w:rPr>
  </w:style>
  <w:style w:type="character" w:customStyle="1" w:styleId="120">
    <w:name w:val="tw4winError"/>
    <w:qFormat/>
    <w:uiPriority w:val="99"/>
    <w:rPr>
      <w:rFonts w:ascii="Courier New" w:hAnsi="Courier New"/>
      <w:color w:val="00FF00"/>
      <w:sz w:val="40"/>
    </w:rPr>
  </w:style>
  <w:style w:type="character" w:customStyle="1" w:styleId="121">
    <w:name w:val="font41"/>
    <w:qFormat/>
    <w:uiPriority w:val="99"/>
    <w:rPr>
      <w:rFonts w:ascii="宋体" w:hAnsi="宋体" w:eastAsia="宋体"/>
      <w:b/>
      <w:color w:val="000000"/>
      <w:sz w:val="20"/>
      <w:u w:val="none"/>
    </w:rPr>
  </w:style>
  <w:style w:type="character" w:customStyle="1" w:styleId="122">
    <w:name w:val="font81"/>
    <w:qFormat/>
    <w:uiPriority w:val="99"/>
    <w:rPr>
      <w:rFonts w:ascii="宋体" w:hAnsi="宋体" w:eastAsia="宋体"/>
      <w:b/>
      <w:color w:val="000000"/>
      <w:sz w:val="20"/>
      <w:u w:val="none"/>
    </w:rPr>
  </w:style>
  <w:style w:type="character" w:customStyle="1" w:styleId="123">
    <w:name w:val="tw4winJump"/>
    <w:qFormat/>
    <w:uiPriority w:val="99"/>
    <w:rPr>
      <w:rFonts w:ascii="Courier New" w:hAnsi="Courier New"/>
      <w:color w:val="008080"/>
    </w:rPr>
  </w:style>
  <w:style w:type="character" w:customStyle="1" w:styleId="124">
    <w:name w:val="样式 小四"/>
    <w:qFormat/>
    <w:uiPriority w:val="99"/>
    <w:rPr>
      <w:sz w:val="21"/>
    </w:rPr>
  </w:style>
  <w:style w:type="character" w:customStyle="1" w:styleId="125">
    <w:name w:val="hei14b1"/>
    <w:qFormat/>
    <w:uiPriority w:val="99"/>
    <w:rPr>
      <w:b/>
      <w:color w:val="333333"/>
      <w:sz w:val="21"/>
    </w:rPr>
  </w:style>
  <w:style w:type="character" w:customStyle="1" w:styleId="126">
    <w:name w:val="flname7"/>
    <w:qFormat/>
    <w:uiPriority w:val="99"/>
    <w:rPr>
      <w:rFonts w:ascii="仿宋_GB2312" w:eastAsia="仿宋_GB2312"/>
      <w:sz w:val="32"/>
    </w:rPr>
  </w:style>
  <w:style w:type="character" w:customStyle="1" w:styleId="127">
    <w:name w:val="style591"/>
    <w:qFormat/>
    <w:uiPriority w:val="99"/>
    <w:rPr>
      <w:rFonts w:ascii="Arial" w:hAnsi="Arial"/>
      <w:sz w:val="18"/>
      <w:u w:val="none"/>
    </w:rPr>
  </w:style>
  <w:style w:type="character" w:customStyle="1" w:styleId="128">
    <w:name w:val="表正文 Char"/>
    <w:qFormat/>
    <w:uiPriority w:val="99"/>
    <w:rPr>
      <w:rFonts w:eastAsia="宋体"/>
      <w:kern w:val="2"/>
      <w:sz w:val="21"/>
      <w:lang w:val="en-US" w:eastAsia="zh-CN"/>
    </w:rPr>
  </w:style>
  <w:style w:type="character" w:customStyle="1" w:styleId="129">
    <w:name w:val="font61"/>
    <w:qFormat/>
    <w:uiPriority w:val="99"/>
    <w:rPr>
      <w:rFonts w:ascii="宋体" w:hAnsi="宋体" w:eastAsia="宋体"/>
      <w:b/>
      <w:color w:val="000000"/>
      <w:sz w:val="20"/>
      <w:u w:val="none"/>
    </w:rPr>
  </w:style>
  <w:style w:type="character" w:customStyle="1" w:styleId="130">
    <w:name w:val="tw4winPopup"/>
    <w:qFormat/>
    <w:uiPriority w:val="99"/>
    <w:rPr>
      <w:rFonts w:ascii="Courier New" w:hAnsi="Courier New"/>
      <w:color w:val="008000"/>
    </w:rPr>
  </w:style>
  <w:style w:type="character" w:customStyle="1" w:styleId="131">
    <w:name w:val="样式 样式3 + 宋体 五号 Char Char Char Char Char"/>
    <w:qFormat/>
    <w:uiPriority w:val="99"/>
    <w:rPr>
      <w:rFonts w:ascii="宋体" w:hAnsi="宋体" w:eastAsia="宋体"/>
      <w:b/>
      <w:kern w:val="2"/>
      <w:sz w:val="24"/>
      <w:lang w:val="en-US" w:eastAsia="zh-CN"/>
    </w:rPr>
  </w:style>
  <w:style w:type="character" w:customStyle="1" w:styleId="132">
    <w:name w:val="普通文字 Char Char1"/>
    <w:qFormat/>
    <w:uiPriority w:val="99"/>
    <w:rPr>
      <w:rFonts w:ascii="宋体" w:hAnsi="Courier New" w:eastAsia="宋体"/>
      <w:sz w:val="21"/>
      <w:lang w:val="en-US" w:eastAsia="zh-CN"/>
    </w:rPr>
  </w:style>
  <w:style w:type="character" w:customStyle="1" w:styleId="133">
    <w:name w:val="tw4winExternal"/>
    <w:qFormat/>
    <w:uiPriority w:val="99"/>
    <w:rPr>
      <w:rFonts w:ascii="Courier New" w:hAnsi="Courier New"/>
      <w:color w:val="808080"/>
    </w:rPr>
  </w:style>
  <w:style w:type="character" w:customStyle="1" w:styleId="134">
    <w:name w:val="tw4winInternal"/>
    <w:qFormat/>
    <w:uiPriority w:val="99"/>
    <w:rPr>
      <w:rFonts w:ascii="Courier New" w:hAnsi="Courier New"/>
      <w:color w:val="FF0000"/>
    </w:rPr>
  </w:style>
  <w:style w:type="character" w:customStyle="1" w:styleId="135">
    <w:name w:val="正文缩进 Char"/>
    <w:qFormat/>
    <w:uiPriority w:val="99"/>
    <w:rPr>
      <w:rFonts w:eastAsia="宋体"/>
      <w:kern w:val="2"/>
      <w:sz w:val="24"/>
      <w:lang w:val="en-US" w:eastAsia="zh-CN"/>
    </w:rPr>
  </w:style>
  <w:style w:type="character" w:customStyle="1" w:styleId="136">
    <w:name w:val="size31"/>
    <w:qFormat/>
    <w:uiPriority w:val="99"/>
    <w:rPr>
      <w:rFonts w:ascii="Arial" w:hAnsi="Arial"/>
      <w:color w:val="2D2D2D"/>
      <w:sz w:val="18"/>
    </w:rPr>
  </w:style>
  <w:style w:type="paragraph" w:customStyle="1" w:styleId="137">
    <w:name w:val="font5"/>
    <w:basedOn w:val="1"/>
    <w:qFormat/>
    <w:uiPriority w:val="99"/>
    <w:pPr>
      <w:widowControl/>
      <w:spacing w:before="100" w:beforeAutospacing="1" w:after="100" w:afterAutospacing="1"/>
      <w:jc w:val="left"/>
    </w:pPr>
    <w:rPr>
      <w:rFonts w:ascii="宋体" w:hAnsi="宋体"/>
      <w:kern w:val="0"/>
      <w:sz w:val="18"/>
      <w:szCs w:val="18"/>
    </w:rPr>
  </w:style>
  <w:style w:type="paragraph" w:customStyle="1" w:styleId="138">
    <w:name w:val="沈标题四"/>
    <w:basedOn w:val="8"/>
    <w:next w:val="1"/>
    <w:qFormat/>
    <w:uiPriority w:val="99"/>
    <w:pPr>
      <w:keepNext w:val="0"/>
      <w:keepLines w:val="0"/>
      <w:spacing w:line="377" w:lineRule="auto"/>
    </w:pPr>
    <w:rPr>
      <w:rFonts w:ascii="Arial Narrow" w:hAnsi="Arial Narrow" w:eastAsia="方正姚体"/>
      <w:sz w:val="24"/>
      <w:szCs w:val="24"/>
    </w:rPr>
  </w:style>
  <w:style w:type="paragraph" w:customStyle="1" w:styleId="139">
    <w:name w:val="Char Char Char Char Char Char Char Char"/>
    <w:basedOn w:val="1"/>
    <w:qFormat/>
    <w:uiPriority w:val="99"/>
    <w:pPr>
      <w:tabs>
        <w:tab w:val="left" w:pos="360"/>
      </w:tabs>
    </w:pPr>
    <w:rPr>
      <w:sz w:val="24"/>
      <w:szCs w:val="24"/>
    </w:rPr>
  </w:style>
  <w:style w:type="paragraph" w:customStyle="1" w:styleId="140">
    <w:name w:val="标准标题1"/>
    <w:basedOn w:val="5"/>
    <w:qFormat/>
    <w:uiPriority w:val="99"/>
    <w:pPr>
      <w:pageBreakBefore/>
      <w:numPr>
        <w:numId w:val="0"/>
      </w:numPr>
      <w:tabs>
        <w:tab w:val="left" w:pos="1080"/>
      </w:tabs>
      <w:autoSpaceDE/>
      <w:autoSpaceDN/>
      <w:adjustRightInd/>
      <w:spacing w:line="578" w:lineRule="auto"/>
      <w:ind w:left="425" w:hanging="425"/>
      <w:jc w:val="both"/>
      <w:textAlignment w:val="auto"/>
    </w:pPr>
    <w:rPr>
      <w:rFonts w:ascii="Times New Roman" w:hAnsi="Times New Roman" w:eastAsia="仿宋_GB2312"/>
      <w:bCs/>
      <w:color w:val="auto"/>
      <w:sz w:val="32"/>
      <w:szCs w:val="44"/>
    </w:rPr>
  </w:style>
  <w:style w:type="paragraph" w:customStyle="1" w:styleId="141">
    <w:name w:val="S4-I-U-L15-No-dot"/>
    <w:basedOn w:val="1"/>
    <w:qFormat/>
    <w:uiPriority w:val="99"/>
    <w:pPr>
      <w:tabs>
        <w:tab w:val="left" w:pos="1112"/>
      </w:tabs>
      <w:spacing w:after="120" w:line="360" w:lineRule="auto"/>
      <w:ind w:left="1112" w:hanging="420"/>
    </w:pPr>
    <w:rPr>
      <w:i/>
      <w:sz w:val="24"/>
      <w:szCs w:val="24"/>
      <w:u w:val="single"/>
    </w:rPr>
  </w:style>
  <w:style w:type="paragraph" w:customStyle="1" w:styleId="142">
    <w:name w:val="xl4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0"/>
    </w:rPr>
  </w:style>
  <w:style w:type="paragraph" w:customStyle="1" w:styleId="143">
    <w:name w:val="表格内容"/>
    <w:basedOn w:val="20"/>
    <w:qFormat/>
    <w:uiPriority w:val="99"/>
    <w:pPr>
      <w:suppressLineNumbers/>
      <w:suppressAutoHyphens/>
    </w:pPr>
    <w:rPr>
      <w:kern w:val="1"/>
      <w:szCs w:val="24"/>
      <w:lang w:eastAsia="ar-SA"/>
    </w:rPr>
  </w:style>
  <w:style w:type="paragraph" w:customStyle="1" w:styleId="144">
    <w:name w:val="自动更正"/>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45">
    <w:name w:val="样式 标题 2Chapter X.X. Statementh22Header 2l2Level 2 Headhea...1"/>
    <w:basedOn w:val="7"/>
    <w:qFormat/>
    <w:uiPriority w:val="99"/>
    <w:pPr>
      <w:keepNext/>
      <w:numPr>
        <w:ilvl w:val="0"/>
        <w:numId w:val="3"/>
      </w:numPr>
      <w:tabs>
        <w:tab w:val="clear" w:pos="360"/>
      </w:tabs>
      <w:autoSpaceDE/>
      <w:autoSpaceDN/>
      <w:adjustRightInd/>
      <w:spacing w:before="120" w:afterLines="50" w:line="240" w:lineRule="auto"/>
      <w:ind w:left="0" w:firstLine="0"/>
      <w:jc w:val="left"/>
      <w:textAlignment w:val="auto"/>
    </w:pPr>
    <w:rPr>
      <w:rFonts w:ascii="宋体" w:eastAsia="宋体" w:cs="宋体"/>
      <w:bCs/>
      <w:color w:val="auto"/>
      <w:sz w:val="24"/>
    </w:rPr>
  </w:style>
  <w:style w:type="paragraph" w:customStyle="1" w:styleId="146">
    <w:name w:val="Bullet"/>
    <w:basedOn w:val="1"/>
    <w:qFormat/>
    <w:uiPriority w:val="99"/>
    <w:pPr>
      <w:widowControl/>
      <w:tabs>
        <w:tab w:val="left" w:pos="720"/>
        <w:tab w:val="left" w:pos="964"/>
      </w:tabs>
      <w:spacing w:before="120" w:afterLines="50"/>
      <w:ind w:left="720" w:right="360" w:hanging="482"/>
    </w:pPr>
    <w:rPr>
      <w:rFonts w:ascii="宋体"/>
      <w:kern w:val="0"/>
    </w:rPr>
  </w:style>
  <w:style w:type="paragraph" w:customStyle="1" w:styleId="147">
    <w:name w:val="xl4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b/>
      <w:bCs/>
      <w:kern w:val="0"/>
      <w:sz w:val="24"/>
      <w:szCs w:val="24"/>
    </w:rPr>
  </w:style>
  <w:style w:type="paragraph" w:customStyle="1" w:styleId="148">
    <w:name w:val="Char Char Char Char1 Char Char"/>
    <w:basedOn w:val="1"/>
    <w:qFormat/>
    <w:uiPriority w:val="99"/>
    <w:pPr>
      <w:widowControl/>
      <w:spacing w:after="160" w:line="240" w:lineRule="exact"/>
      <w:jc w:val="left"/>
    </w:pPr>
    <w:rPr>
      <w:rFonts w:ascii="Verdana" w:hAnsi="Verdana"/>
      <w:kern w:val="0"/>
      <w:sz w:val="20"/>
      <w:lang w:eastAsia="en-US"/>
    </w:rPr>
  </w:style>
  <w:style w:type="paragraph" w:customStyle="1" w:styleId="149">
    <w:name w:val="二级项目符号"/>
    <w:basedOn w:val="1"/>
    <w:qFormat/>
    <w:uiPriority w:val="99"/>
    <w:pPr>
      <w:widowControl/>
      <w:tabs>
        <w:tab w:val="left" w:pos="964"/>
      </w:tabs>
      <w:spacing w:line="360" w:lineRule="auto"/>
      <w:ind w:left="964" w:hanging="482"/>
    </w:pPr>
    <w:rPr>
      <w:kern w:val="0"/>
      <w:sz w:val="24"/>
    </w:rPr>
  </w:style>
  <w:style w:type="paragraph" w:customStyle="1" w:styleId="150">
    <w:name w:val="Paragraph3"/>
    <w:basedOn w:val="1"/>
    <w:qFormat/>
    <w:uiPriority w:val="99"/>
    <w:pPr>
      <w:spacing w:before="80" w:afterLines="50"/>
      <w:ind w:left="1530"/>
    </w:pPr>
    <w:rPr>
      <w:rFonts w:ascii="宋体"/>
      <w:kern w:val="0"/>
    </w:rPr>
  </w:style>
  <w:style w:type="paragraph" w:customStyle="1" w:styleId="151">
    <w:name w:val="样式 样式 正文文本缩进 + 仿宋_GB2312 小四 首行缩进:  0 厘米 行距: 1.5 倍行距 + (中文) 仿宋_GB..."/>
    <w:basedOn w:val="152"/>
    <w:qFormat/>
    <w:uiPriority w:val="99"/>
    <w:pPr>
      <w:ind w:firstLine="480" w:firstLineChars="200"/>
    </w:pPr>
  </w:style>
  <w:style w:type="paragraph" w:customStyle="1" w:styleId="152">
    <w:name w:val="样式 正文文本缩进 + 仿宋_GB2312 小四 首行缩进:  0 厘米 行距: 1.5 倍行距"/>
    <w:basedOn w:val="3"/>
    <w:qFormat/>
    <w:uiPriority w:val="99"/>
    <w:pPr>
      <w:spacing w:line="360" w:lineRule="auto"/>
      <w:ind w:firstLine="0"/>
    </w:pPr>
    <w:rPr>
      <w:rFonts w:ascii="仿宋_GB2312" w:eastAsia="新宋体"/>
      <w:sz w:val="24"/>
    </w:rPr>
  </w:style>
  <w:style w:type="paragraph" w:customStyle="1" w:styleId="153">
    <w:name w:val="样式6"/>
    <w:basedOn w:val="1"/>
    <w:qFormat/>
    <w:uiPriority w:val="99"/>
    <w:pPr>
      <w:adjustRightInd w:val="0"/>
      <w:spacing w:beforeLines="50" w:afterLines="50"/>
      <w:ind w:firstLine="669"/>
      <w:textAlignment w:val="baseline"/>
    </w:pPr>
    <w:rPr>
      <w:rFonts w:ascii="宋体" w:hAnsi="宋体"/>
      <w:kern w:val="0"/>
      <w:sz w:val="28"/>
    </w:rPr>
  </w:style>
  <w:style w:type="paragraph" w:customStyle="1" w:styleId="154">
    <w:name w:val="Bullet1"/>
    <w:basedOn w:val="1"/>
    <w:qFormat/>
    <w:uiPriority w:val="99"/>
    <w:pPr>
      <w:spacing w:afterLines="50"/>
      <w:ind w:left="720" w:hanging="432"/>
      <w:jc w:val="left"/>
    </w:pPr>
    <w:rPr>
      <w:rFonts w:ascii="宋体"/>
      <w:kern w:val="0"/>
    </w:rPr>
  </w:style>
  <w:style w:type="paragraph" w:customStyle="1" w:styleId="155">
    <w:name w:val="Table - Col. Head"/>
    <w:basedOn w:val="1"/>
    <w:qFormat/>
    <w:uiPriority w:val="99"/>
    <w:pPr>
      <w:keepNext/>
      <w:widowControl/>
      <w:spacing w:before="60" w:afterLines="50"/>
      <w:jc w:val="left"/>
    </w:pPr>
    <w:rPr>
      <w:rFonts w:ascii="Arial" w:hAnsi="Arial"/>
      <w:b/>
      <w:kern w:val="0"/>
      <w:sz w:val="18"/>
      <w:lang w:eastAsia="en-US"/>
    </w:rPr>
  </w:style>
  <w:style w:type="paragraph" w:customStyle="1" w:styleId="156">
    <w:name w:val="Char1"/>
    <w:basedOn w:val="1"/>
    <w:qFormat/>
    <w:uiPriority w:val="99"/>
    <w:rPr>
      <w:rFonts w:ascii="仿宋_GB2312" w:eastAsia="仿宋_GB2312"/>
      <w:b/>
      <w:sz w:val="32"/>
      <w:szCs w:val="32"/>
    </w:rPr>
  </w:style>
  <w:style w:type="paragraph" w:customStyle="1" w:styleId="157">
    <w:name w:val="xl35"/>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bottom"/>
    </w:pPr>
    <w:rPr>
      <w:rFonts w:ascii="宋体" w:hAnsi="宋体"/>
      <w:kern w:val="0"/>
      <w:sz w:val="20"/>
    </w:rPr>
  </w:style>
  <w:style w:type="paragraph" w:customStyle="1" w:styleId="158">
    <w:name w:val="xl45"/>
    <w:basedOn w:val="1"/>
    <w:qFormat/>
    <w:uiPriority w:val="99"/>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b/>
      <w:bCs/>
      <w:kern w:val="0"/>
      <w:sz w:val="24"/>
      <w:szCs w:val="24"/>
    </w:rPr>
  </w:style>
  <w:style w:type="paragraph" w:customStyle="1" w:styleId="159">
    <w:name w:val="样式 标题 3"/>
    <w:basedOn w:val="7"/>
    <w:next w:val="160"/>
    <w:qFormat/>
    <w:uiPriority w:val="99"/>
    <w:pPr>
      <w:keepNext/>
      <w:numPr>
        <w:numId w:val="0"/>
      </w:numPr>
      <w:autoSpaceDE/>
      <w:autoSpaceDN/>
      <w:adjustRightInd/>
      <w:spacing w:before="120" w:afterLines="50" w:line="240" w:lineRule="auto"/>
      <w:jc w:val="left"/>
      <w:textAlignment w:val="auto"/>
    </w:pPr>
    <w:rPr>
      <w:rFonts w:ascii="宋体" w:eastAsia="宋体" w:cs="宋体"/>
      <w:bCs/>
      <w:color w:val="auto"/>
      <w:sz w:val="24"/>
    </w:rPr>
  </w:style>
  <w:style w:type="paragraph" w:customStyle="1" w:styleId="160">
    <w:name w:val="最新标题4"/>
    <w:basedOn w:val="161"/>
    <w:next w:val="1"/>
    <w:qFormat/>
    <w:uiPriority w:val="99"/>
    <w:pPr>
      <w:tabs>
        <w:tab w:val="left" w:pos="2100"/>
      </w:tabs>
      <w:spacing w:after="120"/>
      <w:ind w:left="0" w:firstLine="0"/>
    </w:pPr>
  </w:style>
  <w:style w:type="paragraph" w:customStyle="1" w:styleId="161">
    <w:name w:val="样式 标题 4"/>
    <w:basedOn w:val="162"/>
    <w:next w:val="164"/>
    <w:qFormat/>
    <w:uiPriority w:val="99"/>
    <w:pPr>
      <w:tabs>
        <w:tab w:val="left" w:pos="2100"/>
      </w:tabs>
      <w:spacing w:after="50"/>
      <w:ind w:left="2100" w:hanging="420"/>
    </w:pPr>
  </w:style>
  <w:style w:type="paragraph" w:customStyle="1" w:styleId="162">
    <w:name w:val="样式 标题 4Chapter X.X.X.X. + 段后: 0.5 行1"/>
    <w:basedOn w:val="163"/>
    <w:qFormat/>
    <w:uiPriority w:val="99"/>
    <w:pPr>
      <w:spacing w:afterLines="0"/>
    </w:pPr>
  </w:style>
  <w:style w:type="paragraph" w:customStyle="1" w:styleId="163">
    <w:name w:val="样式 标题 4 + 段后: 0.5 行"/>
    <w:basedOn w:val="8"/>
    <w:qFormat/>
    <w:uiPriority w:val="99"/>
    <w:pPr>
      <w:keepLines w:val="0"/>
      <w:spacing w:before="120" w:afterLines="50" w:line="240" w:lineRule="auto"/>
      <w:jc w:val="left"/>
    </w:pPr>
    <w:rPr>
      <w:rFonts w:ascii="宋体" w:hAnsi="Times New Roman" w:cs="宋体"/>
      <w:sz w:val="21"/>
    </w:rPr>
  </w:style>
  <w:style w:type="paragraph" w:customStyle="1" w:styleId="164">
    <w:name w:val="样式 正文"/>
    <w:basedOn w:val="1"/>
    <w:next w:val="1"/>
    <w:qFormat/>
    <w:uiPriority w:val="99"/>
    <w:pPr>
      <w:spacing w:afterLines="50"/>
      <w:jc w:val="left"/>
    </w:pPr>
    <w:rPr>
      <w:rFonts w:ascii="宋体" w:cs="宋体"/>
      <w:kern w:val="0"/>
    </w:rPr>
  </w:style>
  <w:style w:type="paragraph" w:customStyle="1" w:styleId="165">
    <w:name w:val="样式 标题1"/>
    <w:basedOn w:val="166"/>
    <w:next w:val="167"/>
    <w:qFormat/>
    <w:uiPriority w:val="99"/>
    <w:pPr>
      <w:tabs>
        <w:tab w:val="left" w:pos="360"/>
        <w:tab w:val="left" w:pos="1140"/>
      </w:tabs>
      <w:spacing w:afterLines="0"/>
      <w:ind w:left="1140" w:hanging="720"/>
    </w:pPr>
    <w:rPr>
      <w:bCs w:val="0"/>
      <w:sz w:val="32"/>
    </w:rPr>
  </w:style>
  <w:style w:type="paragraph" w:customStyle="1" w:styleId="166">
    <w:name w:val="样式 标题 1 + 段后: 0.5 行"/>
    <w:basedOn w:val="5"/>
    <w:qFormat/>
    <w:uiPriority w:val="99"/>
    <w:pPr>
      <w:keepLines w:val="0"/>
      <w:numPr>
        <w:numId w:val="0"/>
      </w:numPr>
      <w:autoSpaceDE/>
      <w:autoSpaceDN/>
      <w:adjustRightInd/>
      <w:spacing w:before="120" w:afterLines="50" w:line="240" w:lineRule="auto"/>
      <w:textAlignment w:val="auto"/>
    </w:pPr>
    <w:rPr>
      <w:rFonts w:hAnsi="Times New Roman" w:eastAsia="宋体" w:cs="宋体"/>
      <w:bCs/>
      <w:color w:val="auto"/>
      <w:kern w:val="0"/>
      <w:sz w:val="28"/>
    </w:rPr>
  </w:style>
  <w:style w:type="paragraph" w:customStyle="1" w:styleId="167">
    <w:name w:val="最新标题2"/>
    <w:basedOn w:val="168"/>
    <w:next w:val="169"/>
    <w:qFormat/>
    <w:uiPriority w:val="99"/>
    <w:pPr>
      <w:tabs>
        <w:tab w:val="left" w:pos="720"/>
      </w:tabs>
      <w:spacing w:afterLines="0"/>
    </w:pPr>
  </w:style>
  <w:style w:type="paragraph" w:customStyle="1" w:styleId="168">
    <w:name w:val="样式 标题 2"/>
    <w:basedOn w:val="6"/>
    <w:next w:val="169"/>
    <w:qFormat/>
    <w:uiPriority w:val="99"/>
    <w:pPr>
      <w:keepLines w:val="0"/>
      <w:numPr>
        <w:ilvl w:val="0"/>
        <w:numId w:val="0"/>
      </w:numPr>
      <w:spacing w:before="120" w:afterLines="50" w:line="240" w:lineRule="auto"/>
      <w:ind w:left="380" w:hanging="380"/>
      <w:jc w:val="left"/>
    </w:pPr>
    <w:rPr>
      <w:rFonts w:ascii="宋体" w:hAnsi="Times New Roman" w:eastAsia="宋体" w:cs="宋体"/>
      <w:sz w:val="28"/>
      <w:szCs w:val="20"/>
    </w:rPr>
  </w:style>
  <w:style w:type="paragraph" w:customStyle="1" w:styleId="169">
    <w:name w:val="最新标题3"/>
    <w:basedOn w:val="159"/>
    <w:next w:val="160"/>
    <w:qFormat/>
    <w:uiPriority w:val="99"/>
    <w:pPr>
      <w:spacing w:afterLines="0"/>
    </w:pPr>
  </w:style>
  <w:style w:type="paragraph" w:customStyle="1" w:styleId="170">
    <w:name w:val="Table - Text"/>
    <w:basedOn w:val="1"/>
    <w:qFormat/>
    <w:uiPriority w:val="99"/>
    <w:pPr>
      <w:widowControl/>
      <w:spacing w:before="60" w:afterLines="50"/>
      <w:jc w:val="left"/>
    </w:pPr>
    <w:rPr>
      <w:kern w:val="0"/>
      <w:lang w:eastAsia="en-US"/>
    </w:rPr>
  </w:style>
  <w:style w:type="paragraph" w:customStyle="1" w:styleId="171">
    <w:name w:val="最新标题1"/>
    <w:basedOn w:val="165"/>
    <w:next w:val="167"/>
    <w:qFormat/>
    <w:uiPriority w:val="99"/>
    <w:pPr>
      <w:numPr>
        <w:numId w:val="4"/>
      </w:numPr>
      <w:spacing w:after="120"/>
    </w:pPr>
    <w:rPr>
      <w:bCs/>
    </w:rPr>
  </w:style>
  <w:style w:type="paragraph" w:customStyle="1" w:styleId="172">
    <w:name w:val="z-窗体顶端1"/>
    <w:basedOn w:val="1"/>
    <w:next w:val="1"/>
    <w:qFormat/>
    <w:uiPriority w:val="99"/>
    <w:pPr>
      <w:pBdr>
        <w:bottom w:val="single" w:color="auto" w:sz="6" w:space="1"/>
      </w:pBdr>
      <w:jc w:val="center"/>
    </w:pPr>
    <w:rPr>
      <w:rFonts w:ascii="Arial"/>
      <w:vanish/>
      <w:sz w:val="16"/>
    </w:rPr>
  </w:style>
  <w:style w:type="paragraph" w:customStyle="1" w:styleId="173">
    <w:name w:val="样式 标题 1 + 五号"/>
    <w:basedOn w:val="5"/>
    <w:qFormat/>
    <w:uiPriority w:val="99"/>
    <w:pPr>
      <w:numPr>
        <w:numId w:val="0"/>
      </w:numPr>
      <w:autoSpaceDE/>
      <w:autoSpaceDN/>
      <w:adjustRightInd/>
      <w:spacing w:before="0" w:after="0" w:line="240" w:lineRule="auto"/>
      <w:jc w:val="center"/>
      <w:textAlignment w:val="auto"/>
    </w:pPr>
    <w:rPr>
      <w:rFonts w:ascii="Times New Roman" w:hAnsi="Times New Roman" w:eastAsia="宋体"/>
      <w:bCs/>
      <w:color w:val="auto"/>
      <w:sz w:val="32"/>
      <w:szCs w:val="32"/>
    </w:rPr>
  </w:style>
  <w:style w:type="paragraph" w:customStyle="1" w:styleId="174">
    <w:name w:val="Char Char Char Char Char Char Char Char Char1 Char Char Char Char"/>
    <w:basedOn w:val="1"/>
    <w:qFormat/>
    <w:uiPriority w:val="99"/>
    <w:pPr>
      <w:adjustRightInd w:val="0"/>
      <w:spacing w:line="360" w:lineRule="auto"/>
    </w:pPr>
  </w:style>
  <w:style w:type="paragraph" w:customStyle="1" w:styleId="175">
    <w:name w:val="font14"/>
    <w:basedOn w:val="1"/>
    <w:qFormat/>
    <w:uiPriority w:val="99"/>
    <w:pPr>
      <w:widowControl/>
      <w:spacing w:before="100" w:beforeAutospacing="1" w:after="100" w:afterAutospacing="1"/>
      <w:jc w:val="left"/>
    </w:pPr>
    <w:rPr>
      <w:kern w:val="0"/>
      <w:sz w:val="22"/>
      <w:szCs w:val="22"/>
    </w:rPr>
  </w:style>
  <w:style w:type="paragraph" w:customStyle="1" w:styleId="176">
    <w:name w:val="P1"/>
    <w:basedOn w:val="1"/>
    <w:qFormat/>
    <w:uiPriority w:val="99"/>
    <w:pPr>
      <w:widowControl/>
      <w:spacing w:before="240" w:line="240" w:lineRule="atLeast"/>
      <w:jc w:val="left"/>
    </w:pPr>
    <w:rPr>
      <w:b/>
      <w:kern w:val="0"/>
      <w:szCs w:val="21"/>
      <w:lang w:val="en-AU" w:eastAsia="en-US"/>
    </w:rPr>
  </w:style>
  <w:style w:type="paragraph" w:customStyle="1" w:styleId="177">
    <w:name w:val="标准标题2"/>
    <w:basedOn w:val="6"/>
    <w:qFormat/>
    <w:uiPriority w:val="99"/>
    <w:pPr>
      <w:numPr>
        <w:numId w:val="0"/>
      </w:numPr>
      <w:spacing w:line="360" w:lineRule="auto"/>
    </w:pPr>
    <w:rPr>
      <w:rFonts w:eastAsia="仿宋_GB2312"/>
      <w:bCs w:val="0"/>
      <w:sz w:val="28"/>
    </w:rPr>
  </w:style>
  <w:style w:type="paragraph" w:customStyle="1" w:styleId="178">
    <w:name w:val="标准正文"/>
    <w:basedOn w:val="3"/>
    <w:qFormat/>
    <w:uiPriority w:val="99"/>
    <w:pPr>
      <w:spacing w:before="60" w:after="60" w:line="360" w:lineRule="auto"/>
      <w:ind w:firstLine="482"/>
    </w:pPr>
    <w:rPr>
      <w:rFonts w:ascii="Arial" w:hAnsi="Arial"/>
      <w:sz w:val="24"/>
    </w:rPr>
  </w:style>
  <w:style w:type="paragraph" w:customStyle="1" w:styleId="179">
    <w:name w:val="xl4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szCs w:val="24"/>
    </w:rPr>
  </w:style>
  <w:style w:type="paragraph" w:customStyle="1" w:styleId="180">
    <w:name w:val="font0"/>
    <w:basedOn w:val="1"/>
    <w:qFormat/>
    <w:uiPriority w:val="99"/>
    <w:pPr>
      <w:widowControl/>
      <w:spacing w:before="100" w:beforeAutospacing="1" w:after="100" w:afterAutospacing="1"/>
      <w:jc w:val="left"/>
    </w:pPr>
    <w:rPr>
      <w:rFonts w:ascii="宋体" w:hAnsi="宋体"/>
      <w:kern w:val="0"/>
      <w:sz w:val="24"/>
      <w:szCs w:val="24"/>
    </w:rPr>
  </w:style>
  <w:style w:type="paragraph" w:customStyle="1" w:styleId="181">
    <w:name w:val="样式 模板描述"/>
    <w:basedOn w:val="1"/>
    <w:next w:val="164"/>
    <w:qFormat/>
    <w:uiPriority w:val="99"/>
    <w:pPr>
      <w:numPr>
        <w:ilvl w:val="1"/>
        <w:numId w:val="4"/>
      </w:numPr>
      <w:spacing w:afterLines="50"/>
      <w:ind w:left="0" w:firstLine="0"/>
      <w:jc w:val="left"/>
    </w:pPr>
    <w:rPr>
      <w:rFonts w:ascii="宋体" w:cs="宋体"/>
      <w:i/>
      <w:iCs/>
      <w:color w:val="0000FF"/>
      <w:kern w:val="0"/>
      <w:szCs w:val="21"/>
    </w:rPr>
  </w:style>
  <w:style w:type="paragraph" w:customStyle="1" w:styleId="182">
    <w:name w:val="文档正文"/>
    <w:basedOn w:val="1"/>
    <w:qFormat/>
    <w:uiPriority w:val="99"/>
    <w:pPr>
      <w:adjustRightInd w:val="0"/>
      <w:spacing w:line="440" w:lineRule="exact"/>
      <w:ind w:firstLine="567"/>
      <w:textAlignment w:val="baseline"/>
    </w:pPr>
    <w:rPr>
      <w:rFonts w:ascii="Arial Narrow" w:hAnsi="Arial Narrow"/>
      <w:kern w:val="0"/>
      <w:sz w:val="24"/>
      <w:szCs w:val="24"/>
    </w:rPr>
  </w:style>
  <w:style w:type="paragraph" w:customStyle="1" w:styleId="183">
    <w:name w:val="xl47"/>
    <w:basedOn w:val="1"/>
    <w:qFormat/>
    <w:uiPriority w:val="99"/>
    <w:pPr>
      <w:widowControl/>
      <w:pBdr>
        <w:top w:val="single" w:color="auto" w:sz="4" w:space="0"/>
        <w:bottom w:val="single" w:color="auto" w:sz="4" w:space="0"/>
      </w:pBdr>
      <w:spacing w:before="100" w:beforeAutospacing="1" w:after="100" w:afterAutospacing="1"/>
      <w:jc w:val="left"/>
      <w:textAlignment w:val="center"/>
    </w:pPr>
    <w:rPr>
      <w:rFonts w:ascii="Helv" w:hAnsi="Helv"/>
      <w:b/>
      <w:bCs/>
      <w:kern w:val="0"/>
      <w:sz w:val="28"/>
      <w:szCs w:val="28"/>
    </w:rPr>
  </w:style>
  <w:style w:type="paragraph" w:customStyle="1" w:styleId="184">
    <w:name w:val="z-窗体底端1"/>
    <w:basedOn w:val="1"/>
    <w:next w:val="1"/>
    <w:qFormat/>
    <w:uiPriority w:val="99"/>
    <w:pPr>
      <w:pBdr>
        <w:top w:val="single" w:color="auto" w:sz="6" w:space="1"/>
      </w:pBdr>
      <w:jc w:val="center"/>
    </w:pPr>
    <w:rPr>
      <w:rFonts w:ascii="Arial"/>
      <w:vanish/>
      <w:sz w:val="16"/>
    </w:rPr>
  </w:style>
  <w:style w:type="paragraph" w:customStyle="1" w:styleId="185">
    <w:name w:val="表格标题"/>
    <w:basedOn w:val="143"/>
    <w:qFormat/>
    <w:uiPriority w:val="99"/>
    <w:pPr>
      <w:numPr>
        <w:ilvl w:val="0"/>
        <w:numId w:val="5"/>
      </w:numPr>
      <w:tabs>
        <w:tab w:val="clear" w:pos="360"/>
      </w:tabs>
      <w:ind w:left="0" w:firstLine="0"/>
      <w:jc w:val="center"/>
    </w:pPr>
    <w:rPr>
      <w:bCs/>
      <w:i/>
      <w:iCs/>
    </w:rPr>
  </w:style>
  <w:style w:type="paragraph" w:customStyle="1" w:styleId="186">
    <w:name w:val="Table Description"/>
    <w:next w:val="1"/>
    <w:qFormat/>
    <w:uiPriority w:val="99"/>
    <w:pPr>
      <w:keepNext/>
      <w:snapToGrid w:val="0"/>
      <w:spacing w:before="160" w:after="80"/>
      <w:ind w:left="1701"/>
      <w:jc w:val="center"/>
    </w:pPr>
    <w:rPr>
      <w:rFonts w:ascii="Arial" w:hAnsi="Arial" w:eastAsia="黑体" w:cs="Times New Roman"/>
      <w:sz w:val="18"/>
      <w:lang w:val="en-US" w:eastAsia="en-US" w:bidi="ar-SA"/>
    </w:rPr>
  </w:style>
  <w:style w:type="paragraph" w:customStyle="1" w:styleId="187">
    <w:name w:val="样式 标题 3Chapter X.X.X. + 段后: 0.5 行"/>
    <w:basedOn w:val="7"/>
    <w:qFormat/>
    <w:uiPriority w:val="99"/>
    <w:pPr>
      <w:keepNext/>
      <w:numPr>
        <w:numId w:val="0"/>
      </w:numPr>
      <w:autoSpaceDE/>
      <w:autoSpaceDN/>
      <w:adjustRightInd/>
      <w:spacing w:before="120" w:afterLines="50" w:line="240" w:lineRule="auto"/>
      <w:jc w:val="left"/>
      <w:textAlignment w:val="auto"/>
    </w:pPr>
    <w:rPr>
      <w:rFonts w:ascii="宋体" w:eastAsia="宋体" w:cs="宋体"/>
      <w:bCs/>
      <w:color w:val="auto"/>
      <w:sz w:val="24"/>
    </w:rPr>
  </w:style>
  <w:style w:type="paragraph" w:customStyle="1" w:styleId="188">
    <w:name w:val="段(正文）"/>
    <w:qFormat/>
    <w:uiPriority w:val="99"/>
    <w:pPr>
      <w:autoSpaceDE w:val="0"/>
      <w:autoSpaceDN w:val="0"/>
      <w:ind w:firstLine="420"/>
      <w:jc w:val="both"/>
    </w:pPr>
    <w:rPr>
      <w:rFonts w:ascii="宋体" w:hAnsi="Times New Roman" w:eastAsia="宋体" w:cs="Times New Roman"/>
      <w:sz w:val="21"/>
      <w:lang w:val="en-US" w:eastAsia="zh-CN" w:bidi="ar-SA"/>
    </w:rPr>
  </w:style>
  <w:style w:type="paragraph" w:customStyle="1" w:styleId="189">
    <w:name w:val="标准有序列表（L1）"/>
    <w:basedOn w:val="2"/>
    <w:qFormat/>
    <w:uiPriority w:val="99"/>
    <w:pPr>
      <w:numPr>
        <w:ilvl w:val="4"/>
        <w:numId w:val="6"/>
      </w:numPr>
      <w:tabs>
        <w:tab w:val="left" w:pos="0"/>
        <w:tab w:val="clear" w:pos="2040"/>
      </w:tabs>
      <w:spacing w:line="360" w:lineRule="auto"/>
      <w:ind w:left="0" w:firstLine="0"/>
    </w:pPr>
    <w:rPr>
      <w:rFonts w:ascii="黑体" w:eastAsia="黑体"/>
      <w:color w:val="000000"/>
      <w:sz w:val="24"/>
    </w:rPr>
  </w:style>
  <w:style w:type="paragraph" w:customStyle="1" w:styleId="190">
    <w:name w:val="文本框内文字"/>
    <w:basedOn w:val="1"/>
    <w:qFormat/>
    <w:uiPriority w:val="99"/>
    <w:pPr>
      <w:spacing w:line="240" w:lineRule="atLeast"/>
    </w:pPr>
    <w:rPr>
      <w:rFonts w:eastAsia="仿宋_GB2312"/>
      <w:sz w:val="22"/>
      <w:szCs w:val="24"/>
    </w:rPr>
  </w:style>
  <w:style w:type="paragraph" w:customStyle="1" w:styleId="191">
    <w:name w:val="样式 标题 2Chapter X.X. Statementh22Header 2l2Level 2 Headhea..."/>
    <w:basedOn w:val="6"/>
    <w:qFormat/>
    <w:uiPriority w:val="99"/>
    <w:pPr>
      <w:keepLines w:val="0"/>
      <w:numPr>
        <w:numId w:val="0"/>
      </w:numPr>
      <w:spacing w:before="120" w:afterLines="50" w:line="240" w:lineRule="auto"/>
      <w:jc w:val="left"/>
    </w:pPr>
    <w:rPr>
      <w:rFonts w:ascii="宋体" w:hAnsi="Times New Roman" w:eastAsia="宋体" w:cs="宋体"/>
      <w:sz w:val="24"/>
      <w:szCs w:val="24"/>
    </w:rPr>
  </w:style>
  <w:style w:type="paragraph" w:customStyle="1" w:styleId="192">
    <w:name w:val="样式 样式 标题 4 + 段后: 0.5 行1"/>
    <w:basedOn w:val="163"/>
    <w:next w:val="30"/>
    <w:qFormat/>
    <w:uiPriority w:val="99"/>
    <w:pPr>
      <w:spacing w:afterLines="0"/>
    </w:pPr>
  </w:style>
  <w:style w:type="paragraph" w:customStyle="1" w:styleId="193">
    <w:name w:val="圆点"/>
    <w:basedOn w:val="1"/>
    <w:qFormat/>
    <w:uiPriority w:val="99"/>
    <w:pPr>
      <w:spacing w:beforeLines="50" w:afterLines="50" w:line="360" w:lineRule="auto"/>
      <w:ind w:firstLine="480" w:firstLineChars="200"/>
    </w:pPr>
    <w:rPr>
      <w:rFonts w:ascii="仿宋_GB2312" w:eastAsia="仿宋_GB2312"/>
      <w:sz w:val="24"/>
      <w:szCs w:val="24"/>
    </w:rPr>
  </w:style>
  <w:style w:type="paragraph" w:customStyle="1" w:styleId="194">
    <w:name w:val="xl37"/>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bottom"/>
    </w:pPr>
    <w:rPr>
      <w:kern w:val="0"/>
      <w:sz w:val="20"/>
    </w:rPr>
  </w:style>
  <w:style w:type="paragraph" w:customStyle="1" w:styleId="195">
    <w:name w:val="Paragraph4"/>
    <w:basedOn w:val="1"/>
    <w:qFormat/>
    <w:uiPriority w:val="99"/>
    <w:pPr>
      <w:spacing w:before="80" w:afterLines="50"/>
      <w:ind w:left="2250"/>
    </w:pPr>
    <w:rPr>
      <w:rFonts w:ascii="宋体"/>
      <w:kern w:val="0"/>
    </w:rPr>
  </w:style>
  <w:style w:type="paragraph" w:customStyle="1" w:styleId="196">
    <w:name w:val="Plain Text1"/>
    <w:basedOn w:val="1"/>
    <w:qFormat/>
    <w:uiPriority w:val="99"/>
    <w:pPr>
      <w:autoSpaceDE w:val="0"/>
      <w:autoSpaceDN w:val="0"/>
      <w:adjustRightInd w:val="0"/>
      <w:spacing w:line="360" w:lineRule="auto"/>
    </w:pPr>
    <w:rPr>
      <w:rFonts w:ascii="宋体" w:hAnsi="宋体"/>
      <w:sz w:val="24"/>
    </w:rPr>
  </w:style>
  <w:style w:type="paragraph" w:customStyle="1" w:styleId="197">
    <w:name w:val="Default"/>
    <w:qFormat/>
    <w:uiPriority w:val="99"/>
    <w:pPr>
      <w:widowControl w:val="0"/>
      <w:autoSpaceDE w:val="0"/>
      <w:autoSpaceDN w:val="0"/>
      <w:adjustRightInd w:val="0"/>
    </w:pPr>
    <w:rPr>
      <w:rFonts w:ascii="Myriad Pro" w:hAnsi="Times New Roman" w:eastAsia="Times New Roman" w:cs="Myriad Pro"/>
      <w:color w:val="000000"/>
      <w:sz w:val="24"/>
      <w:szCs w:val="24"/>
      <w:lang w:val="en-US" w:eastAsia="zh-CN" w:bidi="ar-SA"/>
    </w:rPr>
  </w:style>
  <w:style w:type="paragraph" w:customStyle="1" w:styleId="198">
    <w:name w:val="默认段落字体 Para Char Char Char Char Char Char Char Char Char1 Char Char Char Char"/>
    <w:basedOn w:val="1"/>
    <w:qFormat/>
    <w:uiPriority w:val="99"/>
    <w:rPr>
      <w:rFonts w:ascii="Tahoma" w:hAnsi="Tahoma"/>
      <w:sz w:val="24"/>
    </w:rPr>
  </w:style>
  <w:style w:type="paragraph" w:customStyle="1" w:styleId="199">
    <w:name w:val="Item List"/>
    <w:qFormat/>
    <w:uiPriority w:val="99"/>
    <w:pPr>
      <w:tabs>
        <w:tab w:val="left" w:pos="2126"/>
      </w:tabs>
      <w:spacing w:line="300" w:lineRule="auto"/>
      <w:ind w:left="2126" w:hanging="425"/>
      <w:jc w:val="both"/>
    </w:pPr>
    <w:rPr>
      <w:rFonts w:ascii="Arial" w:hAnsi="Arial" w:eastAsia="宋体" w:cs="Times New Roman"/>
      <w:sz w:val="21"/>
      <w:lang w:val="en-US" w:eastAsia="en-US" w:bidi="ar-SA"/>
    </w:rPr>
  </w:style>
  <w:style w:type="paragraph" w:customStyle="1" w:styleId="200">
    <w:name w:val="二级条标题"/>
    <w:basedOn w:val="1"/>
    <w:next w:val="57"/>
    <w:qFormat/>
    <w:uiPriority w:val="99"/>
    <w:pPr>
      <w:widowControl/>
      <w:numPr>
        <w:ilvl w:val="5"/>
        <w:numId w:val="6"/>
      </w:numPr>
      <w:tabs>
        <w:tab w:val="left" w:pos="360"/>
        <w:tab w:val="clear" w:pos="2520"/>
      </w:tabs>
      <w:ind w:left="568"/>
      <w:outlineLvl w:val="3"/>
    </w:pPr>
    <w:rPr>
      <w:rFonts w:ascii="黑体" w:eastAsia="黑体"/>
      <w:kern w:val="0"/>
      <w:szCs w:val="22"/>
    </w:rPr>
  </w:style>
  <w:style w:type="paragraph" w:customStyle="1" w:styleId="201">
    <w:name w:val="此正文"/>
    <w:basedOn w:val="1"/>
    <w:qFormat/>
    <w:uiPriority w:val="99"/>
    <w:pPr>
      <w:spacing w:line="360" w:lineRule="auto"/>
      <w:ind w:firstLine="200" w:firstLineChars="200"/>
    </w:pPr>
    <w:rPr>
      <w:sz w:val="24"/>
    </w:rPr>
  </w:style>
  <w:style w:type="paragraph" w:customStyle="1" w:styleId="202">
    <w:name w:val="CM1"/>
    <w:basedOn w:val="197"/>
    <w:next w:val="197"/>
    <w:qFormat/>
    <w:uiPriority w:val="99"/>
    <w:pPr>
      <w:spacing w:line="186" w:lineRule="atLeast"/>
    </w:pPr>
    <w:rPr>
      <w:color w:val="auto"/>
    </w:rPr>
  </w:style>
  <w:style w:type="paragraph" w:customStyle="1" w:styleId="203">
    <w:name w:val="xl4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w:hAnsi="Arial" w:cs="Arial"/>
      <w:kern w:val="0"/>
      <w:sz w:val="20"/>
    </w:rPr>
  </w:style>
  <w:style w:type="paragraph" w:customStyle="1" w:styleId="204">
    <w:name w:val="font13"/>
    <w:basedOn w:val="1"/>
    <w:qFormat/>
    <w:uiPriority w:val="99"/>
    <w:pPr>
      <w:widowControl/>
      <w:spacing w:before="100" w:beforeAutospacing="1" w:after="100" w:afterAutospacing="1"/>
      <w:jc w:val="left"/>
    </w:pPr>
    <w:rPr>
      <w:rFonts w:ascii="宋体" w:hAnsi="宋体"/>
      <w:kern w:val="0"/>
      <w:sz w:val="22"/>
      <w:szCs w:val="22"/>
    </w:rPr>
  </w:style>
  <w:style w:type="paragraph" w:customStyle="1" w:styleId="205">
    <w:name w:val="正文1"/>
    <w:basedOn w:val="1"/>
    <w:next w:val="1"/>
    <w:qFormat/>
    <w:uiPriority w:val="99"/>
    <w:pPr>
      <w:spacing w:before="100" w:after="100" w:line="400" w:lineRule="exact"/>
      <w:ind w:firstLine="480"/>
      <w:jc w:val="left"/>
    </w:pPr>
    <w:rPr>
      <w:rFonts w:ascii="Arial" w:hAnsi="Arial"/>
      <w:sz w:val="24"/>
    </w:rPr>
  </w:style>
  <w:style w:type="paragraph" w:customStyle="1" w:styleId="206">
    <w:name w:val="Char Char Char Char Char Char"/>
    <w:basedOn w:val="1"/>
    <w:qFormat/>
    <w:uiPriority w:val="99"/>
    <w:pPr>
      <w:widowControl/>
      <w:spacing w:after="160" w:line="240" w:lineRule="exact"/>
      <w:jc w:val="left"/>
    </w:pPr>
    <w:rPr>
      <w:rFonts w:ascii="Verdana" w:hAnsi="Verdana"/>
      <w:kern w:val="0"/>
      <w:sz w:val="20"/>
      <w:lang w:eastAsia="en-US"/>
    </w:rPr>
  </w:style>
  <w:style w:type="paragraph" w:customStyle="1" w:styleId="207">
    <w:name w:val="五号正文项目（标准）"/>
    <w:basedOn w:val="1"/>
    <w:qFormat/>
    <w:uiPriority w:val="99"/>
    <w:pPr>
      <w:numPr>
        <w:ilvl w:val="1"/>
        <w:numId w:val="7"/>
      </w:numPr>
      <w:tabs>
        <w:tab w:val="left" w:pos="900"/>
        <w:tab w:val="clear" w:pos="1680"/>
      </w:tabs>
      <w:spacing w:line="400" w:lineRule="exact"/>
      <w:ind w:left="900" w:hanging="540"/>
      <w:jc w:val="left"/>
    </w:pPr>
    <w:rPr>
      <w:rFonts w:ascii="宋体" w:hAnsi="宋体"/>
      <w:color w:val="000000"/>
    </w:rPr>
  </w:style>
  <w:style w:type="paragraph" w:customStyle="1" w:styleId="208">
    <w:name w:val="Char"/>
    <w:basedOn w:val="1"/>
    <w:qFormat/>
    <w:uiPriority w:val="99"/>
    <w:rPr>
      <w:rFonts w:ascii="仿宋_GB2312" w:eastAsia="仿宋_GB2312"/>
      <w:b/>
      <w:sz w:val="32"/>
      <w:szCs w:val="32"/>
    </w:rPr>
  </w:style>
  <w:style w:type="paragraph" w:customStyle="1" w:styleId="209">
    <w:name w:val="font9"/>
    <w:basedOn w:val="1"/>
    <w:qFormat/>
    <w:uiPriority w:val="99"/>
    <w:pPr>
      <w:widowControl/>
      <w:spacing w:before="100" w:beforeAutospacing="1" w:after="100" w:afterAutospacing="1"/>
      <w:jc w:val="left"/>
    </w:pPr>
    <w:rPr>
      <w:kern w:val="0"/>
      <w:sz w:val="24"/>
      <w:szCs w:val="24"/>
    </w:rPr>
  </w:style>
  <w:style w:type="paragraph" w:customStyle="1" w:styleId="210">
    <w:name w:val="xl46"/>
    <w:basedOn w:val="1"/>
    <w:qFormat/>
    <w:uiPriority w:val="99"/>
    <w:pPr>
      <w:widowControl/>
      <w:pBdr>
        <w:top w:val="single" w:color="auto" w:sz="4" w:space="0"/>
        <w:bottom w:val="single" w:color="auto" w:sz="4" w:space="0"/>
      </w:pBdr>
      <w:spacing w:before="100" w:beforeAutospacing="1" w:after="100" w:afterAutospacing="1"/>
      <w:jc w:val="left"/>
    </w:pPr>
    <w:rPr>
      <w:rFonts w:ascii="宋体" w:hAnsi="宋体"/>
      <w:b/>
      <w:bCs/>
      <w:kern w:val="0"/>
      <w:sz w:val="24"/>
      <w:szCs w:val="24"/>
    </w:rPr>
  </w:style>
  <w:style w:type="paragraph" w:customStyle="1" w:styleId="211">
    <w:name w:val="xl38"/>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bottom"/>
    </w:pPr>
    <w:rPr>
      <w:rFonts w:ascii="宋体" w:hAnsi="宋体"/>
      <w:kern w:val="0"/>
      <w:sz w:val="20"/>
    </w:rPr>
  </w:style>
  <w:style w:type="paragraph" w:customStyle="1" w:styleId="212">
    <w:name w:val="huide00"/>
    <w:basedOn w:val="1"/>
    <w:qFormat/>
    <w:uiPriority w:val="99"/>
    <w:pPr>
      <w:widowControl/>
      <w:spacing w:before="100" w:beforeAutospacing="1" w:after="100" w:afterAutospacing="1"/>
      <w:jc w:val="left"/>
    </w:pPr>
    <w:rPr>
      <w:rFonts w:ascii="Arial" w:hAnsi="Arial" w:cs="Arial"/>
      <w:color w:val="666666"/>
      <w:kern w:val="0"/>
      <w:sz w:val="18"/>
      <w:szCs w:val="18"/>
    </w:rPr>
  </w:style>
  <w:style w:type="paragraph" w:customStyle="1" w:styleId="213">
    <w:name w:val="CM7"/>
    <w:basedOn w:val="197"/>
    <w:next w:val="197"/>
    <w:qFormat/>
    <w:uiPriority w:val="99"/>
    <w:pPr>
      <w:spacing w:line="193" w:lineRule="atLeast"/>
    </w:pPr>
    <w:rPr>
      <w:color w:val="auto"/>
    </w:rPr>
  </w:style>
  <w:style w:type="paragraph" w:customStyle="1" w:styleId="214">
    <w:name w:val="xl3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b/>
      <w:bCs/>
      <w:kern w:val="0"/>
      <w:sz w:val="20"/>
    </w:rPr>
  </w:style>
  <w:style w:type="paragraph" w:customStyle="1" w:styleId="215">
    <w:name w:val="样式 三号 加粗 段后: 0.5 行"/>
    <w:basedOn w:val="1"/>
    <w:qFormat/>
    <w:uiPriority w:val="99"/>
    <w:pPr>
      <w:spacing w:afterLines="50"/>
      <w:jc w:val="left"/>
    </w:pPr>
    <w:rPr>
      <w:rFonts w:ascii="宋体" w:cs="宋体"/>
      <w:b/>
      <w:bCs/>
      <w:kern w:val="0"/>
      <w:sz w:val="32"/>
    </w:rPr>
  </w:style>
  <w:style w:type="paragraph" w:customStyle="1" w:styleId="216">
    <w:name w:val="InfoBlue"/>
    <w:basedOn w:val="1"/>
    <w:next w:val="20"/>
    <w:qFormat/>
    <w:uiPriority w:val="99"/>
    <w:pPr>
      <w:spacing w:afterLines="50"/>
      <w:ind w:left="720"/>
      <w:jc w:val="left"/>
    </w:pPr>
    <w:rPr>
      <w:rFonts w:ascii="宋体"/>
      <w:i/>
      <w:color w:val="0000FF"/>
      <w:kern w:val="0"/>
    </w:rPr>
  </w:style>
  <w:style w:type="paragraph" w:customStyle="1" w:styleId="217">
    <w:name w:val="xl27"/>
    <w:basedOn w:val="1"/>
    <w:qFormat/>
    <w:uiPriority w:val="99"/>
    <w:pPr>
      <w:widowControl/>
      <w:spacing w:before="100" w:beforeAutospacing="1" w:after="100" w:afterAutospacing="1"/>
      <w:jc w:val="center"/>
      <w:textAlignment w:val="bottom"/>
    </w:pPr>
    <w:rPr>
      <w:rFonts w:ascii="宋体" w:hAnsi="宋体"/>
      <w:b/>
      <w:bCs/>
      <w:kern w:val="0"/>
      <w:sz w:val="24"/>
      <w:szCs w:val="24"/>
    </w:rPr>
  </w:style>
  <w:style w:type="paragraph" w:customStyle="1" w:styleId="218">
    <w:name w:val="font6"/>
    <w:basedOn w:val="1"/>
    <w:qFormat/>
    <w:uiPriority w:val="99"/>
    <w:pPr>
      <w:widowControl/>
      <w:spacing w:before="100" w:beforeAutospacing="1" w:after="100" w:afterAutospacing="1"/>
      <w:jc w:val="left"/>
    </w:pPr>
    <w:rPr>
      <w:rFonts w:ascii="宋体" w:hAnsi="宋体"/>
      <w:kern w:val="0"/>
      <w:sz w:val="20"/>
    </w:rPr>
  </w:style>
  <w:style w:type="paragraph" w:customStyle="1" w:styleId="219">
    <w:name w:val="首行缩进"/>
    <w:basedOn w:val="1"/>
    <w:qFormat/>
    <w:uiPriority w:val="99"/>
    <w:pPr>
      <w:widowControl/>
      <w:tabs>
        <w:tab w:val="left" w:pos="822"/>
      </w:tabs>
      <w:snapToGrid w:val="0"/>
      <w:spacing w:before="40" w:after="40" w:line="300" w:lineRule="atLeast"/>
      <w:ind w:left="1701"/>
    </w:pPr>
    <w:rPr>
      <w:rFonts w:ascii="Arial" w:hAnsi="Arial"/>
      <w:kern w:val="0"/>
    </w:rPr>
  </w:style>
  <w:style w:type="paragraph" w:customStyle="1" w:styleId="220">
    <w:name w:val="Figure Description"/>
    <w:next w:val="1"/>
    <w:qFormat/>
    <w:uiPriority w:val="99"/>
    <w:pPr>
      <w:snapToGrid w:val="0"/>
      <w:spacing w:before="80" w:after="320"/>
      <w:ind w:left="1701"/>
      <w:jc w:val="center"/>
    </w:pPr>
    <w:rPr>
      <w:rFonts w:ascii="Arial" w:hAnsi="Arial" w:eastAsia="黑体" w:cs="Times New Roman"/>
      <w:sz w:val="18"/>
      <w:lang w:val="en-US" w:eastAsia="en-US" w:bidi="ar-SA"/>
    </w:rPr>
  </w:style>
  <w:style w:type="paragraph" w:customStyle="1" w:styleId="221">
    <w:name w:val="Char Char Char Char Char Char1 Char"/>
    <w:basedOn w:val="1"/>
    <w:qFormat/>
    <w:uiPriority w:val="99"/>
    <w:pPr>
      <w:widowControl/>
      <w:spacing w:after="160" w:line="240" w:lineRule="exact"/>
      <w:jc w:val="left"/>
    </w:pPr>
    <w:rPr>
      <w:rFonts w:ascii="Verdana" w:hAnsi="Verdana"/>
      <w:kern w:val="0"/>
      <w:lang w:eastAsia="en-US"/>
    </w:rPr>
  </w:style>
  <w:style w:type="paragraph" w:customStyle="1" w:styleId="222">
    <w:name w:val="Paragraph2"/>
    <w:basedOn w:val="1"/>
    <w:qFormat/>
    <w:uiPriority w:val="99"/>
    <w:pPr>
      <w:spacing w:before="80" w:afterLines="50"/>
      <w:ind w:left="720"/>
    </w:pPr>
    <w:rPr>
      <w:rFonts w:ascii="宋体"/>
      <w:color w:val="000000"/>
      <w:kern w:val="0"/>
      <w:lang w:val="en-AU"/>
    </w:rPr>
  </w:style>
  <w:style w:type="paragraph" w:customStyle="1" w:styleId="223">
    <w:name w:val="xl3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kern w:val="0"/>
      <w:sz w:val="20"/>
    </w:rPr>
  </w:style>
  <w:style w:type="paragraph" w:customStyle="1" w:styleId="224">
    <w:name w:val="标准标题3"/>
    <w:basedOn w:val="7"/>
    <w:qFormat/>
    <w:uiPriority w:val="99"/>
    <w:pPr>
      <w:keepNext/>
      <w:keepLines/>
      <w:numPr>
        <w:numId w:val="0"/>
      </w:numPr>
      <w:tabs>
        <w:tab w:val="left" w:pos="1050"/>
      </w:tabs>
      <w:autoSpaceDE/>
      <w:autoSpaceDN/>
      <w:adjustRightInd/>
      <w:spacing w:before="260" w:after="260" w:line="240" w:lineRule="auto"/>
      <w:ind w:left="-258" w:leftChars="-258"/>
      <w:textAlignment w:val="auto"/>
    </w:pPr>
    <w:rPr>
      <w:rFonts w:ascii="Times New Roman" w:eastAsia="仿宋_GB2312"/>
      <w:bCs/>
      <w:color w:val="auto"/>
      <w:kern w:val="2"/>
      <w:szCs w:val="32"/>
    </w:rPr>
  </w:style>
  <w:style w:type="paragraph" w:customStyle="1" w:styleId="225">
    <w:name w:val="f1"/>
    <w:basedOn w:val="1"/>
    <w:qFormat/>
    <w:uiPriority w:val="99"/>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226">
    <w:name w:val="Blockquote"/>
    <w:basedOn w:val="1"/>
    <w:qFormat/>
    <w:uiPriority w:val="99"/>
    <w:pPr>
      <w:widowControl/>
      <w:spacing w:before="100" w:afterLines="50"/>
      <w:ind w:left="360" w:right="360"/>
      <w:jc w:val="left"/>
    </w:pPr>
    <w:rPr>
      <w:rFonts w:ascii="宋体"/>
      <w:kern w:val="0"/>
      <w:sz w:val="24"/>
      <w:lang w:val="en-CA"/>
    </w:rPr>
  </w:style>
  <w:style w:type="paragraph" w:customStyle="1" w:styleId="227">
    <w:name w:val="xl4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kern w:val="0"/>
      <w:sz w:val="20"/>
    </w:rPr>
  </w:style>
  <w:style w:type="paragraph" w:customStyle="1" w:styleId="228">
    <w:name w:val="xl4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kern w:val="0"/>
      <w:sz w:val="20"/>
    </w:rPr>
  </w:style>
  <w:style w:type="paragraph" w:customStyle="1" w:styleId="229">
    <w:name w:val="Paragraph1"/>
    <w:basedOn w:val="1"/>
    <w:qFormat/>
    <w:uiPriority w:val="99"/>
    <w:pPr>
      <w:spacing w:before="80" w:afterLines="50"/>
    </w:pPr>
    <w:rPr>
      <w:rFonts w:ascii="宋体"/>
      <w:kern w:val="0"/>
    </w:rPr>
  </w:style>
  <w:style w:type="paragraph" w:customStyle="1" w:styleId="230">
    <w:name w:val="xl30"/>
    <w:basedOn w:val="1"/>
    <w:qFormat/>
    <w:uiPriority w:val="99"/>
    <w:pPr>
      <w:widowControl/>
      <w:pBdr>
        <w:top w:val="single" w:color="auto" w:sz="8" w:space="0"/>
        <w:bottom w:val="single" w:color="auto" w:sz="8" w:space="0"/>
      </w:pBdr>
      <w:spacing w:before="100" w:beforeAutospacing="1" w:after="100" w:afterAutospacing="1"/>
      <w:jc w:val="center"/>
      <w:textAlignment w:val="bottom"/>
    </w:pPr>
    <w:rPr>
      <w:rFonts w:ascii="宋体" w:hAnsi="宋体"/>
      <w:b/>
      <w:bCs/>
      <w:kern w:val="0"/>
      <w:sz w:val="24"/>
      <w:szCs w:val="24"/>
    </w:rPr>
  </w:style>
  <w:style w:type="paragraph" w:customStyle="1" w:styleId="231">
    <w:name w:val="Char Char3 Char Char Char Char"/>
    <w:basedOn w:val="1"/>
    <w:qFormat/>
    <w:uiPriority w:val="99"/>
    <w:pPr>
      <w:widowControl/>
      <w:spacing w:after="160" w:line="360" w:lineRule="auto"/>
      <w:jc w:val="left"/>
    </w:pPr>
    <w:rPr>
      <w:rFonts w:ascii="Verdana" w:hAnsi="Verdana"/>
      <w:kern w:val="0"/>
      <w:sz w:val="24"/>
      <w:lang w:eastAsia="en-US"/>
    </w:rPr>
  </w:style>
  <w:style w:type="paragraph" w:customStyle="1" w:styleId="232">
    <w:name w:val="xl28"/>
    <w:basedOn w:val="1"/>
    <w:qFormat/>
    <w:uiPriority w:val="99"/>
    <w:pPr>
      <w:widowControl/>
      <w:pBdr>
        <w:bottom w:val="single" w:color="auto" w:sz="8" w:space="0"/>
      </w:pBdr>
      <w:spacing w:before="100" w:beforeAutospacing="1" w:after="100" w:afterAutospacing="1"/>
      <w:jc w:val="left"/>
      <w:textAlignment w:val="bottom"/>
    </w:pPr>
    <w:rPr>
      <w:rFonts w:ascii="宋体" w:hAnsi="宋体"/>
      <w:b/>
      <w:bCs/>
      <w:kern w:val="0"/>
      <w:sz w:val="24"/>
      <w:szCs w:val="24"/>
    </w:rPr>
  </w:style>
  <w:style w:type="paragraph" w:customStyle="1" w:styleId="233">
    <w:name w:val="xl3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rPr>
  </w:style>
  <w:style w:type="paragraph" w:customStyle="1" w:styleId="234">
    <w:name w:val="List Paragraph1"/>
    <w:basedOn w:val="1"/>
    <w:qFormat/>
    <w:uiPriority w:val="99"/>
    <w:pPr>
      <w:ind w:firstLine="420" w:firstLineChars="200"/>
    </w:pPr>
    <w:rPr>
      <w:rFonts w:ascii="Calibri" w:hAnsi="Calibri"/>
      <w:szCs w:val="22"/>
    </w:rPr>
  </w:style>
  <w:style w:type="paragraph" w:customStyle="1" w:styleId="235">
    <w:name w:val="样式 标题 3Chapter X.X.X"/>
    <w:basedOn w:val="236"/>
    <w:qFormat/>
    <w:uiPriority w:val="99"/>
    <w:pPr>
      <w:spacing w:afterLines="0"/>
    </w:pPr>
  </w:style>
  <w:style w:type="paragraph" w:customStyle="1" w:styleId="236">
    <w:name w:val="标题 3Chapter X.X.X. + 段后: 0.5 行 + 段后: 0.5 行 + 段后: 0.5 行1"/>
    <w:basedOn w:val="237"/>
    <w:qFormat/>
    <w:uiPriority w:val="99"/>
    <w:pPr/>
  </w:style>
  <w:style w:type="paragraph" w:customStyle="1" w:styleId="237">
    <w:name w:val="样式 样式 标题 3Chapter X.X.X. + 段后: 0.5 行 + 段后: 0.5 行"/>
    <w:basedOn w:val="187"/>
    <w:qFormat/>
    <w:uiPriority w:val="99"/>
    <w:pPr>
      <w:tabs>
        <w:tab w:val="clear" w:pos="709"/>
      </w:tabs>
    </w:pPr>
  </w:style>
  <w:style w:type="paragraph" w:customStyle="1" w:styleId="238">
    <w:name w:val="Char Char Char Char Char Char Char Char Char Char Char Char Char"/>
    <w:basedOn w:val="1"/>
    <w:qFormat/>
    <w:uiPriority w:val="99"/>
    <w:pPr>
      <w:tabs>
        <w:tab w:val="left" w:pos="432"/>
      </w:tabs>
      <w:ind w:left="432" w:hanging="432"/>
    </w:pPr>
    <w:rPr>
      <w:rFonts w:ascii="Tahoma" w:hAnsi="Tahoma"/>
      <w:sz w:val="24"/>
    </w:rPr>
  </w:style>
  <w:style w:type="paragraph" w:customStyle="1" w:styleId="239">
    <w:name w:val="Char Char Char Char Char Char Char"/>
    <w:basedOn w:val="1"/>
    <w:qFormat/>
    <w:uiPriority w:val="99"/>
    <w:pPr>
      <w:tabs>
        <w:tab w:val="left" w:pos="432"/>
      </w:tabs>
      <w:ind w:left="432" w:hanging="432"/>
    </w:pPr>
    <w:rPr>
      <w:rFonts w:ascii="Tahoma" w:hAnsi="Tahoma"/>
      <w:sz w:val="24"/>
    </w:rPr>
  </w:style>
  <w:style w:type="paragraph" w:customStyle="1" w:styleId="240">
    <w:name w:val="xl2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rPr>
  </w:style>
  <w:style w:type="paragraph" w:customStyle="1" w:styleId="241">
    <w:name w:val="xl32"/>
    <w:basedOn w:val="1"/>
    <w:qFormat/>
    <w:uiPriority w:val="99"/>
    <w:pPr>
      <w:widowControl/>
      <w:spacing w:before="100" w:beforeAutospacing="1" w:after="100" w:afterAutospacing="1"/>
      <w:jc w:val="left"/>
      <w:textAlignment w:val="bottom"/>
    </w:pPr>
    <w:rPr>
      <w:rFonts w:ascii="宋体" w:hAnsi="宋体"/>
      <w:b/>
      <w:bCs/>
      <w:kern w:val="0"/>
      <w:sz w:val="24"/>
      <w:szCs w:val="24"/>
    </w:rPr>
  </w:style>
  <w:style w:type="paragraph" w:customStyle="1" w:styleId="242">
    <w:name w:val="样式7"/>
    <w:basedOn w:val="1"/>
    <w:qFormat/>
    <w:uiPriority w:val="99"/>
    <w:pPr>
      <w:adjustRightInd w:val="0"/>
      <w:spacing w:beforeLines="50" w:afterLines="50" w:line="360" w:lineRule="auto"/>
      <w:ind w:firstLine="669"/>
      <w:textAlignment w:val="baseline"/>
    </w:pPr>
    <w:rPr>
      <w:rFonts w:ascii="宋体" w:hAnsi="宋体"/>
      <w:kern w:val="0"/>
      <w:sz w:val="28"/>
    </w:rPr>
  </w:style>
  <w:style w:type="paragraph" w:customStyle="1" w:styleId="243">
    <w:name w:val="paragraph1"/>
    <w:basedOn w:val="1"/>
    <w:qFormat/>
    <w:uiPriority w:val="99"/>
    <w:pPr>
      <w:spacing w:afterLines="30" w:line="360" w:lineRule="auto"/>
      <w:ind w:firstLine="420" w:firstLineChars="200"/>
    </w:pPr>
    <w:rPr>
      <w:rFonts w:eastAsia="楷体_GB2312"/>
      <w:sz w:val="24"/>
    </w:rPr>
  </w:style>
  <w:style w:type="paragraph" w:customStyle="1" w:styleId="244">
    <w:name w:val="text"/>
    <w:basedOn w:val="1"/>
    <w:qFormat/>
    <w:uiPriority w:val="99"/>
    <w:pPr>
      <w:adjustRightInd w:val="0"/>
      <w:spacing w:before="120" w:line="360" w:lineRule="auto"/>
      <w:ind w:firstLine="425"/>
      <w:jc w:val="left"/>
      <w:textAlignment w:val="baseline"/>
    </w:pPr>
    <w:rPr>
      <w:rFonts w:ascii="宋体" w:hAnsi="Arial" w:cs="Arial"/>
      <w:bCs/>
      <w:kern w:val="0"/>
      <w:sz w:val="26"/>
      <w:szCs w:val="32"/>
    </w:rPr>
  </w:style>
  <w:style w:type="paragraph" w:customStyle="1" w:styleId="245">
    <w:name w:val="样式 样式 标题 4 + 段后: 0.5 行 + 段后: 0.5 行"/>
    <w:basedOn w:val="163"/>
    <w:qFormat/>
    <w:uiPriority w:val="99"/>
  </w:style>
  <w:style w:type="paragraph" w:customStyle="1" w:styleId="246">
    <w:name w:val="样式3"/>
    <w:basedOn w:val="12"/>
    <w:next w:val="1"/>
    <w:qFormat/>
    <w:uiPriority w:val="99"/>
    <w:pPr>
      <w:numPr>
        <w:numId w:val="0"/>
      </w:numPr>
      <w:tabs>
        <w:tab w:val="left" w:pos="1050"/>
      </w:tabs>
      <w:adjustRightInd/>
      <w:spacing w:line="319" w:lineRule="auto"/>
      <w:ind w:left="1050" w:hanging="450"/>
      <w:jc w:val="left"/>
      <w:textAlignment w:val="auto"/>
    </w:pPr>
    <w:rPr>
      <w:b/>
      <w:kern w:val="2"/>
      <w:szCs w:val="24"/>
    </w:rPr>
  </w:style>
  <w:style w:type="paragraph" w:customStyle="1" w:styleId="247">
    <w:name w:val="页面边线"/>
    <w:basedOn w:val="1"/>
    <w:qFormat/>
    <w:uiPriority w:val="99"/>
    <w:pPr>
      <w:adjustRightInd w:val="0"/>
      <w:spacing w:line="360" w:lineRule="atLeast"/>
      <w:textAlignment w:val="baseline"/>
    </w:pPr>
    <w:rPr>
      <w:rFonts w:ascii="Century" w:hAnsi="Century"/>
      <w:kern w:val="0"/>
      <w:lang w:eastAsia="ja-JP"/>
    </w:rPr>
  </w:style>
  <w:style w:type="paragraph" w:customStyle="1" w:styleId="248">
    <w:name w:val="样式 标题 2 + 五号"/>
    <w:basedOn w:val="6"/>
    <w:qFormat/>
    <w:uiPriority w:val="99"/>
    <w:pPr>
      <w:numPr>
        <w:numId w:val="0"/>
      </w:numPr>
      <w:spacing w:before="0" w:after="0" w:line="240" w:lineRule="auto"/>
    </w:pPr>
    <w:rPr>
      <w:rFonts w:ascii="宋体" w:hAnsi="宋体" w:eastAsia="宋体"/>
      <w:sz w:val="21"/>
    </w:rPr>
  </w:style>
  <w:style w:type="paragraph" w:customStyle="1" w:styleId="249">
    <w:name w:val="xl33"/>
    <w:basedOn w:val="1"/>
    <w:qFormat/>
    <w:uiPriority w:val="99"/>
    <w:pPr>
      <w:widowControl/>
      <w:pBdr>
        <w:top w:val="single" w:color="auto" w:sz="8" w:space="0"/>
        <w:bottom w:val="single" w:color="auto" w:sz="8" w:space="0"/>
      </w:pBdr>
      <w:spacing w:before="100" w:beforeAutospacing="1" w:after="100" w:afterAutospacing="1"/>
      <w:jc w:val="right"/>
      <w:textAlignment w:val="bottom"/>
    </w:pPr>
    <w:rPr>
      <w:rFonts w:ascii="宋体" w:hAnsi="宋体"/>
      <w:b/>
      <w:bCs/>
      <w:kern w:val="0"/>
      <w:sz w:val="24"/>
      <w:szCs w:val="24"/>
    </w:rPr>
  </w:style>
  <w:style w:type="paragraph" w:customStyle="1" w:styleId="250">
    <w:name w:val="Main Title"/>
    <w:basedOn w:val="1"/>
    <w:qFormat/>
    <w:uiPriority w:val="99"/>
    <w:pPr>
      <w:spacing w:before="480" w:afterLines="50"/>
      <w:jc w:val="center"/>
    </w:pPr>
    <w:rPr>
      <w:rFonts w:ascii="宋体"/>
      <w:b/>
      <w:kern w:val="28"/>
      <w:sz w:val="32"/>
    </w:rPr>
  </w:style>
  <w:style w:type="paragraph" w:customStyle="1" w:styleId="251">
    <w:name w:val="xl48"/>
    <w:basedOn w:val="1"/>
    <w:qFormat/>
    <w:uiPriority w:val="99"/>
    <w:pPr>
      <w:widowControl/>
      <w:pBdr>
        <w:top w:val="single" w:color="auto" w:sz="4" w:space="0"/>
        <w:bottom w:val="single" w:color="auto" w:sz="4" w:space="0"/>
        <w:right w:val="single" w:color="auto" w:sz="4" w:space="0"/>
      </w:pBdr>
      <w:spacing w:before="100" w:beforeAutospacing="1" w:after="100" w:afterAutospacing="1"/>
      <w:jc w:val="left"/>
    </w:pPr>
    <w:rPr>
      <w:rFonts w:ascii="Helv" w:hAnsi="Helv"/>
      <w:kern w:val="0"/>
      <w:sz w:val="20"/>
    </w:rPr>
  </w:style>
  <w:style w:type="paragraph" w:customStyle="1" w:styleId="252">
    <w:name w:val="Char Char Char Char1 Char Char1"/>
    <w:basedOn w:val="1"/>
    <w:qFormat/>
    <w:uiPriority w:val="99"/>
    <w:pPr>
      <w:widowControl/>
      <w:spacing w:after="160" w:line="240" w:lineRule="exact"/>
      <w:jc w:val="left"/>
    </w:pPr>
    <w:rPr>
      <w:rFonts w:ascii="Verdana" w:hAnsi="Verdana"/>
      <w:kern w:val="0"/>
      <w:sz w:val="20"/>
      <w:lang w:eastAsia="en-US"/>
    </w:rPr>
  </w:style>
  <w:style w:type="paragraph" w:customStyle="1" w:styleId="253">
    <w:name w:val="xl29"/>
    <w:basedOn w:val="1"/>
    <w:qFormat/>
    <w:uiPriority w:val="99"/>
    <w:pPr>
      <w:widowControl/>
      <w:pBdr>
        <w:bottom w:val="single" w:color="auto" w:sz="8" w:space="0"/>
      </w:pBdr>
      <w:spacing w:before="100" w:beforeAutospacing="1" w:after="100" w:afterAutospacing="1"/>
      <w:jc w:val="left"/>
      <w:textAlignment w:val="bottom"/>
    </w:pPr>
    <w:rPr>
      <w:rFonts w:ascii="宋体" w:hAnsi="宋体"/>
      <w:b/>
      <w:bCs/>
      <w:kern w:val="0"/>
      <w:sz w:val="24"/>
      <w:szCs w:val="24"/>
    </w:rPr>
  </w:style>
  <w:style w:type="paragraph" w:customStyle="1" w:styleId="254">
    <w:name w:val="font12"/>
    <w:basedOn w:val="1"/>
    <w:qFormat/>
    <w:uiPriority w:val="99"/>
    <w:pPr>
      <w:widowControl/>
      <w:spacing w:before="100" w:beforeAutospacing="1" w:after="100" w:afterAutospacing="1"/>
      <w:jc w:val="left"/>
    </w:pPr>
    <w:rPr>
      <w:kern w:val="0"/>
      <w:sz w:val="20"/>
    </w:rPr>
  </w:style>
  <w:style w:type="paragraph" w:customStyle="1" w:styleId="255">
    <w:name w:val="封面标准文稿编辑信息"/>
    <w:qFormat/>
    <w:uiPriority w:val="99"/>
    <w:pPr>
      <w:spacing w:before="180" w:line="180" w:lineRule="exact"/>
      <w:jc w:val="center"/>
    </w:pPr>
    <w:rPr>
      <w:rFonts w:ascii="宋体" w:hAnsi="Times New Roman" w:eastAsia="宋体" w:cs="Times New Roman"/>
      <w:sz w:val="21"/>
      <w:lang w:val="en-US" w:eastAsia="zh-CN" w:bidi="ar-SA"/>
    </w:rPr>
  </w:style>
  <w:style w:type="paragraph" w:customStyle="1" w:styleId="256">
    <w:name w:val="S4-L15-No"/>
    <w:basedOn w:val="257"/>
    <w:qFormat/>
    <w:uiPriority w:val="99"/>
    <w:pPr>
      <w:tabs>
        <w:tab w:val="left" w:pos="720"/>
      </w:tabs>
      <w:ind w:hanging="720"/>
    </w:pPr>
  </w:style>
  <w:style w:type="paragraph" w:customStyle="1" w:styleId="257">
    <w:name w:val="S4-L15"/>
    <w:basedOn w:val="1"/>
    <w:qFormat/>
    <w:uiPriority w:val="99"/>
    <w:pPr>
      <w:spacing w:after="120" w:line="360" w:lineRule="auto"/>
      <w:ind w:left="720" w:firstLine="392"/>
    </w:pPr>
    <w:rPr>
      <w:szCs w:val="21"/>
      <w:lang w:val="fr-FR"/>
    </w:rPr>
  </w:style>
  <w:style w:type="paragraph" w:customStyle="1" w:styleId="258">
    <w:name w:val="Body"/>
    <w:basedOn w:val="1"/>
    <w:qFormat/>
    <w:uiPriority w:val="99"/>
    <w:pPr>
      <w:widowControl/>
      <w:spacing w:before="120" w:afterLines="50"/>
    </w:pPr>
    <w:rPr>
      <w:rFonts w:ascii="宋体"/>
      <w:kern w:val="0"/>
    </w:rPr>
  </w:style>
  <w:style w:type="paragraph" w:customStyle="1" w:styleId="259">
    <w:name w:val="Proposals body"/>
    <w:basedOn w:val="1"/>
    <w:next w:val="1"/>
    <w:qFormat/>
    <w:uiPriority w:val="99"/>
    <w:pPr>
      <w:widowControl/>
      <w:spacing w:line="360" w:lineRule="auto"/>
      <w:jc w:val="left"/>
    </w:pPr>
    <w:rPr>
      <w:rFonts w:ascii="宋体"/>
      <w:color w:val="000000"/>
      <w:kern w:val="0"/>
      <w:sz w:val="24"/>
    </w:rPr>
  </w:style>
  <w:style w:type="paragraph" w:customStyle="1" w:styleId="260">
    <w:name w:val="样式　标题4"/>
    <w:basedOn w:val="261"/>
    <w:next w:val="1"/>
    <w:qFormat/>
    <w:uiPriority w:val="99"/>
    <w:pPr>
      <w:numPr>
        <w:ilvl w:val="2"/>
        <w:numId w:val="4"/>
      </w:numPr>
    </w:pPr>
  </w:style>
  <w:style w:type="paragraph" w:customStyle="1" w:styleId="261">
    <w:name w:val="样式 标题 4Chapter X.X.X. + 段后: 0.5 行1"/>
    <w:basedOn w:val="8"/>
    <w:next w:val="8"/>
    <w:qFormat/>
    <w:uiPriority w:val="99"/>
    <w:pPr>
      <w:keepLines w:val="0"/>
      <w:spacing w:before="120" w:afterLines="50" w:line="240" w:lineRule="auto"/>
      <w:ind w:left="425" w:hanging="425"/>
      <w:jc w:val="left"/>
    </w:pPr>
    <w:rPr>
      <w:rFonts w:ascii="宋体" w:hAnsi="Times New Roman" w:cs="宋体"/>
      <w:sz w:val="21"/>
    </w:rPr>
  </w:style>
  <w:style w:type="paragraph" w:customStyle="1" w:styleId="262">
    <w:name w:val="IBM 正文"/>
    <w:basedOn w:val="1"/>
    <w:qFormat/>
    <w:uiPriority w:val="99"/>
    <w:pPr>
      <w:spacing w:line="360" w:lineRule="atLeast"/>
    </w:pPr>
    <w:rPr>
      <w:sz w:val="24"/>
    </w:rPr>
  </w:style>
  <w:style w:type="paragraph" w:customStyle="1" w:styleId="263">
    <w:name w:val="普通正文"/>
    <w:basedOn w:val="1"/>
    <w:qFormat/>
    <w:uiPriority w:val="99"/>
    <w:pPr>
      <w:tabs>
        <w:tab w:val="left" w:pos="360"/>
      </w:tabs>
      <w:spacing w:line="360" w:lineRule="auto"/>
      <w:ind w:firstLine="720" w:firstLineChars="225"/>
    </w:pPr>
    <w:rPr>
      <w:rFonts w:ascii="仿宋_GB2312" w:hAnsi="宋体" w:eastAsia="仿宋_GB2312"/>
      <w:iCs/>
      <w:sz w:val="32"/>
      <w:szCs w:val="32"/>
    </w:rPr>
  </w:style>
  <w:style w:type="paragraph" w:customStyle="1" w:styleId="264">
    <w:name w:val="Char2"/>
    <w:basedOn w:val="1"/>
    <w:qFormat/>
    <w:uiPriority w:val="99"/>
  </w:style>
  <w:style w:type="paragraph" w:customStyle="1" w:styleId="265">
    <w:name w:val="样式 样式3 + 宋体 五号 Char Char Char"/>
    <w:basedOn w:val="1"/>
    <w:qFormat/>
    <w:uiPriority w:val="99"/>
    <w:pPr>
      <w:keepNext/>
      <w:keepLines/>
      <w:tabs>
        <w:tab w:val="left" w:pos="1050"/>
      </w:tabs>
      <w:ind w:left="1050" w:hanging="450"/>
      <w:jc w:val="left"/>
      <w:outlineLvl w:val="7"/>
    </w:pPr>
    <w:rPr>
      <w:rFonts w:ascii="宋体" w:hAnsi="宋体"/>
      <w:b/>
      <w:bCs/>
      <w:szCs w:val="24"/>
    </w:rPr>
  </w:style>
  <w:style w:type="paragraph" w:customStyle="1" w:styleId="266">
    <w:name w:val="样式 左侧:  1 厘米 段后: 0.5 行"/>
    <w:basedOn w:val="1"/>
    <w:qFormat/>
    <w:uiPriority w:val="99"/>
    <w:pPr>
      <w:spacing w:afterLines="50"/>
      <w:ind w:firstLine="425"/>
      <w:jc w:val="left"/>
    </w:pPr>
    <w:rPr>
      <w:rFonts w:ascii="宋体" w:cs="宋体"/>
      <w:kern w:val="0"/>
    </w:rPr>
  </w:style>
  <w:style w:type="paragraph" w:customStyle="1" w:styleId="267">
    <w:name w:val="样式 样式 样式 标题 3Chapter X.X.X. + 段后: 0.5 行 + 段后: 0.5 行 + 段后: 0.5 行"/>
    <w:basedOn w:val="237"/>
    <w:qFormat/>
    <w:uiPriority w:val="99"/>
    <w:pPr>
      <w:spacing w:afterLines="0"/>
    </w:pPr>
  </w:style>
  <w:style w:type="paragraph" w:customStyle="1" w:styleId="268">
    <w:name w:val="List Paragraph2"/>
    <w:basedOn w:val="1"/>
    <w:link w:val="307"/>
    <w:qFormat/>
    <w:uiPriority w:val="99"/>
    <w:pPr>
      <w:ind w:firstLine="420" w:firstLineChars="200"/>
    </w:pPr>
    <w:rPr>
      <w:rFonts w:ascii="Calibri" w:hAnsi="Calibri"/>
      <w:sz w:val="22"/>
    </w:rPr>
  </w:style>
  <w:style w:type="paragraph" w:customStyle="1" w:styleId="269">
    <w:name w:val="S4-I-L15-U"/>
    <w:basedOn w:val="1"/>
    <w:qFormat/>
    <w:uiPriority w:val="99"/>
    <w:pPr>
      <w:spacing w:line="360" w:lineRule="auto"/>
    </w:pPr>
    <w:rPr>
      <w:b/>
      <w:i/>
      <w:sz w:val="24"/>
      <w:szCs w:val="24"/>
      <w:u w:val="single"/>
    </w:rPr>
  </w:style>
  <w:style w:type="paragraph" w:customStyle="1" w:styleId="270">
    <w:name w:val="xl2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szCs w:val="24"/>
    </w:rPr>
  </w:style>
  <w:style w:type="paragraph" w:customStyle="1" w:styleId="271">
    <w:name w:val="样式 标题 4Chapter X.X.X. + 段后: 0.5 行1 + 段后: 0.5 行"/>
    <w:basedOn w:val="261"/>
    <w:qFormat/>
    <w:uiPriority w:val="99"/>
    <w:rPr>
      <w:szCs w:val="21"/>
    </w:rPr>
  </w:style>
  <w:style w:type="paragraph" w:customStyle="1" w:styleId="272">
    <w:name w:val="正文 + 小四"/>
    <w:basedOn w:val="1"/>
    <w:qFormat/>
    <w:uiPriority w:val="99"/>
    <w:pPr>
      <w:jc w:val="center"/>
    </w:pPr>
    <w:rPr>
      <w:sz w:val="24"/>
      <w:szCs w:val="24"/>
    </w:rPr>
  </w:style>
  <w:style w:type="paragraph" w:customStyle="1" w:styleId="273">
    <w:name w:val="样式 标题 3Chapter X.X.X. + 五号 段后: 0.5 行"/>
    <w:basedOn w:val="7"/>
    <w:qFormat/>
    <w:uiPriority w:val="99"/>
    <w:pPr>
      <w:keepNext/>
      <w:numPr>
        <w:numId w:val="0"/>
      </w:numPr>
      <w:autoSpaceDE/>
      <w:autoSpaceDN/>
      <w:adjustRightInd/>
      <w:spacing w:before="120" w:afterLines="50" w:line="240" w:lineRule="auto"/>
      <w:jc w:val="left"/>
      <w:textAlignment w:val="auto"/>
    </w:pPr>
    <w:rPr>
      <w:rFonts w:ascii="宋体" w:eastAsia="宋体" w:cs="宋体"/>
      <w:bCs/>
      <w:color w:val="auto"/>
      <w:sz w:val="21"/>
    </w:rPr>
  </w:style>
  <w:style w:type="paragraph" w:customStyle="1" w:styleId="274">
    <w:name w:val="正文 + 宋体"/>
    <w:basedOn w:val="1"/>
    <w:qFormat/>
    <w:uiPriority w:val="99"/>
    <w:pPr>
      <w:spacing w:line="660" w:lineRule="exact"/>
    </w:pPr>
    <w:rPr>
      <w:rFonts w:ascii="宋体" w:hAnsi="宋体"/>
      <w:color w:val="000000"/>
      <w:sz w:val="24"/>
      <w:szCs w:val="24"/>
    </w:rPr>
  </w:style>
  <w:style w:type="paragraph" w:customStyle="1" w:styleId="275">
    <w:name w:val="符号列表"/>
    <w:basedOn w:val="1"/>
    <w:qFormat/>
    <w:uiPriority w:val="99"/>
    <w:pPr>
      <w:widowControl/>
      <w:numPr>
        <w:ilvl w:val="0"/>
        <w:numId w:val="8"/>
      </w:numPr>
      <w:snapToGrid w:val="0"/>
      <w:spacing w:before="120" w:line="360" w:lineRule="auto"/>
      <w:jc w:val="left"/>
    </w:pPr>
    <w:rPr>
      <w:rFonts w:ascii="楷体_GB2312" w:hAnsi="宋体" w:eastAsia="楷体_GB2312"/>
      <w:b/>
      <w:color w:val="000000"/>
      <w:sz w:val="24"/>
      <w:szCs w:val="24"/>
    </w:rPr>
  </w:style>
  <w:style w:type="paragraph" w:customStyle="1" w:styleId="276">
    <w:name w:val="xl31"/>
    <w:basedOn w:val="1"/>
    <w:qFormat/>
    <w:uiPriority w:val="99"/>
    <w:pPr>
      <w:widowControl/>
      <w:pBdr>
        <w:top w:val="single" w:color="auto" w:sz="8" w:space="0"/>
        <w:bottom w:val="single" w:color="auto" w:sz="8" w:space="0"/>
      </w:pBdr>
      <w:spacing w:before="100" w:beforeAutospacing="1" w:after="100" w:afterAutospacing="1"/>
      <w:jc w:val="left"/>
      <w:textAlignment w:val="bottom"/>
    </w:pPr>
    <w:rPr>
      <w:rFonts w:ascii="宋体" w:hAnsi="宋体"/>
      <w:b/>
      <w:bCs/>
      <w:kern w:val="0"/>
      <w:sz w:val="24"/>
      <w:szCs w:val="24"/>
    </w:rPr>
  </w:style>
  <w:style w:type="paragraph" w:customStyle="1" w:styleId="277">
    <w:name w:val="Style-正文"/>
    <w:basedOn w:val="1"/>
    <w:qFormat/>
    <w:uiPriority w:val="99"/>
    <w:pPr>
      <w:spacing w:line="360" w:lineRule="auto"/>
      <w:ind w:firstLine="420"/>
    </w:pPr>
    <w:rPr>
      <w:rFonts w:ascii="宋体" w:hAnsi="宋体"/>
      <w:sz w:val="24"/>
      <w:szCs w:val="24"/>
    </w:rPr>
  </w:style>
  <w:style w:type="paragraph" w:customStyle="1" w:styleId="278">
    <w:name w:val="表内文字"/>
    <w:basedOn w:val="1"/>
    <w:qFormat/>
    <w:uiPriority w:val="99"/>
    <w:pPr>
      <w:tabs>
        <w:tab w:val="left" w:pos="3060"/>
      </w:tabs>
      <w:spacing w:line="400" w:lineRule="atLeast"/>
    </w:pPr>
    <w:rPr>
      <w:rFonts w:ascii="仿宋_GB2312" w:eastAsia="仿宋_GB2312"/>
      <w:b/>
      <w:bCs/>
      <w:sz w:val="24"/>
      <w:szCs w:val="24"/>
    </w:rPr>
  </w:style>
  <w:style w:type="paragraph" w:customStyle="1" w:styleId="279">
    <w:name w:val="Bullet2"/>
    <w:basedOn w:val="1"/>
    <w:qFormat/>
    <w:uiPriority w:val="99"/>
    <w:pPr>
      <w:spacing w:afterLines="50"/>
      <w:ind w:left="1440" w:hanging="360"/>
      <w:jc w:val="left"/>
    </w:pPr>
    <w:rPr>
      <w:rFonts w:ascii="宋体"/>
      <w:color w:val="000080"/>
      <w:kern w:val="0"/>
    </w:rPr>
  </w:style>
  <w:style w:type="paragraph" w:customStyle="1" w:styleId="280">
    <w:name w:val="样式 标题 3Chapter X.X.X. + 段后: 0.5 行1"/>
    <w:basedOn w:val="7"/>
    <w:next w:val="1"/>
    <w:qFormat/>
    <w:uiPriority w:val="99"/>
    <w:pPr>
      <w:keepNext/>
      <w:numPr>
        <w:numId w:val="0"/>
      </w:numPr>
      <w:autoSpaceDE/>
      <w:autoSpaceDN/>
      <w:adjustRightInd/>
      <w:spacing w:before="120" w:afterLines="50" w:line="240" w:lineRule="auto"/>
      <w:jc w:val="left"/>
      <w:textAlignment w:val="auto"/>
    </w:pPr>
    <w:rPr>
      <w:rFonts w:ascii="宋体" w:eastAsia="宋体" w:cs="宋体"/>
      <w:bCs/>
      <w:color w:val="auto"/>
      <w:sz w:val="24"/>
    </w:rPr>
  </w:style>
  <w:style w:type="paragraph" w:customStyle="1" w:styleId="281">
    <w:name w:val="font10"/>
    <w:basedOn w:val="1"/>
    <w:qFormat/>
    <w:uiPriority w:val="99"/>
    <w:pPr>
      <w:widowControl/>
      <w:spacing w:before="100" w:beforeAutospacing="1" w:after="100" w:afterAutospacing="1"/>
      <w:jc w:val="left"/>
    </w:pPr>
    <w:rPr>
      <w:rFonts w:ascii="宋体" w:hAnsi="宋体"/>
      <w:b/>
      <w:bCs/>
      <w:kern w:val="0"/>
      <w:sz w:val="24"/>
      <w:szCs w:val="24"/>
    </w:rPr>
  </w:style>
  <w:style w:type="paragraph" w:customStyle="1" w:styleId="282">
    <w:name w:val="Char Char Char Char"/>
    <w:basedOn w:val="1"/>
    <w:qFormat/>
    <w:uiPriority w:val="99"/>
    <w:pPr>
      <w:widowControl/>
      <w:spacing w:after="160" w:line="240" w:lineRule="exact"/>
      <w:jc w:val="left"/>
    </w:pPr>
    <w:rPr>
      <w:rFonts w:ascii="Verdana" w:hAnsi="Verdana"/>
      <w:kern w:val="0"/>
      <w:sz w:val="20"/>
      <w:lang w:eastAsia="en-US"/>
    </w:rPr>
  </w:style>
  <w:style w:type="paragraph" w:customStyle="1" w:styleId="283">
    <w:name w:val="Tabletext"/>
    <w:basedOn w:val="1"/>
    <w:qFormat/>
    <w:uiPriority w:val="99"/>
    <w:pPr>
      <w:keepLines/>
      <w:spacing w:afterLines="50"/>
      <w:jc w:val="left"/>
    </w:pPr>
    <w:rPr>
      <w:rFonts w:ascii="宋体"/>
      <w:kern w:val="0"/>
    </w:rPr>
  </w:style>
  <w:style w:type="paragraph" w:customStyle="1" w:styleId="284">
    <w:name w:val="Char3 Char Char Char"/>
    <w:basedOn w:val="1"/>
    <w:qFormat/>
    <w:uiPriority w:val="99"/>
    <w:pPr>
      <w:widowControl/>
      <w:spacing w:after="160" w:line="240" w:lineRule="exact"/>
      <w:jc w:val="left"/>
    </w:pPr>
  </w:style>
  <w:style w:type="paragraph" w:customStyle="1" w:styleId="285">
    <w:name w:val="不可偏离参数"/>
    <w:basedOn w:val="9"/>
    <w:qFormat/>
    <w:uiPriority w:val="99"/>
    <w:pPr>
      <w:tabs>
        <w:tab w:val="left" w:pos="630"/>
      </w:tabs>
      <w:spacing w:before="0" w:after="0" w:line="240" w:lineRule="auto"/>
    </w:pPr>
    <w:rPr>
      <w:rFonts w:eastAsia="黑体"/>
      <w:sz w:val="24"/>
    </w:rPr>
  </w:style>
  <w:style w:type="paragraph" w:customStyle="1" w:styleId="286">
    <w:name w:val="样式 标题 3(A-3)sect1.2.3h3H3level_3PIM 3Level 3 HeadHeading..."/>
    <w:basedOn w:val="7"/>
    <w:qFormat/>
    <w:uiPriority w:val="99"/>
    <w:pPr>
      <w:keepNext/>
      <w:keepLines/>
      <w:numPr>
        <w:numId w:val="0"/>
      </w:numPr>
      <w:autoSpaceDE/>
      <w:autoSpaceDN/>
      <w:adjustRightInd/>
      <w:spacing w:before="260" w:after="260" w:line="416" w:lineRule="auto"/>
      <w:textAlignment w:val="auto"/>
    </w:pPr>
    <w:rPr>
      <w:rFonts w:ascii="Arial" w:hAnsi="Arial" w:eastAsia="宋体"/>
      <w:bCs/>
      <w:color w:val="auto"/>
      <w:kern w:val="2"/>
      <w:sz w:val="30"/>
      <w:szCs w:val="32"/>
    </w:rPr>
  </w:style>
  <w:style w:type="paragraph" w:customStyle="1" w:styleId="287">
    <w:name w:val="样式 标题 1 + 五号1 Char Char Char Char Char Char Char Char Char Char Char Char Char Char Char Char Char"/>
    <w:basedOn w:val="5"/>
    <w:qFormat/>
    <w:uiPriority w:val="99"/>
    <w:pPr>
      <w:numPr>
        <w:numId w:val="0"/>
      </w:numPr>
      <w:autoSpaceDE/>
      <w:autoSpaceDN/>
      <w:adjustRightInd/>
      <w:spacing w:before="0" w:after="0" w:line="480" w:lineRule="auto"/>
      <w:jc w:val="both"/>
      <w:textAlignment w:val="auto"/>
    </w:pPr>
    <w:rPr>
      <w:rFonts w:ascii="Times New Roman" w:hAnsi="Times New Roman" w:eastAsia="宋体"/>
      <w:bCs/>
      <w:color w:val="auto"/>
      <w:sz w:val="21"/>
      <w:szCs w:val="44"/>
    </w:rPr>
  </w:style>
  <w:style w:type="paragraph" w:customStyle="1" w:styleId="288">
    <w:name w:val="S4-B-L15"/>
    <w:basedOn w:val="1"/>
    <w:qFormat/>
    <w:uiPriority w:val="99"/>
    <w:pPr>
      <w:spacing w:line="360" w:lineRule="auto"/>
    </w:pPr>
    <w:rPr>
      <w:b/>
      <w:bCs/>
      <w:sz w:val="24"/>
      <w:szCs w:val="24"/>
    </w:rPr>
  </w:style>
  <w:style w:type="paragraph" w:customStyle="1" w:styleId="289">
    <w:name w:val="样式2"/>
    <w:basedOn w:val="6"/>
    <w:qFormat/>
    <w:uiPriority w:val="99"/>
    <w:pPr>
      <w:numPr>
        <w:numId w:val="0"/>
      </w:numPr>
      <w:tabs>
        <w:tab w:val="left" w:pos="600"/>
      </w:tabs>
      <w:ind w:left="600" w:hanging="600"/>
    </w:pPr>
    <w:rPr>
      <w:rFonts w:eastAsia="宋体"/>
    </w:rPr>
  </w:style>
  <w:style w:type="paragraph" w:customStyle="1" w:styleId="290">
    <w:name w:val="标题1"/>
    <w:basedOn w:val="26"/>
    <w:qFormat/>
    <w:uiPriority w:val="99"/>
    <w:pPr>
      <w:widowControl w:val="0"/>
      <w:overflowPunct/>
      <w:autoSpaceDE/>
      <w:autoSpaceDN/>
      <w:adjustRightInd/>
      <w:spacing w:line="360" w:lineRule="auto"/>
      <w:jc w:val="both"/>
      <w:textAlignment w:val="auto"/>
    </w:pPr>
    <w:rPr>
      <w:b/>
      <w:kern w:val="2"/>
      <w:sz w:val="30"/>
    </w:rPr>
  </w:style>
  <w:style w:type="paragraph" w:customStyle="1" w:styleId="291">
    <w:name w:val="font11"/>
    <w:basedOn w:val="1"/>
    <w:qFormat/>
    <w:uiPriority w:val="99"/>
    <w:pPr>
      <w:widowControl/>
      <w:spacing w:before="100" w:beforeAutospacing="1" w:after="100" w:afterAutospacing="1"/>
      <w:jc w:val="left"/>
    </w:pPr>
    <w:rPr>
      <w:b/>
      <w:bCs/>
      <w:kern w:val="0"/>
      <w:sz w:val="24"/>
      <w:szCs w:val="24"/>
    </w:rPr>
  </w:style>
  <w:style w:type="paragraph" w:customStyle="1" w:styleId="292">
    <w:name w:val="样式 样式 正文文本缩进 + 仿宋_GB2312 小四 首行缩进:  0 厘米 行距: 1.5 倍行距 + (中文) 仿宋_GB... Char Char"/>
    <w:basedOn w:val="152"/>
    <w:qFormat/>
    <w:uiPriority w:val="99"/>
    <w:pPr>
      <w:ind w:firstLine="480" w:firstLineChars="200"/>
    </w:pPr>
  </w:style>
  <w:style w:type="paragraph" w:customStyle="1" w:styleId="293">
    <w:name w:val="font7"/>
    <w:basedOn w:val="1"/>
    <w:qFormat/>
    <w:uiPriority w:val="99"/>
    <w:pPr>
      <w:widowControl/>
      <w:spacing w:before="100" w:beforeAutospacing="1" w:after="100" w:afterAutospacing="1"/>
      <w:jc w:val="left"/>
    </w:pPr>
    <w:rPr>
      <w:kern w:val="0"/>
      <w:sz w:val="20"/>
    </w:rPr>
  </w:style>
  <w:style w:type="paragraph" w:customStyle="1" w:styleId="294">
    <w:name w:val="S4-L15-C"/>
    <w:basedOn w:val="1"/>
    <w:qFormat/>
    <w:uiPriority w:val="99"/>
    <w:pPr>
      <w:spacing w:after="120" w:line="360" w:lineRule="auto"/>
      <w:jc w:val="center"/>
    </w:pPr>
    <w:rPr>
      <w:szCs w:val="21"/>
    </w:rPr>
  </w:style>
  <w:style w:type="paragraph" w:customStyle="1" w:styleId="295">
    <w:name w:val="P3"/>
    <w:basedOn w:val="1"/>
    <w:qFormat/>
    <w:uiPriority w:val="99"/>
    <w:pPr>
      <w:widowControl/>
      <w:spacing w:before="240" w:line="240" w:lineRule="atLeast"/>
      <w:ind w:left="1152"/>
      <w:jc w:val="left"/>
    </w:pPr>
    <w:rPr>
      <w:b/>
      <w:kern w:val="0"/>
      <w:szCs w:val="21"/>
      <w:lang w:val="en-AU" w:eastAsia="en-US"/>
    </w:rPr>
  </w:style>
  <w:style w:type="paragraph" w:customStyle="1" w:styleId="296">
    <w:name w:val="P2"/>
    <w:basedOn w:val="1"/>
    <w:qFormat/>
    <w:uiPriority w:val="99"/>
    <w:pPr>
      <w:widowControl/>
      <w:spacing w:before="240" w:line="240" w:lineRule="atLeast"/>
      <w:ind w:left="578"/>
      <w:jc w:val="left"/>
    </w:pPr>
    <w:rPr>
      <w:b/>
      <w:kern w:val="0"/>
      <w:szCs w:val="21"/>
      <w:lang w:val="en-AU" w:eastAsia="en-US"/>
    </w:rPr>
  </w:style>
  <w:style w:type="paragraph" w:customStyle="1" w:styleId="297">
    <w:name w:val="font8"/>
    <w:basedOn w:val="1"/>
    <w:qFormat/>
    <w:uiPriority w:val="99"/>
    <w:pPr>
      <w:widowControl/>
      <w:spacing w:before="100" w:beforeAutospacing="1" w:after="100" w:afterAutospacing="1"/>
      <w:jc w:val="left"/>
    </w:pPr>
    <w:rPr>
      <w:rFonts w:ascii="宋体" w:hAnsi="宋体"/>
      <w:kern w:val="0"/>
      <w:sz w:val="18"/>
      <w:szCs w:val="18"/>
    </w:rPr>
  </w:style>
  <w:style w:type="paragraph" w:customStyle="1" w:styleId="298">
    <w:name w:val="Char Char Char Char1"/>
    <w:basedOn w:val="1"/>
    <w:qFormat/>
    <w:uiPriority w:val="99"/>
    <w:pPr>
      <w:widowControl/>
      <w:spacing w:after="160" w:line="240" w:lineRule="exact"/>
      <w:jc w:val="left"/>
    </w:pPr>
  </w:style>
  <w:style w:type="paragraph" w:customStyle="1" w:styleId="299">
    <w:name w:val="正文 New New New New New New New New New New New New New"/>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00">
    <w:name w:val="_Style 274"/>
    <w:basedOn w:val="1"/>
    <w:next w:val="1"/>
    <w:qFormat/>
    <w:uiPriority w:val="99"/>
    <w:pPr>
      <w:pBdr>
        <w:bottom w:val="single" w:color="auto" w:sz="6" w:space="1"/>
      </w:pBdr>
      <w:jc w:val="center"/>
    </w:pPr>
    <w:rPr>
      <w:rFonts w:ascii="Arial"/>
      <w:vanish/>
      <w:sz w:val="16"/>
    </w:rPr>
  </w:style>
  <w:style w:type="paragraph" w:customStyle="1" w:styleId="301">
    <w:name w:val="_Style 275"/>
    <w:basedOn w:val="1"/>
    <w:next w:val="1"/>
    <w:qFormat/>
    <w:uiPriority w:val="99"/>
    <w:pPr>
      <w:pBdr>
        <w:top w:val="single" w:color="auto" w:sz="6" w:space="1"/>
      </w:pBdr>
      <w:jc w:val="center"/>
    </w:pPr>
    <w:rPr>
      <w:rFonts w:ascii="Arial"/>
      <w:vanish/>
      <w:sz w:val="16"/>
    </w:rPr>
  </w:style>
  <w:style w:type="paragraph" w:customStyle="1" w:styleId="302">
    <w:name w:val="列出段落1"/>
    <w:basedOn w:val="1"/>
    <w:qFormat/>
    <w:uiPriority w:val="99"/>
    <w:pPr>
      <w:ind w:firstLine="420" w:firstLineChars="200"/>
    </w:pPr>
  </w:style>
  <w:style w:type="character" w:customStyle="1" w:styleId="303">
    <w:name w:val="lemmatitleh11"/>
    <w:qFormat/>
    <w:uiPriority w:val="99"/>
  </w:style>
  <w:style w:type="character" w:customStyle="1" w:styleId="304">
    <w:name w:val="无"/>
    <w:qFormat/>
    <w:uiPriority w:val="99"/>
  </w:style>
  <w:style w:type="paragraph" w:customStyle="1" w:styleId="305">
    <w:name w:val="样式 首行缩进:  0 字符"/>
    <w:basedOn w:val="1"/>
    <w:link w:val="306"/>
    <w:qFormat/>
    <w:uiPriority w:val="99"/>
    <w:pPr>
      <w:spacing w:line="360" w:lineRule="auto"/>
      <w:ind w:firstLine="200" w:firstLineChars="200"/>
    </w:pPr>
    <w:rPr>
      <w:sz w:val="24"/>
    </w:rPr>
  </w:style>
  <w:style w:type="character" w:customStyle="1" w:styleId="306">
    <w:name w:val="样式 首行缩进:  0 字符 Char"/>
    <w:link w:val="305"/>
    <w:qFormat/>
    <w:locked/>
    <w:uiPriority w:val="99"/>
    <w:rPr>
      <w:rFonts w:ascii="Times New Roman" w:hAnsi="Times New Roman"/>
      <w:kern w:val="2"/>
      <w:sz w:val="24"/>
    </w:rPr>
  </w:style>
  <w:style w:type="character" w:customStyle="1" w:styleId="307">
    <w:name w:val="列出段落 Char"/>
    <w:link w:val="268"/>
    <w:qFormat/>
    <w:locked/>
    <w:uiPriority w:val="99"/>
    <w:rPr>
      <w:kern w:val="2"/>
      <w:sz w:val="22"/>
    </w:rPr>
  </w:style>
  <w:style w:type="character" w:customStyle="1" w:styleId="308">
    <w:name w:val="ABC - 正文列表 Char"/>
    <w:link w:val="309"/>
    <w:qFormat/>
    <w:locked/>
    <w:uiPriority w:val="99"/>
    <w:rPr>
      <w:rFonts w:ascii="Cambria" w:hAnsi="Cambria"/>
      <w:kern w:val="2"/>
      <w:sz w:val="22"/>
    </w:rPr>
  </w:style>
  <w:style w:type="paragraph" w:customStyle="1" w:styleId="309">
    <w:name w:val="ABC - 正文列表"/>
    <w:basedOn w:val="1"/>
    <w:link w:val="308"/>
    <w:qFormat/>
    <w:uiPriority w:val="99"/>
    <w:pPr>
      <w:widowControl/>
      <w:spacing w:afterLines="50" w:line="300" w:lineRule="auto"/>
      <w:ind w:left="840" w:hanging="420" w:firstLineChars="200"/>
      <w:jc w:val="left"/>
    </w:pPr>
    <w:rPr>
      <w:rFonts w:ascii="Cambria" w:hAnsi="Cambria"/>
      <w:sz w:val="22"/>
    </w:rPr>
  </w:style>
  <w:style w:type="paragraph" w:customStyle="1" w:styleId="310">
    <w:name w:val="GP正文(首行缩进)"/>
    <w:basedOn w:val="1"/>
    <w:qFormat/>
    <w:uiPriority w:val="99"/>
    <w:pPr>
      <w:spacing w:line="360" w:lineRule="auto"/>
      <w:ind w:firstLine="200" w:firstLineChars="200"/>
      <w:jc w:val="left"/>
    </w:pPr>
    <w:rPr>
      <w:sz w:val="24"/>
      <w:szCs w:val="21"/>
    </w:rPr>
  </w:style>
  <w:style w:type="paragraph" w:customStyle="1" w:styleId="311">
    <w:name w:val="hik 正文"/>
    <w:basedOn w:val="1"/>
    <w:qFormat/>
    <w:uiPriority w:val="99"/>
    <w:pPr>
      <w:spacing w:line="360" w:lineRule="auto"/>
      <w:ind w:firstLine="480" w:firstLineChars="200"/>
    </w:pPr>
    <w:rPr>
      <w:kern w:val="0"/>
      <w:sz w:val="24"/>
      <w:szCs w:val="24"/>
    </w:rPr>
  </w:style>
  <w:style w:type="paragraph" w:customStyle="1" w:styleId="312">
    <w:name w:val="纯文本1"/>
    <w:basedOn w:val="1"/>
    <w:qFormat/>
    <w:uiPriority w:val="99"/>
    <w:pPr>
      <w:widowControl/>
      <w:overflowPunct w:val="0"/>
      <w:autoSpaceDE w:val="0"/>
      <w:autoSpaceDN w:val="0"/>
      <w:adjustRightInd w:val="0"/>
      <w:jc w:val="left"/>
      <w:textAlignment w:val="baseline"/>
    </w:pPr>
    <w:rPr>
      <w:rFonts w:ascii="宋体" w:hAnsi="Courier New"/>
      <w:szCs w:val="21"/>
    </w:rPr>
  </w:style>
  <w:style w:type="paragraph" w:customStyle="1" w:styleId="313">
    <w:name w:val="_Style 48"/>
    <w:basedOn w:val="1"/>
    <w:qFormat/>
    <w:uiPriority w:val="99"/>
    <w:rPr>
      <w:rFonts w:ascii="仿宋_GB2312" w:hAnsi="Calibri" w:eastAsia="仿宋_GB2312"/>
      <w:b/>
      <w:sz w:val="32"/>
      <w:szCs w:val="32"/>
    </w:rPr>
  </w:style>
  <w:style w:type="character" w:customStyle="1" w:styleId="314">
    <w:name w:val="fontstyle01"/>
    <w:qFormat/>
    <w:uiPriority w:val="99"/>
    <w:rPr>
      <w:rFonts w:ascii="宋体" w:hAnsi="宋体" w:eastAsia="宋体"/>
      <w:color w:val="000000"/>
      <w:sz w:val="24"/>
    </w:rPr>
  </w:style>
  <w:style w:type="paragraph" w:customStyle="1" w:styleId="315">
    <w:name w:val="ABC - 正文"/>
    <w:qFormat/>
    <w:uiPriority w:val="99"/>
    <w:pPr>
      <w:spacing w:afterLines="50" w:line="300" w:lineRule="auto"/>
      <w:ind w:firstLine="480" w:firstLineChars="200"/>
    </w:pPr>
    <w:rPr>
      <w:rFonts w:ascii="Cambria" w:hAnsi="Cambria" w:eastAsia="宋体" w:cs="Times New Roman"/>
      <w:kern w:val="2"/>
      <w:sz w:val="21"/>
      <w:szCs w:val="22"/>
      <w:lang w:val="en-US" w:eastAsia="zh-CN" w:bidi="ar-SA"/>
    </w:rPr>
  </w:style>
  <w:style w:type="paragraph" w:customStyle="1" w:styleId="316">
    <w:name w:val="正文一级小标题"/>
    <w:basedOn w:val="1"/>
    <w:next w:val="268"/>
    <w:qFormat/>
    <w:uiPriority w:val="99"/>
    <w:pPr>
      <w:ind w:firstLine="420" w:firstLineChars="200"/>
    </w:pPr>
    <w:rPr>
      <w:rFonts w:ascii="Calibri" w:hAnsi="Calibri"/>
      <w:szCs w:val="22"/>
    </w:rPr>
  </w:style>
  <w:style w:type="character" w:customStyle="1" w:styleId="317">
    <w:name w:val="fontstyle21"/>
    <w:qFormat/>
    <w:uiPriority w:val="99"/>
    <w:rPr>
      <w:rFonts w:ascii="Wingdings-Regular" w:hAnsi="Wingdings-Regular"/>
      <w:color w:val="000000"/>
      <w:sz w:val="24"/>
    </w:rPr>
  </w:style>
  <w:style w:type="paragraph" w:customStyle="1" w:styleId="318">
    <w:name w:val="A正文小四"/>
    <w:basedOn w:val="1"/>
    <w:qFormat/>
    <w:uiPriority w:val="99"/>
    <w:pPr>
      <w:spacing w:line="360" w:lineRule="auto"/>
      <w:ind w:firstLine="200" w:firstLineChars="200"/>
    </w:pPr>
    <w:rPr>
      <w:szCs w:val="24"/>
    </w:rPr>
  </w:style>
  <w:style w:type="paragraph" w:customStyle="1" w:styleId="319">
    <w:name w:val="正文首行缩进（绿盟科技）"/>
    <w:qFormat/>
    <w:uiPriority w:val="99"/>
    <w:pPr>
      <w:spacing w:after="50" w:line="300" w:lineRule="auto"/>
      <w:ind w:firstLine="200" w:firstLineChars="200"/>
    </w:pPr>
    <w:rPr>
      <w:rFonts w:ascii="Times New Roman" w:hAnsi="Times New Roman" w:eastAsia="宋体" w:cs="Times New Roman"/>
      <w:sz w:val="21"/>
      <w:szCs w:val="21"/>
      <w:lang w:val="en-US" w:eastAsia="zh-CN" w:bidi="ar-SA"/>
    </w:rPr>
  </w:style>
  <w:style w:type="paragraph" w:customStyle="1" w:styleId="320">
    <w:name w:val="模板正文"/>
    <w:basedOn w:val="1"/>
    <w:qFormat/>
    <w:uiPriority w:val="99"/>
    <w:pPr>
      <w:wordWrap w:val="0"/>
      <w:spacing w:line="360" w:lineRule="auto"/>
      <w:jc w:val="left"/>
    </w:pPr>
    <w:rPr>
      <w:sz w:val="22"/>
      <w:szCs w:val="21"/>
      <w:lang w:val="zh-CN"/>
    </w:rPr>
  </w:style>
  <w:style w:type="paragraph" w:customStyle="1" w:styleId="321">
    <w:name w:val="my正文"/>
    <w:basedOn w:val="1"/>
    <w:qFormat/>
    <w:uiPriority w:val="99"/>
    <w:pPr>
      <w:spacing w:line="360" w:lineRule="auto"/>
      <w:ind w:firstLine="200" w:firstLineChars="200"/>
    </w:pPr>
    <w:rPr>
      <w:rFonts w:eastAsia="仿宋"/>
      <w:kern w:val="0"/>
      <w:sz w:val="24"/>
    </w:rPr>
  </w:style>
  <w:style w:type="paragraph" w:customStyle="1" w:styleId="322">
    <w:name w:val="二级"/>
    <w:next w:val="323"/>
    <w:qFormat/>
    <w:uiPriority w:val="0"/>
    <w:pPr>
      <w:numPr>
        <w:ilvl w:val="1"/>
        <w:numId w:val="9"/>
      </w:numPr>
      <w:spacing w:beforeLines="50" w:afterLines="50" w:line="360" w:lineRule="auto"/>
      <w:jc w:val="both"/>
      <w:outlineLvl w:val="1"/>
    </w:pPr>
    <w:rPr>
      <w:rFonts w:ascii="Times New Roman" w:hAnsi="Times New Roman" w:eastAsia="宋体" w:cs="Times New Roman"/>
      <w:b/>
      <w:kern w:val="2"/>
      <w:sz w:val="32"/>
      <w:szCs w:val="22"/>
      <w:lang w:val="en-US" w:eastAsia="zh-CN" w:bidi="ar-SA"/>
    </w:rPr>
  </w:style>
  <w:style w:type="paragraph" w:customStyle="1" w:styleId="323">
    <w:name w:val="三级"/>
    <w:next w:val="324"/>
    <w:qFormat/>
    <w:uiPriority w:val="0"/>
    <w:pPr>
      <w:numPr>
        <w:ilvl w:val="2"/>
        <w:numId w:val="9"/>
      </w:numPr>
      <w:spacing w:beforeLines="50" w:afterLines="50" w:line="360" w:lineRule="auto"/>
      <w:jc w:val="both"/>
      <w:outlineLvl w:val="2"/>
    </w:pPr>
    <w:rPr>
      <w:rFonts w:ascii="Times New Roman" w:hAnsi="Times New Roman" w:eastAsiaTheme="minorEastAsia" w:cstheme="minorBidi"/>
      <w:b/>
      <w:kern w:val="2"/>
      <w:sz w:val="30"/>
      <w:szCs w:val="22"/>
      <w:lang w:val="en-US" w:eastAsia="zh-CN" w:bidi="ar-SA"/>
    </w:rPr>
  </w:style>
  <w:style w:type="paragraph" w:customStyle="1" w:styleId="324">
    <w:name w:val="四级"/>
    <w:next w:val="325"/>
    <w:qFormat/>
    <w:uiPriority w:val="0"/>
    <w:pPr>
      <w:numPr>
        <w:ilvl w:val="3"/>
        <w:numId w:val="9"/>
      </w:numPr>
      <w:spacing w:line="360" w:lineRule="auto"/>
      <w:jc w:val="both"/>
      <w:outlineLvl w:val="3"/>
    </w:pPr>
    <w:rPr>
      <w:rFonts w:ascii="Times New Roman" w:hAnsi="Times New Roman" w:eastAsia="宋体" w:cs="Times New Roman"/>
      <w:b/>
      <w:kern w:val="2"/>
      <w:sz w:val="28"/>
      <w:szCs w:val="22"/>
      <w:lang w:val="en-US" w:eastAsia="zh-CN" w:bidi="ar-SA"/>
    </w:rPr>
  </w:style>
  <w:style w:type="paragraph" w:customStyle="1" w:styleId="325">
    <w:name w:val="五级及以下"/>
    <w:qFormat/>
    <w:uiPriority w:val="0"/>
    <w:pPr>
      <w:numPr>
        <w:ilvl w:val="4"/>
        <w:numId w:val="9"/>
      </w:numPr>
      <w:spacing w:before="156" w:after="156" w:line="360" w:lineRule="auto"/>
      <w:jc w:val="both"/>
      <w:outlineLvl w:val="4"/>
    </w:pPr>
    <w:rPr>
      <w:rFonts w:ascii="Times New Roman" w:hAnsi="Times New Roman" w:eastAsia="宋体" w:cs="Times New Roman"/>
      <w:b/>
      <w:kern w:val="2"/>
      <w:sz w:val="24"/>
      <w:szCs w:val="22"/>
      <w:lang w:val="en-US" w:eastAsia="zh-CN" w:bidi="ar-SA"/>
    </w:rPr>
  </w:style>
  <w:style w:type="paragraph" w:customStyle="1" w:styleId="326">
    <w:name w:val="正文缩进2字符"/>
    <w:basedOn w:val="1"/>
    <w:qFormat/>
    <w:uiPriority w:val="0"/>
    <w:pPr>
      <w:adjustRightInd w:val="0"/>
      <w:snapToGrid w:val="0"/>
      <w:spacing w:line="360" w:lineRule="auto"/>
      <w:ind w:firstLine="480" w:firstLineChars="200"/>
    </w:pPr>
    <w:rPr>
      <w:szCs w:val="24"/>
    </w:rPr>
  </w:style>
  <w:style w:type="paragraph" w:styleId="327">
    <w:name w:val="List Paragraph"/>
    <w:basedOn w:val="1"/>
    <w:qFormat/>
    <w:uiPriority w:val="34"/>
    <w:pPr>
      <w:widowControl/>
      <w:adjustRightInd w:val="0"/>
      <w:snapToGrid w:val="0"/>
      <w:spacing w:line="360" w:lineRule="auto"/>
      <w:ind w:firstLine="420" w:firstLineChars="200"/>
      <w:jc w:val="left"/>
    </w:pPr>
    <w:rPr>
      <w:rFonts w:ascii="Calibri" w:hAnsi="Calibri"/>
      <w:kern w:val="0"/>
    </w:rPr>
  </w:style>
  <w:style w:type="paragraph" w:customStyle="1" w:styleId="328">
    <w:name w:val="一级"/>
    <w:basedOn w:val="1"/>
    <w:next w:val="322"/>
    <w:qFormat/>
    <w:uiPriority w:val="0"/>
    <w:pPr>
      <w:numPr>
        <w:ilvl w:val="0"/>
        <w:numId w:val="9"/>
      </w:numPr>
      <w:spacing w:beforeLines="50" w:afterLines="50" w:line="360" w:lineRule="auto"/>
      <w:jc w:val="center"/>
      <w:outlineLvl w:val="0"/>
    </w:pPr>
    <w:rPr>
      <w:b/>
      <w:sz w:val="36"/>
    </w:rPr>
  </w:style>
  <w:style w:type="table" w:customStyle="1" w:styleId="329">
    <w:name w:val="Grid Table 4 Accent 3"/>
    <w:basedOn w:val="47"/>
    <w:qFormat/>
    <w:uiPriority w:val="49"/>
    <w:rPr>
      <w:kern w:val="2"/>
      <w:sz w:val="21"/>
      <w:szCs w:val="22"/>
    </w:rPr>
    <w:tblPr>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9BBB59" w:themeColor="accent3" w:sz="4" w:space="0"/>
          <w:left w:val="single" w:color="9BBB59" w:themeColor="accent3" w:sz="4" w:space="0"/>
          <w:bottom w:val="single" w:color="9BBB59" w:themeColor="accent3" w:sz="4" w:space="0"/>
          <w:right w:val="single" w:color="9BBB59" w:themeColor="accent3" w:sz="4" w:space="0"/>
          <w:insideH w:val="nil"/>
          <w:insideV w:val="nil"/>
        </w:tcBorders>
        <w:shd w:val="clear" w:color="auto" w:fill="9BBB59" w:themeFill="accent3"/>
      </w:tcPr>
    </w:tblStylePr>
    <w:tblStylePr w:type="lastRow">
      <w:rPr>
        <w:b/>
        <w:bCs/>
      </w:rPr>
      <w:tcPr>
        <w:tcBorders>
          <w:top w:val="double" w:color="9BBB59" w:themeColor="accent3" w:sz="4" w:space="0"/>
        </w:tcBorders>
      </w:tc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paragraph" w:customStyle="1" w:styleId="330">
    <w:name w:val="列表段落1"/>
    <w:basedOn w:val="1"/>
    <w:qFormat/>
    <w:uiPriority w:val="34"/>
    <w:pPr>
      <w:spacing w:beforeLines="25" w:afterLines="25"/>
      <w:ind w:firstLine="420"/>
    </w:pPr>
    <w:rPr>
      <w:rFonts w:eastAsia="仿宋_GB2312"/>
      <w:sz w:val="24"/>
    </w:rPr>
  </w:style>
  <w:style w:type="paragraph" w:customStyle="1" w:styleId="331">
    <w:name w:val="02-无缩进-正文"/>
    <w:basedOn w:val="1"/>
    <w:qFormat/>
    <w:uiPriority w:val="0"/>
    <w:pPr>
      <w:spacing w:before="156" w:beforeLines="50" w:after="156" w:afterLines="50" w:afterAutospacing="1" w:line="360" w:lineRule="auto"/>
    </w:pPr>
    <w:rPr>
      <w:rFonts w:ascii="宋体" w:hAnsi="Times New Roman" w:eastAsia="仿宋"/>
      <w:sz w:val="28"/>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jpe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57</Pages>
  <Words>5417</Words>
  <Characters>30883</Characters>
  <Lines>257</Lines>
  <Paragraphs>72</Paragraphs>
  <TotalTime>4</TotalTime>
  <ScaleCrop>false</ScaleCrop>
  <LinksUpToDate>false</LinksUpToDate>
  <CharactersWithSpaces>36228</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2019-06-18T08:19:00Z</dcterms:created>
  <dc:creator>dududu</dc:creator>
  <cp:lastModifiedBy>…</cp:lastModifiedBy>
  <cp:lastPrinted>2021-10-18T01:42:00Z</cp:lastPrinted>
  <dcterms:modified xsi:type="dcterms:W3CDTF">2021-10-26T07:11:30Z</dcterms:modified>
  <dc:title>寿昌横钢纪念馆布展采购项目</dc:title>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B96965CD384B45E9A4745D9418337BE6</vt:lpwstr>
  </property>
</Properties>
</file>