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eastAsiaTheme="minorEastAsia"/>
          <w:b/>
          <w:bCs/>
          <w:color w:val="000000" w:themeColor="text1"/>
          <w:sz w:val="52"/>
          <w:szCs w:val="52"/>
          <w14:textFill>
            <w14:solidFill>
              <w14:schemeClr w14:val="tx1"/>
            </w14:solidFill>
          </w14:textFill>
        </w:rPr>
      </w:pPr>
    </w:p>
    <w:p>
      <w:pPr>
        <w:spacing w:line="360" w:lineRule="auto"/>
        <w:jc w:val="center"/>
        <w:rPr>
          <w:rFonts w:hint="eastAsia" w:asciiTheme="minorEastAsia" w:hAnsiTheme="minorEastAsia" w:eastAsiaTheme="minorEastAsia"/>
          <w:color w:val="000000" w:themeColor="text1"/>
          <w:sz w:val="36"/>
          <w:szCs w:val="36"/>
          <w:lang w:eastAsia="zh-CN"/>
          <w14:textFill>
            <w14:solidFill>
              <w14:schemeClr w14:val="tx1"/>
            </w14:solidFill>
          </w14:textFill>
        </w:rPr>
      </w:pPr>
      <w:r>
        <w:rPr>
          <w:rFonts w:hint="eastAsia" w:asciiTheme="minorEastAsia" w:hAnsiTheme="minorEastAsia" w:eastAsiaTheme="minorEastAsia"/>
          <w:b/>
          <w:bCs/>
          <w:color w:val="000000" w:themeColor="text1"/>
          <w:sz w:val="52"/>
          <w:szCs w:val="52"/>
          <w:lang w:eastAsia="zh-CN"/>
          <w14:textFill>
            <w14:solidFill>
              <w14:schemeClr w14:val="tx1"/>
            </w14:solidFill>
          </w14:textFill>
        </w:rPr>
        <w:t>绍兴市轨道交通2号线一期房建及结构维保服务项目（2023-2026年）</w:t>
      </w:r>
    </w:p>
    <w:p>
      <w:pPr>
        <w:rPr>
          <w:rFonts w:asciiTheme="minorEastAsia" w:hAnsiTheme="minorEastAsia" w:eastAsiaTheme="minorEastAsia"/>
          <w:color w:val="000000" w:themeColor="text1"/>
          <w:sz w:val="36"/>
          <w:szCs w:val="36"/>
          <w14:textFill>
            <w14:solidFill>
              <w14:schemeClr w14:val="tx1"/>
            </w14:solidFill>
          </w14:textFill>
        </w:rPr>
      </w:pPr>
    </w:p>
    <w:p>
      <w:pPr>
        <w:rPr>
          <w:rFonts w:asciiTheme="minorEastAsia" w:hAnsiTheme="minorEastAsia" w:eastAsiaTheme="minorEastAsia"/>
          <w:color w:val="000000" w:themeColor="text1"/>
          <w:sz w:val="36"/>
          <w:szCs w:val="36"/>
          <w14:textFill>
            <w14:solidFill>
              <w14:schemeClr w14:val="tx1"/>
            </w14:solidFill>
          </w14:textFill>
        </w:rPr>
      </w:pPr>
    </w:p>
    <w:p>
      <w:pPr>
        <w:rPr>
          <w:rFonts w:asciiTheme="minorEastAsia" w:hAnsiTheme="minorEastAsia" w:eastAsiaTheme="minorEastAsia"/>
          <w:color w:val="000000" w:themeColor="text1"/>
          <w:sz w:val="36"/>
          <w:szCs w:val="36"/>
          <w14:textFill>
            <w14:solidFill>
              <w14:schemeClr w14:val="tx1"/>
            </w14:solidFill>
          </w14:textFill>
        </w:rPr>
      </w:pPr>
    </w:p>
    <w:p>
      <w:pPr>
        <w:jc w:val="center"/>
        <w:rPr>
          <w:rFonts w:asciiTheme="minorEastAsia" w:hAnsiTheme="minorEastAsia" w:eastAsiaTheme="minorEastAsia"/>
          <w:b/>
          <w:bCs/>
          <w:color w:val="000000" w:themeColor="text1"/>
          <w:sz w:val="72"/>
          <w:szCs w:val="72"/>
          <w14:textFill>
            <w14:solidFill>
              <w14:schemeClr w14:val="tx1"/>
            </w14:solidFill>
          </w14:textFill>
        </w:rPr>
      </w:pPr>
      <w:r>
        <w:rPr>
          <w:rFonts w:hint="eastAsia" w:asciiTheme="minorEastAsia" w:hAnsiTheme="minorEastAsia" w:eastAsiaTheme="minorEastAsia"/>
          <w:b/>
          <w:bCs/>
          <w:color w:val="000000" w:themeColor="text1"/>
          <w:sz w:val="72"/>
          <w:szCs w:val="72"/>
          <w14:textFill>
            <w14:solidFill>
              <w14:schemeClr w14:val="tx1"/>
            </w14:solidFill>
          </w14:textFill>
        </w:rPr>
        <w:t>采</w:t>
      </w:r>
    </w:p>
    <w:p>
      <w:pPr>
        <w:jc w:val="center"/>
        <w:rPr>
          <w:rFonts w:asciiTheme="minorEastAsia" w:hAnsiTheme="minorEastAsia" w:eastAsiaTheme="minorEastAsia"/>
          <w:b/>
          <w:bCs/>
          <w:color w:val="000000" w:themeColor="text1"/>
          <w:sz w:val="72"/>
          <w:szCs w:val="72"/>
          <w14:textFill>
            <w14:solidFill>
              <w14:schemeClr w14:val="tx1"/>
            </w14:solidFill>
          </w14:textFill>
        </w:rPr>
      </w:pPr>
      <w:r>
        <w:rPr>
          <w:rFonts w:hint="eastAsia" w:asciiTheme="minorEastAsia" w:hAnsiTheme="minorEastAsia" w:eastAsiaTheme="minorEastAsia"/>
          <w:b/>
          <w:bCs/>
          <w:color w:val="000000" w:themeColor="text1"/>
          <w:sz w:val="72"/>
          <w:szCs w:val="72"/>
          <w14:textFill>
            <w14:solidFill>
              <w14:schemeClr w14:val="tx1"/>
            </w14:solidFill>
          </w14:textFill>
        </w:rPr>
        <w:t>购</w:t>
      </w:r>
    </w:p>
    <w:p>
      <w:pPr>
        <w:jc w:val="center"/>
        <w:rPr>
          <w:rFonts w:asciiTheme="minorEastAsia" w:hAnsiTheme="minorEastAsia" w:eastAsiaTheme="minorEastAsia"/>
          <w:b/>
          <w:bCs/>
          <w:color w:val="000000" w:themeColor="text1"/>
          <w:sz w:val="72"/>
          <w:szCs w:val="72"/>
          <w14:textFill>
            <w14:solidFill>
              <w14:schemeClr w14:val="tx1"/>
            </w14:solidFill>
          </w14:textFill>
        </w:rPr>
      </w:pPr>
      <w:r>
        <w:rPr>
          <w:rFonts w:hint="eastAsia" w:asciiTheme="minorEastAsia" w:hAnsiTheme="minorEastAsia" w:eastAsiaTheme="minorEastAsia"/>
          <w:b/>
          <w:bCs/>
          <w:color w:val="000000" w:themeColor="text1"/>
          <w:sz w:val="72"/>
          <w:szCs w:val="72"/>
          <w14:textFill>
            <w14:solidFill>
              <w14:schemeClr w14:val="tx1"/>
            </w14:solidFill>
          </w14:textFill>
        </w:rPr>
        <w:t>文</w:t>
      </w:r>
    </w:p>
    <w:p>
      <w:pPr>
        <w:jc w:val="center"/>
        <w:rPr>
          <w:rFonts w:asciiTheme="minorEastAsia" w:hAnsiTheme="minorEastAsia" w:eastAsiaTheme="minorEastAsia"/>
          <w:b/>
          <w:bCs/>
          <w:color w:val="000000" w:themeColor="text1"/>
          <w:sz w:val="72"/>
          <w:szCs w:val="72"/>
          <w14:textFill>
            <w14:solidFill>
              <w14:schemeClr w14:val="tx1"/>
            </w14:solidFill>
          </w14:textFill>
        </w:rPr>
      </w:pPr>
      <w:r>
        <w:rPr>
          <w:rFonts w:hint="eastAsia" w:asciiTheme="minorEastAsia" w:hAnsiTheme="minorEastAsia" w:eastAsiaTheme="minorEastAsia"/>
          <w:b/>
          <w:bCs/>
          <w:color w:val="000000" w:themeColor="text1"/>
          <w:sz w:val="72"/>
          <w:szCs w:val="72"/>
          <w14:textFill>
            <w14:solidFill>
              <w14:schemeClr w14:val="tx1"/>
            </w14:solidFill>
          </w14:textFill>
        </w:rPr>
        <w:t>件</w:t>
      </w:r>
    </w:p>
    <w:p>
      <w:pPr>
        <w:spacing w:after="120"/>
        <w:ind w:firstLine="240" w:firstLineChars="100"/>
        <w:rPr>
          <w:rFonts w:asciiTheme="minorEastAsia" w:hAnsiTheme="minorEastAsia" w:eastAsiaTheme="minorEastAsia"/>
          <w:color w:val="000000" w:themeColor="text1"/>
          <w14:textFill>
            <w14:solidFill>
              <w14:schemeClr w14:val="tx1"/>
            </w14:solidFill>
          </w14:textFill>
        </w:rPr>
      </w:pPr>
    </w:p>
    <w:p>
      <w:pPr>
        <w:spacing w:after="120"/>
        <w:ind w:firstLine="240" w:firstLineChars="100"/>
        <w:rPr>
          <w:rFonts w:asciiTheme="minorEastAsia" w:hAnsiTheme="minorEastAsia" w:eastAsiaTheme="minorEastAsia"/>
          <w:color w:val="000000" w:themeColor="text1"/>
          <w14:textFill>
            <w14:solidFill>
              <w14:schemeClr w14:val="tx1"/>
            </w14:solidFill>
          </w14:textFill>
        </w:rPr>
      </w:pPr>
    </w:p>
    <w:p>
      <w:pPr>
        <w:spacing w:after="120"/>
        <w:ind w:firstLine="240" w:firstLineChars="100"/>
        <w:rPr>
          <w:rFonts w:asciiTheme="minorEastAsia" w:hAnsiTheme="minorEastAsia" w:eastAsiaTheme="minorEastAsia"/>
          <w:color w:val="000000" w:themeColor="text1"/>
          <w14:textFill>
            <w14:solidFill>
              <w14:schemeClr w14:val="tx1"/>
            </w14:solidFill>
          </w14:textFill>
        </w:rPr>
      </w:pP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67" w:hRule="atLeast"/>
          <w:jc w:val="center"/>
        </w:trPr>
        <w:tc>
          <w:tcPr>
            <w:tcW w:w="2356" w:type="dxa"/>
          </w:tcPr>
          <w:p>
            <w:pPr>
              <w:spacing w:after="100" w:afterAutospacing="1" w:line="440" w:lineRule="exact"/>
              <w:rPr>
                <w:rFonts w:cs="仿宋"/>
                <w:color w:val="000000" w:themeColor="text1"/>
                <w:sz w:val="28"/>
                <w:szCs w:val="28"/>
                <w14:textFill>
                  <w14:solidFill>
                    <w14:schemeClr w14:val="tx1"/>
                  </w14:solidFill>
                </w14:textFill>
              </w:rPr>
            </w:pPr>
            <w:r>
              <w:rPr>
                <w:rFonts w:hint="eastAsia" w:cs="仿宋"/>
                <w:color w:val="000000" w:themeColor="text1"/>
                <w:spacing w:val="87"/>
                <w:kern w:val="0"/>
                <w:sz w:val="28"/>
                <w:szCs w:val="28"/>
                <w:fitText w:val="1960" w:id="-1423815677"/>
                <w14:textFill>
                  <w14:solidFill>
                    <w14:schemeClr w14:val="tx1"/>
                  </w14:solidFill>
                </w14:textFill>
              </w:rPr>
              <w:t>招标编号</w:t>
            </w:r>
            <w:r>
              <w:rPr>
                <w:rFonts w:hint="eastAsia" w:cs="仿宋"/>
                <w:color w:val="000000" w:themeColor="text1"/>
                <w:spacing w:val="4"/>
                <w:kern w:val="0"/>
                <w:sz w:val="28"/>
                <w:szCs w:val="28"/>
                <w:fitText w:val="1960" w:id="-1423815677"/>
                <w14:textFill>
                  <w14:solidFill>
                    <w14:schemeClr w14:val="tx1"/>
                  </w14:solidFill>
                </w14:textFill>
              </w:rPr>
              <w:t>:</w:t>
            </w:r>
          </w:p>
        </w:tc>
        <w:tc>
          <w:tcPr>
            <w:tcW w:w="5445" w:type="dxa"/>
            <w:vAlign w:val="center"/>
          </w:tcPr>
          <w:p>
            <w:pPr>
              <w:spacing w:line="320" w:lineRule="exact"/>
              <w:outlineLvl w:val="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 xml:space="preserve">CGSHZJ-2023-N000808 </w:t>
            </w:r>
          </w:p>
        </w:tc>
      </w:tr>
      <w:tr>
        <w:tblPrEx>
          <w:tblCellMar>
            <w:top w:w="0" w:type="dxa"/>
            <w:left w:w="108" w:type="dxa"/>
            <w:bottom w:w="0" w:type="dxa"/>
            <w:right w:w="108" w:type="dxa"/>
          </w:tblCellMar>
        </w:tblPrEx>
        <w:trPr>
          <w:trHeight w:val="567" w:hRule="atLeast"/>
          <w:jc w:val="center"/>
        </w:trPr>
        <w:tc>
          <w:tcPr>
            <w:tcW w:w="2356" w:type="dxa"/>
          </w:tcPr>
          <w:p>
            <w:pPr>
              <w:spacing w:after="100" w:afterAutospacing="1" w:line="440" w:lineRule="exact"/>
              <w:rPr>
                <w:rFonts w:cs="仿宋"/>
                <w:color w:val="000000" w:themeColor="text1"/>
                <w:spacing w:val="93"/>
                <w:sz w:val="28"/>
                <w:szCs w:val="28"/>
                <w14:textFill>
                  <w14:solidFill>
                    <w14:schemeClr w14:val="tx1"/>
                  </w14:solidFill>
                </w14:textFill>
              </w:rPr>
            </w:pPr>
            <w:r>
              <w:rPr>
                <w:rFonts w:hint="eastAsia" w:cs="仿宋"/>
                <w:color w:val="000000" w:themeColor="text1"/>
                <w:spacing w:val="70"/>
                <w:kern w:val="0"/>
                <w:sz w:val="28"/>
                <w:szCs w:val="28"/>
                <w:fitText w:val="1960" w:id="-1423815679"/>
                <w14:textFill>
                  <w14:solidFill>
                    <w14:schemeClr w14:val="tx1"/>
                  </w14:solidFill>
                </w14:textFill>
              </w:rPr>
              <w:t>采购单位</w:t>
            </w:r>
            <w:r>
              <w:rPr>
                <w:rFonts w:hint="eastAsia" w:cs="仿宋"/>
                <w:color w:val="000000" w:themeColor="text1"/>
                <w:spacing w:val="0"/>
                <w:kern w:val="0"/>
                <w:sz w:val="28"/>
                <w:szCs w:val="28"/>
                <w:fitText w:val="1960" w:id="-1423815679"/>
                <w14:textFill>
                  <w14:solidFill>
                    <w14:schemeClr w14:val="tx1"/>
                  </w14:solidFill>
                </w14:textFill>
              </w:rPr>
              <w:t>：</w:t>
            </w:r>
          </w:p>
        </w:tc>
        <w:tc>
          <w:tcPr>
            <w:tcW w:w="5445" w:type="dxa"/>
            <w:vAlign w:val="center"/>
          </w:tcPr>
          <w:p>
            <w:pPr>
              <w:spacing w:line="320" w:lineRule="exact"/>
              <w:outlineLvl w:val="0"/>
              <w:rPr>
                <w:color w:val="000000" w:themeColor="text1"/>
                <w:sz w:val="28"/>
                <w:szCs w:val="28"/>
                <w14:textFill>
                  <w14:solidFill>
                    <w14:schemeClr w14:val="tx1"/>
                  </w14:solidFill>
                </w14:textFill>
              </w:rPr>
            </w:pPr>
            <w:r>
              <w:rPr>
                <w:rFonts w:hint="eastAsia"/>
                <w:color w:val="000000" w:themeColor="text1"/>
                <w:spacing w:val="58"/>
                <w:kern w:val="0"/>
                <w:sz w:val="28"/>
                <w:szCs w:val="28"/>
                <w:fitText w:val="5040" w:id="-1423815674"/>
                <w14:textFill>
                  <w14:solidFill>
                    <w14:schemeClr w14:val="tx1"/>
                  </w14:solidFill>
                </w14:textFill>
              </w:rPr>
              <w:t>绍兴市轨道交通集团有限公</w:t>
            </w:r>
            <w:r>
              <w:rPr>
                <w:rFonts w:hint="eastAsia"/>
                <w:color w:val="000000" w:themeColor="text1"/>
                <w:spacing w:val="4"/>
                <w:kern w:val="0"/>
                <w:sz w:val="28"/>
                <w:szCs w:val="28"/>
                <w:fitText w:val="5040" w:id="-1423815674"/>
                <w14:textFill>
                  <w14:solidFill>
                    <w14:schemeClr w14:val="tx1"/>
                  </w14:solidFill>
                </w14:textFill>
              </w:rPr>
              <w:t>司</w:t>
            </w:r>
          </w:p>
        </w:tc>
      </w:tr>
      <w:tr>
        <w:tblPrEx>
          <w:tblCellMar>
            <w:top w:w="0" w:type="dxa"/>
            <w:left w:w="108" w:type="dxa"/>
            <w:bottom w:w="0" w:type="dxa"/>
            <w:right w:w="108" w:type="dxa"/>
          </w:tblCellMar>
        </w:tblPrEx>
        <w:trPr>
          <w:trHeight w:val="567" w:hRule="atLeast"/>
          <w:jc w:val="center"/>
        </w:trPr>
        <w:tc>
          <w:tcPr>
            <w:tcW w:w="2356" w:type="dxa"/>
          </w:tcPr>
          <w:p>
            <w:pPr>
              <w:spacing w:after="100" w:afterAutospacing="1" w:line="440" w:lineRule="exact"/>
              <w:rPr>
                <w:rFonts w:cs="仿宋"/>
                <w:color w:val="000000" w:themeColor="text1"/>
                <w:sz w:val="28"/>
                <w:szCs w:val="28"/>
                <w14:textFill>
                  <w14:solidFill>
                    <w14:schemeClr w14:val="tx1"/>
                  </w14:solidFill>
                </w14:textFill>
              </w:rPr>
            </w:pPr>
            <w:r>
              <w:rPr>
                <w:rFonts w:hint="eastAsia" w:cs="仿宋"/>
                <w:color w:val="000000" w:themeColor="text1"/>
                <w:spacing w:val="0"/>
                <w:kern w:val="0"/>
                <w:sz w:val="28"/>
                <w:szCs w:val="28"/>
                <w:fitText w:val="1960" w:id="-1423815680"/>
                <w14:textFill>
                  <w14:solidFill>
                    <w14:schemeClr w14:val="tx1"/>
                  </w14:solidFill>
                </w14:textFill>
              </w:rPr>
              <w:t>采购代理机构：</w:t>
            </w:r>
          </w:p>
        </w:tc>
        <w:tc>
          <w:tcPr>
            <w:tcW w:w="5445" w:type="dxa"/>
            <w:vAlign w:val="center"/>
          </w:tcPr>
          <w:p>
            <w:pPr>
              <w:spacing w:after="100" w:afterAutospacing="1" w:line="440" w:lineRule="exact"/>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pacing w:val="124"/>
                <w:kern w:val="0"/>
                <w:sz w:val="28"/>
                <w:szCs w:val="28"/>
                <w:fitText w:val="5040" w:id="-1423815675"/>
                <w14:textFill>
                  <w14:solidFill>
                    <w14:schemeClr w14:val="tx1"/>
                  </w14:solidFill>
                </w14:textFill>
              </w:rPr>
              <w:t>融华工程管理有限公</w:t>
            </w:r>
            <w:r>
              <w:rPr>
                <w:rFonts w:hint="eastAsia" w:cs="仿宋" w:asciiTheme="minorEastAsia" w:hAnsiTheme="minorEastAsia" w:eastAsiaTheme="minorEastAsia"/>
                <w:color w:val="000000" w:themeColor="text1"/>
                <w:spacing w:val="4"/>
                <w:kern w:val="0"/>
                <w:sz w:val="28"/>
                <w:szCs w:val="28"/>
                <w:fitText w:val="5040" w:id="-1423815675"/>
                <w14:textFill>
                  <w14:solidFill>
                    <w14:schemeClr w14:val="tx1"/>
                  </w14:solidFill>
                </w14:textFill>
              </w:rPr>
              <w:t>司</w:t>
            </w:r>
          </w:p>
        </w:tc>
      </w:tr>
      <w:tr>
        <w:tblPrEx>
          <w:tblCellMar>
            <w:top w:w="0" w:type="dxa"/>
            <w:left w:w="108" w:type="dxa"/>
            <w:bottom w:w="0" w:type="dxa"/>
            <w:right w:w="108" w:type="dxa"/>
          </w:tblCellMar>
        </w:tblPrEx>
        <w:trPr>
          <w:trHeight w:val="567" w:hRule="atLeast"/>
          <w:jc w:val="center"/>
        </w:trPr>
        <w:tc>
          <w:tcPr>
            <w:tcW w:w="2356" w:type="dxa"/>
          </w:tcPr>
          <w:p>
            <w:pPr>
              <w:spacing w:after="100" w:afterAutospacing="1" w:line="440" w:lineRule="exact"/>
              <w:rPr>
                <w:rFonts w:cs="仿宋"/>
                <w:color w:val="000000" w:themeColor="text1"/>
                <w:sz w:val="28"/>
                <w:szCs w:val="28"/>
                <w14:textFill>
                  <w14:solidFill>
                    <w14:schemeClr w14:val="tx1"/>
                  </w14:solidFill>
                </w14:textFill>
              </w:rPr>
            </w:pPr>
            <w:r>
              <w:rPr>
                <w:rFonts w:hint="eastAsia" w:cs="仿宋"/>
                <w:color w:val="000000" w:themeColor="text1"/>
                <w:spacing w:val="70"/>
                <w:kern w:val="0"/>
                <w:sz w:val="28"/>
                <w:szCs w:val="28"/>
                <w:fitText w:val="1960" w:id="-1423815677"/>
                <w14:textFill>
                  <w14:solidFill>
                    <w14:schemeClr w14:val="tx1"/>
                  </w14:solidFill>
                </w14:textFill>
              </w:rPr>
              <w:t>监督单位</w:t>
            </w:r>
            <w:r>
              <w:rPr>
                <w:rFonts w:hint="eastAsia" w:cs="仿宋"/>
                <w:color w:val="000000" w:themeColor="text1"/>
                <w:spacing w:val="0"/>
                <w:kern w:val="0"/>
                <w:sz w:val="28"/>
                <w:szCs w:val="28"/>
                <w:fitText w:val="1960" w:id="-1423815677"/>
                <w14:textFill>
                  <w14:solidFill>
                    <w14:schemeClr w14:val="tx1"/>
                  </w14:solidFill>
                </w14:textFill>
              </w:rPr>
              <w:t>：</w:t>
            </w:r>
          </w:p>
        </w:tc>
        <w:tc>
          <w:tcPr>
            <w:tcW w:w="5445" w:type="dxa"/>
          </w:tcPr>
          <w:p>
            <w:pPr>
              <w:spacing w:after="100" w:afterAutospacing="1" w:line="440" w:lineRule="exact"/>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pacing w:val="0"/>
                <w:kern w:val="0"/>
                <w:sz w:val="28"/>
                <w:szCs w:val="28"/>
                <w:fitText w:val="5040" w:id="-1423815676"/>
                <w14:textFill>
                  <w14:solidFill>
                    <w14:schemeClr w14:val="tx1"/>
                  </w14:solidFill>
                </w14:textFill>
              </w:rPr>
              <w:t>绍兴市轨道交通集团有限公司纪检监察部</w:t>
            </w:r>
          </w:p>
        </w:tc>
      </w:tr>
      <w:tr>
        <w:tblPrEx>
          <w:tblCellMar>
            <w:top w:w="0" w:type="dxa"/>
            <w:left w:w="108" w:type="dxa"/>
            <w:bottom w:w="0" w:type="dxa"/>
            <w:right w:w="108" w:type="dxa"/>
          </w:tblCellMar>
        </w:tblPrEx>
        <w:trPr>
          <w:trHeight w:val="567" w:hRule="atLeast"/>
          <w:jc w:val="center"/>
        </w:trPr>
        <w:tc>
          <w:tcPr>
            <w:tcW w:w="7801" w:type="dxa"/>
            <w:gridSpan w:val="2"/>
          </w:tcPr>
          <w:p>
            <w:pPr>
              <w:spacing w:after="100" w:afterAutospacing="1" w:line="440" w:lineRule="exact"/>
              <w:jc w:val="center"/>
              <w:rPr>
                <w:rFonts w:cs="仿宋" w:asciiTheme="majorEastAsia" w:hAnsiTheme="majorEastAsia" w:eastAsiaTheme="majorEastAsia"/>
                <w:color w:val="000000" w:themeColor="text1"/>
                <w:sz w:val="28"/>
                <w:szCs w:val="28"/>
                <w14:textFill>
                  <w14:solidFill>
                    <w14:schemeClr w14:val="tx1"/>
                  </w14:solidFill>
                </w14:textFill>
              </w:rPr>
            </w:pPr>
            <w:r>
              <w:rPr>
                <w:rFonts w:hint="eastAsia" w:cs="仿宋" w:asciiTheme="majorEastAsia" w:hAnsiTheme="majorEastAsia" w:eastAsiaTheme="majorEastAsia"/>
                <w:color w:val="000000" w:themeColor="text1"/>
                <w:sz w:val="28"/>
                <w:szCs w:val="28"/>
                <w14:textFill>
                  <w14:solidFill>
                    <w14:schemeClr w14:val="tx1"/>
                  </w14:solidFill>
                </w14:textFill>
              </w:rPr>
              <w:t>二○二</w:t>
            </w:r>
            <w:r>
              <w:rPr>
                <w:rFonts w:hint="eastAsia" w:cs="仿宋" w:asciiTheme="majorEastAsia" w:hAnsiTheme="majorEastAsia" w:eastAsiaTheme="majorEastAsia"/>
                <w:color w:val="000000" w:themeColor="text1"/>
                <w:sz w:val="28"/>
                <w:szCs w:val="28"/>
                <w:lang w:val="en-US" w:eastAsia="zh-CN"/>
                <w14:textFill>
                  <w14:solidFill>
                    <w14:schemeClr w14:val="tx1"/>
                  </w14:solidFill>
                </w14:textFill>
              </w:rPr>
              <w:t>三</w:t>
            </w:r>
            <w:r>
              <w:rPr>
                <w:rFonts w:hint="eastAsia" w:cs="仿宋" w:asciiTheme="majorEastAsia" w:hAnsiTheme="majorEastAsia" w:eastAsiaTheme="majorEastAsia"/>
                <w:color w:val="000000" w:themeColor="text1"/>
                <w:sz w:val="28"/>
                <w:szCs w:val="28"/>
                <w14:textFill>
                  <w14:solidFill>
                    <w14:schemeClr w14:val="tx1"/>
                  </w14:solidFill>
                </w14:textFill>
              </w:rPr>
              <w:t>年一月</w:t>
            </w:r>
          </w:p>
        </w:tc>
      </w:tr>
    </w:tbl>
    <w:p>
      <w:pPr>
        <w:jc w:val="center"/>
        <w:rPr>
          <w:rFonts w:hint="eastAsia" w:asciiTheme="minorEastAsia" w:hAnsiTheme="minorEastAsia" w:eastAsiaTheme="minorEastAsia"/>
          <w:b/>
          <w:color w:val="000000" w:themeColor="text1"/>
          <w:sz w:val="44"/>
          <w:szCs w:val="44"/>
          <w14:textFill>
            <w14:solidFill>
              <w14:schemeClr w14:val="tx1"/>
            </w14:solidFill>
          </w14:textFill>
        </w:rPr>
        <w:sectPr>
          <w:headerReference r:id="rId3" w:type="default"/>
          <w:pgSz w:w="11906" w:h="16838"/>
          <w:pgMar w:top="1440" w:right="1286" w:bottom="1440" w:left="1800" w:header="851" w:footer="992" w:gutter="0"/>
          <w:pgNumType w:start="1"/>
          <w:cols w:space="720" w:num="1"/>
          <w:docGrid w:type="lines" w:linePitch="312" w:charSpace="0"/>
        </w:sectPr>
      </w:pPr>
    </w:p>
    <w:p>
      <w:pPr>
        <w:jc w:val="center"/>
        <w:rPr>
          <w:rFonts w:asciiTheme="minorEastAsia" w:hAnsiTheme="minorEastAsia" w:eastAsiaTheme="minorEastAsia"/>
          <w:b/>
          <w:color w:val="000000" w:themeColor="text1"/>
          <w:sz w:val="44"/>
          <w:szCs w:val="44"/>
          <w14:textFill>
            <w14:solidFill>
              <w14:schemeClr w14:val="tx1"/>
            </w14:solidFill>
          </w14:textFill>
        </w:rPr>
      </w:pPr>
      <w:r>
        <w:rPr>
          <w:rFonts w:hint="eastAsia" w:asciiTheme="minorEastAsia" w:hAnsiTheme="minorEastAsia" w:eastAsiaTheme="minorEastAsia"/>
          <w:b/>
          <w:color w:val="000000" w:themeColor="text1"/>
          <w:sz w:val="44"/>
          <w:szCs w:val="44"/>
          <w14:textFill>
            <w14:solidFill>
              <w14:schemeClr w14:val="tx1"/>
            </w14:solidFill>
          </w14:textFill>
        </w:rPr>
        <w:t>目</w:t>
      </w:r>
      <w:r>
        <w:rPr>
          <w:rFonts w:asciiTheme="minorEastAsia" w:hAnsiTheme="minorEastAsia" w:eastAsiaTheme="minorEastAsia"/>
          <w:b/>
          <w:color w:val="000000" w:themeColor="text1"/>
          <w:sz w:val="44"/>
          <w:szCs w:val="44"/>
          <w14:textFill>
            <w14:solidFill>
              <w14:schemeClr w14:val="tx1"/>
            </w14:solidFill>
          </w14:textFill>
        </w:rPr>
        <w:t xml:space="preserve">   </w:t>
      </w:r>
      <w:r>
        <w:rPr>
          <w:rFonts w:hint="eastAsia" w:asciiTheme="minorEastAsia" w:hAnsiTheme="minorEastAsia" w:eastAsiaTheme="minorEastAsia"/>
          <w:b/>
          <w:color w:val="000000" w:themeColor="text1"/>
          <w:sz w:val="44"/>
          <w:szCs w:val="44"/>
          <w14:textFill>
            <w14:solidFill>
              <w14:schemeClr w14:val="tx1"/>
            </w14:solidFill>
          </w14:textFill>
        </w:rPr>
        <w:t>录</w:t>
      </w:r>
    </w:p>
    <w:p>
      <w:pPr>
        <w:jc w:val="center"/>
        <w:rPr>
          <w:rFonts w:asciiTheme="minorEastAsia" w:hAnsiTheme="minorEastAsia" w:eastAsiaTheme="minorEastAsia"/>
          <w:b/>
          <w:color w:val="000000" w:themeColor="text1"/>
          <w:sz w:val="44"/>
          <w:szCs w:val="44"/>
          <w14:textFill>
            <w14:solidFill>
              <w14:schemeClr w14:val="tx1"/>
            </w14:solidFill>
          </w14:textFill>
        </w:rPr>
      </w:pPr>
    </w:p>
    <w:p>
      <w:pPr>
        <w:snapToGrid w:val="0"/>
        <w:spacing w:line="480" w:lineRule="auto"/>
        <w:ind w:firstLine="1807" w:firstLineChars="500"/>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第一部分</w:t>
      </w:r>
      <w:r>
        <w:rPr>
          <w:rFonts w:asciiTheme="minorEastAsia" w:hAnsiTheme="minorEastAsia" w:eastAsiaTheme="minorEastAsia"/>
          <w:b/>
          <w:color w:val="000000" w:themeColor="text1"/>
          <w:sz w:val="36"/>
          <w:szCs w:val="36"/>
          <w14:textFill>
            <w14:solidFill>
              <w14:schemeClr w14:val="tx1"/>
            </w14:solidFill>
          </w14:textFill>
        </w:rPr>
        <w:t xml:space="preserve">    </w:t>
      </w:r>
      <w:r>
        <w:rPr>
          <w:rFonts w:hint="eastAsia" w:asciiTheme="minorEastAsia" w:hAnsiTheme="minorEastAsia" w:eastAsiaTheme="minorEastAsia"/>
          <w:b/>
          <w:color w:val="000000" w:themeColor="text1"/>
          <w:sz w:val="36"/>
          <w:szCs w:val="36"/>
          <w14:textFill>
            <w14:solidFill>
              <w14:schemeClr w14:val="tx1"/>
            </w14:solidFill>
          </w14:textFill>
        </w:rPr>
        <w:t>招标公告</w:t>
      </w:r>
    </w:p>
    <w:p>
      <w:pPr>
        <w:snapToGrid w:val="0"/>
        <w:spacing w:line="480" w:lineRule="auto"/>
        <w:ind w:firstLine="1807" w:firstLineChars="500"/>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第二部分</w:t>
      </w:r>
      <w:r>
        <w:rPr>
          <w:rFonts w:asciiTheme="minorEastAsia" w:hAnsiTheme="minorEastAsia" w:eastAsiaTheme="minorEastAsia"/>
          <w:b/>
          <w:color w:val="000000" w:themeColor="text1"/>
          <w:sz w:val="36"/>
          <w:szCs w:val="36"/>
          <w14:textFill>
            <w14:solidFill>
              <w14:schemeClr w14:val="tx1"/>
            </w14:solidFill>
          </w14:textFill>
        </w:rPr>
        <w:t xml:space="preserve">    </w:t>
      </w:r>
      <w:r>
        <w:rPr>
          <w:rFonts w:hint="eastAsia" w:asciiTheme="minorEastAsia" w:hAnsiTheme="minorEastAsia" w:eastAsiaTheme="minorEastAsia"/>
          <w:b/>
          <w:color w:val="000000" w:themeColor="text1"/>
          <w:sz w:val="36"/>
          <w:szCs w:val="36"/>
          <w14:textFill>
            <w14:solidFill>
              <w14:schemeClr w14:val="tx1"/>
            </w14:solidFill>
          </w14:textFill>
        </w:rPr>
        <w:t>投标须知</w:t>
      </w:r>
    </w:p>
    <w:p>
      <w:pPr>
        <w:snapToGrid w:val="0"/>
        <w:spacing w:line="480" w:lineRule="auto"/>
        <w:ind w:firstLine="1807" w:firstLineChars="500"/>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第三部分</w:t>
      </w:r>
      <w:r>
        <w:rPr>
          <w:rFonts w:asciiTheme="minorEastAsia" w:hAnsiTheme="minorEastAsia" w:eastAsiaTheme="minorEastAsia"/>
          <w:b/>
          <w:color w:val="000000" w:themeColor="text1"/>
          <w:sz w:val="36"/>
          <w:szCs w:val="36"/>
          <w14:textFill>
            <w14:solidFill>
              <w14:schemeClr w14:val="tx1"/>
            </w14:solidFill>
          </w14:textFill>
        </w:rPr>
        <w:t xml:space="preserve">    </w:t>
      </w:r>
      <w:r>
        <w:rPr>
          <w:rFonts w:hint="eastAsia" w:asciiTheme="minorEastAsia" w:hAnsiTheme="minorEastAsia" w:eastAsiaTheme="minorEastAsia"/>
          <w:b/>
          <w:color w:val="000000" w:themeColor="text1"/>
          <w:sz w:val="36"/>
          <w:szCs w:val="36"/>
          <w14:textFill>
            <w14:solidFill>
              <w14:schemeClr w14:val="tx1"/>
            </w14:solidFill>
          </w14:textFill>
        </w:rPr>
        <w:t>招标项目范围及要求</w:t>
      </w:r>
    </w:p>
    <w:p>
      <w:pPr>
        <w:snapToGrid w:val="0"/>
        <w:spacing w:line="480" w:lineRule="auto"/>
        <w:ind w:firstLine="1807" w:firstLineChars="500"/>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第四部分</w:t>
      </w:r>
      <w:r>
        <w:rPr>
          <w:rFonts w:asciiTheme="minorEastAsia" w:hAnsiTheme="minorEastAsia" w:eastAsiaTheme="minorEastAsia"/>
          <w:b/>
          <w:color w:val="000000" w:themeColor="text1"/>
          <w:sz w:val="36"/>
          <w:szCs w:val="36"/>
          <w14:textFill>
            <w14:solidFill>
              <w14:schemeClr w14:val="tx1"/>
            </w14:solidFill>
          </w14:textFill>
        </w:rPr>
        <w:t xml:space="preserve">    </w:t>
      </w:r>
      <w:r>
        <w:rPr>
          <w:rFonts w:hint="eastAsia" w:asciiTheme="minorEastAsia" w:hAnsiTheme="minorEastAsia" w:eastAsiaTheme="minorEastAsia"/>
          <w:b/>
          <w:color w:val="000000" w:themeColor="text1"/>
          <w:sz w:val="36"/>
          <w:szCs w:val="36"/>
          <w14:textFill>
            <w14:solidFill>
              <w14:schemeClr w14:val="tx1"/>
            </w14:solidFill>
          </w14:textFill>
        </w:rPr>
        <w:t>合同的主要条款</w:t>
      </w:r>
    </w:p>
    <w:p>
      <w:pPr>
        <w:snapToGrid w:val="0"/>
        <w:spacing w:line="480" w:lineRule="auto"/>
        <w:ind w:firstLine="1807" w:firstLineChars="500"/>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第五部分</w:t>
      </w:r>
      <w:r>
        <w:rPr>
          <w:rFonts w:asciiTheme="minorEastAsia" w:hAnsiTheme="minorEastAsia" w:eastAsiaTheme="minorEastAsia"/>
          <w:b/>
          <w:color w:val="000000" w:themeColor="text1"/>
          <w:sz w:val="36"/>
          <w:szCs w:val="36"/>
          <w14:textFill>
            <w14:solidFill>
              <w14:schemeClr w14:val="tx1"/>
            </w14:solidFill>
          </w14:textFill>
        </w:rPr>
        <w:t xml:space="preserve">    </w:t>
      </w:r>
      <w:r>
        <w:rPr>
          <w:rFonts w:hint="eastAsia" w:asciiTheme="minorEastAsia" w:hAnsiTheme="minorEastAsia" w:eastAsiaTheme="minorEastAsia"/>
          <w:b/>
          <w:color w:val="000000" w:themeColor="text1"/>
          <w:sz w:val="36"/>
          <w:szCs w:val="36"/>
          <w14:textFill>
            <w14:solidFill>
              <w14:schemeClr w14:val="tx1"/>
            </w14:solidFill>
          </w14:textFill>
        </w:rPr>
        <w:t>评标办法及标准</w:t>
      </w:r>
    </w:p>
    <w:p>
      <w:pPr>
        <w:snapToGrid w:val="0"/>
        <w:spacing w:line="480" w:lineRule="auto"/>
        <w:ind w:firstLine="1807" w:firstLineChars="500"/>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第六部分</w:t>
      </w:r>
      <w:r>
        <w:rPr>
          <w:rFonts w:asciiTheme="minorEastAsia" w:hAnsiTheme="minorEastAsia" w:eastAsiaTheme="minorEastAsia"/>
          <w:b/>
          <w:color w:val="000000" w:themeColor="text1"/>
          <w:sz w:val="36"/>
          <w:szCs w:val="36"/>
          <w14:textFill>
            <w14:solidFill>
              <w14:schemeClr w14:val="tx1"/>
            </w14:solidFill>
          </w14:textFill>
        </w:rPr>
        <w:t xml:space="preserve">    </w:t>
      </w:r>
      <w:r>
        <w:rPr>
          <w:rFonts w:hint="eastAsia" w:asciiTheme="minorEastAsia" w:hAnsiTheme="minorEastAsia" w:eastAsiaTheme="minorEastAsia"/>
          <w:b/>
          <w:color w:val="000000" w:themeColor="text1"/>
          <w:sz w:val="36"/>
          <w:szCs w:val="36"/>
          <w14:textFill>
            <w14:solidFill>
              <w14:schemeClr w14:val="tx1"/>
            </w14:solidFill>
          </w14:textFill>
        </w:rPr>
        <w:t>投标文件及其附件格式</w:t>
      </w:r>
    </w:p>
    <w:p>
      <w:pPr>
        <w:pStyle w:val="4"/>
        <w:snapToGrid w:val="0"/>
        <w:spacing w:before="0" w:line="420" w:lineRule="exact"/>
        <w:ind w:left="425" w:hanging="425" w:firstLineChars="0"/>
        <w:jc w:val="center"/>
        <w:textAlignment w:val="baseline"/>
        <w:rPr>
          <w:rFonts w:asciiTheme="minorEastAsia" w:hAnsiTheme="minorEastAsia" w:eastAsiaTheme="minorEastAsia"/>
          <w:color w:val="000000" w:themeColor="text1"/>
          <w:sz w:val="44"/>
          <w:szCs w:val="44"/>
          <w:highlight w:val="none"/>
          <w14:textFill>
            <w14:solidFill>
              <w14:schemeClr w14:val="tx1"/>
            </w14:solidFill>
          </w14:textFill>
        </w:rPr>
        <w:sectPr>
          <w:footerReference r:id="rId4" w:type="default"/>
          <w:pgSz w:w="11906" w:h="16838"/>
          <w:pgMar w:top="1440" w:right="1286" w:bottom="1440" w:left="1800" w:header="851" w:footer="992" w:gutter="0"/>
          <w:pgNumType w:start="1"/>
          <w:cols w:space="720" w:num="1"/>
          <w:docGrid w:type="lines" w:linePitch="312" w:charSpace="0"/>
        </w:sectPr>
      </w:pPr>
    </w:p>
    <w:tbl>
      <w:tblPr>
        <w:tblStyle w:val="43"/>
        <w:tblW w:w="8789" w:type="dxa"/>
        <w:tblInd w:w="0" w:type="dxa"/>
        <w:tblLayout w:type="fixed"/>
        <w:tblCellMar>
          <w:top w:w="0" w:type="dxa"/>
          <w:left w:w="0" w:type="dxa"/>
          <w:bottom w:w="0" w:type="dxa"/>
          <w:right w:w="0" w:type="dxa"/>
        </w:tblCellMar>
      </w:tblPr>
      <w:tblGrid>
        <w:gridCol w:w="8789"/>
      </w:tblGrid>
      <w:tr>
        <w:trPr>
          <w:trHeight w:val="13941" w:hRule="atLeast"/>
        </w:trPr>
        <w:tc>
          <w:tcPr>
            <w:tcW w:w="8789" w:type="dxa"/>
            <w:vAlign w:val="center"/>
          </w:tcPr>
          <w:p>
            <w:pPr>
              <w:pStyle w:val="4"/>
              <w:snapToGrid w:val="0"/>
              <w:spacing w:before="0" w:line="420" w:lineRule="exact"/>
              <w:ind w:left="425" w:hanging="425" w:firstLineChars="0"/>
              <w:jc w:val="center"/>
              <w:textAlignment w:val="baseline"/>
              <w:rPr>
                <w:rFonts w:hint="eastAsia" w:cs="仿宋_GB2312" w:asciiTheme="minorEastAsia" w:hAnsiTheme="minorEastAsia" w:eastAsiaTheme="minorEastAsia"/>
                <w:color w:val="000000" w:themeColor="text1"/>
                <w:sz w:val="36"/>
                <w:szCs w:val="36"/>
                <w:highlight w:val="none"/>
                <w14:textFill>
                  <w14:solidFill>
                    <w14:schemeClr w14:val="tx1"/>
                  </w14:solidFill>
                </w14:textFill>
              </w:rPr>
            </w:pPr>
            <w:r>
              <w:rPr>
                <w:rFonts w:asciiTheme="minorEastAsia" w:hAnsiTheme="minorEastAsia" w:eastAsiaTheme="minorEastAsia"/>
                <w:color w:val="000000" w:themeColor="text1"/>
                <w:sz w:val="44"/>
                <w:szCs w:val="44"/>
                <w:highlight w:val="none"/>
                <w14:textFill>
                  <w14:solidFill>
                    <w14:schemeClr w14:val="tx1"/>
                  </w14:solidFill>
                </w14:textFill>
              </w:rPr>
              <w:br w:type="column"/>
            </w:r>
            <w:bookmarkStart w:id="0" w:name="OLE_LINK1"/>
            <w:r>
              <w:rPr>
                <w:rFonts w:hint="eastAsia" w:cs="仿宋_GB2312" w:asciiTheme="minorEastAsia" w:hAnsiTheme="minorEastAsia" w:eastAsiaTheme="minorEastAsia"/>
                <w:color w:val="000000" w:themeColor="text1"/>
                <w:sz w:val="36"/>
                <w:szCs w:val="36"/>
                <w:highlight w:val="none"/>
                <w14:textFill>
                  <w14:solidFill>
                    <w14:schemeClr w14:val="tx1"/>
                  </w14:solidFill>
                </w14:textFill>
              </w:rPr>
              <w:t xml:space="preserve">第一部分 </w:t>
            </w:r>
            <w:bookmarkStart w:id="1" w:name="OLE_LINK7"/>
            <w:r>
              <w:rPr>
                <w:rFonts w:hint="eastAsia" w:cs="仿宋_GB2312" w:asciiTheme="minorEastAsia" w:hAnsiTheme="minorEastAsia" w:eastAsiaTheme="minorEastAsia"/>
                <w:color w:val="000000" w:themeColor="text1"/>
                <w:sz w:val="36"/>
                <w:szCs w:val="36"/>
                <w:highlight w:val="none"/>
                <w14:textFill>
                  <w14:solidFill>
                    <w14:schemeClr w14:val="tx1"/>
                  </w14:solidFill>
                </w14:textFill>
              </w:rPr>
              <w:t>招标公告</w:t>
            </w:r>
            <w:bookmarkStart w:id="2" w:name="OLE_LINK3"/>
            <w:bookmarkStart w:id="3" w:name="OLE_LINK6"/>
            <w:bookmarkStart w:id="4" w:name="OLE_LINK2"/>
          </w:p>
          <w:bookmarkEnd w:id="2"/>
          <w:tbl>
            <w:tblPr>
              <w:tblStyle w:val="4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2" w:hRule="atLeast"/>
              </w:trPr>
              <w:tc>
                <w:tcPr>
                  <w:tcW w:w="8784" w:type="dxa"/>
                </w:tcPr>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项目概况：</w:t>
                  </w:r>
                </w:p>
                <w:p>
                  <w:pPr>
                    <w:ind w:firstLine="480" w:firstLineChars="200"/>
                    <w:outlineLvl w:val="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lang w:eastAsia="zh-CN"/>
                      <w14:textFill>
                        <w14:solidFill>
                          <w14:schemeClr w14:val="tx1"/>
                        </w14:solidFill>
                      </w14:textFill>
                    </w:rPr>
                    <w:t>绍兴市轨道交通2号线一期房建及结构维保服务项目（2023-2026年）</w:t>
                  </w:r>
                  <w:r>
                    <w:rPr>
                      <w:rFonts w:hint="eastAsia" w:asciiTheme="minorEastAsia" w:hAnsiTheme="minorEastAsia" w:eastAsiaTheme="minorEastAsia"/>
                      <w:color w:val="000000" w:themeColor="text1"/>
                      <w:highlight w:val="none"/>
                      <w14:textFill>
                        <w14:solidFill>
                          <w14:schemeClr w14:val="tx1"/>
                        </w14:solidFill>
                      </w14:textFill>
                    </w:rPr>
                    <w:t>的潜在投标人应在网上报名获取（下载）采购文件，并于</w:t>
                  </w:r>
                  <w:r>
                    <w:rPr>
                      <w:rFonts w:asciiTheme="minorEastAsia" w:hAnsiTheme="minorEastAsia" w:eastAsiaTheme="minorEastAsia"/>
                      <w:color w:val="000000" w:themeColor="text1"/>
                      <w:highlight w:val="none"/>
                      <w14:textFill>
                        <w14:solidFill>
                          <w14:schemeClr w14:val="tx1"/>
                        </w14:solidFill>
                      </w14:textFill>
                    </w:rPr>
                    <w:t>202</w:t>
                  </w:r>
                  <w:r>
                    <w:rPr>
                      <w:rFonts w:hint="eastAsia" w:asciiTheme="minorEastAsia" w:hAnsiTheme="minorEastAsia" w:eastAsiaTheme="minorEastAsia"/>
                      <w:color w:val="000000" w:themeColor="text1"/>
                      <w:highlight w:val="none"/>
                      <w:lang w:val="en-US" w:eastAsia="zh-CN"/>
                      <w14:textFill>
                        <w14:solidFill>
                          <w14:schemeClr w14:val="tx1"/>
                        </w14:solidFill>
                      </w14:textFill>
                    </w:rPr>
                    <w:t>3</w:t>
                  </w:r>
                  <w:r>
                    <w:rPr>
                      <w:rFonts w:asciiTheme="minorEastAsia" w:hAnsiTheme="minorEastAsia" w:eastAsiaTheme="minorEastAsia"/>
                      <w:color w:val="000000" w:themeColor="text1"/>
                      <w:highlight w:val="none"/>
                      <w14:textFill>
                        <w14:solidFill>
                          <w14:schemeClr w14:val="tx1"/>
                        </w14:solidFill>
                      </w14:textFill>
                    </w:rPr>
                    <w:t xml:space="preserve">年  </w:t>
                  </w:r>
                  <w:r>
                    <w:rPr>
                      <w:rFonts w:hint="eastAsia" w:asciiTheme="minorEastAsia" w:hAnsiTheme="minorEastAsia" w:eastAsiaTheme="minorEastAsia"/>
                      <w:color w:val="000000" w:themeColor="text1"/>
                      <w:highlight w:val="none"/>
                      <w14:textFill>
                        <w14:solidFill>
                          <w14:schemeClr w14:val="tx1"/>
                        </w14:solidFill>
                      </w14:textFill>
                    </w:rPr>
                    <w:t>月</w:t>
                  </w:r>
                  <w:r>
                    <w:rPr>
                      <w:rFonts w:asciiTheme="minorEastAsia" w:hAnsiTheme="minorEastAsia" w:eastAsiaTheme="minorEastAsia"/>
                      <w:color w:val="000000" w:themeColor="text1"/>
                      <w:highlight w:val="non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日</w:t>
                  </w:r>
                  <w:r>
                    <w:rPr>
                      <w:rFonts w:asciiTheme="minorEastAsia" w:hAnsiTheme="minorEastAsia" w:eastAsiaTheme="minorEastAsia"/>
                      <w:color w:val="000000" w:themeColor="text1"/>
                      <w:highlight w:val="none"/>
                      <w14:textFill>
                        <w14:solidFill>
                          <w14:schemeClr w14:val="tx1"/>
                        </w14:solidFill>
                      </w14:textFill>
                    </w:rPr>
                    <w:t>9:</w:t>
                  </w:r>
                  <w:r>
                    <w:rPr>
                      <w:rFonts w:hint="eastAsia" w:asciiTheme="minorEastAsia" w:hAnsiTheme="minorEastAsia" w:eastAsiaTheme="minorEastAsia"/>
                      <w:color w:val="000000" w:themeColor="text1"/>
                      <w:highlight w:val="none"/>
                      <w14:textFill>
                        <w14:solidFill>
                          <w14:schemeClr w14:val="tx1"/>
                        </w14:solidFill>
                      </w14:textFill>
                    </w:rPr>
                    <w:t>0</w:t>
                  </w:r>
                  <w:r>
                    <w:rPr>
                      <w:rFonts w:asciiTheme="minorEastAsia" w:hAnsiTheme="minorEastAsia" w:eastAsiaTheme="minorEastAsia"/>
                      <w:color w:val="000000" w:themeColor="text1"/>
                      <w:highlight w:val="none"/>
                      <w14:textFill>
                        <w14:solidFill>
                          <w14:schemeClr w14:val="tx1"/>
                        </w14:solidFill>
                      </w14:textFill>
                    </w:rPr>
                    <w:t>0（北京时间）前递交投标文件。</w:t>
                  </w:r>
                </w:p>
              </w:tc>
            </w:tr>
          </w:tbl>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一、项目基本情况</w:t>
            </w:r>
          </w:p>
          <w:p>
            <w:pPr>
              <w:pStyle w:val="83"/>
              <w:spacing w:afterLines="0" w:line="420" w:lineRule="exact"/>
              <w:ind w:firstLine="480"/>
              <w:rPr>
                <w:rFonts w:cs="仿宋" w:asciiTheme="majorEastAsia" w:hAnsiTheme="majorEastAsia" w:eastAsiaTheme="majorEastAsia"/>
                <w:color w:val="000000" w:themeColor="text1"/>
                <w:szCs w:val="24"/>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项目编号：</w:t>
            </w:r>
            <w:r>
              <w:rPr>
                <w:rFonts w:hint="eastAsia" w:cs="仿宋" w:asciiTheme="majorEastAsia" w:hAnsiTheme="majorEastAsia" w:eastAsiaTheme="majorEastAsia"/>
                <w:color w:val="000000" w:themeColor="text1"/>
                <w:szCs w:val="24"/>
                <w:highlight w:val="none"/>
                <w14:textFill>
                  <w14:solidFill>
                    <w14:schemeClr w14:val="tx1"/>
                  </w14:solidFill>
                </w14:textFill>
              </w:rPr>
              <w:t>CGSHZJ-2023-N000808</w:t>
            </w:r>
          </w:p>
          <w:p>
            <w:pPr>
              <w:snapToGrid w:val="0"/>
              <w:spacing w:line="440" w:lineRule="exact"/>
              <w:ind w:firstLine="480" w:firstLineChars="200"/>
              <w:rPr>
                <w:rFonts w:hint="eastAsia" w:asciiTheme="minorEastAsia" w:hAnsiTheme="minorEastAsia" w:eastAsiaTheme="minorEastAsia"/>
                <w:color w:val="000000" w:themeColor="text1"/>
                <w:highlight w:val="none"/>
                <w:lang w:eastAsia="zh-CN"/>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项目名称：</w:t>
            </w:r>
            <w:r>
              <w:rPr>
                <w:rFonts w:hint="eastAsia" w:asciiTheme="minorEastAsia" w:hAnsiTheme="minorEastAsia" w:eastAsiaTheme="minorEastAsia"/>
                <w:color w:val="000000" w:themeColor="text1"/>
                <w:szCs w:val="20"/>
                <w:highlight w:val="none"/>
                <w:lang w:eastAsia="zh-CN"/>
                <w14:textFill>
                  <w14:solidFill>
                    <w14:schemeClr w14:val="tx1"/>
                  </w14:solidFill>
                </w14:textFill>
              </w:rPr>
              <w:t>绍兴市轨道交通2号线一期房建及结构维保服务项目（2023-2026年）</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采购方式：公开招标</w:t>
            </w:r>
          </w:p>
          <w:p>
            <w:pPr>
              <w:pStyle w:val="83"/>
              <w:spacing w:afterLines="0" w:line="420" w:lineRule="exact"/>
              <w:ind w:firstLine="480"/>
              <w:rPr>
                <w:rFonts w:hint="default" w:cs="仿宋" w:asciiTheme="majorEastAsia" w:hAnsiTheme="majorEastAsia" w:eastAsia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预算金额（元）：</w:t>
            </w:r>
            <w:r>
              <w:rPr>
                <w:rFonts w:hint="eastAsia" w:asciiTheme="minorEastAsia" w:hAnsiTheme="minorEastAsia" w:eastAsiaTheme="minorEastAsia"/>
                <w:color w:val="000000" w:themeColor="text1"/>
                <w:highlight w:val="none"/>
                <w:lang w:val="en-US" w:eastAsia="zh-CN"/>
                <w14:textFill>
                  <w14:solidFill>
                    <w14:schemeClr w14:val="tx1"/>
                  </w14:solidFill>
                </w14:textFill>
              </w:rPr>
              <w:t>16870000</w:t>
            </w:r>
          </w:p>
          <w:p>
            <w:pPr>
              <w:pStyle w:val="83"/>
              <w:spacing w:afterLines="0" w:line="420" w:lineRule="exact"/>
              <w:ind w:firstLine="480"/>
              <w:rPr>
                <w:rFonts w:cs="仿宋" w:asciiTheme="majorEastAsia" w:hAnsiTheme="majorEastAsia" w:eastAsiaTheme="majorEastAsia"/>
                <w:color w:val="000000" w:themeColor="text1"/>
                <w:szCs w:val="24"/>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最高限价（元）：</w:t>
            </w:r>
            <w:r>
              <w:rPr>
                <w:rFonts w:hint="eastAsia" w:asciiTheme="minorEastAsia" w:hAnsiTheme="minorEastAsia" w:eastAsiaTheme="minorEastAsia"/>
                <w:color w:val="000000" w:themeColor="text1"/>
                <w:highlight w:val="none"/>
                <w:lang w:val="en-US" w:eastAsia="zh-CN"/>
                <w14:textFill>
                  <w14:solidFill>
                    <w14:schemeClr w14:val="tx1"/>
                  </w14:solidFill>
                </w14:textFill>
              </w:rPr>
              <w:t>16870000</w:t>
            </w:r>
            <w:r>
              <w:rPr>
                <w:rFonts w:hint="eastAsia" w:asciiTheme="minorEastAsia" w:hAnsiTheme="minorEastAsia" w:eastAsiaTheme="minorEastAsia"/>
                <w:color w:val="000000" w:themeColor="text1"/>
                <w:highlight w:val="none"/>
                <w14:textFill>
                  <w14:solidFill>
                    <w14:schemeClr w14:val="tx1"/>
                  </w14:solidFill>
                </w14:textFill>
              </w:rPr>
              <w:t>(其中日常维保费用最高限价为</w:t>
            </w:r>
            <w:r>
              <w:rPr>
                <w:rFonts w:hint="eastAsia" w:asciiTheme="minorEastAsia" w:hAnsiTheme="minorEastAsia" w:eastAsiaTheme="minorEastAsia"/>
                <w:color w:val="000000" w:themeColor="text1"/>
                <w:highlight w:val="none"/>
                <w:lang w:val="en-US" w:eastAsia="zh-CN"/>
                <w14:textFill>
                  <w14:solidFill>
                    <w14:schemeClr w14:val="tx1"/>
                  </w14:solidFill>
                </w14:textFill>
              </w:rPr>
              <w:t>12900000</w:t>
            </w:r>
            <w:r>
              <w:rPr>
                <w:rFonts w:hint="eastAsia" w:asciiTheme="minorEastAsia" w:hAnsiTheme="minorEastAsia" w:eastAsiaTheme="minorEastAsia"/>
                <w:color w:val="000000" w:themeColor="text1"/>
                <w:highlight w:val="none"/>
                <w14:textFill>
                  <w14:solidFill>
                    <w14:schemeClr w14:val="tx1"/>
                  </w14:solidFill>
                </w14:textFill>
              </w:rPr>
              <w:t>元）</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采购需求：详见采购文件</w:t>
            </w:r>
          </w:p>
          <w:p>
            <w:pPr>
              <w:snapToGrid w:val="0"/>
              <w:spacing w:line="440" w:lineRule="exact"/>
              <w:ind w:left="480" w:leftChars="200"/>
              <w:rPr>
                <w:rFonts w:hint="eastAsia" w:eastAsia="宋体" w:asciiTheme="minorEastAsia" w:hAnsiTheme="minorEastAsia"/>
                <w:color w:val="000000" w:themeColor="text1"/>
                <w:highlight w:val="none"/>
                <w:lang w:eastAsia="zh-CN"/>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标项一</w:t>
            </w:r>
            <w:r>
              <w:rPr>
                <w:rFonts w:asciiTheme="minorEastAsia" w:hAnsiTheme="minorEastAsia" w:eastAsiaTheme="minorEastAsia"/>
                <w:color w:val="000000" w:themeColor="text1"/>
                <w:highlight w:val="none"/>
                <w14:textFill>
                  <w14:solidFill>
                    <w14:schemeClr w14:val="tx1"/>
                  </w14:solidFill>
                </w14:textFill>
              </w:rPr>
              <w:t>:</w:t>
            </w:r>
            <w:r>
              <w:rPr>
                <w:rFonts w:asciiTheme="minorEastAsia" w:hAnsiTheme="minorEastAsia" w:eastAsiaTheme="minorEastAsia"/>
                <w:color w:val="000000" w:themeColor="text1"/>
                <w:highlight w:val="none"/>
                <w14:textFill>
                  <w14:solidFill>
                    <w14:schemeClr w14:val="tx1"/>
                  </w14:solidFill>
                </w14:textFill>
              </w:rPr>
              <w:br w:type="textWrapping"/>
            </w:r>
            <w:r>
              <w:rPr>
                <w:rFonts w:hint="eastAsia" w:asciiTheme="minorEastAsia" w:hAnsiTheme="minorEastAsia" w:eastAsiaTheme="minorEastAsia"/>
                <w:color w:val="000000" w:themeColor="text1"/>
                <w:highlight w:val="none"/>
                <w14:textFill>
                  <w14:solidFill>
                    <w14:schemeClr w14:val="tx1"/>
                  </w14:solidFill>
                </w14:textFill>
              </w:rPr>
              <w:t>标项名称</w:t>
            </w:r>
            <w:r>
              <w:rPr>
                <w:rFonts w:asciiTheme="minorEastAsia" w:hAnsiTheme="minorEastAsia" w:eastAsiaTheme="minorEastAsia"/>
                <w:color w:val="000000" w:themeColor="text1"/>
                <w:highlight w:val="none"/>
                <w14:textFill>
                  <w14:solidFill>
                    <w14:schemeClr w14:val="tx1"/>
                  </w14:solidFill>
                </w14:textFill>
              </w:rPr>
              <w:t>:</w:t>
            </w:r>
            <w:r>
              <w:rPr>
                <w:rFonts w:hint="eastAsia"/>
                <w:highlight w:val="none"/>
              </w:rPr>
              <w:t xml:space="preserve"> </w:t>
            </w:r>
            <w:r>
              <w:rPr>
                <w:rFonts w:hint="eastAsia" w:asciiTheme="minorEastAsia" w:hAnsiTheme="minorEastAsia" w:eastAsiaTheme="minorEastAsia"/>
                <w:color w:val="000000" w:themeColor="text1"/>
                <w:highlight w:val="none"/>
                <w:lang w:eastAsia="zh-CN"/>
                <w14:textFill>
                  <w14:solidFill>
                    <w14:schemeClr w14:val="tx1"/>
                  </w14:solidFill>
                </w14:textFill>
              </w:rPr>
              <w:t>绍兴市轨道交通2号线一期房建及结构维保服务项目（2023-2026年）</w:t>
            </w:r>
          </w:p>
          <w:p>
            <w:pPr>
              <w:pStyle w:val="83"/>
              <w:spacing w:afterLines="0" w:line="420" w:lineRule="exact"/>
              <w:ind w:left="480" w:leftChars="200" w:firstLine="0" w:firstLineChars="0"/>
              <w:rPr>
                <w:rFonts w:hint="default" w:cs="仿宋" w:asciiTheme="majorEastAsia" w:hAnsiTheme="majorEastAsia" w:eastAsiaTheme="minorEastAsia"/>
                <w:color w:val="000000" w:themeColor="text1"/>
                <w:szCs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数量</w:t>
            </w:r>
            <w:r>
              <w:rPr>
                <w:rFonts w:asciiTheme="minorEastAsia" w:hAnsiTheme="minorEastAsia" w:eastAsiaTheme="minorEastAsia"/>
                <w:color w:val="000000" w:themeColor="text1"/>
                <w:highlight w:val="none"/>
                <w14:textFill>
                  <w14:solidFill>
                    <w14:schemeClr w14:val="tx1"/>
                  </w14:solidFill>
                </w14:textFill>
              </w:rPr>
              <w:t>:1</w:t>
            </w:r>
            <w:r>
              <w:rPr>
                <w:rFonts w:asciiTheme="minorEastAsia" w:hAnsiTheme="minorEastAsia" w:eastAsiaTheme="minorEastAsia"/>
                <w:color w:val="000000" w:themeColor="text1"/>
                <w:highlight w:val="none"/>
                <w14:textFill>
                  <w14:solidFill>
                    <w14:schemeClr w14:val="tx1"/>
                  </w14:solidFill>
                </w14:textFill>
              </w:rPr>
              <w:br w:type="textWrapping"/>
            </w:r>
            <w:r>
              <w:rPr>
                <w:rFonts w:hint="eastAsia" w:asciiTheme="minorEastAsia" w:hAnsiTheme="minorEastAsia" w:eastAsiaTheme="minorEastAsia"/>
                <w:color w:val="000000" w:themeColor="text1"/>
                <w:highlight w:val="none"/>
                <w14:textFill>
                  <w14:solidFill>
                    <w14:schemeClr w14:val="tx1"/>
                  </w14:solidFill>
                </w14:textFill>
              </w:rPr>
              <w:t>预算金额（元）</w:t>
            </w:r>
            <w:r>
              <w:rPr>
                <w:rFonts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lang w:val="en-US" w:eastAsia="zh-CN"/>
                <w14:textFill>
                  <w14:solidFill>
                    <w14:schemeClr w14:val="tx1"/>
                  </w14:solidFill>
                </w14:textFill>
              </w:rPr>
              <w:t>16870000</w:t>
            </w:r>
          </w:p>
          <w:p>
            <w:pPr>
              <w:snapToGrid w:val="0"/>
              <w:spacing w:line="440" w:lineRule="exact"/>
              <w:ind w:left="480" w:left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简要规格描述或项目基本概况介绍、用途：详见采购文件</w:t>
            </w:r>
            <w:r>
              <w:rPr>
                <w:rFonts w:asciiTheme="minorEastAsia" w:hAnsiTheme="minorEastAsia" w:eastAsiaTheme="minorEastAsia"/>
                <w:color w:val="000000" w:themeColor="text1"/>
                <w:highlight w:val="none"/>
                <w14:textFill>
                  <w14:solidFill>
                    <w14:schemeClr w14:val="tx1"/>
                  </w14:solidFill>
                </w14:textFill>
              </w:rPr>
              <w:br w:type="textWrapping"/>
            </w:r>
            <w:r>
              <w:rPr>
                <w:rFonts w:hint="eastAsia" w:asciiTheme="minorEastAsia" w:hAnsiTheme="minorEastAsia" w:eastAsiaTheme="minorEastAsia"/>
                <w:color w:val="000000" w:themeColor="text1"/>
                <w:highlight w:val="none"/>
                <w14:textFill>
                  <w14:solidFill>
                    <w14:schemeClr w14:val="tx1"/>
                  </w14:solidFill>
                </w14:textFill>
              </w:rPr>
              <w:t>备注：</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合同履约期限：按双方合同约定条款执行。</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本项目不接受联合体投标。</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二、申请人的资格要求：</w:t>
            </w:r>
          </w:p>
          <w:p>
            <w:pPr>
              <w:pStyle w:val="83"/>
              <w:spacing w:after="156" w:line="440" w:lineRule="exact"/>
              <w:ind w:firstLine="480"/>
              <w:jc w:val="left"/>
              <w:rPr>
                <w:rFonts w:cs="宋体" w:asciiTheme="minorEastAsia" w:hAnsiTheme="minorEastAsia" w:eastAsiaTheme="minorEastAsia"/>
                <w:color w:val="000000" w:themeColor="text1"/>
                <w:szCs w:val="24"/>
                <w:highlight w:val="none"/>
                <w14:textFill>
                  <w14:solidFill>
                    <w14:schemeClr w14:val="tx1"/>
                  </w14:solidFill>
                </w14:textFill>
              </w:rPr>
            </w:pPr>
            <w:r>
              <w:rPr>
                <w:rFonts w:hint="eastAsia" w:cs="宋体" w:asciiTheme="minorEastAsia" w:hAnsiTheme="minorEastAsia" w:eastAsiaTheme="minorEastAsia"/>
                <w:color w:val="000000" w:themeColor="text1"/>
                <w:szCs w:val="24"/>
                <w:highlight w:val="none"/>
                <w14:textFill>
                  <w14:solidFill>
                    <w14:schemeClr w14:val="tx1"/>
                  </w14:solidFill>
                </w14:textFill>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83"/>
              <w:spacing w:afterLines="0" w:line="440" w:lineRule="exact"/>
              <w:ind w:firstLine="480"/>
              <w:rPr>
                <w:rFonts w:cs="宋体" w:asciiTheme="minorEastAsia" w:hAnsiTheme="minorEastAsia" w:eastAsiaTheme="minorEastAsia"/>
                <w:color w:val="000000" w:themeColor="text1"/>
                <w:szCs w:val="24"/>
                <w:highlight w:val="none"/>
                <w14:textFill>
                  <w14:solidFill>
                    <w14:schemeClr w14:val="tx1"/>
                  </w14:solidFill>
                </w14:textFill>
              </w:rPr>
            </w:pPr>
            <w:r>
              <w:rPr>
                <w:rFonts w:hint="eastAsia" w:cs="宋体" w:asciiTheme="minorEastAsia" w:hAnsiTheme="minorEastAsia" w:eastAsiaTheme="minorEastAsia"/>
                <w:color w:val="000000" w:themeColor="text1"/>
                <w:szCs w:val="24"/>
                <w:highlight w:val="none"/>
                <w14:textFill>
                  <w14:solidFill>
                    <w14:schemeClr w14:val="tx1"/>
                  </w14:solidFill>
                </w14:textFill>
              </w:rPr>
              <w:t>2.以联合体形式投标的，提供联合体协议（本项目不接受联合体投标或者投标人不以联合体形式投标的，则不需要提供）；</w:t>
            </w:r>
          </w:p>
          <w:p>
            <w:pPr>
              <w:pStyle w:val="83"/>
              <w:spacing w:afterLines="0" w:line="440" w:lineRule="exact"/>
              <w:ind w:firstLine="480"/>
              <w:rPr>
                <w:rFonts w:cs="宋体" w:asciiTheme="minorEastAsia" w:hAnsiTheme="minorEastAsia" w:eastAsiaTheme="minorEastAsia"/>
                <w:color w:val="000000" w:themeColor="text1"/>
                <w:szCs w:val="24"/>
                <w:highlight w:val="none"/>
                <w14:textFill>
                  <w14:solidFill>
                    <w14:schemeClr w14:val="tx1"/>
                  </w14:solidFill>
                </w14:textFill>
              </w:rPr>
            </w:pPr>
            <w:r>
              <w:rPr>
                <w:rFonts w:hint="eastAsia" w:cs="宋体" w:asciiTheme="minorEastAsia" w:hAnsiTheme="minorEastAsia" w:eastAsiaTheme="minorEastAsia"/>
                <w:color w:val="000000" w:themeColor="text1"/>
                <w:szCs w:val="24"/>
                <w:highlight w:val="none"/>
                <w14:textFill>
                  <w14:solidFill>
                    <w14:schemeClr w14:val="tx1"/>
                  </w14:solidFill>
                </w14:textFill>
              </w:rPr>
              <w:t>3.落实政府采购政策需满足的资格要求：</w:t>
            </w:r>
          </w:p>
          <w:p>
            <w:pPr>
              <w:pStyle w:val="83"/>
              <w:spacing w:afterLines="0" w:line="400" w:lineRule="exact"/>
              <w:ind w:firstLine="480"/>
              <w:rPr>
                <w:rFonts w:asciiTheme="minorEastAsia" w:hAnsiTheme="minorEastAsia" w:eastAsiaTheme="minorEastAsia"/>
                <w:color w:val="000000" w:themeColor="text1"/>
                <w:szCs w:val="24"/>
                <w:highlight w:val="none"/>
                <w14:textFill>
                  <w14:solidFill>
                    <w14:schemeClr w14:val="tx1"/>
                  </w14:solidFill>
                </w14:textFill>
              </w:rPr>
            </w:pPr>
            <w:sdt>
              <w:sdtPr>
                <w:rPr>
                  <w:rFonts w:hint="eastAsia" w:cs="Arial" w:asciiTheme="minorEastAsia" w:hAnsiTheme="minorEastAsia" w:eastAsiaTheme="minorEastAsia"/>
                  <w:color w:val="000000" w:themeColor="text1"/>
                  <w:highlight w:val="none"/>
                  <w14:textFill>
                    <w14:solidFill>
                      <w14:schemeClr w14:val="tx1"/>
                    </w14:solidFill>
                  </w14:textFill>
                </w:rPr>
                <w:id w:val="725337177"/>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r>
                  <w:rPr>
                    <w:rFonts w:cs="Arial" w:asciiTheme="minorEastAsia" w:hAnsiTheme="minorEastAsia" w:eastAsiaTheme="minorEastAsia"/>
                    <w:color w:val="000000" w:themeColor="text1"/>
                    <w:highlight w:val="none"/>
                    <w14:textFill>
                      <w14:solidFill>
                        <w14:schemeClr w14:val="tx1"/>
                      </w14:solidFill>
                    </w14:textFill>
                  </w:rPr>
                  <w:sym w:font="Wingdings" w:char="F0FE"/>
                </w:r>
              </w:sdtContent>
            </w:sdt>
            <w:r>
              <w:rPr>
                <w:rFonts w:hint="eastAsia" w:asciiTheme="minorEastAsia" w:hAnsiTheme="minorEastAsia" w:eastAsiaTheme="minorEastAsia"/>
                <w:color w:val="000000" w:themeColor="text1"/>
                <w:highlight w:val="none"/>
                <w14:textFill>
                  <w14:solidFill>
                    <w14:schemeClr w14:val="tx1"/>
                  </w14:solidFill>
                </w14:textFill>
              </w:rPr>
              <w:t>无；</w:t>
            </w:r>
          </w:p>
          <w:p>
            <w:pPr>
              <w:spacing w:line="40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hAnsi="MS Mincho" w:eastAsia="MS Mincho" w:cs="MS Mincho" w:asciiTheme="minorEastAsia"/>
                <w:color w:val="000000" w:themeColor="text1"/>
                <w:highlight w:val="none"/>
                <w14:textFill>
                  <w14:solidFill>
                    <w14:schemeClr w14:val="tx1"/>
                  </w14:solidFill>
                </w14:textFill>
              </w:rPr>
              <w:t>☐</w:t>
            </w:r>
            <w:r>
              <w:rPr>
                <w:rFonts w:hint="eastAsia" w:cs="Arial" w:asciiTheme="minorEastAsia" w:hAnsiTheme="minorEastAsia" w:eastAsiaTheme="minorEastAsia"/>
                <w:color w:val="000000" w:themeColor="text1"/>
                <w:highlight w:val="none"/>
                <w14:textFill>
                  <w14:solidFill>
                    <w14:schemeClr w14:val="tx1"/>
                  </w14:solidFill>
                </w14:textFill>
              </w:rPr>
              <w:t>专</w:t>
            </w:r>
            <w:r>
              <w:rPr>
                <w:rFonts w:hint="eastAsia" w:asciiTheme="minorEastAsia" w:hAnsiTheme="minorEastAsia" w:eastAsiaTheme="minorEastAsia"/>
                <w:color w:val="000000" w:themeColor="text1"/>
                <w:highlight w:val="none"/>
                <w14:textFill>
                  <w14:solidFill>
                    <w14:schemeClr w14:val="tx1"/>
                  </w14:solidFill>
                </w14:textFill>
              </w:rPr>
              <w:t>门面向中小企业</w:t>
            </w:r>
          </w:p>
          <w:p>
            <w:pPr>
              <w:spacing w:line="400" w:lineRule="exact"/>
              <w:ind w:firstLine="897" w:firstLineChars="374"/>
              <w:rPr>
                <w:rFonts w:asciiTheme="minorEastAsia" w:hAnsiTheme="minorEastAsia" w:eastAsiaTheme="minorEastAsia"/>
                <w:color w:val="000000" w:themeColor="text1"/>
                <w:highlight w:val="none"/>
                <w14:textFill>
                  <w14:solidFill>
                    <w14:schemeClr w14:val="tx1"/>
                  </w14:solidFill>
                </w14:textFill>
              </w:rPr>
            </w:pPr>
            <w:r>
              <w:rPr>
                <w:rFonts w:hint="eastAsia" w:hAnsi="MS Mincho" w:eastAsia="MS Mincho" w:cs="MS Mincho" w:ascii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货物全部由符合政策要求的中小企业制造，提供中小企业声明函；</w:t>
            </w:r>
          </w:p>
          <w:p>
            <w:pPr>
              <w:spacing w:line="400" w:lineRule="exact"/>
              <w:ind w:firstLine="897" w:firstLineChars="374"/>
              <w:rPr>
                <w:rFonts w:asciiTheme="minorEastAsia" w:hAnsiTheme="minorEastAsia" w:eastAsiaTheme="minorEastAsia"/>
                <w:color w:val="000000" w:themeColor="text1"/>
                <w:highlight w:val="none"/>
                <w14:textFill>
                  <w14:solidFill>
                    <w14:schemeClr w14:val="tx1"/>
                  </w14:solidFill>
                </w14:textFill>
              </w:rPr>
            </w:pPr>
            <w:sdt>
              <w:sdtPr>
                <w:rPr>
                  <w:rFonts w:hint="eastAsia" w:cs="Arial" w:asciiTheme="minorEastAsia" w:hAnsiTheme="minorEastAsia" w:eastAsiaTheme="minorEastAsia"/>
                  <w:color w:val="000000" w:themeColor="text1"/>
                  <w:highlight w:val="none"/>
                  <w14:textFill>
                    <w14:solidFill>
                      <w14:schemeClr w14:val="tx1"/>
                    </w14:solidFill>
                  </w14:textFill>
                </w:rPr>
                <w:id w:val="-323659898"/>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sdt>
                  <w:sdtPr>
                    <w:rPr>
                      <w:rFonts w:hint="eastAsia" w:cs="Arial" w:asciiTheme="minorEastAsia" w:hAnsiTheme="minorEastAsia" w:eastAsiaTheme="minorEastAsia"/>
                      <w:color w:val="000000" w:themeColor="text1"/>
                      <w:highlight w:val="none"/>
                      <w14:textFill>
                        <w14:solidFill>
                          <w14:schemeClr w14:val="tx1"/>
                        </w14:solidFill>
                      </w14:textFill>
                    </w:rPr>
                    <w:id w:val="279565509"/>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r>
                      <w:rPr>
                        <w:rFonts w:hint="eastAsia" w:hAnsi="MS Mincho" w:eastAsia="MS Mincho" w:cs="MS Mincho" w:asciiTheme="minorEastAsia"/>
                        <w:color w:val="000000" w:themeColor="text1"/>
                        <w:highlight w:val="none"/>
                        <w14:textFill>
                          <w14:solidFill>
                            <w14:schemeClr w14:val="tx1"/>
                          </w14:solidFill>
                        </w14:textFill>
                      </w:rPr>
                      <w:t>☐</w:t>
                    </w:r>
                  </w:sdtContent>
                </w:sdt>
              </w:sdtContent>
            </w:sdt>
            <w:r>
              <w:rPr>
                <w:rFonts w:hint="eastAsia" w:asciiTheme="minorEastAsia" w:hAnsiTheme="minorEastAsia" w:eastAsiaTheme="minorEastAsia"/>
                <w:color w:val="000000" w:themeColor="text1"/>
                <w:highlight w:val="none"/>
                <w14:textFill>
                  <w14:solidFill>
                    <w14:schemeClr w14:val="tx1"/>
                  </w14:solidFill>
                </w14:textFill>
              </w:rPr>
              <w:t>货物全部由符合政策要求的小微企业制造，提供中小企业声明函；</w:t>
            </w:r>
          </w:p>
          <w:p>
            <w:pPr>
              <w:spacing w:line="400" w:lineRule="exact"/>
              <w:ind w:firstLine="897" w:firstLineChars="374"/>
              <w:rPr>
                <w:rFonts w:asciiTheme="minorEastAsia" w:hAnsiTheme="minorEastAsia" w:eastAsiaTheme="minorEastAsia"/>
                <w:color w:val="000000" w:themeColor="text1"/>
                <w:highlight w:val="none"/>
                <w14:textFill>
                  <w14:solidFill>
                    <w14:schemeClr w14:val="tx1"/>
                  </w14:solidFill>
                </w14:textFill>
              </w:rPr>
            </w:pPr>
            <w:sdt>
              <w:sdtPr>
                <w:rPr>
                  <w:rFonts w:hint="eastAsia" w:cs="Arial" w:asciiTheme="minorEastAsia" w:hAnsiTheme="minorEastAsia" w:eastAsiaTheme="minorEastAsia"/>
                  <w:color w:val="000000" w:themeColor="text1"/>
                  <w:highlight w:val="none"/>
                  <w14:textFill>
                    <w14:solidFill>
                      <w14:schemeClr w14:val="tx1"/>
                    </w14:solidFill>
                  </w14:textFill>
                </w:rPr>
                <w:id w:val="306902902"/>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sdt>
                  <w:sdtPr>
                    <w:rPr>
                      <w:rFonts w:hint="eastAsia" w:cs="Arial" w:asciiTheme="minorEastAsia" w:hAnsiTheme="minorEastAsia" w:eastAsiaTheme="minorEastAsia"/>
                      <w:color w:val="000000" w:themeColor="text1"/>
                      <w:highlight w:val="none"/>
                      <w14:textFill>
                        <w14:solidFill>
                          <w14:schemeClr w14:val="tx1"/>
                        </w14:solidFill>
                      </w14:textFill>
                    </w:rPr>
                    <w:id w:val="279565511"/>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r>
                      <w:rPr>
                        <w:rFonts w:hint="eastAsia" w:hAnsi="MS Mincho" w:eastAsia="MS Mincho" w:cs="MS Mincho" w:asciiTheme="minorEastAsia"/>
                        <w:color w:val="000000" w:themeColor="text1"/>
                        <w:highlight w:val="none"/>
                        <w14:textFill>
                          <w14:solidFill>
                            <w14:schemeClr w14:val="tx1"/>
                          </w14:solidFill>
                        </w14:textFill>
                      </w:rPr>
                      <w:t>☐</w:t>
                    </w:r>
                  </w:sdtContent>
                </w:sdt>
              </w:sdtContent>
            </w:sdt>
            <w:r>
              <w:rPr>
                <w:rFonts w:hint="eastAsia" w:asciiTheme="minorEastAsia" w:hAnsiTheme="minorEastAsia" w:eastAsiaTheme="minorEastAsia"/>
                <w:color w:val="000000" w:themeColor="text1"/>
                <w:highlight w:val="none"/>
                <w14:textFill>
                  <w14:solidFill>
                    <w14:schemeClr w14:val="tx1"/>
                  </w14:solidFill>
                </w14:textFill>
              </w:rPr>
              <w:t>服务全部由符合政策要求的中小企业承接，提供中小企业声明函；</w:t>
            </w:r>
          </w:p>
          <w:p>
            <w:pPr>
              <w:spacing w:line="400" w:lineRule="exact"/>
              <w:ind w:firstLine="897" w:firstLineChars="374"/>
              <w:rPr>
                <w:rFonts w:asciiTheme="minorEastAsia" w:hAnsiTheme="minorEastAsia" w:eastAsiaTheme="minorEastAsia"/>
                <w:color w:val="000000" w:themeColor="text1"/>
                <w:highlight w:val="none"/>
                <w14:textFill>
                  <w14:solidFill>
                    <w14:schemeClr w14:val="tx1"/>
                  </w14:solidFill>
                </w14:textFill>
              </w:rPr>
            </w:pPr>
            <w:sdt>
              <w:sdtPr>
                <w:rPr>
                  <w:rFonts w:hint="eastAsia" w:cs="Arial" w:asciiTheme="minorEastAsia" w:hAnsiTheme="minorEastAsia" w:eastAsiaTheme="minorEastAsia"/>
                  <w:color w:val="000000" w:themeColor="text1"/>
                  <w:highlight w:val="none"/>
                  <w14:textFill>
                    <w14:solidFill>
                      <w14:schemeClr w14:val="tx1"/>
                    </w14:solidFill>
                  </w14:textFill>
                </w:rPr>
                <w:id w:val="-469594122"/>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sdt>
                  <w:sdtPr>
                    <w:rPr>
                      <w:rFonts w:hint="eastAsia" w:cs="Arial" w:asciiTheme="minorEastAsia" w:hAnsiTheme="minorEastAsia" w:eastAsiaTheme="minorEastAsia"/>
                      <w:color w:val="000000" w:themeColor="text1"/>
                      <w:highlight w:val="none"/>
                      <w14:textFill>
                        <w14:solidFill>
                          <w14:schemeClr w14:val="tx1"/>
                        </w14:solidFill>
                      </w14:textFill>
                    </w:rPr>
                    <w:id w:val="279565513"/>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r>
                      <w:rPr>
                        <w:rFonts w:hint="eastAsia" w:hAnsi="MS Mincho" w:eastAsia="MS Mincho" w:cs="MS Mincho" w:asciiTheme="minorEastAsia"/>
                        <w:color w:val="000000" w:themeColor="text1"/>
                        <w:highlight w:val="none"/>
                        <w14:textFill>
                          <w14:solidFill>
                            <w14:schemeClr w14:val="tx1"/>
                          </w14:solidFill>
                        </w14:textFill>
                      </w:rPr>
                      <w:t>☐</w:t>
                    </w:r>
                  </w:sdtContent>
                </w:sdt>
              </w:sdtContent>
            </w:sdt>
            <w:r>
              <w:rPr>
                <w:rFonts w:hint="eastAsia" w:asciiTheme="minorEastAsia" w:hAnsiTheme="minorEastAsia" w:eastAsiaTheme="minorEastAsia"/>
                <w:color w:val="000000" w:themeColor="text1"/>
                <w:highlight w:val="none"/>
                <w14:textFill>
                  <w14:solidFill>
                    <w14:schemeClr w14:val="tx1"/>
                  </w14:solidFill>
                </w14:textFill>
              </w:rPr>
              <w:t>服务全部由符合政策要求的小微企业承接，提供中小企业声明函；</w:t>
            </w:r>
          </w:p>
          <w:p>
            <w:pPr>
              <w:spacing w:line="40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sdt>
              <w:sdtPr>
                <w:rPr>
                  <w:rFonts w:hint="eastAsia" w:cs="Arial" w:asciiTheme="minorEastAsia" w:hAnsiTheme="minorEastAsia" w:eastAsiaTheme="minorEastAsia"/>
                  <w:color w:val="000000" w:themeColor="text1"/>
                  <w:highlight w:val="none"/>
                  <w14:textFill>
                    <w14:solidFill>
                      <w14:schemeClr w14:val="tx1"/>
                    </w14:solidFill>
                  </w14:textFill>
                </w:rPr>
                <w:id w:val="603697228"/>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sdt>
                  <w:sdtPr>
                    <w:rPr>
                      <w:rFonts w:hint="eastAsia" w:cs="Arial" w:asciiTheme="minorEastAsia" w:hAnsiTheme="minorEastAsia" w:eastAsiaTheme="minorEastAsia"/>
                      <w:color w:val="000000" w:themeColor="text1"/>
                      <w:highlight w:val="none"/>
                      <w14:textFill>
                        <w14:solidFill>
                          <w14:schemeClr w14:val="tx1"/>
                        </w14:solidFill>
                      </w14:textFill>
                    </w:rPr>
                    <w:id w:val="279565515"/>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r>
                      <w:rPr>
                        <w:rFonts w:hint="eastAsia" w:hAnsi="MS Mincho" w:eastAsia="MS Mincho" w:cs="MS Mincho" w:asciiTheme="minorEastAsia"/>
                        <w:color w:val="000000" w:themeColor="text1"/>
                        <w:highlight w:val="none"/>
                        <w14:textFill>
                          <w14:solidFill>
                            <w14:schemeClr w14:val="tx1"/>
                          </w14:solidFill>
                        </w14:textFill>
                      </w:rPr>
                      <w:t>☐</w:t>
                    </w:r>
                  </w:sdtContent>
                </w:sdt>
              </w:sdtContent>
            </w:sdt>
            <w:r>
              <w:rPr>
                <w:rFonts w:hint="eastAsia" w:asciiTheme="minorEastAsia" w:hAnsiTheme="minorEastAsia" w:eastAsiaTheme="minorEastAsia"/>
                <w:color w:val="000000" w:themeColor="text1"/>
                <w:highlight w:val="none"/>
                <w14:textFill>
                  <w14:solidFill>
                    <w14:schemeClr w14:val="tx1"/>
                  </w14:solidFill>
                </w14:textFill>
              </w:rPr>
              <w:t>要求以联合体形式参加，提供联合协议和中小企业声明函，联合协议中中小企业合同金额应当达到</w:t>
            </w:r>
            <w:r>
              <w:rPr>
                <w:rFonts w:hint="eastAsia"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%，小微企业合同金额应当达到</w:t>
            </w:r>
            <w:r>
              <w:rPr>
                <w:rFonts w:hint="eastAsia" w:asciiTheme="minorEastAsia" w:hAnsiTheme="minorEastAsia" w:eastAsiaTheme="minorEastAsia"/>
                <w:color w:val="000000" w:themeColor="text1"/>
                <w:highlight w:val="none"/>
                <w:u w:val="single"/>
                <w14:textFill>
                  <w14:solidFill>
                    <w14:schemeClr w14:val="tx1"/>
                  </w14:solidFill>
                </w14:textFill>
              </w:rPr>
              <w:t xml:space="preserve"> </w:t>
            </w:r>
            <w:r>
              <w:rPr>
                <w:rFonts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spacing w:val="8"/>
                <w:highlight w:val="none"/>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Theme="minorEastAsia" w:hAnsiTheme="minorEastAsia" w:eastAsiaTheme="minorEastAsia"/>
                <w:color w:val="000000" w:themeColor="text1"/>
                <w:highlight w:val="none"/>
                <w14:textFill>
                  <w14:solidFill>
                    <w14:schemeClr w14:val="tx1"/>
                  </w14:solidFill>
                </w14:textFill>
              </w:rPr>
              <w:t>；</w:t>
            </w:r>
          </w:p>
          <w:p>
            <w:pPr>
              <w:spacing w:line="40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sdt>
              <w:sdtPr>
                <w:rPr>
                  <w:rFonts w:hint="eastAsia" w:cs="Arial" w:asciiTheme="minorEastAsia" w:hAnsiTheme="minorEastAsia" w:eastAsiaTheme="minorEastAsia"/>
                  <w:color w:val="000000" w:themeColor="text1"/>
                  <w:highlight w:val="none"/>
                  <w14:textFill>
                    <w14:solidFill>
                      <w14:schemeClr w14:val="tx1"/>
                    </w14:solidFill>
                  </w14:textFill>
                </w:rPr>
                <w:id w:val="34630645"/>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sdt>
                  <w:sdtPr>
                    <w:rPr>
                      <w:rFonts w:hint="eastAsia" w:cs="Arial" w:asciiTheme="minorEastAsia" w:hAnsiTheme="minorEastAsia" w:eastAsiaTheme="minorEastAsia"/>
                      <w:color w:val="000000" w:themeColor="text1"/>
                      <w:highlight w:val="none"/>
                      <w14:textFill>
                        <w14:solidFill>
                          <w14:schemeClr w14:val="tx1"/>
                        </w14:solidFill>
                      </w14:textFill>
                    </w:rPr>
                    <w:id w:val="279565517"/>
                  </w:sdtPr>
                  <w:sdtEndPr>
                    <w:rPr>
                      <w:rFonts w:hint="eastAsia" w:cs="Arial" w:asciiTheme="minorEastAsia" w:hAnsiTheme="minorEastAsia" w:eastAsiaTheme="minorEastAsia"/>
                      <w:color w:val="000000" w:themeColor="text1"/>
                      <w:highlight w:val="none"/>
                      <w14:textFill>
                        <w14:solidFill>
                          <w14:schemeClr w14:val="tx1"/>
                        </w14:solidFill>
                      </w14:textFill>
                    </w:rPr>
                  </w:sdtEndPr>
                  <w:sdtContent>
                    <w:r>
                      <w:rPr>
                        <w:rFonts w:hint="eastAsia" w:hAnsi="MS Mincho" w:eastAsia="MS Mincho" w:cs="MS Mincho" w:asciiTheme="minorEastAsia"/>
                        <w:color w:val="000000" w:themeColor="text1"/>
                        <w:highlight w:val="none"/>
                        <w14:textFill>
                          <w14:solidFill>
                            <w14:schemeClr w14:val="tx1"/>
                          </w14:solidFill>
                        </w14:textFill>
                      </w:rPr>
                      <w:t>☐</w:t>
                    </w:r>
                  </w:sdtContent>
                </w:sdt>
              </w:sdtContent>
            </w:sdt>
            <w:r>
              <w:rPr>
                <w:rFonts w:hint="eastAsia" w:asciiTheme="minorEastAsia" w:hAnsiTheme="minorEastAsia" w:eastAsiaTheme="minorEastAsia"/>
                <w:color w:val="000000" w:themeColor="text1"/>
                <w:highlight w:val="none"/>
                <w14:textFill>
                  <w14:solidFill>
                    <w14:schemeClr w14:val="tx1"/>
                  </w14:solidFill>
                </w14:textFill>
              </w:rPr>
              <w:t>要求合同分包，提供分包意向协议和中小企业声明函，分包意向协议中中小企业合同金额应当达到达到</w:t>
            </w:r>
            <w:r>
              <w:rPr>
                <w:rFonts w:hint="eastAsia"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%，小微企业合同金额应当达到</w:t>
            </w:r>
            <w:r>
              <w:rPr>
                <w:rFonts w:hint="eastAsia" w:asciiTheme="minorEastAsia" w:hAnsiTheme="minorEastAsia" w:eastAsiaTheme="minorEastAsia"/>
                <w:color w:val="000000" w:themeColor="text1"/>
                <w:highlight w:val="none"/>
                <w:u w:val="single"/>
                <w14:textFill>
                  <w14:solidFill>
                    <w14:schemeClr w14:val="tx1"/>
                  </w14:solidFill>
                </w14:textFill>
              </w:rPr>
              <w:t xml:space="preserve"> </w:t>
            </w:r>
            <w:r>
              <w:rPr>
                <w:rFonts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spacing w:val="8"/>
                <w:highlight w:val="none"/>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Theme="minorEastAsia" w:hAnsiTheme="minorEastAsia" w:eastAsiaTheme="minorEastAsia"/>
                <w:color w:val="000000" w:themeColor="text1"/>
                <w:highlight w:val="none"/>
                <w14:textFill>
                  <w14:solidFill>
                    <w14:schemeClr w14:val="tx1"/>
                  </w14:solidFill>
                </w14:textFill>
              </w:rPr>
              <w:t>；</w:t>
            </w:r>
          </w:p>
          <w:p>
            <w:pPr>
              <w:pStyle w:val="83"/>
              <w:spacing w:afterLines="0" w:line="420" w:lineRule="exact"/>
              <w:ind w:firstLine="480"/>
              <w:rPr>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szCs w:val="24"/>
                <w:highlight w:val="none"/>
                <w14:textFill>
                  <w14:solidFill>
                    <w14:schemeClr w14:val="tx1"/>
                  </w14:solidFill>
                </w14:textFill>
              </w:rPr>
              <w:t>4.本项目的特定资格要求：</w:t>
            </w:r>
            <w:r>
              <w:rPr>
                <w:rFonts w:hint="eastAsia" w:asciiTheme="minorEastAsia" w:hAnsiTheme="minorEastAsia" w:eastAsiaTheme="minorEastAsia"/>
                <w:color w:val="000000" w:themeColor="text1"/>
                <w:szCs w:val="24"/>
                <w:highlight w:val="none"/>
                <w:lang w:eastAsia="zh-CN"/>
                <w14:textFill>
                  <w14:solidFill>
                    <w14:schemeClr w14:val="tx1"/>
                  </w14:solidFill>
                </w14:textFill>
              </w:rPr>
              <w:t>（</w:t>
            </w:r>
            <w:r>
              <w:rPr>
                <w:rFonts w:hint="eastAsia" w:asciiTheme="minorEastAsia" w:hAnsiTheme="minorEastAsia" w:eastAsiaTheme="minorEastAsia"/>
                <w:color w:val="000000" w:themeColor="text1"/>
                <w:szCs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Cs w:val="24"/>
                <w:highlight w:val="none"/>
                <w:lang w:eastAsia="zh-CN"/>
                <w14:textFill>
                  <w14:solidFill>
                    <w14:schemeClr w14:val="tx1"/>
                  </w14:solidFill>
                </w14:textFill>
              </w:rPr>
              <w:t>）供应商须具有行政主管部门颁发的市政公用工程施工总承包二级及以上资质。（</w:t>
            </w:r>
            <w:r>
              <w:rPr>
                <w:rFonts w:hint="eastAsia" w:asciiTheme="minorEastAsia" w:hAnsiTheme="minorEastAsia" w:eastAsiaTheme="minorEastAsia"/>
                <w:color w:val="000000" w:themeColor="text1"/>
                <w:szCs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Cs w:val="24"/>
                <w:highlight w:val="none"/>
                <w:lang w:eastAsia="zh-CN"/>
                <w14:textFill>
                  <w14:solidFill>
                    <w14:schemeClr w14:val="tx1"/>
                  </w14:solidFill>
                </w14:textFill>
              </w:rPr>
              <w:t>）供应商具有有效的《企业安全生产许可证》</w:t>
            </w:r>
            <w:r>
              <w:rPr>
                <w:rFonts w:hint="eastAsia"/>
                <w:color w:val="000000" w:themeColor="text1"/>
                <w:highlight w:val="none"/>
                <w14:textFill>
                  <w14:solidFill>
                    <w14:schemeClr w14:val="tx1"/>
                  </w14:solidFill>
                </w14:textFill>
              </w:rPr>
              <w:t>；</w:t>
            </w:r>
          </w:p>
          <w:p>
            <w:pPr>
              <w:pStyle w:val="83"/>
              <w:spacing w:afterLines="0" w:line="400" w:lineRule="exact"/>
              <w:ind w:firstLine="480"/>
              <w:rPr>
                <w:rFonts w:asciiTheme="minorEastAsia" w:hAnsiTheme="minorEastAsia" w:eastAsiaTheme="minorEastAsia"/>
                <w:color w:val="000000" w:themeColor="text1"/>
                <w:szCs w:val="24"/>
                <w:highlight w:val="none"/>
                <w14:textFill>
                  <w14:solidFill>
                    <w14:schemeClr w14:val="tx1"/>
                  </w14:solidFill>
                </w14:textFill>
              </w:rPr>
            </w:pPr>
            <w:r>
              <w:rPr>
                <w:rFonts w:hint="eastAsia" w:asciiTheme="minorEastAsia" w:hAnsiTheme="minorEastAsia" w:eastAsiaTheme="minorEastAsia"/>
                <w:color w:val="000000" w:themeColor="text1"/>
                <w:szCs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三、获取招标文件</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时间：</w:t>
            </w:r>
            <w:r>
              <w:rPr>
                <w:rFonts w:asciiTheme="minorEastAsia" w:hAnsiTheme="minorEastAsia" w:eastAsiaTheme="minorEastAsia"/>
                <w:color w:val="000000" w:themeColor="text1"/>
                <w:highlight w:val="none"/>
                <w14:textFill>
                  <w14:solidFill>
                    <w14:schemeClr w14:val="tx1"/>
                  </w14:solidFill>
                </w14:textFill>
              </w:rPr>
              <w:t>/至</w:t>
            </w:r>
            <w:r>
              <w:rPr>
                <w:rFonts w:asciiTheme="minorEastAsia" w:hAnsiTheme="minorEastAsia" w:eastAsiaTheme="minorEastAsia"/>
                <w:color w:val="000000" w:themeColor="text1"/>
                <w:highlight w:val="none"/>
                <w:u w:val="single"/>
                <w14:textFill>
                  <w14:solidFill>
                    <w14:schemeClr w14:val="tx1"/>
                  </w14:solidFill>
                </w14:textFill>
              </w:rPr>
              <w:t>202</w:t>
            </w:r>
            <w:r>
              <w:rPr>
                <w:rFonts w:hint="eastAsia" w:asciiTheme="minorEastAsia" w:hAnsiTheme="minorEastAsia" w:eastAsiaTheme="minorEastAsia"/>
                <w:color w:val="000000" w:themeColor="text1"/>
                <w:highlight w:val="none"/>
                <w:u w:val="single"/>
                <w:lang w:val="en-US" w:eastAsia="zh-CN"/>
                <w14:textFill>
                  <w14:solidFill>
                    <w14:schemeClr w14:val="tx1"/>
                  </w14:solidFill>
                </w14:textFill>
              </w:rPr>
              <w:t>3</w:t>
            </w:r>
            <w:r>
              <w:rPr>
                <w:rFonts w:asciiTheme="minorEastAsia" w:hAnsiTheme="minorEastAsia" w:eastAsiaTheme="minorEastAsia"/>
                <w:color w:val="000000" w:themeColor="text1"/>
                <w:highlight w:val="none"/>
                <w14:textFill>
                  <w14:solidFill>
                    <w14:schemeClr w14:val="tx1"/>
                  </w14:solidFill>
                </w14:textFill>
              </w:rPr>
              <w:t>年</w:t>
            </w:r>
            <w:r>
              <w:rPr>
                <w:rFonts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月</w:t>
            </w:r>
            <w:r>
              <w:rPr>
                <w:rFonts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日，每天上午</w:t>
            </w:r>
            <w:r>
              <w:rPr>
                <w:rFonts w:asciiTheme="minorEastAsia" w:hAnsiTheme="minorEastAsia" w:eastAsiaTheme="minorEastAsia"/>
                <w:color w:val="000000" w:themeColor="text1"/>
                <w:highlight w:val="none"/>
                <w14:textFill>
                  <w14:solidFill>
                    <w14:schemeClr w14:val="tx1"/>
                  </w14:solidFill>
                </w14:textFill>
              </w:rPr>
              <w:t>00:00至12:00</w:t>
            </w:r>
            <w:r>
              <w:rPr>
                <w:rFonts w:hint="eastAsia" w:asciiTheme="minorEastAsia" w:hAnsiTheme="minorEastAsia" w:eastAsiaTheme="minorEastAsia"/>
                <w:color w:val="000000" w:themeColor="text1"/>
                <w:highlight w:val="none"/>
                <w14:textFill>
                  <w14:solidFill>
                    <w14:schemeClr w14:val="tx1"/>
                  </w14:solidFill>
                </w14:textFill>
              </w:rPr>
              <w:t>，下午</w:t>
            </w:r>
            <w:r>
              <w:rPr>
                <w:rFonts w:asciiTheme="minorEastAsia" w:hAnsiTheme="minorEastAsia" w:eastAsiaTheme="minorEastAsia"/>
                <w:color w:val="000000" w:themeColor="text1"/>
                <w:highlight w:val="none"/>
                <w14:textFill>
                  <w14:solidFill>
                    <w14:schemeClr w14:val="tx1"/>
                  </w14:solidFill>
                </w14:textFill>
              </w:rPr>
              <w:t>12:00至23:59（北京时间，线上获取法定节假日均可，线下获取文件法定节假日除外）</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地点（网址）：</w:t>
            </w:r>
            <w:r>
              <w:rPr>
                <w:rFonts w:cs="Arial" w:asciiTheme="minorEastAsia" w:hAnsiTheme="minorEastAsia" w:eastAsiaTheme="minorEastAsia"/>
                <w:bCs/>
                <w:color w:val="000000" w:themeColor="text1"/>
                <w:szCs w:val="20"/>
                <w:highlight w:val="none"/>
                <w14:textFill>
                  <w14:solidFill>
                    <w14:schemeClr w14:val="tx1"/>
                  </w14:solidFill>
                </w14:textFill>
              </w:rPr>
              <w:t>http://ggb.sx.gov.cn</w:t>
            </w:r>
          </w:p>
          <w:p>
            <w:pPr>
              <w:snapToGrid w:val="0"/>
              <w:spacing w:line="440" w:lineRule="exact"/>
              <w:ind w:firstLine="480" w:firstLineChars="200"/>
              <w:rPr>
                <w:rFonts w:cs="Arial" w:asciiTheme="minorEastAsia" w:hAnsiTheme="minorEastAsia" w:eastAsiaTheme="minorEastAsia"/>
                <w:bCs/>
                <w:color w:val="000000" w:themeColor="text1"/>
                <w:szCs w:val="20"/>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方式：</w:t>
            </w:r>
            <w:r>
              <w:rPr>
                <w:rFonts w:hint="eastAsia" w:cs="Arial" w:asciiTheme="minorEastAsia" w:hAnsiTheme="minorEastAsia" w:eastAsiaTheme="minorEastAsia"/>
                <w:bCs/>
                <w:color w:val="000000" w:themeColor="text1"/>
                <w:szCs w:val="20"/>
                <w:highlight w:val="none"/>
                <w14:textFill>
                  <w14:solidFill>
                    <w14:schemeClr w14:val="tx1"/>
                  </w14:solidFill>
                </w14:textFill>
              </w:rPr>
              <w:t>供应商登陆绍兴公共资源交易网http://ggb.sx.gov.cn，在线申请获取采购文件（进入“采购业务”应用，在“招标文件下载”菜单中选择项目，申请获取采购文件，并完成“网上报名”操作）。</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售价（元）：</w:t>
            </w:r>
            <w:r>
              <w:rPr>
                <w:rFonts w:asciiTheme="minorEastAsia" w:hAnsiTheme="minorEastAsia" w:eastAsiaTheme="minorEastAsia"/>
                <w:color w:val="000000" w:themeColor="text1"/>
                <w:highlight w:val="none"/>
                <w14:textFill>
                  <w14:solidFill>
                    <w14:schemeClr w14:val="tx1"/>
                  </w14:solidFill>
                </w14:textFill>
              </w:rPr>
              <w:t>0</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四、提交投标文件截止时间、开标时间和地点</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提交投标文件截止时间：</w:t>
            </w:r>
            <w:r>
              <w:rPr>
                <w:rFonts w:asciiTheme="minorEastAsia" w:hAnsiTheme="minorEastAsia" w:eastAsiaTheme="minorEastAsia"/>
                <w:color w:val="000000" w:themeColor="text1"/>
                <w:highlight w:val="none"/>
                <w:u w:val="single"/>
                <w14:textFill>
                  <w14:solidFill>
                    <w14:schemeClr w14:val="tx1"/>
                  </w14:solidFill>
                </w14:textFill>
              </w:rPr>
              <w:t>202</w:t>
            </w:r>
            <w:r>
              <w:rPr>
                <w:rFonts w:hint="eastAsia" w:asciiTheme="minorEastAsia" w:hAnsiTheme="minorEastAsia" w:eastAsiaTheme="minorEastAsia"/>
                <w:color w:val="000000" w:themeColor="text1"/>
                <w:highlight w:val="none"/>
                <w:u w:val="single"/>
                <w:lang w:val="en-US" w:eastAsia="zh-CN"/>
                <w14:textFill>
                  <w14:solidFill>
                    <w14:schemeClr w14:val="tx1"/>
                  </w14:solidFill>
                </w14:textFill>
              </w:rPr>
              <w:t>3</w:t>
            </w:r>
            <w:r>
              <w:rPr>
                <w:rFonts w:asciiTheme="minorEastAsia" w:hAnsiTheme="minorEastAsia" w:eastAsiaTheme="minorEastAsia"/>
                <w:color w:val="000000" w:themeColor="text1"/>
                <w:highlight w:val="none"/>
                <w14:textFill>
                  <w14:solidFill>
                    <w14:schemeClr w14:val="tx1"/>
                  </w14:solidFill>
                </w14:textFill>
              </w:rPr>
              <w:t>年</w:t>
            </w:r>
            <w:r>
              <w:rPr>
                <w:rFonts w:hint="eastAsia"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月</w:t>
            </w:r>
            <w:r>
              <w:rPr>
                <w:rFonts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日</w:t>
            </w:r>
            <w:r>
              <w:rPr>
                <w:rFonts w:asciiTheme="minorEastAsia" w:hAnsiTheme="minorEastAsia" w:eastAsiaTheme="minorEastAsia"/>
                <w:color w:val="000000" w:themeColor="text1"/>
                <w:highlight w:val="none"/>
                <w14:textFill>
                  <w14:solidFill>
                    <w14:schemeClr w14:val="tx1"/>
                  </w14:solidFill>
                </w14:textFill>
              </w:rPr>
              <w:t>9:</w:t>
            </w:r>
            <w:r>
              <w:rPr>
                <w:rFonts w:hint="eastAsia" w:asciiTheme="minorEastAsia" w:hAnsiTheme="minorEastAsia" w:eastAsiaTheme="minorEastAsia"/>
                <w:color w:val="000000" w:themeColor="text1"/>
                <w:highlight w:val="none"/>
                <w14:textFill>
                  <w14:solidFill>
                    <w14:schemeClr w14:val="tx1"/>
                  </w14:solidFill>
                </w14:textFill>
              </w:rPr>
              <w:t>00</w:t>
            </w:r>
            <w:r>
              <w:rPr>
                <w:rFonts w:asciiTheme="minorEastAsia" w:hAnsiTheme="minorEastAsia" w:eastAsiaTheme="minorEastAsia"/>
                <w:color w:val="000000" w:themeColor="text1"/>
                <w:highlight w:val="none"/>
                <w14:textFill>
                  <w14:solidFill>
                    <w14:schemeClr w14:val="tx1"/>
                  </w14:solidFill>
                </w14:textFill>
              </w:rPr>
              <w:t>时（北京时间）</w:t>
            </w:r>
          </w:p>
          <w:p>
            <w:pPr>
              <w:snapToGrid w:val="0"/>
              <w:spacing w:line="440" w:lineRule="exact"/>
              <w:ind w:firstLine="480" w:firstLineChars="200"/>
              <w:rPr>
                <w:rFonts w:cs="Arial" w:asciiTheme="minorEastAsia" w:hAnsiTheme="minorEastAsia" w:eastAsiaTheme="minorEastAsia"/>
                <w:bCs/>
                <w:color w:val="000000" w:themeColor="text1"/>
                <w:szCs w:val="20"/>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投标地点：绍兴市迪荡新城惠利街</w:t>
            </w:r>
            <w:r>
              <w:rPr>
                <w:rFonts w:asciiTheme="minorEastAsia" w:hAnsiTheme="minorEastAsia" w:eastAsiaTheme="minorEastAsia"/>
                <w:color w:val="000000" w:themeColor="text1"/>
                <w:highlight w:val="none"/>
                <w14:textFill>
                  <w14:solidFill>
                    <w14:schemeClr w14:val="tx1"/>
                  </w14:solidFill>
                </w14:textFill>
              </w:rPr>
              <w:t>20号鼎盛时代大厦四楼绍兴市公共资源交易中心</w:t>
            </w:r>
            <w:r>
              <w:rPr>
                <w:rFonts w:hint="eastAsia" w:asciiTheme="minorEastAsia" w:hAnsiTheme="minorEastAsia" w:eastAsiaTheme="minorEastAsia"/>
                <w:color w:val="000000" w:themeColor="text1"/>
                <w:highlight w:val="none"/>
                <w:u w:val="single"/>
                <w14:textFill>
                  <w14:solidFill>
                    <w14:schemeClr w14:val="tx1"/>
                  </w14:solidFill>
                </w14:textFill>
              </w:rPr>
              <w:t xml:space="preserve"> </w:t>
            </w:r>
            <w:r>
              <w:rPr>
                <w:rFonts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室。</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开标时间：</w:t>
            </w:r>
            <w:r>
              <w:rPr>
                <w:rFonts w:asciiTheme="minorEastAsia" w:hAnsiTheme="minorEastAsia" w:eastAsiaTheme="minorEastAsia"/>
                <w:color w:val="000000" w:themeColor="text1"/>
                <w:highlight w:val="none"/>
                <w14:textFill>
                  <w14:solidFill>
                    <w14:schemeClr w14:val="tx1"/>
                  </w14:solidFill>
                </w14:textFill>
              </w:rPr>
              <w:t>202</w:t>
            </w:r>
            <w:r>
              <w:rPr>
                <w:rFonts w:hint="eastAsia" w:asciiTheme="minorEastAsia" w:hAnsiTheme="minorEastAsia" w:eastAsiaTheme="minorEastAsia"/>
                <w:color w:val="000000" w:themeColor="text1"/>
                <w:highlight w:val="none"/>
                <w:lang w:val="en-US" w:eastAsia="zh-CN"/>
                <w14:textFill>
                  <w14:solidFill>
                    <w14:schemeClr w14:val="tx1"/>
                  </w14:solidFill>
                </w14:textFill>
              </w:rPr>
              <w:t>3</w:t>
            </w:r>
            <w:r>
              <w:rPr>
                <w:rFonts w:asciiTheme="minorEastAsia" w:hAnsiTheme="minorEastAsia" w:eastAsiaTheme="minorEastAsia"/>
                <w:color w:val="000000" w:themeColor="text1"/>
                <w:highlight w:val="none"/>
                <w14:textFill>
                  <w14:solidFill>
                    <w14:schemeClr w14:val="tx1"/>
                  </w14:solidFill>
                </w14:textFill>
              </w:rPr>
              <w:t>年</w:t>
            </w:r>
            <w:r>
              <w:rPr>
                <w:rFonts w:hint="eastAsia"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月</w:t>
            </w:r>
            <w:r>
              <w:rPr>
                <w:rFonts w:hint="eastAsia" w:asciiTheme="minorEastAsia" w:hAnsiTheme="minorEastAsia" w:eastAsiaTheme="minorEastAsia"/>
                <w:color w:val="000000" w:themeColor="text1"/>
                <w:highlight w:val="none"/>
                <w:u w:val="single"/>
                <w14:textFill>
                  <w14:solidFill>
                    <w14:schemeClr w14:val="tx1"/>
                  </w14:solidFill>
                </w14:textFill>
              </w:rPr>
              <w:t xml:space="preserve"> </w:t>
            </w:r>
            <w:r>
              <w:rPr>
                <w:rFonts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日</w:t>
            </w:r>
            <w:r>
              <w:rPr>
                <w:rFonts w:asciiTheme="minorEastAsia" w:hAnsiTheme="minorEastAsia" w:eastAsiaTheme="minorEastAsia"/>
                <w:color w:val="000000" w:themeColor="text1"/>
                <w:highlight w:val="none"/>
                <w14:textFill>
                  <w14:solidFill>
                    <w14:schemeClr w14:val="tx1"/>
                  </w14:solidFill>
                </w14:textFill>
              </w:rPr>
              <w:t>9:</w:t>
            </w:r>
            <w:r>
              <w:rPr>
                <w:rFonts w:hint="eastAsia" w:asciiTheme="minorEastAsia" w:hAnsiTheme="minorEastAsia" w:eastAsiaTheme="minorEastAsia"/>
                <w:color w:val="000000" w:themeColor="text1"/>
                <w:highlight w:val="none"/>
                <w14:textFill>
                  <w14:solidFill>
                    <w14:schemeClr w14:val="tx1"/>
                  </w14:solidFill>
                </w14:textFill>
              </w:rPr>
              <w:t>0</w:t>
            </w:r>
            <w:r>
              <w:rPr>
                <w:rFonts w:asciiTheme="minorEastAsia" w:hAnsiTheme="minorEastAsia" w:eastAsiaTheme="minorEastAsia"/>
                <w:color w:val="000000" w:themeColor="text1"/>
                <w:highlight w:val="none"/>
                <w14:textFill>
                  <w14:solidFill>
                    <w14:schemeClr w14:val="tx1"/>
                  </w14:solidFill>
                </w14:textFill>
              </w:rPr>
              <w:t>0时（北京时间）</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开标地点：绍兴市迪荡新城惠利街</w:t>
            </w:r>
            <w:r>
              <w:rPr>
                <w:rFonts w:asciiTheme="minorEastAsia" w:hAnsiTheme="minorEastAsia" w:eastAsiaTheme="minorEastAsia"/>
                <w:color w:val="000000" w:themeColor="text1"/>
                <w:highlight w:val="none"/>
                <w14:textFill>
                  <w14:solidFill>
                    <w14:schemeClr w14:val="tx1"/>
                  </w14:solidFill>
                </w14:textFill>
              </w:rPr>
              <w:t>20号鼎盛时代大厦四楼绍兴市公共资源交易中心</w:t>
            </w:r>
            <w:r>
              <w:rPr>
                <w:rFonts w:hint="eastAsia" w:asciiTheme="minorEastAsia" w:hAnsiTheme="minorEastAsia" w:eastAsiaTheme="minorEastAsia"/>
                <w:color w:val="000000" w:themeColor="text1"/>
                <w:highlight w:val="none"/>
                <w14:textFill>
                  <w14:solidFill>
                    <w14:schemeClr w14:val="tx1"/>
                  </w14:solidFill>
                </w14:textFill>
              </w:rPr>
              <w:t xml:space="preserve"> </w:t>
            </w:r>
            <w:r>
              <w:rPr>
                <w:rFonts w:hint="eastAsia" w:asciiTheme="minorEastAsia" w:hAnsiTheme="minorEastAsia" w:eastAsiaTheme="minorEastAsia"/>
                <w:color w:val="000000" w:themeColor="text1"/>
                <w:highlight w:val="none"/>
                <w:u w:val="single"/>
                <w14:textFill>
                  <w14:solidFill>
                    <w14:schemeClr w14:val="tx1"/>
                  </w14:solidFill>
                </w14:textFill>
              </w:rPr>
              <w:t xml:space="preserve"> </w:t>
            </w:r>
            <w:r>
              <w:rPr>
                <w:rFonts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室</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五、公告期限</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自本公告发布之日起</w:t>
            </w:r>
            <w:r>
              <w:rPr>
                <w:rFonts w:asciiTheme="minorEastAsia" w:hAnsiTheme="minorEastAsia" w:eastAsiaTheme="minorEastAsia"/>
                <w:color w:val="000000" w:themeColor="text1"/>
                <w:highlight w:val="none"/>
                <w14:textFill>
                  <w14:solidFill>
                    <w14:schemeClr w14:val="tx1"/>
                  </w14:solidFill>
                </w14:textFill>
              </w:rPr>
              <w:t>5个工作日。</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六、其他补充事宜</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Theme="minorEastAsia" w:hAnsiTheme="minorEastAsia" w:eastAsiaTheme="minorEastAsia"/>
                <w:color w:val="000000" w:themeColor="text1"/>
                <w:highlight w:val="none"/>
                <w14:textFill>
                  <w14:solidFill>
                    <w14:schemeClr w14:val="tx1"/>
                  </w14:solidFill>
                </w14:textFill>
              </w:rPr>
              <w:t>做出答复的，可以在答复期满后十五个工作日内向同级政府采购监督管理部门投诉。质疑函范本、投诉书范本请到浙江政府采购网下载专区下载。</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2.其他事项：无</w:t>
            </w:r>
          </w:p>
          <w:p>
            <w:pPr>
              <w:snapToGrid w:val="0"/>
              <w:spacing w:line="440" w:lineRule="exact"/>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七、对本次采购提出询问、质疑、投诉，请按以下方式联系</w:t>
            </w:r>
          </w:p>
          <w:bookmarkEnd w:id="1"/>
          <w:p>
            <w:pPr>
              <w:pStyle w:val="83"/>
              <w:spacing w:afterLines="0" w:line="420" w:lineRule="exact"/>
              <w:ind w:firstLine="480"/>
              <w:rPr>
                <w:rFonts w:cs="仿宋" w:asciiTheme="majorEastAsia" w:hAnsiTheme="majorEastAsia" w:eastAsiaTheme="majorEastAsia"/>
                <w:color w:val="000000" w:themeColor="text1"/>
                <w:szCs w:val="24"/>
                <w:highlight w:val="none"/>
                <w14:textFill>
                  <w14:solidFill>
                    <w14:schemeClr w14:val="tx1"/>
                  </w14:solidFill>
                </w14:textFill>
              </w:rPr>
            </w:pPr>
            <w:r>
              <w:rPr>
                <w:rFonts w:hint="eastAsia" w:cs="仿宋" w:asciiTheme="majorEastAsia" w:hAnsiTheme="majorEastAsia" w:eastAsiaTheme="majorEastAsia"/>
                <w:color w:val="000000" w:themeColor="text1"/>
                <w:szCs w:val="24"/>
                <w:highlight w:val="none"/>
                <w14:textFill>
                  <w14:solidFill>
                    <w14:schemeClr w14:val="tx1"/>
                  </w14:solidFill>
                </w14:textFill>
              </w:rPr>
              <w:t>1.采购人信息</w:t>
            </w:r>
          </w:p>
          <w:p>
            <w:pPr>
              <w:pStyle w:val="83"/>
              <w:spacing w:afterLines="0" w:line="420" w:lineRule="exact"/>
              <w:ind w:firstLine="480"/>
              <w:rPr>
                <w:rFonts w:cs="仿宋" w:asciiTheme="majorEastAsia" w:hAnsiTheme="majorEastAsia" w:eastAsiaTheme="majorEastAsia"/>
                <w:color w:val="000000" w:themeColor="text1"/>
                <w:szCs w:val="24"/>
                <w:highlight w:val="none"/>
                <w14:textFill>
                  <w14:solidFill>
                    <w14:schemeClr w14:val="tx1"/>
                  </w14:solidFill>
                </w14:textFill>
              </w:rPr>
            </w:pPr>
            <w:r>
              <w:rPr>
                <w:rFonts w:hint="eastAsia" w:cs="仿宋" w:asciiTheme="majorEastAsia" w:hAnsiTheme="majorEastAsia" w:eastAsiaTheme="majorEastAsia"/>
                <w:color w:val="000000" w:themeColor="text1"/>
                <w:szCs w:val="24"/>
                <w:highlight w:val="none"/>
                <w14:textFill>
                  <w14:solidFill>
                    <w14:schemeClr w14:val="tx1"/>
                  </w14:solidFill>
                </w14:textFill>
              </w:rPr>
              <w:t>名称：</w:t>
            </w:r>
            <w:r>
              <w:rPr>
                <w:rFonts w:hint="eastAsia" w:cs="仿宋" w:asciiTheme="majorEastAsia" w:hAnsiTheme="majorEastAsia" w:eastAsiaTheme="majorEastAsia"/>
                <w:color w:val="000000" w:themeColor="text1"/>
                <w:szCs w:val="24"/>
                <w:highlight w:val="none"/>
                <w:u w:val="single"/>
                <w14:textFill>
                  <w14:solidFill>
                    <w14:schemeClr w14:val="tx1"/>
                  </w14:solidFill>
                </w14:textFill>
              </w:rPr>
              <w:t>绍兴市轨道交通集团有限公司</w:t>
            </w:r>
          </w:p>
          <w:p>
            <w:pPr>
              <w:pStyle w:val="83"/>
              <w:spacing w:afterLines="0" w:line="420" w:lineRule="exact"/>
              <w:ind w:firstLine="480"/>
              <w:rPr>
                <w:rFonts w:ascii="宋体" w:hAnsi="宋体"/>
                <w:color w:val="000000" w:themeColor="text1"/>
                <w:highlight w:val="none"/>
                <w:u w:val="single"/>
                <w14:textFill>
                  <w14:solidFill>
                    <w14:schemeClr w14:val="tx1"/>
                  </w14:solidFill>
                </w14:textFill>
              </w:rPr>
            </w:pPr>
            <w:r>
              <w:rPr>
                <w:rFonts w:hint="eastAsia" w:cs="仿宋" w:asciiTheme="majorEastAsia" w:hAnsiTheme="majorEastAsia" w:eastAsiaTheme="majorEastAsia"/>
                <w:color w:val="000000" w:themeColor="text1"/>
                <w:szCs w:val="24"/>
                <w:highlight w:val="none"/>
                <w14:textFill>
                  <w14:solidFill>
                    <w14:schemeClr w14:val="tx1"/>
                  </w14:solidFill>
                </w14:textFill>
              </w:rPr>
              <w:t>地址：</w:t>
            </w:r>
            <w:r>
              <w:rPr>
                <w:rFonts w:hint="eastAsia" w:ascii="宋体" w:hAnsi="宋体"/>
                <w:color w:val="000000" w:themeColor="text1"/>
                <w:highlight w:val="none"/>
                <w:u w:val="single"/>
                <w14:textFill>
                  <w14:solidFill>
                    <w14:schemeClr w14:val="tx1"/>
                  </w14:solidFill>
                </w14:textFill>
              </w:rPr>
              <w:t>绍兴市越城区解放大道386号地铁大厦</w:t>
            </w:r>
          </w:p>
          <w:p>
            <w:pPr>
              <w:pStyle w:val="83"/>
              <w:spacing w:afterLines="0" w:line="420" w:lineRule="exact"/>
              <w:ind w:firstLine="480"/>
              <w:rPr>
                <w:rFonts w:cs="仿宋" w:asciiTheme="majorEastAsia" w:hAnsiTheme="majorEastAsia" w:eastAsiaTheme="majorEastAsia"/>
                <w:color w:val="000000" w:themeColor="text1"/>
                <w:szCs w:val="24"/>
                <w:highlight w:val="none"/>
                <w14:textFill>
                  <w14:solidFill>
                    <w14:schemeClr w14:val="tx1"/>
                  </w14:solidFill>
                </w14:textFill>
              </w:rPr>
            </w:pPr>
            <w:r>
              <w:rPr>
                <w:rFonts w:hint="eastAsia" w:cs="仿宋" w:asciiTheme="majorEastAsia" w:hAnsiTheme="majorEastAsia" w:eastAsiaTheme="majorEastAsia"/>
                <w:color w:val="000000" w:themeColor="text1"/>
                <w:szCs w:val="24"/>
                <w:highlight w:val="none"/>
                <w14:textFill>
                  <w14:solidFill>
                    <w14:schemeClr w14:val="tx1"/>
                  </w14:solidFill>
                </w14:textFill>
              </w:rPr>
              <w:t>传真：/</w:t>
            </w:r>
          </w:p>
          <w:p>
            <w:pPr>
              <w:pStyle w:val="83"/>
              <w:spacing w:afterLines="0" w:line="420" w:lineRule="exact"/>
              <w:ind w:firstLine="480"/>
              <w:rPr>
                <w:rFonts w:cs="仿宋" w:asciiTheme="majorEastAsia" w:hAnsiTheme="majorEastAsia" w:eastAsiaTheme="majorEastAsia"/>
                <w:color w:val="000000" w:themeColor="text1"/>
                <w:szCs w:val="24"/>
                <w:highlight w:val="none"/>
                <w14:textFill>
                  <w14:solidFill>
                    <w14:schemeClr w14:val="tx1"/>
                  </w14:solidFill>
                </w14:textFill>
              </w:rPr>
            </w:pPr>
            <w:r>
              <w:rPr>
                <w:rFonts w:hint="eastAsia" w:cs="仿宋" w:asciiTheme="majorEastAsia" w:hAnsiTheme="majorEastAsia" w:eastAsiaTheme="majorEastAsia"/>
                <w:color w:val="000000" w:themeColor="text1"/>
                <w:szCs w:val="24"/>
                <w:highlight w:val="none"/>
                <w14:textFill>
                  <w14:solidFill>
                    <w14:schemeClr w14:val="tx1"/>
                  </w14:solidFill>
                </w14:textFill>
              </w:rPr>
              <w:t>项目联系人（询问）：</w:t>
            </w:r>
            <w:r>
              <w:rPr>
                <w:rFonts w:hint="eastAsia" w:cs="仿宋" w:asciiTheme="majorEastAsia" w:hAnsiTheme="majorEastAsia" w:eastAsiaTheme="majorEastAsia"/>
                <w:color w:val="000000" w:themeColor="text1"/>
                <w:szCs w:val="24"/>
                <w:highlight w:val="none"/>
                <w:u w:val="single"/>
                <w:lang w:val="en-US" w:eastAsia="zh-CN"/>
                <w14:textFill>
                  <w14:solidFill>
                    <w14:schemeClr w14:val="tx1"/>
                  </w14:solidFill>
                </w14:textFill>
              </w:rPr>
              <w:t>杨</w:t>
            </w:r>
            <w:r>
              <w:rPr>
                <w:rFonts w:hint="eastAsia" w:cs="仿宋" w:asciiTheme="majorEastAsia" w:hAnsiTheme="majorEastAsia" w:eastAsiaTheme="majorEastAsia"/>
                <w:color w:val="000000" w:themeColor="text1"/>
                <w:szCs w:val="24"/>
                <w:highlight w:val="none"/>
                <w:u w:val="single"/>
                <w14:textFill>
                  <w14:solidFill>
                    <w14:schemeClr w14:val="tx1"/>
                  </w14:solidFill>
                </w14:textFill>
              </w:rPr>
              <w:t>工</w:t>
            </w:r>
          </w:p>
          <w:p>
            <w:pPr>
              <w:pStyle w:val="83"/>
              <w:spacing w:afterLines="0" w:line="420" w:lineRule="exact"/>
              <w:ind w:firstLine="480"/>
              <w:rPr>
                <w:rFonts w:cs="仿宋" w:asciiTheme="majorEastAsia" w:hAnsiTheme="majorEastAsia" w:eastAsiaTheme="majorEastAsia"/>
                <w:color w:val="000000" w:themeColor="text1"/>
                <w:szCs w:val="24"/>
                <w:highlight w:val="none"/>
                <w:u w:val="single"/>
                <w14:textFill>
                  <w14:solidFill>
                    <w14:schemeClr w14:val="tx1"/>
                  </w14:solidFill>
                </w14:textFill>
              </w:rPr>
            </w:pPr>
            <w:r>
              <w:rPr>
                <w:rFonts w:hint="eastAsia" w:cs="仿宋" w:asciiTheme="majorEastAsia" w:hAnsiTheme="majorEastAsia" w:eastAsiaTheme="majorEastAsia"/>
                <w:color w:val="000000" w:themeColor="text1"/>
                <w:szCs w:val="24"/>
                <w:highlight w:val="none"/>
                <w14:textFill>
                  <w14:solidFill>
                    <w14:schemeClr w14:val="tx1"/>
                  </w14:solidFill>
                </w14:textFill>
              </w:rPr>
              <w:t>项目联系方式（询问）：</w:t>
            </w:r>
            <w:r>
              <w:rPr>
                <w:rFonts w:hint="eastAsia" w:cs="仿宋" w:asciiTheme="majorEastAsia" w:hAnsiTheme="majorEastAsia" w:eastAsiaTheme="majorEastAsia"/>
                <w:color w:val="000000" w:themeColor="text1"/>
                <w:szCs w:val="24"/>
                <w:highlight w:val="none"/>
                <w:u w:val="single"/>
                <w14:textFill>
                  <w14:solidFill>
                    <w14:schemeClr w14:val="tx1"/>
                  </w14:solidFill>
                </w14:textFill>
              </w:rPr>
              <w:t>0575-88160193</w:t>
            </w:r>
          </w:p>
          <w:p>
            <w:pPr>
              <w:pStyle w:val="83"/>
              <w:spacing w:afterLines="0" w:line="420" w:lineRule="exact"/>
              <w:ind w:firstLine="480"/>
              <w:rPr>
                <w:rFonts w:cs="仿宋" w:asciiTheme="majorEastAsia" w:hAnsiTheme="majorEastAsia" w:eastAsiaTheme="majorEastAsia"/>
                <w:color w:val="000000" w:themeColor="text1"/>
                <w:szCs w:val="24"/>
                <w:highlight w:val="none"/>
                <w:u w:val="single"/>
                <w14:textFill>
                  <w14:solidFill>
                    <w14:schemeClr w14:val="tx1"/>
                  </w14:solidFill>
                </w14:textFill>
              </w:rPr>
            </w:pPr>
            <w:r>
              <w:rPr>
                <w:rFonts w:hint="eastAsia" w:cs="仿宋" w:asciiTheme="majorEastAsia" w:hAnsiTheme="majorEastAsia" w:eastAsiaTheme="majorEastAsia"/>
                <w:color w:val="000000" w:themeColor="text1"/>
                <w:szCs w:val="24"/>
                <w:highlight w:val="none"/>
                <w14:textFill>
                  <w14:solidFill>
                    <w14:schemeClr w14:val="tx1"/>
                  </w14:solidFill>
                </w14:textFill>
              </w:rPr>
              <w:t>质疑联系人：</w:t>
            </w:r>
            <w:r>
              <w:rPr>
                <w:rFonts w:hint="eastAsia" w:cs="仿宋" w:asciiTheme="majorEastAsia" w:hAnsiTheme="majorEastAsia" w:eastAsiaTheme="majorEastAsia"/>
                <w:color w:val="000000" w:themeColor="text1"/>
                <w:szCs w:val="24"/>
                <w:highlight w:val="none"/>
                <w:u w:val="single"/>
                <w14:textFill>
                  <w14:solidFill>
                    <w14:schemeClr w14:val="tx1"/>
                  </w14:solidFill>
                </w14:textFill>
              </w:rPr>
              <w:t>雷工</w:t>
            </w:r>
          </w:p>
          <w:p>
            <w:pPr>
              <w:pStyle w:val="83"/>
              <w:spacing w:afterLines="0" w:line="420" w:lineRule="exact"/>
              <w:ind w:firstLine="480"/>
              <w:rPr>
                <w:rFonts w:cs="仿宋" w:asciiTheme="majorEastAsia" w:hAnsiTheme="majorEastAsia" w:eastAsiaTheme="majorEastAsia"/>
                <w:color w:val="000000" w:themeColor="text1"/>
                <w:szCs w:val="24"/>
                <w:highlight w:val="none"/>
                <w:u w:val="single"/>
                <w14:textFill>
                  <w14:solidFill>
                    <w14:schemeClr w14:val="tx1"/>
                  </w14:solidFill>
                </w14:textFill>
              </w:rPr>
            </w:pPr>
            <w:r>
              <w:rPr>
                <w:rFonts w:hint="eastAsia" w:cs="仿宋" w:asciiTheme="majorEastAsia" w:hAnsiTheme="majorEastAsia" w:eastAsiaTheme="majorEastAsia"/>
                <w:color w:val="000000" w:themeColor="text1"/>
                <w:szCs w:val="24"/>
                <w:highlight w:val="none"/>
                <w14:textFill>
                  <w14:solidFill>
                    <w14:schemeClr w14:val="tx1"/>
                  </w14:solidFill>
                </w14:textFill>
              </w:rPr>
              <w:t>质疑联系方式：</w:t>
            </w:r>
            <w:r>
              <w:rPr>
                <w:rFonts w:hint="eastAsia" w:ascii="仿宋" w:hAnsi="仿宋" w:eastAsia="仿宋" w:cs="仿宋"/>
                <w:color w:val="000000" w:themeColor="text1"/>
                <w:szCs w:val="24"/>
                <w:highlight w:val="none"/>
                <w:u w:val="single"/>
                <w14:textFill>
                  <w14:solidFill>
                    <w14:schemeClr w14:val="tx1"/>
                  </w14:solidFill>
                </w14:textFill>
              </w:rPr>
              <w:t>0575-88160191</w:t>
            </w:r>
          </w:p>
          <w:p>
            <w:pPr>
              <w:snapToGrid w:val="0"/>
              <w:spacing w:line="42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2.采购代理机构信息</w:t>
            </w:r>
          </w:p>
          <w:p>
            <w:pPr>
              <w:snapToGrid w:val="0"/>
              <w:spacing w:line="42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名称：</w:t>
            </w:r>
            <w:r>
              <w:rPr>
                <w:rFonts w:hint="eastAsia"/>
                <w:color w:val="000000" w:themeColor="text1"/>
                <w:highlight w:val="none"/>
                <w:u w:val="single"/>
                <w14:textFill>
                  <w14:solidFill>
                    <w14:schemeClr w14:val="tx1"/>
                  </w14:solidFill>
                </w14:textFill>
              </w:rPr>
              <w:t>融华工程管理有限公司</w:t>
            </w:r>
          </w:p>
          <w:p>
            <w:pPr>
              <w:spacing w:line="42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rFonts w:hint="eastAsia"/>
                <w:color w:val="000000" w:themeColor="text1"/>
                <w:highlight w:val="none"/>
                <w:u w:val="single"/>
                <w14:textFill>
                  <w14:solidFill>
                    <w14:schemeClr w14:val="tx1"/>
                  </w14:solidFill>
                </w14:textFill>
              </w:rPr>
              <w:t>杭州市上城区九和路</w:t>
            </w:r>
            <w:r>
              <w:rPr>
                <w:color w:val="000000" w:themeColor="text1"/>
                <w:highlight w:val="none"/>
                <w:u w:val="single"/>
                <w14:textFill>
                  <w14:solidFill>
                    <w14:schemeClr w14:val="tx1"/>
                  </w14:solidFill>
                </w14:textFill>
              </w:rPr>
              <w:t>520号铁汇发展中心T4楼</w:t>
            </w:r>
          </w:p>
          <w:p>
            <w:pPr>
              <w:snapToGrid w:val="0"/>
              <w:spacing w:line="42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p>
          <w:p>
            <w:pPr>
              <w:snapToGrid w:val="0"/>
              <w:spacing w:line="42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项目联系人（询问）：</w:t>
            </w:r>
            <w:r>
              <w:rPr>
                <w:rFonts w:hint="eastAsia"/>
                <w:color w:val="000000" w:themeColor="text1"/>
                <w:highlight w:val="none"/>
                <w:u w:val="single"/>
                <w:lang w:val="en-US" w:eastAsia="zh-CN"/>
                <w14:textFill>
                  <w14:solidFill>
                    <w14:schemeClr w14:val="tx1"/>
                  </w14:solidFill>
                </w14:textFill>
              </w:rPr>
              <w:t>潘</w:t>
            </w:r>
            <w:r>
              <w:rPr>
                <w:rFonts w:hint="eastAsia"/>
                <w:color w:val="000000" w:themeColor="text1"/>
                <w:highlight w:val="none"/>
                <w:u w:val="single"/>
                <w14:textFill>
                  <w14:solidFill>
                    <w14:schemeClr w14:val="tx1"/>
                  </w14:solidFill>
                </w14:textFill>
              </w:rPr>
              <w:t>工</w:t>
            </w:r>
          </w:p>
          <w:p>
            <w:pPr>
              <w:ind w:firstLine="480" w:firstLineChars="200"/>
              <w:rPr>
                <w:rFonts w:hint="default" w:ascii="Calibri" w:hAnsi="Calibri" w:eastAsia="宋体" w:cs="Calibri"/>
                <w:sz w:val="21"/>
                <w:szCs w:val="21"/>
                <w:highlight w:val="none"/>
                <w:lang w:val="en-US" w:eastAsia="zh-CN"/>
              </w:rPr>
            </w:pPr>
            <w:r>
              <w:rPr>
                <w:rFonts w:hint="eastAsia"/>
                <w:color w:val="000000" w:themeColor="text1"/>
                <w:highlight w:val="none"/>
                <w14:textFill>
                  <w14:solidFill>
                    <w14:schemeClr w14:val="tx1"/>
                  </w14:solidFill>
                </w14:textFill>
              </w:rPr>
              <w:t>项目联系方式（询问）：</w:t>
            </w:r>
            <w:r>
              <w:rPr>
                <w:rFonts w:hint="eastAsia"/>
                <w:color w:val="000000" w:themeColor="text1"/>
                <w:highlight w:val="none"/>
                <w:u w:val="single"/>
                <w:lang w:val="en-US" w:eastAsia="zh-CN"/>
                <w14:textFill>
                  <w14:solidFill>
                    <w14:schemeClr w14:val="tx1"/>
                  </w14:solidFill>
                </w14:textFill>
              </w:rPr>
              <w:t>15024384393</w:t>
            </w:r>
          </w:p>
          <w:p>
            <w:pPr>
              <w:snapToGrid w:val="0"/>
              <w:spacing w:line="420" w:lineRule="exact"/>
              <w:ind w:firstLine="48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质疑联系人：</w:t>
            </w:r>
            <w:r>
              <w:rPr>
                <w:rFonts w:hint="eastAsia"/>
                <w:color w:val="000000" w:themeColor="text1"/>
                <w:highlight w:val="none"/>
                <w:u w:val="single"/>
                <w14:textFill>
                  <w14:solidFill>
                    <w14:schemeClr w14:val="tx1"/>
                  </w14:solidFill>
                </w14:textFill>
              </w:rPr>
              <w:t>陈工</w:t>
            </w:r>
          </w:p>
          <w:p>
            <w:pPr>
              <w:snapToGrid w:val="0"/>
              <w:spacing w:line="42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质疑联系方式：</w:t>
            </w:r>
            <w:r>
              <w:rPr>
                <w:rFonts w:cstheme="minorEastAsia"/>
                <w:color w:val="000000" w:themeColor="text1"/>
                <w:highlight w:val="none"/>
                <w:u w:val="single"/>
                <w14:textFill>
                  <w14:solidFill>
                    <w14:schemeClr w14:val="tx1"/>
                  </w14:solidFill>
                </w14:textFill>
              </w:rPr>
              <w:t>15355001009</w:t>
            </w:r>
          </w:p>
          <w:p>
            <w:pPr>
              <w:pStyle w:val="83"/>
              <w:spacing w:afterLines="0" w:line="420" w:lineRule="exact"/>
              <w:ind w:firstLine="480"/>
              <w:rPr>
                <w:rFonts w:cs="仿宋" w:asciiTheme="majorEastAsia" w:hAnsiTheme="majorEastAsia" w:eastAsiaTheme="majorEastAsia"/>
                <w:color w:val="000000" w:themeColor="text1"/>
                <w:szCs w:val="24"/>
                <w:highlight w:val="none"/>
                <w14:textFill>
                  <w14:solidFill>
                    <w14:schemeClr w14:val="tx1"/>
                  </w14:solidFill>
                </w14:textFill>
              </w:rPr>
            </w:pPr>
            <w:r>
              <w:rPr>
                <w:rFonts w:hint="eastAsia" w:cs="仿宋" w:asciiTheme="majorEastAsia" w:hAnsiTheme="majorEastAsia" w:eastAsiaTheme="majorEastAsia"/>
                <w:color w:val="000000" w:themeColor="text1"/>
                <w:szCs w:val="24"/>
                <w:highlight w:val="none"/>
                <w14:textFill>
                  <w14:solidFill>
                    <w14:schemeClr w14:val="tx1"/>
                  </w14:solidFill>
                </w14:textFill>
              </w:rPr>
              <w:t>3.监督管理部门</w:t>
            </w:r>
          </w:p>
          <w:p>
            <w:pPr>
              <w:snapToGrid w:val="0"/>
              <w:spacing w:line="420" w:lineRule="exact"/>
              <w:ind w:firstLine="48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名称：</w:t>
            </w:r>
            <w:r>
              <w:rPr>
                <w:rFonts w:hint="eastAsia"/>
                <w:color w:val="000000" w:themeColor="text1"/>
                <w:highlight w:val="none"/>
                <w:u w:val="single"/>
                <w14:textFill>
                  <w14:solidFill>
                    <w14:schemeClr w14:val="tx1"/>
                  </w14:solidFill>
                </w14:textFill>
              </w:rPr>
              <w:t>绍兴市轨道交通集团有限公司纪检监察部</w:t>
            </w:r>
          </w:p>
          <w:p>
            <w:pPr>
              <w:snapToGrid w:val="0"/>
              <w:spacing w:line="42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rFonts w:hint="eastAsia"/>
                <w:color w:val="000000" w:themeColor="text1"/>
                <w:highlight w:val="none"/>
                <w:u w:val="single"/>
                <w14:textFill>
                  <w14:solidFill>
                    <w14:schemeClr w14:val="tx1"/>
                  </w14:solidFill>
                </w14:textFill>
              </w:rPr>
              <w:t>绍兴市越城区解放大道386号地铁大厦</w:t>
            </w:r>
          </w:p>
          <w:p>
            <w:pPr>
              <w:snapToGrid w:val="0"/>
              <w:spacing w:line="42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p>
          <w:p>
            <w:pPr>
              <w:snapToGrid w:val="0"/>
              <w:spacing w:line="42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联系人：</w:t>
            </w:r>
            <w:r>
              <w:rPr>
                <w:rFonts w:hint="eastAsia" w:asciiTheme="minorEastAsia" w:hAnsiTheme="minorEastAsia" w:eastAsiaTheme="minorEastAsia"/>
                <w:color w:val="000000" w:themeColor="text1"/>
                <w:highlight w:val="none"/>
                <w:u w:val="single"/>
                <w14:textFill>
                  <w14:solidFill>
                    <w14:schemeClr w14:val="tx1"/>
                  </w14:solidFill>
                </w14:textFill>
              </w:rPr>
              <w:t>徐工</w:t>
            </w:r>
          </w:p>
          <w:p>
            <w:pPr>
              <w:snapToGrid w:val="0"/>
              <w:spacing w:line="420" w:lineRule="exact"/>
              <w:ind w:firstLine="480" w:firstLineChars="200"/>
              <w:rPr>
                <w:rFonts w:hint="eastAsia" w:cs="仿宋" w:asciiTheme="minorEastAsia" w:hAnsiTheme="minorEastAsia" w:eastAsiaTheme="minor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监督投诉电话：</w:t>
            </w:r>
            <w:r>
              <w:rPr>
                <w:rFonts w:hint="eastAsia" w:asciiTheme="minorEastAsia" w:hAnsiTheme="minorEastAsia" w:eastAsiaTheme="minorEastAsia"/>
                <w:color w:val="000000" w:themeColor="text1"/>
                <w:highlight w:val="none"/>
                <w:u w:val="single"/>
                <w:lang w:val="en-US" w:eastAsia="zh-CN"/>
                <w14:textFill>
                  <w14:solidFill>
                    <w14:schemeClr w14:val="tx1"/>
                  </w14:solidFill>
                </w14:textFill>
              </w:rPr>
              <w:t>0575-88160052</w:t>
            </w:r>
          </w:p>
        </w:tc>
      </w:tr>
      <w:bookmarkEnd w:id="0"/>
      <w:bookmarkEnd w:id="3"/>
    </w:tbl>
    <w:p>
      <w:pPr>
        <w:pStyle w:val="4"/>
        <w:snapToGrid w:val="0"/>
        <w:spacing w:before="0" w:line="420" w:lineRule="exact"/>
        <w:ind w:left="425" w:hanging="425" w:firstLineChars="0"/>
        <w:jc w:val="center"/>
        <w:textAlignment w:val="baseline"/>
        <w:rPr>
          <w:rFonts w:cs="仿宋_GB2312" w:asciiTheme="minorEastAsia" w:hAnsiTheme="minorEastAsia" w:eastAsiaTheme="minorEastAsia"/>
          <w:color w:val="000000" w:themeColor="text1"/>
          <w:sz w:val="36"/>
          <w:szCs w:val="36"/>
          <w14:textFill>
            <w14:solidFill>
              <w14:schemeClr w14:val="tx1"/>
            </w14:solidFill>
          </w14:textFill>
        </w:rPr>
      </w:pPr>
      <w:r>
        <w:rPr>
          <w:rFonts w:hint="eastAsia" w:cs="仿宋_GB2312" w:asciiTheme="minorEastAsia" w:hAnsiTheme="minorEastAsia" w:eastAsiaTheme="minorEastAsia"/>
          <w:color w:val="000000" w:themeColor="text1"/>
          <w:sz w:val="36"/>
          <w:szCs w:val="36"/>
          <w14:textFill>
            <w14:solidFill>
              <w14:schemeClr w14:val="tx1"/>
            </w14:solidFill>
          </w14:textFill>
        </w:rPr>
        <w:t>第二部分</w:t>
      </w:r>
      <w:r>
        <w:rPr>
          <w:rFonts w:cs="仿宋_GB2312" w:asciiTheme="minorEastAsia" w:hAnsiTheme="minorEastAsia" w:eastAsiaTheme="minorEastAsia"/>
          <w:color w:val="000000" w:themeColor="text1"/>
          <w:sz w:val="36"/>
          <w:szCs w:val="36"/>
          <w14:textFill>
            <w14:solidFill>
              <w14:schemeClr w14:val="tx1"/>
            </w14:solidFill>
          </w14:textFill>
        </w:rPr>
        <w:t xml:space="preserve"> 投标</w:t>
      </w:r>
      <w:r>
        <w:rPr>
          <w:rFonts w:hint="eastAsia" w:cs="仿宋_GB2312" w:asciiTheme="minorEastAsia" w:hAnsiTheme="minorEastAsia" w:eastAsiaTheme="minorEastAsia"/>
          <w:color w:val="000000" w:themeColor="text1"/>
          <w:sz w:val="36"/>
          <w:szCs w:val="36"/>
          <w14:textFill>
            <w14:solidFill>
              <w14:schemeClr w14:val="tx1"/>
            </w14:solidFill>
          </w14:textFill>
        </w:rPr>
        <w:t>须知</w:t>
      </w:r>
    </w:p>
    <w:p>
      <w:pPr>
        <w:pStyle w:val="5"/>
        <w:snapToGrid w:val="0"/>
        <w:spacing w:before="0" w:line="420" w:lineRule="exact"/>
        <w:ind w:left="425" w:hanging="425" w:firstLineChars="0"/>
        <w:jc w:val="center"/>
        <w:textAlignment w:val="baseline"/>
        <w:outlineLvl w:val="1"/>
        <w:rPr>
          <w:rFonts w:cs="仿宋_GB2312" w:asciiTheme="minorEastAsia" w:hAnsiTheme="minorEastAsia" w:eastAsiaTheme="minorEastAsia"/>
          <w:color w:val="000000" w:themeColor="text1"/>
          <w:sz w:val="36"/>
          <w:szCs w:val="36"/>
          <w14:textFill>
            <w14:solidFill>
              <w14:schemeClr w14:val="tx1"/>
            </w14:solidFill>
          </w14:textFill>
        </w:rPr>
      </w:pPr>
      <w:r>
        <w:rPr>
          <w:rFonts w:hint="eastAsia" w:cs="仿宋_GB2312" w:asciiTheme="minorEastAsia" w:hAnsiTheme="minorEastAsia" w:eastAsiaTheme="minorEastAsia"/>
          <w:color w:val="000000" w:themeColor="text1"/>
          <w:sz w:val="36"/>
          <w:szCs w:val="36"/>
          <w14:textFill>
            <w14:solidFill>
              <w14:schemeClr w14:val="tx1"/>
            </w14:solidFill>
          </w14:textFill>
        </w:rPr>
        <w:t>前附表</w:t>
      </w:r>
    </w:p>
    <w:tbl>
      <w:tblPr>
        <w:tblStyle w:val="43"/>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67"/>
        <w:gridCol w:w="7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序号</w:t>
            </w:r>
          </w:p>
        </w:tc>
        <w:tc>
          <w:tcPr>
            <w:tcW w:w="8222" w:type="dxa"/>
            <w:gridSpan w:val="2"/>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 xml:space="preserve">内 </w:t>
            </w:r>
            <w:r>
              <w:rPr>
                <w:rFonts w:cs="仿宋" w:asciiTheme="minorEastAsia" w:hAnsiTheme="minorEastAsia" w:eastAsiaTheme="minorEastAsia"/>
                <w:color w:val="000000" w:themeColor="text1"/>
                <w14:textFill>
                  <w14:solidFill>
                    <w14:schemeClr w14:val="tx1"/>
                  </w14:solidFill>
                </w14:textFill>
              </w:rPr>
              <w:t xml:space="preserve">   </w:t>
            </w:r>
            <w:r>
              <w:rPr>
                <w:rFonts w:hint="eastAsia" w:cs="仿宋" w:asciiTheme="minorEastAsia" w:hAnsiTheme="minorEastAsia" w:eastAsiaTheme="minorEastAsia"/>
                <w:color w:val="000000" w:themeColor="text1"/>
                <w14:textFill>
                  <w14:solidFill>
                    <w14:schemeClr w14:val="tx1"/>
                  </w14:solidFill>
                </w14:textFill>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1</w:t>
            </w:r>
          </w:p>
        </w:tc>
        <w:tc>
          <w:tcPr>
            <w:tcW w:w="8222" w:type="dxa"/>
            <w:gridSpan w:val="2"/>
            <w:vAlign w:val="center"/>
          </w:tcPr>
          <w:p>
            <w:pPr>
              <w:keepNext w:val="0"/>
              <w:keepLines w:val="0"/>
              <w:pageBreakBefore w:val="0"/>
              <w:numPr>
                <w:ilvl w:val="0"/>
                <w:numId w:val="8"/>
              </w:numPr>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投标人按照项目要求特许资格、资信证明文件（如果有）：</w:t>
            </w:r>
          </w:p>
          <w:p>
            <w:pPr>
              <w:keepNext w:val="0"/>
              <w:keepLines w:val="0"/>
              <w:pageBreakBefore w:val="0"/>
              <w:kinsoku/>
              <w:wordWrap/>
              <w:overflowPunct/>
              <w:topLinePunct w:val="0"/>
              <w:bidi w:val="0"/>
              <w:spacing w:line="360" w:lineRule="exact"/>
              <w:ind w:firstLine="480" w:firstLineChars="200"/>
              <w:rPr>
                <w:rFonts w:cs="仿宋"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2</w:t>
            </w:r>
          </w:p>
        </w:tc>
        <w:tc>
          <w:tcPr>
            <w:tcW w:w="8222" w:type="dxa"/>
            <w:gridSpan w:val="2"/>
            <w:vAlign w:val="center"/>
          </w:tcPr>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资格审查方式：</w:t>
            </w:r>
          </w:p>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r>
              <w:rPr>
                <w:rFonts w:cs="仿宋" w:asciiTheme="minorEastAsia" w:hAnsiTheme="minorEastAsia" w:eastAsiaTheme="minorEastAsia"/>
                <w:b/>
                <w:color w:val="000000" w:themeColor="text1"/>
                <w14:textFill>
                  <w14:solidFill>
                    <w14:schemeClr w14:val="tx1"/>
                  </w14:solidFill>
                </w14:textFill>
              </w:rPr>
              <w:t>1.资格后审。</w:t>
            </w:r>
          </w:p>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r>
              <w:rPr>
                <w:rFonts w:cs="仿宋" w:asciiTheme="minorEastAsia" w:hAnsiTheme="minorEastAsia" w:eastAsiaTheme="minorEastAsia"/>
                <w:b/>
                <w:color w:val="000000" w:themeColor="text1"/>
                <w14:textFill>
                  <w14:solidFill>
                    <w14:schemeClr w14:val="tx1"/>
                  </w14:solidFill>
                </w14:textFill>
              </w:rPr>
              <w:t>2.法定代表人的被授权委托人必须是投标人职工。需在投标响应文件技术部分内提供由社保机构出具的该授权代表的</w:t>
            </w:r>
            <w:r>
              <w:rPr>
                <w:rFonts w:hint="eastAsia" w:cs="仿宋" w:asciiTheme="minorEastAsia" w:hAnsiTheme="minorEastAsia" w:eastAsiaTheme="minorEastAsia"/>
                <w:b/>
                <w:color w:val="000000" w:themeColor="text1"/>
                <w14:textFill>
                  <w14:solidFill>
                    <w14:schemeClr w14:val="tx1"/>
                  </w14:solidFill>
                </w14:textFill>
              </w:rPr>
              <w:t>社保证明（</w:t>
            </w:r>
            <w:r>
              <w:rPr>
                <w:rFonts w:cs="仿宋" w:asciiTheme="minorEastAsia" w:hAnsiTheme="minorEastAsia" w:eastAsiaTheme="minorEastAsia"/>
                <w:b/>
                <w:color w:val="000000" w:themeColor="text1"/>
                <w14:textFill>
                  <w14:solidFill>
                    <w14:schemeClr w14:val="tx1"/>
                  </w14:solidFill>
                </w14:textFill>
              </w:rPr>
              <w:t>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3</w:t>
            </w:r>
          </w:p>
        </w:tc>
        <w:tc>
          <w:tcPr>
            <w:tcW w:w="8222" w:type="dxa"/>
            <w:gridSpan w:val="2"/>
            <w:vAlign w:val="center"/>
          </w:tcPr>
          <w:p>
            <w:pPr>
              <w:keepNext w:val="0"/>
              <w:keepLines w:val="0"/>
              <w:pageBreakBefore w:val="0"/>
              <w:kinsoku/>
              <w:wordWrap/>
              <w:overflowPunct/>
              <w:topLinePunct w:val="0"/>
              <w:autoSpaceDE w:val="0"/>
              <w:autoSpaceDN w:val="0"/>
              <w:bidi w:val="0"/>
              <w:spacing w:line="360" w:lineRule="exact"/>
              <w:textAlignment w:val="bottom"/>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投标有效期：</w:t>
            </w:r>
            <w:r>
              <w:rPr>
                <w:rFonts w:hint="eastAsia" w:cs="仿宋" w:asciiTheme="minorEastAsia" w:hAnsiTheme="minorEastAsia" w:eastAsiaTheme="minorEastAsia"/>
                <w:color w:val="000000" w:themeColor="text1"/>
                <w14:textFill>
                  <w14:solidFill>
                    <w14:schemeClr w14:val="tx1"/>
                  </w14:solidFill>
                </w14:textFill>
              </w:rPr>
              <w:t>投标有效期为从提交投标文件的截止之日起</w:t>
            </w:r>
            <w:r>
              <w:rPr>
                <w:rFonts w:cs="仿宋" w:asciiTheme="minorEastAsia" w:hAnsiTheme="minorEastAsia" w:eastAsiaTheme="minorEastAsia"/>
                <w:color w:val="000000" w:themeColor="text1"/>
                <w14:textFill>
                  <w14:solidFill>
                    <w14:schemeClr w14:val="tx1"/>
                  </w14:solidFill>
                </w14:textFill>
              </w:rPr>
              <w:t>90天。</w:t>
            </w:r>
            <w:r>
              <w:rPr>
                <w:rFonts w:hint="eastAsia" w:cs="仿宋" w:asciiTheme="minorEastAsia" w:hAnsiTheme="minorEastAsia" w:eastAsiaTheme="minorEastAsia"/>
                <w:b/>
                <w:color w:val="000000" w:themeColor="text1"/>
                <w14:textFill>
                  <w14:solidFill>
                    <w14:schemeClr w14:val="tx1"/>
                  </w14:solidFill>
                </w14:textFill>
              </w:rPr>
              <w:t>投标人的投标文件中承诺的投标有效期少于采购文件中载明的投标有效期的，投标无效。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8222" w:type="dxa"/>
            <w:gridSpan w:val="2"/>
            <w:vAlign w:val="center"/>
          </w:tcPr>
          <w:p>
            <w:pPr>
              <w:keepNext w:val="0"/>
              <w:keepLines w:val="0"/>
              <w:pageBreakBefore w:val="0"/>
              <w:kinsoku/>
              <w:wordWrap/>
              <w:overflowPunct/>
              <w:topLinePunct w:val="0"/>
              <w:autoSpaceDE w:val="0"/>
              <w:autoSpaceDN w:val="0"/>
              <w:bidi w:val="0"/>
              <w:spacing w:line="360" w:lineRule="exact"/>
              <w:textAlignment w:val="bottom"/>
              <w:rPr>
                <w:rFonts w:cs="仿宋"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转包：</w:t>
            </w:r>
            <w:r>
              <w:rPr>
                <w:rFonts w:hint="eastAsia" w:cs="仿宋_GB2312" w:asciiTheme="minorEastAsia" w:hAnsiTheme="minorEastAsia" w:eastAsiaTheme="minorEastAsia"/>
                <w:color w:val="000000" w:themeColor="text1"/>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8222" w:type="dxa"/>
            <w:gridSpan w:val="2"/>
            <w:vAlign w:val="center"/>
          </w:tcPr>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分包：</w:t>
            </w:r>
            <w:r>
              <w:rPr>
                <w:rFonts w:hint="eastAsia" w:eastAsia="仿宋_GB2312" w:cs="Arial" w:asciiTheme="minorEastAsia" w:hAnsiTheme="minorEastAsia"/>
                <w:color w:val="000000" w:themeColor="text1"/>
                <w14:textFill>
                  <w14:solidFill>
                    <w14:schemeClr w14:val="tx1"/>
                  </w14:solidFill>
                </w14:textFill>
              </w:rPr>
              <w:t>☐</w:t>
            </w:r>
            <w:r>
              <w:rPr>
                <w:rFonts w:hint="eastAsia" w:cs="Arial" w:asciiTheme="minorEastAsia" w:hAnsiTheme="minorEastAsia" w:eastAsiaTheme="minorEastAsia"/>
                <w:color w:val="000000" w:themeColor="text1"/>
                <w14:textFill>
                  <w14:solidFill>
                    <w14:schemeClr w14:val="tx1"/>
                  </w14:solidFill>
                </w14:textFill>
              </w:rPr>
              <w:t>A</w:t>
            </w:r>
            <w:r>
              <w:rPr>
                <w:rFonts w:hint="eastAsia" w:asciiTheme="minorEastAsia" w:hAnsiTheme="minorEastAsia" w:eastAsiaTheme="minorEastAsia"/>
                <w:color w:val="000000" w:themeColor="text1"/>
                <w14:textFill>
                  <w14:solidFill>
                    <w14:schemeClr w14:val="tx1"/>
                  </w14:solidFill>
                </w14:textFill>
              </w:rPr>
              <w:t>同意将非主体、非关键性的</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工作分包。</w:t>
            </w:r>
          </w:p>
          <w:p>
            <w:pPr>
              <w:keepNext w:val="0"/>
              <w:keepLines w:val="0"/>
              <w:pageBreakBefore w:val="0"/>
              <w:kinsoku/>
              <w:wordWrap/>
              <w:overflowPunct/>
              <w:topLinePunct w:val="0"/>
              <w:autoSpaceDE w:val="0"/>
              <w:autoSpaceDN w:val="0"/>
              <w:bidi w:val="0"/>
              <w:spacing w:line="360" w:lineRule="exact"/>
              <w:ind w:firstLine="720" w:firstLineChars="300"/>
              <w:textAlignment w:val="bottom"/>
              <w:rPr>
                <w:rFonts w:cs="仿宋" w:asciiTheme="minorEastAsia" w:hAnsiTheme="minorEastAsia" w:eastAsiaTheme="minorEastAsia"/>
                <w:b/>
                <w:color w:val="000000" w:themeColor="text1"/>
                <w14:textFill>
                  <w14:solidFill>
                    <w14:schemeClr w14:val="tx1"/>
                  </w14:solidFill>
                </w14:textFill>
              </w:rPr>
            </w:pPr>
            <w:r>
              <w:rPr>
                <w:rFonts w:cs="Arial" w:asciiTheme="minorEastAsia" w:hAnsiTheme="minorEastAsia" w:eastAsiaTheme="minorEastAsia"/>
                <w:color w:val="000000" w:themeColor="text1"/>
                <w14:textFill>
                  <w14:solidFill>
                    <w14:schemeClr w14:val="tx1"/>
                  </w14:solidFill>
                </w14:textFill>
              </w:rPr>
              <w:sym w:font="Wingdings" w:char="F0FE"/>
            </w:r>
            <w:r>
              <w:rPr>
                <w:rFonts w:hint="eastAsia" w:cs="Arial" w:asciiTheme="minorEastAsia" w:hAnsiTheme="minorEastAsia" w:eastAsiaTheme="minorEastAsia"/>
                <w:color w:val="000000" w:themeColor="text1"/>
                <w14:textFill>
                  <w14:solidFill>
                    <w14:schemeClr w14:val="tx1"/>
                  </w14:solidFill>
                </w14:textFill>
              </w:rPr>
              <w:t>B</w:t>
            </w:r>
            <w:r>
              <w:rPr>
                <w:rFonts w:hint="eastAsia" w:asciiTheme="minorEastAsia" w:hAnsiTheme="minorEastAsia" w:eastAsiaTheme="minorEastAsia"/>
                <w:color w:val="000000" w:themeColor="text1"/>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6</w:t>
            </w:r>
          </w:p>
        </w:tc>
        <w:tc>
          <w:tcPr>
            <w:tcW w:w="8222" w:type="dxa"/>
            <w:gridSpan w:val="2"/>
            <w:vAlign w:val="center"/>
          </w:tcPr>
          <w:p>
            <w:pPr>
              <w:keepNext w:val="0"/>
              <w:keepLines w:val="0"/>
              <w:pageBreakBefore w:val="0"/>
              <w:kinsoku/>
              <w:wordWrap/>
              <w:overflowPunct/>
              <w:topLinePunct w:val="0"/>
              <w:bidi w:val="0"/>
              <w:spacing w:line="360" w:lineRule="exact"/>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投标文件份数：</w:t>
            </w:r>
            <w:r>
              <w:rPr>
                <w:rFonts w:hint="eastAsia" w:asciiTheme="minorEastAsia" w:hAnsiTheme="minorEastAsia" w:eastAsiaTheme="minorEastAsia"/>
                <w:color w:val="000000" w:themeColor="text1"/>
                <w14:textFill>
                  <w14:solidFill>
                    <w14:schemeClr w14:val="tx1"/>
                  </w14:solidFill>
                </w14:textFill>
              </w:rPr>
              <w:t>正本一份、副本六份。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7</w:t>
            </w:r>
          </w:p>
        </w:tc>
        <w:tc>
          <w:tcPr>
            <w:tcW w:w="8222" w:type="dxa"/>
            <w:gridSpan w:val="2"/>
            <w:vAlign w:val="center"/>
          </w:tcPr>
          <w:p>
            <w:pPr>
              <w:keepNext w:val="0"/>
              <w:keepLines w:val="0"/>
              <w:pageBreakBefore w:val="0"/>
              <w:kinsoku/>
              <w:wordWrap/>
              <w:overflowPunct/>
              <w:topLinePunct w:val="0"/>
              <w:autoSpaceDE w:val="0"/>
              <w:autoSpaceDN w:val="0"/>
              <w:bidi w:val="0"/>
              <w:spacing w:line="360" w:lineRule="exact"/>
              <w:textAlignment w:val="bottom"/>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开标前答疑会或现场考察：</w:t>
            </w:r>
          </w:p>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sdt>
              <w:sdtPr>
                <w:rPr>
                  <w:rFonts w:hint="eastAsia" w:cs="Arial" w:asciiTheme="minorEastAsia" w:hAnsiTheme="minorEastAsia" w:eastAsiaTheme="minorEastAsia"/>
                  <w:color w:val="000000" w:themeColor="text1"/>
                  <w14:textFill>
                    <w14:solidFill>
                      <w14:schemeClr w14:val="tx1"/>
                    </w14:solidFill>
                  </w14:textFill>
                </w:rPr>
                <w:id w:val="-1263220618"/>
              </w:sdtPr>
              <w:sdtEndPr>
                <w:rPr>
                  <w:rFonts w:hint="eastAsia" w:cs="Arial" w:asciiTheme="minorEastAsia" w:hAnsiTheme="minorEastAsia" w:eastAsiaTheme="minorEastAsia"/>
                  <w:color w:val="000000" w:themeColor="text1"/>
                  <w14:textFill>
                    <w14:solidFill>
                      <w14:schemeClr w14:val="tx1"/>
                    </w14:solidFill>
                  </w14:textFill>
                </w:rPr>
              </w:sdtEndPr>
              <w:sdtContent>
                <w:r>
                  <w:rPr>
                    <w:rFonts w:cs="Arial" w:asciiTheme="minorEastAsia" w:hAnsiTheme="minorEastAsia" w:eastAsiaTheme="minorEastAsia"/>
                    <w:color w:val="000000" w:themeColor="text1"/>
                    <w14:textFill>
                      <w14:solidFill>
                        <w14:schemeClr w14:val="tx1"/>
                      </w14:solidFill>
                    </w14:textFill>
                  </w:rPr>
                  <w:sym w:font="Wingdings" w:char="F0FE"/>
                </w:r>
              </w:sdtContent>
            </w:sdt>
            <w:r>
              <w:rPr>
                <w:rFonts w:hint="eastAsia" w:cs="Arial" w:asciiTheme="minorEastAsia" w:hAnsiTheme="minorEastAsia" w:eastAsiaTheme="minorEastAsia"/>
                <w:color w:val="000000" w:themeColor="text1"/>
                <w14:textFill>
                  <w14:solidFill>
                    <w14:schemeClr w14:val="tx1"/>
                  </w14:solidFill>
                </w14:textFill>
              </w:rPr>
              <w:t>A</w:t>
            </w:r>
            <w:r>
              <w:rPr>
                <w:rFonts w:hint="eastAsia" w:asciiTheme="minorEastAsia" w:hAnsiTheme="minorEastAsia" w:eastAsiaTheme="minorEastAsia"/>
                <w:color w:val="000000" w:themeColor="text1"/>
                <w14:textFill>
                  <w14:solidFill>
                    <w14:schemeClr w14:val="tx1"/>
                  </w14:solidFill>
                </w14:textFill>
              </w:rPr>
              <w:t>不组织。</w:t>
            </w:r>
          </w:p>
          <w:p>
            <w:pPr>
              <w:keepNext w:val="0"/>
              <w:keepLines w:val="0"/>
              <w:pageBreakBefore w:val="0"/>
              <w:kinsoku/>
              <w:wordWrap/>
              <w:overflowPunct/>
              <w:topLinePunct w:val="0"/>
              <w:autoSpaceDE w:val="0"/>
              <w:autoSpaceDN w:val="0"/>
              <w:bidi w:val="0"/>
              <w:spacing w:line="360" w:lineRule="exact"/>
              <w:textAlignment w:val="bottom"/>
              <w:rPr>
                <w:rFonts w:cs="仿宋" w:asciiTheme="minorEastAsia" w:hAnsiTheme="minorEastAsia" w:eastAsiaTheme="minorEastAsia"/>
                <w:b/>
                <w:color w:val="000000" w:themeColor="text1"/>
                <w14:textFill>
                  <w14:solidFill>
                    <w14:schemeClr w14:val="tx1"/>
                  </w14:solidFill>
                </w14:textFill>
              </w:rPr>
            </w:pPr>
            <w:sdt>
              <w:sdtPr>
                <w:rPr>
                  <w:rFonts w:hint="eastAsia" w:cs="Arial" w:asciiTheme="minorEastAsia" w:hAnsiTheme="minorEastAsia" w:eastAsiaTheme="minorEastAsia"/>
                  <w:color w:val="000000" w:themeColor="text1"/>
                  <w14:textFill>
                    <w14:solidFill>
                      <w14:schemeClr w14:val="tx1"/>
                    </w14:solidFill>
                  </w14:textFill>
                </w:rPr>
                <w:id w:val="-940066905"/>
              </w:sdtPr>
              <w:sdtEndPr>
                <w:rPr>
                  <w:rFonts w:hint="eastAsia" w:cs="Arial" w:asciiTheme="minorEastAsia" w:hAnsiTheme="minorEastAsia" w:eastAsiaTheme="minorEastAsia"/>
                  <w:color w:val="000000" w:themeColor="text1"/>
                  <w14:textFill>
                    <w14:solidFill>
                      <w14:schemeClr w14:val="tx1"/>
                    </w14:solidFill>
                  </w14:textFill>
                </w:rPr>
              </w:sdtEndPr>
              <w:sdtContent>
                <w:r>
                  <w:rPr>
                    <w:rFonts w:hint="eastAsia" w:hAnsi="MS Mincho" w:eastAsia="MS Mincho" w:cs="MS Mincho" w:asciiTheme="minorEastAsia"/>
                    <w:color w:val="000000" w:themeColor="text1"/>
                    <w14:textFill>
                      <w14:solidFill>
                        <w14:schemeClr w14:val="tx1"/>
                      </w14:solidFill>
                    </w14:textFill>
                  </w:rPr>
                  <w:t>☐</w:t>
                </w:r>
              </w:sdtContent>
            </w:sdt>
            <w:r>
              <w:rPr>
                <w:rFonts w:hint="eastAsia" w:asciiTheme="minorEastAsia" w:hAnsiTheme="minorEastAsia" w:eastAsiaTheme="minorEastAsia"/>
                <w:color w:val="000000" w:themeColor="text1"/>
                <w14:textFill>
                  <w14:solidFill>
                    <w14:schemeClr w14:val="tx1"/>
                  </w14:solidFill>
                </w14:textFill>
              </w:rPr>
              <w:t>B组织，时间：</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,地点：</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，联系人：</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，联系方式：</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8</w:t>
            </w:r>
          </w:p>
        </w:tc>
        <w:tc>
          <w:tcPr>
            <w:tcW w:w="8222" w:type="dxa"/>
            <w:gridSpan w:val="2"/>
            <w:vAlign w:val="center"/>
          </w:tcPr>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sdt>
              <w:sdtPr>
                <w:rPr>
                  <w:rFonts w:hint="eastAsia" w:cs="Arial" w:asciiTheme="minorEastAsia" w:hAnsiTheme="minorEastAsia" w:eastAsiaTheme="minorEastAsia"/>
                  <w:color w:val="000000" w:themeColor="text1"/>
                  <w14:textFill>
                    <w14:solidFill>
                      <w14:schemeClr w14:val="tx1"/>
                    </w14:solidFill>
                  </w14:textFill>
                </w:rPr>
                <w:id w:val="1026831988"/>
              </w:sdtPr>
              <w:sdtEndPr>
                <w:rPr>
                  <w:rFonts w:hint="eastAsia" w:cs="Arial" w:asciiTheme="minorEastAsia" w:hAnsiTheme="minorEastAsia" w:eastAsiaTheme="minorEastAsia"/>
                  <w:color w:val="000000" w:themeColor="text1"/>
                  <w14:textFill>
                    <w14:solidFill>
                      <w14:schemeClr w14:val="tx1"/>
                    </w14:solidFill>
                  </w14:textFill>
                </w:rPr>
              </w:sdtEndPr>
              <w:sdtContent>
                <w:r>
                  <w:rPr>
                    <w:rFonts w:cs="Arial" w:asciiTheme="minorEastAsia" w:hAnsiTheme="minorEastAsia" w:eastAsiaTheme="minorEastAsia"/>
                    <w:color w:val="000000" w:themeColor="text1"/>
                    <w14:textFill>
                      <w14:solidFill>
                        <w14:schemeClr w14:val="tx1"/>
                      </w14:solidFill>
                    </w14:textFill>
                  </w:rPr>
                  <w:sym w:font="Wingdings" w:char="F0FE"/>
                </w:r>
              </w:sdtContent>
            </w:sdt>
            <w:r>
              <w:rPr>
                <w:rFonts w:hint="eastAsia" w:cs="Arial" w:asciiTheme="minorEastAsia" w:hAnsiTheme="minorEastAsia" w:eastAsiaTheme="minorEastAsia"/>
                <w:color w:val="000000" w:themeColor="text1"/>
                <w14:textFill>
                  <w14:solidFill>
                    <w14:schemeClr w14:val="tx1"/>
                  </w14:solidFill>
                </w14:textFill>
              </w:rPr>
              <w:t>A</w:t>
            </w:r>
            <w:r>
              <w:rPr>
                <w:rFonts w:hint="eastAsia" w:asciiTheme="minorEastAsia" w:hAnsiTheme="minorEastAsia" w:eastAsiaTheme="minorEastAsia"/>
                <w:color w:val="000000" w:themeColor="text1"/>
                <w14:textFill>
                  <w14:solidFill>
                    <w14:schemeClr w14:val="tx1"/>
                  </w14:solidFill>
                </w14:textFill>
              </w:rPr>
              <w:t>不要求提供。</w:t>
            </w:r>
          </w:p>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cs="Arial"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B要求提供，</w:t>
            </w:r>
          </w:p>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snapToGrid w:val="0"/>
                <w:color w:val="000000" w:themeColor="text1"/>
                <w:kern w:val="28"/>
                <w14:textFill>
                  <w14:solidFill>
                    <w14:schemeClr w14:val="tx1"/>
                  </w14:solidFill>
                </w14:textFill>
              </w:rPr>
              <w:t>样品：</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p>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snapToGrid w:val="0"/>
                <w:color w:val="000000" w:themeColor="text1"/>
                <w:kern w:val="28"/>
                <w14:textFill>
                  <w14:solidFill>
                    <w14:schemeClr w14:val="tx1"/>
                  </w14:solidFill>
                </w14:textFill>
              </w:rPr>
              <w:t>样品制作的标准和要求：</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p>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（3）样品的评审方法以及评审标准</w:t>
            </w:r>
            <w:r>
              <w:rPr>
                <w:rFonts w:hint="eastAsia" w:asciiTheme="minorEastAsia" w:hAnsiTheme="minorEastAsia" w:eastAsiaTheme="minorEastAsia"/>
                <w:snapToGrid w:val="0"/>
                <w:color w:val="000000" w:themeColor="text1"/>
                <w:kern w:val="28"/>
                <w14:textFill>
                  <w14:solidFill>
                    <w14:schemeClr w14:val="tx1"/>
                  </w14:solidFill>
                </w14:textFill>
              </w:rPr>
              <w:t>：详见</w:t>
            </w:r>
            <w:r>
              <w:rPr>
                <w:rFonts w:hint="eastAsia" w:asciiTheme="minorEastAsia" w:hAnsiTheme="minorEastAsia" w:eastAsiaTheme="minorEastAsia"/>
                <w:color w:val="000000" w:themeColor="text1"/>
                <w:u w:val="single"/>
                <w14:textFill>
                  <w14:solidFill>
                    <w14:schemeClr w14:val="tx1"/>
                  </w14:solidFill>
                </w14:textFill>
              </w:rPr>
              <w:t>评标办法</w:t>
            </w:r>
            <w:r>
              <w:rPr>
                <w:rFonts w:hint="eastAsia" w:asciiTheme="minorEastAsia" w:hAnsiTheme="minorEastAsia" w:eastAsiaTheme="minorEastAsia"/>
                <w:color w:val="000000" w:themeColor="text1"/>
                <w14:textFill>
                  <w14:solidFill>
                    <w14:schemeClr w14:val="tx1"/>
                  </w14:solidFill>
                </w14:textFill>
              </w:rPr>
              <w:t>；</w:t>
            </w:r>
          </w:p>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（4）是否需要随样品提交检测报告：</w:t>
            </w:r>
            <w:sdt>
              <w:sdtPr>
                <w:rPr>
                  <w:rFonts w:hint="eastAsia" w:cs="Arial" w:asciiTheme="minorEastAsia" w:hAnsiTheme="minorEastAsia" w:eastAsiaTheme="minorEastAsia"/>
                  <w:color w:val="000000" w:themeColor="text1"/>
                  <w14:textFill>
                    <w14:solidFill>
                      <w14:schemeClr w14:val="tx1"/>
                    </w14:solidFill>
                  </w14:textFill>
                </w:rPr>
                <w:id w:val="1303421454"/>
              </w:sdtPr>
              <w:sdtEndPr>
                <w:rPr>
                  <w:rFonts w:hint="eastAsia" w:cs="Arial" w:asciiTheme="minorEastAsia" w:hAnsiTheme="minorEastAsia" w:eastAsiaTheme="minorEastAsia"/>
                  <w:color w:val="000000" w:themeColor="text1"/>
                  <w14:textFill>
                    <w14:solidFill>
                      <w14:schemeClr w14:val="tx1"/>
                    </w14:solidFill>
                  </w14:textFill>
                </w:rPr>
              </w:sdtEndPr>
              <w:sdtContent>
                <w:r>
                  <w:rPr>
                    <w:rFonts w:cs="Arial" w:asciiTheme="minorEastAsia" w:hAnsiTheme="minorEastAsia" w:eastAsiaTheme="minorEastAsia"/>
                    <w:color w:val="000000" w:themeColor="text1"/>
                    <w14:textFill>
                      <w14:solidFill>
                        <w14:schemeClr w14:val="tx1"/>
                      </w14:solidFill>
                    </w14:textFill>
                  </w:rPr>
                  <w:sym w:font="Wingdings" w:char="F0FE"/>
                </w:r>
              </w:sdtContent>
            </w:sdt>
            <w:r>
              <w:rPr>
                <w:rFonts w:hint="eastAsia" w:cs="Arial" w:asciiTheme="minorEastAsia" w:hAnsiTheme="minorEastAsia" w:eastAsiaTheme="minorEastAsia"/>
                <w:color w:val="000000" w:themeColor="text1"/>
                <w14:textFill>
                  <w14:solidFill>
                    <w14:schemeClr w14:val="tx1"/>
                  </w14:solidFill>
                </w14:textFill>
              </w:rPr>
              <w:t>否</w:t>
            </w:r>
            <w:r>
              <w:rPr>
                <w:rFonts w:hint="eastAsia" w:asciiTheme="minorEastAsia" w:hAnsiTheme="minorEastAsia" w:eastAsiaTheme="minorEastAsia"/>
                <w:color w:val="000000" w:themeColor="text1"/>
                <w14:textFill>
                  <w14:solidFill>
                    <w14:schemeClr w14:val="tx1"/>
                  </w14:solidFill>
                </w14:textFill>
              </w:rPr>
              <w:t>；</w:t>
            </w:r>
            <w:sdt>
              <w:sdtPr>
                <w:rPr>
                  <w:rFonts w:hint="eastAsia" w:cs="Arial" w:asciiTheme="minorEastAsia" w:hAnsiTheme="minorEastAsia" w:eastAsiaTheme="minorEastAsia"/>
                  <w:color w:val="000000" w:themeColor="text1"/>
                  <w14:textFill>
                    <w14:solidFill>
                      <w14:schemeClr w14:val="tx1"/>
                    </w14:solidFill>
                  </w14:textFill>
                </w:rPr>
                <w:id w:val="1621728433"/>
              </w:sdtPr>
              <w:sdtEndPr>
                <w:rPr>
                  <w:rFonts w:hint="eastAsia" w:cs="Arial" w:asciiTheme="minorEastAsia" w:hAnsiTheme="minorEastAsia" w:eastAsiaTheme="minorEastAsia"/>
                  <w:color w:val="000000" w:themeColor="text1"/>
                  <w14:textFill>
                    <w14:solidFill>
                      <w14:schemeClr w14:val="tx1"/>
                    </w14:solidFill>
                  </w14:textFill>
                </w:rPr>
              </w:sdtEndPr>
              <w:sdtContent>
                <w:sdt>
                  <w:sdtPr>
                    <w:rPr>
                      <w:rFonts w:hint="eastAsia" w:cs="Arial" w:asciiTheme="minorEastAsia" w:hAnsiTheme="minorEastAsia" w:eastAsiaTheme="minorEastAsia"/>
                      <w:color w:val="000000" w:themeColor="text1"/>
                      <w14:textFill>
                        <w14:solidFill>
                          <w14:schemeClr w14:val="tx1"/>
                        </w14:solidFill>
                      </w14:textFill>
                    </w:rPr>
                    <w:id w:val="1414742328"/>
                  </w:sdtPr>
                  <w:sdtEndPr>
                    <w:rPr>
                      <w:rFonts w:hint="eastAsia" w:cs="Arial" w:asciiTheme="minorEastAsia" w:hAnsiTheme="minorEastAsia" w:eastAsiaTheme="minorEastAsia"/>
                      <w:color w:val="000000" w:themeColor="text1"/>
                      <w14:textFill>
                        <w14:solidFill>
                          <w14:schemeClr w14:val="tx1"/>
                        </w14:solidFill>
                      </w14:textFill>
                    </w:rPr>
                  </w:sdtEndPr>
                  <w:sdtContent>
                    <w:r>
                      <w:rPr>
                        <w:rFonts w:hint="eastAsia" w:cs="Arial" w:asciiTheme="minorEastAsia" w:hAnsiTheme="minorEastAsia" w:eastAsiaTheme="minorEastAsia"/>
                        <w:color w:val="000000" w:themeColor="text1"/>
                        <w14:textFill>
                          <w14:solidFill>
                            <w14:schemeClr w14:val="tx1"/>
                          </w14:solidFill>
                        </w14:textFill>
                      </w:rPr>
                      <w:t>□</w:t>
                    </w:r>
                  </w:sdtContent>
                </w:sdt>
              </w:sdtContent>
            </w:sdt>
            <w:r>
              <w:rPr>
                <w:rFonts w:hint="eastAsia" w:asciiTheme="minorEastAsia" w:hAnsiTheme="minorEastAsia" w:eastAsiaTheme="minorEastAsia"/>
                <w:color w:val="000000" w:themeColor="text1"/>
                <w14:textFill>
                  <w14:solidFill>
                    <w14:schemeClr w14:val="tx1"/>
                  </w14:solidFill>
                </w14:textFill>
              </w:rPr>
              <w:t>是，检测机构的要求：</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；检测内容：</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p>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（5）提供样品的时间：</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；地点：</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；联系人：</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kern w:val="28"/>
                <w14:textFill>
                  <w14:solidFill>
                    <w14:schemeClr w14:val="tx1"/>
                  </w14:solidFill>
                </w14:textFill>
              </w:rPr>
              <w:t>联系电话：</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。请投标人在上述时间内提供样品并按规定位置安装完毕。超过截止时间的，采购人或采购代理机构将不予接收，并将清场并封闭样品现场。</w:t>
            </w:r>
          </w:p>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kinsoku/>
              <w:wordWrap/>
              <w:overflowPunct/>
              <w:topLinePunct w:val="0"/>
              <w:autoSpaceDE w:val="0"/>
              <w:autoSpaceDN w:val="0"/>
              <w:bidi w:val="0"/>
              <w:spacing w:line="360" w:lineRule="exact"/>
              <w:textAlignment w:val="bottom"/>
              <w:rPr>
                <w:rFonts w:cs="仿宋"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9</w:t>
            </w:r>
          </w:p>
        </w:tc>
        <w:tc>
          <w:tcPr>
            <w:tcW w:w="8222" w:type="dxa"/>
            <w:gridSpan w:val="2"/>
            <w:vAlign w:val="center"/>
          </w:tcPr>
          <w:p>
            <w:pPr>
              <w:keepNext w:val="0"/>
              <w:keepLines w:val="0"/>
              <w:pageBreakBefore w:val="0"/>
              <w:widowControl w:val="0"/>
              <w:kinsoku/>
              <w:wordWrap/>
              <w:overflowPunct/>
              <w:topLinePunct w:val="0"/>
              <w:bidi w:val="0"/>
              <w:spacing w:line="360" w:lineRule="exact"/>
              <w:jc w:val="both"/>
              <w:rPr>
                <w:rFonts w:cs="Times New Roman" w:asciiTheme="minorEastAsia" w:hAnsiTheme="minorEastAsia" w:eastAsiaTheme="minorEastAsia"/>
                <w:color w:val="000000" w:themeColor="text1"/>
                <w:kern w:val="2"/>
                <w14:textFill>
                  <w14:solidFill>
                    <w14:schemeClr w14:val="tx1"/>
                  </w14:solidFill>
                </w14:textFill>
              </w:rPr>
            </w:pPr>
            <w:sdt>
              <w:sdtPr>
                <w:rPr>
                  <w:rFonts w:hint="eastAsia" w:ascii="仿宋_GB2312" w:hAnsi="仿宋" w:eastAsia="仿宋_GB2312" w:cs="Arial"/>
                  <w:color w:val="000000" w:themeColor="text1"/>
                  <w14:textFill>
                    <w14:solidFill>
                      <w14:schemeClr w14:val="tx1"/>
                    </w14:solidFill>
                  </w14:textFill>
                </w:rPr>
                <w:id w:val="801731539"/>
              </w:sdtPr>
              <w:sdtEndPr>
                <w:rPr>
                  <w:rFonts w:hint="eastAsia" w:cs="Arial" w:asciiTheme="minorEastAsia" w:hAnsiTheme="minorEastAsia" w:eastAsiaTheme="minorEastAsia"/>
                  <w:color w:val="000000" w:themeColor="text1"/>
                  <w14:textFill>
                    <w14:solidFill>
                      <w14:schemeClr w14:val="tx1"/>
                    </w14:solidFill>
                  </w14:textFill>
                </w:rPr>
              </w:sdtEndPr>
              <w:sdtContent>
                <w:sdt>
                  <w:sdtPr>
                    <w:rPr>
                      <w:rFonts w:hint="eastAsia" w:cs="Arial" w:asciiTheme="minorEastAsia" w:hAnsiTheme="minorEastAsia" w:eastAsiaTheme="minorEastAsia"/>
                      <w:color w:val="000000" w:themeColor="text1"/>
                      <w14:textFill>
                        <w14:solidFill>
                          <w14:schemeClr w14:val="tx1"/>
                        </w14:solidFill>
                      </w14:textFill>
                    </w:rPr>
                    <w:id w:val="1904292"/>
                  </w:sdtPr>
                  <w:sdtEndPr>
                    <w:rPr>
                      <w:rFonts w:hint="eastAsia" w:cs="Arial" w:asciiTheme="minorEastAsia" w:hAnsiTheme="minorEastAsia" w:eastAsiaTheme="minorEastAsia"/>
                      <w:color w:val="000000" w:themeColor="text1"/>
                      <w14:textFill>
                        <w14:solidFill>
                          <w14:schemeClr w14:val="tx1"/>
                        </w14:solidFill>
                      </w14:textFill>
                    </w:rPr>
                  </w:sdtEndPr>
                  <w:sdtContent>
                    <w:r>
                      <w:rPr>
                        <w:rFonts w:hint="eastAsia" w:cs="Arial" w:asciiTheme="minorEastAsia" w:hAnsiTheme="minorEastAsia" w:eastAsiaTheme="minorEastAsia"/>
                        <w:color w:val="000000" w:themeColor="text1"/>
                        <w14:textFill>
                          <w14:solidFill>
                            <w14:schemeClr w14:val="tx1"/>
                          </w14:solidFill>
                        </w14:textFill>
                      </w:rPr>
                      <w:sym w:font="Wingdings" w:char="F0FE"/>
                    </w:r>
                  </w:sdtContent>
                </w:sdt>
              </w:sdtContent>
            </w:sdt>
            <w:r>
              <w:rPr>
                <w:rFonts w:hint="eastAsia" w:cs="Arial" w:asciiTheme="minorEastAsia" w:hAnsiTheme="minorEastAsia" w:eastAsiaTheme="minorEastAsia"/>
                <w:color w:val="000000" w:themeColor="text1"/>
                <w14:textFill>
                  <w14:solidFill>
                    <w14:schemeClr w14:val="tx1"/>
                  </w14:solidFill>
                </w14:textFill>
              </w:rPr>
              <w:t>A</w:t>
            </w:r>
            <w:r>
              <w:rPr>
                <w:rFonts w:hint="eastAsia" w:cs="Times New Roman" w:asciiTheme="minorEastAsia" w:hAnsiTheme="minorEastAsia" w:eastAsiaTheme="minorEastAsia"/>
                <w:color w:val="000000" w:themeColor="text1"/>
                <w:kern w:val="2"/>
                <w14:textFill>
                  <w14:solidFill>
                    <w14:schemeClr w14:val="tx1"/>
                  </w14:solidFill>
                </w14:textFill>
              </w:rPr>
              <w:t>无方案讲解演示。</w:t>
            </w:r>
          </w:p>
          <w:p>
            <w:pPr>
              <w:keepNext w:val="0"/>
              <w:keepLines w:val="0"/>
              <w:pageBreakBefore w:val="0"/>
              <w:widowControl w:val="0"/>
              <w:kinsoku/>
              <w:wordWrap/>
              <w:overflowPunct/>
              <w:topLinePunct w:val="0"/>
              <w:bidi w:val="0"/>
              <w:spacing w:line="360" w:lineRule="exact"/>
              <w:jc w:val="both"/>
              <w:rPr>
                <w:rFonts w:cs="Times New Roman" w:asciiTheme="minorEastAsia" w:hAnsiTheme="minorEastAsia" w:eastAsiaTheme="minorEastAsia"/>
                <w:b/>
                <w:color w:val="000000" w:themeColor="text1"/>
                <w:kern w:val="2"/>
                <w14:textFill>
                  <w14:solidFill>
                    <w14:schemeClr w14:val="tx1"/>
                  </w14:solidFill>
                </w14:textFill>
              </w:rPr>
            </w:pPr>
            <w:sdt>
              <w:sdtPr>
                <w:rPr>
                  <w:rFonts w:hint="eastAsia" w:cs="Arial" w:asciiTheme="minorEastAsia" w:hAnsiTheme="minorEastAsia" w:eastAsiaTheme="minorEastAsia"/>
                  <w:color w:val="000000" w:themeColor="text1"/>
                  <w14:textFill>
                    <w14:solidFill>
                      <w14:schemeClr w14:val="tx1"/>
                    </w14:solidFill>
                  </w14:textFill>
                </w:rPr>
                <w:id w:val="-1281644016"/>
              </w:sdtPr>
              <w:sdtEndPr>
                <w:rPr>
                  <w:rFonts w:hint="eastAsia" w:cs="Arial" w:asciiTheme="minorEastAsia" w:hAnsiTheme="minorEastAsia" w:eastAsiaTheme="minorEastAsia"/>
                  <w:color w:val="000000" w:themeColor="text1"/>
                  <w14:textFill>
                    <w14:solidFill>
                      <w14:schemeClr w14:val="tx1"/>
                    </w14:solidFill>
                  </w14:textFill>
                </w:rPr>
              </w:sdtEndPr>
              <w:sdtContent/>
            </w:sdt>
            <w:r>
              <w:rPr>
                <w:rFonts w:hint="eastAsia" w:cs="Arial" w:asciiTheme="minorEastAsia" w:hAnsiTheme="minorEastAsia" w:eastAsiaTheme="minorEastAsia"/>
                <w:color w:val="000000" w:themeColor="text1"/>
                <w14:textFill>
                  <w14:solidFill>
                    <w14:schemeClr w14:val="tx1"/>
                  </w14:solidFill>
                </w14:textFill>
              </w:rPr>
              <w:t>□</w:t>
            </w:r>
            <w:r>
              <w:rPr>
                <w:rFonts w:hint="eastAsia" w:cs="Times New Roman" w:asciiTheme="minorEastAsia" w:hAnsiTheme="minorEastAsia" w:eastAsiaTheme="minorEastAsia"/>
                <w:color w:val="000000" w:themeColor="text1"/>
                <w14:textFill>
                  <w14:solidFill>
                    <w14:schemeClr w14:val="tx1"/>
                  </w14:solidFill>
                </w14:textFill>
              </w:rPr>
              <w:t>B有方案讲解演示：</w:t>
            </w:r>
          </w:p>
          <w:p>
            <w:pPr>
              <w:keepNext w:val="0"/>
              <w:keepLines w:val="0"/>
              <w:pageBreakBefore w:val="0"/>
              <w:widowControl w:val="0"/>
              <w:kinsoku/>
              <w:wordWrap/>
              <w:overflowPunct/>
              <w:topLinePunct w:val="0"/>
              <w:bidi w:val="0"/>
              <w:spacing w:line="360" w:lineRule="exact"/>
              <w:jc w:val="both"/>
              <w:rPr>
                <w:rFonts w:cs="仿宋_GB2312" w:asciiTheme="minorEastAsia" w:hAnsiTheme="minorEastAsia" w:eastAsiaTheme="minorEastAsia"/>
                <w:color w:val="000000" w:themeColor="text1"/>
                <w:kern w:val="2"/>
                <w14:textFill>
                  <w14:solidFill>
                    <w14:schemeClr w14:val="tx1"/>
                  </w14:solidFill>
                </w14:textFill>
              </w:rPr>
            </w:pPr>
            <w:r>
              <w:rPr>
                <w:rFonts w:hint="eastAsia" w:cs="仿宋_GB2312" w:asciiTheme="minorEastAsia" w:hAnsiTheme="minorEastAsia" w:eastAsiaTheme="minorEastAsia"/>
                <w:b/>
                <w:color w:val="000000" w:themeColor="text1"/>
                <w:lang w:val="zh-CN"/>
                <w14:textFill>
                  <w14:solidFill>
                    <w14:schemeClr w14:val="tx1"/>
                  </w14:solidFill>
                </w14:textFill>
              </w:rPr>
              <w:t>演示设备：</w:t>
            </w:r>
            <w:r>
              <w:rPr>
                <w:rFonts w:hint="eastAsia" w:asciiTheme="minorEastAsia" w:hAnsiTheme="minorEastAsia" w:eastAsiaTheme="minorEastAsia" w:cstheme="minorEastAsia"/>
                <w:color w:val="000000" w:themeColor="text1"/>
                <w14:textFill>
                  <w14:solidFill>
                    <w14:schemeClr w14:val="tx1"/>
                  </w14:solidFill>
                </w14:textFill>
              </w:rPr>
              <w:t>U盘</w:t>
            </w:r>
            <w:r>
              <w:rPr>
                <w:rFonts w:hint="eastAsia" w:cs="仿宋_GB2312" w:asciiTheme="minorEastAsia" w:hAnsiTheme="minorEastAsia" w:eastAsiaTheme="minorEastAsia"/>
                <w:color w:val="000000" w:themeColor="text1"/>
                <w:kern w:val="2"/>
                <w14:textFill>
                  <w14:solidFill>
                    <w14:schemeClr w14:val="tx1"/>
                  </w14:solidFill>
                </w14:textFill>
              </w:rPr>
              <w:t>。</w:t>
            </w:r>
          </w:p>
          <w:p>
            <w:pPr>
              <w:keepNext w:val="0"/>
              <w:keepLines w:val="0"/>
              <w:pageBreakBefore w:val="0"/>
              <w:widowControl w:val="0"/>
              <w:kinsoku/>
              <w:wordWrap/>
              <w:overflowPunct/>
              <w:topLinePunct w:val="0"/>
              <w:bidi w:val="0"/>
              <w:spacing w:line="360" w:lineRule="exact"/>
              <w:jc w:val="both"/>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b/>
                <w:color w:val="000000" w:themeColor="text1"/>
                <w:lang w:val="zh-CN"/>
                <w14:textFill>
                  <w14:solidFill>
                    <w14:schemeClr w14:val="tx1"/>
                  </w14:solidFill>
                </w14:textFill>
              </w:rPr>
              <w:t>演示时间：</w:t>
            </w:r>
            <w:r>
              <w:rPr>
                <w:rFonts w:hint="eastAsia" w:cs="仿宋_GB2312" w:asciiTheme="minorEastAsia" w:hAnsiTheme="minorEastAsia" w:eastAsiaTheme="minorEastAsia"/>
                <w:color w:val="000000" w:themeColor="text1"/>
                <w:lang w:val="zh-CN"/>
                <w14:textFill>
                  <w14:solidFill>
                    <w14:schemeClr w14:val="tx1"/>
                  </w14:solidFill>
                </w14:textFill>
              </w:rPr>
              <w:t>演示时间不超过20分钟</w:t>
            </w:r>
            <w:r>
              <w:rPr>
                <w:rFonts w:hint="eastAsia" w:cs="仿宋_GB2312" w:asciiTheme="minorEastAsia" w:hAnsiTheme="minorEastAsia" w:eastAsiaTheme="minorEastAsia"/>
                <w:color w:val="000000" w:themeColor="text1"/>
                <w:kern w:val="2"/>
                <w14:textFill>
                  <w14:solidFill>
                    <w14:schemeClr w14:val="tx1"/>
                  </w14:solidFill>
                </w14:textFill>
              </w:rPr>
              <w:t>。</w:t>
            </w:r>
          </w:p>
          <w:p>
            <w:pPr>
              <w:keepNext w:val="0"/>
              <w:keepLines w:val="0"/>
              <w:pageBreakBefore w:val="0"/>
              <w:kinsoku/>
              <w:wordWrap/>
              <w:overflowPunct/>
              <w:topLinePunct w:val="0"/>
              <w:bidi w:val="0"/>
              <w:spacing w:line="360" w:lineRule="exact"/>
              <w:rPr>
                <w:rFonts w:cs="Arial"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lang w:val="zh-CN"/>
                <w14:textFill>
                  <w14:solidFill>
                    <w14:schemeClr w14:val="tx1"/>
                  </w14:solidFill>
                </w14:textFill>
              </w:rPr>
              <w:t>演示次序：</w:t>
            </w:r>
            <w:r>
              <w:rPr>
                <w:rFonts w:hint="eastAsia" w:cs="Arial" w:asciiTheme="minorEastAsia" w:hAnsiTheme="minorEastAsia" w:eastAsiaTheme="minorEastAsia"/>
                <w:color w:val="000000" w:themeColor="text1"/>
                <w14:textFill>
                  <w14:solidFill>
                    <w14:schemeClr w14:val="tx1"/>
                  </w14:solidFill>
                </w14:textFill>
              </w:rPr>
              <w:t>以获取招标文件的先后顺序为准。</w:t>
            </w:r>
          </w:p>
          <w:p>
            <w:pPr>
              <w:keepNext w:val="0"/>
              <w:keepLines w:val="0"/>
              <w:pageBreakBefore w:val="0"/>
              <w:kinsoku/>
              <w:wordWrap/>
              <w:overflowPunct/>
              <w:topLinePunct w:val="0"/>
              <w:bidi w:val="0"/>
              <w:spacing w:line="360" w:lineRule="exact"/>
              <w:rPr>
                <w:rFonts w:cs="Arial" w:asciiTheme="minorEastAsia" w:hAnsiTheme="minorEastAsia" w:eastAsiaTheme="minorEastAsia"/>
                <w:color w:val="000000" w:themeColor="text1"/>
                <w14:textFill>
                  <w14:solidFill>
                    <w14:schemeClr w14:val="tx1"/>
                  </w14:solidFill>
                </w14:textFill>
              </w:rPr>
            </w:pPr>
            <w:r>
              <w:rPr>
                <w:rFonts w:hint="eastAsia" w:cs="Arial" w:asciiTheme="minorEastAsia" w:hAnsiTheme="minorEastAsia" w:eastAsiaTheme="minorEastAsia"/>
                <w:color w:val="000000" w:themeColor="text1"/>
                <w14:textFill>
                  <w14:solidFill>
                    <w14:schemeClr w14:val="tx1"/>
                  </w14:solidFill>
                </w14:textFill>
              </w:rPr>
              <w:t>注：演示</w:t>
            </w:r>
            <w:r>
              <w:rPr>
                <w:rFonts w:hint="eastAsia" w:asciiTheme="minorEastAsia" w:hAnsiTheme="minorEastAsia" w:eastAsiaTheme="minorEastAsia" w:cstheme="minorEastAsia"/>
                <w:color w:val="000000" w:themeColor="text1"/>
                <w14:textFill>
                  <w14:solidFill>
                    <w14:schemeClr w14:val="tx1"/>
                  </w14:solidFill>
                </w14:textFill>
              </w:rPr>
              <w:t>U盘请封包在</w:t>
            </w:r>
            <w:r>
              <w:rPr>
                <w:rFonts w:hint="eastAsia" w:asciiTheme="minorEastAsia" w:hAnsiTheme="minorEastAsia" w:eastAsiaTheme="minorEastAsia"/>
                <w:color w:val="000000" w:themeColor="text1"/>
                <w14:textFill>
                  <w14:solidFill>
                    <w14:schemeClr w14:val="tx1"/>
                  </w14:solidFill>
                </w14:textFill>
              </w:rPr>
              <w:t>《商务技术（资信）文件资料》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10</w:t>
            </w:r>
          </w:p>
        </w:tc>
        <w:tc>
          <w:tcPr>
            <w:tcW w:w="106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进口产品</w:t>
            </w:r>
          </w:p>
        </w:tc>
        <w:tc>
          <w:tcPr>
            <w:tcW w:w="7155" w:type="dxa"/>
            <w:vAlign w:val="center"/>
          </w:tcPr>
          <w:p>
            <w:pPr>
              <w:keepNext w:val="0"/>
              <w:keepLines w:val="0"/>
              <w:pageBreakBefore w:val="0"/>
              <w:kinsoku/>
              <w:wordWrap/>
              <w:overflowPunct/>
              <w:topLinePunct w:val="0"/>
              <w:bidi w:val="0"/>
              <w:spacing w:line="360" w:lineRule="exact"/>
              <w:rPr>
                <w:rFonts w:cs="Arial" w:asciiTheme="minorEastAsia" w:hAnsiTheme="minorEastAsia" w:eastAsiaTheme="minorEastAsia"/>
                <w:color w:val="000000" w:themeColor="text1"/>
                <w14:textFill>
                  <w14:solidFill>
                    <w14:schemeClr w14:val="tx1"/>
                  </w14:solidFill>
                </w14:textFill>
              </w:rPr>
            </w:pPr>
            <w:sdt>
              <w:sdtPr>
                <w:rPr>
                  <w:rFonts w:hint="eastAsia" w:cs="Arial" w:asciiTheme="minorEastAsia" w:hAnsiTheme="minorEastAsia" w:eastAsiaTheme="minorEastAsia"/>
                  <w:color w:val="000000" w:themeColor="text1"/>
                  <w14:textFill>
                    <w14:solidFill>
                      <w14:schemeClr w14:val="tx1"/>
                    </w14:solidFill>
                  </w14:textFill>
                </w:rPr>
                <w:id w:val="-751813434"/>
              </w:sdtPr>
              <w:sdtEndPr>
                <w:rPr>
                  <w:rFonts w:hint="eastAsia" w:cs="Arial" w:asciiTheme="minorEastAsia" w:hAnsiTheme="minorEastAsia" w:eastAsiaTheme="minorEastAsia"/>
                  <w:color w:val="000000" w:themeColor="text1"/>
                  <w14:textFill>
                    <w14:solidFill>
                      <w14:schemeClr w14:val="tx1"/>
                    </w14:solidFill>
                  </w14:textFill>
                </w:rPr>
              </w:sdtEndPr>
              <w:sdtContent>
                <w:r>
                  <w:rPr>
                    <w:rFonts w:cs="Arial" w:asciiTheme="minorEastAsia" w:hAnsiTheme="minorEastAsia" w:eastAsiaTheme="minorEastAsia"/>
                    <w:color w:val="000000" w:themeColor="text1"/>
                    <w14:textFill>
                      <w14:solidFill>
                        <w14:schemeClr w14:val="tx1"/>
                      </w14:solidFill>
                    </w14:textFill>
                  </w:rPr>
                  <w:sym w:font="Wingdings" w:char="F0FE"/>
                </w:r>
                <w:r>
                  <w:rPr>
                    <w:rFonts w:hint="eastAsia" w:hAnsi="MS Mincho" w:eastAsia="MS Mincho" w:cs="MS Mincho" w:asciiTheme="minorEastAsia"/>
                    <w:color w:val="000000" w:themeColor="text1"/>
                    <w14:textFill>
                      <w14:solidFill>
                        <w14:schemeClr w14:val="tx1"/>
                      </w14:solidFill>
                    </w14:textFill>
                  </w:rPr>
                  <w:t xml:space="preserve"> </w:t>
                </w:r>
              </w:sdtContent>
            </w:sdt>
            <w:r>
              <w:rPr>
                <w:rFonts w:hint="eastAsia" w:cs="Arial" w:asciiTheme="minorEastAsia" w:hAnsiTheme="minorEastAsia" w:eastAsiaTheme="minorEastAsia"/>
                <w:color w:val="000000" w:themeColor="text1"/>
                <w14:textFill>
                  <w14:solidFill>
                    <w14:schemeClr w14:val="tx1"/>
                  </w14:solidFill>
                </w14:textFill>
              </w:rPr>
              <w:t>本项目不允许采购进口产品。</w:t>
            </w:r>
          </w:p>
          <w:p>
            <w:pPr>
              <w:keepNext w:val="0"/>
              <w:keepLines w:val="0"/>
              <w:pageBreakBefore w:val="0"/>
              <w:kinsoku/>
              <w:wordWrap/>
              <w:overflowPunct/>
              <w:topLinePunct w:val="0"/>
              <w:bidi w:val="0"/>
              <w:spacing w:line="360" w:lineRule="exact"/>
              <w:rPr>
                <w:rFonts w:cs="仿宋" w:asciiTheme="minorEastAsia" w:hAnsiTheme="minorEastAsia" w:eastAsiaTheme="minorEastAsia"/>
                <w:b/>
                <w:color w:val="000000" w:themeColor="text1"/>
                <w14:textFill>
                  <w14:solidFill>
                    <w14:schemeClr w14:val="tx1"/>
                  </w14:solidFill>
                </w14:textFill>
              </w:rPr>
            </w:pPr>
            <w:sdt>
              <w:sdtPr>
                <w:rPr>
                  <w:rFonts w:hint="eastAsia" w:cs="Arial" w:asciiTheme="minorEastAsia" w:hAnsiTheme="minorEastAsia" w:eastAsiaTheme="minorEastAsia"/>
                  <w:color w:val="000000" w:themeColor="text1"/>
                  <w14:textFill>
                    <w14:solidFill>
                      <w14:schemeClr w14:val="tx1"/>
                    </w14:solidFill>
                  </w14:textFill>
                </w:rPr>
                <w:id w:val="-833212847"/>
              </w:sdtPr>
              <w:sdtEndPr>
                <w:rPr>
                  <w:rFonts w:hint="eastAsia" w:cs="Arial" w:asciiTheme="minorEastAsia" w:hAnsiTheme="minorEastAsia" w:eastAsiaTheme="minorEastAsia"/>
                  <w:color w:val="000000" w:themeColor="text1"/>
                  <w14:textFill>
                    <w14:solidFill>
                      <w14:schemeClr w14:val="tx1"/>
                    </w14:solidFill>
                  </w14:textFill>
                </w:rPr>
              </w:sdtEndPr>
              <w:sdtContent>
                <w:sdt>
                  <w:sdtPr>
                    <w:rPr>
                      <w:rFonts w:hint="eastAsia" w:cs="Arial" w:asciiTheme="minorEastAsia" w:hAnsiTheme="minorEastAsia" w:eastAsiaTheme="minorEastAsia"/>
                      <w:color w:val="000000" w:themeColor="text1"/>
                      <w14:textFill>
                        <w14:solidFill>
                          <w14:schemeClr w14:val="tx1"/>
                        </w14:solidFill>
                      </w14:textFill>
                    </w:rPr>
                    <w:id w:val="-165022822"/>
                  </w:sdtPr>
                  <w:sdtEndPr>
                    <w:rPr>
                      <w:rFonts w:hint="eastAsia" w:cs="Arial" w:asciiTheme="minorEastAsia" w:hAnsiTheme="minorEastAsia" w:eastAsiaTheme="minorEastAsia"/>
                      <w:color w:val="000000" w:themeColor="text1"/>
                      <w14:textFill>
                        <w14:solidFill>
                          <w14:schemeClr w14:val="tx1"/>
                        </w14:solidFill>
                      </w14:textFill>
                    </w:rPr>
                  </w:sdtEndPr>
                  <w:sdtContent>
                    <w:sdt>
                      <w:sdtPr>
                        <w:rPr>
                          <w:rFonts w:hint="eastAsia" w:cs="Arial" w:asciiTheme="minorEastAsia" w:hAnsiTheme="minorEastAsia" w:eastAsiaTheme="minorEastAsia"/>
                          <w:color w:val="000000" w:themeColor="text1"/>
                          <w14:textFill>
                            <w14:solidFill>
                              <w14:schemeClr w14:val="tx1"/>
                            </w14:solidFill>
                          </w14:textFill>
                        </w:rPr>
                        <w:id w:val="-1135175077"/>
                      </w:sdtPr>
                      <w:sdtEndPr>
                        <w:rPr>
                          <w:rFonts w:hint="eastAsia" w:cs="Arial" w:asciiTheme="minorEastAsia" w:hAnsiTheme="minorEastAsia" w:eastAsiaTheme="minorEastAsia"/>
                          <w:color w:val="000000" w:themeColor="text1"/>
                          <w14:textFill>
                            <w14:solidFill>
                              <w14:schemeClr w14:val="tx1"/>
                            </w14:solidFill>
                          </w14:textFill>
                        </w:rPr>
                      </w:sdtEndPr>
                      <w:sdtContent>
                        <w:sdt>
                          <w:sdtPr>
                            <w:rPr>
                              <w:rFonts w:hint="eastAsia" w:cs="仿宋" w:asciiTheme="majorEastAsia" w:hAnsiTheme="majorEastAsia" w:eastAsiaTheme="majorEastAsia"/>
                              <w:color w:val="000000" w:themeColor="text1"/>
                              <w14:textFill>
                                <w14:solidFill>
                                  <w14:schemeClr w14:val="tx1"/>
                                </w14:solidFill>
                              </w14:textFill>
                            </w:rPr>
                            <w:id w:val="5035491"/>
                            <w:showingPlcHdr/>
                          </w:sdtPr>
                          <w:sdtEndPr>
                            <w:rPr>
                              <w:rFonts w:hint="eastAsia" w:cs="仿宋" w:asciiTheme="majorEastAsia" w:hAnsiTheme="majorEastAsia" w:eastAsiaTheme="majorEastAsia"/>
                              <w:color w:val="000000" w:themeColor="text1"/>
                              <w14:textFill>
                                <w14:solidFill>
                                  <w14:schemeClr w14:val="tx1"/>
                                </w14:solidFill>
                              </w14:textFill>
                            </w:rPr>
                          </w:sdtEndPr>
                          <w:sdtContent>
                            <w:r>
                              <w:rPr>
                                <w:rFonts w:hint="eastAsia" w:hAnsi="MS Mincho" w:eastAsia="MS Mincho" w:cs="MS Mincho" w:asciiTheme="majorEastAsia"/>
                                <w:color w:val="000000" w:themeColor="text1"/>
                                <w14:textFill>
                                  <w14:solidFill>
                                    <w14:schemeClr w14:val="tx1"/>
                                  </w14:solidFill>
                                </w14:textFill>
                              </w:rPr>
                              <w:t>☐</w:t>
                            </w:r>
                          </w:sdtContent>
                        </w:sdt>
                        <w:r>
                          <w:rPr>
                            <w:rFonts w:cs="Arial" w:asciiTheme="minorEastAsia" w:hAnsiTheme="minorEastAsia" w:eastAsiaTheme="minorEastAsia"/>
                            <w:color w:val="000000" w:themeColor="text1"/>
                            <w14:textFill>
                              <w14:solidFill>
                                <w14:schemeClr w14:val="tx1"/>
                              </w14:solidFill>
                            </w14:textFill>
                          </w:rPr>
                          <w:t xml:space="preserve"> </w:t>
                        </w:r>
                      </w:sdtContent>
                    </w:sdt>
                  </w:sdtContent>
                </w:sdt>
              </w:sdtContent>
            </w:sdt>
            <w:r>
              <w:rPr>
                <w:rFonts w:hint="eastAsia" w:cs="Arial" w:asciiTheme="minorEastAsia" w:hAnsiTheme="minorEastAsia" w:eastAsiaTheme="minorEastAsia"/>
                <w:color w:val="000000" w:themeColor="text1"/>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11</w:t>
            </w:r>
          </w:p>
        </w:tc>
        <w:tc>
          <w:tcPr>
            <w:tcW w:w="1067" w:type="dxa"/>
            <w:vAlign w:val="center"/>
          </w:tcPr>
          <w:p>
            <w:pPr>
              <w:keepNext w:val="0"/>
              <w:keepLines w:val="0"/>
              <w:pageBreakBefore w:val="0"/>
              <w:kinsoku/>
              <w:wordWrap/>
              <w:overflowPunct/>
              <w:topLinePunct w:val="0"/>
              <w:bidi w:val="0"/>
              <w:spacing w:line="360" w:lineRule="exact"/>
              <w:jc w:val="center"/>
              <w:rPr>
                <w:rFonts w:cs="仿宋_GB2312" w:asciiTheme="minorEastAsia" w:hAnsiTheme="minorEastAsia" w:eastAsiaTheme="minorEastAsia"/>
                <w:b/>
                <w:color w:val="000000" w:themeColor="text1"/>
                <w:spacing w:val="-20"/>
                <w14:textFill>
                  <w14:solidFill>
                    <w14:schemeClr w14:val="tx1"/>
                  </w14:solidFill>
                </w14:textFill>
              </w:rPr>
            </w:pPr>
            <w:r>
              <w:rPr>
                <w:rFonts w:hint="eastAsia" w:cs="仿宋_GB2312" w:asciiTheme="minorEastAsia" w:hAnsiTheme="minorEastAsia" w:eastAsiaTheme="minorEastAsia"/>
                <w:b/>
                <w:color w:val="000000" w:themeColor="text1"/>
                <w:spacing w:val="-20"/>
                <w14:textFill>
                  <w14:solidFill>
                    <w14:schemeClr w14:val="tx1"/>
                  </w14:solidFill>
                </w14:textFill>
              </w:rPr>
              <w:t>项目属性与核心产品</w:t>
            </w:r>
          </w:p>
        </w:tc>
        <w:tc>
          <w:tcPr>
            <w:tcW w:w="7155" w:type="dxa"/>
            <w:vAlign w:val="center"/>
          </w:tcPr>
          <w:p>
            <w:pPr>
              <w:keepNext w:val="0"/>
              <w:keepLines w:val="0"/>
              <w:pageBreakBefore w:val="0"/>
              <w:kinsoku/>
              <w:wordWrap/>
              <w:overflowPunct/>
              <w:topLinePunct w:val="0"/>
              <w:bidi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hAnsi="MS Mincho" w:eastAsia="MS Mincho" w:cs="MS Mincho" w:asciiTheme="minorEastAsia"/>
                <w:color w:val="000000" w:themeColor="text1"/>
                <w14:textFill>
                  <w14:solidFill>
                    <w14:schemeClr w14:val="tx1"/>
                  </w14:solidFill>
                </w14:textFill>
              </w:rPr>
              <w:t>☐</w:t>
            </w:r>
            <w:r>
              <w:rPr>
                <w:rFonts w:hint="eastAsia" w:cs="Arial" w:asciiTheme="minorEastAsia" w:hAnsiTheme="minorEastAsia" w:eastAsiaTheme="minorEastAsia"/>
                <w:color w:val="000000" w:themeColor="text1"/>
                <w14:textFill>
                  <w14:solidFill>
                    <w14:schemeClr w14:val="tx1"/>
                  </w14:solidFill>
                </w14:textFill>
              </w:rPr>
              <w:t>A</w:t>
            </w:r>
            <w:r>
              <w:rPr>
                <w:rFonts w:hint="eastAsia" w:asciiTheme="minorEastAsia" w:hAnsiTheme="minorEastAsia" w:eastAsiaTheme="minorEastAsia"/>
                <w:color w:val="000000" w:themeColor="text1"/>
                <w14:textFill>
                  <w14:solidFill>
                    <w14:schemeClr w14:val="tx1"/>
                  </w14:solidFill>
                </w14:textFill>
              </w:rPr>
              <w:t>货物类。</w:t>
            </w:r>
          </w:p>
          <w:p>
            <w:pPr>
              <w:keepNext w:val="0"/>
              <w:keepLines w:val="0"/>
              <w:pageBreakBefore w:val="0"/>
              <w:kinsoku/>
              <w:wordWrap/>
              <w:overflowPunct/>
              <w:topLinePunct w:val="0"/>
              <w:bidi w:val="0"/>
              <w:spacing w:line="360" w:lineRule="exact"/>
              <w:rPr>
                <w:rFonts w:cs="Arial" w:asciiTheme="minorEastAsia" w:hAnsiTheme="minorEastAsia" w:eastAsiaTheme="minorEastAsia"/>
                <w:color w:val="000000" w:themeColor="text1"/>
                <w14:textFill>
                  <w14:solidFill>
                    <w14:schemeClr w14:val="tx1"/>
                  </w14:solidFill>
                </w14:textFill>
              </w:rPr>
            </w:pPr>
            <w:sdt>
              <w:sdtPr>
                <w:rPr>
                  <w:rFonts w:hint="eastAsia" w:cs="Arial" w:asciiTheme="minorEastAsia" w:hAnsiTheme="minorEastAsia" w:eastAsiaTheme="minorEastAsia"/>
                  <w:color w:val="000000" w:themeColor="text1"/>
                  <w14:textFill>
                    <w14:solidFill>
                      <w14:schemeClr w14:val="tx1"/>
                    </w14:solidFill>
                  </w14:textFill>
                </w:rPr>
                <w:id w:val="474885559"/>
              </w:sdtPr>
              <w:sdtEndPr>
                <w:rPr>
                  <w:rFonts w:hint="eastAsia" w:cs="Arial" w:asciiTheme="minorEastAsia" w:hAnsiTheme="minorEastAsia" w:eastAsiaTheme="minorEastAsia"/>
                  <w:color w:val="000000" w:themeColor="text1"/>
                  <w14:textFill>
                    <w14:solidFill>
                      <w14:schemeClr w14:val="tx1"/>
                    </w14:solidFill>
                  </w14:textFill>
                </w:rPr>
              </w:sdtEndPr>
              <w:sdtContent>
                <w:sdt>
                  <w:sdtPr>
                    <w:rPr>
                      <w:rFonts w:hint="eastAsia" w:cs="Arial" w:asciiTheme="minorEastAsia" w:hAnsiTheme="minorEastAsia" w:eastAsiaTheme="minorEastAsia"/>
                      <w:color w:val="000000" w:themeColor="text1"/>
                      <w14:textFill>
                        <w14:solidFill>
                          <w14:schemeClr w14:val="tx1"/>
                        </w14:solidFill>
                      </w14:textFill>
                    </w:rPr>
                    <w:id w:val="118727868"/>
                  </w:sdtPr>
                  <w:sdtEndPr>
                    <w:rPr>
                      <w:rFonts w:hint="eastAsia" w:cs="Arial" w:asciiTheme="minorEastAsia" w:hAnsiTheme="minorEastAsia" w:eastAsiaTheme="minorEastAsia"/>
                      <w:color w:val="000000" w:themeColor="text1"/>
                      <w14:textFill>
                        <w14:solidFill>
                          <w14:schemeClr w14:val="tx1"/>
                        </w14:solidFill>
                      </w14:textFill>
                    </w:rPr>
                  </w:sdtEndPr>
                  <w:sdtContent>
                    <w:sdt>
                      <w:sdtPr>
                        <w:rPr>
                          <w:rFonts w:hint="eastAsia" w:cs="Arial" w:asciiTheme="minorEastAsia" w:hAnsiTheme="minorEastAsia" w:eastAsiaTheme="minorEastAsia"/>
                          <w:color w:val="000000" w:themeColor="text1"/>
                          <w14:textFill>
                            <w14:solidFill>
                              <w14:schemeClr w14:val="tx1"/>
                            </w14:solidFill>
                          </w14:textFill>
                        </w:rPr>
                        <w:id w:val="650634262"/>
                      </w:sdtPr>
                      <w:sdtEndPr>
                        <w:rPr>
                          <w:rFonts w:hint="eastAsia" w:cs="Arial" w:asciiTheme="minorEastAsia" w:hAnsiTheme="minorEastAsia" w:eastAsiaTheme="minorEastAsia"/>
                          <w:color w:val="000000" w:themeColor="text1"/>
                          <w14:textFill>
                            <w14:solidFill>
                              <w14:schemeClr w14:val="tx1"/>
                            </w14:solidFill>
                          </w14:textFill>
                        </w:rPr>
                      </w:sdtEndPr>
                      <w:sdtContent>
                        <w:r>
                          <w:rPr>
                            <w:rFonts w:cs="Arial" w:asciiTheme="minorEastAsia" w:hAnsiTheme="minorEastAsia" w:eastAsiaTheme="minorEastAsia"/>
                            <w:color w:val="000000" w:themeColor="text1"/>
                            <w14:textFill>
                              <w14:solidFill>
                                <w14:schemeClr w14:val="tx1"/>
                              </w14:solidFill>
                            </w14:textFill>
                          </w:rPr>
                          <w:sym w:font="Wingdings" w:char="F0FE"/>
                        </w:r>
                      </w:sdtContent>
                    </w:sdt>
                  </w:sdtContent>
                </w:sdt>
              </w:sdtContent>
            </w:sdt>
            <w:r>
              <w:rPr>
                <w:rFonts w:hint="eastAsia" w:cs="Arial" w:asciiTheme="minorEastAsia" w:hAnsiTheme="minorEastAsia" w:eastAsiaTheme="minorEastAsia"/>
                <w:color w:val="000000" w:themeColor="text1"/>
                <w14:textFill>
                  <w14:solidFill>
                    <w14:schemeClr w14:val="tx1"/>
                  </w14:solidFill>
                </w14:textFill>
              </w:rPr>
              <w:t>B</w:t>
            </w:r>
            <w:r>
              <w:rPr>
                <w:rFonts w:hint="eastAsia" w:asciiTheme="minorEastAsia" w:hAnsiTheme="minorEastAsia" w:eastAsiaTheme="minorEastAsia"/>
                <w:color w:val="000000" w:themeColor="text1"/>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w:t>
            </w:r>
          </w:p>
        </w:tc>
        <w:tc>
          <w:tcPr>
            <w:tcW w:w="1067" w:type="dxa"/>
            <w:vAlign w:val="center"/>
          </w:tcPr>
          <w:p>
            <w:pPr>
              <w:keepNext w:val="0"/>
              <w:keepLines w:val="0"/>
              <w:pageBreakBefore w:val="0"/>
              <w:kinsoku/>
              <w:wordWrap/>
              <w:overflowPunct/>
              <w:topLinePunct w:val="0"/>
              <w:bidi w:val="0"/>
              <w:spacing w:line="360" w:lineRule="exact"/>
              <w:jc w:val="center"/>
              <w:rPr>
                <w:rFonts w:cs="仿宋_GB2312" w:asciiTheme="minorEastAsia" w:hAnsiTheme="minorEastAsia" w:eastAsiaTheme="minorEastAsia"/>
                <w:b/>
                <w:color w:val="000000" w:themeColor="text1"/>
                <w:spacing w:val="-20"/>
                <w14:textFill>
                  <w14:solidFill>
                    <w14:schemeClr w14:val="tx1"/>
                  </w14:solidFill>
                </w14:textFill>
              </w:rPr>
            </w:pPr>
            <w:r>
              <w:rPr>
                <w:rFonts w:hint="eastAsia" w:cs="仿宋_GB2312" w:asciiTheme="minorEastAsia" w:hAnsiTheme="minorEastAsia" w:eastAsiaTheme="minorEastAsia"/>
                <w:b/>
                <w:color w:val="000000" w:themeColor="text1"/>
                <w:spacing w:val="-20"/>
                <w14:textFill>
                  <w14:solidFill>
                    <w14:schemeClr w14:val="tx1"/>
                  </w14:solidFill>
                </w14:textFill>
              </w:rPr>
              <w:t>采购标的对应的中小企业划分标准所属行业</w:t>
            </w:r>
          </w:p>
        </w:tc>
        <w:tc>
          <w:tcPr>
            <w:tcW w:w="7155" w:type="dxa"/>
            <w:vAlign w:val="center"/>
          </w:tcPr>
          <w:p>
            <w:pPr>
              <w:keepNext w:val="0"/>
              <w:keepLines w:val="0"/>
              <w:pageBreakBefore w:val="0"/>
              <w:kinsoku/>
              <w:wordWrap/>
              <w:overflowPunct/>
              <w:topLinePunct w:val="0"/>
              <w:bidi w:val="0"/>
              <w:snapToGrid w:val="0"/>
              <w:spacing w:line="360" w:lineRule="exact"/>
              <w:rPr>
                <w:rFonts w:cs="Arial" w:asciiTheme="minorEastAsia" w:hAnsiTheme="minorEastAsia" w:eastAsiaTheme="minorEastAsia"/>
                <w:color w:val="000000" w:themeColor="text1"/>
                <w:u w:val="single"/>
                <w14:textFill>
                  <w14:solidFill>
                    <w14:schemeClr w14:val="tx1"/>
                  </w14:solidFill>
                </w14:textFill>
              </w:rPr>
            </w:pPr>
            <w:r>
              <w:rPr>
                <w:rFonts w:hint="eastAsia" w:cs="Arial" w:asciiTheme="minorEastAsia" w:hAnsiTheme="minorEastAsia" w:eastAsiaTheme="minorEastAsia"/>
                <w:color w:val="000000" w:themeColor="text1"/>
                <w14:textFill>
                  <w14:solidFill>
                    <w14:schemeClr w14:val="tx1"/>
                  </w14:solidFill>
                </w14:textFill>
              </w:rPr>
              <w:t>（1）标的：</w:t>
            </w:r>
            <w:r>
              <w:rPr>
                <w:rFonts w:hint="eastAsia" w:cs="Arial" w:asciiTheme="majorEastAsia" w:hAnsiTheme="majorEastAsia" w:eastAsiaTheme="majorEastAsia"/>
                <w:color w:val="000000" w:themeColor="text1"/>
                <w:u w:val="single"/>
                <w14:textFill>
                  <w14:solidFill>
                    <w14:schemeClr w14:val="tx1"/>
                  </w14:solidFill>
                </w14:textFill>
              </w:rPr>
              <w:t>标项一</w:t>
            </w:r>
            <w:r>
              <w:rPr>
                <w:rFonts w:hint="eastAsia" w:cs="Arial" w:asciiTheme="minorEastAsia" w:hAnsiTheme="minorEastAsia" w:eastAsiaTheme="minorEastAsia"/>
                <w:color w:val="000000" w:themeColor="text1"/>
                <w14:textFill>
                  <w14:solidFill>
                    <w14:schemeClr w14:val="tx1"/>
                  </w14:solidFill>
                </w14:textFill>
              </w:rPr>
              <w:t>，属于</w:t>
            </w:r>
            <w:r>
              <w:rPr>
                <w:rFonts w:hint="eastAsia" w:eastAsiaTheme="minorEastAsia"/>
                <w:color w:val="000000" w:themeColor="text1"/>
                <w:u w:val="single"/>
                <w:lang w:val="en-US" w:eastAsia="zh-CN"/>
                <w14:textFill>
                  <w14:solidFill>
                    <w14:schemeClr w14:val="tx1"/>
                  </w14:solidFill>
                </w14:textFill>
              </w:rPr>
              <w:t>其他未列明行业</w:t>
            </w:r>
            <w:r>
              <w:rPr>
                <w:rFonts w:hint="eastAsia" w:cs="Arial" w:asciiTheme="minorEastAsia" w:hAnsiTheme="minorEastAsia" w:eastAsiaTheme="minorEastAsia"/>
                <w:color w:val="000000" w:themeColor="text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17" w:type="dxa"/>
            <w:vMerge w:val="restart"/>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13</w:t>
            </w:r>
          </w:p>
        </w:tc>
        <w:tc>
          <w:tcPr>
            <w:tcW w:w="1067" w:type="dxa"/>
            <w:vMerge w:val="restart"/>
            <w:vAlign w:val="center"/>
          </w:tcPr>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投标人信用信息事项</w:t>
            </w:r>
          </w:p>
        </w:tc>
        <w:tc>
          <w:tcPr>
            <w:tcW w:w="7155" w:type="dxa"/>
            <w:vAlign w:val="center"/>
          </w:tcPr>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信用信息查询渠道及截止时间：</w:t>
            </w:r>
            <w:r>
              <w:rPr>
                <w:rFonts w:hint="eastAsia" w:cs="仿宋" w:asciiTheme="minorEastAsia" w:hAnsiTheme="minorEastAsia" w:eastAsiaTheme="minorEastAsia"/>
                <w:color w:val="000000" w:themeColor="text1"/>
                <w14:textFill>
                  <w14:solidFill>
                    <w14:schemeClr w14:val="tx1"/>
                  </w14:solidFill>
                </w14:textFill>
              </w:rPr>
              <w:t>采购人或采购人委托的评审小组或招标代理机构将通过“信用中国”网站</w:t>
            </w:r>
            <w:r>
              <w:rPr>
                <w:rFonts w:cs="仿宋" w:asciiTheme="minorEastAsia" w:hAnsiTheme="minorEastAsia" w:eastAsiaTheme="minorEastAsia"/>
                <w:color w:val="000000" w:themeColor="text1"/>
                <w14:textFill>
                  <w14:solidFill>
                    <w14:schemeClr w14:val="tx1"/>
                  </w14:solidFill>
                </w14:textFill>
              </w:rPr>
              <w:t>(www.creditchina.gov.cn)、中国政府采购网(www.ccgp.gov.cn)渠道查询投标人</w:t>
            </w:r>
            <w:r>
              <w:rPr>
                <w:rFonts w:hint="eastAsia" w:cs="仿宋_GB2312" w:asciiTheme="minorEastAsia" w:hAnsiTheme="minorEastAsia" w:eastAsiaTheme="minorEastAsia"/>
                <w:b/>
                <w:color w:val="000000" w:themeColor="text1"/>
                <w14:textFill>
                  <w14:solidFill>
                    <w14:schemeClr w14:val="tx1"/>
                  </w14:solidFill>
                </w14:textFill>
              </w:rPr>
              <w:t>开标当天</w:t>
            </w:r>
            <w:r>
              <w:rPr>
                <w:rFonts w:hint="eastAsia" w:cs="仿宋" w:asciiTheme="minorEastAsia" w:hAnsiTheme="minorEastAsia" w:eastAsiaTheme="minorEastAsia"/>
                <w:color w:val="000000" w:themeColor="text1"/>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17" w:type="dxa"/>
            <w:vMerge w:val="continue"/>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p>
        </w:tc>
        <w:tc>
          <w:tcPr>
            <w:tcW w:w="1067" w:type="dxa"/>
            <w:vMerge w:val="continue"/>
            <w:vAlign w:val="center"/>
          </w:tcPr>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p>
        </w:tc>
        <w:tc>
          <w:tcPr>
            <w:tcW w:w="7155" w:type="dxa"/>
            <w:vAlign w:val="center"/>
          </w:tcPr>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信用信息查询记录和证据留存的具体方式：</w:t>
            </w:r>
            <w:r>
              <w:rPr>
                <w:rFonts w:hint="eastAsia" w:cs="仿宋" w:asciiTheme="minorEastAsia" w:hAnsiTheme="minorEastAsia" w:eastAsiaTheme="minorEastAsia"/>
                <w:color w:val="000000" w:themeColor="text1"/>
                <w14:textFill>
                  <w14:solidFill>
                    <w14:schemeClr w14:val="tx1"/>
                  </w14:solidFill>
                </w14:textFill>
              </w:rPr>
              <w:t>采购人或采购人委托的评审小组或招标代理机构现场查询投标人的信用记录，查询结果经确认后与采购文件一起存档。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17" w:type="dxa"/>
            <w:vMerge w:val="continue"/>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p>
        </w:tc>
        <w:tc>
          <w:tcPr>
            <w:tcW w:w="1067" w:type="dxa"/>
            <w:vMerge w:val="continue"/>
            <w:vAlign w:val="center"/>
          </w:tcPr>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p>
        </w:tc>
        <w:tc>
          <w:tcPr>
            <w:tcW w:w="7155" w:type="dxa"/>
            <w:vAlign w:val="center"/>
          </w:tcPr>
          <w:p>
            <w:pPr>
              <w:keepNext w:val="0"/>
              <w:keepLines w:val="0"/>
              <w:pageBreakBefore w:val="0"/>
              <w:kinsoku/>
              <w:wordWrap/>
              <w:overflowPunct/>
              <w:topLinePunct w:val="0"/>
              <w:bidi w:val="0"/>
              <w:snapToGrid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信用信息的使用规则：</w:t>
            </w:r>
            <w:r>
              <w:rPr>
                <w:rFonts w:hint="eastAsia" w:asciiTheme="minorEastAsia" w:hAnsiTheme="minorEastAsia" w:eastAsiaTheme="minorEastAsia"/>
                <w:color w:val="000000" w:themeColor="text1"/>
                <w14:textFill>
                  <w14:solidFill>
                    <w14:schemeClr w14:val="tx1"/>
                  </w14:solidFill>
                </w14:textFill>
              </w:rPr>
              <w:t>经查询列入失信被执行人名单、重大税收违法案件当事人名单、政府采购严重违法失信行为记录名单的投标人将被拒绝参与政府采购活动。</w:t>
            </w:r>
          </w:p>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1</w:t>
            </w:r>
            <w:r>
              <w:rPr>
                <w:rFonts w:hint="eastAsia" w:cs="仿宋" w:asciiTheme="minorEastAsia" w:hAnsiTheme="minorEastAsia" w:eastAsiaTheme="minorEastAsia"/>
                <w:color w:val="000000" w:themeColor="text1"/>
                <w14:textFill>
                  <w14:solidFill>
                    <w14:schemeClr w14:val="tx1"/>
                  </w14:solidFill>
                </w14:textFill>
              </w:rPr>
              <w:t>4</w:t>
            </w:r>
          </w:p>
        </w:tc>
        <w:tc>
          <w:tcPr>
            <w:tcW w:w="8222" w:type="dxa"/>
            <w:gridSpan w:val="2"/>
            <w:vAlign w:val="center"/>
          </w:tcPr>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扰乱公共资源交易市场秩序行为：</w:t>
            </w:r>
          </w:p>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15</w:t>
            </w:r>
          </w:p>
        </w:tc>
        <w:tc>
          <w:tcPr>
            <w:tcW w:w="8222" w:type="dxa"/>
            <w:gridSpan w:val="2"/>
            <w:vAlign w:val="center"/>
          </w:tcPr>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17" w:type="dxa"/>
            <w:vAlign w:val="center"/>
          </w:tcPr>
          <w:p>
            <w:pPr>
              <w:keepNext w:val="0"/>
              <w:keepLines w:val="0"/>
              <w:pageBreakBefore w:val="0"/>
              <w:kinsoku/>
              <w:wordWrap/>
              <w:overflowPunct/>
              <w:topLinePunct w:val="0"/>
              <w:bidi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16</w:t>
            </w:r>
          </w:p>
        </w:tc>
        <w:tc>
          <w:tcPr>
            <w:tcW w:w="8222" w:type="dxa"/>
            <w:gridSpan w:val="2"/>
            <w:vAlign w:val="center"/>
          </w:tcPr>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更正补充公告请自行登录绍兴公共资源交易网或浙江政府采购网查看下载。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7" w:type="dxa"/>
            <w:vAlign w:val="center"/>
          </w:tcPr>
          <w:p>
            <w:pPr>
              <w:keepNext w:val="0"/>
              <w:keepLines w:val="0"/>
              <w:pageBreakBefore w:val="0"/>
              <w:kinsoku/>
              <w:wordWrap/>
              <w:overflowPunct/>
              <w:topLinePunct w:val="0"/>
              <w:bidi w:val="0"/>
              <w:snapToGrid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1</w:t>
            </w:r>
            <w:r>
              <w:rPr>
                <w:rFonts w:hint="eastAsia" w:cs="仿宋" w:asciiTheme="minorEastAsia" w:hAnsiTheme="minorEastAsia" w:eastAsiaTheme="minorEastAsia"/>
                <w:color w:val="000000" w:themeColor="text1"/>
                <w14:textFill>
                  <w14:solidFill>
                    <w14:schemeClr w14:val="tx1"/>
                  </w14:solidFill>
                </w14:textFill>
              </w:rPr>
              <w:t>7</w:t>
            </w:r>
          </w:p>
        </w:tc>
        <w:tc>
          <w:tcPr>
            <w:tcW w:w="8222" w:type="dxa"/>
            <w:gridSpan w:val="2"/>
            <w:vAlign w:val="center"/>
          </w:tcPr>
          <w:p>
            <w:pPr>
              <w:keepNext w:val="0"/>
              <w:keepLines w:val="0"/>
              <w:pageBreakBefore w:val="0"/>
              <w:widowControl w:val="0"/>
              <w:kinsoku/>
              <w:wordWrap/>
              <w:overflowPunct/>
              <w:topLinePunct w:val="0"/>
              <w:bidi w:val="0"/>
              <w:snapToGrid w:val="0"/>
              <w:spacing w:line="360" w:lineRule="exact"/>
              <w:jc w:val="both"/>
              <w:rPr>
                <w:rFonts w:cs="仿宋" w:asciiTheme="minorEastAsia" w:hAnsiTheme="minorEastAsia" w:eastAsiaTheme="minorEastAsia"/>
                <w:color w:val="000000" w:themeColor="text1"/>
                <w:kern w:val="2"/>
                <w14:textFill>
                  <w14:solidFill>
                    <w14:schemeClr w14:val="tx1"/>
                  </w14:solidFill>
                </w14:textFill>
              </w:rPr>
            </w:pPr>
            <w:r>
              <w:rPr>
                <w:rFonts w:hint="eastAsia" w:cs="仿宋" w:asciiTheme="minorEastAsia" w:hAnsiTheme="minorEastAsia" w:eastAsiaTheme="minorEastAsia"/>
                <w:color w:val="000000" w:themeColor="text1"/>
                <w:kern w:val="2"/>
                <w14:textFill>
                  <w14:solidFill>
                    <w14:schemeClr w14:val="tx1"/>
                  </w14:solidFill>
                </w14:textFill>
              </w:rPr>
              <w:t>投标与开标注意事项：</w:t>
            </w:r>
          </w:p>
          <w:p>
            <w:pPr>
              <w:keepNext w:val="0"/>
              <w:keepLines w:val="0"/>
              <w:pageBreakBefore w:val="0"/>
              <w:widowControl w:val="0"/>
              <w:kinsoku/>
              <w:wordWrap/>
              <w:overflowPunct/>
              <w:topLinePunct w:val="0"/>
              <w:bidi w:val="0"/>
              <w:snapToGrid w:val="0"/>
              <w:spacing w:line="360" w:lineRule="exact"/>
              <w:jc w:val="both"/>
              <w:rPr>
                <w:rFonts w:cs="仿宋" w:asciiTheme="minorEastAsia" w:hAnsiTheme="minorEastAsia" w:eastAsiaTheme="minorEastAsia"/>
                <w:color w:val="000000" w:themeColor="text1"/>
                <w:kern w:val="2"/>
                <w14:textFill>
                  <w14:solidFill>
                    <w14:schemeClr w14:val="tx1"/>
                  </w14:solidFill>
                </w14:textFill>
              </w:rPr>
            </w:pPr>
            <w:r>
              <w:rPr>
                <w:rFonts w:hint="eastAsia" w:cs="仿宋" w:asciiTheme="minorEastAsia" w:hAnsiTheme="minorEastAsia" w:eastAsiaTheme="minorEastAsia"/>
                <w:color w:val="000000" w:themeColor="text1"/>
                <w:kern w:val="2"/>
                <w14:textFill>
                  <w14:solidFill>
                    <w14:schemeClr w14:val="tx1"/>
                  </w14:solidFill>
                </w14:textFill>
              </w:rPr>
              <w:t>因疫情防控，本项目投标与开标采用以下方式：</w:t>
            </w:r>
          </w:p>
          <w:p>
            <w:pPr>
              <w:keepNext w:val="0"/>
              <w:keepLines w:val="0"/>
              <w:pageBreakBefore w:val="0"/>
              <w:widowControl w:val="0"/>
              <w:kinsoku/>
              <w:wordWrap/>
              <w:overflowPunct/>
              <w:topLinePunct w:val="0"/>
              <w:bidi w:val="0"/>
              <w:snapToGrid w:val="0"/>
              <w:spacing w:line="360" w:lineRule="exact"/>
              <w:jc w:val="both"/>
              <w:rPr>
                <w:rFonts w:cs="仿宋" w:asciiTheme="minorEastAsia" w:hAnsiTheme="minorEastAsia" w:eastAsiaTheme="minorEastAsia"/>
                <w:color w:val="000000" w:themeColor="text1"/>
                <w:kern w:val="2"/>
                <w14:textFill>
                  <w14:solidFill>
                    <w14:schemeClr w14:val="tx1"/>
                  </w14:solidFill>
                </w14:textFill>
              </w:rPr>
            </w:pPr>
            <w:r>
              <w:rPr>
                <w:rFonts w:hint="eastAsia" w:cs="仿宋" w:asciiTheme="minorEastAsia" w:hAnsiTheme="minorEastAsia" w:eastAsiaTheme="minorEastAsia"/>
                <w:color w:val="000000" w:themeColor="text1"/>
                <w:kern w:val="2"/>
                <w14:textFill>
                  <w14:solidFill>
                    <w14:schemeClr w14:val="tx1"/>
                  </w14:solidFill>
                </w14:textFill>
              </w:rPr>
              <w:t>（1）本项目允许投标人现场送达（即交即走）的方式，在投标截至时间前将投标文件递交至投标地点。</w:t>
            </w:r>
          </w:p>
          <w:p>
            <w:pPr>
              <w:keepNext w:val="0"/>
              <w:keepLines w:val="0"/>
              <w:pageBreakBefore w:val="0"/>
              <w:widowControl w:val="0"/>
              <w:kinsoku/>
              <w:wordWrap/>
              <w:overflowPunct/>
              <w:topLinePunct w:val="0"/>
              <w:bidi w:val="0"/>
              <w:snapToGrid w:val="0"/>
              <w:spacing w:line="360" w:lineRule="exact"/>
              <w:jc w:val="both"/>
              <w:rPr>
                <w:rFonts w:cs="仿宋" w:asciiTheme="minorEastAsia" w:hAnsiTheme="minorEastAsia" w:eastAsiaTheme="minorEastAsia"/>
                <w:color w:val="000000" w:themeColor="text1"/>
                <w:kern w:val="2"/>
                <w14:textFill>
                  <w14:solidFill>
                    <w14:schemeClr w14:val="tx1"/>
                  </w14:solidFill>
                </w14:textFill>
              </w:rPr>
            </w:pPr>
            <w:r>
              <w:rPr>
                <w:rFonts w:hint="eastAsia" w:cs="仿宋" w:asciiTheme="minorEastAsia" w:hAnsiTheme="minorEastAsia" w:eastAsiaTheme="minorEastAsia"/>
                <w:color w:val="000000" w:themeColor="text1"/>
                <w:kern w:val="2"/>
                <w14:textFill>
                  <w14:solidFill>
                    <w14:schemeClr w14:val="tx1"/>
                  </w14:solidFill>
                </w14:textFill>
              </w:rPr>
              <w:t>（2）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keepNext w:val="0"/>
              <w:keepLines w:val="0"/>
              <w:pageBreakBefore w:val="0"/>
              <w:kinsoku/>
              <w:wordWrap/>
              <w:overflowPunct/>
              <w:topLinePunct w:val="0"/>
              <w:bidi w:val="0"/>
              <w:snapToGrid w:val="0"/>
              <w:spacing w:line="360" w:lineRule="exact"/>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kern w:val="2"/>
                <w14:textFill>
                  <w14:solidFill>
                    <w14:schemeClr w14:val="tx1"/>
                  </w14:solidFill>
                </w14:textFill>
              </w:rPr>
              <w:t>（3）本项目招标文件内对开标现场原件核验不作要求，采购人有权在标后对中标候选人进行原件核验。投标人对所提供的全部资料的真实性承担法律责任。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Align w:val="center"/>
          </w:tcPr>
          <w:p>
            <w:pPr>
              <w:keepNext w:val="0"/>
              <w:keepLines w:val="0"/>
              <w:pageBreakBefore w:val="0"/>
              <w:kinsoku/>
              <w:wordWrap/>
              <w:overflowPunct/>
              <w:topLinePunct w:val="0"/>
              <w:bidi w:val="0"/>
              <w:snapToGrid w:val="0"/>
              <w:spacing w:line="360" w:lineRule="exact"/>
              <w:jc w:val="center"/>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1</w:t>
            </w:r>
            <w:r>
              <w:rPr>
                <w:rFonts w:cs="仿宋" w:asciiTheme="minorEastAsia" w:hAnsiTheme="minorEastAsia" w:eastAsiaTheme="minorEastAsia"/>
                <w:color w:val="000000" w:themeColor="text1"/>
                <w14:textFill>
                  <w14:solidFill>
                    <w14:schemeClr w14:val="tx1"/>
                  </w14:solidFill>
                </w14:textFill>
              </w:rPr>
              <w:t>8</w:t>
            </w:r>
          </w:p>
        </w:tc>
        <w:tc>
          <w:tcPr>
            <w:tcW w:w="8222" w:type="dxa"/>
            <w:gridSpan w:val="2"/>
            <w:vAlign w:val="center"/>
          </w:tcPr>
          <w:p>
            <w:pPr>
              <w:keepNext w:val="0"/>
              <w:keepLines w:val="0"/>
              <w:pageBreakBefore w:val="0"/>
              <w:widowControl w:val="0"/>
              <w:kinsoku/>
              <w:wordWrap/>
              <w:overflowPunct/>
              <w:topLinePunct w:val="0"/>
              <w:autoSpaceDE/>
              <w:autoSpaceDN/>
              <w:bidi w:val="0"/>
              <w:adjustRightInd w:val="0"/>
              <w:snapToGrid/>
              <w:spacing w:line="360" w:lineRule="exact"/>
              <w:jc w:val="both"/>
              <w:textAlignment w:val="auto"/>
              <w:rPr>
                <w:rFonts w:cs="仿宋" w:asciiTheme="minorEastAsia" w:hAnsiTheme="minorEastAsia" w:eastAsiaTheme="minorEastAsia"/>
                <w:b/>
                <w:color w:val="000000" w:themeColor="text1"/>
                <w:szCs w:val="21"/>
                <w14:textFill>
                  <w14:solidFill>
                    <w14:schemeClr w14:val="tx1"/>
                  </w14:solidFill>
                </w14:textFill>
              </w:rPr>
            </w:pPr>
            <w:r>
              <w:rPr>
                <w:rFonts w:hint="eastAsia" w:cs="仿宋" w:asciiTheme="minorEastAsia" w:hAnsiTheme="minorEastAsia" w:eastAsiaTheme="minorEastAsia"/>
                <w:b/>
                <w:color w:val="000000" w:themeColor="text1"/>
                <w:szCs w:val="21"/>
                <w14:textFill>
                  <w14:solidFill>
                    <w14:schemeClr w14:val="tx1"/>
                  </w14:solidFill>
                </w14:textFill>
              </w:rPr>
              <w:t>中标单位需支付以下费用，并在投标报价中自行考虑：</w:t>
            </w:r>
          </w:p>
          <w:p>
            <w:pPr>
              <w:pStyle w:val="26"/>
              <w:keepNext w:val="0"/>
              <w:keepLines w:val="0"/>
              <w:pageBreakBefore w:val="0"/>
              <w:kinsoku/>
              <w:wordWrap/>
              <w:overflowPunct/>
              <w:topLinePunct w:val="0"/>
              <w:autoSpaceDE/>
              <w:autoSpaceDN/>
              <w:bidi w:val="0"/>
              <w:snapToGrid/>
              <w:spacing w:line="360" w:lineRule="exact"/>
              <w:textAlignment w:val="auto"/>
              <w:rPr>
                <w:rFonts w:cs="仿宋" w:asciiTheme="majorEastAsia" w:hAnsiTheme="majorEastAsia" w:eastAsiaTheme="majorEastAsia"/>
                <w:snapToGrid w:val="0"/>
                <w:color w:val="000000" w:themeColor="text1"/>
                <w:kern w:val="28"/>
                <w:sz w:val="24"/>
                <w:szCs w:val="24"/>
                <w14:textFill>
                  <w14:solidFill>
                    <w14:schemeClr w14:val="tx1"/>
                  </w14:solidFill>
                </w14:textFill>
              </w:rPr>
            </w:pPr>
            <w:r>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t>中标供应商需支付采购代理服务费，并在投标报价中自行考虑</w:t>
            </w:r>
          </w:p>
          <w:p>
            <w:pPr>
              <w:pStyle w:val="26"/>
              <w:keepNext w:val="0"/>
              <w:keepLines w:val="0"/>
              <w:pageBreakBefore w:val="0"/>
              <w:kinsoku/>
              <w:wordWrap/>
              <w:overflowPunct/>
              <w:topLinePunct w:val="0"/>
              <w:autoSpaceDE/>
              <w:autoSpaceDN/>
              <w:bidi w:val="0"/>
              <w:snapToGrid/>
              <w:spacing w:line="360" w:lineRule="exact"/>
              <w:textAlignment w:val="auto"/>
              <w:rPr>
                <w:rFonts w:cs="仿宋" w:asciiTheme="majorEastAsia" w:hAnsiTheme="majorEastAsia" w:eastAsiaTheme="majorEastAsia"/>
                <w:snapToGrid w:val="0"/>
                <w:color w:val="000000" w:themeColor="text1"/>
                <w:kern w:val="28"/>
                <w:sz w:val="24"/>
                <w:szCs w:val="24"/>
                <w14:textFill>
                  <w14:solidFill>
                    <w14:schemeClr w14:val="tx1"/>
                  </w14:solidFill>
                </w14:textFill>
              </w:rPr>
            </w:pPr>
            <w:r>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t>①以中标通知书中确定的中标总金额作为采购代理服务费的计算基数，具体比例参照《国家计委关于印发&lt;招标代理服务收费管理暂行办法&gt;的通知》（计价格[2002]1980号）规定的标准×</w:t>
            </w:r>
            <w:r>
              <w:rPr>
                <w:rFonts w:cs="仿宋" w:asciiTheme="majorEastAsia" w:hAnsiTheme="majorEastAsia" w:eastAsiaTheme="majorEastAsia"/>
                <w:snapToGrid w:val="0"/>
                <w:color w:val="000000" w:themeColor="text1"/>
                <w:kern w:val="28"/>
                <w:sz w:val="24"/>
                <w:szCs w:val="24"/>
                <w14:textFill>
                  <w14:solidFill>
                    <w14:schemeClr w14:val="tx1"/>
                  </w14:solidFill>
                </w14:textFill>
              </w:rPr>
              <w:t>78.4%</w:t>
            </w:r>
            <w:r>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t>执行。</w:t>
            </w:r>
          </w:p>
          <w:p>
            <w:pPr>
              <w:pStyle w:val="26"/>
              <w:keepNext w:val="0"/>
              <w:keepLines w:val="0"/>
              <w:pageBreakBefore w:val="0"/>
              <w:kinsoku/>
              <w:wordWrap/>
              <w:overflowPunct/>
              <w:topLinePunct w:val="0"/>
              <w:autoSpaceDE/>
              <w:autoSpaceDN/>
              <w:bidi w:val="0"/>
              <w:snapToGrid/>
              <w:spacing w:line="360" w:lineRule="exact"/>
              <w:textAlignment w:val="auto"/>
              <w:rPr>
                <w:rFonts w:cs="仿宋" w:asciiTheme="majorEastAsia" w:hAnsiTheme="majorEastAsia" w:eastAsiaTheme="majorEastAsia"/>
                <w:snapToGrid w:val="0"/>
                <w:color w:val="000000" w:themeColor="text1"/>
                <w:kern w:val="28"/>
                <w:sz w:val="24"/>
                <w:szCs w:val="24"/>
                <w14:textFill>
                  <w14:solidFill>
                    <w14:schemeClr w14:val="tx1"/>
                  </w14:solidFill>
                </w14:textFill>
              </w:rPr>
            </w:pPr>
            <w:r>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t>②交纳方式：</w:t>
            </w:r>
          </w:p>
          <w:p>
            <w:pPr>
              <w:pStyle w:val="26"/>
              <w:keepNext w:val="0"/>
              <w:keepLines w:val="0"/>
              <w:pageBreakBefore w:val="0"/>
              <w:kinsoku/>
              <w:wordWrap/>
              <w:overflowPunct/>
              <w:topLinePunct w:val="0"/>
              <w:autoSpaceDE/>
              <w:autoSpaceDN/>
              <w:bidi w:val="0"/>
              <w:snapToGrid/>
              <w:spacing w:line="360" w:lineRule="exact"/>
              <w:textAlignment w:val="auto"/>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pPr>
            <w:r>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t>用银行支票、汇票、电汇、现金等付款方式直接交纳。</w:t>
            </w:r>
          </w:p>
          <w:p>
            <w:pPr>
              <w:pStyle w:val="26"/>
              <w:keepNext w:val="0"/>
              <w:keepLines w:val="0"/>
              <w:pageBreakBefore w:val="0"/>
              <w:kinsoku/>
              <w:wordWrap/>
              <w:overflowPunct/>
              <w:topLinePunct w:val="0"/>
              <w:autoSpaceDE/>
              <w:autoSpaceDN/>
              <w:bidi w:val="0"/>
              <w:snapToGrid/>
              <w:spacing w:line="360" w:lineRule="exact"/>
              <w:textAlignment w:val="auto"/>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pPr>
            <w:r>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t>公司名称：融华工程管理有限公司绍兴分公司</w:t>
            </w:r>
          </w:p>
          <w:p>
            <w:pPr>
              <w:pStyle w:val="26"/>
              <w:keepNext w:val="0"/>
              <w:keepLines w:val="0"/>
              <w:pageBreakBefore w:val="0"/>
              <w:kinsoku/>
              <w:wordWrap/>
              <w:overflowPunct/>
              <w:topLinePunct w:val="0"/>
              <w:autoSpaceDE/>
              <w:autoSpaceDN/>
              <w:bidi w:val="0"/>
              <w:snapToGrid/>
              <w:spacing w:line="360" w:lineRule="exact"/>
              <w:textAlignment w:val="auto"/>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pPr>
            <w:r>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t>开户行：绍兴银行股份有限公司望花支行</w:t>
            </w:r>
          </w:p>
          <w:p>
            <w:pPr>
              <w:pStyle w:val="26"/>
              <w:keepNext w:val="0"/>
              <w:keepLines w:val="0"/>
              <w:pageBreakBefore w:val="0"/>
              <w:kinsoku/>
              <w:wordWrap/>
              <w:overflowPunct/>
              <w:topLinePunct w:val="0"/>
              <w:autoSpaceDE/>
              <w:autoSpaceDN/>
              <w:bidi w:val="0"/>
              <w:snapToGrid/>
              <w:spacing w:line="360" w:lineRule="exact"/>
              <w:textAlignment w:val="auto"/>
              <w:rPr>
                <w:rFonts w:hint="eastAsia" w:cs="仿宋" w:asciiTheme="majorEastAsia" w:hAnsiTheme="majorEastAsia" w:eastAsiaTheme="majorEastAsia"/>
                <w:snapToGrid w:val="0"/>
                <w:color w:val="000000" w:themeColor="text1"/>
                <w:kern w:val="28"/>
                <w:sz w:val="24"/>
                <w:szCs w:val="24"/>
                <w:highlight w:val="yellow"/>
                <w14:textFill>
                  <w14:solidFill>
                    <w14:schemeClr w14:val="tx1"/>
                  </w14:solidFill>
                </w14:textFill>
              </w:rPr>
            </w:pPr>
            <w:r>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t>账  号：2107718232000011</w:t>
            </w:r>
          </w:p>
          <w:p>
            <w:pPr>
              <w:keepNext w:val="0"/>
              <w:keepLines w:val="0"/>
              <w:pageBreakBefore w:val="0"/>
              <w:kinsoku/>
              <w:wordWrap/>
              <w:overflowPunct/>
              <w:topLinePunct w:val="0"/>
              <w:autoSpaceDE/>
              <w:autoSpaceDN/>
              <w:bidi w:val="0"/>
              <w:snapToGrid/>
              <w:spacing w:line="360" w:lineRule="exact"/>
              <w:textAlignment w:val="auto"/>
              <w:rPr>
                <w:rFonts w:cs="仿宋" w:asciiTheme="minorEastAsia" w:hAnsiTheme="minorEastAsia" w:eastAsiaTheme="minorEastAsia"/>
                <w:color w:val="000000" w:themeColor="text1"/>
                <w14:textFill>
                  <w14:solidFill>
                    <w14:schemeClr w14:val="tx1"/>
                  </w14:solidFill>
                </w14:textFill>
              </w:rPr>
            </w:pPr>
            <w:r>
              <w:rPr>
                <w:rFonts w:hint="eastAsia" w:cs="仿宋" w:asciiTheme="majorEastAsia" w:hAnsiTheme="majorEastAsia" w:eastAsiaTheme="majorEastAsia"/>
                <w:snapToGrid w:val="0"/>
                <w:color w:val="000000" w:themeColor="text1"/>
                <w:kern w:val="28"/>
                <w:sz w:val="24"/>
                <w:szCs w:val="24"/>
                <w14:textFill>
                  <w14:solidFill>
                    <w14:schemeClr w14:val="tx1"/>
                  </w14:solidFill>
                </w14:textFill>
              </w:rPr>
              <w:t>③交纳时间：领取中标通知书前交纳。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039" w:type="dxa"/>
            <w:gridSpan w:val="3"/>
            <w:vAlign w:val="center"/>
          </w:tcPr>
          <w:p>
            <w:pPr>
              <w:keepNext w:val="0"/>
              <w:keepLines w:val="0"/>
              <w:pageBreakBefore w:val="0"/>
              <w:kinsoku/>
              <w:wordWrap/>
              <w:overflowPunct/>
              <w:topLinePunct w:val="0"/>
              <w:bidi w:val="0"/>
              <w:spacing w:line="360" w:lineRule="exact"/>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解释：凡涉及本采购文件的解释权属于采购人。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039" w:type="dxa"/>
            <w:gridSpan w:val="3"/>
            <w:vAlign w:val="center"/>
          </w:tcPr>
          <w:p>
            <w:pPr>
              <w:keepNext w:val="0"/>
              <w:keepLines w:val="0"/>
              <w:pageBreakBefore w:val="0"/>
              <w:kinsoku/>
              <w:wordWrap/>
              <w:overflowPunct/>
              <w:topLinePunct w:val="0"/>
              <w:bidi w:val="0"/>
              <w:spacing w:line="360" w:lineRule="exact"/>
              <w:rPr>
                <w:rFonts w:cs="仿宋"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注：中标人放弃中标资格或因质疑、投诉被取消中标资格或不能履行合同的，本项目重新开展采购活动。</w:t>
            </w:r>
          </w:p>
        </w:tc>
      </w:tr>
      <w:bookmarkEnd w:id="4"/>
    </w:tbl>
    <w:p>
      <w:pPr>
        <w:snapToGrid w:val="0"/>
        <w:spacing w:line="800" w:lineRule="exact"/>
        <w:jc w:val="center"/>
        <w:outlineLvl w:val="1"/>
        <w:rPr>
          <w:rFonts w:asciiTheme="minorEastAsia" w:hAnsiTheme="minorEastAsia" w:eastAsiaTheme="minorEastAsia"/>
          <w:b/>
          <w:color w:val="000000" w:themeColor="text1"/>
          <w:sz w:val="36"/>
          <w:szCs w:val="36"/>
          <w14:textFill>
            <w14:solidFill>
              <w14:schemeClr w14:val="tx1"/>
            </w14:solidFill>
          </w14:textFill>
        </w:rPr>
      </w:pPr>
      <w:r>
        <w:rPr>
          <w:rFonts w:asciiTheme="minorEastAsia" w:hAnsiTheme="minorEastAsia" w:eastAsiaTheme="minorEastAsia"/>
          <w:b/>
          <w:color w:val="000000" w:themeColor="text1"/>
          <w:sz w:val="36"/>
          <w:szCs w:val="36"/>
          <w14:textFill>
            <w14:solidFill>
              <w14:schemeClr w14:val="tx1"/>
            </w14:solidFill>
          </w14:textFill>
        </w:rPr>
        <w:br w:type="page"/>
      </w:r>
      <w:r>
        <w:rPr>
          <w:rFonts w:hint="eastAsia" w:asciiTheme="minorEastAsia" w:hAnsiTheme="minorEastAsia" w:eastAsiaTheme="minorEastAsia"/>
          <w:b/>
          <w:color w:val="000000" w:themeColor="text1"/>
          <w:sz w:val="36"/>
          <w:szCs w:val="36"/>
          <w14:textFill>
            <w14:solidFill>
              <w14:schemeClr w14:val="tx1"/>
            </w14:solidFill>
          </w14:textFill>
        </w:rPr>
        <w:t>一、总则</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1.</w:t>
      </w:r>
      <w:r>
        <w:rPr>
          <w:rFonts w:hint="eastAsia" w:asciiTheme="minorEastAsia" w:hAnsiTheme="minorEastAsia" w:eastAsiaTheme="minorEastAsia"/>
          <w:b/>
          <w:color w:val="000000" w:themeColor="text1"/>
          <w14:textFill>
            <w14:solidFill>
              <w14:schemeClr w14:val="tx1"/>
            </w14:solidFill>
          </w14:textFill>
        </w:rPr>
        <w:t>项目说明</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1.1本采购文件适用于该项目的招标、投标、开标、资格审查及信用信息查询、评标、定标、合同、验收等行为（法律、法规另有规定的，从其规定）。</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1.2投标人一旦参与本次招标活动，即被视为接受了本采购文件的所有内容，如有任何异议，均应在法定时间内提出。</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1.4本采购文件所称公章是指单位法定名称章或者冠以法定名称的投标专用章。</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14:textFill>
            <w14:solidFill>
              <w14:schemeClr w14:val="tx1"/>
            </w14:solidFill>
          </w14:textFill>
        </w:rPr>
        <w:t>定义</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cs="仿宋_GB2312" w:asciiTheme="minorEastAsia" w:hAnsiTheme="minorEastAsia" w:eastAsiaTheme="minorEastAsia"/>
          <w:color w:val="000000" w:themeColor="text1"/>
          <w14:textFill>
            <w14:solidFill>
              <w14:schemeClr w14:val="tx1"/>
            </w14:solidFill>
          </w14:textFill>
        </w:rPr>
        <w:t>2.1政府采购当事人及监管部门：绍兴市轨道交通集团有限公司为本项目的采购人（合同中的甲方），</w:t>
      </w:r>
      <w:r>
        <w:rPr>
          <w:rFonts w:hint="eastAsia" w:cs="仿宋_GB2312" w:asciiTheme="minorEastAsia" w:hAnsiTheme="minorEastAsia" w:eastAsiaTheme="minorEastAsia"/>
          <w:color w:val="000000" w:themeColor="text1"/>
          <w14:textFill>
            <w14:solidFill>
              <w14:schemeClr w14:val="tx1"/>
            </w14:solidFill>
          </w14:textFill>
        </w:rPr>
        <w:t>融华工程管理有限公司</w:t>
      </w:r>
      <w:r>
        <w:rPr>
          <w:rFonts w:cs="仿宋_GB2312" w:asciiTheme="minorEastAsia" w:hAnsiTheme="minorEastAsia" w:eastAsiaTheme="minorEastAsia"/>
          <w:color w:val="000000" w:themeColor="text1"/>
          <w14:textFill>
            <w14:solidFill>
              <w14:schemeClr w14:val="tx1"/>
            </w14:solidFill>
          </w14:textFill>
        </w:rPr>
        <w:t>为招标代理机构，响应招标、参加投标竞争的法人、其他组织或者自然人为投标人，经评审产生并经批准的投标人为中标候选人，经公告无异议，并签订合同后的中标人为供应商（合同中的乙方），</w:t>
      </w:r>
      <w:r>
        <w:rPr>
          <w:rFonts w:hint="eastAsia" w:cs="仿宋" w:asciiTheme="minorEastAsia" w:hAnsiTheme="minorEastAsia" w:eastAsiaTheme="minorEastAsia"/>
          <w:color w:val="000000" w:themeColor="text1"/>
          <w14:textFill>
            <w14:solidFill>
              <w14:schemeClr w14:val="tx1"/>
            </w14:solidFill>
          </w14:textFill>
        </w:rPr>
        <w:t>绍兴市轨道交通集团有限公司纪检监察部</w:t>
      </w:r>
      <w:r>
        <w:rPr>
          <w:rFonts w:hint="eastAsia" w:cs="仿宋_GB2312" w:asciiTheme="minorEastAsia" w:hAnsiTheme="minorEastAsia" w:eastAsiaTheme="minorEastAsia"/>
          <w:color w:val="000000" w:themeColor="text1"/>
          <w14:textFill>
            <w14:solidFill>
              <w14:schemeClr w14:val="tx1"/>
            </w14:solidFill>
          </w14:textFill>
        </w:rPr>
        <w:t>为采购监督管理部门。</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2.2“产品”系指供方按采购文件规定，经合法途径取得的，须向采购人提供的一切产品、保险、税金、安装、施工、调试、备品备件、工具、手册及其它有关技术资料和材料。</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2.3“服务”系指采购文件规定投标人须承担的安装、调试、技术协助、校准、培训、技术指导以及其他类似的义务。</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2.4“项目”系指投标人按采购文件规定向采购人提供的产品和服务。</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2.5“授权代表”系指法定代表人的被授权委托人。</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2.6“★”系指实质性指标要求条款，“▲”</w:t>
      </w:r>
      <w:r>
        <w:rPr>
          <w:rFonts w:hint="eastAsia" w:asciiTheme="minorEastAsia" w:hAnsiTheme="minorEastAsia" w:eastAsiaTheme="minorEastAsia"/>
          <w:color w:val="000000" w:themeColor="text1"/>
          <w14:textFill>
            <w14:solidFill>
              <w14:schemeClr w14:val="tx1"/>
            </w14:solidFill>
          </w14:textFill>
        </w:rPr>
        <w:t>系指主要性能指标要求条款。如任意一条打“★”的指标出现负偏离视为实质性不响应招标文件要求，作无效投标处理；如任意一条打“▲”的指标出现负偏离按评分标准作扣分处理。“</w:t>
      </w:r>
      <w:r>
        <w:rPr>
          <w:rFonts w:cs="Arial" w:asciiTheme="minorEastAsia" w:hAnsiTheme="minorEastAsia" w:eastAsiaTheme="minorEastAsia"/>
          <w:color w:val="000000" w:themeColor="text1"/>
          <w14:textFill>
            <w14:solidFill>
              <w14:schemeClr w14:val="tx1"/>
            </w14:solidFill>
          </w14:textFill>
        </w:rPr>
        <w:sym w:font="Wingdings" w:char="F0FE"/>
      </w:r>
      <w:r>
        <w:rPr>
          <w:rFonts w:hint="eastAsia" w:cs="Arial"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系指适用本项目的要求，“</w:t>
      </w:r>
      <w:sdt>
        <w:sdtPr>
          <w:rPr>
            <w:rFonts w:hint="eastAsia" w:cs="Arial" w:asciiTheme="minorEastAsia" w:hAnsiTheme="minorEastAsia" w:eastAsiaTheme="minorEastAsia"/>
            <w:color w:val="000000" w:themeColor="text1"/>
            <w14:textFill>
              <w14:solidFill>
                <w14:schemeClr w14:val="tx1"/>
              </w14:solidFill>
            </w14:textFill>
          </w:rPr>
          <w:id w:val="404888855"/>
        </w:sdtPr>
        <w:sdtEndPr>
          <w:rPr>
            <w:rFonts w:hint="eastAsia" w:cs="Arial" w:asciiTheme="minorEastAsia" w:hAnsiTheme="minorEastAsia" w:eastAsiaTheme="minorEastAsia"/>
            <w:color w:val="000000" w:themeColor="text1"/>
            <w14:textFill>
              <w14:solidFill>
                <w14:schemeClr w14:val="tx1"/>
              </w14:solidFill>
            </w14:textFill>
          </w:rPr>
        </w:sdtEndPr>
        <w:sdtContent>
          <w:r>
            <w:rPr>
              <w:rFonts w:hAnsi="MS Gothic" w:cs="Arial" w:asciiTheme="minorEastAsia" w:eastAsiaTheme="minorEastAsia"/>
              <w:color w:val="000000" w:themeColor="text1"/>
              <w14:textFill>
                <w14:solidFill>
                  <w14:schemeClr w14:val="tx1"/>
                </w14:solidFill>
              </w14:textFill>
            </w:rPr>
            <w:t>☐</w:t>
          </w:r>
        </w:sdtContent>
      </w:sdt>
      <w:r>
        <w:rPr>
          <w:rFonts w:hint="eastAsia" w:asciiTheme="minorEastAsia" w:hAnsiTheme="minorEastAsia" w:eastAsiaTheme="minorEastAsia"/>
          <w:color w:val="000000" w:themeColor="text1"/>
          <w14:textFill>
            <w14:solidFill>
              <w14:schemeClr w14:val="tx1"/>
            </w14:solidFill>
          </w14:textFill>
        </w:rPr>
        <w:t>”系指不适用本项目的要求。</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2.7因特殊原因需要使用冠以法定名称的业务专用章的，投标时须提供《业务专用章使用说明函》(详见附件)</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3.采购项目需要落实的政府采购政策</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3.2</w:t>
      </w:r>
      <w:r>
        <w:rPr>
          <w:rFonts w:hint="eastAsia" w:asciiTheme="minorEastAsia" w:hAnsiTheme="minorEastAsia" w:eastAsiaTheme="minorEastAsia"/>
          <w:color w:val="000000" w:themeColor="text1"/>
          <w14:textFill>
            <w14:solidFill>
              <w14:schemeClr w14:val="tx1"/>
            </w14:solidFill>
          </w14:textFill>
        </w:rPr>
        <w:t>支持绿色发展</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3.2.2</w:t>
      </w:r>
      <w:r>
        <w:rPr>
          <w:rFonts w:hint="eastAsia" w:asciiTheme="minorEastAsia" w:hAnsiTheme="minorEastAsia" w:eastAsiaTheme="minorEastAsia"/>
          <w:b/>
          <w:color w:val="000000" w:themeColor="text1"/>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3.2.</w:t>
      </w:r>
      <w:r>
        <w:rPr>
          <w:rFonts w:hint="eastAsia" w:asciiTheme="minorEastAsia" w:hAnsiTheme="minorEastAsia" w:eastAsiaTheme="minorEastAsia"/>
          <w:color w:val="000000" w:themeColor="text1"/>
          <w14:textFill>
            <w14:solidFill>
              <w14:schemeClr w14:val="tx1"/>
            </w14:solidFill>
          </w14:textFill>
        </w:rPr>
        <w:t>3修缮、装修类项目采购建材的，采购人应将绿色建筑和绿色建材性能、指标等作为实质性条件纳入招标文件和合同。</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3.2.</w:t>
      </w:r>
      <w:r>
        <w:rPr>
          <w:rFonts w:hint="eastAsia" w:asciiTheme="minorEastAsia" w:hAnsiTheme="minorEastAsia" w:eastAsiaTheme="minorEastAsia"/>
          <w:color w:val="000000" w:themeColor="text1"/>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3.3</w:t>
      </w:r>
      <w:r>
        <w:rPr>
          <w:rFonts w:hint="eastAsia" w:asciiTheme="minorEastAsia" w:hAnsiTheme="minorEastAsia" w:eastAsiaTheme="minorEastAsia"/>
          <w:bCs/>
          <w:color w:val="000000" w:themeColor="text1"/>
          <w14:textFill>
            <w14:solidFill>
              <w14:schemeClr w14:val="tx1"/>
            </w14:solidFill>
          </w14:textFill>
        </w:rPr>
        <w:t>小微</w:t>
      </w:r>
      <w:r>
        <w:rPr>
          <w:rFonts w:hint="eastAsia" w:asciiTheme="minorEastAsia" w:hAnsiTheme="minorEastAsia" w:eastAsiaTheme="minorEastAsia"/>
          <w:color w:val="000000" w:themeColor="text1"/>
          <w14:textFill>
            <w14:solidFill>
              <w14:schemeClr w14:val="tx1"/>
            </w14:solidFill>
          </w14:textFill>
        </w:rPr>
        <w:t>企业价格扣除（2022年7月1日至2022年12月31日期间发布采购公告或者发出采购邀请的货物、服务采购项目按照下列规定执行,到期后按财库〔2022]19号文件规定执行。）</w:t>
      </w:r>
    </w:p>
    <w:p>
      <w:pPr>
        <w:spacing w:line="440" w:lineRule="exac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3.3.1小微企业是指</w:t>
      </w:r>
      <w:r>
        <w:rPr>
          <w:rFonts w:hint="eastAsia" w:asciiTheme="minorEastAsia" w:hAnsiTheme="minorEastAsia" w:eastAsiaTheme="minorEastAsia"/>
          <w:bCs/>
          <w:color w:val="000000" w:themeColor="text1"/>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符合中小企业划分标准的个体工商户，在政府采购活动中视同中小企业。</w:t>
      </w:r>
    </w:p>
    <w:p>
      <w:pPr>
        <w:spacing w:line="440" w:lineRule="exac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3.3.2在货物采购项目中，货物由小微企业制造，即货物由小微企业生产且使用该小微企业商号或者注册商标。</w:t>
      </w:r>
      <w:r>
        <w:rPr>
          <w:rFonts w:hint="eastAsia" w:asciiTheme="minorEastAsia" w:hAnsiTheme="minorEastAsia" w:eastAsiaTheme="minorEastAsia"/>
          <w:b/>
          <w:bCs/>
          <w:color w:val="000000" w:themeColor="text1"/>
          <w14:textFill>
            <w14:solidFill>
              <w14:schemeClr w14:val="tx1"/>
            </w14:solidFill>
          </w14:textFill>
        </w:rPr>
        <w:t>供应商提供的货物既有中小企业制造货物，也有大型企业制造货物的，不享受中小企业扶持政策。</w:t>
      </w:r>
    </w:p>
    <w:p>
      <w:pPr>
        <w:spacing w:line="440" w:lineRule="exac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3.3.4小微企业应按照招标文件格式要求提供《中小企业声明函》。</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以联合体形式参加政府采购活动，联合体各方均为中小企业的，联合体视同中小企业。其中，联合体各方均为小微企业的，联合体视同小微企业。</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3.3.7符合《关于促进残疾人就业政府采购政策的通知》（财库〔2017〕141号）规定的条件并提供《残疾人福利性单位声明函》（附件1）的残疾人福利性单位视同小微企业；</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3.4</w:t>
      </w:r>
      <w:r>
        <w:rPr>
          <w:rFonts w:hint="eastAsia" w:asciiTheme="minorEastAsia" w:hAnsiTheme="minorEastAsia" w:eastAsiaTheme="minorEastAsia"/>
          <w:bCs/>
          <w:color w:val="000000" w:themeColor="text1"/>
          <w14:textFill>
            <w14:solidFill>
              <w14:schemeClr w14:val="tx1"/>
            </w14:solidFill>
          </w14:textFill>
        </w:rPr>
        <w:t>支持科技创新发展</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对省级以上主管部门认定的首台套产品，自纳入《省推广应用指导目录》起三年内参加政府采购活动，视同已具备相应销售业绩，业绩分为满分。</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★4.特别说明</w:t>
      </w:r>
    </w:p>
    <w:p>
      <w:pPr>
        <w:widowControl w:val="0"/>
        <w:spacing w:line="440" w:lineRule="exact"/>
        <w:jc w:val="both"/>
        <w:rPr>
          <w:rFonts w:hint="eastAsia" w:ascii="宋体" w:hAnsi="宋体" w:eastAsia="宋体" w:cs="仿宋"/>
          <w:color w:val="000000"/>
          <w:kern w:val="2"/>
        </w:rPr>
      </w:pPr>
      <w:r>
        <w:rPr>
          <w:rFonts w:hint="eastAsia" w:ascii="宋体" w:hAnsi="宋体" w:eastAsia="宋体" w:cs="仿宋"/>
          <w:color w:val="000000"/>
          <w:kern w:val="2"/>
        </w:rPr>
        <w:t>4.1供应商投标所使用的资格、信誉、荣誉、业绩与企业认证必须为投标单位所拥有。供应商投标所使用的采购项目实施人员必须为</w:t>
      </w:r>
      <w:r>
        <w:rPr>
          <w:rFonts w:hint="eastAsia" w:cs="仿宋"/>
          <w:color w:val="000000"/>
          <w:kern w:val="2"/>
          <w:lang w:val="en-US" w:eastAsia="zh-CN"/>
        </w:rPr>
        <w:t>由</w:t>
      </w:r>
      <w:r>
        <w:rPr>
          <w:rFonts w:hint="eastAsia" w:ascii="宋体" w:hAnsi="宋体" w:eastAsia="宋体" w:cs="仿宋"/>
          <w:color w:val="000000"/>
          <w:kern w:val="2"/>
        </w:rPr>
        <w:t>投标单位缴纳社保并与投标单位成劳动合同关系的正式员工。</w:t>
      </w:r>
    </w:p>
    <w:p>
      <w:pPr>
        <w:widowControl w:val="0"/>
        <w:spacing w:line="440" w:lineRule="exact"/>
        <w:jc w:val="both"/>
        <w:rPr>
          <w:rFonts w:cs="仿宋" w:asciiTheme="minorEastAsia" w:hAnsiTheme="minorEastAsia" w:eastAsiaTheme="minorEastAsia"/>
          <w:color w:val="000000" w:themeColor="text1"/>
          <w:kern w:val="2"/>
          <w14:textFill>
            <w14:solidFill>
              <w14:schemeClr w14:val="tx1"/>
            </w14:solidFill>
          </w14:textFill>
        </w:rPr>
      </w:pPr>
      <w:r>
        <w:rPr>
          <w:rFonts w:hint="eastAsia" w:cs="仿宋" w:asciiTheme="minorEastAsia" w:hAnsiTheme="minorEastAsia" w:eastAsiaTheme="minorEastAsia"/>
          <w:color w:val="000000" w:themeColor="text1"/>
          <w:kern w:val="2"/>
          <w14:textFill>
            <w14:solidFill>
              <w14:schemeClr w14:val="tx1"/>
            </w14:solidFill>
          </w14:textFill>
        </w:rPr>
        <w:t>4.2供应商应仔细阅读招标文件的所有内容，按照招标文件的要求提交投标文件，并对所提供的全部资料的真实性承担法律责任。</w:t>
      </w:r>
    </w:p>
    <w:p>
      <w:pPr>
        <w:widowControl w:val="0"/>
        <w:spacing w:line="440" w:lineRule="exact"/>
        <w:jc w:val="both"/>
        <w:rPr>
          <w:rFonts w:cs="仿宋" w:asciiTheme="minorEastAsia" w:hAnsiTheme="minorEastAsia" w:eastAsiaTheme="minorEastAsia"/>
          <w:color w:val="000000" w:themeColor="text1"/>
          <w:kern w:val="2"/>
          <w14:textFill>
            <w14:solidFill>
              <w14:schemeClr w14:val="tx1"/>
            </w14:solidFill>
          </w14:textFill>
        </w:rPr>
      </w:pPr>
      <w:r>
        <w:rPr>
          <w:rFonts w:hint="eastAsia" w:cs="仿宋" w:asciiTheme="minorEastAsia" w:hAnsiTheme="minorEastAsia" w:eastAsiaTheme="minorEastAsia"/>
          <w:color w:val="000000" w:themeColor="text1"/>
          <w:kern w:val="2"/>
          <w14:textFill>
            <w14:solidFill>
              <w14:schemeClr w14:val="tx1"/>
            </w14:solidFill>
          </w14:textFill>
        </w:rPr>
        <w:t>4.3供应商在投标活动中提供任何虚假材料</w:t>
      </w:r>
      <w:r>
        <w:rPr>
          <w:rFonts w:cs="仿宋" w:asciiTheme="minorEastAsia" w:hAnsiTheme="minorEastAsia" w:eastAsiaTheme="minorEastAsia"/>
          <w:color w:val="000000" w:themeColor="text1"/>
          <w:kern w:val="2"/>
          <w14:textFill>
            <w14:solidFill>
              <w14:schemeClr w14:val="tx1"/>
            </w14:solidFill>
          </w14:textFill>
        </w:rPr>
        <w:t>,其投标无效，并报监管部门查处；中标后发现的,中标人须依照《中华人民共和国</w:t>
      </w:r>
      <w:r>
        <w:rPr>
          <w:rFonts w:hint="eastAsia" w:cs="仿宋" w:asciiTheme="minorEastAsia" w:hAnsiTheme="minorEastAsia" w:eastAsiaTheme="minorEastAsia"/>
          <w:color w:val="000000" w:themeColor="text1"/>
          <w:kern w:val="2"/>
          <w:lang w:val="en-US" w:eastAsia="zh-CN"/>
          <w14:textFill>
            <w14:solidFill>
              <w14:schemeClr w14:val="tx1"/>
            </w14:solidFill>
          </w14:textFill>
        </w:rPr>
        <w:t>民法典</w:t>
      </w:r>
      <w:r>
        <w:rPr>
          <w:rFonts w:cs="仿宋" w:asciiTheme="minorEastAsia" w:hAnsiTheme="minorEastAsia" w:eastAsiaTheme="minorEastAsia"/>
          <w:color w:val="000000" w:themeColor="text1"/>
          <w:kern w:val="2"/>
          <w14:textFill>
            <w14:solidFill>
              <w14:schemeClr w14:val="tx1"/>
            </w14:solidFill>
          </w14:textFill>
        </w:rPr>
        <w:t>》规定赔偿采购人，且民事赔偿并不免除违法供应商的行政与刑事责任。</w:t>
      </w:r>
    </w:p>
    <w:p>
      <w:pPr>
        <w:snapToGrid w:val="0"/>
        <w:spacing w:line="800" w:lineRule="exact"/>
        <w:jc w:val="center"/>
        <w:outlineLvl w:val="1"/>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二、招标文件</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1</w:t>
      </w:r>
      <w:r>
        <w:rPr>
          <w:rFonts w:hint="eastAsia" w:asciiTheme="minorEastAsia" w:hAnsiTheme="minorEastAsia" w:eastAsiaTheme="minorEastAsia"/>
          <w:b/>
          <w:color w:val="000000" w:themeColor="text1"/>
          <w14:textFill>
            <w14:solidFill>
              <w14:schemeClr w14:val="tx1"/>
            </w14:solidFill>
          </w14:textFill>
        </w:rPr>
        <w:t>.</w:t>
      </w:r>
      <w:r>
        <w:rPr>
          <w:rFonts w:asciiTheme="minorEastAsia" w:hAnsiTheme="minorEastAsia" w:eastAsiaTheme="minorEastAsia"/>
          <w:b/>
          <w:color w:val="000000" w:themeColor="text1"/>
          <w14:textFill>
            <w14:solidFill>
              <w14:schemeClr w14:val="tx1"/>
            </w14:solidFill>
          </w14:textFill>
        </w:rPr>
        <w:t>招标方式</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w:t>
      </w:r>
      <w:r>
        <w:rPr>
          <w:rFonts w:hint="eastAsia" w:asciiTheme="minorEastAsia" w:hAnsiTheme="minorEastAsia" w:eastAsiaTheme="minorEastAsia"/>
          <w:color w:val="000000" w:themeColor="text1"/>
          <w14:textFill>
            <w14:solidFill>
              <w14:schemeClr w14:val="tx1"/>
            </w14:solidFill>
          </w14:textFill>
        </w:rPr>
        <w:t>本次招标采用</w:t>
      </w:r>
      <w:r>
        <w:rPr>
          <w:rFonts w:hint="eastAsia" w:asciiTheme="minorEastAsia" w:hAnsiTheme="minorEastAsia" w:eastAsiaTheme="minorEastAsia"/>
          <w:b/>
          <w:color w:val="000000" w:themeColor="text1"/>
          <w14:textFill>
            <w14:solidFill>
              <w14:schemeClr w14:val="tx1"/>
            </w14:solidFill>
          </w14:textFill>
        </w:rPr>
        <w:t>公开招标</w:t>
      </w:r>
      <w:r>
        <w:rPr>
          <w:rFonts w:hint="eastAsia" w:asciiTheme="minorEastAsia" w:hAnsiTheme="minorEastAsia" w:eastAsiaTheme="minorEastAsia"/>
          <w:color w:val="000000" w:themeColor="text1"/>
          <w14:textFill>
            <w14:solidFill>
              <w14:schemeClr w14:val="tx1"/>
            </w14:solidFill>
          </w14:textFill>
        </w:rPr>
        <w:t>方式进行。</w:t>
      </w:r>
    </w:p>
    <w:p>
      <w:pPr>
        <w:snapToGrid w:val="0"/>
        <w:spacing w:line="440" w:lineRule="exact"/>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w:t>
      </w:r>
      <w:r>
        <w:rPr>
          <w:rFonts w:hint="eastAsia" w:asciiTheme="minorEastAsia" w:hAnsiTheme="minorEastAsia" w:eastAsiaTheme="minorEastAsia"/>
          <w:color w:val="000000" w:themeColor="text1"/>
          <w14:textFill>
            <w14:solidFill>
              <w14:schemeClr w14:val="tx1"/>
            </w14:solidFill>
          </w14:textFill>
        </w:rPr>
        <w:t>如某一标项投标人或实质性响应采购文件的投标人不足三家时，由采购人重新组织招标或按有关规定实施。</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1.3</w:t>
      </w:r>
      <w:r>
        <w:rPr>
          <w:rFonts w:hint="eastAsia" w:asciiTheme="minorEastAsia" w:hAnsiTheme="minorEastAsia" w:eastAsiaTheme="minorEastAsia"/>
          <w:color w:val="000000" w:themeColor="text1"/>
          <w14:textFill>
            <w14:solidFill>
              <w14:schemeClr w14:val="tx1"/>
            </w14:solidFill>
          </w14:textFill>
        </w:rPr>
        <w:t>本次招标设定限价，即招标公告中公布的各标项预算金额或最高限价（各标项之间的预算金额不能互相调整）。</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14:textFill>
            <w14:solidFill>
              <w14:schemeClr w14:val="tx1"/>
            </w14:solidFill>
          </w14:textFill>
        </w:rPr>
        <w:t>授权委托</w:t>
      </w:r>
    </w:p>
    <w:p>
      <w:pPr>
        <w:snapToGrid w:val="0"/>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本项目为现场送达（即交即走）的方式递交投标文件，投标人的法定代表人或其授权代表或个体工商户不需要参加现场投标和开标。</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3.</w:t>
      </w:r>
      <w:r>
        <w:rPr>
          <w:rFonts w:hint="eastAsia" w:asciiTheme="minorEastAsia" w:hAnsiTheme="minorEastAsia" w:eastAsiaTheme="minorEastAsia"/>
          <w:b/>
          <w:color w:val="000000" w:themeColor="text1"/>
          <w14:textFill>
            <w14:solidFill>
              <w14:schemeClr w14:val="tx1"/>
            </w14:solidFill>
          </w14:textFill>
        </w:rPr>
        <w:t>投标费用</w:t>
      </w:r>
    </w:p>
    <w:p>
      <w:pPr>
        <w:snapToGrid w:val="0"/>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投标人应自行承担编制投标文件及参加本次投标所涉及的一切费用。不管投标结果如何，招标人对上述费用不负任何责任。中标人需支付招标代理服务费，具体详见投标人须知前附表。</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4.</w:t>
      </w:r>
      <w:r>
        <w:rPr>
          <w:rFonts w:hint="eastAsia" w:asciiTheme="minorEastAsia" w:hAnsiTheme="minorEastAsia" w:eastAsiaTheme="minorEastAsia"/>
          <w:b/>
          <w:color w:val="000000" w:themeColor="text1"/>
          <w14:textFill>
            <w14:solidFill>
              <w14:schemeClr w14:val="tx1"/>
            </w14:solidFill>
          </w14:textFill>
        </w:rPr>
        <w:t>采购文件的修改</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4.1</w:t>
      </w:r>
      <w:r>
        <w:rPr>
          <w:rFonts w:hint="eastAsia" w:asciiTheme="minorEastAsia" w:hAnsiTheme="minorEastAsia" w:eastAsiaTheme="minorEastAsia"/>
          <w:bCs/>
          <w:color w:val="000000" w:themeColor="text1"/>
          <w14:textFill>
            <w14:solidFill>
              <w14:schemeClr w14:val="tx1"/>
            </w14:solidFill>
          </w14:textFill>
        </w:rPr>
        <w:t>采购文件包括本采购文件及所有的招标答疑记录（澄清、修改）和发出的补充通知</w:t>
      </w:r>
      <w:r>
        <w:rPr>
          <w:rFonts w:hint="eastAsia" w:asciiTheme="minorEastAsia" w:hAnsiTheme="minorEastAsia" w:eastAsiaTheme="minorEastAsia"/>
          <w:color w:val="000000" w:themeColor="text1"/>
          <w14:textFill>
            <w14:solidFill>
              <w14:schemeClr w14:val="tx1"/>
            </w14:solidFill>
          </w14:textFill>
        </w:rPr>
        <w:t>。</w:t>
      </w:r>
    </w:p>
    <w:p>
      <w:pPr>
        <w:tabs>
          <w:tab w:val="left" w:pos="360"/>
        </w:tabs>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4.2采购文件的澄清 </w:t>
      </w:r>
    </w:p>
    <w:p>
      <w:pPr>
        <w:tabs>
          <w:tab w:val="left" w:pos="360"/>
        </w:tabs>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投标人对采购文件如有疑点要求澄清，可用书面形式（包括并不仅限于纸质、信件和数据电文</w:t>
      </w:r>
      <w:r>
        <w:rPr>
          <w:rFonts w:asciiTheme="minorEastAsia" w:hAnsiTheme="minorEastAsia" w:eastAsiaTheme="minorEastAsia"/>
          <w:color w:val="000000" w:themeColor="text1"/>
          <w14:textFill>
            <w14:solidFill>
              <w14:schemeClr w14:val="tx1"/>
            </w14:solidFill>
          </w14:textFill>
        </w:rPr>
        <w:t>(包括电报、电传、传真、电子数据交换和电子邮件）等通知采购人，但通知不得迟于开标前7日使采购人收到，采购人将用书面形式予以答复。如有必要，可将不说明来源的答复发给所有投标人。</w:t>
      </w:r>
    </w:p>
    <w:p>
      <w:pPr>
        <w:tabs>
          <w:tab w:val="left" w:pos="360"/>
        </w:tabs>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4.3采购文件的修改</w:t>
      </w:r>
    </w:p>
    <w:p>
      <w:pPr>
        <w:tabs>
          <w:tab w:val="left" w:pos="360"/>
        </w:tabs>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4.3.1在投标截止时间前规定时间内，采购人有权修改采购文件，并以书面形式通知所有投标人，通知中没有注明更改投标截止时间的视为截止时间不变。修改的文件作为采购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5.参考品牌</w:t>
      </w:r>
    </w:p>
    <w:p>
      <w:pPr>
        <w:tabs>
          <w:tab w:val="left" w:pos="360"/>
        </w:tabs>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招标文件如涉及各类品牌、型号，则所述品牌、型号是结合实际现有情况的推荐性参考方案，投标人也可根据招标文件得要求推荐性能相当或高于、服务条款相等或高于、符合招标人实际业务需求其他同档次优质品牌的产品，进行方案优化。所投产品不在推荐品牌范围内的，需提供加盖原厂商公章的产品性能指标详细材料和证明其产品与推荐品牌同档次、具有可比性</w:t>
      </w:r>
      <w:r>
        <w:rPr>
          <w:rFonts w:asciiTheme="minorEastAsia" w:hAnsiTheme="minorEastAsia" w:eastAsiaTheme="minorEastAsia"/>
          <w:color w:val="000000" w:themeColor="text1"/>
          <w14:textFill>
            <w14:solidFill>
              <w14:schemeClr w14:val="tx1"/>
            </w14:solidFill>
          </w14:textFill>
        </w:rPr>
        <w:t>,且品牌、型号性能相当或高于、服务条款相等或高于、符合招标人实际业务需求同档次优质品牌的说明书，无法在投标文件中提供的，其投标可能会被拒绝（或作无效投标）。</w:t>
      </w:r>
    </w:p>
    <w:p>
      <w:pPr>
        <w:snapToGrid w:val="0"/>
        <w:spacing w:line="800" w:lineRule="exact"/>
        <w:jc w:val="center"/>
        <w:outlineLvl w:val="1"/>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三、投标文件</w:t>
      </w:r>
    </w:p>
    <w:p>
      <w:pPr>
        <w:snapToGrid w:val="0"/>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1</w:t>
      </w:r>
      <w:r>
        <w:rPr>
          <w:rFonts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b/>
          <w:color w:val="000000" w:themeColor="text1"/>
          <w14:textFill>
            <w14:solidFill>
              <w14:schemeClr w14:val="tx1"/>
            </w14:solidFill>
          </w14:textFill>
        </w:rPr>
        <w:t>投标文件的语言、计量单位、形式及效力</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1.1投标人应仔细阅读采购文件中的所有内容，按照采购文件要求，详细编制投标文件，并保证投标文件的正确性和真实性。</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w:t>
      </w:r>
      <w:r>
        <w:rPr>
          <w:rFonts w:hint="eastAsia" w:asciiTheme="minorEastAsia" w:hAnsiTheme="minorEastAsia" w:eastAsiaTheme="minorEastAsia"/>
          <w:color w:val="000000" w:themeColor="text1"/>
          <w14:textFill>
            <w14:solidFill>
              <w14:schemeClr w14:val="tx1"/>
            </w14:solidFill>
          </w14:textFill>
        </w:rPr>
        <w:t>投标文件以及投标方与招标方就有关投标事宜的所有来往函电，均应以中文书写（技术术语除外）。</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1.3 </w:t>
      </w:r>
      <w:r>
        <w:rPr>
          <w:rFonts w:hint="eastAsia" w:asciiTheme="minorEastAsia" w:hAnsiTheme="minorEastAsia" w:eastAsiaTheme="minorEastAsia"/>
          <w:color w:val="000000" w:themeColor="text1"/>
          <w14:textFill>
            <w14:solidFill>
              <w14:schemeClr w14:val="tx1"/>
            </w14:solidFill>
          </w14:textFill>
        </w:rPr>
        <w:t>投标计量单位，除采购文件中有特殊要求外，应采用中华人民共和国法定计量单位，货币单位：人民币元。</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1.4不按采购文件的要求提供的投标文件可能导致被拒绝。</w:t>
      </w:r>
    </w:p>
    <w:p>
      <w:pPr>
        <w:snapToGrid w:val="0"/>
        <w:spacing w:line="360" w:lineRule="auto"/>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14:textFill>
            <w14:solidFill>
              <w14:schemeClr w14:val="tx1"/>
            </w14:solidFill>
          </w14:textFill>
        </w:rPr>
        <w:t>投标文件的组成</w:t>
      </w:r>
    </w:p>
    <w:p>
      <w:pPr>
        <w:snapToGrid w:val="0"/>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投标文件由“报价文件资料”、“商务技术（资信）文件资料”两部分组成：</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w:t>
      </w:r>
      <w:r>
        <w:rPr>
          <w:rFonts w:hint="eastAsia" w:asciiTheme="minorEastAsia" w:hAnsiTheme="minorEastAsia" w:eastAsiaTheme="minorEastAsia"/>
          <w:color w:val="000000" w:themeColor="text1"/>
          <w14:textFill>
            <w14:solidFill>
              <w14:schemeClr w14:val="tx1"/>
            </w14:solidFill>
          </w14:textFill>
        </w:rPr>
        <w:t>“报价文件资料”应包含以下内容（正本用原件）：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2.1.1投标响应函（格式见第六部分附件）；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2.1.2开标一览表（格式见第六部分附件）；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2.1.3</w:t>
      </w:r>
      <w:r>
        <w:rPr>
          <w:rFonts w:hint="eastAsia" w:asciiTheme="minorEastAsia" w:hAnsiTheme="minorEastAsia" w:eastAsiaTheme="minorEastAsia"/>
          <w:color w:val="000000" w:themeColor="text1"/>
          <w14:textFill>
            <w14:solidFill>
              <w14:schemeClr w14:val="tx1"/>
            </w14:solidFill>
          </w14:textFill>
        </w:rPr>
        <w:t>保洁员人工费用报价表（格式见第六部分附件）；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2.1.4</w:t>
      </w:r>
      <w:r>
        <w:rPr>
          <w:rFonts w:hint="eastAsia" w:asciiTheme="minorEastAsia" w:hAnsiTheme="minorEastAsia" w:eastAsiaTheme="minorEastAsia"/>
          <w:color w:val="000000" w:themeColor="text1"/>
          <w14:textFill>
            <w14:solidFill>
              <w14:schemeClr w14:val="tx1"/>
            </w14:solidFill>
          </w14:textFill>
        </w:rPr>
        <w:t>保洁员人工费用综合单价分析表（格式见第六部分附件）；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2.1.5</w:t>
      </w:r>
      <w:r>
        <w:rPr>
          <w:rFonts w:hint="eastAsia" w:asciiTheme="minorEastAsia" w:hAnsiTheme="minorEastAsia" w:eastAsiaTheme="minorEastAsia"/>
          <w:color w:val="000000" w:themeColor="text1"/>
          <w14:textFill>
            <w14:solidFill>
              <w14:schemeClr w14:val="tx1"/>
            </w14:solidFill>
          </w14:textFill>
        </w:rPr>
        <w:t>消耗品费用报价表（格式见第六部分附件）；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.1.6</w:t>
      </w:r>
      <w:r>
        <w:rPr>
          <w:rFonts w:hint="eastAsia" w:asciiTheme="minorEastAsia" w:hAnsiTheme="minorEastAsia" w:eastAsiaTheme="minorEastAsia"/>
          <w:color w:val="000000" w:themeColor="text1"/>
          <w14:textFill>
            <w14:solidFill>
              <w14:schemeClr w14:val="tx1"/>
            </w14:solidFill>
          </w14:textFill>
        </w:rPr>
        <w:t>开荒保洁费用报价表（格式见第六部分附件）；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.1.7</w:t>
      </w:r>
      <w:r>
        <w:rPr>
          <w:rFonts w:hint="eastAsia" w:asciiTheme="minorEastAsia" w:hAnsiTheme="minorEastAsia" w:eastAsiaTheme="minorEastAsia"/>
          <w:color w:val="000000" w:themeColor="text1"/>
          <w14:textFill>
            <w14:solidFill>
              <w14:schemeClr w14:val="tx1"/>
            </w14:solidFill>
          </w14:textFill>
        </w:rPr>
        <w:t>深度保洁费用报价表（格式见第六部分附件）；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2.1</w:t>
      </w:r>
      <w:r>
        <w:rPr>
          <w:rFonts w:asciiTheme="minorEastAsia" w:hAnsiTheme="minorEastAsia" w:eastAsiaTheme="minorEastAsia"/>
          <w:color w:val="000000" w:themeColor="text1"/>
          <w14:textFill>
            <w14:solidFill>
              <w14:schemeClr w14:val="tx1"/>
            </w14:solidFill>
          </w14:textFill>
        </w:rPr>
        <w:t>.8</w:t>
      </w:r>
      <w:r>
        <w:rPr>
          <w:rFonts w:hint="eastAsia" w:asciiTheme="minorEastAsia" w:hAnsiTheme="minorEastAsia" w:eastAsiaTheme="minorEastAsia"/>
          <w:color w:val="000000" w:themeColor="text1"/>
          <w14:textFill>
            <w14:solidFill>
              <w14:schemeClr w14:val="tx1"/>
            </w14:solidFill>
          </w14:textFill>
        </w:rPr>
        <w:t>其他保洁费用报价表（格式见第六部分附件）；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.1.9</w:t>
      </w:r>
      <w:r>
        <w:rPr>
          <w:rFonts w:hint="eastAsia" w:asciiTheme="minorEastAsia" w:hAnsiTheme="minorEastAsia" w:eastAsiaTheme="minorEastAsia"/>
          <w:color w:val="000000" w:themeColor="text1"/>
          <w14:textFill>
            <w14:solidFill>
              <w14:schemeClr w14:val="tx1"/>
            </w14:solidFill>
          </w14:textFill>
        </w:rPr>
        <w:t>工器具报价表（格式见第六部分附件）；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2.1.10</w:t>
      </w:r>
      <w:r>
        <w:rPr>
          <w:rFonts w:hint="eastAsia" w:asciiTheme="minorEastAsia" w:hAnsiTheme="minorEastAsia" w:eastAsiaTheme="minorEastAsia"/>
          <w:color w:val="000000" w:themeColor="text1"/>
          <w14:textFill>
            <w14:solidFill>
              <w14:schemeClr w14:val="tx1"/>
            </w14:solidFill>
          </w14:textFill>
        </w:rPr>
        <w:t>中小企业声明函（如有，格式见第六部分附件）；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2.1.11</w:t>
      </w:r>
      <w:r>
        <w:rPr>
          <w:rFonts w:hint="eastAsia" w:asciiTheme="minorEastAsia" w:hAnsiTheme="minorEastAsia" w:eastAsiaTheme="minorEastAsia"/>
          <w:color w:val="000000" w:themeColor="text1"/>
          <w14:textFill>
            <w14:solidFill>
              <w14:schemeClr w14:val="tx1"/>
            </w14:solidFill>
          </w14:textFill>
        </w:rPr>
        <w:t>残疾人福利性单位声明函（如有，格式见第六部分附件）。</w:t>
      </w:r>
    </w:p>
    <w:p>
      <w:pPr>
        <w:snapToGrid w:val="0"/>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以上文件组成“报价文件资料”。投标人在“报价文件资料”中应对采购文件作实质性响应，该项内容将作为评标重要指标。</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w:t>
      </w:r>
      <w:r>
        <w:rPr>
          <w:rFonts w:hint="eastAsia" w:asciiTheme="minorEastAsia" w:hAnsiTheme="minorEastAsia" w:eastAsiaTheme="minorEastAsia"/>
          <w:color w:val="000000" w:themeColor="text1"/>
          <w14:textFill>
            <w14:solidFill>
              <w14:schemeClr w14:val="tx1"/>
            </w14:solidFill>
          </w14:textFill>
        </w:rPr>
        <w:t>“商务技术（资信）文件资料”应包括以下内容（正本用原件）：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2.2.1法定代表人授权委托书(格式见第六部分附件)；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2.2.2授权代表</w:t>
      </w:r>
      <w:r>
        <w:rPr>
          <w:rFonts w:hint="eastAsia" w:asciiTheme="minorEastAsia" w:hAnsiTheme="minorEastAsia" w:eastAsiaTheme="minorEastAsia"/>
          <w:color w:val="000000" w:themeColor="text1"/>
          <w14:textFill>
            <w14:solidFill>
              <w14:schemeClr w14:val="tx1"/>
            </w14:solidFill>
          </w14:textFill>
        </w:rPr>
        <w:t>社保证明（格式见第六部分附件）；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2.2.3法定代表人身份证明书（格式见第六部分附件）；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2.2.4</w:t>
      </w:r>
      <w:r>
        <w:rPr>
          <w:rFonts w:hint="eastAsia" w:asciiTheme="minorEastAsia" w:hAnsiTheme="minorEastAsia" w:eastAsiaTheme="minorEastAsia"/>
          <w:color w:val="000000" w:themeColor="text1"/>
          <w14:textFill>
            <w14:solidFill>
              <w14:schemeClr w14:val="tx1"/>
            </w14:solidFill>
          </w14:textFill>
        </w:rPr>
        <w:t>供应商基本资格条件书面承诺函（格式见第六部分附件）；</w:t>
      </w:r>
      <w:bookmarkStart w:id="5" w:name="_Hlt68072998"/>
      <w:bookmarkEnd w:id="5"/>
      <w:bookmarkStart w:id="6" w:name="_Hlt68073093"/>
      <w:bookmarkEnd w:id="6"/>
      <w:bookmarkStart w:id="7" w:name="_Hlt68403820"/>
      <w:bookmarkEnd w:id="7"/>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2.2.5供应商特定资格条件（如项目要求）的有关证明材料（复印件）；</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w:t>
      </w:r>
      <w:r>
        <w:rPr>
          <w:rFonts w:hint="eastAsia" w:asciiTheme="minorEastAsia" w:hAnsiTheme="minorEastAsia" w:eastAsiaTheme="minorEastAsia"/>
          <w:color w:val="000000" w:themeColor="text1"/>
          <w14:textFill>
            <w14:solidFill>
              <w14:schemeClr w14:val="tx1"/>
            </w14:solidFill>
          </w14:textFill>
        </w:rPr>
        <w:t>6投标人应提供针对项目的完整技术解决方案：</w:t>
      </w:r>
    </w:p>
    <w:p>
      <w:pPr>
        <w:snapToGrid w:val="0"/>
        <w:spacing w:line="440" w:lineRule="exact"/>
        <w:ind w:firstLine="480" w:firstLineChars="200"/>
        <w:rPr>
          <w:rFonts w:cs="仿宋" w:asciiTheme="minorEastAsia" w:hAnsiTheme="minorEastAsia" w:eastAsiaTheme="minorEastAsia"/>
          <w:color w:val="000000" w:themeColor="text1"/>
          <w:lang w:val="zh-CN"/>
          <w14:textFill>
            <w14:solidFill>
              <w14:schemeClr w14:val="tx1"/>
            </w14:solidFill>
          </w14:textFill>
        </w:rPr>
      </w:pPr>
      <w:r>
        <w:rPr>
          <w:rFonts w:hint="eastAsia" w:cs="仿宋" w:asciiTheme="minorEastAsia" w:hAnsiTheme="minorEastAsia" w:eastAsiaTheme="minorEastAsia"/>
          <w:color w:val="000000" w:themeColor="text1"/>
          <w:lang w:val="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82" w:firstLineChars="200"/>
        <w:rPr>
          <w:rFonts w:cs="仿宋"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如果本项目涉及硬件设备采购，还需提供相关设备完整配置方案（设备名称、品牌、规格型号、数量、主要技术参数等）</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b/>
          <w:color w:val="000000" w:themeColor="text1"/>
          <w14:textFill>
            <w14:solidFill>
              <w14:schemeClr w14:val="tx1"/>
            </w14:solidFill>
          </w14:textFill>
        </w:rPr>
        <w:t>提供主要投标产品的技术参数证明材料（如原厂技术说明、官网截图、产品彩页等），</w:t>
      </w:r>
      <w:r>
        <w:rPr>
          <w:rFonts w:hint="eastAsia" w:cs="仿宋_GB2312" w:asciiTheme="minorEastAsia" w:hAnsiTheme="minorEastAsia" w:eastAsiaTheme="minorEastAsia"/>
          <w:color w:val="000000" w:themeColor="text1"/>
          <w14:textFill>
            <w14:solidFill>
              <w14:schemeClr w14:val="tx1"/>
            </w14:solidFill>
          </w14:textFill>
        </w:rPr>
        <w:t>明确表示该项指标所涉及的软硬件是标准配置还是选择配置</w:t>
      </w:r>
      <w:r>
        <w:rPr>
          <w:rFonts w:hint="eastAsia" w:cs="仿宋_GB2312" w:asciiTheme="minorEastAsia" w:hAnsiTheme="minorEastAsia" w:eastAsiaTheme="minorEastAsia"/>
          <w:b/>
          <w:color w:val="000000" w:themeColor="text1"/>
          <w14:textFill>
            <w14:solidFill>
              <w14:schemeClr w14:val="tx1"/>
            </w14:solidFill>
          </w14:textFill>
        </w:rPr>
        <w:t>（所有技术指标表述均应采用中文，如当前公布的技术指标只有英文表述的，必须由投标人作出中文注释，否则</w:t>
      </w:r>
      <w:r>
        <w:rPr>
          <w:rFonts w:hint="eastAsia" w:cs="仿宋_GB2312" w:asciiTheme="minorEastAsia" w:hAnsiTheme="minorEastAsia" w:eastAsiaTheme="minorEastAsia"/>
          <w:b/>
          <w:color w:val="000000" w:themeColor="text1"/>
          <w:lang w:val="zh-CN"/>
          <w14:textFill>
            <w14:solidFill>
              <w14:schemeClr w14:val="tx1"/>
            </w14:solidFill>
          </w14:textFill>
        </w:rPr>
        <w:t>任何含糊不清的</w:t>
      </w:r>
      <w:r>
        <w:rPr>
          <w:rFonts w:hint="eastAsia" w:cs="仿宋_GB2312" w:asciiTheme="minorEastAsia" w:hAnsiTheme="minorEastAsia" w:eastAsiaTheme="minorEastAsia"/>
          <w:b/>
          <w:color w:val="000000" w:themeColor="text1"/>
          <w14:textFill>
            <w14:solidFill>
              <w14:schemeClr w14:val="tx1"/>
            </w14:solidFill>
          </w14:textFill>
        </w:rPr>
        <w:t>表述导致</w:t>
      </w:r>
      <w:r>
        <w:rPr>
          <w:rFonts w:hint="eastAsia" w:cs="仿宋_GB2312" w:asciiTheme="minorEastAsia" w:hAnsiTheme="minorEastAsia" w:eastAsiaTheme="minorEastAsia"/>
          <w:b/>
          <w:color w:val="000000" w:themeColor="text1"/>
          <w:lang w:val="zh-CN"/>
          <w14:textFill>
            <w14:solidFill>
              <w14:schemeClr w14:val="tx1"/>
            </w14:solidFill>
          </w14:textFill>
        </w:rPr>
        <w:t>评标委员会技术扣分直至认定为投标无效都将是投标人的责任）</w:t>
      </w:r>
      <w:r>
        <w:rPr>
          <w:rFonts w:hint="eastAsia" w:cs="仿宋_GB2312" w:asciiTheme="minorEastAsia" w:hAnsiTheme="minorEastAsia" w:eastAsiaTheme="minorEastAsia"/>
          <w:color w:val="000000" w:themeColor="text1"/>
          <w14:textFill>
            <w14:solidFill>
              <w14:schemeClr w14:val="tx1"/>
            </w14:solidFill>
          </w14:textFill>
        </w:rPr>
        <w:t>。</w:t>
      </w:r>
    </w:p>
    <w:p>
      <w:pPr>
        <w:tabs>
          <w:tab w:val="left" w:pos="3870"/>
          <w:tab w:val="left" w:pos="4085"/>
        </w:tabs>
        <w:snapToGrid w:val="0"/>
        <w:spacing w:line="440" w:lineRule="exact"/>
        <w:ind w:firstLine="480" w:firstLineChars="200"/>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2.2.</w:t>
      </w:r>
      <w:r>
        <w:rPr>
          <w:rFonts w:hint="eastAsia" w:cs="仿宋" w:asciiTheme="minorEastAsia" w:hAnsiTheme="minorEastAsia" w:eastAsiaTheme="minorEastAsia"/>
          <w:color w:val="000000" w:themeColor="text1"/>
          <w14:textFill>
            <w14:solidFill>
              <w14:schemeClr w14:val="tx1"/>
            </w14:solidFill>
          </w14:textFill>
        </w:rPr>
        <w:t>7</w:t>
      </w:r>
      <w:r>
        <w:rPr>
          <w:rFonts w:cs="仿宋" w:asciiTheme="minorEastAsia" w:hAnsiTheme="minorEastAsia" w:eastAsiaTheme="minorEastAsia"/>
          <w:color w:val="000000" w:themeColor="text1"/>
          <w14:textFill>
            <w14:solidFill>
              <w14:schemeClr w14:val="tx1"/>
            </w14:solidFill>
          </w14:textFill>
        </w:rPr>
        <w:t>优惠条件：投标人承诺给予采购人的各种优惠条件，包括设备价格、运输、保险、安装调试、付款条件、技术服务、售后服务等方面的优惠；当优惠条件涉</w:t>
      </w:r>
      <w:r>
        <w:rPr>
          <w:rFonts w:hint="eastAsia" w:cs="仿宋" w:asciiTheme="minorEastAsia" w:hAnsiTheme="minorEastAsia" w:eastAsiaTheme="minorEastAsia"/>
          <w:color w:val="000000" w:themeColor="text1"/>
          <w14:textFill>
            <w14:solidFill>
              <w14:schemeClr w14:val="tx1"/>
            </w14:solidFill>
          </w14:textFill>
        </w:rPr>
        <w:t>及“报价单”中的各项费用时，必须与投标价格相统一；（如有）</w:t>
      </w:r>
    </w:p>
    <w:p>
      <w:pPr>
        <w:tabs>
          <w:tab w:val="left" w:pos="3870"/>
          <w:tab w:val="left" w:pos="4085"/>
        </w:tabs>
        <w:snapToGrid w:val="0"/>
        <w:spacing w:line="440" w:lineRule="exact"/>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2.2.</w:t>
      </w:r>
      <w:r>
        <w:rPr>
          <w:rFonts w:hint="eastAsia" w:cs="仿宋" w:asciiTheme="minorEastAsia" w:hAnsiTheme="minorEastAsia" w:eastAsiaTheme="minorEastAsia"/>
          <w:color w:val="000000" w:themeColor="text1"/>
          <w14:textFill>
            <w14:solidFill>
              <w14:schemeClr w14:val="tx1"/>
            </w14:solidFill>
          </w14:textFill>
        </w:rPr>
        <w:t>8</w:t>
      </w:r>
      <w:r>
        <w:rPr>
          <w:rFonts w:cs="仿宋" w:asciiTheme="minorEastAsia" w:hAnsiTheme="minorEastAsia" w:eastAsiaTheme="minorEastAsia"/>
          <w:color w:val="000000" w:themeColor="text1"/>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2.2.</w:t>
      </w:r>
      <w:r>
        <w:rPr>
          <w:rFonts w:hint="eastAsia" w:cs="仿宋" w:asciiTheme="minorEastAsia" w:hAnsiTheme="minorEastAsia" w:eastAsiaTheme="minorEastAsia"/>
          <w:color w:val="000000" w:themeColor="text1"/>
          <w14:textFill>
            <w14:solidFill>
              <w14:schemeClr w14:val="tx1"/>
            </w14:solidFill>
          </w14:textFill>
        </w:rPr>
        <w:t>9</w:t>
      </w:r>
      <w:r>
        <w:rPr>
          <w:rFonts w:hint="eastAsia" w:cs="仿宋_GB2312" w:asciiTheme="minorEastAsia" w:hAnsiTheme="minorEastAsia" w:eastAsiaTheme="minorEastAsia"/>
          <w:color w:val="000000" w:themeColor="text1"/>
          <w14:textFill>
            <w14:solidFill>
              <w14:schemeClr w14:val="tx1"/>
            </w14:solidFill>
          </w14:textFill>
        </w:rPr>
        <w:t>投标人在投标文件技术偏离说明表中，</w:t>
      </w:r>
      <w:r>
        <w:rPr>
          <w:rFonts w:hint="eastAsia" w:cs="仿宋_GB2312" w:asciiTheme="minorEastAsia" w:hAnsiTheme="minorEastAsia" w:eastAsiaTheme="minorEastAsia"/>
          <w:color w:val="000000" w:themeColor="text1"/>
          <w:lang w:val="zh-CN"/>
          <w14:textFill>
            <w14:solidFill>
              <w14:schemeClr w14:val="tx1"/>
            </w14:solidFill>
          </w14:textFill>
        </w:rPr>
        <w:t>应对</w:t>
      </w:r>
      <w:r>
        <w:rPr>
          <w:rFonts w:hint="eastAsia" w:cs="仿宋_GB2312" w:asciiTheme="minorEastAsia" w:hAnsiTheme="minorEastAsia" w:eastAsiaTheme="minorEastAsia"/>
          <w:color w:val="000000" w:themeColor="text1"/>
          <w14:textFill>
            <w14:solidFill>
              <w14:schemeClr w14:val="tx1"/>
            </w14:solidFill>
          </w14:textFill>
        </w:rPr>
        <w:t>项目技术规范和服务要求</w:t>
      </w:r>
      <w:r>
        <w:rPr>
          <w:rFonts w:hint="eastAsia" w:cs="仿宋_GB2312" w:asciiTheme="minorEastAsia" w:hAnsiTheme="minorEastAsia" w:eastAsiaTheme="minorEastAsia"/>
          <w:color w:val="000000" w:themeColor="text1"/>
          <w:lang w:val="zh-CN"/>
          <w14:textFill>
            <w14:solidFill>
              <w14:schemeClr w14:val="tx1"/>
            </w14:solidFill>
          </w14:textFill>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cs="仿宋_GB2312" w:asciiTheme="minorEastAsia" w:hAnsiTheme="minorEastAsia" w:eastAsiaTheme="minorEastAsia"/>
          <w:color w:val="000000" w:themeColor="text1"/>
          <w:lang w:val="zh-CN"/>
          <w14:textFill>
            <w14:solidFill>
              <w14:schemeClr w14:val="tx1"/>
            </w14:solidFill>
          </w14:textFill>
        </w:rPr>
      </w:pPr>
      <w:r>
        <w:rPr>
          <w:rFonts w:cs="仿宋_GB2312" w:asciiTheme="minorEastAsia" w:hAnsiTheme="minorEastAsia" w:eastAsiaTheme="minorEastAsia"/>
          <w:color w:val="000000" w:themeColor="text1"/>
          <w:lang w:val="zh-CN"/>
          <w14:textFill>
            <w14:solidFill>
              <w14:schemeClr w14:val="tx1"/>
            </w14:solidFill>
          </w14:textFill>
        </w:rPr>
        <w:t>2.2.</w:t>
      </w:r>
      <w:r>
        <w:rPr>
          <w:rFonts w:hint="eastAsia" w:cs="仿宋_GB2312" w:asciiTheme="minorEastAsia" w:hAnsiTheme="minorEastAsia" w:eastAsiaTheme="minorEastAsia"/>
          <w:color w:val="000000" w:themeColor="text1"/>
          <w:lang w:val="zh-CN"/>
          <w14:textFill>
            <w14:solidFill>
              <w14:schemeClr w14:val="tx1"/>
            </w14:solidFill>
          </w14:textFill>
        </w:rPr>
        <w:t>10针对本项目建设的详细实施计划。本项目详细工作实施组织方案，包括</w:t>
      </w:r>
      <w:r>
        <w:rPr>
          <w:rFonts w:cs="仿宋_GB2312" w:asciiTheme="minorEastAsia" w:hAnsiTheme="minorEastAsia" w:eastAsiaTheme="minorEastAsia"/>
          <w:color w:val="000000" w:themeColor="text1"/>
          <w:lang w:val="zh-CN"/>
          <w14:textFill>
            <w14:solidFill>
              <w14:schemeClr w14:val="tx1"/>
            </w14:solidFill>
          </w14:textFill>
        </w:rPr>
        <w:t>(但不限于)以下内容：组织机构、工作时间进度表、工作程序和步骤、管理和协调方法</w:t>
      </w:r>
      <w:r>
        <w:rPr>
          <w:rFonts w:hint="eastAsia" w:cs="仿宋_GB2312" w:asciiTheme="minorEastAsia" w:hAnsiTheme="minorEastAsia" w:eastAsiaTheme="minorEastAsia"/>
          <w:color w:val="000000" w:themeColor="text1"/>
          <w:lang w:val="zh-CN"/>
          <w14:textFill>
            <w14:solidFill>
              <w14:schemeClr w14:val="tx1"/>
            </w14:solidFill>
          </w14:textFill>
        </w:rPr>
        <w:t>、关键步骤的思路和要点</w:t>
      </w:r>
      <w:r>
        <w:rPr>
          <w:rFonts w:cs="仿宋_GB2312" w:asciiTheme="minorEastAsia" w:hAnsiTheme="minorEastAsia" w:eastAsiaTheme="minorEastAsia"/>
          <w:color w:val="000000" w:themeColor="text1"/>
          <w:lang w:val="zh-CN"/>
          <w14:textFill>
            <w14:solidFill>
              <w14:schemeClr w14:val="tx1"/>
            </w14:solidFill>
          </w14:textFill>
        </w:rPr>
        <w:t>。</w:t>
      </w:r>
    </w:p>
    <w:p>
      <w:pPr>
        <w:snapToGrid w:val="0"/>
        <w:spacing w:line="440" w:lineRule="exact"/>
        <w:rPr>
          <w:rFonts w:asciiTheme="minorEastAsia" w:hAnsiTheme="minorEastAsia" w:eastAsiaTheme="minorEastAsia"/>
          <w:color w:val="000000" w:themeColor="text1"/>
          <w:sz w:val="28"/>
          <w14:textFill>
            <w14:solidFill>
              <w14:schemeClr w14:val="tx1"/>
            </w14:solidFill>
          </w14:textFill>
        </w:rPr>
      </w:pPr>
      <w:r>
        <w:rPr>
          <w:rFonts w:cs="仿宋_GB2312" w:asciiTheme="minorEastAsia" w:hAnsiTheme="minorEastAsia" w:eastAsiaTheme="minorEastAsia"/>
          <w:color w:val="000000" w:themeColor="text1"/>
          <w:lang w:val="zh-CN"/>
          <w14:textFill>
            <w14:solidFill>
              <w14:schemeClr w14:val="tx1"/>
            </w14:solidFill>
          </w14:textFill>
        </w:rPr>
        <w:t>2.2.1</w:t>
      </w:r>
      <w:r>
        <w:rPr>
          <w:rFonts w:hint="eastAsia" w:cs="仿宋_GB2312" w:asciiTheme="minorEastAsia" w:hAnsiTheme="minorEastAsia" w:eastAsiaTheme="minorEastAsia"/>
          <w:color w:val="000000" w:themeColor="text1"/>
          <w:lang w:val="zh-CN"/>
          <w14:textFill>
            <w14:solidFill>
              <w14:schemeClr w14:val="tx1"/>
            </w14:solidFill>
          </w14:textFill>
        </w:rPr>
        <w:t>1</w:t>
      </w:r>
      <w:r>
        <w:rPr>
          <w:rFonts w:cs="仿宋_GB2312" w:asciiTheme="minorEastAsia" w:hAnsiTheme="minorEastAsia" w:eastAsiaTheme="minorEastAsia"/>
          <w:color w:val="000000" w:themeColor="text1"/>
          <w:lang w:val="zh-CN"/>
          <w14:textFill>
            <w14:solidFill>
              <w14:schemeClr w14:val="tx1"/>
            </w14:solidFill>
          </w14:textFill>
        </w:rPr>
        <w:t>项目验收之前、验收之后的维护方案；针对本项目的维护方案，包括</w:t>
      </w:r>
      <w:r>
        <w:rPr>
          <w:rFonts w:hint="eastAsia" w:cs="仿宋_GB2312" w:asciiTheme="minorEastAsia" w:hAnsiTheme="minorEastAsia" w:eastAsiaTheme="minorEastAsia"/>
          <w:color w:val="000000" w:themeColor="text1"/>
          <w:lang w:val="zh-CN"/>
          <w14:textFill>
            <w14:solidFill>
              <w14:schemeClr w14:val="tx1"/>
            </w14:solidFill>
          </w14:textFill>
        </w:rPr>
        <w:t>本地</w:t>
      </w:r>
      <w:r>
        <w:rPr>
          <w:rFonts w:cs="仿宋_GB2312" w:asciiTheme="minorEastAsia" w:hAnsiTheme="minorEastAsia" w:eastAsiaTheme="minorEastAsia"/>
          <w:color w:val="000000" w:themeColor="text1"/>
          <w:lang w:val="zh-CN"/>
          <w14:textFill>
            <w14:solidFill>
              <w14:schemeClr w14:val="tx1"/>
            </w14:solidFill>
          </w14:textFill>
        </w:rPr>
        <w:t>(</w:t>
      </w:r>
      <w:r>
        <w:rPr>
          <w:rFonts w:hint="eastAsia" w:cs="仿宋_GB2312" w:asciiTheme="minorEastAsia" w:hAnsiTheme="minorEastAsia" w:eastAsiaTheme="minorEastAsia"/>
          <w:color w:val="000000" w:themeColor="text1"/>
          <w:lang w:val="zh-CN"/>
          <w14:textFill>
            <w14:solidFill>
              <w14:schemeClr w14:val="tx1"/>
            </w14:solidFill>
          </w14:textFill>
        </w:rPr>
        <w:t>绍兴</w:t>
      </w:r>
      <w:r>
        <w:rPr>
          <w:rFonts w:cs="仿宋_GB2312" w:asciiTheme="minorEastAsia" w:hAnsiTheme="minorEastAsia" w:eastAsiaTheme="minorEastAsia"/>
          <w:color w:val="000000" w:themeColor="text1"/>
          <w:lang w:val="zh-CN"/>
          <w14:textFill>
            <w14:solidFill>
              <w14:schemeClr w14:val="tx1"/>
            </w14:solidFill>
          </w14:textFill>
        </w:rPr>
        <w:t>)售后服务机构</w:t>
      </w:r>
      <w:r>
        <w:rPr>
          <w:rFonts w:hint="eastAsia" w:cs="仿宋_GB2312" w:asciiTheme="minorEastAsia" w:hAnsiTheme="minorEastAsia" w:eastAsiaTheme="minorEastAsia"/>
          <w:color w:val="000000" w:themeColor="text1"/>
          <w:lang w:val="zh-CN"/>
          <w14:textFill>
            <w14:solidFill>
              <w14:schemeClr w14:val="tx1"/>
            </w14:solidFill>
          </w14:textFill>
        </w:rPr>
        <w:t>和</w:t>
      </w:r>
      <w:r>
        <w:rPr>
          <w:rFonts w:cs="仿宋_GB2312" w:asciiTheme="minorEastAsia" w:hAnsiTheme="minorEastAsia" w:eastAsiaTheme="minorEastAsia"/>
          <w:color w:val="000000" w:themeColor="text1"/>
          <w:lang w:val="zh-CN"/>
          <w14:textFill>
            <w14:solidFill>
              <w14:schemeClr w14:val="tx1"/>
            </w14:solidFill>
          </w14:textFill>
        </w:rPr>
        <w:t>人员情况等。投标人应以书面形式完整准确地表述售后服务承诺(范围、标准及期限等)、投标人可能增加的服务承诺等。并明示服务承诺可能涉及的前提设定和费用，否则将被认为是无条件和免费的。承诺质</w:t>
      </w:r>
      <w:r>
        <w:rPr>
          <w:rFonts w:cs="仿宋" w:asciiTheme="minorEastAsia" w:hAnsiTheme="minorEastAsia" w:eastAsiaTheme="minorEastAsia"/>
          <w:color w:val="000000" w:themeColor="text1"/>
          <w14:textFill>
            <w14:solidFill>
              <w14:schemeClr w14:val="tx1"/>
            </w14:solidFill>
          </w14:textFill>
        </w:rPr>
        <w:t>保期内均提供免费上门服务。</w:t>
      </w:r>
    </w:p>
    <w:p>
      <w:pPr>
        <w:snapToGrid w:val="0"/>
        <w:spacing w:line="440" w:lineRule="exact"/>
        <w:rPr>
          <w:rFonts w:cs="仿宋_GB2312" w:asciiTheme="minorEastAsia" w:hAnsiTheme="minorEastAsia" w:eastAsiaTheme="minorEastAsia"/>
          <w:color w:val="000000" w:themeColor="text1"/>
          <w:lang w:val="zh-CN"/>
          <w14:textFill>
            <w14:solidFill>
              <w14:schemeClr w14:val="tx1"/>
            </w14:solidFill>
          </w14:textFill>
        </w:rPr>
      </w:pPr>
      <w:r>
        <w:rPr>
          <w:rFonts w:cs="仿宋_GB2312" w:asciiTheme="minorEastAsia" w:hAnsiTheme="minorEastAsia" w:eastAsiaTheme="minorEastAsia"/>
          <w:color w:val="000000" w:themeColor="text1"/>
          <w:lang w:val="zh-CN"/>
          <w14:textFill>
            <w14:solidFill>
              <w14:schemeClr w14:val="tx1"/>
            </w14:solidFill>
          </w14:textFill>
        </w:rPr>
        <w:t>2.2.</w:t>
      </w:r>
      <w:r>
        <w:rPr>
          <w:rFonts w:cs="仿宋_GB2312" w:asciiTheme="minorEastAsia" w:hAnsiTheme="minorEastAsia" w:eastAsiaTheme="minorEastAsia"/>
          <w:color w:val="000000" w:themeColor="text1"/>
          <w14:textFill>
            <w14:solidFill>
              <w14:schemeClr w14:val="tx1"/>
            </w14:solidFill>
          </w14:textFill>
        </w:rPr>
        <w:t>1</w:t>
      </w:r>
      <w:r>
        <w:rPr>
          <w:rFonts w:hint="eastAsia" w:cs="仿宋_GB2312" w:asciiTheme="minorEastAsia" w:hAnsiTheme="minorEastAsia" w:eastAsiaTheme="minorEastAsia"/>
          <w:color w:val="000000" w:themeColor="text1"/>
          <w14:textFill>
            <w14:solidFill>
              <w14:schemeClr w14:val="tx1"/>
            </w14:solidFill>
          </w14:textFill>
        </w:rPr>
        <w:t>2</w:t>
      </w:r>
      <w:r>
        <w:rPr>
          <w:rFonts w:hint="eastAsia" w:cs="仿宋_GB2312" w:asciiTheme="minorEastAsia" w:hAnsiTheme="minorEastAsia" w:eastAsiaTheme="minorEastAsia"/>
          <w:color w:val="000000" w:themeColor="text1"/>
          <w:lang w:val="zh-CN"/>
          <w14:textFill>
            <w14:solidFill>
              <w14:schemeClr w14:val="tx1"/>
            </w14:solidFill>
          </w14:textFill>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cs="仿宋_GB2312" w:asciiTheme="minorEastAsia" w:hAnsiTheme="minorEastAsia" w:eastAsiaTheme="minorEastAsia"/>
          <w:color w:val="000000" w:themeColor="text1"/>
          <w:lang w:val="zh-CN"/>
          <w14:textFill>
            <w14:solidFill>
              <w14:schemeClr w14:val="tx1"/>
            </w14:solidFill>
          </w14:textFill>
        </w:rPr>
        <w:t>(包括从事相关项目的经验，对每一个项目有一个简要的描述，该人员参与的时间以及在项目中的责任)，资质情况等；</w:t>
      </w:r>
    </w:p>
    <w:p>
      <w:pPr>
        <w:snapToGrid w:val="0"/>
        <w:spacing w:line="440" w:lineRule="exact"/>
        <w:rPr>
          <w:rFonts w:cs="仿宋_GB2312" w:asciiTheme="minorEastAsia" w:hAnsiTheme="minorEastAsia" w:eastAsiaTheme="minorEastAsia"/>
          <w:color w:val="000000" w:themeColor="text1"/>
          <w14:textFill>
            <w14:solidFill>
              <w14:schemeClr w14:val="tx1"/>
            </w14:solidFill>
          </w14:textFill>
        </w:rPr>
      </w:pPr>
      <w:r>
        <w:rPr>
          <w:rFonts w:cs="仿宋_GB2312" w:asciiTheme="minorEastAsia" w:hAnsiTheme="minorEastAsia" w:eastAsiaTheme="minorEastAsia"/>
          <w:color w:val="000000" w:themeColor="text1"/>
          <w14:textFill>
            <w14:solidFill>
              <w14:schemeClr w14:val="tx1"/>
            </w14:solidFill>
          </w14:textFill>
        </w:rPr>
        <w:t>2.2.1</w:t>
      </w:r>
      <w:r>
        <w:rPr>
          <w:rFonts w:hint="eastAsia" w:cs="仿宋_GB2312" w:asciiTheme="minorEastAsia" w:hAnsiTheme="minorEastAsia" w:eastAsiaTheme="minorEastAsia"/>
          <w:color w:val="000000" w:themeColor="text1"/>
          <w14:textFill>
            <w14:solidFill>
              <w14:schemeClr w14:val="tx1"/>
            </w14:solidFill>
          </w14:textFill>
        </w:rPr>
        <w:t>3</w:t>
      </w:r>
      <w:r>
        <w:rPr>
          <w:rFonts w:cs="仿宋_GB2312" w:asciiTheme="minorEastAsia" w:hAnsiTheme="minorEastAsia" w:eastAsiaTheme="minorEastAsia"/>
          <w:color w:val="000000" w:themeColor="text1"/>
          <w14:textFill>
            <w14:solidFill>
              <w14:schemeClr w14:val="tx1"/>
            </w14:solidFill>
          </w14:textFill>
        </w:rPr>
        <w:t>备品备件清单（含随机自带的备品备件和</w:t>
      </w:r>
      <w:r>
        <w:rPr>
          <w:rFonts w:hint="eastAsia" w:cs="仿宋_GB2312" w:asciiTheme="minorEastAsia" w:hAnsiTheme="minorEastAsia" w:eastAsiaTheme="minorEastAsia"/>
          <w:color w:val="000000" w:themeColor="text1"/>
          <w14:textFill>
            <w14:solidFill>
              <w14:schemeClr w14:val="tx1"/>
            </w14:solidFill>
          </w14:textFill>
        </w:rPr>
        <w:t>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cs="仿宋_GB2312" w:asciiTheme="minorEastAsia" w:hAnsiTheme="minorEastAsia" w:eastAsiaTheme="minorEastAsia"/>
          <w:color w:val="000000" w:themeColor="text1"/>
          <w14:textFill>
            <w14:solidFill>
              <w14:schemeClr w14:val="tx1"/>
            </w14:solidFill>
          </w14:textFill>
        </w:rPr>
      </w:pPr>
      <w:r>
        <w:rPr>
          <w:rFonts w:cs="仿宋_GB2312" w:asciiTheme="minorEastAsia" w:hAnsiTheme="minorEastAsia" w:eastAsiaTheme="minorEastAsia"/>
          <w:color w:val="000000" w:themeColor="text1"/>
          <w14:textFill>
            <w14:solidFill>
              <w14:schemeClr w14:val="tx1"/>
            </w14:solidFill>
          </w14:textFill>
        </w:rPr>
        <w:t>2.2.1</w:t>
      </w:r>
      <w:r>
        <w:rPr>
          <w:rFonts w:hint="eastAsia" w:cs="仿宋_GB2312" w:asciiTheme="minorEastAsia" w:hAnsiTheme="minorEastAsia" w:eastAsiaTheme="minorEastAsia"/>
          <w:color w:val="000000" w:themeColor="text1"/>
          <w14:textFill>
            <w14:solidFill>
              <w14:schemeClr w14:val="tx1"/>
            </w14:solidFill>
          </w14:textFill>
        </w:rPr>
        <w:t>4</w:t>
      </w:r>
      <w:r>
        <w:rPr>
          <w:rFonts w:cs="仿宋_GB2312" w:asciiTheme="minorEastAsia" w:hAnsiTheme="minorEastAsia" w:eastAsiaTheme="minorEastAsia"/>
          <w:color w:val="000000" w:themeColor="text1"/>
          <w14:textFill>
            <w14:solidFill>
              <w14:schemeClr w14:val="tx1"/>
            </w14:solidFill>
          </w14:textFill>
        </w:rPr>
        <w:t>培训计划</w:t>
      </w:r>
      <w:r>
        <w:rPr>
          <w:rFonts w:hint="eastAsia" w:cs="仿宋_GB2312" w:asciiTheme="minorEastAsia" w:hAnsiTheme="minorEastAsia" w:eastAsiaTheme="minorEastAsia"/>
          <w:color w:val="000000" w:themeColor="text1"/>
          <w14:textFill>
            <w14:solidFill>
              <w14:schemeClr w14:val="tx1"/>
            </w14:solidFill>
          </w14:textFill>
        </w:rPr>
        <w:t>（如有）</w:t>
      </w:r>
      <w:r>
        <w:rPr>
          <w:rFonts w:cs="仿宋_GB2312" w:asciiTheme="minorEastAsia" w:hAnsiTheme="minorEastAsia" w:eastAsiaTheme="minorEastAsia"/>
          <w:color w:val="000000" w:themeColor="text1"/>
          <w14:textFill>
            <w14:solidFill>
              <w14:schemeClr w14:val="tx1"/>
            </w14:solidFill>
          </w14:textFill>
        </w:rPr>
        <w:t>；</w:t>
      </w:r>
    </w:p>
    <w:p>
      <w:pPr>
        <w:snapToGrid w:val="0"/>
        <w:spacing w:line="440" w:lineRule="exact"/>
        <w:rPr>
          <w:rFonts w:cs="仿宋_GB2312" w:asciiTheme="minorEastAsia" w:hAnsiTheme="minorEastAsia" w:eastAsiaTheme="minorEastAsia"/>
          <w:color w:val="000000" w:themeColor="text1"/>
          <w14:textFill>
            <w14:solidFill>
              <w14:schemeClr w14:val="tx1"/>
            </w14:solidFill>
          </w14:textFill>
        </w:rPr>
      </w:pPr>
      <w:r>
        <w:rPr>
          <w:rFonts w:cs="仿宋_GB2312" w:asciiTheme="minorEastAsia" w:hAnsiTheme="minorEastAsia" w:eastAsiaTheme="minorEastAsia"/>
          <w:color w:val="000000" w:themeColor="text1"/>
          <w14:textFill>
            <w14:solidFill>
              <w14:schemeClr w14:val="tx1"/>
            </w14:solidFill>
          </w14:textFill>
        </w:rPr>
        <w:t>2.2.1</w:t>
      </w:r>
      <w:r>
        <w:rPr>
          <w:rFonts w:hint="eastAsia" w:cs="仿宋_GB2312" w:asciiTheme="minorEastAsia" w:hAnsiTheme="minorEastAsia" w:eastAsiaTheme="minorEastAsia"/>
          <w:color w:val="000000" w:themeColor="text1"/>
          <w14:textFill>
            <w14:solidFill>
              <w14:schemeClr w14:val="tx1"/>
            </w14:solidFill>
          </w14:textFill>
        </w:rPr>
        <w:t>5</w:t>
      </w:r>
      <w:r>
        <w:rPr>
          <w:rFonts w:hint="eastAsia" w:cs="仿宋_GB2312" w:asciiTheme="minorEastAsia" w:hAnsiTheme="minorEastAsia" w:eastAsiaTheme="minorEastAsia"/>
          <w:color w:val="000000" w:themeColor="text1"/>
          <w:lang w:val="zh-CN"/>
          <w14:textFill>
            <w14:solidFill>
              <w14:schemeClr w14:val="tx1"/>
            </w14:solidFill>
          </w14:textFill>
        </w:rPr>
        <w:t>验收方案；</w:t>
      </w:r>
    </w:p>
    <w:p>
      <w:pPr>
        <w:snapToGrid w:val="0"/>
        <w:spacing w:line="440" w:lineRule="exact"/>
        <w:rPr>
          <w:rFonts w:cs="仿宋_GB2312" w:asciiTheme="minorEastAsia" w:hAnsiTheme="minorEastAsia" w:eastAsiaTheme="minorEastAsia"/>
          <w:color w:val="000000" w:themeColor="text1"/>
          <w:lang w:val="zh-CN"/>
          <w14:textFill>
            <w14:solidFill>
              <w14:schemeClr w14:val="tx1"/>
            </w14:solidFill>
          </w14:textFill>
        </w:rPr>
      </w:pPr>
      <w:r>
        <w:rPr>
          <w:rFonts w:cs="仿宋_GB2312" w:asciiTheme="minorEastAsia" w:hAnsiTheme="minorEastAsia" w:eastAsiaTheme="minorEastAsia"/>
          <w:snapToGrid w:val="0"/>
          <w:color w:val="000000" w:themeColor="text1"/>
          <w14:textFill>
            <w14:solidFill>
              <w14:schemeClr w14:val="tx1"/>
            </w14:solidFill>
          </w14:textFill>
        </w:rPr>
        <w:t>2.2.1</w:t>
      </w:r>
      <w:r>
        <w:rPr>
          <w:rFonts w:hint="eastAsia" w:cs="仿宋_GB2312" w:asciiTheme="minorEastAsia" w:hAnsiTheme="minorEastAsia" w:eastAsiaTheme="minorEastAsia"/>
          <w:snapToGrid w:val="0"/>
          <w:color w:val="000000" w:themeColor="text1"/>
          <w14:textFill>
            <w14:solidFill>
              <w14:schemeClr w14:val="tx1"/>
            </w14:solidFill>
          </w14:textFill>
        </w:rPr>
        <w:t>6投标人售后服务证明材料：合作单位营业执照或投标人在本地（绍兴市行政区域范围内）设立的项目部、办公室、办事处等机构的证明材料或投标人作出的中标后提供本地化服务的承诺</w:t>
      </w:r>
      <w:r>
        <w:rPr>
          <w:rFonts w:hint="eastAsia" w:cs="仿宋_GB2312" w:asciiTheme="minorEastAsia" w:hAnsiTheme="minorEastAsia" w:eastAsiaTheme="minorEastAsia"/>
          <w:color w:val="000000" w:themeColor="text1"/>
          <w:lang w:val="zh-CN"/>
          <w14:textFill>
            <w14:solidFill>
              <w14:schemeClr w14:val="tx1"/>
            </w14:solidFill>
          </w14:textFill>
        </w:rPr>
        <w:t>；</w:t>
      </w:r>
    </w:p>
    <w:p>
      <w:pPr>
        <w:snapToGrid w:val="0"/>
        <w:spacing w:line="440" w:lineRule="exact"/>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2.2.17廉政承诺书（格式见第六部分附件）；</w:t>
      </w:r>
    </w:p>
    <w:p>
      <w:pPr>
        <w:snapToGrid w:val="0"/>
        <w:spacing w:line="440" w:lineRule="exact"/>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2.2.18联合协议（如有）；</w:t>
      </w:r>
    </w:p>
    <w:p>
      <w:pPr>
        <w:pStyle w:val="23"/>
        <w:numPr>
          <w:ilvl w:val="0"/>
          <w:numId w:val="0"/>
        </w:numPr>
        <w:tabs>
          <w:tab w:val="left" w:pos="1854"/>
        </w:tabs>
        <w:spacing w:line="440" w:lineRule="exact"/>
        <w:rPr>
          <w:rFonts w:cs="仿宋_GB2312" w:asciiTheme="minorEastAsia" w:hAnsiTheme="minorEastAsia" w:eastAsiaTheme="minorEastAsia"/>
          <w:color w:val="000000" w:themeColor="text1"/>
          <w:sz w:val="24"/>
          <w:lang w:val="zh-CN"/>
          <w14:textFill>
            <w14:solidFill>
              <w14:schemeClr w14:val="tx1"/>
            </w14:solidFill>
          </w14:textFill>
        </w:rPr>
      </w:pPr>
      <w:r>
        <w:rPr>
          <w:rFonts w:hint="eastAsia" w:cs="仿宋_GB2312" w:asciiTheme="minorEastAsia" w:hAnsiTheme="minorEastAsia" w:eastAsiaTheme="minorEastAsia"/>
          <w:color w:val="000000" w:themeColor="text1"/>
          <w:sz w:val="24"/>
          <w:lang w:val="zh-CN"/>
          <w14:textFill>
            <w14:solidFill>
              <w14:schemeClr w14:val="tx1"/>
            </w14:solidFill>
          </w14:textFill>
        </w:rPr>
        <w:t>2.2.19分包意向协议（如有）；</w:t>
      </w:r>
    </w:p>
    <w:p>
      <w:pPr>
        <w:pStyle w:val="23"/>
        <w:numPr>
          <w:ilvl w:val="0"/>
          <w:numId w:val="0"/>
        </w:numPr>
        <w:tabs>
          <w:tab w:val="left" w:pos="1854"/>
        </w:tabs>
        <w:spacing w:line="440" w:lineRule="exact"/>
        <w:rPr>
          <w:rFonts w:cs="仿宋_GB2312" w:asciiTheme="minorEastAsia" w:hAnsiTheme="minorEastAsia" w:eastAsiaTheme="minorEastAsia"/>
          <w:color w:val="000000" w:themeColor="text1"/>
          <w:sz w:val="24"/>
          <w:lang w:val="zh-CN"/>
          <w14:textFill>
            <w14:solidFill>
              <w14:schemeClr w14:val="tx1"/>
            </w14:solidFill>
          </w14:textFill>
        </w:rPr>
      </w:pPr>
      <w:r>
        <w:rPr>
          <w:rFonts w:hint="eastAsia" w:cs="仿宋_GB2312" w:asciiTheme="minorEastAsia" w:hAnsiTheme="minorEastAsia" w:eastAsiaTheme="minorEastAsia"/>
          <w:color w:val="000000" w:themeColor="text1"/>
          <w:sz w:val="24"/>
          <w:lang w:val="zh-CN"/>
          <w14:textFill>
            <w14:solidFill>
              <w14:schemeClr w14:val="tx1"/>
            </w14:solidFill>
          </w14:textFill>
        </w:rPr>
        <w:t>2.2.20中小企业声明函（如有）；</w:t>
      </w:r>
    </w:p>
    <w:p>
      <w:pPr>
        <w:snapToGrid w:val="0"/>
        <w:spacing w:line="440" w:lineRule="exact"/>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2.2.21</w:t>
      </w:r>
      <w:r>
        <w:rPr>
          <w:rFonts w:hint="eastAsia" w:asciiTheme="minorEastAsia" w:hAnsiTheme="minorEastAsia" w:eastAsiaTheme="minorEastAsia"/>
          <w:b/>
          <w:color w:val="000000" w:themeColor="text1"/>
          <w:u w:val="wave"/>
          <w14:textFill>
            <w14:solidFill>
              <w14:schemeClr w14:val="tx1"/>
            </w14:solidFill>
          </w14:textFill>
        </w:rPr>
        <w:t>未尽事宜请各投标人按评分标准和相对应标项相关要求制作</w:t>
      </w:r>
      <w:r>
        <w:rPr>
          <w:rFonts w:hint="eastAsia" w:asciiTheme="minorEastAsia" w:hAnsiTheme="minorEastAsia" w:eastAsiaTheme="minorEastAsia"/>
          <w:b/>
          <w:color w:val="000000" w:themeColor="text1"/>
          <w14:textFill>
            <w14:solidFill>
              <w14:schemeClr w14:val="tx1"/>
            </w14:solidFill>
          </w14:textFill>
        </w:rPr>
        <w:t>；</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snapToGrid w:val="0"/>
          <w:color w:val="000000" w:themeColor="text1"/>
          <w14:textFill>
            <w14:solidFill>
              <w14:schemeClr w14:val="tx1"/>
            </w14:solidFill>
          </w14:textFill>
        </w:rPr>
        <w:t>2.2.22投标人需要说明的其他文件和说明（格式自拟）。</w:t>
      </w:r>
    </w:p>
    <w:p>
      <w:pPr>
        <w:snapToGrid w:val="0"/>
        <w:spacing w:line="440" w:lineRule="exact"/>
        <w:ind w:firstLine="480" w:firstLineChars="200"/>
        <w:rPr>
          <w:rFonts w:cs="仿宋_GB2312" w:asciiTheme="minorEastAsia" w:hAnsiTheme="minorEastAsia" w:eastAsiaTheme="minorEastAsia"/>
          <w:snapToGrid w:val="0"/>
          <w:color w:val="000000" w:themeColor="text1"/>
          <w14:textFill>
            <w14:solidFill>
              <w14:schemeClr w14:val="tx1"/>
            </w14:solidFill>
          </w14:textFill>
        </w:rPr>
      </w:pPr>
      <w:r>
        <w:rPr>
          <w:rFonts w:hint="eastAsia" w:cs="仿宋_GB2312" w:asciiTheme="minorEastAsia" w:hAnsiTheme="minorEastAsia" w:eastAsiaTheme="minorEastAsia"/>
          <w:snapToGrid w:val="0"/>
          <w:color w:val="000000" w:themeColor="text1"/>
          <w14:textFill>
            <w14:solidFill>
              <w14:schemeClr w14:val="tx1"/>
            </w14:solidFill>
          </w14:textFill>
        </w:rPr>
        <w:t>以上文件组成“商务技术（资信）文件资料”。投标人在“商务技术（资信）文件资料”中应对招标文件作实质性响应，该项内容将作为评标重要指标。</w:t>
      </w:r>
    </w:p>
    <w:p>
      <w:pPr>
        <w:snapToGrid w:val="0"/>
        <w:spacing w:line="440" w:lineRule="exact"/>
        <w:ind w:firstLine="480" w:firstLineChars="200"/>
        <w:rPr>
          <w:rFonts w:cs="仿宋_GB2312" w:asciiTheme="minorEastAsia" w:hAnsiTheme="minorEastAsia" w:eastAsiaTheme="minorEastAsia"/>
          <w:snapToGrid w:val="0"/>
          <w:color w:val="000000" w:themeColor="text1"/>
          <w14:textFill>
            <w14:solidFill>
              <w14:schemeClr w14:val="tx1"/>
            </w14:solidFill>
          </w14:textFill>
        </w:rPr>
      </w:pPr>
      <w:r>
        <w:rPr>
          <w:rFonts w:hint="eastAsia" w:cs="仿宋_GB2312" w:asciiTheme="minorEastAsia" w:hAnsiTheme="minorEastAsia" w:eastAsiaTheme="minorEastAsia"/>
          <w:snapToGrid w:val="0"/>
          <w:color w:val="000000" w:themeColor="text1"/>
          <w14:textFill>
            <w14:solidFill>
              <w14:schemeClr w14:val="tx1"/>
            </w14:solidFill>
          </w14:textFill>
        </w:rPr>
        <w:t>投标人不按招标文件的要求提供的投标文件，可能会被评标委员会视为未实质性响应，其风险应由投标人自行承担。</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3.</w:t>
      </w:r>
      <w:r>
        <w:rPr>
          <w:rFonts w:hint="eastAsia" w:asciiTheme="minorEastAsia" w:hAnsiTheme="minorEastAsia" w:eastAsiaTheme="minorEastAsia"/>
          <w:b/>
          <w:color w:val="000000" w:themeColor="text1"/>
          <w14:textFill>
            <w14:solidFill>
              <w14:schemeClr w14:val="tx1"/>
            </w14:solidFill>
          </w14:textFill>
        </w:rPr>
        <w:t>投标报价</w:t>
      </w:r>
    </w:p>
    <w:p>
      <w:pPr>
        <w:pStyle w:val="26"/>
        <w:spacing w:line="440" w:lineRule="exact"/>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3.1投标人应按招标文件中《开标一览表》等附表要求填写。</w:t>
      </w:r>
    </w:p>
    <w:p>
      <w:pPr>
        <w:pStyle w:val="26"/>
        <w:spacing w:line="440" w:lineRule="exact"/>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26"/>
        <w:spacing w:line="440" w:lineRule="exact"/>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3.3招标文件未列明，而投标人认为必需的费用也需列入报价。</w:t>
      </w:r>
    </w:p>
    <w:p>
      <w:pPr>
        <w:tabs>
          <w:tab w:val="left" w:pos="525"/>
        </w:tabs>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3.4</w:t>
      </w:r>
      <w:r>
        <w:rPr>
          <w:rFonts w:hint="eastAsia" w:asciiTheme="minorEastAsia" w:hAnsiTheme="minorEastAsia" w:eastAsiaTheme="minorEastAsia"/>
          <w:b/>
          <w:color w:val="000000" w:themeColor="text1"/>
          <w14:textFill>
            <w14:solidFill>
              <w14:schemeClr w14:val="tx1"/>
            </w14:solidFill>
          </w14:textFill>
        </w:rPr>
        <w:t>投标报价只允许有一个报价，有选择的报价将不予接受（除指定外）。</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4.投标文件的有效期</w:t>
      </w:r>
    </w:p>
    <w:p>
      <w:pPr>
        <w:tabs>
          <w:tab w:val="left" w:pos="360"/>
        </w:tabs>
        <w:spacing w:line="440" w:lineRule="atLeas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4.1</w:t>
      </w:r>
      <w:r>
        <w:rPr>
          <w:rFonts w:hint="eastAsia" w:cs="仿宋_GB2312" w:asciiTheme="minorEastAsia" w:hAnsiTheme="minorEastAsia" w:eastAsiaTheme="minorEastAsia"/>
          <w:color w:val="000000" w:themeColor="text1"/>
          <w14:textFill>
            <w14:solidFill>
              <w14:schemeClr w14:val="tx1"/>
            </w14:solidFill>
          </w14:textFill>
        </w:rPr>
        <w:t>投标有效期为从提交投标文件的截止之日起</w:t>
      </w:r>
      <w:r>
        <w:rPr>
          <w:rFonts w:cs="仿宋_GB2312" w:asciiTheme="minorEastAsia" w:hAnsiTheme="minorEastAsia" w:eastAsiaTheme="minorEastAsia"/>
          <w:color w:val="000000" w:themeColor="text1"/>
          <w14:textFill>
            <w14:solidFill>
              <w14:schemeClr w14:val="tx1"/>
            </w14:solidFill>
          </w14:textFill>
        </w:rPr>
        <w:t>90天。</w:t>
      </w:r>
      <w:r>
        <w:rPr>
          <w:rFonts w:hint="eastAsia" w:cs="仿宋_GB2312" w:asciiTheme="minorEastAsia" w:hAnsiTheme="minorEastAsia" w:eastAsiaTheme="minorEastAsia"/>
          <w:b/>
          <w:color w:val="000000" w:themeColor="text1"/>
          <w14:textFill>
            <w14:solidFill>
              <w14:schemeClr w14:val="tx1"/>
            </w14:solidFill>
          </w14:textFill>
        </w:rPr>
        <w:t>投标人的投标文件中承诺的投标有效期少于采购文件中载明的投标有效期的，投标无效。</w:t>
      </w:r>
    </w:p>
    <w:p>
      <w:pPr>
        <w:tabs>
          <w:tab w:val="left" w:pos="360"/>
        </w:tabs>
        <w:spacing w:line="440" w:lineRule="atLeas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4.2在特殊情况下，采购人可与投标人协商延长投标书的有效期，这种要求和答复均以书面形式进行。</w:t>
      </w:r>
    </w:p>
    <w:p>
      <w:pPr>
        <w:tabs>
          <w:tab w:val="left" w:pos="360"/>
        </w:tabs>
        <w:spacing w:line="440" w:lineRule="atLeas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4.3投标人可拒绝接受延期要求而不会导致投标保证金被没收。同意延长有效期的投标人不能修改投标文件。</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5.投标文件的份数和规定</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5.1投标文件的正本需打印或用不褪色的墨水填写，不允许行间插字，并注明“正本”字样，投标文件正本除本招标须知中规定的可提供复印件外均须提供原件。副本为正本的复印件</w:t>
      </w:r>
      <w:r>
        <w:rPr>
          <w:rFonts w:hint="eastAsia" w:asciiTheme="minorEastAsia" w:hAnsiTheme="minorEastAsia" w:eastAsiaTheme="minorEastAsia"/>
          <w:color w:val="000000" w:themeColor="text1"/>
          <w14:textFill>
            <w14:solidFill>
              <w14:schemeClr w14:val="tx1"/>
            </w14:solidFill>
          </w14:textFill>
        </w:rPr>
        <w:t>，正本与副本不一致，以正本为准</w:t>
      </w:r>
      <w:r>
        <w:rPr>
          <w:rFonts w:asciiTheme="minorEastAsia" w:hAnsiTheme="minorEastAsia" w:eastAsiaTheme="minorEastAsia"/>
          <w:color w:val="000000" w:themeColor="text1"/>
          <w14:textFill>
            <w14:solidFill>
              <w14:schemeClr w14:val="tx1"/>
            </w14:solidFill>
          </w14:textFill>
        </w:rPr>
        <w:t>。</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5.2投标文件由</w:t>
      </w:r>
      <w:r>
        <w:rPr>
          <w:rFonts w:asciiTheme="minorEastAsia" w:hAnsiTheme="minorEastAsia" w:eastAsiaTheme="minorEastAsia"/>
          <w:b/>
          <w:color w:val="000000" w:themeColor="text1"/>
          <w14:textFill>
            <w14:solidFill>
              <w14:schemeClr w14:val="tx1"/>
            </w14:solidFill>
          </w14:textFill>
        </w:rPr>
        <w:t>“商务技术（资信）文件资料”和“报价文件资料”</w:t>
      </w:r>
      <w:r>
        <w:rPr>
          <w:rFonts w:asciiTheme="minorEastAsia" w:hAnsiTheme="minorEastAsia" w:eastAsiaTheme="minorEastAsia"/>
          <w:color w:val="000000" w:themeColor="text1"/>
          <w14:textFill>
            <w14:solidFill>
              <w14:schemeClr w14:val="tx1"/>
            </w14:solidFill>
          </w14:textFill>
        </w:rPr>
        <w:t>两部分文件组成，应按统一格式填写，装订成册。并在封面处明确注明</w:t>
      </w:r>
      <w:r>
        <w:rPr>
          <w:rFonts w:asciiTheme="minorEastAsia" w:hAnsiTheme="minorEastAsia" w:eastAsiaTheme="minorEastAsia"/>
          <w:b/>
          <w:color w:val="000000" w:themeColor="text1"/>
          <w14:textFill>
            <w14:solidFill>
              <w14:schemeClr w14:val="tx1"/>
            </w14:solidFill>
          </w14:textFill>
        </w:rPr>
        <w:t>“商务技术（资信）文件资料”或“报价文件资料”</w:t>
      </w:r>
      <w:r>
        <w:rPr>
          <w:rFonts w:asciiTheme="minorEastAsia" w:hAnsiTheme="minorEastAsia" w:eastAsiaTheme="minorEastAsia"/>
          <w:color w:val="000000" w:themeColor="text1"/>
          <w14:textFill>
            <w14:solidFill>
              <w14:schemeClr w14:val="tx1"/>
            </w14:solidFill>
          </w14:textFill>
        </w:rPr>
        <w:t>。</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5.3投标文件一式</w:t>
      </w:r>
      <w:r>
        <w:rPr>
          <w:rFonts w:hint="eastAsia" w:asciiTheme="minorEastAsia" w:hAnsiTheme="minorEastAsia" w:eastAsiaTheme="minorEastAsia"/>
          <w:color w:val="000000" w:themeColor="text1"/>
          <w14:textFill>
            <w14:solidFill>
              <w14:schemeClr w14:val="tx1"/>
            </w14:solidFill>
          </w14:textFill>
        </w:rPr>
        <w:t>七</w:t>
      </w:r>
      <w:r>
        <w:rPr>
          <w:rFonts w:asciiTheme="minorEastAsia" w:hAnsiTheme="minorEastAsia" w:eastAsiaTheme="minorEastAsia"/>
          <w:color w:val="000000" w:themeColor="text1"/>
          <w14:textFill>
            <w14:solidFill>
              <w14:schemeClr w14:val="tx1"/>
            </w14:solidFill>
          </w14:textFill>
        </w:rPr>
        <w:t>份，其中正本一份，副本</w:t>
      </w:r>
      <w:r>
        <w:rPr>
          <w:rFonts w:hint="eastAsia" w:asciiTheme="minorEastAsia" w:hAnsiTheme="minorEastAsia" w:eastAsiaTheme="minorEastAsia"/>
          <w:color w:val="000000" w:themeColor="text1"/>
          <w14:textFill>
            <w14:solidFill>
              <w14:schemeClr w14:val="tx1"/>
            </w14:solidFill>
          </w14:textFill>
        </w:rPr>
        <w:t>六</w:t>
      </w:r>
      <w:r>
        <w:rPr>
          <w:rFonts w:asciiTheme="minorEastAsia" w:hAnsiTheme="minorEastAsia" w:eastAsiaTheme="minorEastAsia"/>
          <w:color w:val="000000" w:themeColor="text1"/>
          <w14:textFill>
            <w14:solidFill>
              <w14:schemeClr w14:val="tx1"/>
            </w14:solidFill>
          </w14:textFill>
        </w:rPr>
        <w:t>份。</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5.4投标文件须由投标人在规定位置盖章并由法定代表人或其授权代表签署，投标人应写全称。</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5.5投标文件不得涂改，若有修改错漏处，须加盖单位公章或者法定代表人或其授权代表签字或盖章。</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5.6投标文件因字迹潦草或表达不清所引起的后果由投标人负责。</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5.7投标人应认真阅读采购文件中所有的内容。如果投标人编制的投标文件实质上不响应采购文件的要求，其投标文件将被采购人拒绝。</w:t>
      </w:r>
    </w:p>
    <w:p>
      <w:pPr>
        <w:spacing w:line="440" w:lineRule="exact"/>
        <w:rPr>
          <w:rFonts w:asciiTheme="minorEastAsia" w:hAnsiTheme="minorEastAsia" w:eastAsiaTheme="minorEastAsia"/>
          <w:color w:val="000000" w:themeColor="text1"/>
          <w14:textFill>
            <w14:solidFill>
              <w14:schemeClr w14:val="tx1"/>
            </w14:solidFill>
          </w14:textFill>
        </w:rPr>
      </w:pPr>
      <w:r>
        <w:rPr>
          <w:rFonts w:cs="仿宋_GB2312" w:asciiTheme="minorEastAsia" w:hAnsiTheme="minorEastAsia" w:eastAsiaTheme="minorEastAsia"/>
          <w:color w:val="000000" w:themeColor="text1"/>
          <w14:textFill>
            <w14:solidFill>
              <w14:schemeClr w14:val="tx1"/>
            </w14:solidFill>
          </w14:textFill>
        </w:rPr>
        <w:t>5.8投标文件建议采用A4幅面，按顺序统一编目编码装订成册。</w:t>
      </w:r>
      <w:r>
        <w:rPr>
          <w:rFonts w:hint="eastAsia" w:cs="仿宋_GB2312" w:asciiTheme="minorEastAsia" w:hAnsiTheme="minorEastAsia" w:eastAsiaTheme="minorEastAsia"/>
          <w:b/>
          <w:color w:val="000000" w:themeColor="text1"/>
          <w14:textFill>
            <w14:solidFill>
              <w14:schemeClr w14:val="tx1"/>
            </w14:solidFill>
          </w14:textFill>
        </w:rPr>
        <w:t>提倡双面打印</w:t>
      </w:r>
      <w:r>
        <w:rPr>
          <w:rFonts w:hint="eastAsia" w:cs="仿宋_GB2312" w:asciiTheme="minorEastAsia" w:hAnsiTheme="minorEastAsia" w:eastAsiaTheme="minorEastAsia"/>
          <w:color w:val="000000" w:themeColor="text1"/>
          <w14:textFill>
            <w14:solidFill>
              <w14:schemeClr w14:val="tx1"/>
            </w14:solidFill>
          </w14:textFill>
        </w:rPr>
        <w:t>。</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6.</w:t>
      </w:r>
      <w:r>
        <w:rPr>
          <w:rFonts w:hint="eastAsia" w:asciiTheme="minorEastAsia" w:hAnsiTheme="minorEastAsia" w:eastAsiaTheme="minorEastAsia"/>
          <w:b/>
          <w:color w:val="000000" w:themeColor="text1"/>
          <w14:textFill>
            <w14:solidFill>
              <w14:schemeClr w14:val="tx1"/>
            </w14:solidFill>
          </w14:textFill>
        </w:rPr>
        <w:t>投标文件的密封、盖章和签署</w:t>
      </w:r>
    </w:p>
    <w:p>
      <w:pPr>
        <w:snapToGrid w:val="0"/>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“商务技术（资信）文件资料”、“报价文件资料”</w:t>
      </w:r>
      <w:r>
        <w:rPr>
          <w:rFonts w:hint="eastAsia" w:asciiTheme="minorEastAsia" w:hAnsiTheme="minorEastAsia" w:eastAsiaTheme="minorEastAsia"/>
          <w:b/>
          <w:color w:val="000000" w:themeColor="text1"/>
          <w14:textFill>
            <w14:solidFill>
              <w14:schemeClr w14:val="tx1"/>
            </w14:solidFill>
          </w14:textFill>
        </w:rPr>
        <w:t>应分二部份分别密封封装。</w:t>
      </w:r>
      <w:r>
        <w:rPr>
          <w:rFonts w:hint="eastAsia" w:asciiTheme="minorEastAsia" w:hAnsiTheme="minorEastAsia" w:eastAsiaTheme="minorEastAsia"/>
          <w:color w:val="000000" w:themeColor="text1"/>
          <w14:textFill>
            <w14:solidFill>
              <w14:schemeClr w14:val="tx1"/>
            </w14:solidFill>
          </w14:textFill>
        </w:rPr>
        <w:t>各投标人在编制投标文件时请按照采购文件第六部分规定的格式进行，混乱的编排导致投标文件被误读或评标委员会查找不到有效文件是投标人的风险。并明确注明“商务技术（资信）文件资料或报价文件资料、项目名称、投标人名称”字样，同时封口处加盖单位公章。</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7</w:t>
      </w:r>
      <w:r>
        <w:rPr>
          <w:rFonts w:hint="eastAsia" w:asciiTheme="minorEastAsia" w:hAnsiTheme="minorEastAsia" w:eastAsiaTheme="minorEastAsia"/>
          <w:b/>
          <w:color w:val="000000" w:themeColor="text1"/>
          <w14:textFill>
            <w14:solidFill>
              <w14:schemeClr w14:val="tx1"/>
            </w14:solidFill>
          </w14:textFill>
        </w:rPr>
        <w:t>.投标文件的补充和修改</w:t>
      </w:r>
    </w:p>
    <w:p>
      <w:pPr>
        <w:snapToGrid w:val="0"/>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截止时间前，投标人可以书面形式向采购人提出对投标文件进行补充和修改，相应部分以最后的补充和修改为准。该书面材料应密封，并明确注明“修改（或补充）商务技术（资信）文件资料或报价文件资料、项目名称、投标人名称”字样，同时封口处由法定代表人或其授权代表签字或盖章。</w:t>
      </w:r>
    </w:p>
    <w:p>
      <w:pPr>
        <w:snapToGrid w:val="0"/>
        <w:spacing w:line="800" w:lineRule="exact"/>
        <w:jc w:val="center"/>
        <w:outlineLvl w:val="1"/>
        <w:rPr>
          <w:rFonts w:asciiTheme="minorEastAsia" w:hAnsiTheme="minorEastAsia" w:eastAsiaTheme="minorEastAsia"/>
          <w:b/>
          <w:color w:val="000000" w:themeColor="text1"/>
          <w:sz w:val="32"/>
          <w:szCs w:val="32"/>
          <w14:textFill>
            <w14:solidFill>
              <w14:schemeClr w14:val="tx1"/>
            </w14:solidFill>
          </w14:textFill>
        </w:rPr>
      </w:pPr>
      <w:r>
        <w:rPr>
          <w:rFonts w:hint="eastAsia" w:asciiTheme="minorEastAsia" w:hAnsiTheme="minorEastAsia" w:eastAsiaTheme="minorEastAsia"/>
          <w:b/>
          <w:color w:val="000000" w:themeColor="text1"/>
          <w:sz w:val="32"/>
          <w:szCs w:val="32"/>
          <w14:textFill>
            <w14:solidFill>
              <w14:schemeClr w14:val="tx1"/>
            </w14:solidFill>
          </w14:textFill>
        </w:rPr>
        <w:t>四、开标和评标</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1</w:t>
      </w:r>
      <w:r>
        <w:rPr>
          <w:rFonts w:hint="eastAsia" w:asciiTheme="minorEastAsia" w:hAnsiTheme="minorEastAsia" w:eastAsiaTheme="minorEastAsia"/>
          <w:b/>
          <w:color w:val="000000" w:themeColor="text1"/>
          <w14:textFill>
            <w14:solidFill>
              <w14:schemeClr w14:val="tx1"/>
            </w14:solidFill>
          </w14:textFill>
        </w:rPr>
        <w:t>.</w:t>
      </w:r>
      <w:r>
        <w:rPr>
          <w:rFonts w:asciiTheme="minorEastAsia" w:hAnsiTheme="minorEastAsia" w:eastAsiaTheme="minorEastAsia"/>
          <w:b/>
          <w:color w:val="000000" w:themeColor="text1"/>
          <w14:textFill>
            <w14:solidFill>
              <w14:schemeClr w14:val="tx1"/>
            </w14:solidFill>
          </w14:textFill>
        </w:rPr>
        <w:t>开标</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1.1投标人的法定代表人或其授权代表无需参加开标会议。</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1.2开标会由招标代理机构主持。</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14:textFill>
            <w14:solidFill>
              <w14:schemeClr w14:val="tx1"/>
            </w14:solidFill>
          </w14:textFill>
        </w:rPr>
        <w:t>.</w:t>
      </w:r>
      <w:r>
        <w:rPr>
          <w:rFonts w:asciiTheme="minorEastAsia" w:hAnsiTheme="minorEastAsia" w:eastAsiaTheme="minorEastAsia"/>
          <w:b/>
          <w:color w:val="000000" w:themeColor="text1"/>
          <w14:textFill>
            <w14:solidFill>
              <w14:schemeClr w14:val="tx1"/>
            </w14:solidFill>
          </w14:textFill>
        </w:rPr>
        <w:t>开标大会程序</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2.1主持人宣布开标会开始。</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2.2检查投标文件密封情况。</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2.3启封投标文件商务技术（资信）资料。</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2.4评标委员会对商务技术（资信）文件进行评审。</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2.5主持人宣布商务技术得分及无效（废）投标情形（如有），</w:t>
      </w:r>
      <w:r>
        <w:rPr>
          <w:rFonts w:hint="eastAsia" w:cs="Arial" w:asciiTheme="minorEastAsia" w:hAnsiTheme="minorEastAsia" w:eastAsiaTheme="minorEastAsia"/>
          <w:color w:val="000000" w:themeColor="text1"/>
          <w14:textFill>
            <w14:solidFill>
              <w14:schemeClr w14:val="tx1"/>
            </w14:solidFill>
          </w14:textFill>
        </w:rPr>
        <w:t>公布经商务技术（资信）评审符合采购文件要求的投标人名单及其商务技术得分。</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2.6启封</w:t>
      </w:r>
      <w:r>
        <w:rPr>
          <w:rFonts w:hint="eastAsia" w:cs="Arial" w:asciiTheme="minorEastAsia" w:hAnsiTheme="minorEastAsia" w:eastAsiaTheme="minorEastAsia"/>
          <w:color w:val="000000" w:themeColor="text1"/>
          <w14:textFill>
            <w14:solidFill>
              <w14:schemeClr w14:val="tx1"/>
            </w14:solidFill>
          </w14:textFill>
        </w:rPr>
        <w:t>报价文件资料</w:t>
      </w:r>
      <w:r>
        <w:rPr>
          <w:rFonts w:hint="eastAsia" w:asciiTheme="minorEastAsia" w:hAnsiTheme="minorEastAsia" w:eastAsiaTheme="minorEastAsia"/>
          <w:color w:val="000000" w:themeColor="text1"/>
          <w14:textFill>
            <w14:solidFill>
              <w14:schemeClr w14:val="tx1"/>
            </w14:solidFill>
          </w14:textFill>
        </w:rPr>
        <w:t>，由唱读人当众宣读投标人名称、投标价格和投标文件的其他内容。未宣读的投标报价和采购文件未允许提供的备选投标方案等实质性内容，评标时不予承认。</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2.7评标委员会对投标文件</w:t>
      </w:r>
      <w:r>
        <w:rPr>
          <w:rFonts w:hint="eastAsia" w:cs="Arial" w:asciiTheme="minorEastAsia" w:hAnsiTheme="minorEastAsia" w:eastAsiaTheme="minorEastAsia"/>
          <w:color w:val="000000" w:themeColor="text1"/>
          <w14:textFill>
            <w14:solidFill>
              <w14:schemeClr w14:val="tx1"/>
            </w14:solidFill>
          </w14:textFill>
        </w:rPr>
        <w:t>报价文件资料</w:t>
      </w:r>
      <w:r>
        <w:rPr>
          <w:rFonts w:hint="eastAsia" w:asciiTheme="minorEastAsia" w:hAnsiTheme="minorEastAsia" w:eastAsiaTheme="minorEastAsia"/>
          <w:color w:val="000000" w:themeColor="text1"/>
          <w14:textFill>
            <w14:solidFill>
              <w14:schemeClr w14:val="tx1"/>
            </w14:solidFill>
          </w14:textFill>
        </w:rPr>
        <w:t>进行评审，核准投标报价及计算价格分，汇总商务技术分、价格分，根据得分排序确定中标候选人。</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2.8主持人公布评审结果。</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3</w:t>
      </w:r>
      <w:r>
        <w:rPr>
          <w:rFonts w:hint="eastAsia" w:asciiTheme="minorEastAsia" w:hAnsiTheme="minorEastAsia" w:eastAsiaTheme="minorEastAsia"/>
          <w:b/>
          <w:color w:val="000000" w:themeColor="text1"/>
          <w14:textFill>
            <w14:solidFill>
              <w14:schemeClr w14:val="tx1"/>
            </w14:solidFill>
          </w14:textFill>
        </w:rPr>
        <w:t>.</w:t>
      </w:r>
      <w:r>
        <w:rPr>
          <w:rFonts w:asciiTheme="minorEastAsia" w:hAnsiTheme="minorEastAsia" w:eastAsiaTheme="minorEastAsia"/>
          <w:b/>
          <w:color w:val="000000" w:themeColor="text1"/>
          <w14:textFill>
            <w14:solidFill>
              <w14:schemeClr w14:val="tx1"/>
            </w14:solidFill>
          </w14:textFill>
        </w:rPr>
        <w:t>评标</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3.1</w:t>
      </w:r>
      <w:r>
        <w:rPr>
          <w:rFonts w:hint="eastAsia" w:asciiTheme="minorEastAsia" w:hAnsiTheme="minorEastAsia" w:eastAsiaTheme="minorEastAsia"/>
          <w:color w:val="000000" w:themeColor="text1"/>
          <w14:textFill>
            <w14:solidFill>
              <w14:schemeClr w14:val="tx1"/>
            </w14:solidFill>
          </w14:textFill>
        </w:rPr>
        <w:t>评标委员会由招标采购单位依法组建，负责评标活动。评标委员会遵循公开、公平、公正、科学合理、竞争择优的原则。</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3.2评标委员会由采购人代表和有关方面的专家组成，成员人数为</w:t>
      </w:r>
      <w:r>
        <w:rPr>
          <w:rFonts w:hint="eastAsia" w:asciiTheme="minorEastAsia" w:hAnsiTheme="minorEastAsia" w:eastAsiaTheme="minorEastAsia"/>
          <w:color w:val="000000" w:themeColor="text1"/>
          <w14:textFill>
            <w14:solidFill>
              <w14:schemeClr w14:val="tx1"/>
            </w14:solidFill>
          </w14:textFill>
        </w:rPr>
        <w:t>七</w:t>
      </w:r>
      <w:r>
        <w:rPr>
          <w:rFonts w:asciiTheme="minorEastAsia" w:hAnsiTheme="minorEastAsia" w:eastAsiaTheme="minorEastAsia"/>
          <w:color w:val="000000" w:themeColor="text1"/>
          <w14:textFill>
            <w14:solidFill>
              <w14:schemeClr w14:val="tx1"/>
            </w14:solidFill>
          </w14:textFill>
        </w:rPr>
        <w:t>人以上单数。</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3.3评标委员会负责对投标人资格的最终审定。</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3.5</w:t>
      </w:r>
      <w:r>
        <w:rPr>
          <w:rFonts w:hint="eastAsia" w:asciiTheme="minorEastAsia" w:hAnsiTheme="minorEastAsia" w:eastAsiaTheme="minorEastAsia"/>
          <w:color w:val="000000" w:themeColor="text1"/>
          <w14:textFill>
            <w14:solidFill>
              <w14:schemeClr w14:val="tx1"/>
            </w14:solidFill>
          </w14:textFill>
        </w:rPr>
        <w:t>评标委员会对投标文件的判定，只依据投标文件和采购文件内容本身，不依据任何外来证明。</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3.6评标委员会不向落标</w:t>
      </w:r>
      <w:r>
        <w:rPr>
          <w:rFonts w:hint="eastAsia" w:asciiTheme="minorEastAsia" w:hAnsiTheme="minorEastAsia" w:eastAsiaTheme="minorEastAsia"/>
          <w:color w:val="000000" w:themeColor="text1"/>
          <w14:textFill>
            <w14:solidFill>
              <w14:schemeClr w14:val="tx1"/>
            </w14:solidFill>
          </w14:textFill>
        </w:rPr>
        <w:t>方解释落标的原因，不退还投标文件。</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bookmarkStart w:id="8" w:name="_Toc81372776"/>
      <w:bookmarkStart w:id="9" w:name="_Toc84325929"/>
      <w:bookmarkStart w:id="10" w:name="_Toc81372953"/>
      <w:r>
        <w:rPr>
          <w:rFonts w:asciiTheme="minorEastAsia" w:hAnsiTheme="minorEastAsia" w:eastAsiaTheme="minorEastAsia"/>
          <w:b/>
          <w:color w:val="000000" w:themeColor="text1"/>
          <w14:textFill>
            <w14:solidFill>
              <w14:schemeClr w14:val="tx1"/>
            </w14:solidFill>
          </w14:textFill>
        </w:rPr>
        <w:t>4</w:t>
      </w:r>
      <w:r>
        <w:rPr>
          <w:rFonts w:hint="eastAsia" w:asciiTheme="minorEastAsia" w:hAnsiTheme="minorEastAsia" w:eastAsiaTheme="minorEastAsia"/>
          <w:b/>
          <w:color w:val="000000" w:themeColor="text1"/>
          <w14:textFill>
            <w14:solidFill>
              <w14:schemeClr w14:val="tx1"/>
            </w14:solidFill>
          </w14:textFill>
        </w:rPr>
        <w:t>.</w:t>
      </w:r>
      <w:r>
        <w:rPr>
          <w:rFonts w:asciiTheme="minorEastAsia" w:hAnsiTheme="minorEastAsia" w:eastAsiaTheme="minorEastAsia"/>
          <w:b/>
          <w:color w:val="000000" w:themeColor="text1"/>
          <w14:textFill>
            <w14:solidFill>
              <w14:schemeClr w14:val="tx1"/>
            </w14:solidFill>
          </w14:textFill>
        </w:rPr>
        <w:t>投标文件的初审鉴定</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4.1资格性审查</w:t>
      </w:r>
    </w:p>
    <w:p>
      <w:pPr>
        <w:snapToGrid w:val="0"/>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4.1.1依据法律、法规和采购文件规定，评标委员会对投标人进行资格审查，以确定投标人是否具备投标资格。</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4.2符合性审查</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4.2.1评标时，评标委员会将首先评定每份投标文件是否在实质上响应了采购文件要求。所谓实质上的响应，是指投标文件与采购文件的所有实质性条款、条件和要求相符，无显著差异或保留，或者对合同中约定的采购人的权利和投标人的义务方面造成重大的限制，纠正这些显著差异或保留将会对其他实质上响应采购</w:t>
      </w:r>
      <w:r>
        <w:rPr>
          <w:rFonts w:hint="eastAsia" w:asciiTheme="minorEastAsia" w:hAnsiTheme="minorEastAsia" w:eastAsiaTheme="minorEastAsia"/>
          <w:color w:val="000000" w:themeColor="text1"/>
          <w14:textFill>
            <w14:solidFill>
              <w14:schemeClr w14:val="tx1"/>
            </w14:solidFill>
          </w14:textFill>
        </w:rPr>
        <w:t>文件要求的投标文件的投标人的竞争地位产生不公正的影响。</w:t>
      </w:r>
      <w:r>
        <w:rPr>
          <w:rFonts w:hint="eastAsia" w:cs="仿宋_GB2312" w:asciiTheme="minorEastAsia" w:hAnsiTheme="minorEastAsia" w:eastAsiaTheme="minorEastAsia"/>
          <w:color w:val="000000" w:themeColor="text1"/>
          <w14:textFill>
            <w14:solidFill>
              <w14:schemeClr w14:val="tx1"/>
            </w14:solidFill>
          </w14:textFill>
        </w:rPr>
        <w:t>评标委员会决定投标文件的响应性只根据投标文件本身的内容，而不寻求外部证据。</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4.3如果投标文件实质不响应采购文件的各项要求，评标委员会将予以拒绝，并且不允许投标人通过修改或撤销其不符合要求的差异或保留，使之成为具有实质性响应的投标。</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5.</w:t>
      </w:r>
      <w:r>
        <w:rPr>
          <w:rFonts w:hint="eastAsia" w:asciiTheme="minorEastAsia" w:hAnsiTheme="minorEastAsia" w:eastAsiaTheme="minorEastAsia"/>
          <w:b/>
          <w:color w:val="000000" w:themeColor="text1"/>
          <w14:textFill>
            <w14:solidFill>
              <w14:schemeClr w14:val="tx1"/>
            </w14:solidFill>
          </w14:textFill>
        </w:rPr>
        <w:t>投标文件报价出现前后不一致的，按照下列规定修正：</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5.1投标文件中开标一览表（报价表）内容与投标文件中相应内容不一致的，以开标一览表（报价表）为准；</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5.2大写金额和小写金额不一致的，以大写金额为准；</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5.3单价金额小数点或者百分比有明显错位的，以开标一览表的总价为准，并修改单价；</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5.4总价金额与按单价汇总金额不一致的，以单价金额计算结果为准。</w:t>
      </w:r>
    </w:p>
    <w:p>
      <w:pPr>
        <w:spacing w:line="440" w:lineRule="exact"/>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同时出现两种以上不一致的，按照前款规定的顺序修正。</w:t>
      </w:r>
      <w:r>
        <w:rPr>
          <w:rFonts w:hint="eastAsia" w:cs="仿宋_GB2312" w:asciiTheme="minorEastAsia" w:hAnsiTheme="minorEastAsia" w:eastAsiaTheme="minorEastAsia"/>
          <w:bCs/>
          <w:color w:val="000000" w:themeColor="text1"/>
          <w14:textFill>
            <w14:solidFill>
              <w14:schemeClr w14:val="tx1"/>
            </w14:solidFill>
          </w14:textFill>
        </w:rPr>
        <w:t>修正后的报价按照财政部公布第</w:t>
      </w:r>
      <w:r>
        <w:rPr>
          <w:rFonts w:cs="仿宋_GB2312" w:asciiTheme="minorEastAsia" w:hAnsiTheme="minorEastAsia" w:eastAsiaTheme="minorEastAsia"/>
          <w:bCs/>
          <w:color w:val="000000" w:themeColor="text1"/>
          <w14:textFill>
            <w14:solidFill>
              <w14:schemeClr w14:val="tx1"/>
            </w14:solidFill>
          </w14:textFill>
        </w:rPr>
        <w:t>87号令</w:t>
      </w:r>
      <w:r>
        <w:rPr>
          <w:rFonts w:hint="eastAsia" w:cs="仿宋_GB2312" w:asciiTheme="minorEastAsia" w:hAnsiTheme="minorEastAsia" w:eastAsiaTheme="minorEastAsia"/>
          <w:bCs/>
          <w:color w:val="000000" w:themeColor="text1"/>
          <w14:textFill>
            <w14:solidFill>
              <w14:schemeClr w14:val="tx1"/>
            </w14:solidFill>
          </w14:textFill>
        </w:rPr>
        <w:t>《政府采购货物和服务招标投标管理办法》</w:t>
      </w:r>
      <w:r>
        <w:rPr>
          <w:rFonts w:hint="eastAsia" w:asciiTheme="minorEastAsia" w:hAnsiTheme="minorEastAsia" w:eastAsiaTheme="minorEastAsia"/>
          <w:color w:val="000000" w:themeColor="text1"/>
          <w14:textFill>
            <w14:solidFill>
              <w14:schemeClr w14:val="tx1"/>
            </w14:solidFill>
          </w14:textFill>
        </w:rPr>
        <w:t>第五十一条第二款的规定经投标人确认后产生约束力，投标人不确认的，其投标无效。</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6.投标文件的评审、比较和否决</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6.1评标委员会将对在实质上响应采购文件要求的投标文件进行评估和比较。</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6.2在评审过程中，评标委员会可以书面形式要求投标人就投标文件含义不明确的内容进行书面说明并提供相关材料，但</w:t>
      </w:r>
      <w:r>
        <w:rPr>
          <w:rFonts w:hint="eastAsia" w:asciiTheme="minorEastAsia" w:hAnsiTheme="minorEastAsia" w:eastAsiaTheme="minorEastAsia"/>
          <w:color w:val="000000" w:themeColor="text1"/>
          <w14:textFill>
            <w14:solidFill>
              <w14:schemeClr w14:val="tx1"/>
            </w14:solidFill>
          </w14:textFill>
        </w:rPr>
        <w:t>不得超过投标文件的范围或者改变投标文件的实质性内容。</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6.3在评标过程中，如发现与采购文件要求相偏离的，评标委员会可对其偏离情形进行必要的核实。</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6.4在评审过程中，如属于实质性偏离或符合无效响应条件的，应当询问相关投标人，并可对其进行书面确认，但不允许对偏离条款进行补充、修正或撤回。</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6.5比较与评价</w:t>
      </w:r>
      <w:r>
        <w:rPr>
          <w:rFonts w:hint="eastAsia" w:asciiTheme="minorEastAsia" w:hAnsiTheme="minorEastAsia" w:eastAsiaTheme="minorEastAsia"/>
          <w:color w:val="000000" w:themeColor="text1"/>
          <w14:textFill>
            <w14:solidFill>
              <w14:schemeClr w14:val="tx1"/>
            </w14:solidFill>
          </w14:textFill>
        </w:rPr>
        <w:t>。评</w:t>
      </w:r>
      <w:r>
        <w:rPr>
          <w:rFonts w:asciiTheme="minorEastAsia" w:hAnsiTheme="minorEastAsia" w:eastAsiaTheme="minorEastAsia"/>
          <w:color w:val="000000" w:themeColor="text1"/>
          <w14:textFill>
            <w14:solidFill>
              <w14:schemeClr w14:val="tx1"/>
            </w14:solidFill>
          </w14:textFill>
        </w:rPr>
        <w:t>标委员会应当按照评标标准，对符合性审查合格的投标文件进行商务和技术评估，综合比较与评价。</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6.6汇总</w:t>
      </w:r>
      <w:r>
        <w:rPr>
          <w:rFonts w:hint="eastAsia" w:asciiTheme="minorEastAsia" w:hAnsiTheme="minorEastAsia" w:eastAsiaTheme="minorEastAsia"/>
          <w:color w:val="000000" w:themeColor="text1"/>
          <w14:textFill>
            <w14:solidFill>
              <w14:schemeClr w14:val="tx1"/>
            </w14:solidFill>
          </w14:textFill>
        </w:rPr>
        <w:t>（商务技术得分情况）。</w:t>
      </w:r>
      <w:r>
        <w:rPr>
          <w:rFonts w:asciiTheme="minorEastAsia" w:hAnsiTheme="minorEastAsia" w:eastAsiaTheme="minorEastAsia"/>
          <w:color w:val="000000" w:themeColor="text1"/>
          <w14:textFill>
            <w14:solidFill>
              <w14:schemeClr w14:val="tx1"/>
            </w14:solidFill>
          </w14:textFill>
        </w:rPr>
        <w:t>评标委员会各成员应当独立对每个投标人的</w:t>
      </w:r>
      <w:r>
        <w:rPr>
          <w:rFonts w:hint="eastAsia" w:asciiTheme="minorEastAsia" w:hAnsiTheme="minorEastAsia" w:eastAsiaTheme="minorEastAsia"/>
          <w:color w:val="000000" w:themeColor="text1"/>
          <w14:textFill>
            <w14:solidFill>
              <w14:schemeClr w14:val="tx1"/>
            </w14:solidFill>
          </w14:textFill>
        </w:rPr>
        <w:t>商务技术（资信）文件</w:t>
      </w:r>
      <w:r>
        <w:rPr>
          <w:rFonts w:asciiTheme="minorEastAsia" w:hAnsiTheme="minorEastAsia" w:eastAsiaTheme="minorEastAsia"/>
          <w:color w:val="000000" w:themeColor="text1"/>
          <w14:textFill>
            <w14:solidFill>
              <w14:schemeClr w14:val="tx1"/>
            </w14:solidFill>
          </w14:textFill>
        </w:rPr>
        <w:t>进行评价，并汇总</w:t>
      </w:r>
      <w:r>
        <w:rPr>
          <w:rFonts w:hint="eastAsia" w:asciiTheme="minorEastAsia" w:hAnsiTheme="minorEastAsia" w:eastAsiaTheme="minorEastAsia"/>
          <w:color w:val="000000" w:themeColor="text1"/>
          <w14:textFill>
            <w14:solidFill>
              <w14:schemeClr w14:val="tx1"/>
            </w14:solidFill>
          </w14:textFill>
        </w:rPr>
        <w:t>商务技术得分情况</w:t>
      </w:r>
      <w:r>
        <w:rPr>
          <w:rFonts w:asciiTheme="minorEastAsia" w:hAnsiTheme="minorEastAsia" w:eastAsiaTheme="minorEastAsia"/>
          <w:color w:val="000000" w:themeColor="text1"/>
          <w14:textFill>
            <w14:solidFill>
              <w14:schemeClr w14:val="tx1"/>
            </w14:solidFill>
          </w14:textFill>
        </w:rPr>
        <w:t>。</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6.7</w:t>
      </w:r>
      <w:r>
        <w:rPr>
          <w:rFonts w:hint="eastAsia" w:asciiTheme="minorEastAsia" w:hAnsiTheme="minorEastAsia" w:eastAsiaTheme="minorEastAsia"/>
          <w:color w:val="000000" w:themeColor="text1"/>
          <w14:textFill>
            <w14:solidFill>
              <w14:schemeClr w14:val="tx1"/>
            </w14:solidFill>
          </w14:textFill>
        </w:rPr>
        <w:t>报价审核。对符合采购需求且通过商务技术（资信）评审的投标人的报价的合理性、准确性等进行审查核实。</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pacing w:line="48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6.7.3如需投标价格修正，按财政部87号令第五十九条的规定对投标价格进行修正。</w:t>
      </w:r>
    </w:p>
    <w:p>
      <w:pPr>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6.8评标委员会依据采购文件规定的评标标准和方法，对投标文件进行评审和比较后，向本公司提供书面评标报告，并按得分高低排序推荐中标候选供应商。</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7.投标文件的澄清</w:t>
      </w:r>
    </w:p>
    <w:p>
      <w:pPr>
        <w:tabs>
          <w:tab w:val="left" w:pos="360"/>
        </w:tabs>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8.无效投标的情形</w:t>
      </w:r>
    </w:p>
    <w:p>
      <w:pPr>
        <w:tabs>
          <w:tab w:val="left" w:pos="4085"/>
        </w:tabs>
        <w:snapToGrid w:val="0"/>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投标文件有下列情形之一的作无效投标处理：</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8.1未按照采购文件规定要求</w:t>
      </w:r>
      <w:r>
        <w:rPr>
          <w:rFonts w:hint="eastAsia" w:asciiTheme="minorEastAsia" w:hAnsiTheme="minorEastAsia" w:eastAsiaTheme="minorEastAsia"/>
          <w:b/>
          <w:bCs/>
          <w:color w:val="000000" w:themeColor="text1"/>
          <w14:textFill>
            <w14:solidFill>
              <w14:schemeClr w14:val="tx1"/>
            </w14:solidFill>
          </w14:textFill>
        </w:rPr>
        <w:t>签字或盖章</w:t>
      </w:r>
      <w:r>
        <w:rPr>
          <w:rFonts w:asciiTheme="minorEastAsia" w:hAnsiTheme="minorEastAsia" w:eastAsiaTheme="minorEastAsia"/>
          <w:b/>
          <w:bCs/>
          <w:color w:val="000000" w:themeColor="text1"/>
          <w14:textFill>
            <w14:solidFill>
              <w14:schemeClr w14:val="tx1"/>
            </w14:solidFill>
          </w14:textFill>
        </w:rPr>
        <w:t>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8.2单位负责人为同一人或者存在直接控股、管理关系的不同供应商参加同一合同项下的政府采购活动的（均无效）；</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 xml:space="preserve">8.3为采购项目提供整体设计、规范编制或者项目管理、监理、检测等服务的供应商参加该采购项目的其他采购活动的； </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8.4投标人不具备采购文件中规定的资格要求的（投标人未提供有效的资格证明文件的，视为投标人不具备采购文件中规定的资格要求）；</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8.5《法定代表人身份证明书》与提供的身份证复印件信息不符的；《法定代表人授权委托书》与提供的身份证复印件信息不符的；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8.6《法定代表人授权委托书》或《法定代表人身份证明书》填写不全、错误、未加盖公章(《法定代表人授权委托书》要求“公章”和“签字或盖章”缺一不可）的；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8.7授权代表非投标人正式职工的（以社保证明</w:t>
      </w:r>
      <w:r>
        <w:rPr>
          <w:rFonts w:hint="eastAsia" w:asciiTheme="minorEastAsia" w:hAnsiTheme="minorEastAsia" w:eastAsiaTheme="minorEastAsia"/>
          <w:b/>
          <w:bCs/>
          <w:color w:val="000000" w:themeColor="text1"/>
          <w14:textFill>
            <w14:solidFill>
              <w14:schemeClr w14:val="tx1"/>
            </w14:solidFill>
          </w14:textFill>
        </w:rPr>
        <w:t>为准，如授权代表为</w:t>
      </w:r>
      <w:r>
        <w:rPr>
          <w:rFonts w:asciiTheme="minorEastAsia" w:hAnsiTheme="minorEastAsia" w:eastAsiaTheme="minorEastAsia"/>
          <w:b/>
          <w:bCs/>
          <w:color w:val="000000" w:themeColor="text1"/>
          <w14:textFill>
            <w14:solidFill>
              <w14:schemeClr w14:val="tx1"/>
            </w14:solidFill>
          </w14:textFill>
        </w:rPr>
        <w:t>离退休返聘人员的，</w:t>
      </w:r>
      <w:r>
        <w:rPr>
          <w:rFonts w:hint="eastAsia" w:asciiTheme="minorEastAsia" w:hAnsiTheme="minorEastAsia" w:eastAsiaTheme="minorEastAsia"/>
          <w:b/>
          <w:bCs/>
          <w:color w:val="000000" w:themeColor="text1"/>
          <w14:textFill>
            <w14:solidFill>
              <w14:schemeClr w14:val="tx1"/>
            </w14:solidFill>
          </w14:textFill>
        </w:rPr>
        <w:t>需提供</w:t>
      </w:r>
      <w:r>
        <w:rPr>
          <w:rFonts w:asciiTheme="minorEastAsia" w:hAnsiTheme="minorEastAsia" w:eastAsiaTheme="minorEastAsia"/>
          <w:b/>
          <w:bCs/>
          <w:color w:val="000000" w:themeColor="text1"/>
          <w14:textFill>
            <w14:solidFill>
              <w14:schemeClr w14:val="tx1"/>
            </w14:solidFill>
          </w14:textFill>
        </w:rPr>
        <w:t>退休证明及单位聘用证明</w:t>
      </w:r>
      <w:r>
        <w:rPr>
          <w:rFonts w:hint="eastAsia" w:asciiTheme="minorEastAsia" w:hAnsiTheme="minorEastAsia" w:eastAsiaTheme="minorEastAsia"/>
          <w:b/>
          <w:bCs/>
          <w:color w:val="000000" w:themeColor="text1"/>
          <w14:textFill>
            <w14:solidFill>
              <w14:schemeClr w14:val="tx1"/>
            </w14:solidFill>
          </w14:textFill>
        </w:rPr>
        <w:t>），法定代表人及个体工商户除外；</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8.8投标文件中的</w:t>
      </w:r>
      <w:r>
        <w:rPr>
          <w:rFonts w:hint="eastAsia" w:asciiTheme="minorEastAsia" w:hAnsiTheme="minorEastAsia" w:eastAsiaTheme="minorEastAsia"/>
          <w:b/>
          <w:bCs/>
          <w:color w:val="000000" w:themeColor="text1"/>
          <w14:textFill>
            <w14:solidFill>
              <w14:schemeClr w14:val="tx1"/>
            </w14:solidFill>
          </w14:textFill>
        </w:rPr>
        <w:t>投标函未加盖投标人的企业公章或填写不全的；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8.9报价一经涂改，未在涂改处加盖投标人公章或者未经法定代表人或其授权代表签字或盖章的；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8.10未按采购文件规定的格式填写，或对招标服务或技术或产品等要求未详细应答或应答内容不全、有缺失的,经评标委员会认定为无法评审的；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8.12《技术偏离说明表》不真实填写或弄虚作假的；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8.13投标文件含有采购人不能接受的附加条件；</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8.15报价超过采购文件中规定的预算金额或最高限价的；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8.16投标文件“商务技术（资信）文件资料”部分中出现《开标一览表》相关内容的；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8.17采购人拟采购的产品属于</w:t>
      </w:r>
      <w:r>
        <w:rPr>
          <w:rFonts w:hint="eastAsia" w:asciiTheme="minorEastAsia" w:hAnsiTheme="minorEastAsia" w:eastAsiaTheme="minorEastAsia"/>
          <w:b/>
          <w:bCs/>
          <w:color w:val="000000" w:themeColor="text1"/>
          <w14:textFill>
            <w14:solidFill>
              <w14:schemeClr w14:val="tx1"/>
            </w14:solidFill>
          </w14:textFill>
        </w:rPr>
        <w:t>政府强制采购的节能产品品目清单范围的，投标人未按采购文件要求提供国家确定的认证机构出具的、处于有效期之内的节能产品认证证书的；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8.18《开标一览表》填写不完整或字迹不能辨认或有漏项的，经评标委员会认定属于重大偏差的；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8.19投标人对根据修正原则修正后的报价不确认的；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8.20投标人提供虚假材料投标的（包括但不限于以下情节）；</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8.20.1使用伪造、变造的许可证件；</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8.20.2提供虚假的财务状况或者业绩；</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8.20.3提供虚假的项目负责人或者主要技术人员简历、劳动关系证明；</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8.20.4提供虚假的信用状况；</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8.20.5其他弄虚作假的行为。</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8.21下列情形之一的，视为投标人串通投标，其投标无效：</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8.21.1不同投标人的投标文件由同一单位或者个人编制；</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8.21.2不同投标人委托同一单位或者个人办理投标事宜；</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8.21.3不同投标人的投标文件载明的项目管理成员或者联系人员为同一人；</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8.21.4不同投标人的投标文件异常一致或者投标报价呈规律性差异；</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8.21.5不同投标人的投标文件相互混装；</w:t>
      </w:r>
    </w:p>
    <w:p>
      <w:pPr>
        <w:spacing w:line="440" w:lineRule="exact"/>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pacing w:line="440" w:lineRule="exac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8.22有下列情形之一的，属于恶意串通，其投标无效：</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8.22.1供应商直接或者间接从采购人或者采购机构处获得其他供应商的相关情况并修改其投标文件或者响应文件；</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8.22.2供应</w:t>
      </w:r>
      <w:r>
        <w:rPr>
          <w:rFonts w:hint="eastAsia" w:asciiTheme="minorEastAsia" w:hAnsiTheme="minorEastAsia" w:eastAsiaTheme="minorEastAsia"/>
          <w:color w:val="000000" w:themeColor="text1"/>
          <w14:textFill>
            <w14:solidFill>
              <w14:schemeClr w14:val="tx1"/>
            </w14:solidFill>
          </w14:textFill>
        </w:rPr>
        <w:t>商按照采购人或者采购机构的授意撤换、修改投标文件或者响应文件；</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8.22.3供应商之间协商报价、技术方案等投标文件或者响应文件的实质性内容；</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8.22.4属于同一集团、协会、商会等组织成员的供应</w:t>
      </w:r>
      <w:r>
        <w:rPr>
          <w:rFonts w:hint="eastAsia" w:asciiTheme="minorEastAsia" w:hAnsiTheme="minorEastAsia" w:eastAsiaTheme="minorEastAsia"/>
          <w:color w:val="000000" w:themeColor="text1"/>
          <w14:textFill>
            <w14:solidFill>
              <w14:schemeClr w14:val="tx1"/>
            </w14:solidFill>
          </w14:textFill>
        </w:rPr>
        <w:t>商按照该组织要求协同参加政府采购活动；</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8.22.5供应商之间事先约定由某一特定供应商中标、成交；</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8.22.6供应商之间商定部分供应商放弃参加政府采购活动或者放弃中标、成交；</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rPr>
          <w:rFonts w:cs="仿宋_GB2312" w:asciiTheme="minorEastAsia" w:hAnsiTheme="minorEastAsia" w:eastAsiaTheme="minorEastAsia"/>
          <w:b/>
          <w:bCs/>
          <w:color w:val="000000" w:themeColor="text1"/>
          <w14:textFill>
            <w14:solidFill>
              <w14:schemeClr w14:val="tx1"/>
            </w14:solidFill>
          </w14:textFill>
        </w:rPr>
      </w:pPr>
      <w:r>
        <w:rPr>
          <w:rFonts w:hint="eastAsia" w:cs="仿宋_GB2312" w:asciiTheme="minorEastAsia" w:hAnsiTheme="minorEastAsia" w:eastAsiaTheme="minorEastAsia"/>
          <w:b/>
          <w:bCs/>
          <w:color w:val="000000" w:themeColor="text1"/>
          <w14:textFill>
            <w14:solidFill>
              <w14:schemeClr w14:val="tx1"/>
            </w14:solidFill>
          </w14:textFill>
        </w:rPr>
        <w:t>8.23评标委员会认定有重大偏差或实质性不响应采购文件要求的；</w:t>
      </w:r>
    </w:p>
    <w:p>
      <w:pPr>
        <w:snapToGrid w:val="0"/>
        <w:spacing w:line="440" w:lineRule="exact"/>
        <w:rPr>
          <w:rFonts w:cs="仿宋_GB2312" w:asciiTheme="minorEastAsia" w:hAnsiTheme="minorEastAsia" w:eastAsiaTheme="minorEastAsia"/>
          <w:b/>
          <w:bCs/>
          <w:color w:val="000000" w:themeColor="text1"/>
          <w14:textFill>
            <w14:solidFill>
              <w14:schemeClr w14:val="tx1"/>
            </w14:solidFill>
          </w14:textFill>
        </w:rPr>
      </w:pPr>
      <w:r>
        <w:rPr>
          <w:rFonts w:hint="eastAsia" w:cs="仿宋_GB2312" w:asciiTheme="minorEastAsia" w:hAnsiTheme="minorEastAsia" w:eastAsiaTheme="minorEastAsia"/>
          <w:b/>
          <w:bCs/>
          <w:color w:val="000000" w:themeColor="text1"/>
          <w14:textFill>
            <w14:solidFill>
              <w14:schemeClr w14:val="tx1"/>
            </w14:solidFill>
          </w14:textFill>
        </w:rPr>
        <w:t>8.24投标文件出现不是唯一的、有选择性投标报价的；</w:t>
      </w:r>
    </w:p>
    <w:p>
      <w:pPr>
        <w:snapToGrid w:val="0"/>
        <w:spacing w:line="440" w:lineRule="exact"/>
        <w:rPr>
          <w:rFonts w:cs="仿宋_GB2312" w:asciiTheme="minorEastAsia" w:hAnsiTheme="minorEastAsia" w:eastAsiaTheme="minorEastAsia"/>
          <w:b/>
          <w:bCs/>
          <w:color w:val="000000" w:themeColor="text1"/>
          <w14:textFill>
            <w14:solidFill>
              <w14:schemeClr w14:val="tx1"/>
            </w14:solidFill>
          </w14:textFill>
        </w:rPr>
      </w:pPr>
      <w:r>
        <w:rPr>
          <w:rFonts w:hint="eastAsia" w:cs="仿宋_GB2312" w:asciiTheme="minorEastAsia" w:hAnsiTheme="minorEastAsia" w:eastAsiaTheme="minorEastAsia"/>
          <w:b/>
          <w:bCs/>
          <w:color w:val="000000" w:themeColor="text1"/>
          <w14:textFill>
            <w14:solidFill>
              <w14:schemeClr w14:val="tx1"/>
            </w14:solidFill>
          </w14:textFill>
        </w:rPr>
        <w:t>8.25其他违反法律、法规的情形。</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9.评标过程保密</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9.1</w:t>
      </w:r>
      <w:r>
        <w:rPr>
          <w:rFonts w:hint="eastAsia" w:cs="仿宋_GB2312" w:asciiTheme="minorEastAsia" w:hAnsiTheme="minorEastAsia" w:eastAsiaTheme="minorEastAsia"/>
          <w:color w:val="000000" w:themeColor="text1"/>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9.2</w:t>
      </w:r>
      <w:r>
        <w:rPr>
          <w:rFonts w:hint="eastAsia" w:asciiTheme="minorEastAsia" w:hAnsiTheme="minorEastAsia" w:eastAsiaTheme="minorEastAsia"/>
          <w:color w:val="000000" w:themeColor="text1"/>
          <w14:textFill>
            <w14:solidFill>
              <w14:schemeClr w14:val="tx1"/>
            </w14:solidFill>
          </w14:textFill>
        </w:rPr>
        <w:t>在评标期间，投标人企图影响采购人或评标委员会的任何活动，都将导致投标被拒绝，并由其承担相应的法律责任。</w:t>
      </w:r>
    </w:p>
    <w:p>
      <w:pP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br w:type="page"/>
      </w:r>
    </w:p>
    <w:p>
      <w:pPr>
        <w:snapToGrid w:val="0"/>
        <w:spacing w:line="800" w:lineRule="exact"/>
        <w:jc w:val="center"/>
        <w:outlineLvl w:val="1"/>
        <w:rPr>
          <w:rFonts w:asciiTheme="minorEastAsia" w:hAnsiTheme="minorEastAsia" w:eastAsiaTheme="minorEastAsia"/>
          <w:b/>
          <w:color w:val="000000" w:themeColor="text1"/>
          <w:sz w:val="32"/>
          <w:szCs w:val="32"/>
          <w14:textFill>
            <w14:solidFill>
              <w14:schemeClr w14:val="tx1"/>
            </w14:solidFill>
          </w14:textFill>
        </w:rPr>
      </w:pPr>
      <w:r>
        <w:rPr>
          <w:rFonts w:hint="eastAsia" w:asciiTheme="minorEastAsia" w:hAnsiTheme="minorEastAsia" w:eastAsiaTheme="minorEastAsia"/>
          <w:b/>
          <w:color w:val="000000" w:themeColor="text1"/>
          <w:sz w:val="32"/>
          <w:szCs w:val="32"/>
          <w14:textFill>
            <w14:solidFill>
              <w14:schemeClr w14:val="tx1"/>
            </w14:solidFill>
          </w14:textFill>
        </w:rPr>
        <w:t>五、授予合同</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1.中标条件</w:t>
      </w:r>
    </w:p>
    <w:p>
      <w:pPr>
        <w:tabs>
          <w:tab w:val="left" w:pos="360"/>
        </w:tabs>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1.1投标文件基本符合采购文件要求；</w:t>
      </w:r>
    </w:p>
    <w:p>
      <w:pPr>
        <w:tabs>
          <w:tab w:val="left" w:pos="360"/>
        </w:tabs>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1.2投标人有很好的执行合同的能力；</w:t>
      </w:r>
    </w:p>
    <w:p>
      <w:pPr>
        <w:tabs>
          <w:tab w:val="left" w:pos="360"/>
        </w:tabs>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1.3实施方案最合理并对采购人最为有利，最大限度满足采购文件的要求；</w:t>
      </w:r>
    </w:p>
    <w:p>
      <w:pPr>
        <w:tabs>
          <w:tab w:val="left" w:pos="360"/>
        </w:tabs>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1.4投标人能够提供质量技术、商务经济占综合优势的系统及服务；</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1.5采购人将把中标通知书授予最佳投标者，但最低价不是中标的绝对保证。</w:t>
      </w:r>
    </w:p>
    <w:bookmarkEnd w:id="8"/>
    <w:bookmarkEnd w:id="9"/>
    <w:bookmarkEnd w:id="10"/>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2.中标确认</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2.1采购人应当自收到评标报告之日起５个工作日内，在评标报告确定的中标候选人名单中按顺序确定中标人。</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2.3采购人应在确认中标人前再次对资格条件和相关证件材料进一步查验核实。</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3</w:t>
      </w:r>
      <w:r>
        <w:rPr>
          <w:rFonts w:hint="eastAsia" w:asciiTheme="minorEastAsia" w:hAnsiTheme="minorEastAsia" w:eastAsiaTheme="minorEastAsia"/>
          <w:b/>
          <w:color w:val="000000" w:themeColor="text1"/>
          <w14:textFill>
            <w14:solidFill>
              <w14:schemeClr w14:val="tx1"/>
            </w14:solidFill>
          </w14:textFill>
        </w:rPr>
        <w:t>.</w:t>
      </w:r>
      <w:r>
        <w:rPr>
          <w:rFonts w:asciiTheme="minorEastAsia" w:hAnsiTheme="minorEastAsia" w:eastAsiaTheme="minorEastAsia"/>
          <w:b/>
          <w:color w:val="000000" w:themeColor="text1"/>
          <w14:textFill>
            <w14:solidFill>
              <w14:schemeClr w14:val="tx1"/>
            </w14:solidFill>
          </w14:textFill>
        </w:rPr>
        <w:t>中标通知</w:t>
      </w:r>
    </w:p>
    <w:p>
      <w:pPr>
        <w:tabs>
          <w:tab w:val="left" w:pos="0"/>
        </w:tabs>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3.1</w:t>
      </w:r>
      <w:r>
        <w:rPr>
          <w:rFonts w:hint="eastAsia" w:cs="Helvetica" w:asciiTheme="minorEastAsia" w:hAnsiTheme="minorEastAsia" w:eastAsiaTheme="minorEastAsia"/>
          <w:color w:val="000000" w:themeColor="text1"/>
          <w:szCs w:val="20"/>
          <w14:textFill>
            <w14:solidFill>
              <w14:schemeClr w14:val="tx1"/>
            </w14:solidFill>
          </w14:textFill>
        </w:rPr>
        <w:t>招标代理机构</w:t>
      </w:r>
      <w:r>
        <w:rPr>
          <w:rFonts w:hint="eastAsia" w:asciiTheme="minorEastAsia" w:hAnsiTheme="minorEastAsia" w:eastAsiaTheme="minorEastAsia"/>
          <w:color w:val="000000" w:themeColor="text1"/>
          <w:szCs w:val="20"/>
          <w14:textFill>
            <w14:solidFill>
              <w14:schemeClr w14:val="tx1"/>
            </w14:solidFill>
          </w14:textFill>
        </w:rPr>
        <w:t>对中标结果在指定媒体</w:t>
      </w:r>
      <w:r>
        <w:rPr>
          <w:rFonts w:hint="eastAsia" w:cs="Helvetica" w:asciiTheme="minorEastAsia" w:hAnsiTheme="minorEastAsia" w:eastAsiaTheme="minorEastAsia"/>
          <w:color w:val="000000" w:themeColor="text1"/>
          <w:szCs w:val="20"/>
          <w14:textFill>
            <w14:solidFill>
              <w14:schemeClr w14:val="tx1"/>
            </w14:solidFill>
          </w14:textFill>
        </w:rPr>
        <w:t>（浙江政府采购网</w:t>
      </w:r>
      <w:r>
        <w:fldChar w:fldCharType="begin"/>
      </w:r>
      <w:r>
        <w:instrText xml:space="preserve"> HYPERLINK "http://zfcg.czt.zj.gov.cn/" </w:instrText>
      </w:r>
      <w:r>
        <w:fldChar w:fldCharType="separate"/>
      </w:r>
      <w:r>
        <w:rPr>
          <w:rFonts w:asciiTheme="minorEastAsia" w:hAnsiTheme="minorEastAsia" w:eastAsiaTheme="minorEastAsia"/>
          <w:color w:val="000000" w:themeColor="text1"/>
          <w:szCs w:val="20"/>
          <w14:textFill>
            <w14:solidFill>
              <w14:schemeClr w14:val="tx1"/>
            </w14:solidFill>
          </w14:textFill>
        </w:rPr>
        <w:t>http://zfcg.czt.zj.gov.cn/</w:t>
      </w:r>
      <w:r>
        <w:rPr>
          <w:rFonts w:asciiTheme="minorEastAsia" w:hAnsiTheme="minorEastAsia" w:eastAsiaTheme="minorEastAsia"/>
          <w:color w:val="000000" w:themeColor="text1"/>
          <w:szCs w:val="20"/>
          <w14:textFill>
            <w14:solidFill>
              <w14:schemeClr w14:val="tx1"/>
            </w14:solidFill>
          </w14:textFill>
        </w:rPr>
        <w:fldChar w:fldCharType="end"/>
      </w:r>
      <w:r>
        <w:rPr>
          <w:rFonts w:hint="eastAsia" w:cs="Helvetica" w:asciiTheme="minorEastAsia" w:hAnsiTheme="minorEastAsia" w:eastAsiaTheme="minorEastAsia"/>
          <w:color w:val="000000" w:themeColor="text1"/>
          <w:szCs w:val="20"/>
          <w14:textFill>
            <w14:solidFill>
              <w14:schemeClr w14:val="tx1"/>
            </w14:solidFill>
          </w14:textFill>
        </w:rPr>
        <w:t>和绍兴公共资源交易网</w:t>
      </w:r>
      <w:r>
        <w:fldChar w:fldCharType="begin"/>
      </w:r>
      <w:r>
        <w:instrText xml:space="preserve"> HYPERLINK "http://ggb.sx.gov.cn" </w:instrText>
      </w:r>
      <w:r>
        <w:fldChar w:fldCharType="separate"/>
      </w:r>
      <w:r>
        <w:rPr>
          <w:rFonts w:asciiTheme="minorEastAsia" w:hAnsiTheme="minorEastAsia" w:eastAsiaTheme="minorEastAsia"/>
          <w:color w:val="000000" w:themeColor="text1"/>
          <w:szCs w:val="20"/>
          <w14:textFill>
            <w14:solidFill>
              <w14:schemeClr w14:val="tx1"/>
            </w14:solidFill>
          </w14:textFill>
        </w:rPr>
        <w:t>http://ggb.sx.gov.cn</w:t>
      </w:r>
      <w:r>
        <w:rPr>
          <w:rFonts w:asciiTheme="minorEastAsia" w:hAnsiTheme="minorEastAsia" w:eastAsiaTheme="minorEastAsia"/>
          <w:color w:val="000000" w:themeColor="text1"/>
          <w:szCs w:val="20"/>
          <w14:textFill>
            <w14:solidFill>
              <w14:schemeClr w14:val="tx1"/>
            </w14:solidFill>
          </w14:textFill>
        </w:rPr>
        <w:fldChar w:fldCharType="end"/>
      </w:r>
      <w:r>
        <w:rPr>
          <w:rFonts w:hint="eastAsia" w:cs="Helvetica" w:asciiTheme="minorEastAsia" w:hAnsiTheme="minorEastAsia" w:eastAsiaTheme="minorEastAsia"/>
          <w:color w:val="000000" w:themeColor="text1"/>
          <w:szCs w:val="20"/>
          <w14:textFill>
            <w14:solidFill>
              <w14:schemeClr w14:val="tx1"/>
            </w14:solidFill>
          </w14:textFill>
        </w:rPr>
        <w:t>）发布中标公告，中标公告期限为</w:t>
      </w:r>
      <w:r>
        <w:rPr>
          <w:rFonts w:cs="Helvetica" w:asciiTheme="minorEastAsia" w:hAnsiTheme="minorEastAsia" w:eastAsiaTheme="minorEastAsia"/>
          <w:color w:val="000000" w:themeColor="text1"/>
          <w:szCs w:val="20"/>
          <w14:textFill>
            <w14:solidFill>
              <w14:schemeClr w14:val="tx1"/>
            </w14:solidFill>
          </w14:textFill>
        </w:rPr>
        <w:t>1个工作日。</w:t>
      </w:r>
    </w:p>
    <w:p>
      <w:pPr>
        <w:tabs>
          <w:tab w:val="left" w:pos="0"/>
        </w:tabs>
        <w:spacing w:line="440" w:lineRule="exact"/>
        <w:rPr>
          <w:rFonts w:cs="仿宋_GB2312" w:asciiTheme="minorEastAsia" w:hAnsiTheme="minorEastAsia" w:eastAsiaTheme="minorEastAsia"/>
          <w:color w:val="000000" w:themeColor="text1"/>
          <w:lang w:val="zh-CN"/>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3.2在招标代理机构发出中标通知书前，中标供应商如有违反有关法律法规和本项目要求行为的，则取消该投标人的中标资格</w:t>
      </w:r>
      <w:r>
        <w:rPr>
          <w:rFonts w:hint="eastAsia" w:cs="仿宋_GB2312" w:asciiTheme="minorEastAsia" w:hAnsiTheme="minorEastAsia" w:eastAsiaTheme="minorEastAsia"/>
          <w:color w:val="000000" w:themeColor="text1"/>
          <w:lang w:val="zh-CN"/>
          <w14:textFill>
            <w14:solidFill>
              <w14:schemeClr w14:val="tx1"/>
            </w14:solidFill>
          </w14:textFill>
        </w:rPr>
        <w:t>。</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3.3招标代理机构对中标结果不作任何说明和解释，也不回答任何提问。</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4</w:t>
      </w:r>
      <w:r>
        <w:rPr>
          <w:rFonts w:hint="eastAsia" w:asciiTheme="minorEastAsia" w:hAnsiTheme="minorEastAsia" w:eastAsiaTheme="minorEastAsia"/>
          <w:b/>
          <w:color w:val="000000" w:themeColor="text1"/>
          <w14:textFill>
            <w14:solidFill>
              <w14:schemeClr w14:val="tx1"/>
            </w14:solidFill>
          </w14:textFill>
        </w:rPr>
        <w:t>.</w:t>
      </w:r>
      <w:r>
        <w:rPr>
          <w:rFonts w:asciiTheme="minorEastAsia" w:hAnsiTheme="minorEastAsia" w:eastAsiaTheme="minorEastAsia"/>
          <w:b/>
          <w:color w:val="000000" w:themeColor="text1"/>
          <w14:textFill>
            <w14:solidFill>
              <w14:schemeClr w14:val="tx1"/>
            </w14:solidFill>
          </w14:textFill>
        </w:rPr>
        <w:t>履约保证金</w:t>
      </w:r>
    </w:p>
    <w:p>
      <w:pPr>
        <w:tabs>
          <w:tab w:val="left" w:pos="0"/>
        </w:tabs>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tabs>
          <w:tab w:val="left" w:pos="0"/>
        </w:tabs>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4.2项目验收结束后，采购人应及时退还履约保证金。</w:t>
      </w:r>
    </w:p>
    <w:p>
      <w:pPr>
        <w:tabs>
          <w:tab w:val="left" w:pos="0"/>
        </w:tabs>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4.3供应商以银行、保险公司出具保函形式提交履约保证金的，采购人不得拒收。</w:t>
      </w:r>
    </w:p>
    <w:p>
      <w:pPr>
        <w:tabs>
          <w:tab w:val="left" w:pos="0"/>
        </w:tabs>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4.4政府采购货物和服务项目不得收取质量保证金。</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5</w:t>
      </w:r>
      <w:r>
        <w:rPr>
          <w:rFonts w:hint="eastAsia" w:asciiTheme="minorEastAsia" w:hAnsiTheme="minorEastAsia" w:eastAsiaTheme="minorEastAsia"/>
          <w:b/>
          <w:color w:val="000000" w:themeColor="text1"/>
          <w14:textFill>
            <w14:solidFill>
              <w14:schemeClr w14:val="tx1"/>
            </w14:solidFill>
          </w14:textFill>
        </w:rPr>
        <w:t>.</w:t>
      </w:r>
      <w:r>
        <w:rPr>
          <w:rFonts w:asciiTheme="minorEastAsia" w:hAnsiTheme="minorEastAsia" w:eastAsiaTheme="minorEastAsia"/>
          <w:b/>
          <w:color w:val="000000" w:themeColor="text1"/>
          <w14:textFill>
            <w14:solidFill>
              <w14:schemeClr w14:val="tx1"/>
            </w14:solidFill>
          </w14:textFill>
        </w:rPr>
        <w:t>合同签订及备案</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5.1中标人应当在中标通知书发出之日起30天内与采购人签订合同，自采购合</w:t>
      </w:r>
      <w:r>
        <w:rPr>
          <w:rFonts w:hint="eastAsia" w:asciiTheme="minorEastAsia" w:hAnsiTheme="minorEastAsia" w:eastAsiaTheme="minorEastAsia"/>
          <w:color w:val="000000" w:themeColor="text1"/>
          <w14:textFill>
            <w14:solidFill>
              <w14:schemeClr w14:val="tx1"/>
            </w14:solidFill>
          </w14:textFill>
        </w:rPr>
        <w:t>同签订之日起</w:t>
      </w:r>
      <w:r>
        <w:rPr>
          <w:rFonts w:asciiTheme="minorEastAsia" w:hAnsiTheme="minorEastAsia" w:eastAsiaTheme="minorEastAsia"/>
          <w:b/>
          <w:color w:val="000000" w:themeColor="text1"/>
          <w14:textFill>
            <w14:solidFill>
              <w14:schemeClr w14:val="tx1"/>
            </w14:solidFill>
          </w14:textFill>
        </w:rPr>
        <w:t>3个工作日内</w:t>
      </w:r>
      <w:r>
        <w:rPr>
          <w:rFonts w:hint="eastAsia"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将</w:t>
      </w:r>
      <w:r>
        <w:rPr>
          <w:rFonts w:hint="eastAsia" w:asciiTheme="minorEastAsia" w:hAnsiTheme="minorEastAsia" w:eastAsiaTheme="minorEastAsia"/>
          <w:b/>
          <w:color w:val="000000" w:themeColor="text1"/>
          <w:highlight w:val="none"/>
          <w14:textFill>
            <w14:solidFill>
              <w14:schemeClr w14:val="tx1"/>
            </w14:solidFill>
          </w14:textFill>
        </w:rPr>
        <w:t>采购合同原件</w:t>
      </w:r>
      <w:r>
        <w:rPr>
          <w:rFonts w:hint="eastAsia" w:asciiTheme="minorEastAsia" w:hAnsiTheme="minorEastAsia" w:eastAsiaTheme="minorEastAsia"/>
          <w:color w:val="000000" w:themeColor="text1"/>
          <w:highlight w:val="none"/>
          <w14:textFill>
            <w14:solidFill>
              <w14:schemeClr w14:val="tx1"/>
            </w14:solidFill>
          </w14:textFill>
        </w:rPr>
        <w:t>报融华工程管理有限公司备案。</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5.2未领取中标通知书，采购双方自行签订的合同不予备案。</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6.验收</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6.2采购人可以邀请参加本项目的其他投标人或者第三方机构参与验收。参与验收的投标人或者第三方机构的意见作为</w:t>
      </w:r>
      <w:r>
        <w:rPr>
          <w:rFonts w:hint="eastAsia" w:asciiTheme="minorEastAsia" w:hAnsiTheme="minorEastAsia" w:eastAsiaTheme="minorEastAsia"/>
          <w:color w:val="000000" w:themeColor="text1"/>
          <w14:textFill>
            <w14:solidFill>
              <w14:schemeClr w14:val="tx1"/>
            </w14:solidFill>
          </w14:textFill>
        </w:rPr>
        <w:t>验收书的参考资料一并存档。</w:t>
      </w:r>
    </w:p>
    <w:p>
      <w:pPr>
        <w:spacing w:line="44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6.3</w:t>
      </w:r>
      <w:r>
        <w:rPr>
          <w:rFonts w:hint="eastAsia" w:asciiTheme="minorEastAsia" w:hAnsiTheme="minorEastAsia" w:eastAsiaTheme="minorEastAsia"/>
          <w:color w:val="000000" w:themeColor="text1"/>
          <w14:textFill>
            <w14:solidFill>
              <w14:schemeClr w14:val="tx1"/>
            </w14:solidFill>
          </w14:textFill>
        </w:rPr>
        <w:t>采购人负责加强对中标人的履约管理，并按照采购合同约定，及时向中标人支付采购资金。对于中标人违反采购合同约定的行为，采购人应当及时处理，依法追究其违约责任。</w:t>
      </w:r>
    </w:p>
    <w:p>
      <w:pPr>
        <w:spacing w:line="440" w:lineRule="exact"/>
        <w:outlineLvl w:val="2"/>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7.</w:t>
      </w:r>
      <w:r>
        <w:rPr>
          <w:rFonts w:hint="eastAsia" w:asciiTheme="minorEastAsia" w:hAnsiTheme="minorEastAsia" w:eastAsiaTheme="minorEastAsia"/>
          <w:b/>
          <w:color w:val="000000" w:themeColor="text1"/>
          <w14:textFill>
            <w14:solidFill>
              <w14:schemeClr w14:val="tx1"/>
            </w14:solidFill>
          </w14:textFill>
        </w:rPr>
        <w:t>售后服务考核</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1"/>
        <w:rPr>
          <w:rFonts w:hint="eastAsia" w:asciiTheme="minorEastAsia" w:hAnsiTheme="minorEastAsia" w:eastAsiaTheme="minorEastAsia"/>
          <w:b/>
          <w:color w:val="000000" w:themeColor="text1"/>
          <w:sz w:val="32"/>
          <w:szCs w:val="32"/>
          <w14:textFill>
            <w14:solidFill>
              <w14:schemeClr w14:val="tx1"/>
            </w14:solidFill>
          </w14:textFill>
        </w:rPr>
      </w:pPr>
      <w:r>
        <w:rPr>
          <w:rFonts w:hint="eastAsia" w:asciiTheme="minorEastAsia" w:hAnsiTheme="minorEastAsia" w:eastAsiaTheme="minorEastAsia"/>
          <w:b/>
          <w:color w:val="000000" w:themeColor="text1"/>
          <w:sz w:val="32"/>
          <w:szCs w:val="32"/>
          <w14:textFill>
            <w14:solidFill>
              <w14:schemeClr w14:val="tx1"/>
            </w14:solidFill>
          </w14:textFill>
        </w:rPr>
        <w:t>六、质疑与投诉</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根据《中华人民共和国政府采购法》、《中华人民共和国政府采购法实施条例》（国务院第</w:t>
      </w:r>
      <w:r>
        <w:rPr>
          <w:rFonts w:asciiTheme="minorEastAsia" w:hAnsiTheme="minorEastAsia" w:eastAsiaTheme="minorEastAsia"/>
          <w:color w:val="000000" w:themeColor="text1"/>
          <w:szCs w:val="20"/>
          <w14:textFill>
            <w14:solidFill>
              <w14:schemeClr w14:val="tx1"/>
            </w14:solidFill>
          </w14:textFill>
        </w:rPr>
        <w:t>658号令）、《政府采购质疑和投诉办法》（财政部第94号令）、《财政部关于加强政府采购供应商投诉受理审查工作的通知》(财库〔2007〕1号)和《浙江省政府采购供应商质疑处理办法》（</w:t>
      </w:r>
      <w:r>
        <w:rPr>
          <w:rFonts w:hint="eastAsia" w:asciiTheme="minorEastAsia" w:hAnsiTheme="minorEastAsia" w:eastAsiaTheme="minorEastAsia"/>
          <w:color w:val="000000" w:themeColor="text1"/>
          <w:szCs w:val="20"/>
          <w14:textFill>
            <w14:solidFill>
              <w14:schemeClr w14:val="tx1"/>
            </w14:solidFill>
          </w14:textFill>
        </w:rPr>
        <w:t>浙财采监</w:t>
      </w:r>
      <w:r>
        <w:rPr>
          <w:rFonts w:asciiTheme="minorEastAsia" w:hAnsiTheme="minorEastAsia" w:eastAsiaTheme="minorEastAsia"/>
          <w:color w:val="000000" w:themeColor="text1"/>
          <w:szCs w:val="20"/>
          <w14:textFill>
            <w14:solidFill>
              <w14:schemeClr w14:val="tx1"/>
            </w14:solidFill>
          </w14:textFill>
        </w:rPr>
        <w:t>[2012]18号）的规定，政府采购供应商可以依法提起质疑和投诉。</w:t>
      </w:r>
    </w:p>
    <w:p>
      <w:pPr>
        <w:autoSpaceDE w:val="0"/>
        <w:autoSpaceDN w:val="0"/>
        <w:spacing w:line="360" w:lineRule="auto"/>
        <w:ind w:firstLine="472" w:firstLineChars="196"/>
        <w:rPr>
          <w:rFonts w:cs="微软雅黑" w:asciiTheme="minorEastAsia" w:hAnsiTheme="minorEastAsia" w:eastAsiaTheme="minorEastAsia"/>
          <w:b/>
          <w:color w:val="000000" w:themeColor="text1"/>
          <w:lang w:val="zh-CN"/>
          <w14:textFill>
            <w14:solidFill>
              <w14:schemeClr w14:val="tx1"/>
            </w14:solidFill>
          </w14:textFill>
        </w:rPr>
      </w:pPr>
      <w:r>
        <w:rPr>
          <w:rFonts w:cs="微软雅黑" w:asciiTheme="minorEastAsia" w:hAnsiTheme="minorEastAsia" w:eastAsiaTheme="minorEastAsia"/>
          <w:b/>
          <w:color w:val="000000" w:themeColor="text1"/>
          <w:lang w:val="zh-CN"/>
          <w14:textFill>
            <w14:solidFill>
              <w14:schemeClr w14:val="tx1"/>
            </w14:solidFill>
          </w14:textFill>
        </w:rPr>
        <w:t>1.供应商询问</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rPr>
          <w:rFonts w:cs="微软雅黑" w:asciiTheme="minorEastAsia" w:hAnsiTheme="minorEastAsia" w:eastAsiaTheme="minorEastAsia"/>
          <w:b/>
          <w:color w:val="000000" w:themeColor="text1"/>
          <w:lang w:val="zh-CN"/>
          <w14:textFill>
            <w14:solidFill>
              <w14:schemeClr w14:val="tx1"/>
            </w14:solidFill>
          </w14:textFill>
        </w:rPr>
      </w:pPr>
      <w:r>
        <w:rPr>
          <w:rFonts w:cs="微软雅黑" w:asciiTheme="minorEastAsia" w:hAnsiTheme="minorEastAsia" w:eastAsiaTheme="minorEastAsia"/>
          <w:b/>
          <w:color w:val="000000" w:themeColor="text1"/>
          <w:lang w:val="zh-CN"/>
          <w14:textFill>
            <w14:solidFill>
              <w14:schemeClr w14:val="tx1"/>
            </w14:solidFill>
          </w14:textFill>
        </w:rPr>
        <w:t>2.供应商质疑</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asciiTheme="minorEastAsia" w:hAnsiTheme="minorEastAsia" w:eastAsiaTheme="minorEastAsia"/>
          <w:color w:val="000000" w:themeColor="text1"/>
          <w:szCs w:val="20"/>
          <w14:textFill>
            <w14:solidFill>
              <w14:schemeClr w14:val="tx1"/>
            </w14:solidFill>
          </w14:textFill>
        </w:rPr>
        <w:t>2.1供应商认为采购文件、采购过程和成交结果使自己的权益受到损害的，可以在知道或者应知其权益受到损害之日起七个工作日内，以书面形式向采购机构提出质疑，否则，采购机构不予受理：</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2）对采购过程提出质疑的，质疑期限为各采购程序环节结束之日起计算。</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3）对采购结果提出质疑的，质疑期限自采购结果公告（包括公示、预公告、结果变更公告等）期限届满之日起计算。</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4）供应商应在法定质疑期内一次性提出针对同一采购程序环节的质疑。</w:t>
      </w:r>
    </w:p>
    <w:p>
      <w:pPr>
        <w:autoSpaceDE w:val="0"/>
        <w:autoSpaceDN w:val="0"/>
        <w:spacing w:line="360" w:lineRule="auto"/>
        <w:ind w:firstLine="472" w:firstLineChars="196"/>
        <w:rPr>
          <w:rFonts w:cs="微软雅黑" w:asciiTheme="minorEastAsia" w:hAnsiTheme="minorEastAsia" w:eastAsiaTheme="minorEastAsia"/>
          <w:b/>
          <w:color w:val="000000" w:themeColor="text1"/>
          <w:lang w:val="zh-CN"/>
          <w14:textFill>
            <w14:solidFill>
              <w14:schemeClr w14:val="tx1"/>
            </w14:solidFill>
          </w14:textFill>
        </w:rPr>
      </w:pPr>
      <w:r>
        <w:rPr>
          <w:rFonts w:cs="微软雅黑" w:asciiTheme="minorEastAsia" w:hAnsiTheme="minorEastAsia" w:eastAsiaTheme="minorEastAsia"/>
          <w:b/>
          <w:color w:val="000000" w:themeColor="text1"/>
          <w:lang w:val="zh-CN"/>
          <w14:textFill>
            <w14:solidFill>
              <w14:schemeClr w14:val="tx1"/>
            </w14:solidFill>
          </w14:textFill>
        </w:rPr>
        <w:t>3.供应商提交提出质疑应当提交</w:t>
      </w:r>
      <w:r>
        <w:rPr>
          <w:rFonts w:hint="eastAsia" w:cs="微软雅黑" w:asciiTheme="minorEastAsia" w:hAnsiTheme="minorEastAsia" w:eastAsiaTheme="minorEastAsia"/>
          <w:b/>
          <w:color w:val="000000" w:themeColor="text1"/>
          <w:lang w:val="zh-CN"/>
          <w14:textFill>
            <w14:solidFill>
              <w14:schemeClr w14:val="tx1"/>
            </w14:solidFill>
          </w14:textFill>
        </w:rPr>
        <w:t>质疑书和必要的证明材料，质疑书需一式三份，质疑书至少应包括下列主要内容：</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1）质疑人的名称、地址、邮政编码、联系人、联系电话，以及被质疑人名称及联系方式；</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2）被质疑采购项目名称、编号及采购内容；</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3）具体、明确的质疑事项和与质疑事项相关的请求</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4）事实依据；</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5）必要的法律依据；</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6）认为自己合法权益受到损害或可能受到损害的相关证据材料；</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7）提出质疑的日期。</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8）</w:t>
      </w:r>
      <w:r>
        <w:rPr>
          <w:rFonts w:hint="eastAsia" w:asciiTheme="minorEastAsia" w:hAnsiTheme="minorEastAsia" w:eastAsiaTheme="minorEastAsia"/>
          <w:color w:val="000000" w:themeColor="text1"/>
          <w:szCs w:val="20"/>
          <w14:textFill>
            <w14:solidFill>
              <w14:schemeClr w14:val="tx1"/>
            </w14:solidFill>
          </w14:textFill>
        </w:rPr>
        <w:t>质疑书应当署名。质疑人为自然人的，应当由本人签字并附有效身份证明；质疑人为法人或其他组织的，应当由法定代表人或主要负责人签字（或盖章）并加盖单位公章。</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 xml:space="preserve">9） </w:t>
      </w:r>
      <w:r>
        <w:rPr>
          <w:rFonts w:hint="eastAsia" w:asciiTheme="minorEastAsia" w:hAnsiTheme="minorEastAsia" w:eastAsiaTheme="minorEastAsia"/>
          <w:color w:val="000000" w:themeColor="text1"/>
          <w:szCs w:val="20"/>
          <w14:textFill>
            <w14:solidFill>
              <w14:schemeClr w14:val="tx1"/>
            </w14:solidFill>
          </w14:textFill>
        </w:rPr>
        <w:t>质疑人因故不能自行办理质疑事项的，可以委托代理人办理质疑事宜，但应当向被质疑人提交授权委托书，并载明委托代理的具体权限和事项。</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autoSpaceDE w:val="0"/>
        <w:autoSpaceDN w:val="0"/>
        <w:spacing w:line="360" w:lineRule="auto"/>
        <w:ind w:firstLine="472" w:firstLineChars="196"/>
        <w:rPr>
          <w:rFonts w:cs="微软雅黑" w:asciiTheme="minorEastAsia" w:hAnsiTheme="minorEastAsia" w:eastAsiaTheme="minorEastAsia"/>
          <w:b/>
          <w:color w:val="000000" w:themeColor="text1"/>
          <w:lang w:val="zh-CN"/>
          <w14:textFill>
            <w14:solidFill>
              <w14:schemeClr w14:val="tx1"/>
            </w14:solidFill>
          </w14:textFill>
        </w:rPr>
      </w:pPr>
      <w:r>
        <w:rPr>
          <w:rFonts w:cs="微软雅黑" w:asciiTheme="minorEastAsia" w:hAnsiTheme="minorEastAsia" w:eastAsiaTheme="minorEastAsia"/>
          <w:b/>
          <w:color w:val="000000" w:themeColor="text1"/>
          <w:lang w:val="zh-CN"/>
          <w14:textFill>
            <w14:solidFill>
              <w14:schemeClr w14:val="tx1"/>
            </w14:solidFill>
          </w14:textFill>
        </w:rPr>
        <w:t>4.</w:t>
      </w:r>
      <w:r>
        <w:rPr>
          <w:rFonts w:cs="微软雅黑" w:asciiTheme="minorEastAsia" w:hAnsiTheme="minorEastAsia" w:eastAsiaTheme="minorEastAsia"/>
          <w:b/>
          <w:color w:val="000000" w:themeColor="text1"/>
          <w:lang w:val="zh-CN"/>
          <w14:textFill>
            <w14:solidFill>
              <w14:schemeClr w14:val="tx1"/>
            </w14:solidFill>
          </w14:textFill>
        </w:rPr>
        <w:tab/>
      </w:r>
      <w:r>
        <w:rPr>
          <w:rFonts w:hint="eastAsia" w:cs="微软雅黑" w:asciiTheme="minorEastAsia" w:hAnsiTheme="minorEastAsia" w:eastAsiaTheme="minorEastAsia"/>
          <w:b/>
          <w:color w:val="000000" w:themeColor="text1"/>
          <w:lang w:val="zh-CN"/>
          <w14:textFill>
            <w14:solidFill>
              <w14:schemeClr w14:val="tx1"/>
            </w14:solidFill>
          </w14:textFill>
        </w:rPr>
        <w:t>原则上由采购人回复的质疑：</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1）对采购文件中特定资格条件、采购需求、评分办法提出的质疑；</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2）对采购过程中有关现场考察或开标前答疑会事项提出的质疑。</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原则上由采购代理机构回复的质疑：</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1）除特定资格条件、采购需求、评分办法外，对采购文件中其他内容提出的质疑；</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2）除有关现场考察或开标前答疑会事项外，对采购过程中其它事项提出的质疑；</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r>
        <w:rPr>
          <w:rFonts w:asciiTheme="minorEastAsia" w:hAnsiTheme="minorEastAsia" w:eastAsiaTheme="minorEastAsia"/>
          <w:color w:val="000000" w:themeColor="text1"/>
          <w:szCs w:val="20"/>
          <w14:textFill>
            <w14:solidFill>
              <w14:schemeClr w14:val="tx1"/>
            </w14:solidFill>
          </w14:textFill>
        </w:rPr>
        <w:t>3）对采购结果提出的质疑。</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asciiTheme="minorEastAsia" w:hAnsiTheme="minorEastAsia" w:eastAsiaTheme="minorEastAsia"/>
          <w:color w:val="000000" w:themeColor="text1"/>
          <w:szCs w:val="20"/>
          <w14:textFill>
            <w14:solidFill>
              <w14:schemeClr w14:val="tx1"/>
            </w14:solidFill>
          </w14:textFill>
        </w:rPr>
        <w:t>5.采购机构应当在收到供应商的书面质疑后七个工作日内</w:t>
      </w:r>
      <w:r>
        <w:rPr>
          <w:rFonts w:hint="eastAsia" w:asciiTheme="minorEastAsia" w:hAnsiTheme="minorEastAsia" w:eastAsiaTheme="minorEastAsia"/>
          <w:color w:val="000000" w:themeColor="text1"/>
          <w:szCs w:val="20"/>
          <w14:textFill>
            <w14:solidFill>
              <w14:schemeClr w14:val="tx1"/>
            </w14:solidFill>
          </w14:textFill>
        </w:rPr>
        <w:t>作出答复，并以书面形式通知质疑供应商和其他与质疑处理结果有利害关系的政府采购当事人，但答复的内容不得涉及商业秘密。</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asciiTheme="minorEastAsia" w:hAnsiTheme="minorEastAsia" w:eastAsiaTheme="minorEastAsia"/>
          <w:color w:val="000000" w:themeColor="text1"/>
          <w:szCs w:val="20"/>
          <w14:textFill>
            <w14:solidFill>
              <w14:schemeClr w14:val="tx1"/>
            </w14:solidFill>
          </w14:textFill>
        </w:rPr>
        <w:t>6.询问或者质疑事项可能影响采购结果的，采购人应当暂停签订合同，已经签订合同的，应当中止履行合同。</w:t>
      </w:r>
    </w:p>
    <w:p>
      <w:pPr>
        <w:spacing w:line="360" w:lineRule="auto"/>
        <w:ind w:firstLine="480" w:firstLineChars="200"/>
        <w:rPr>
          <w:rFonts w:asciiTheme="minorEastAsia" w:hAnsiTheme="minorEastAsia" w:eastAsiaTheme="minorEastAsia"/>
          <w:color w:val="000000" w:themeColor="text1"/>
          <w:szCs w:val="20"/>
          <w14:textFill>
            <w14:solidFill>
              <w14:schemeClr w14:val="tx1"/>
            </w14:solidFill>
          </w14:textFill>
        </w:rPr>
      </w:pPr>
      <w:r>
        <w:rPr>
          <w:rFonts w:asciiTheme="minorEastAsia" w:hAnsiTheme="minorEastAsia" w:eastAsiaTheme="minorEastAsia"/>
          <w:color w:val="000000" w:themeColor="text1"/>
          <w:szCs w:val="20"/>
          <w14:textFill>
            <w14:solidFill>
              <w14:schemeClr w14:val="tx1"/>
            </w14:solidFill>
          </w14:textFill>
        </w:rPr>
        <w:t>7.质疑函范本、投诉书范本请到浙江政府采购网下载专区下载。</w:t>
      </w:r>
    </w:p>
    <w:p>
      <w:pPr>
        <w:pStyle w:val="4"/>
        <w:snapToGrid w:val="0"/>
        <w:spacing w:before="0" w:line="420" w:lineRule="exact"/>
        <w:ind w:left="425" w:hanging="425" w:firstLineChars="0"/>
        <w:jc w:val="center"/>
        <w:textAlignment w:val="baseline"/>
        <w:rPr>
          <w:rFonts w:hint="eastAsia" w:cs="仿宋_GB2312" w:asciiTheme="minorEastAsia" w:hAnsiTheme="minorEastAsia" w:eastAsiaTheme="minorEastAsia"/>
          <w:color w:val="000000" w:themeColor="text1"/>
          <w:sz w:val="36"/>
          <w:szCs w:val="36"/>
          <w14:textFill>
            <w14:solidFill>
              <w14:schemeClr w14:val="tx1"/>
            </w14:solidFill>
          </w14:textFill>
        </w:rPr>
      </w:pPr>
      <w:r>
        <w:rPr>
          <w:rFonts w:hint="eastAsia" w:cs="仿宋_GB2312" w:asciiTheme="minorEastAsia" w:hAnsiTheme="minorEastAsia" w:eastAsiaTheme="minorEastAsia"/>
          <w:color w:val="000000" w:themeColor="text1"/>
          <w:sz w:val="36"/>
          <w:szCs w:val="36"/>
          <w14:textFill>
            <w14:solidFill>
              <w14:schemeClr w14:val="tx1"/>
            </w14:solidFill>
          </w14:textFill>
        </w:rPr>
        <w:br w:type="page"/>
      </w:r>
      <w:r>
        <w:rPr>
          <w:rFonts w:hint="eastAsia" w:cs="仿宋_GB2312" w:asciiTheme="minorEastAsia" w:hAnsiTheme="minorEastAsia" w:eastAsiaTheme="minorEastAsia"/>
          <w:color w:val="000000" w:themeColor="text1"/>
          <w:sz w:val="36"/>
          <w:szCs w:val="36"/>
          <w14:textFill>
            <w14:solidFill>
              <w14:schemeClr w14:val="tx1"/>
            </w14:solidFill>
          </w14:textFill>
        </w:rPr>
        <w:t>第三部分  招标项目范围及要求</w:t>
      </w:r>
    </w:p>
    <w:p>
      <w:pPr>
        <w:keepNext w:val="0"/>
        <w:keepLines w:val="0"/>
        <w:pageBreakBefore w:val="0"/>
        <w:kinsoku/>
        <w:topLinePunct w:val="0"/>
        <w:bidi w:val="0"/>
        <w:adjustRightInd w:val="0"/>
        <w:snapToGrid w:val="0"/>
        <w:spacing w:line="400" w:lineRule="exact"/>
        <w:ind w:firstLine="482" w:firstLineChars="200"/>
        <w:outlineLvl w:val="1"/>
        <w:rPr>
          <w:rFonts w:hint="eastAsia" w:ascii="宋体" w:hAnsi="宋体" w:eastAsia="宋体" w:cs="宋体"/>
          <w:b/>
          <w:color w:val="auto"/>
          <w:sz w:val="24"/>
          <w:szCs w:val="24"/>
          <w:highlight w:val="none"/>
        </w:rPr>
      </w:pPr>
      <w:bookmarkStart w:id="11" w:name="_Toc964292168"/>
      <w:bookmarkStart w:id="12" w:name="_Toc1937512440"/>
      <w:bookmarkStart w:id="13" w:name="_Toc448660452"/>
      <w:r>
        <w:rPr>
          <w:rFonts w:hint="eastAsia" w:ascii="宋体" w:hAnsi="宋体" w:eastAsia="宋体" w:cs="宋体"/>
          <w:b/>
          <w:color w:val="auto"/>
          <w:sz w:val="24"/>
          <w:szCs w:val="24"/>
          <w:highlight w:val="none"/>
        </w:rPr>
        <w:t>一、绍兴市轨道交通2号线一期工程概况</w:t>
      </w:r>
      <w:bookmarkEnd w:id="11"/>
      <w:bookmarkEnd w:id="12"/>
      <w:bookmarkEnd w:id="13"/>
    </w:p>
    <w:p>
      <w:pPr>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b/>
          <w:color w:val="auto"/>
          <w:sz w:val="24"/>
          <w:szCs w:val="24"/>
          <w:highlight w:val="none"/>
        </w:rPr>
      </w:pPr>
      <w:bookmarkStart w:id="14" w:name="_Toc24957"/>
      <w:bookmarkStart w:id="15" w:name="_Toc10961"/>
      <w:bookmarkStart w:id="16" w:name="_Toc2000"/>
      <w:bookmarkStart w:id="17" w:name="_Toc26078"/>
      <w:bookmarkStart w:id="18" w:name="_Toc32273"/>
      <w:bookmarkStart w:id="19" w:name="_Toc6287"/>
      <w:bookmarkStart w:id="20" w:name="_Toc31266"/>
      <w:bookmarkStart w:id="21" w:name="_Toc21827"/>
      <w:r>
        <w:rPr>
          <w:rFonts w:hint="eastAsia" w:ascii="宋体" w:hAnsi="宋体" w:eastAsia="宋体" w:cs="宋体"/>
          <w:bCs/>
          <w:color w:val="auto"/>
          <w:sz w:val="24"/>
          <w:szCs w:val="24"/>
          <w:highlight w:val="none"/>
        </w:rPr>
        <w:t>绍兴市城市轨道交通2号线一期工程线路起点位于镜湖新区越西路站，终点位于袍江新区越兴路站，主要沿洋江路走行，线路全长约 10.80km，均采用地下线敷设。全线共设车站9座（均为地下站）。设主变电所1座，越兴路主变电所。设控制中心1处（镜湖控制中心）。2号线一期无车辆段，采用列车“线上停检”，在后续2号线二期工程范围内建设一段一场。</w:t>
      </w:r>
      <w:bookmarkEnd w:id="14"/>
      <w:bookmarkEnd w:id="15"/>
      <w:bookmarkEnd w:id="16"/>
      <w:bookmarkEnd w:id="17"/>
      <w:bookmarkEnd w:id="18"/>
      <w:bookmarkEnd w:id="19"/>
      <w:bookmarkEnd w:id="20"/>
      <w:bookmarkEnd w:id="21"/>
    </w:p>
    <w:p>
      <w:pPr>
        <w:keepNext w:val="0"/>
        <w:keepLines w:val="0"/>
        <w:pageBreakBefore w:val="0"/>
        <w:kinsoku/>
        <w:topLinePunct w:val="0"/>
        <w:bidi w:val="0"/>
        <w:adjustRightInd w:val="0"/>
        <w:snapToGrid w:val="0"/>
        <w:spacing w:line="400" w:lineRule="exact"/>
        <w:ind w:firstLine="482" w:firstLineChars="200"/>
        <w:outlineLvl w:val="1"/>
        <w:rPr>
          <w:rFonts w:hint="eastAsia" w:ascii="宋体" w:hAnsi="宋体" w:eastAsia="宋体" w:cs="宋体"/>
          <w:b/>
          <w:color w:val="auto"/>
          <w:sz w:val="24"/>
          <w:szCs w:val="24"/>
          <w:highlight w:val="none"/>
        </w:rPr>
      </w:pPr>
      <w:bookmarkStart w:id="22" w:name="_Toc1821324617"/>
      <w:bookmarkStart w:id="23" w:name="_Toc1074710444"/>
      <w:bookmarkStart w:id="24" w:name="_Toc1902402903"/>
      <w:r>
        <w:rPr>
          <w:rFonts w:hint="eastAsia" w:ascii="宋体" w:hAnsi="宋体" w:eastAsia="宋体" w:cs="宋体"/>
          <w:b/>
          <w:color w:val="auto"/>
          <w:sz w:val="24"/>
          <w:szCs w:val="24"/>
          <w:highlight w:val="none"/>
        </w:rPr>
        <w:t>二、2号线一期工程房建结构投标维保范围</w:t>
      </w:r>
      <w:bookmarkEnd w:id="22"/>
      <w:bookmarkEnd w:id="23"/>
      <w:bookmarkEnd w:id="24"/>
    </w:p>
    <w:p>
      <w:pPr>
        <w:keepNext w:val="0"/>
        <w:keepLines w:val="0"/>
        <w:pageBreakBefore w:val="0"/>
        <w:kinsoku/>
        <w:topLinePunct w:val="0"/>
        <w:bidi w:val="0"/>
        <w:adjustRightInd w:val="0"/>
        <w:snapToGrid w:val="0"/>
        <w:spacing w:line="400" w:lineRule="exact"/>
        <w:ind w:firstLine="482" w:firstLineChars="200"/>
        <w:outlineLvl w:val="2"/>
        <w:rPr>
          <w:rFonts w:hint="eastAsia" w:ascii="宋体" w:hAnsi="宋体" w:eastAsia="宋体" w:cs="宋体"/>
          <w:b/>
          <w:color w:val="auto"/>
          <w:sz w:val="24"/>
          <w:szCs w:val="24"/>
          <w:highlight w:val="none"/>
        </w:rPr>
      </w:pPr>
      <w:bookmarkStart w:id="25" w:name="_Toc1754216870"/>
      <w:bookmarkStart w:id="26" w:name="_Toc1498520465"/>
      <w:bookmarkStart w:id="27" w:name="_Toc1777597078"/>
      <w:r>
        <w:rPr>
          <w:rFonts w:hint="eastAsia" w:ascii="宋体" w:hAnsi="宋体" w:eastAsia="宋体" w:cs="宋体"/>
          <w:b/>
          <w:color w:val="auto"/>
          <w:sz w:val="24"/>
          <w:szCs w:val="24"/>
          <w:highlight w:val="none"/>
        </w:rPr>
        <w:t>2.1维保线路范围</w:t>
      </w:r>
      <w:bookmarkEnd w:id="25"/>
      <w:bookmarkEnd w:id="26"/>
      <w:bookmarkEnd w:id="27"/>
    </w:p>
    <w:p>
      <w:pPr>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b/>
          <w:color w:val="auto"/>
          <w:sz w:val="24"/>
          <w:szCs w:val="24"/>
          <w:highlight w:val="none"/>
        </w:rPr>
      </w:pPr>
      <w:bookmarkStart w:id="28" w:name="_Toc1930"/>
      <w:bookmarkStart w:id="29" w:name="_Toc26587"/>
      <w:bookmarkStart w:id="30" w:name="_Toc6313"/>
      <w:bookmarkStart w:id="31" w:name="_Toc19568"/>
      <w:bookmarkStart w:id="32" w:name="_Toc32375"/>
      <w:bookmarkStart w:id="33" w:name="_Toc24014"/>
      <w:r>
        <w:rPr>
          <w:rFonts w:hint="eastAsia" w:ascii="宋体" w:hAnsi="宋体" w:eastAsia="宋体" w:cs="宋体"/>
          <w:bCs/>
          <w:color w:val="auto"/>
          <w:sz w:val="24"/>
          <w:szCs w:val="24"/>
          <w:highlight w:val="none"/>
        </w:rPr>
        <w:t>投标人应按照招标人要求完成2号线一期工程车站及其附属结构、区间隧道</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含海南路停</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、越兴路主变电所范围内房建结构</w:t>
      </w:r>
      <w:r>
        <w:rPr>
          <w:rFonts w:hint="eastAsia" w:ascii="宋体" w:hAnsi="宋体" w:eastAsia="宋体" w:cs="宋体"/>
          <w:bCs/>
          <w:color w:val="auto"/>
          <w:sz w:val="24"/>
          <w:szCs w:val="24"/>
          <w:highlight w:val="none"/>
          <w:lang w:val="en-US" w:eastAsia="zh-CN"/>
        </w:rPr>
        <w:t>巡查</w:t>
      </w:r>
      <w:r>
        <w:rPr>
          <w:rFonts w:hint="eastAsia" w:ascii="宋体" w:hAnsi="宋体" w:eastAsia="宋体" w:cs="宋体"/>
          <w:bCs/>
          <w:color w:val="auto"/>
          <w:sz w:val="24"/>
          <w:szCs w:val="24"/>
          <w:highlight w:val="none"/>
        </w:rPr>
        <w:t>维保</w:t>
      </w:r>
      <w:r>
        <w:rPr>
          <w:rFonts w:hint="eastAsia" w:ascii="宋体" w:hAnsi="宋体" w:eastAsia="宋体" w:cs="宋体"/>
          <w:bCs/>
          <w:color w:val="auto"/>
          <w:sz w:val="24"/>
          <w:szCs w:val="24"/>
          <w:highlight w:val="none"/>
          <w:lang w:val="en-US" w:eastAsia="zh-CN"/>
        </w:rPr>
        <w:t>应急</w:t>
      </w:r>
      <w:r>
        <w:rPr>
          <w:rFonts w:hint="eastAsia" w:ascii="宋体" w:hAnsi="宋体" w:eastAsia="宋体" w:cs="宋体"/>
          <w:bCs/>
          <w:color w:val="auto"/>
          <w:sz w:val="24"/>
          <w:szCs w:val="24"/>
          <w:highlight w:val="none"/>
        </w:rPr>
        <w:t>服务</w:t>
      </w:r>
      <w:r>
        <w:rPr>
          <w:rFonts w:hint="eastAsia" w:ascii="宋体" w:hAnsi="宋体" w:eastAsia="宋体" w:cs="宋体"/>
          <w:bCs/>
          <w:color w:val="auto"/>
          <w:sz w:val="24"/>
          <w:szCs w:val="24"/>
          <w:highlight w:val="none"/>
          <w:lang w:val="en-US" w:eastAsia="zh-CN"/>
        </w:rPr>
        <w:t>及地铁保护区监督巡查服务</w:t>
      </w:r>
      <w:r>
        <w:rPr>
          <w:rFonts w:hint="eastAsia" w:ascii="宋体" w:hAnsi="宋体" w:eastAsia="宋体" w:cs="宋体"/>
          <w:bCs/>
          <w:color w:val="auto"/>
          <w:sz w:val="24"/>
          <w:szCs w:val="24"/>
          <w:highlight w:val="none"/>
        </w:rPr>
        <w:t>。</w:t>
      </w:r>
      <w:bookmarkEnd w:id="28"/>
      <w:bookmarkEnd w:id="29"/>
      <w:bookmarkEnd w:id="30"/>
      <w:bookmarkEnd w:id="31"/>
      <w:bookmarkEnd w:id="32"/>
      <w:bookmarkEnd w:id="33"/>
    </w:p>
    <w:p>
      <w:pPr>
        <w:keepNext w:val="0"/>
        <w:keepLines w:val="0"/>
        <w:pageBreakBefore w:val="0"/>
        <w:kinsoku/>
        <w:topLinePunct w:val="0"/>
        <w:bidi w:val="0"/>
        <w:adjustRightInd w:val="0"/>
        <w:snapToGrid w:val="0"/>
        <w:spacing w:line="400" w:lineRule="exact"/>
        <w:ind w:firstLine="482" w:firstLineChars="200"/>
        <w:outlineLvl w:val="2"/>
        <w:rPr>
          <w:rFonts w:hint="eastAsia" w:ascii="宋体" w:hAnsi="宋体" w:eastAsia="宋体" w:cs="宋体"/>
          <w:b/>
          <w:color w:val="auto"/>
          <w:sz w:val="24"/>
          <w:szCs w:val="24"/>
          <w:highlight w:val="none"/>
        </w:rPr>
      </w:pPr>
      <w:bookmarkStart w:id="34" w:name="_Toc327763428"/>
      <w:bookmarkStart w:id="35" w:name="_Toc379205393"/>
      <w:bookmarkStart w:id="36" w:name="_Toc666399478"/>
      <w:r>
        <w:rPr>
          <w:rFonts w:hint="eastAsia" w:ascii="宋体" w:hAnsi="宋体" w:eastAsia="宋体" w:cs="宋体"/>
          <w:b/>
          <w:color w:val="auto"/>
          <w:sz w:val="24"/>
          <w:szCs w:val="24"/>
          <w:highlight w:val="none"/>
        </w:rPr>
        <w:t>2.2维保业务内容</w:t>
      </w:r>
      <w:bookmarkEnd w:id="34"/>
      <w:bookmarkEnd w:id="35"/>
      <w:bookmarkEnd w:id="36"/>
    </w:p>
    <w:p>
      <w:pPr>
        <w:keepNext w:val="0"/>
        <w:keepLines w:val="0"/>
        <w:pageBreakBefore w:val="0"/>
        <w:kinsoku/>
        <w:topLinePunct w:val="0"/>
        <w:bidi w:val="0"/>
        <w:adjustRightInd w:val="0"/>
        <w:snapToGrid w:val="0"/>
        <w:spacing w:line="400" w:lineRule="exact"/>
        <w:ind w:firstLine="482" w:firstLineChars="200"/>
        <w:outlineLvl w:val="3"/>
        <w:rPr>
          <w:rFonts w:hint="eastAsia" w:ascii="宋体" w:hAnsi="宋体" w:eastAsia="宋体" w:cs="宋体"/>
          <w:b/>
          <w:color w:val="auto"/>
          <w:sz w:val="24"/>
          <w:szCs w:val="24"/>
          <w:highlight w:val="none"/>
        </w:rPr>
      </w:pPr>
      <w:bookmarkStart w:id="37" w:name="_Toc552443017"/>
      <w:bookmarkStart w:id="38" w:name="_Toc1489426111"/>
      <w:bookmarkStart w:id="39" w:name="_Toc1580298420"/>
      <w:bookmarkStart w:id="40" w:name="_Toc3388"/>
      <w:r>
        <w:rPr>
          <w:rFonts w:hint="eastAsia" w:ascii="宋体" w:hAnsi="宋体" w:eastAsia="宋体" w:cs="宋体"/>
          <w:b/>
          <w:color w:val="auto"/>
          <w:sz w:val="24"/>
          <w:szCs w:val="24"/>
          <w:highlight w:val="none"/>
        </w:rPr>
        <w:t>2.2.1房建</w:t>
      </w:r>
      <w:bookmarkEnd w:id="37"/>
      <w:bookmarkEnd w:id="38"/>
      <w:bookmarkEnd w:id="39"/>
      <w:bookmarkEnd w:id="40"/>
    </w:p>
    <w:p>
      <w:pPr>
        <w:keepNext w:val="0"/>
        <w:keepLines w:val="0"/>
        <w:pageBreakBefore w:val="0"/>
        <w:kinsoku/>
        <w:topLinePunct w:val="0"/>
        <w:bidi w:val="0"/>
        <w:adjustRightInd w:val="0"/>
        <w:snapToGrid w:val="0"/>
        <w:spacing w:line="400" w:lineRule="exact"/>
        <w:ind w:firstLine="482" w:firstLineChars="200"/>
        <w:outlineLvl w:val="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2.2.1.1业务范围</w:t>
      </w:r>
    </w:p>
    <w:p>
      <w:pPr>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2.2.1.1.1车站：主要由9座地下车站、构筑物及相应区域的附属设施装饰装修组成, 如：天花、墙面装饰、地面装饰、柱面装饰、雨棚、</w:t>
      </w:r>
      <w:r>
        <w:rPr>
          <w:rFonts w:hint="eastAsia" w:ascii="宋体" w:hAnsi="宋体" w:eastAsia="宋体" w:cs="宋体"/>
          <w:bCs/>
          <w:color w:val="auto"/>
          <w:sz w:val="24"/>
          <w:szCs w:val="24"/>
          <w:highlight w:val="none"/>
          <w:lang w:val="en-US" w:eastAsia="zh-CN"/>
        </w:rPr>
        <w:t>离壁沟</w:t>
      </w:r>
      <w:r>
        <w:rPr>
          <w:rFonts w:hint="eastAsia" w:ascii="宋体" w:hAnsi="宋体" w:eastAsia="宋体" w:cs="宋体"/>
          <w:bCs/>
          <w:color w:val="auto"/>
          <w:sz w:val="24"/>
          <w:szCs w:val="24"/>
          <w:highlight w:val="none"/>
        </w:rPr>
        <w:t>、门窗、锁具、栏杆、玻璃、扶手、</w:t>
      </w:r>
      <w:r>
        <w:rPr>
          <w:rFonts w:hint="eastAsia" w:ascii="宋体" w:hAnsi="宋体" w:eastAsia="宋体" w:cs="宋体"/>
          <w:bCs/>
          <w:color w:val="auto"/>
          <w:sz w:val="24"/>
          <w:szCs w:val="24"/>
          <w:highlight w:val="none"/>
          <w:lang w:val="en-US" w:eastAsia="zh-CN"/>
        </w:rPr>
        <w:t>钢结构、</w:t>
      </w:r>
      <w:r>
        <w:rPr>
          <w:rFonts w:hint="eastAsia" w:ascii="宋体" w:hAnsi="宋体" w:eastAsia="宋体" w:cs="宋体"/>
          <w:bCs/>
          <w:color w:val="auto"/>
          <w:sz w:val="24"/>
          <w:szCs w:val="24"/>
          <w:highlight w:val="none"/>
        </w:rPr>
        <w:t>挡烟垂壁、车站乘客座椅、票亭、防火门、不锈钢栏杆及车站附属结构（出入口、风亭风井、冷却塔、地面导向标牌等的装修组成）等。</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2.2.1.1.2</w:t>
      </w:r>
      <w:r>
        <w:rPr>
          <w:rFonts w:hint="eastAsia" w:ascii="宋体" w:hAnsi="宋体" w:eastAsia="宋体" w:cs="宋体"/>
          <w:color w:val="auto"/>
          <w:sz w:val="24"/>
          <w:szCs w:val="24"/>
          <w:highlight w:val="none"/>
        </w:rPr>
        <w:t>主变电所：主要由越兴路主变电所建筑物和构筑物及相应区域的附属设施装饰装修组成。</w:t>
      </w:r>
    </w:p>
    <w:p>
      <w:pPr>
        <w:keepNext w:val="0"/>
        <w:keepLines w:val="0"/>
        <w:pageBreakBefore w:val="0"/>
        <w:kinsoku/>
        <w:topLinePunct w:val="0"/>
        <w:bidi w:val="0"/>
        <w:adjustRightInd w:val="0"/>
        <w:snapToGrid w:val="0"/>
        <w:spacing w:line="400" w:lineRule="exact"/>
        <w:ind w:firstLine="482" w:firstLineChars="200"/>
        <w:outlineLvl w:val="3"/>
        <w:rPr>
          <w:rFonts w:hint="eastAsia" w:ascii="宋体" w:hAnsi="宋体" w:eastAsia="宋体" w:cs="宋体"/>
          <w:b/>
          <w:color w:val="auto"/>
          <w:sz w:val="24"/>
          <w:szCs w:val="24"/>
          <w:highlight w:val="none"/>
        </w:rPr>
      </w:pPr>
      <w:bookmarkStart w:id="41" w:name="_Toc846859963"/>
      <w:bookmarkStart w:id="42" w:name="_Toc24194"/>
      <w:bookmarkStart w:id="43" w:name="_Toc353952274"/>
      <w:bookmarkStart w:id="44" w:name="_Toc286264749"/>
      <w:r>
        <w:rPr>
          <w:rFonts w:hint="eastAsia" w:ascii="宋体" w:hAnsi="宋体" w:eastAsia="宋体" w:cs="宋体"/>
          <w:b/>
          <w:color w:val="auto"/>
          <w:sz w:val="24"/>
          <w:szCs w:val="24"/>
          <w:highlight w:val="none"/>
        </w:rPr>
        <w:t>2.2.2结构</w:t>
      </w:r>
      <w:bookmarkEnd w:id="41"/>
      <w:bookmarkEnd w:id="42"/>
      <w:bookmarkEnd w:id="43"/>
      <w:bookmarkEnd w:id="44"/>
    </w:p>
    <w:p>
      <w:pPr>
        <w:keepNext w:val="0"/>
        <w:keepLines w:val="0"/>
        <w:pageBreakBefore w:val="0"/>
        <w:kinsoku/>
        <w:topLinePunct w:val="0"/>
        <w:bidi w:val="0"/>
        <w:adjustRightInd w:val="0"/>
        <w:snapToGrid w:val="0"/>
        <w:spacing w:line="400" w:lineRule="exact"/>
        <w:ind w:firstLine="482" w:firstLineChars="200"/>
        <w:outlineLvl w:val="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2.2.2.1业务范围</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2.2.2.1.1隧道：由盾构隧道、整体道床、排水沟、人防门等构筑物结构组成。</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2.2.2.1.2联络通道：主要由2号线一期区间联络通道结构组成，包含通道门。</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2.2.2.1.3 疏散平台：主要由2号线一期区间疏散平台组成。</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2.2.2.1.4 车站：主要由正线9座车站主体结构、车站出入口、应急逃生口、风亭风井、风道、人防门等附属设施结构组成。</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2.2.2.1.5主变电所：主要由越兴路主变电所建筑物墙、板、梁、柱等混凝土结构组成。</w:t>
      </w:r>
    </w:p>
    <w:p>
      <w:pPr>
        <w:keepNext w:val="0"/>
        <w:keepLines w:val="0"/>
        <w:pageBreakBefore w:val="0"/>
        <w:kinsoku/>
        <w:topLinePunct w:val="0"/>
        <w:bidi w:val="0"/>
        <w:adjustRightInd w:val="0"/>
        <w:snapToGrid w:val="0"/>
        <w:spacing w:line="400" w:lineRule="exact"/>
        <w:ind w:firstLine="482" w:firstLineChars="200"/>
        <w:outlineLvl w:val="3"/>
        <w:rPr>
          <w:rFonts w:hint="eastAsia" w:ascii="宋体" w:hAnsi="宋体" w:eastAsia="宋体" w:cs="宋体"/>
          <w:b/>
          <w:color w:val="auto"/>
          <w:sz w:val="24"/>
          <w:szCs w:val="24"/>
          <w:highlight w:val="none"/>
        </w:rPr>
      </w:pPr>
      <w:bookmarkStart w:id="45" w:name="_Toc208726324"/>
      <w:bookmarkStart w:id="46" w:name="_Toc1647921900"/>
      <w:bookmarkStart w:id="47" w:name="_Toc1824967646"/>
      <w:bookmarkStart w:id="48" w:name="_Toc30605"/>
      <w:r>
        <w:rPr>
          <w:rFonts w:hint="eastAsia" w:ascii="宋体" w:hAnsi="宋体" w:eastAsia="宋体" w:cs="宋体"/>
          <w:b/>
          <w:color w:val="auto"/>
          <w:sz w:val="24"/>
          <w:szCs w:val="24"/>
          <w:highlight w:val="none"/>
        </w:rPr>
        <w:t>2.2.3地铁保护区巡视</w:t>
      </w:r>
      <w:bookmarkEnd w:id="45"/>
      <w:bookmarkEnd w:id="46"/>
      <w:bookmarkEnd w:id="47"/>
    </w:p>
    <w:p>
      <w:pPr>
        <w:keepNext w:val="0"/>
        <w:keepLines w:val="0"/>
        <w:pageBreakBefore w:val="0"/>
        <w:kinsoku/>
        <w:topLinePunct w:val="0"/>
        <w:bidi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2.2.3.1 2号线一期工程车站及其附属结构、区间隧道、越兴路主变电所等按绍兴市轨道交通管理条例划定的地铁保护区。</w:t>
      </w:r>
    </w:p>
    <w:p>
      <w:pPr>
        <w:keepNext w:val="0"/>
        <w:keepLines w:val="0"/>
        <w:pageBreakBefore w:val="0"/>
        <w:kinsoku/>
        <w:topLinePunct w:val="0"/>
        <w:bidi w:val="0"/>
        <w:adjustRightInd w:val="0"/>
        <w:snapToGrid w:val="0"/>
        <w:spacing w:line="400" w:lineRule="exact"/>
        <w:ind w:firstLine="482" w:firstLineChars="200"/>
        <w:outlineLvl w:val="3"/>
        <w:rPr>
          <w:rFonts w:hint="eastAsia" w:ascii="宋体" w:hAnsi="宋体" w:eastAsia="宋体" w:cs="宋体"/>
          <w:b/>
          <w:color w:val="auto"/>
          <w:sz w:val="24"/>
          <w:szCs w:val="24"/>
          <w:highlight w:val="none"/>
        </w:rPr>
      </w:pPr>
      <w:bookmarkStart w:id="49" w:name="_Toc1836248218"/>
      <w:bookmarkStart w:id="50" w:name="_Toc1574636917"/>
      <w:bookmarkStart w:id="51" w:name="_Toc1896965146"/>
      <w:r>
        <w:rPr>
          <w:rFonts w:hint="eastAsia" w:ascii="宋体" w:hAnsi="宋体" w:eastAsia="宋体" w:cs="宋体"/>
          <w:b/>
          <w:color w:val="auto"/>
          <w:sz w:val="24"/>
          <w:szCs w:val="24"/>
          <w:highlight w:val="none"/>
        </w:rPr>
        <w:t>2.2.4其他</w:t>
      </w:r>
      <w:bookmarkEnd w:id="48"/>
      <w:bookmarkEnd w:id="49"/>
      <w:bookmarkEnd w:id="50"/>
      <w:bookmarkEnd w:id="51"/>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2.2.4.1本项目维保服务与其他系统的维保接口界面详见“附录1”维保内容接口界面”，招标人维保界面调整时以最新接口界面文件为准。</w:t>
      </w:r>
    </w:p>
    <w:p>
      <w:pPr>
        <w:keepNext w:val="0"/>
        <w:keepLines w:val="0"/>
        <w:pageBreakBefore w:val="0"/>
        <w:kinsoku/>
        <w:topLinePunct w:val="0"/>
        <w:bidi w:val="0"/>
        <w:adjustRightInd w:val="0"/>
        <w:snapToGrid w:val="0"/>
        <w:spacing w:line="400" w:lineRule="exact"/>
        <w:ind w:firstLine="482" w:firstLineChars="200"/>
        <w:outlineLvl w:val="1"/>
        <w:rPr>
          <w:rFonts w:hint="eastAsia" w:ascii="宋体" w:hAnsi="宋体" w:eastAsia="宋体" w:cs="宋体"/>
          <w:b/>
          <w:color w:val="auto"/>
          <w:sz w:val="24"/>
          <w:szCs w:val="24"/>
          <w:highlight w:val="none"/>
        </w:rPr>
      </w:pPr>
      <w:bookmarkStart w:id="52" w:name="_Toc1121925149"/>
      <w:bookmarkStart w:id="53" w:name="_Toc1677603658"/>
      <w:bookmarkStart w:id="54" w:name="_Toc1746109903"/>
      <w:r>
        <w:rPr>
          <w:rFonts w:hint="eastAsia" w:ascii="宋体" w:hAnsi="宋体" w:eastAsia="宋体" w:cs="宋体"/>
          <w:b/>
          <w:color w:val="auto"/>
          <w:sz w:val="24"/>
          <w:szCs w:val="24"/>
          <w:highlight w:val="none"/>
        </w:rPr>
        <w:t>三、合同期限</w:t>
      </w:r>
      <w:bookmarkEnd w:id="52"/>
      <w:bookmarkEnd w:id="53"/>
      <w:bookmarkEnd w:id="54"/>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55" w:name="_Toc29892"/>
      <w:bookmarkStart w:id="56" w:name="_Toc24083"/>
      <w:bookmarkStart w:id="57" w:name="_Toc1373"/>
      <w:bookmarkStart w:id="58" w:name="_Toc30256"/>
      <w:bookmarkStart w:id="59" w:name="_Toc32249"/>
      <w:r>
        <w:rPr>
          <w:rFonts w:hint="eastAsia" w:ascii="宋体" w:hAnsi="宋体" w:eastAsia="宋体" w:cs="宋体"/>
          <w:color w:val="auto"/>
          <w:sz w:val="24"/>
          <w:szCs w:val="24"/>
          <w:highlight w:val="none"/>
        </w:rPr>
        <w:t>2号线一期房建结构委外维保服务期限为4</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个月，服务时间：投标人在收到中标通知书后组织进场，先期投标人维保管理人员共9人到岗，配合招标人完成对施工质量问题的记录、现场问题整改复核、配合跟进各类调试等。其余维修人员在</w:t>
      </w:r>
      <w:r>
        <w:rPr>
          <w:rFonts w:hint="eastAsia" w:ascii="宋体" w:hAnsi="宋体" w:eastAsia="宋体" w:cs="宋体"/>
          <w:color w:val="auto"/>
          <w:kern w:val="2"/>
          <w:sz w:val="24"/>
          <w:szCs w:val="24"/>
          <w:highlight w:val="none"/>
          <w:lang w:bidi="ar"/>
        </w:rPr>
        <w:t>初期运营质保期内</w:t>
      </w:r>
      <w:r>
        <w:rPr>
          <w:rFonts w:hint="eastAsia" w:ascii="宋体" w:hAnsi="宋体" w:eastAsia="宋体" w:cs="宋体"/>
          <w:color w:val="auto"/>
          <w:sz w:val="24"/>
          <w:szCs w:val="24"/>
          <w:highlight w:val="none"/>
        </w:rPr>
        <w:t>前，暂定2023年</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月1日（具体以试运行实际开始时间为准）全部完成取证进场，开展工作。具体起止时间以招标人书面通知为准。</w:t>
      </w:r>
      <w:bookmarkEnd w:id="55"/>
      <w:r>
        <w:rPr>
          <w:rFonts w:hint="eastAsia" w:ascii="宋体" w:hAnsi="宋体" w:eastAsia="宋体" w:cs="宋体"/>
          <w:color w:val="auto"/>
          <w:sz w:val="24"/>
          <w:szCs w:val="24"/>
          <w:highlight w:val="none"/>
        </w:rPr>
        <w:t>具体维保服务期限要求，见下表</w:t>
      </w:r>
    </w:p>
    <w:tbl>
      <w:tblPr>
        <w:tblStyle w:val="43"/>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3"/>
        <w:gridCol w:w="760"/>
        <w:gridCol w:w="3630"/>
        <w:gridCol w:w="1650"/>
        <w:gridCol w:w="708"/>
        <w:gridCol w:w="1436"/>
        <w:gridCol w:w="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序号</w:t>
            </w:r>
          </w:p>
        </w:tc>
        <w:tc>
          <w:tcPr>
            <w:tcW w:w="0" w:type="auto"/>
            <w:tcBorders>
              <w:top w:val="single" w:color="auto" w:sz="4" w:space="0"/>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阶段</w:t>
            </w:r>
          </w:p>
        </w:tc>
        <w:tc>
          <w:tcPr>
            <w:tcW w:w="3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起始时间</w:t>
            </w:r>
          </w:p>
        </w:tc>
        <w:tc>
          <w:tcPr>
            <w:tcW w:w="165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截止时间</w:t>
            </w:r>
          </w:p>
        </w:tc>
        <w:tc>
          <w:tcPr>
            <w:tcW w:w="0" w:type="auto"/>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服务时限</w:t>
            </w:r>
          </w:p>
        </w:tc>
        <w:tc>
          <w:tcPr>
            <w:tcW w:w="0" w:type="auto"/>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要求</w:t>
            </w:r>
          </w:p>
        </w:tc>
        <w:tc>
          <w:tcPr>
            <w:tcW w:w="0" w:type="auto"/>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0" w:type="auto"/>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0" w:type="auto"/>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筹备期</w:t>
            </w:r>
          </w:p>
        </w:tc>
        <w:tc>
          <w:tcPr>
            <w:tcW w:w="363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2023年</w:t>
            </w: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月1日</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（收到中标通知书后，具体时间以实际为准）</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2023年</w:t>
            </w: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月</w:t>
            </w:r>
            <w:r>
              <w:rPr>
                <w:rFonts w:hint="eastAsia" w:ascii="宋体" w:hAnsi="宋体" w:eastAsia="宋体" w:cs="宋体"/>
                <w:color w:val="auto"/>
                <w:kern w:val="0"/>
                <w:sz w:val="24"/>
                <w:szCs w:val="24"/>
                <w:highlight w:val="none"/>
                <w:lang w:val="en-US" w:eastAsia="zh-CN" w:bidi="ar"/>
              </w:rPr>
              <w:t>31</w:t>
            </w:r>
            <w:r>
              <w:rPr>
                <w:rFonts w:hint="eastAsia" w:ascii="宋体" w:hAnsi="宋体" w:eastAsia="宋体" w:cs="宋体"/>
                <w:color w:val="auto"/>
                <w:kern w:val="0"/>
                <w:sz w:val="24"/>
                <w:szCs w:val="24"/>
                <w:highlight w:val="none"/>
                <w:lang w:bidi="ar"/>
              </w:rPr>
              <w:t>日</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1（个月）</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投标人维保管理人员，共9人进场</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0" w:type="auto"/>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0" w:type="auto"/>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试运行期</w:t>
            </w:r>
          </w:p>
        </w:tc>
        <w:tc>
          <w:tcPr>
            <w:tcW w:w="363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2023年</w:t>
            </w: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月1日</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（具体以试运行实际开始时间为准）</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2023年6月30日</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（个月）</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投标人维保管理人员，共9人进场</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0" w:type="auto"/>
            <w:tcBorders>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0" w:type="auto"/>
            <w:tcBorders>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初期运营质保期内</w:t>
            </w:r>
          </w:p>
        </w:tc>
        <w:tc>
          <w:tcPr>
            <w:tcW w:w="363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2023年7月1日</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（具体时间以实际为准）</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2025年6月30日</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24（个月）</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全部人员进场</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0" w:type="auto"/>
            <w:tcBorders>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0" w:type="auto"/>
            <w:tcBorders>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质保期外</w:t>
            </w:r>
          </w:p>
        </w:tc>
        <w:tc>
          <w:tcPr>
            <w:tcW w:w="363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2025年7月1日</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（具体时间以实际为准）</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2026年6月30日</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12（个月）</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全部人员进场</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bookmarkEnd w:id="56"/>
      <w:bookmarkEnd w:id="57"/>
      <w:bookmarkEnd w:id="58"/>
      <w:bookmarkEnd w:id="59"/>
    </w:tbl>
    <w:p>
      <w:pPr>
        <w:keepNext w:val="0"/>
        <w:keepLines w:val="0"/>
        <w:pageBreakBefore w:val="0"/>
        <w:kinsoku/>
        <w:topLinePunct w:val="0"/>
        <w:bidi w:val="0"/>
        <w:adjustRightInd w:val="0"/>
        <w:snapToGrid w:val="0"/>
        <w:spacing w:line="400" w:lineRule="exact"/>
        <w:ind w:firstLine="482" w:firstLineChars="200"/>
        <w:outlineLvl w:val="1"/>
        <w:rPr>
          <w:rFonts w:hint="eastAsia" w:ascii="宋体" w:hAnsi="宋体" w:eastAsia="宋体" w:cs="宋体"/>
          <w:b/>
          <w:color w:val="auto"/>
          <w:sz w:val="24"/>
          <w:szCs w:val="24"/>
          <w:highlight w:val="none"/>
        </w:rPr>
      </w:pPr>
      <w:bookmarkStart w:id="60" w:name="_Toc907804027"/>
      <w:bookmarkStart w:id="61" w:name="_Toc1950159832"/>
      <w:bookmarkStart w:id="62" w:name="_Toc2012597555"/>
      <w:r>
        <w:rPr>
          <w:rFonts w:hint="eastAsia" w:ascii="宋体" w:hAnsi="宋体" w:eastAsia="宋体" w:cs="宋体"/>
          <w:b/>
          <w:color w:val="auto"/>
          <w:sz w:val="24"/>
          <w:szCs w:val="24"/>
          <w:highlight w:val="none"/>
        </w:rPr>
        <w:t>四、投标人要求</w:t>
      </w:r>
      <w:bookmarkEnd w:id="60"/>
      <w:bookmarkEnd w:id="61"/>
      <w:bookmarkEnd w:id="62"/>
    </w:p>
    <w:p>
      <w:pPr>
        <w:keepNext w:val="0"/>
        <w:keepLines w:val="0"/>
        <w:pageBreakBefore w:val="0"/>
        <w:kinsoku/>
        <w:topLinePunct w:val="0"/>
        <w:bidi w:val="0"/>
        <w:adjustRightInd w:val="0"/>
        <w:snapToGrid w:val="0"/>
        <w:spacing w:line="400" w:lineRule="exact"/>
        <w:ind w:firstLine="482" w:firstLineChars="200"/>
        <w:outlineLvl w:val="2"/>
        <w:rPr>
          <w:rFonts w:hint="eastAsia" w:ascii="宋体" w:hAnsi="宋体" w:eastAsia="宋体" w:cs="宋体"/>
          <w:b/>
          <w:color w:val="auto"/>
          <w:sz w:val="24"/>
          <w:szCs w:val="24"/>
          <w:highlight w:val="none"/>
        </w:rPr>
      </w:pPr>
      <w:bookmarkStart w:id="63" w:name="_Toc1590482320"/>
      <w:bookmarkStart w:id="64" w:name="_Toc601613440"/>
      <w:bookmarkStart w:id="65" w:name="_Toc824205611"/>
      <w:r>
        <w:rPr>
          <w:rFonts w:hint="eastAsia" w:ascii="宋体" w:hAnsi="宋体" w:eastAsia="宋体" w:cs="宋体"/>
          <w:b/>
          <w:color w:val="auto"/>
          <w:sz w:val="24"/>
          <w:szCs w:val="24"/>
          <w:highlight w:val="none"/>
        </w:rPr>
        <w:t>4.1人员管理</w:t>
      </w:r>
      <w:bookmarkEnd w:id="63"/>
      <w:bookmarkEnd w:id="64"/>
      <w:bookmarkEnd w:id="65"/>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维保人员条件应满足下述条件要求，对应符合国家执业资格要求的维护人员应提供执业资格证书原件，且后期的维护人员应与投标时人员一致。项目部所有人员进场前需经过业主的面试，若业主面试维护人员未达到业主要求时，业主有权利要求投标人更换符合要求的维保人员。</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投标人须提供项目负责人、技术员、安全员到岗前由投标人单位缴存的社保清单明细记录。</w:t>
      </w:r>
    </w:p>
    <w:p>
      <w:pPr>
        <w:keepNext w:val="0"/>
        <w:keepLines w:val="0"/>
        <w:pageBreakBefore w:val="0"/>
        <w:kinsoku/>
        <w:topLinePunct w:val="0"/>
        <w:bidi w:val="0"/>
        <w:spacing w:line="400" w:lineRule="exact"/>
        <w:outlineLvl w:val="3"/>
        <w:rPr>
          <w:rFonts w:hint="eastAsia" w:ascii="宋体" w:hAnsi="宋体" w:eastAsia="宋体" w:cs="宋体"/>
          <w:color w:val="auto"/>
          <w:sz w:val="24"/>
          <w:szCs w:val="24"/>
          <w:highlight w:val="none"/>
          <w:shd w:val="clear" w:color="auto" w:fill="FFFFFF"/>
        </w:rPr>
      </w:pPr>
      <w:bookmarkStart w:id="66" w:name="_Toc24284"/>
      <w:bookmarkStart w:id="67" w:name="_Toc1531590505"/>
      <w:bookmarkStart w:id="68" w:name="_Toc15361"/>
      <w:bookmarkStart w:id="69" w:name="_Toc20417"/>
      <w:bookmarkStart w:id="70" w:name="_Toc941254544"/>
      <w:bookmarkStart w:id="71" w:name="_Toc92411238"/>
      <w:bookmarkStart w:id="72" w:name="_Toc18554"/>
      <w:bookmarkStart w:id="73" w:name="_Toc28437"/>
      <w:r>
        <w:rPr>
          <w:rFonts w:hint="eastAsia" w:ascii="宋体" w:hAnsi="宋体" w:eastAsia="宋体" w:cs="宋体"/>
          <w:b/>
          <w:bCs/>
          <w:color w:val="auto"/>
          <w:sz w:val="24"/>
          <w:szCs w:val="24"/>
          <w:highlight w:val="none"/>
        </w:rPr>
        <w:t>4.1.1</w:t>
      </w:r>
      <w:r>
        <w:rPr>
          <w:rFonts w:hint="eastAsia" w:ascii="宋体" w:hAnsi="宋体" w:eastAsia="宋体" w:cs="宋体"/>
          <w:b/>
          <w:bCs/>
          <w:color w:val="auto"/>
          <w:sz w:val="24"/>
          <w:szCs w:val="24"/>
          <w:highlight w:val="none"/>
          <w:shd w:val="clear" w:color="auto" w:fill="FFFFFF"/>
        </w:rPr>
        <w:t>投标人各阶段最低常驻项目部人员配置标准</w:t>
      </w:r>
      <w:bookmarkEnd w:id="66"/>
      <w:bookmarkEnd w:id="67"/>
      <w:bookmarkEnd w:id="68"/>
      <w:bookmarkEnd w:id="69"/>
      <w:bookmarkEnd w:id="70"/>
      <w:bookmarkEnd w:id="71"/>
      <w:bookmarkEnd w:id="72"/>
      <w:bookmarkEnd w:id="73"/>
    </w:p>
    <w:tbl>
      <w:tblPr>
        <w:tblStyle w:val="43"/>
        <w:tblW w:w="0" w:type="auto"/>
        <w:tblInd w:w="0" w:type="dxa"/>
        <w:tblLayout w:type="fixed"/>
        <w:tblCellMar>
          <w:top w:w="0" w:type="dxa"/>
          <w:left w:w="0" w:type="dxa"/>
          <w:bottom w:w="0" w:type="dxa"/>
          <w:right w:w="0" w:type="dxa"/>
        </w:tblCellMar>
      </w:tblPr>
      <w:tblGrid>
        <w:gridCol w:w="824"/>
        <w:gridCol w:w="1083"/>
        <w:gridCol w:w="1485"/>
        <w:gridCol w:w="1590"/>
        <w:gridCol w:w="855"/>
        <w:gridCol w:w="1286"/>
        <w:gridCol w:w="1727"/>
      </w:tblGrid>
      <w:tr>
        <w:tblPrEx>
          <w:tblCellMar>
            <w:top w:w="0" w:type="dxa"/>
            <w:left w:w="0" w:type="dxa"/>
            <w:bottom w:w="0" w:type="dxa"/>
            <w:right w:w="0" w:type="dxa"/>
          </w:tblCellMar>
        </w:tblPrEx>
        <w:trPr>
          <w:trHeight w:val="232" w:hRule="atLeast"/>
        </w:trPr>
        <w:tc>
          <w:tcPr>
            <w:tcW w:w="824"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岗位</w:t>
            </w:r>
          </w:p>
        </w:tc>
        <w:tc>
          <w:tcPr>
            <w:tcW w:w="5013"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维保管理人员</w:t>
            </w:r>
          </w:p>
        </w:tc>
        <w:tc>
          <w:tcPr>
            <w:tcW w:w="1286"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巡检/维保人员</w:t>
            </w:r>
          </w:p>
        </w:tc>
        <w:tc>
          <w:tcPr>
            <w:tcW w:w="1727"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地铁保护巡查人员</w:t>
            </w:r>
          </w:p>
        </w:tc>
      </w:tr>
      <w:tr>
        <w:tblPrEx>
          <w:tblCellMar>
            <w:top w:w="0" w:type="dxa"/>
            <w:left w:w="0" w:type="dxa"/>
            <w:bottom w:w="0" w:type="dxa"/>
            <w:right w:w="0" w:type="dxa"/>
          </w:tblCellMar>
        </w:tblPrEx>
        <w:trPr>
          <w:trHeight w:val="570" w:hRule="atLeast"/>
        </w:trPr>
        <w:tc>
          <w:tcPr>
            <w:tcW w:w="824"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0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项目负责人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房建专业技术负责人</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结构专业技术负责人</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技术员</w:t>
            </w:r>
          </w:p>
        </w:tc>
        <w:tc>
          <w:tcPr>
            <w:tcW w:w="1286"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727"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75" w:hRule="atLeast"/>
        </w:trPr>
        <w:tc>
          <w:tcPr>
            <w:tcW w:w="8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需求人数</w:t>
            </w:r>
          </w:p>
        </w:tc>
        <w:tc>
          <w:tcPr>
            <w:tcW w:w="10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1485" w:type="dxa"/>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1590" w:type="dxa"/>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855" w:type="dxa"/>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w:t>
            </w:r>
          </w:p>
        </w:tc>
        <w:tc>
          <w:tcPr>
            <w:tcW w:w="17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r>
      <w:tr>
        <w:tblPrEx>
          <w:tblCellMar>
            <w:top w:w="0" w:type="dxa"/>
            <w:left w:w="0" w:type="dxa"/>
            <w:bottom w:w="0" w:type="dxa"/>
            <w:right w:w="0" w:type="dxa"/>
          </w:tblCellMar>
        </w:tblPrEx>
        <w:trPr>
          <w:trHeight w:val="534" w:hRule="atLeast"/>
        </w:trPr>
        <w:tc>
          <w:tcPr>
            <w:tcW w:w="885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topLinePunct w:val="0"/>
              <w:bidi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注：若因维保人员数量不足难以完成维保任务，投标人需无条件按招标人要求临时增加维保人员，投标人投标报价时需考虑相关费用，招标人不承担因此增加的人员费用。</w:t>
            </w:r>
          </w:p>
        </w:tc>
      </w:tr>
    </w:tbl>
    <w:p>
      <w:pPr>
        <w:keepNext w:val="0"/>
        <w:keepLines w:val="0"/>
        <w:pageBreakBefore w:val="0"/>
        <w:kinsoku/>
        <w:topLinePunct w:val="0"/>
        <w:bidi w:val="0"/>
        <w:spacing w:line="400" w:lineRule="exact"/>
        <w:outlineLvl w:val="3"/>
        <w:rPr>
          <w:rFonts w:hint="eastAsia" w:ascii="宋体" w:hAnsi="宋体" w:eastAsia="宋体" w:cs="宋体"/>
          <w:color w:val="auto"/>
          <w:sz w:val="24"/>
          <w:szCs w:val="24"/>
          <w:highlight w:val="none"/>
          <w:shd w:val="clear" w:color="auto" w:fill="FFFFFF"/>
        </w:rPr>
      </w:pPr>
      <w:bookmarkStart w:id="74" w:name="_Toc26784"/>
      <w:bookmarkStart w:id="75" w:name="_Toc13755"/>
      <w:bookmarkStart w:id="76" w:name="_Toc13848"/>
      <w:bookmarkStart w:id="77" w:name="_Toc418823935"/>
      <w:bookmarkStart w:id="78" w:name="_Toc121177410"/>
      <w:bookmarkStart w:id="79" w:name="_Toc21894"/>
      <w:bookmarkStart w:id="80" w:name="_Toc251842234"/>
      <w:bookmarkStart w:id="81" w:name="_Toc31144"/>
      <w:r>
        <w:rPr>
          <w:rFonts w:hint="eastAsia" w:ascii="宋体" w:hAnsi="宋体" w:eastAsia="宋体" w:cs="宋体"/>
          <w:b/>
          <w:bCs/>
          <w:color w:val="auto"/>
          <w:sz w:val="24"/>
          <w:szCs w:val="24"/>
          <w:highlight w:val="none"/>
        </w:rPr>
        <w:t>4.1.2</w:t>
      </w:r>
      <w:r>
        <w:rPr>
          <w:rFonts w:hint="eastAsia" w:ascii="宋体" w:hAnsi="宋体" w:eastAsia="宋体" w:cs="宋体"/>
          <w:b/>
          <w:bCs/>
          <w:color w:val="auto"/>
          <w:sz w:val="24"/>
          <w:szCs w:val="24"/>
          <w:highlight w:val="none"/>
          <w:shd w:val="clear" w:color="auto" w:fill="FFFFFF"/>
        </w:rPr>
        <w:t>维保工作人员的条件及要求</w:t>
      </w:r>
      <w:bookmarkEnd w:id="74"/>
      <w:bookmarkEnd w:id="75"/>
      <w:bookmarkEnd w:id="76"/>
      <w:bookmarkEnd w:id="77"/>
      <w:bookmarkEnd w:id="78"/>
      <w:bookmarkEnd w:id="79"/>
      <w:bookmarkEnd w:id="80"/>
      <w:bookmarkEnd w:id="81"/>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7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blHeader/>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right" w:leader="dot" w:pos="7980"/>
              </w:tabs>
              <w:kinsoku/>
              <w:topLinePunct w:val="0"/>
              <w:bidi w:val="0"/>
              <w:snapToGrid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sz w:val="24"/>
                <w:szCs w:val="24"/>
                <w:highlight w:val="none"/>
              </w:rPr>
              <w:t>维保工作人员条件及要求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7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岗位</w:t>
            </w:r>
          </w:p>
        </w:tc>
        <w:tc>
          <w:tcPr>
            <w:tcW w:w="42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条件及要求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项目经理</w:t>
            </w:r>
          </w:p>
        </w:tc>
        <w:tc>
          <w:tcPr>
            <w:tcW w:w="42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土木工程等相关专业大专学历及以上；工程类中级及以上技术职称或二级建造师执业资格（市政工程等相关专业）及以上；5年以上城市轨道交通项目管理经验；具有丰富现场维保经验，较强的沟通和组织能力。（本单位正式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房建专业技术负责人</w:t>
            </w:r>
          </w:p>
        </w:tc>
        <w:tc>
          <w:tcPr>
            <w:tcW w:w="42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土木工程等相关专业大专学历及以上；中级及以上技术职称；5年以上相关项目技术管理经验；具有丰富现场施工维保经验，较强的沟通和组织能力。（本单位正式职工）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结构专业技术负责人</w:t>
            </w:r>
          </w:p>
        </w:tc>
        <w:tc>
          <w:tcPr>
            <w:tcW w:w="42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土木工程等相关专业大专学历及以上；中级及以上技术职称；5年以上相关项目技术管理经验；具有丰富现场施工维保经验，较强的沟通和组织能力。（本单位正式职工）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技术员</w:t>
            </w:r>
          </w:p>
        </w:tc>
        <w:tc>
          <w:tcPr>
            <w:tcW w:w="42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土木工程等相关专业大专学历及以上；3年以上相关项目技术管理经验；持有初级职称或与房建结构相关的高级工及以上证书；现场经验丰富，具有一定的组织能力和协调能力；年龄不大于45岁，身体健康；条件优越者可适当放宽。（本单位正式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巡检/维保人员</w:t>
            </w:r>
          </w:p>
        </w:tc>
        <w:tc>
          <w:tcPr>
            <w:tcW w:w="42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10%的人员具备大中专学历及以上，其余人员具备高中学历及以上；3年以上相关施工或养护经验；年龄不大于50岁，身体健康；条件优越者可适当放宽。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地铁保护巡查人员</w:t>
            </w:r>
          </w:p>
        </w:tc>
        <w:tc>
          <w:tcPr>
            <w:tcW w:w="42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土木工程等相关专业大专学历及以上；3年以上相关项目经验；现场经验丰富，具有一定的协调沟通能力；熟练使用办公软件、GIS仪器（经培训后）；年龄不大于40岁，身体健康。</w:t>
            </w:r>
          </w:p>
        </w:tc>
      </w:tr>
    </w:tbl>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（1）投标人不得以任何理由抽调巡检/维保工作人员从事与本合同范围无关的工作。</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巡检/维保人员中必须含有若干名防水工、油漆工、桥隧维修工、瓦工、木工、焊工和电工等工种，巡检/维保人员应必须具有桥隧维护施工、地下工程防水施工、建筑装饰装修等工作经验，其中焊工和电工持证上岗，焊工不少于3人，低压电工不少于4人，高压电工不少于2人；另外，具备高空作业证人数不少于8人；其余工种至少配置1人。</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（3）投标人应具有项目造价，质检相应的业务能力，应按相关法律法规配置安全员。</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（4）根据劳动法相关规定，投标人需提供所有在本项目工作的人员的规范化劳动合同，更换人员需经甲方审核同意后并为其提供劳动合同，投标人按劳动法支付加班费用，办理政府规定的各类保险。</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（5）合同报价已包含了上述维保范围内所有费用（包含相关加班和超工时补贴，各类保险等），招标人不承担投标人报价以外的任何费用。</w:t>
      </w:r>
    </w:p>
    <w:p>
      <w:pPr>
        <w:keepNext w:val="0"/>
        <w:keepLines w:val="0"/>
        <w:pageBreakBefore w:val="0"/>
        <w:kinsoku/>
        <w:topLinePunct w:val="0"/>
        <w:bidi w:val="0"/>
        <w:spacing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（6）投标人维保人员需考取招标人组织的上岗证及其他相关证件，并服从招标人要求在开通前取得上岗证资质，在日常维保开工之前，所有维保人员</w:t>
      </w:r>
      <w:r>
        <w:rPr>
          <w:rFonts w:hint="eastAsia" w:ascii="宋体" w:hAnsi="宋体" w:eastAsia="宋体" w:cs="宋体"/>
          <w:bCs/>
          <w:color w:val="auto"/>
          <w:sz w:val="24"/>
          <w:szCs w:val="24"/>
          <w:highlight w:val="none"/>
        </w:rPr>
        <w:t>均需取得上岗资质。未按要求取得上岗证按</w:t>
      </w:r>
      <w:r>
        <w:rPr>
          <w:rFonts w:hint="eastAsia" w:ascii="宋体" w:hAnsi="宋体" w:eastAsia="宋体" w:cs="宋体"/>
          <w:color w:val="auto"/>
          <w:sz w:val="24"/>
          <w:szCs w:val="24"/>
          <w:highlight w:val="none"/>
        </w:rPr>
        <w:t>附录2</w:t>
      </w:r>
      <w:r>
        <w:rPr>
          <w:rFonts w:hint="eastAsia" w:ascii="宋体" w:hAnsi="宋体" w:eastAsia="宋体" w:cs="宋体"/>
          <w:bCs/>
          <w:color w:val="auto"/>
          <w:sz w:val="24"/>
          <w:szCs w:val="24"/>
          <w:highlight w:val="none"/>
        </w:rPr>
        <w:t>运营期间考核库第74条考核。</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投标人维保人员须通过招标人组织的施工负责人培训，并在规定时间内取得施工负责人证，在日常维保开工之前，投标人取证数量不得低于项目服务人员的20%。日常维保开工之日起两个月内，投标人取证数量不得低于项目服务人员的50%。未按要求考取施工负责人证的按附录2</w:t>
      </w:r>
      <w:r>
        <w:rPr>
          <w:rFonts w:hint="eastAsia" w:ascii="宋体" w:hAnsi="宋体" w:eastAsia="宋体" w:cs="宋体"/>
          <w:bCs/>
          <w:color w:val="auto"/>
          <w:sz w:val="24"/>
          <w:szCs w:val="24"/>
          <w:highlight w:val="none"/>
        </w:rPr>
        <w:t>运营期间考核库第75条考核。</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应遵守《中华人民共和国劳动法》、《中华人民共和国劳动合同法》、《中华人民共和国职业病防治法》等相关法律法规及规章制度，履行职业风险告知义务，定期组织职业健康检查，建立健全健康档案。</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（9）投标人维保人员均不得有违法乱纪行为，投标人维保项目部进场前需提供项目部所有人员无犯罪证明。</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（10）投标人必须按合同配置相应人员，并提供上述各项资源配置一览表，在招标人处进行备案。</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（11）投标人应根据招标人生产安排，在节假日及重大活动期间确保生产人员在岗，满足生产需求，并需根据招标人安排开展相应值守。</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人因管理不善等其他原因造成人员（含项目部员工）伤亡（工伤）的由投标人自行理赔，造成第三方损失的应独立应诉并承担相关费用，因维保管理不善，安全管理和技术管理缺陷造成运营重大损失的应行责任赔偿，构成违法犯罪的交公安机关处理。</w:t>
      </w:r>
    </w:p>
    <w:p>
      <w:pPr>
        <w:keepNext w:val="0"/>
        <w:keepLines w:val="0"/>
        <w:pageBreakBefore w:val="0"/>
        <w:kinsoku/>
        <w:topLinePunct w:val="0"/>
        <w:bidi w:val="0"/>
        <w:spacing w:line="400" w:lineRule="exact"/>
        <w:outlineLvl w:val="3"/>
        <w:rPr>
          <w:rFonts w:hint="eastAsia" w:ascii="宋体" w:hAnsi="宋体" w:eastAsia="宋体" w:cs="宋体"/>
          <w:b/>
          <w:bCs/>
          <w:color w:val="auto"/>
          <w:sz w:val="24"/>
          <w:szCs w:val="24"/>
          <w:highlight w:val="none"/>
        </w:rPr>
      </w:pPr>
      <w:bookmarkStart w:id="82" w:name="_Toc9898"/>
      <w:bookmarkStart w:id="83" w:name="_Toc24463"/>
      <w:bookmarkStart w:id="84" w:name="_Toc24030"/>
      <w:bookmarkStart w:id="85" w:name="_Toc19247"/>
      <w:bookmarkStart w:id="86" w:name="_Toc686414829"/>
      <w:bookmarkStart w:id="87" w:name="_Toc1300394918"/>
      <w:bookmarkStart w:id="88" w:name="_Toc1750620546"/>
      <w:r>
        <w:rPr>
          <w:rFonts w:hint="eastAsia" w:ascii="宋体" w:hAnsi="宋体" w:eastAsia="宋体" w:cs="宋体"/>
          <w:b/>
          <w:bCs/>
          <w:color w:val="auto"/>
          <w:sz w:val="24"/>
          <w:szCs w:val="24"/>
          <w:highlight w:val="none"/>
        </w:rPr>
        <w:t>4.1.3</w:t>
      </w:r>
      <w:bookmarkEnd w:id="82"/>
      <w:bookmarkEnd w:id="83"/>
      <w:bookmarkEnd w:id="84"/>
      <w:bookmarkEnd w:id="85"/>
      <w:r>
        <w:rPr>
          <w:rFonts w:hint="eastAsia" w:ascii="宋体" w:hAnsi="宋体" w:eastAsia="宋体" w:cs="宋体"/>
          <w:b/>
          <w:bCs/>
          <w:color w:val="auto"/>
          <w:sz w:val="24"/>
          <w:szCs w:val="24"/>
          <w:highlight w:val="none"/>
        </w:rPr>
        <w:t>项目组建要求</w:t>
      </w:r>
      <w:bookmarkEnd w:id="86"/>
      <w:bookmarkEnd w:id="87"/>
      <w:bookmarkEnd w:id="88"/>
    </w:p>
    <w:p>
      <w:pPr>
        <w:keepNext w:val="0"/>
        <w:keepLines w:val="0"/>
        <w:pageBreakBefore w:val="0"/>
        <w:kinsoku/>
        <w:topLinePunct w:val="0"/>
        <w:bidi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4.1.3.1 为保证项目的顺利进行，且工作质量、安全目标都能达到预期的要求，对于所承包的维保项目，投标人需成立专门机构（项目部）从事该项工作，设有专人（项目经理）负责，并按招标人设备投标检修管理规定建立相关组织。</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4.1.3</w:t>
      </w:r>
      <w:r>
        <w:rPr>
          <w:rFonts w:hint="eastAsia" w:ascii="宋体" w:hAnsi="宋体" w:eastAsia="宋体" w:cs="宋体"/>
          <w:color w:val="auto"/>
          <w:kern w:val="2"/>
          <w:sz w:val="24"/>
          <w:szCs w:val="24"/>
          <w:highlight w:val="none"/>
        </w:rPr>
        <w:t>.</w:t>
      </w:r>
      <w:r>
        <w:rPr>
          <w:rFonts w:hint="eastAsia" w:ascii="宋体" w:hAnsi="宋体" w:eastAsia="宋体" w:cs="宋体"/>
          <w:color w:val="auto"/>
          <w:sz w:val="24"/>
          <w:szCs w:val="24"/>
          <w:highlight w:val="none"/>
        </w:rPr>
        <w:t xml:space="preserve">2 </w:t>
      </w:r>
      <w:r>
        <w:rPr>
          <w:rFonts w:hint="eastAsia" w:ascii="宋体" w:hAnsi="宋体" w:eastAsia="宋体" w:cs="宋体"/>
          <w:color w:val="auto"/>
          <w:kern w:val="2"/>
          <w:sz w:val="24"/>
          <w:szCs w:val="24"/>
          <w:highlight w:val="none"/>
        </w:rPr>
        <w:t>投标人应建立健全人员管理体制，不断完善各项管理制度，组织架构图及岗位职责上墙公示。</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4.1.3.3 投标人必须提供其项目组织架构图及岗位职责。</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4.1.3</w:t>
      </w:r>
      <w:r>
        <w:rPr>
          <w:rFonts w:hint="eastAsia" w:ascii="宋体" w:hAnsi="宋体" w:eastAsia="宋体" w:cs="宋体"/>
          <w:color w:val="auto"/>
          <w:kern w:val="2"/>
          <w:sz w:val="24"/>
          <w:szCs w:val="24"/>
          <w:highlight w:val="none"/>
        </w:rPr>
        <w:t>.4</w:t>
      </w:r>
      <w:r>
        <w:rPr>
          <w:rFonts w:hint="eastAsia" w:ascii="宋体" w:hAnsi="宋体" w:eastAsia="宋体" w:cs="宋体"/>
          <w:color w:val="auto"/>
          <w:sz w:val="24"/>
          <w:szCs w:val="24"/>
          <w:highlight w:val="none"/>
        </w:rPr>
        <w:t xml:space="preserve"> 维修队伍应确保稳定，技术素质及技术人员搭配应满足生产需要及要求，因人员技术水平低，责任性差不符合招标人条件，招标人有权拒绝使用。</w:t>
      </w:r>
      <w:r>
        <w:rPr>
          <w:rFonts w:hint="eastAsia" w:ascii="宋体" w:hAnsi="宋体" w:eastAsia="宋体" w:cs="宋体"/>
          <w:color w:val="auto"/>
          <w:kern w:val="2"/>
          <w:sz w:val="24"/>
          <w:szCs w:val="24"/>
          <w:highlight w:val="none"/>
        </w:rPr>
        <w:t>人员的调换需征得招标人的同意，不得因人员调换影响生产工作。如有调整变更应及时将人员履历表、技术职称、有效原始证件复印件等上报招标人处。</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4.1.3.5 投标人必须将所有人员的具体名单、人员履历表、技术职称、有效原始证件复印件、管理维修人员配置表等报招标人。</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4.1.3</w:t>
      </w:r>
      <w:r>
        <w:rPr>
          <w:rFonts w:hint="eastAsia" w:ascii="宋体" w:hAnsi="宋体" w:eastAsia="宋体" w:cs="宋体"/>
          <w:color w:val="auto"/>
          <w:kern w:val="2"/>
          <w:sz w:val="24"/>
          <w:szCs w:val="24"/>
          <w:highlight w:val="none"/>
        </w:rPr>
        <w:t>.6 投标人应服从招标人生产安排，每日24小时及节假日期间，确保定编人员到岗到位，抢修人员保持24小时通讯畅通。</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4.1.3</w:t>
      </w:r>
      <w:r>
        <w:rPr>
          <w:rFonts w:hint="eastAsia" w:ascii="宋体" w:hAnsi="宋体" w:eastAsia="宋体" w:cs="宋体"/>
          <w:color w:val="auto"/>
          <w:kern w:val="2"/>
          <w:sz w:val="24"/>
          <w:szCs w:val="24"/>
          <w:highlight w:val="none"/>
        </w:rPr>
        <w:t>.7 投标人应充分考虑车站驻点值班排班计划，值班人员须按相关管理制度填写交接班台账，由招标人审核并不定期抽查计划执行情况。</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4.1.3</w:t>
      </w:r>
      <w:r>
        <w:rPr>
          <w:rFonts w:hint="eastAsia" w:ascii="宋体" w:hAnsi="宋体" w:eastAsia="宋体" w:cs="宋体"/>
          <w:color w:val="auto"/>
          <w:kern w:val="2"/>
          <w:sz w:val="24"/>
          <w:szCs w:val="24"/>
          <w:highlight w:val="none"/>
        </w:rPr>
        <w:t>.8 投标人的日常管理由投标人负责，包括人员的考勤、考核、工作安排等，招标人负责督促、检查。</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4.1.3</w:t>
      </w:r>
      <w:r>
        <w:rPr>
          <w:rFonts w:hint="eastAsia" w:ascii="宋体" w:hAnsi="宋体" w:eastAsia="宋体" w:cs="宋体"/>
          <w:color w:val="auto"/>
          <w:kern w:val="2"/>
          <w:sz w:val="24"/>
          <w:szCs w:val="24"/>
          <w:highlight w:val="none"/>
        </w:rPr>
        <w:t>.9 投标人应合理调节人员排班，保证当日每个检修班组人员的数量符合要求。</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4.1.3</w:t>
      </w:r>
      <w:r>
        <w:rPr>
          <w:rFonts w:hint="eastAsia" w:ascii="宋体" w:hAnsi="宋体" w:eastAsia="宋体" w:cs="宋体"/>
          <w:color w:val="auto"/>
          <w:kern w:val="2"/>
          <w:sz w:val="24"/>
          <w:szCs w:val="24"/>
          <w:highlight w:val="none"/>
        </w:rPr>
        <w:t>.10 投标人应保证员工的休假权利，严格控制加班加点时间。有加班时按规定发放加班工资或补助，其费用包含在合同总价中。</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4.1.3</w:t>
      </w:r>
      <w:r>
        <w:rPr>
          <w:rFonts w:hint="eastAsia" w:ascii="宋体" w:hAnsi="宋体" w:eastAsia="宋体" w:cs="宋体"/>
          <w:color w:val="auto"/>
          <w:kern w:val="2"/>
          <w:sz w:val="24"/>
          <w:szCs w:val="24"/>
          <w:highlight w:val="none"/>
        </w:rPr>
        <w:t>.11 投标人主要人员（包括项目经理、技术员等）须安排至少三人在车站办公地点驻班，离开绍兴市，必须提前向招标人报备，批准后方可离开。离开三天以内的需提前一天办理，离开超过三天的需要提前一周办理（若有特殊情况，根据实际情况处置），无特殊情况一次性不得超过15天。</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4.1.3</w:t>
      </w:r>
      <w:r>
        <w:rPr>
          <w:rFonts w:hint="eastAsia" w:ascii="宋体" w:hAnsi="宋体" w:eastAsia="宋体" w:cs="宋体"/>
          <w:color w:val="auto"/>
          <w:kern w:val="2"/>
          <w:sz w:val="24"/>
          <w:szCs w:val="24"/>
          <w:highlight w:val="none"/>
        </w:rPr>
        <w:t>.12 投标人应按照招标人要求参加招标人组织的相关会议。</w:t>
      </w:r>
    </w:p>
    <w:p>
      <w:pPr>
        <w:pStyle w:val="15"/>
        <w:keepNext w:val="0"/>
        <w:keepLines w:val="0"/>
        <w:pageBreakBefore w:val="0"/>
        <w:kinsoku/>
        <w:topLinePunct w:val="0"/>
        <w:bidi w:val="0"/>
        <w:spacing w:line="400" w:lineRule="exact"/>
        <w:ind w:firstLine="482"/>
        <w:outlineLvl w:val="2"/>
        <w:rPr>
          <w:rFonts w:hint="eastAsia" w:ascii="宋体" w:hAnsi="宋体" w:eastAsia="宋体" w:cs="宋体"/>
          <w:b/>
          <w:color w:val="auto"/>
          <w:sz w:val="24"/>
          <w:szCs w:val="24"/>
          <w:highlight w:val="none"/>
        </w:rPr>
      </w:pPr>
      <w:bookmarkStart w:id="89" w:name="_Toc1457495011"/>
      <w:bookmarkStart w:id="90" w:name="_Toc1099596031"/>
      <w:bookmarkStart w:id="91" w:name="_Toc1471431098"/>
      <w:r>
        <w:rPr>
          <w:rFonts w:hint="eastAsia" w:ascii="宋体" w:hAnsi="宋体" w:eastAsia="宋体" w:cs="宋体"/>
          <w:b/>
          <w:color w:val="auto"/>
          <w:sz w:val="24"/>
          <w:szCs w:val="24"/>
          <w:highlight w:val="none"/>
        </w:rPr>
        <w:t>4.2工器具及备品备件管理</w:t>
      </w:r>
      <w:bookmarkEnd w:id="89"/>
      <w:bookmarkEnd w:id="90"/>
      <w:bookmarkEnd w:id="91"/>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rPr>
      </w:pPr>
      <w:bookmarkStart w:id="92" w:name="_Toc825176410"/>
      <w:bookmarkStart w:id="93" w:name="_Toc687842633"/>
      <w:bookmarkStart w:id="94" w:name="_Toc922736460"/>
      <w:r>
        <w:rPr>
          <w:rFonts w:hint="eastAsia" w:ascii="宋体" w:hAnsi="宋体" w:eastAsia="宋体" w:cs="宋体"/>
          <w:b/>
          <w:bCs/>
          <w:color w:val="auto"/>
          <w:sz w:val="24"/>
          <w:szCs w:val="24"/>
          <w:highlight w:val="none"/>
        </w:rPr>
        <w:t>4.2.1工器具及机械设备管理</w:t>
      </w:r>
      <w:bookmarkEnd w:id="92"/>
      <w:bookmarkEnd w:id="93"/>
      <w:bookmarkEnd w:id="94"/>
    </w:p>
    <w:p>
      <w:pPr>
        <w:keepNext w:val="0"/>
        <w:keepLines w:val="0"/>
        <w:pageBreakBefore w:val="0"/>
        <w:kinsoku/>
        <w:topLinePunct w:val="0"/>
        <w:bidi w:val="0"/>
        <w:spacing w:line="400" w:lineRule="exact"/>
        <w:ind w:firstLine="480" w:firstLineChars="200"/>
        <w:outlineLvl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4.2.1.1投标人需按照房建结构维修范围配备日常维保的工器具，工器具均需投标人自行采购，投标人需在报价中提供工器具的清单。</w:t>
      </w:r>
    </w:p>
    <w:p>
      <w:pPr>
        <w:pStyle w:val="152"/>
        <w:keepNext w:val="0"/>
        <w:keepLines w:val="0"/>
        <w:pageBreakBefore w:val="0"/>
        <w:tabs>
          <w:tab w:val="center" w:pos="4201"/>
          <w:tab w:val="right" w:leader="dot" w:pos="9298"/>
        </w:tabs>
        <w:kinsoku/>
        <w:topLinePunct w:val="0"/>
        <w:bidi w:val="0"/>
        <w:spacing w:line="400" w:lineRule="exact"/>
        <w:ind w:firstLine="480"/>
        <w:outlineLvl w:val="4"/>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4.2.1.2 投标人的抢修工器具需在报价中提供相应的工器具清单。</w:t>
      </w:r>
    </w:p>
    <w:p>
      <w:pPr>
        <w:pStyle w:val="152"/>
        <w:keepNext w:val="0"/>
        <w:keepLines w:val="0"/>
        <w:pageBreakBefore w:val="0"/>
        <w:tabs>
          <w:tab w:val="center" w:pos="4201"/>
          <w:tab w:val="right" w:leader="dot" w:pos="9298"/>
        </w:tabs>
        <w:kinsoku/>
        <w:topLinePunct w:val="0"/>
        <w:bidi w:val="0"/>
        <w:spacing w:line="400" w:lineRule="exact"/>
        <w:ind w:firstLine="480"/>
        <w:outlineLvl w:val="4"/>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4.2.1.3 投标人涉及到的应送检的工器具应按规定进行检定，确保工器具有效，并做好送检记录留存工作，检定所涉及到的费用包含在综合单价中。</w:t>
      </w:r>
    </w:p>
    <w:p>
      <w:pPr>
        <w:keepNext w:val="0"/>
        <w:keepLines w:val="0"/>
        <w:pageBreakBefore w:val="0"/>
        <w:kinsoku/>
        <w:topLinePunct w:val="0"/>
        <w:bidi w:val="0"/>
        <w:spacing w:line="400" w:lineRule="exact"/>
        <w:ind w:firstLine="480" w:firstLineChars="200"/>
        <w:outlineLvl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4.2.1.4 投标人负责维修材料（包括油漆、汽油等危险品）、工具和人员的运输（投标人至少配备1辆11座以上带拖斗的交通工具(驾驶员及车辆使用等费用包含但不限于油费保险费等均由投标人自行承担），2辆续航里程不少于50公里的电动车（含备用电瓶），24小时停于地铁沿线的投标项目部，用于日常检修及应急抢修工作）。</w:t>
      </w:r>
    </w:p>
    <w:p>
      <w:pPr>
        <w:keepNext w:val="0"/>
        <w:keepLines w:val="0"/>
        <w:pageBreakBefore w:val="0"/>
        <w:kinsoku/>
        <w:topLinePunct w:val="0"/>
        <w:bidi w:val="0"/>
        <w:spacing w:line="400" w:lineRule="exact"/>
        <w:ind w:firstLine="480" w:firstLineChars="200"/>
        <w:outlineLvl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4.2.1.5 投标人维修生产过程所发生的一切交通费（招标人为投标人项目部成员配置进出车站的外服卡,具体情况根据招标人的相关文件规定执行）、通信费用由投标人承担，项目投标工作所需的工器具、办公用品、管理用具、劳保用品、安全防护用具、工作服（工作服的式样、标识需征得招标人同意）等均由投标人提供，包含在综合单价中。</w:t>
      </w:r>
    </w:p>
    <w:p>
      <w:pPr>
        <w:pStyle w:val="7"/>
        <w:keepNext w:val="0"/>
        <w:keepLines w:val="0"/>
        <w:pageBreakBefore w:val="0"/>
        <w:kinsoku/>
        <w:topLinePunct w:val="0"/>
        <w:bidi w:val="0"/>
        <w:spacing w:before="156" w:beforeLines="50" w:after="156" w:afterLines="50" w:line="400" w:lineRule="exact"/>
        <w:ind w:firstLine="481"/>
        <w:rPr>
          <w:rFonts w:hint="eastAsia" w:ascii="宋体" w:hAnsi="宋体" w:eastAsia="宋体" w:cs="宋体"/>
          <w:color w:val="auto"/>
          <w:sz w:val="24"/>
          <w:szCs w:val="24"/>
          <w:highlight w:val="none"/>
          <w:lang w:bidi="ar"/>
        </w:rPr>
      </w:pPr>
      <w:bookmarkStart w:id="95" w:name="_Toc4480"/>
      <w:bookmarkStart w:id="96" w:name="_Toc1444659354"/>
      <w:bookmarkStart w:id="97" w:name="_Toc519311577"/>
      <w:bookmarkStart w:id="98" w:name="_Toc1049393195"/>
      <w:bookmarkStart w:id="99" w:name="_Toc14175"/>
      <w:bookmarkStart w:id="100" w:name="_Toc144618759"/>
      <w:bookmarkStart w:id="101" w:name="_Toc206401925"/>
      <w:r>
        <w:rPr>
          <w:rFonts w:hint="eastAsia" w:ascii="宋体" w:hAnsi="宋体" w:eastAsia="宋体" w:cs="宋体"/>
          <w:bCs/>
          <w:color w:val="auto"/>
          <w:sz w:val="24"/>
          <w:szCs w:val="24"/>
          <w:highlight w:val="none"/>
        </w:rPr>
        <w:t>4.2.2备品备件及材料管理</w:t>
      </w:r>
      <w:bookmarkEnd w:id="95"/>
      <w:bookmarkEnd w:id="96"/>
      <w:bookmarkEnd w:id="97"/>
      <w:bookmarkEnd w:id="98"/>
    </w:p>
    <w:bookmarkEnd w:id="99"/>
    <w:bookmarkEnd w:id="100"/>
    <w:bookmarkEnd w:id="101"/>
    <w:p>
      <w:pPr>
        <w:keepNext w:val="0"/>
        <w:keepLines w:val="0"/>
        <w:pageBreakBefore w:val="0"/>
        <w:kinsoku/>
        <w:topLinePunct w:val="0"/>
        <w:bidi w:val="0"/>
        <w:spacing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4.2.2.1</w:t>
      </w:r>
      <w:r>
        <w:rPr>
          <w:rFonts w:hint="eastAsia" w:ascii="宋体" w:hAnsi="宋体" w:eastAsia="宋体" w:cs="宋体"/>
          <w:color w:val="auto"/>
          <w:sz w:val="24"/>
          <w:szCs w:val="24"/>
          <w:highlight w:val="none"/>
        </w:rPr>
        <w:t>投标人需按照房建结构招标维修范围配备所有日常维保的的备品备件（筹备期和试运行期无需投标人提供），投标人需在报价中提供备品备件的清单，使用材料均应为合格产品并提供合格证明，投标人对备品备件的质量负责。</w:t>
      </w:r>
    </w:p>
    <w:p>
      <w:pPr>
        <w:pStyle w:val="26"/>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4.2.2.2 </w:t>
      </w:r>
      <w:r>
        <w:rPr>
          <w:rFonts w:hint="eastAsia" w:ascii="宋体" w:hAnsi="宋体" w:eastAsia="宋体" w:cs="宋体"/>
          <w:color w:val="auto"/>
          <w:sz w:val="24"/>
          <w:szCs w:val="24"/>
          <w:highlight w:val="none"/>
        </w:rPr>
        <w:t>投标人应按照有关标准要求，采购本项目所需的所有材料，并向招标人提供产品合格证明和样本，投标人对材料质量负责。</w:t>
      </w:r>
    </w:p>
    <w:p>
      <w:pPr>
        <w:pStyle w:val="26"/>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4.2.2.3 </w:t>
      </w:r>
      <w:r>
        <w:rPr>
          <w:rFonts w:hint="eastAsia" w:ascii="宋体" w:hAnsi="宋体" w:eastAsia="宋体" w:cs="宋体"/>
          <w:color w:val="auto"/>
          <w:sz w:val="24"/>
          <w:szCs w:val="24"/>
          <w:highlight w:val="none"/>
        </w:rPr>
        <w:t>投标人采购的材料与设计或标准要求不符时，投标人应按招标人要求的时间运出施工（检修）场地，重新采购符合要求的产品，承担由此发生的费用和招标人的损失。</w:t>
      </w:r>
    </w:p>
    <w:p>
      <w:pPr>
        <w:pStyle w:val="26"/>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4.2.2.4 </w:t>
      </w:r>
      <w:r>
        <w:rPr>
          <w:rFonts w:hint="eastAsia" w:ascii="宋体" w:hAnsi="宋体" w:eastAsia="宋体" w:cs="宋体"/>
          <w:color w:val="auto"/>
          <w:sz w:val="24"/>
          <w:szCs w:val="24"/>
          <w:highlight w:val="none"/>
        </w:rPr>
        <w:t>投标人采购的材料在使用前，投标人应按招标人的要求进行检验或试验，试验费用由投标人承担。</w:t>
      </w:r>
    </w:p>
    <w:p>
      <w:pPr>
        <w:pStyle w:val="26"/>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4.2.2.5 </w:t>
      </w:r>
      <w:r>
        <w:rPr>
          <w:rFonts w:hint="eastAsia" w:ascii="宋体" w:hAnsi="宋体" w:eastAsia="宋体" w:cs="宋体"/>
          <w:color w:val="auto"/>
          <w:sz w:val="24"/>
          <w:szCs w:val="24"/>
          <w:highlight w:val="none"/>
        </w:rPr>
        <w:t>因发现投标人采购并使用不符合设计或标准要求的材料，致使投标维保工作不符合合同规定的质量要求，投标人应按招标人的要求进行修复、拆除或重新采购，投标人承担由此发生的费用和招标人的损失。</w:t>
      </w:r>
    </w:p>
    <w:p>
      <w:pPr>
        <w:keepNext w:val="0"/>
        <w:keepLines w:val="0"/>
        <w:pageBreakBefore w:val="0"/>
        <w:kinsoku/>
        <w:topLinePunct w:val="0"/>
        <w:bidi w:val="0"/>
        <w:spacing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4.2.2.6对于检修换下的废旧备件和材料，在检修结束后，投标人应及时派人回收到招标人规定的位置。备品备件、材料的申领、存储、使用、报废，应做好记录。</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bCs/>
          <w:color w:val="auto"/>
          <w:sz w:val="24"/>
          <w:szCs w:val="24"/>
          <w:highlight w:val="none"/>
        </w:rPr>
        <w:t>4.2.2.7</w:t>
      </w:r>
      <w:r>
        <w:rPr>
          <w:rFonts w:hint="eastAsia" w:ascii="宋体" w:hAnsi="宋体" w:eastAsia="宋体" w:cs="宋体"/>
          <w:color w:val="auto"/>
          <w:kern w:val="2"/>
          <w:sz w:val="24"/>
          <w:szCs w:val="24"/>
          <w:highlight w:val="none"/>
        </w:rPr>
        <w:t xml:space="preserve"> 投标人应派专人对耗材及备品备件进行管理，并建立相关台账。</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bCs/>
          <w:color w:val="auto"/>
          <w:sz w:val="24"/>
          <w:szCs w:val="24"/>
          <w:highlight w:val="none"/>
        </w:rPr>
        <w:t>4.2.2.8</w:t>
      </w:r>
      <w:r>
        <w:rPr>
          <w:rFonts w:hint="eastAsia" w:ascii="宋体" w:hAnsi="宋体" w:eastAsia="宋体" w:cs="宋体"/>
          <w:color w:val="auto"/>
          <w:kern w:val="2"/>
          <w:sz w:val="24"/>
          <w:szCs w:val="24"/>
          <w:highlight w:val="none"/>
        </w:rPr>
        <w:t xml:space="preserve"> 投标人耗材及备品备件的库存数量和质量需定期接受招标人检查。</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bCs/>
          <w:color w:val="auto"/>
          <w:sz w:val="24"/>
          <w:szCs w:val="24"/>
          <w:highlight w:val="none"/>
        </w:rPr>
        <w:t>4.2.2.9</w:t>
      </w:r>
      <w:r>
        <w:rPr>
          <w:rFonts w:hint="eastAsia" w:ascii="宋体" w:hAnsi="宋体" w:eastAsia="宋体" w:cs="宋体"/>
          <w:color w:val="auto"/>
          <w:kern w:val="2"/>
          <w:sz w:val="24"/>
          <w:szCs w:val="24"/>
          <w:highlight w:val="none"/>
        </w:rPr>
        <w:t xml:space="preserve"> 投标人需提供年度采购计划清单，由招标人审核通过以后进行实施，计划外的维修物资可通过零星采购，紧急需求等方式采购。</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4.2.2.10</w:t>
      </w:r>
      <w:r>
        <w:rPr>
          <w:rFonts w:hint="eastAsia" w:ascii="宋体" w:hAnsi="宋体" w:eastAsia="宋体" w:cs="宋体"/>
          <w:color w:val="auto"/>
          <w:kern w:val="2"/>
          <w:sz w:val="24"/>
          <w:szCs w:val="24"/>
          <w:highlight w:val="none"/>
        </w:rPr>
        <w:t xml:space="preserve"> 投标人负责废旧物资的回收，招标人按照相关要求负责废旧物资的处理。</w:t>
      </w:r>
    </w:p>
    <w:p>
      <w:pPr>
        <w:keepNext w:val="0"/>
        <w:keepLines w:val="0"/>
        <w:pageBreakBefore w:val="0"/>
        <w:kinsoku/>
        <w:topLinePunct w:val="0"/>
        <w:bidi w:val="0"/>
        <w:spacing w:line="400" w:lineRule="exact"/>
        <w:ind w:firstLine="482" w:firstLineChars="200"/>
        <w:outlineLvl w:val="2"/>
        <w:rPr>
          <w:rFonts w:hint="eastAsia" w:ascii="宋体" w:hAnsi="宋体" w:eastAsia="宋体" w:cs="宋体"/>
          <w:b/>
          <w:bCs/>
          <w:color w:val="auto"/>
          <w:sz w:val="24"/>
          <w:szCs w:val="24"/>
          <w:highlight w:val="none"/>
        </w:rPr>
      </w:pPr>
      <w:bookmarkStart w:id="102" w:name="_Toc1952245060"/>
      <w:bookmarkStart w:id="103" w:name="_Toc625088869"/>
      <w:bookmarkStart w:id="104" w:name="_Toc905984287"/>
      <w:r>
        <w:rPr>
          <w:rFonts w:hint="eastAsia" w:ascii="宋体" w:hAnsi="宋体" w:eastAsia="宋体" w:cs="宋体"/>
          <w:b/>
          <w:bCs/>
          <w:color w:val="auto"/>
          <w:sz w:val="24"/>
          <w:szCs w:val="24"/>
          <w:highlight w:val="none"/>
        </w:rPr>
        <w:t>4.3维保管理</w:t>
      </w:r>
      <w:bookmarkEnd w:id="102"/>
      <w:bookmarkEnd w:id="103"/>
      <w:bookmarkEnd w:id="104"/>
    </w:p>
    <w:p>
      <w:pPr>
        <w:keepNext w:val="0"/>
        <w:keepLines w:val="0"/>
        <w:pageBreakBefore w:val="0"/>
        <w:kinsoku/>
        <w:topLinePunct w:val="0"/>
        <w:bidi w:val="0"/>
        <w:spacing w:before="156" w:beforeLines="50" w:after="156" w:afterLines="50" w:line="400" w:lineRule="exact"/>
        <w:ind w:firstLine="482" w:firstLineChars="200"/>
        <w:outlineLvl w:val="3"/>
        <w:rPr>
          <w:rFonts w:hint="eastAsia" w:ascii="宋体" w:hAnsi="宋体" w:eastAsia="宋体" w:cs="宋体"/>
          <w:b/>
          <w:bCs/>
          <w:color w:val="auto"/>
          <w:sz w:val="24"/>
          <w:szCs w:val="24"/>
          <w:highlight w:val="none"/>
        </w:rPr>
      </w:pPr>
      <w:bookmarkStart w:id="105" w:name="_Toc2059819848"/>
      <w:bookmarkStart w:id="106" w:name="_Toc26733"/>
      <w:bookmarkStart w:id="107" w:name="_Toc2025888368"/>
      <w:bookmarkStart w:id="108" w:name="_Toc327679066"/>
      <w:r>
        <w:rPr>
          <w:rFonts w:hint="eastAsia" w:ascii="宋体" w:hAnsi="宋体" w:eastAsia="宋体" w:cs="宋体"/>
          <w:b/>
          <w:bCs/>
          <w:color w:val="auto"/>
          <w:sz w:val="24"/>
          <w:szCs w:val="24"/>
          <w:highlight w:val="none"/>
        </w:rPr>
        <w:t>4.3.1维保模式说明</w:t>
      </w:r>
      <w:bookmarkEnd w:id="105"/>
      <w:bookmarkEnd w:id="106"/>
      <w:bookmarkEnd w:id="107"/>
      <w:bookmarkEnd w:id="108"/>
    </w:p>
    <w:p>
      <w:pPr>
        <w:keepNext w:val="0"/>
        <w:keepLines w:val="0"/>
        <w:pageBreakBefore w:val="0"/>
        <w:kinsoku/>
        <w:topLinePunct w:val="0"/>
        <w:bidi w:val="0"/>
        <w:spacing w:line="400" w:lineRule="exact"/>
        <w:ind w:firstLine="482" w:firstLineChars="200"/>
        <w:outlineLvl w:val="4"/>
        <w:rPr>
          <w:rFonts w:hint="eastAsia" w:ascii="宋体" w:hAnsi="宋体" w:eastAsia="宋体" w:cs="宋体"/>
          <w:b/>
          <w:bCs/>
          <w:color w:val="auto"/>
          <w:sz w:val="24"/>
          <w:szCs w:val="24"/>
          <w:highlight w:val="none"/>
        </w:rPr>
      </w:pPr>
      <w:bookmarkStart w:id="109" w:name="_Toc19835"/>
      <w:bookmarkStart w:id="110" w:name="_Toc6219"/>
      <w:bookmarkStart w:id="111" w:name="_Toc5326"/>
      <w:bookmarkStart w:id="112" w:name="_Toc19514"/>
      <w:bookmarkStart w:id="113" w:name="_Toc20096"/>
      <w:r>
        <w:rPr>
          <w:rFonts w:hint="eastAsia" w:ascii="宋体" w:hAnsi="宋体" w:eastAsia="宋体" w:cs="宋体"/>
          <w:b/>
          <w:bCs/>
          <w:color w:val="auto"/>
          <w:sz w:val="24"/>
          <w:szCs w:val="24"/>
          <w:highlight w:val="none"/>
        </w:rPr>
        <w:t>4.3.1.1维保主要工作</w:t>
      </w:r>
      <w:bookmarkEnd w:id="109"/>
      <w:bookmarkEnd w:id="110"/>
      <w:bookmarkEnd w:id="111"/>
      <w:bookmarkEnd w:id="112"/>
      <w:bookmarkEnd w:id="113"/>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在地铁沿线提供投标人值班场所，投标人需按要求配备办公家具和办公设备，并固定人员24小时值班，项目部所有人员应保持24小时通讯畅通。投标人应组织专门的维保施工（检修）队伍，对招标人的房建结构和装饰等设施设备进行巡检、维护保养、计划检修、施工监管、应急故障处理、事故抢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地铁保护区巡查及车站离壁沟和区间排水沟清理以及</w:t>
      </w:r>
      <w:r>
        <w:rPr>
          <w:rFonts w:hint="eastAsia" w:ascii="宋体" w:hAnsi="宋体" w:eastAsia="宋体" w:cs="宋体"/>
          <w:color w:val="auto"/>
          <w:sz w:val="24"/>
          <w:szCs w:val="24"/>
          <w:highlight w:val="none"/>
        </w:rPr>
        <w:t>与其他专业的配合等各项工作，保证设备运行安全、稳定、可靠。</w:t>
      </w:r>
    </w:p>
    <w:p>
      <w:pPr>
        <w:keepNext w:val="0"/>
        <w:keepLines w:val="0"/>
        <w:pageBreakBefore w:val="0"/>
        <w:kinsoku/>
        <w:topLinePunct w:val="0"/>
        <w:bidi w:val="0"/>
        <w:spacing w:line="400" w:lineRule="exact"/>
        <w:ind w:firstLine="481"/>
        <w:outlineLvl w:val="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4.3.1.1.1质保期内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（1）运营期前：学习管理规章与技术规程并考核合格；开展</w:t>
      </w:r>
      <w:r>
        <w:rPr>
          <w:rFonts w:hint="eastAsia" w:ascii="宋体" w:hAnsi="宋体" w:eastAsia="宋体" w:cs="宋体"/>
          <w:color w:val="auto"/>
          <w:kern w:val="0"/>
          <w:sz w:val="24"/>
          <w:szCs w:val="24"/>
          <w:highlight w:val="none"/>
        </w:rPr>
        <w:t>人员技能培训提高和应急演练；配合工器具物资计划、管理；参与新线工程介入，开通前的检查验收和接管进驻以及后期质保期管理工作，主要包括新线房建结构设备设施缺陷、病害、建筑垃圾等问题的统计、记录，形成检查报告，给出初步处理建议及协调、跟踪、处置等工作，</w:t>
      </w:r>
      <w:r>
        <w:rPr>
          <w:rFonts w:hint="eastAsia" w:ascii="宋体" w:hAnsi="宋体" w:eastAsia="宋体" w:cs="宋体"/>
          <w:color w:val="auto"/>
          <w:kern w:val="0"/>
          <w:sz w:val="24"/>
          <w:szCs w:val="24"/>
          <w:highlight w:val="none"/>
          <w:lang w:val="en-GB"/>
        </w:rPr>
        <w:t>根据招标人要求，对招标人相关人员进行培训</w:t>
      </w:r>
      <w:r>
        <w:rPr>
          <w:rFonts w:hint="eastAsia" w:ascii="宋体" w:hAnsi="宋体" w:eastAsia="宋体" w:cs="宋体"/>
          <w:color w:val="auto"/>
          <w:kern w:val="0"/>
          <w:sz w:val="24"/>
          <w:szCs w:val="24"/>
          <w:highlight w:val="none"/>
        </w:rPr>
        <w:t>。</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（2）运营期巡检：投标人按要求配备固定的房建结构巡检人员，按照招标人的检修规程及其他相关规定制定巡检计划，</w:t>
      </w:r>
      <w:r>
        <w:rPr>
          <w:rFonts w:hint="eastAsia" w:ascii="宋体" w:hAnsi="宋体" w:eastAsia="宋体" w:cs="宋体"/>
          <w:color w:val="auto"/>
          <w:sz w:val="24"/>
          <w:szCs w:val="24"/>
          <w:highlight w:val="none"/>
        </w:rPr>
        <w:t>经审核批准后执行，形成巡检报告，给出初步处理建议。若投标人有巡检计划的合理化建议，可向招标人书面建议。</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（3）运营期</w:t>
      </w:r>
      <w:r>
        <w:rPr>
          <w:rFonts w:hint="eastAsia" w:ascii="宋体" w:hAnsi="宋体" w:eastAsia="宋体" w:cs="宋体"/>
          <w:color w:val="auto"/>
          <w:sz w:val="24"/>
          <w:szCs w:val="24"/>
          <w:highlight w:val="none"/>
        </w:rPr>
        <w:t>计划检修与保养：投标人按招标人的检修规程</w:t>
      </w:r>
      <w:r>
        <w:rPr>
          <w:rFonts w:hint="eastAsia" w:ascii="宋体" w:hAnsi="宋体" w:eastAsia="宋体" w:cs="宋体"/>
          <w:color w:val="auto"/>
          <w:kern w:val="0"/>
          <w:sz w:val="24"/>
          <w:szCs w:val="24"/>
          <w:highlight w:val="none"/>
        </w:rPr>
        <w:t>及其他相关规定</w:t>
      </w:r>
      <w:r>
        <w:rPr>
          <w:rFonts w:hint="eastAsia" w:ascii="宋体" w:hAnsi="宋体" w:eastAsia="宋体" w:cs="宋体"/>
          <w:color w:val="auto"/>
          <w:sz w:val="24"/>
          <w:szCs w:val="24"/>
          <w:highlight w:val="none"/>
        </w:rPr>
        <w:t>制定维修保养计划，经审核批准后执行，作业内容及标准按招标人的检修规程和国家及行业的有关规范中的要求和规定执行。若投标人有计划检修的合理化建议，可向招标人书面建议。</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（4）运营期</w:t>
      </w:r>
      <w:r>
        <w:rPr>
          <w:rFonts w:hint="eastAsia" w:ascii="宋体" w:hAnsi="宋体" w:eastAsia="宋体" w:cs="宋体"/>
          <w:color w:val="auto"/>
          <w:sz w:val="24"/>
          <w:szCs w:val="24"/>
          <w:highlight w:val="none"/>
        </w:rPr>
        <w:t>临修：由招标人根据设备运行情况或在工作时发现的设备问题，临时增加的零星检修维护工作，非计划检修内进行的及时处理和修复，投标人按要求完成处理，并按要求记录。</w:t>
      </w:r>
    </w:p>
    <w:p>
      <w:pPr>
        <w:pStyle w:val="19"/>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（5）运营期故障维修：</w:t>
      </w:r>
      <w:r>
        <w:rPr>
          <w:rFonts w:hint="eastAsia" w:ascii="宋体" w:hAnsi="宋体" w:eastAsia="宋体" w:cs="宋体"/>
          <w:color w:val="auto"/>
          <w:sz w:val="24"/>
          <w:szCs w:val="24"/>
          <w:highlight w:val="none"/>
          <w:lang w:bidi="ar"/>
        </w:rPr>
        <w:t>质保期内维修工作属质保范围，由原施工单位负责。若原施工单位不进行维修，投标人需听从招标人的安排进行维修，</w:t>
      </w:r>
      <w:r>
        <w:rPr>
          <w:rStyle w:val="51"/>
          <w:rFonts w:hint="eastAsia" w:ascii="宋体" w:hAnsi="宋体" w:eastAsia="宋体" w:cs="宋体"/>
          <w:color w:val="auto"/>
          <w:sz w:val="24"/>
          <w:szCs w:val="24"/>
          <w:highlight w:val="none"/>
          <w:lang w:bidi="ar"/>
        </w:rPr>
        <w:t>相关费用</w:t>
      </w:r>
      <w:r>
        <w:rPr>
          <w:rFonts w:hint="eastAsia" w:ascii="宋体" w:hAnsi="宋体" w:eastAsia="宋体" w:cs="宋体"/>
          <w:color w:val="auto"/>
          <w:sz w:val="24"/>
          <w:szCs w:val="24"/>
          <w:highlight w:val="none"/>
          <w:lang w:bidi="ar"/>
        </w:rPr>
        <w:t>按合同零星工程清单进行结算，若清单中未包含的由投标人综合考虑，包含在总价内，不得拒绝</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（6）运营期</w:t>
      </w:r>
      <w:r>
        <w:rPr>
          <w:rFonts w:hint="eastAsia" w:ascii="宋体" w:hAnsi="宋体" w:eastAsia="宋体" w:cs="宋体"/>
          <w:color w:val="auto"/>
          <w:sz w:val="24"/>
          <w:szCs w:val="24"/>
          <w:highlight w:val="none"/>
        </w:rPr>
        <w:t>值班与抢修：投标人设有专人值班和专业的应急抢修队，当发生紧急故障影响正常运营时，在接到抢修信息后投标人需携带工具、材料在30分钟内到达现场，立即进行有效的抢修工作。或根据事件紧急程度，按招标人要求及时到达。</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（7）运营期配合工作：</w:t>
      </w:r>
      <w:r>
        <w:rPr>
          <w:rFonts w:hint="eastAsia" w:ascii="宋体" w:hAnsi="宋体" w:eastAsia="宋体" w:cs="宋体"/>
          <w:color w:val="auto"/>
          <w:kern w:val="0"/>
          <w:sz w:val="24"/>
          <w:szCs w:val="24"/>
          <w:highlight w:val="none"/>
          <w:lang w:eastAsia="zh-Hans"/>
        </w:rPr>
        <w:t>接受</w:t>
      </w:r>
      <w:r>
        <w:rPr>
          <w:rFonts w:hint="eastAsia" w:ascii="宋体" w:hAnsi="宋体" w:eastAsia="宋体" w:cs="宋体"/>
          <w:color w:val="auto"/>
          <w:kern w:val="0"/>
          <w:sz w:val="24"/>
          <w:szCs w:val="24"/>
          <w:highlight w:val="none"/>
        </w:rPr>
        <w:t>招标人</w:t>
      </w:r>
      <w:r>
        <w:rPr>
          <w:rFonts w:hint="eastAsia" w:ascii="宋体" w:hAnsi="宋体" w:eastAsia="宋体" w:cs="宋体"/>
          <w:color w:val="auto"/>
          <w:kern w:val="0"/>
          <w:sz w:val="24"/>
          <w:szCs w:val="24"/>
          <w:highlight w:val="none"/>
          <w:lang w:eastAsia="zh-Hans"/>
        </w:rPr>
        <w:t>管理和</w:t>
      </w:r>
      <w:r>
        <w:rPr>
          <w:rFonts w:hint="eastAsia" w:ascii="宋体" w:hAnsi="宋体" w:eastAsia="宋体" w:cs="宋体"/>
          <w:color w:val="auto"/>
          <w:kern w:val="0"/>
          <w:sz w:val="24"/>
          <w:szCs w:val="24"/>
          <w:highlight w:val="none"/>
        </w:rPr>
        <w:t>维修</w:t>
      </w:r>
      <w:r>
        <w:rPr>
          <w:rFonts w:hint="eastAsia" w:ascii="宋体" w:hAnsi="宋体" w:eastAsia="宋体" w:cs="宋体"/>
          <w:color w:val="auto"/>
          <w:kern w:val="0"/>
          <w:sz w:val="24"/>
          <w:szCs w:val="24"/>
          <w:highlight w:val="none"/>
          <w:lang w:eastAsia="zh-Hans"/>
        </w:rPr>
        <w:t>调度指挥、应急调度指挥，</w:t>
      </w:r>
      <w:r>
        <w:rPr>
          <w:rFonts w:hint="eastAsia" w:ascii="宋体" w:hAnsi="宋体" w:eastAsia="宋体" w:cs="宋体"/>
          <w:color w:val="auto"/>
          <w:kern w:val="0"/>
          <w:sz w:val="24"/>
          <w:szCs w:val="24"/>
          <w:highlight w:val="none"/>
        </w:rPr>
        <w:t>配合其他专业计划性检修、故障抢修、项目改造、重大活动、应急抢险的保障配合、招标人应急预案演练工作、配合外单位故障修复，并对外单位施工进行监管等。</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lang w:eastAsia="zh-Hans"/>
        </w:rPr>
      </w:pPr>
      <w:r>
        <w:rPr>
          <w:rFonts w:hint="eastAsia" w:ascii="宋体" w:hAnsi="宋体" w:eastAsia="宋体" w:cs="宋体"/>
          <w:color w:val="auto"/>
          <w:kern w:val="0"/>
          <w:sz w:val="24"/>
          <w:szCs w:val="24"/>
          <w:highlight w:val="none"/>
        </w:rPr>
        <w:t>（8）</w:t>
      </w:r>
      <w:r>
        <w:rPr>
          <w:rFonts w:hint="eastAsia" w:ascii="宋体" w:hAnsi="宋体" w:eastAsia="宋体" w:cs="宋体"/>
          <w:color w:val="auto"/>
          <w:sz w:val="24"/>
          <w:szCs w:val="24"/>
          <w:highlight w:val="none"/>
          <w:lang w:eastAsia="zh-Hans"/>
        </w:rPr>
        <w:t>台帐管理：</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eastAsia="zh-Hans"/>
        </w:rPr>
        <w:t>应按照</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eastAsia="zh-Hans"/>
        </w:rPr>
        <w:t>相关制度与要求，做好生产、安全、统计、计划等记录、台帐及报表。</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培训管理：投标人应定期对应急机构各人员进行培训，确保应急抢险人员掌握必要的岗位技能，能较好的完成抢险工作。投标人应服从招标人的培训取证管理，包括但不限于房建结构专业的应急抢险培训，包含设备维修部其他专业的应急抢险培训。投标人需安排人员接受培训，在取得相应专业培训上岗证后，服从招标人要求参与设备维修部的其他专业的应急抢险工作，</w:t>
      </w:r>
      <w:r>
        <w:rPr>
          <w:rFonts w:hint="eastAsia" w:ascii="宋体" w:hAnsi="宋体" w:eastAsia="宋体" w:cs="宋体"/>
          <w:color w:val="auto"/>
          <w:kern w:val="0"/>
          <w:sz w:val="24"/>
          <w:szCs w:val="24"/>
          <w:highlight w:val="none"/>
          <w:lang w:val="en-GB"/>
        </w:rPr>
        <w:t>根据招标人要求，对投标人相关人员进行培训</w:t>
      </w:r>
      <w:r>
        <w:rPr>
          <w:rFonts w:hint="eastAsia" w:ascii="宋体" w:hAnsi="宋体" w:eastAsia="宋体" w:cs="宋体"/>
          <w:color w:val="auto"/>
          <w:sz w:val="24"/>
          <w:szCs w:val="24"/>
          <w:highlight w:val="none"/>
        </w:rPr>
        <w:t>。</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（10）其他配合工作：</w:t>
      </w:r>
      <w:r>
        <w:rPr>
          <w:rFonts w:hint="eastAsia" w:ascii="宋体" w:hAnsi="宋体" w:eastAsia="宋体" w:cs="宋体"/>
          <w:color w:val="auto"/>
          <w:sz w:val="24"/>
          <w:szCs w:val="24"/>
          <w:highlight w:val="none"/>
          <w:lang w:eastAsia="zh-Hans"/>
        </w:rPr>
        <w:t>配合</w:t>
      </w:r>
      <w:r>
        <w:rPr>
          <w:rFonts w:hint="eastAsia" w:ascii="宋体" w:hAnsi="宋体" w:eastAsia="宋体" w:cs="宋体"/>
          <w:color w:val="auto"/>
          <w:sz w:val="24"/>
          <w:szCs w:val="24"/>
          <w:highlight w:val="none"/>
        </w:rPr>
        <w:t>招标人</w:t>
      </w:r>
      <w:r>
        <w:rPr>
          <w:rFonts w:hint="eastAsia" w:ascii="宋体" w:hAnsi="宋体" w:eastAsia="宋体" w:cs="宋体"/>
          <w:color w:val="auto"/>
          <w:sz w:val="24"/>
          <w:szCs w:val="24"/>
          <w:highlight w:val="none"/>
          <w:lang w:eastAsia="zh-Hans"/>
        </w:rPr>
        <w:t>进行质量体系建设和各类审计、内控等工作</w:t>
      </w:r>
      <w:r>
        <w:rPr>
          <w:rFonts w:hint="eastAsia" w:ascii="宋体" w:hAnsi="宋体" w:eastAsia="宋体" w:cs="宋体"/>
          <w:color w:val="auto"/>
          <w:sz w:val="24"/>
          <w:szCs w:val="24"/>
          <w:highlight w:val="none"/>
        </w:rPr>
        <w:t>，以及其它招标人要求的临时性配合工作。</w:t>
      </w:r>
    </w:p>
    <w:p>
      <w:pPr>
        <w:pStyle w:val="322"/>
        <w:keepNext w:val="0"/>
        <w:keepLines w:val="0"/>
        <w:pageBreakBefore w:val="0"/>
        <w:kinsoku/>
        <w:topLinePunct w:val="0"/>
        <w:bidi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4.3.1.1.2质保期外</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（1）运营期巡检：投标人按要求配备固定的房建结构巡检人员，按照招标人的检修规程及其他相关规定制定巡检计划，</w:t>
      </w:r>
      <w:r>
        <w:rPr>
          <w:rFonts w:hint="eastAsia" w:ascii="宋体" w:hAnsi="宋体" w:eastAsia="宋体" w:cs="宋体"/>
          <w:color w:val="auto"/>
          <w:sz w:val="24"/>
          <w:szCs w:val="24"/>
          <w:highlight w:val="none"/>
        </w:rPr>
        <w:t>经审核批准后执行，形成巡检报告，给出初步处理建议。若投标人有巡检计划的合理化建议，可向招标人书面建议。</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（2）运营期</w:t>
      </w:r>
      <w:r>
        <w:rPr>
          <w:rFonts w:hint="eastAsia" w:ascii="宋体" w:hAnsi="宋体" w:eastAsia="宋体" w:cs="宋体"/>
          <w:color w:val="auto"/>
          <w:sz w:val="24"/>
          <w:szCs w:val="24"/>
          <w:highlight w:val="none"/>
        </w:rPr>
        <w:t>计划检修与保养：投标人按招标人的检修规程</w:t>
      </w:r>
      <w:r>
        <w:rPr>
          <w:rFonts w:hint="eastAsia" w:ascii="宋体" w:hAnsi="宋体" w:eastAsia="宋体" w:cs="宋体"/>
          <w:color w:val="auto"/>
          <w:kern w:val="0"/>
          <w:sz w:val="24"/>
          <w:szCs w:val="24"/>
          <w:highlight w:val="none"/>
        </w:rPr>
        <w:t>及其他相关规定</w:t>
      </w:r>
      <w:r>
        <w:rPr>
          <w:rFonts w:hint="eastAsia" w:ascii="宋体" w:hAnsi="宋体" w:eastAsia="宋体" w:cs="宋体"/>
          <w:color w:val="auto"/>
          <w:sz w:val="24"/>
          <w:szCs w:val="24"/>
          <w:highlight w:val="none"/>
        </w:rPr>
        <w:t>制定维修保养计划，经审核批准后执行，作业内容及标准按招标人的检修规程和国家及行业的有关规范中的要求和规定执行。若投标人有计划检修的合理化建议，可向招标人书面建议。</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（3）运营期</w:t>
      </w:r>
      <w:r>
        <w:rPr>
          <w:rFonts w:hint="eastAsia" w:ascii="宋体" w:hAnsi="宋体" w:eastAsia="宋体" w:cs="宋体"/>
          <w:color w:val="auto"/>
          <w:sz w:val="24"/>
          <w:szCs w:val="24"/>
          <w:highlight w:val="none"/>
        </w:rPr>
        <w:t>临修：由招标人根据设备运行情况或在工作时发现的设备问题，临时增加的零星检修维护工作，非计划检修内进行的及时处理和修复，投标人按要求完成处理，并按要求记录。</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（4）运营期</w:t>
      </w:r>
      <w:r>
        <w:rPr>
          <w:rFonts w:hint="eastAsia" w:ascii="宋体" w:hAnsi="宋体" w:eastAsia="宋体" w:cs="宋体"/>
          <w:color w:val="auto"/>
          <w:sz w:val="24"/>
          <w:szCs w:val="24"/>
          <w:highlight w:val="none"/>
        </w:rPr>
        <w:t>故障处理：质保期外的所有维修工作由投标人负责。当设备发生故障时，投标人在发现或接报后应立即处理，不得影响运营（在不影响运营情况下在采取应急措施后可安排临修计划），原则上故障必须在24小时内处理完毕。对于暂时无法解决的故障，应在确保运营安全的条件下将故障情况和治理方案以书面的形式及时报告招标人。</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（5）运营期</w:t>
      </w:r>
      <w:r>
        <w:rPr>
          <w:rFonts w:hint="eastAsia" w:ascii="宋体" w:hAnsi="宋体" w:eastAsia="宋体" w:cs="宋体"/>
          <w:color w:val="auto"/>
          <w:sz w:val="24"/>
          <w:szCs w:val="24"/>
          <w:highlight w:val="none"/>
        </w:rPr>
        <w:t>值班与抢修：投标人设有专人值班和专业的应急抢修队，当发生紧急故障影响正常运营时，在接到抢修信息后投标人需携带工具、材料在30分钟内到达现场，立即进行有效的抢修工作。或根据事件紧急程度，按招标人要求及时到达。如需调集项目部以外的后援队伍和设备，相关费用投标人自行考虑，包含在总价内。）</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（6）运营期配合工作：</w:t>
      </w:r>
      <w:r>
        <w:rPr>
          <w:rFonts w:hint="eastAsia" w:ascii="宋体" w:hAnsi="宋体" w:eastAsia="宋体" w:cs="宋体"/>
          <w:color w:val="auto"/>
          <w:kern w:val="0"/>
          <w:sz w:val="24"/>
          <w:szCs w:val="24"/>
          <w:highlight w:val="none"/>
          <w:lang w:eastAsia="zh-Hans"/>
        </w:rPr>
        <w:t>接受</w:t>
      </w:r>
      <w:r>
        <w:rPr>
          <w:rFonts w:hint="eastAsia" w:ascii="宋体" w:hAnsi="宋体" w:eastAsia="宋体" w:cs="宋体"/>
          <w:color w:val="auto"/>
          <w:kern w:val="0"/>
          <w:sz w:val="24"/>
          <w:szCs w:val="24"/>
          <w:highlight w:val="none"/>
        </w:rPr>
        <w:t>招标人</w:t>
      </w:r>
      <w:r>
        <w:rPr>
          <w:rFonts w:hint="eastAsia" w:ascii="宋体" w:hAnsi="宋体" w:eastAsia="宋体" w:cs="宋体"/>
          <w:color w:val="auto"/>
          <w:kern w:val="0"/>
          <w:sz w:val="24"/>
          <w:szCs w:val="24"/>
          <w:highlight w:val="none"/>
          <w:lang w:eastAsia="zh-Hans"/>
        </w:rPr>
        <w:t>管理和</w:t>
      </w:r>
      <w:r>
        <w:rPr>
          <w:rFonts w:hint="eastAsia" w:ascii="宋体" w:hAnsi="宋体" w:eastAsia="宋体" w:cs="宋体"/>
          <w:color w:val="auto"/>
          <w:kern w:val="0"/>
          <w:sz w:val="24"/>
          <w:szCs w:val="24"/>
          <w:highlight w:val="none"/>
        </w:rPr>
        <w:t>维修</w:t>
      </w:r>
      <w:r>
        <w:rPr>
          <w:rFonts w:hint="eastAsia" w:ascii="宋体" w:hAnsi="宋体" w:eastAsia="宋体" w:cs="宋体"/>
          <w:color w:val="auto"/>
          <w:kern w:val="0"/>
          <w:sz w:val="24"/>
          <w:szCs w:val="24"/>
          <w:highlight w:val="none"/>
          <w:lang w:eastAsia="zh-Hans"/>
        </w:rPr>
        <w:t>调度指挥、应急调度指挥，</w:t>
      </w:r>
      <w:r>
        <w:rPr>
          <w:rFonts w:hint="eastAsia" w:ascii="宋体" w:hAnsi="宋体" w:eastAsia="宋体" w:cs="宋体"/>
          <w:color w:val="auto"/>
          <w:kern w:val="0"/>
          <w:sz w:val="24"/>
          <w:szCs w:val="24"/>
          <w:highlight w:val="none"/>
        </w:rPr>
        <w:t>配合其他专业计划性检修、故障抢修、项目改造、重大活动、应急抢险的保障配合、招标人应急预案演练工作、配合外单位故障修复，并对外单位施工进行监管等。。</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lang w:eastAsia="zh-Hans"/>
        </w:rPr>
      </w:pPr>
      <w:r>
        <w:rPr>
          <w:rFonts w:hint="eastAsia" w:ascii="宋体" w:hAnsi="宋体" w:eastAsia="宋体" w:cs="宋体"/>
          <w:color w:val="auto"/>
          <w:kern w:val="0"/>
          <w:sz w:val="24"/>
          <w:szCs w:val="24"/>
          <w:highlight w:val="none"/>
        </w:rPr>
        <w:t>（7）</w:t>
      </w:r>
      <w:r>
        <w:rPr>
          <w:rFonts w:hint="eastAsia" w:ascii="宋体" w:hAnsi="宋体" w:eastAsia="宋体" w:cs="宋体"/>
          <w:color w:val="auto"/>
          <w:sz w:val="24"/>
          <w:szCs w:val="24"/>
          <w:highlight w:val="none"/>
          <w:lang w:eastAsia="zh-Hans"/>
        </w:rPr>
        <w:t>台帐管理：</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eastAsia="zh-Hans"/>
        </w:rPr>
        <w:t>应按照</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eastAsia="zh-Hans"/>
        </w:rPr>
        <w:t>相关制度与要求，做好生产、安全、统计、计划等记录、台帐及报表。</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培训管理：投标人应定期对应急机构各人员进行培训，确保应急抢险人员掌握必要的岗位技能，能较好的完成抢险工作。投标人应服从招标人的培训取证管理，包括但不限于房建结构专业的应急抢险培训，包含设备维修部其他专业的应急抢险培训。投标人需安排人员接受培训，在取得相应专业培训上岗证后，服从招标人要求参与设备维修部的其他专业的应急抢险工作，</w:t>
      </w:r>
      <w:r>
        <w:rPr>
          <w:rFonts w:hint="eastAsia" w:ascii="宋体" w:hAnsi="宋体" w:eastAsia="宋体" w:cs="宋体"/>
          <w:color w:val="auto"/>
          <w:kern w:val="0"/>
          <w:sz w:val="24"/>
          <w:szCs w:val="24"/>
          <w:highlight w:val="none"/>
          <w:lang w:val="en-GB"/>
        </w:rPr>
        <w:t>根据招标人要求，对投标人相关人员进行培训</w:t>
      </w:r>
      <w:r>
        <w:rPr>
          <w:rFonts w:hint="eastAsia" w:ascii="宋体" w:hAnsi="宋体" w:eastAsia="宋体" w:cs="宋体"/>
          <w:color w:val="auto"/>
          <w:sz w:val="24"/>
          <w:szCs w:val="24"/>
          <w:highlight w:val="none"/>
        </w:rPr>
        <w:t>。</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（9）其他配合工作：</w:t>
      </w:r>
      <w:r>
        <w:rPr>
          <w:rFonts w:hint="eastAsia" w:ascii="宋体" w:hAnsi="宋体" w:eastAsia="宋体" w:cs="宋体"/>
          <w:color w:val="auto"/>
          <w:sz w:val="24"/>
          <w:szCs w:val="24"/>
          <w:highlight w:val="none"/>
          <w:lang w:eastAsia="zh-Hans"/>
        </w:rPr>
        <w:t>配合</w:t>
      </w:r>
      <w:r>
        <w:rPr>
          <w:rFonts w:hint="eastAsia" w:ascii="宋体" w:hAnsi="宋体" w:eastAsia="宋体" w:cs="宋体"/>
          <w:color w:val="auto"/>
          <w:sz w:val="24"/>
          <w:szCs w:val="24"/>
          <w:highlight w:val="none"/>
        </w:rPr>
        <w:t>招标人</w:t>
      </w:r>
      <w:r>
        <w:rPr>
          <w:rFonts w:hint="eastAsia" w:ascii="宋体" w:hAnsi="宋体" w:eastAsia="宋体" w:cs="宋体"/>
          <w:color w:val="auto"/>
          <w:sz w:val="24"/>
          <w:szCs w:val="24"/>
          <w:highlight w:val="none"/>
          <w:lang w:eastAsia="zh-Hans"/>
        </w:rPr>
        <w:t>进行质量体系建设和各类审计、内控等工作</w:t>
      </w:r>
      <w:r>
        <w:rPr>
          <w:rFonts w:hint="eastAsia" w:ascii="宋体" w:hAnsi="宋体" w:eastAsia="宋体" w:cs="宋体"/>
          <w:color w:val="auto"/>
          <w:sz w:val="24"/>
          <w:szCs w:val="24"/>
          <w:highlight w:val="none"/>
        </w:rPr>
        <w:t>，以及其它招标人要求的临时性配合工作。</w:t>
      </w:r>
    </w:p>
    <w:p>
      <w:pPr>
        <w:keepNext w:val="0"/>
        <w:keepLines w:val="0"/>
        <w:pageBreakBefore w:val="0"/>
        <w:kinsoku/>
        <w:topLinePunct w:val="0"/>
        <w:bidi w:val="0"/>
        <w:spacing w:line="400" w:lineRule="exact"/>
        <w:ind w:firstLine="482" w:firstLineChars="200"/>
        <w:outlineLvl w:val="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4.3.1.2地铁保护区巡查主要工作</w:t>
      </w:r>
    </w:p>
    <w:p>
      <w:pPr>
        <w:keepNext w:val="0"/>
        <w:keepLines w:val="0"/>
        <w:pageBreakBefore w:val="0"/>
        <w:kinsoku/>
        <w:topLinePunct w:val="0"/>
        <w:bidi w:val="0"/>
        <w:spacing w:line="400" w:lineRule="exact"/>
        <w:ind w:firstLine="480" w:firstLineChars="200"/>
        <w:rPr>
          <w:rFonts w:hint="eastAsia" w:ascii="宋体" w:hAnsi="宋体" w:eastAsia="宋体" w:cs="宋体"/>
          <w:b/>
          <w:color w:val="auto"/>
          <w:sz w:val="24"/>
          <w:szCs w:val="24"/>
          <w:highlight w:val="none"/>
        </w:rPr>
      </w:pPr>
      <w:bookmarkStart w:id="114" w:name="_Toc1389377671"/>
      <w:r>
        <w:rPr>
          <w:rFonts w:hint="eastAsia" w:ascii="宋体" w:hAnsi="宋体" w:eastAsia="宋体" w:cs="宋体"/>
          <w:color w:val="auto"/>
          <w:sz w:val="24"/>
          <w:szCs w:val="24"/>
          <w:highlight w:val="none"/>
        </w:rPr>
        <w:t>应按照招标人相关规章制度及要求，认真组织、严密实施线路巡查工作，负责对绍兴地铁2号线一期工程的保护区范围（详见附录3）进行日常巡查及重点项目</w:t>
      </w:r>
      <w:r>
        <w:rPr>
          <w:rFonts w:hint="eastAsia" w:ascii="宋体" w:hAnsi="宋体" w:eastAsia="宋体" w:cs="宋体"/>
          <w:color w:val="auto"/>
          <w:sz w:val="24"/>
          <w:szCs w:val="24"/>
          <w:highlight w:val="none"/>
          <w:lang w:val="en-US" w:eastAsia="zh-CN"/>
        </w:rPr>
        <w:t>监管</w:t>
      </w:r>
      <w:r>
        <w:rPr>
          <w:rFonts w:hint="eastAsia" w:ascii="宋体" w:hAnsi="宋体" w:eastAsia="宋体" w:cs="宋体"/>
          <w:color w:val="auto"/>
          <w:sz w:val="24"/>
          <w:szCs w:val="24"/>
          <w:highlight w:val="none"/>
        </w:rPr>
        <w:t>巡查，及时发现保护区安全隐患或违规作业活动，建立巡查、隐患跟踪记录。</w:t>
      </w:r>
    </w:p>
    <w:p>
      <w:pPr>
        <w:pStyle w:val="2"/>
        <w:keepNext w:val="0"/>
        <w:keepLines w:val="0"/>
        <w:pageBreakBefore w:val="0"/>
        <w:kinsoku/>
        <w:topLinePunct w:val="0"/>
        <w:bidi w:val="0"/>
        <w:spacing w:before="0" w:after="0" w:line="400" w:lineRule="exact"/>
        <w:ind w:firstLine="482" w:firstLineChars="200"/>
        <w:jc w:val="left"/>
        <w:outlineLvl w:val="9"/>
        <w:rPr>
          <w:rFonts w:hint="eastAsia" w:ascii="宋体" w:hAnsi="宋体" w:eastAsia="宋体" w:cs="宋体"/>
          <w:color w:val="auto"/>
          <w:kern w:val="2"/>
          <w:sz w:val="24"/>
          <w:szCs w:val="24"/>
          <w:highlight w:val="none"/>
        </w:rPr>
      </w:pPr>
      <w:bookmarkStart w:id="115" w:name="_Toc1586132766"/>
      <w:bookmarkStart w:id="116" w:name="_Toc1235450687"/>
      <w:bookmarkStart w:id="117" w:name="_Toc964260291"/>
      <w:bookmarkStart w:id="118" w:name="_Toc1472071468"/>
      <w:r>
        <w:rPr>
          <w:rFonts w:hint="eastAsia" w:ascii="宋体" w:hAnsi="宋体" w:eastAsia="宋体" w:cs="宋体"/>
          <w:color w:val="auto"/>
          <w:kern w:val="2"/>
          <w:sz w:val="24"/>
          <w:szCs w:val="24"/>
          <w:highlight w:val="none"/>
        </w:rPr>
        <w:t>4.3.1.2.1工作内容</w:t>
      </w:r>
      <w:bookmarkEnd w:id="115"/>
      <w:bookmarkEnd w:id="116"/>
      <w:bookmarkEnd w:id="117"/>
      <w:bookmarkEnd w:id="118"/>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color w:val="auto"/>
          <w:kern w:val="2"/>
          <w:sz w:val="24"/>
          <w:szCs w:val="24"/>
          <w:highlight w:val="none"/>
        </w:rPr>
      </w:pPr>
      <w:bookmarkStart w:id="119" w:name="_Toc1183394607"/>
      <w:bookmarkStart w:id="120" w:name="_Toc1720296698"/>
      <w:bookmarkStart w:id="121" w:name="_Toc925301552"/>
      <w:bookmarkStart w:id="122" w:name="_Toc1544461326"/>
      <w:r>
        <w:rPr>
          <w:rFonts w:hint="eastAsia" w:ascii="宋体" w:hAnsi="宋体" w:eastAsia="宋体" w:cs="宋体"/>
          <w:b w:val="0"/>
          <w:color w:val="auto"/>
          <w:kern w:val="2"/>
          <w:sz w:val="24"/>
          <w:szCs w:val="24"/>
          <w:highlight w:val="none"/>
        </w:rPr>
        <w:t>本项目包括但不仅限于以下主要内容：</w:t>
      </w:r>
      <w:bookmarkEnd w:id="119"/>
      <w:bookmarkEnd w:id="120"/>
      <w:bookmarkEnd w:id="121"/>
      <w:bookmarkEnd w:id="122"/>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color w:val="auto"/>
          <w:kern w:val="2"/>
          <w:sz w:val="24"/>
          <w:szCs w:val="24"/>
          <w:highlight w:val="none"/>
        </w:rPr>
      </w:pPr>
      <w:bookmarkStart w:id="123" w:name="_Toc320735927"/>
      <w:bookmarkStart w:id="124" w:name="_Toc144686096"/>
      <w:bookmarkStart w:id="125" w:name="_Toc399736190"/>
      <w:bookmarkStart w:id="126" w:name="_Toc1764149320"/>
      <w:r>
        <w:rPr>
          <w:rFonts w:hint="eastAsia" w:ascii="宋体" w:hAnsi="宋体" w:eastAsia="宋体" w:cs="宋体"/>
          <w:b w:val="0"/>
          <w:color w:val="auto"/>
          <w:kern w:val="2"/>
          <w:sz w:val="24"/>
          <w:szCs w:val="24"/>
          <w:highlight w:val="none"/>
        </w:rPr>
        <w:t>（1）绍兴轨道交通2号线一期工程划定的保护区内的日常巡查、重点项目巡查及问题上报、相关台账记录等；</w:t>
      </w:r>
      <w:bookmarkEnd w:id="123"/>
      <w:bookmarkEnd w:id="124"/>
      <w:bookmarkEnd w:id="125"/>
      <w:bookmarkEnd w:id="126"/>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color w:val="auto"/>
          <w:kern w:val="2"/>
          <w:sz w:val="24"/>
          <w:szCs w:val="24"/>
          <w:highlight w:val="none"/>
        </w:rPr>
      </w:pPr>
      <w:bookmarkStart w:id="127" w:name="_Toc1607855554"/>
      <w:bookmarkStart w:id="128" w:name="_Toc114060737"/>
      <w:bookmarkStart w:id="129" w:name="_Toc1484706835"/>
      <w:bookmarkStart w:id="130" w:name="_Toc462778417"/>
      <w:r>
        <w:rPr>
          <w:rFonts w:hint="eastAsia" w:ascii="宋体" w:hAnsi="宋体" w:eastAsia="宋体" w:cs="宋体"/>
          <w:b w:val="0"/>
          <w:color w:val="auto"/>
          <w:kern w:val="2"/>
          <w:sz w:val="24"/>
          <w:szCs w:val="24"/>
          <w:highlight w:val="none"/>
        </w:rPr>
        <w:t>（2）绍兴轨道交通2号线一期工程划定的保护区警示桩、警示牌的布设及维护；</w:t>
      </w:r>
      <w:bookmarkEnd w:id="127"/>
      <w:bookmarkEnd w:id="128"/>
      <w:bookmarkEnd w:id="129"/>
      <w:bookmarkEnd w:id="130"/>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bCs/>
          <w:color w:val="auto"/>
          <w:kern w:val="2"/>
          <w:sz w:val="24"/>
          <w:szCs w:val="24"/>
          <w:highlight w:val="none"/>
        </w:rPr>
      </w:pPr>
      <w:bookmarkStart w:id="131" w:name="_Toc2101216872"/>
      <w:bookmarkStart w:id="132" w:name="_Toc152266272"/>
      <w:bookmarkStart w:id="133" w:name="_Toc2067171489"/>
      <w:bookmarkStart w:id="134" w:name="_Toc1584692049"/>
      <w:r>
        <w:rPr>
          <w:rFonts w:hint="eastAsia" w:ascii="宋体" w:hAnsi="宋体" w:eastAsia="宋体" w:cs="宋体"/>
          <w:b w:val="0"/>
          <w:color w:val="auto"/>
          <w:kern w:val="2"/>
          <w:sz w:val="24"/>
          <w:szCs w:val="24"/>
          <w:highlight w:val="none"/>
        </w:rPr>
        <w:t>（3）绍兴轨道交通2号线一期工程划定的保护区内出现结构变形、设备损伤等异常情况时应派人员到现场配合处理。</w:t>
      </w:r>
      <w:bookmarkEnd w:id="131"/>
      <w:bookmarkEnd w:id="132"/>
      <w:bookmarkEnd w:id="133"/>
      <w:bookmarkEnd w:id="134"/>
    </w:p>
    <w:p>
      <w:pPr>
        <w:pStyle w:val="2"/>
        <w:keepNext w:val="0"/>
        <w:keepLines w:val="0"/>
        <w:pageBreakBefore w:val="0"/>
        <w:kinsoku/>
        <w:topLinePunct w:val="0"/>
        <w:bidi w:val="0"/>
        <w:spacing w:before="0" w:after="0" w:line="400" w:lineRule="exact"/>
        <w:ind w:firstLine="482" w:firstLineChars="200"/>
        <w:jc w:val="left"/>
        <w:outlineLvl w:val="9"/>
        <w:rPr>
          <w:rFonts w:hint="eastAsia" w:ascii="宋体" w:hAnsi="宋体" w:eastAsia="宋体" w:cs="宋体"/>
          <w:color w:val="auto"/>
          <w:kern w:val="2"/>
          <w:sz w:val="24"/>
          <w:szCs w:val="24"/>
          <w:highlight w:val="none"/>
        </w:rPr>
      </w:pPr>
      <w:bookmarkStart w:id="135" w:name="_Toc1386123492"/>
      <w:bookmarkStart w:id="136" w:name="_Toc1888347774"/>
      <w:bookmarkStart w:id="137" w:name="_Toc1683646776"/>
      <w:bookmarkStart w:id="138" w:name="_Toc1183747397"/>
      <w:r>
        <w:rPr>
          <w:rFonts w:hint="eastAsia" w:ascii="宋体" w:hAnsi="宋体" w:eastAsia="宋体" w:cs="宋体"/>
          <w:color w:val="auto"/>
          <w:kern w:val="2"/>
          <w:sz w:val="24"/>
          <w:szCs w:val="24"/>
          <w:highlight w:val="none"/>
        </w:rPr>
        <w:t>4.3.1.2.2工作职责</w:t>
      </w:r>
      <w:bookmarkEnd w:id="135"/>
      <w:bookmarkEnd w:id="136"/>
      <w:bookmarkEnd w:id="137"/>
      <w:bookmarkEnd w:id="138"/>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bCs/>
          <w:color w:val="auto"/>
          <w:kern w:val="2"/>
          <w:sz w:val="24"/>
          <w:szCs w:val="24"/>
          <w:highlight w:val="none"/>
        </w:rPr>
      </w:pPr>
      <w:bookmarkStart w:id="139" w:name="_Toc1212281891"/>
      <w:bookmarkStart w:id="140" w:name="_Toc1198592290"/>
      <w:bookmarkStart w:id="141" w:name="_Toc599675920"/>
      <w:bookmarkStart w:id="142" w:name="_Toc1205388788"/>
      <w:r>
        <w:rPr>
          <w:rFonts w:hint="eastAsia" w:ascii="宋体" w:hAnsi="宋体" w:eastAsia="宋体" w:cs="宋体"/>
          <w:b w:val="0"/>
          <w:bCs/>
          <w:color w:val="auto"/>
          <w:kern w:val="2"/>
          <w:sz w:val="24"/>
          <w:szCs w:val="24"/>
          <w:highlight w:val="none"/>
        </w:rPr>
        <w:t>（1）投标人需指定线路巡查人员编制月度排班表，并于每月末向招标人上报备案下月排班表。</w:t>
      </w:r>
      <w:bookmarkEnd w:id="114"/>
      <w:bookmarkEnd w:id="139"/>
      <w:bookmarkEnd w:id="140"/>
      <w:bookmarkEnd w:id="141"/>
      <w:bookmarkEnd w:id="142"/>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bCs/>
          <w:color w:val="auto"/>
          <w:kern w:val="2"/>
          <w:sz w:val="24"/>
          <w:szCs w:val="24"/>
          <w:highlight w:val="none"/>
        </w:rPr>
      </w:pPr>
      <w:bookmarkStart w:id="143" w:name="_Toc887483731"/>
      <w:bookmarkStart w:id="144" w:name="_Toc2122030582"/>
      <w:bookmarkStart w:id="145" w:name="_Toc402403452"/>
      <w:bookmarkStart w:id="146" w:name="_Toc2130578888"/>
      <w:bookmarkStart w:id="147" w:name="_Toc1083701340"/>
      <w:r>
        <w:rPr>
          <w:rFonts w:hint="eastAsia" w:ascii="宋体" w:hAnsi="宋体" w:eastAsia="宋体" w:cs="宋体"/>
          <w:b w:val="0"/>
          <w:bCs/>
          <w:color w:val="auto"/>
          <w:kern w:val="2"/>
          <w:sz w:val="24"/>
          <w:szCs w:val="24"/>
          <w:highlight w:val="none"/>
        </w:rPr>
        <w:t>（2）投标人须建立线路巡查工作规范、考勤管理实施细则、信息报送等相关管理制度。</w:t>
      </w:r>
      <w:bookmarkEnd w:id="143"/>
      <w:bookmarkEnd w:id="144"/>
      <w:bookmarkEnd w:id="145"/>
      <w:bookmarkEnd w:id="146"/>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color w:val="auto"/>
          <w:kern w:val="2"/>
          <w:sz w:val="24"/>
          <w:szCs w:val="24"/>
          <w:highlight w:val="none"/>
        </w:rPr>
      </w:pPr>
      <w:bookmarkStart w:id="148" w:name="_Toc1754975788"/>
      <w:bookmarkStart w:id="149" w:name="_Toc802792545"/>
      <w:bookmarkStart w:id="150" w:name="_Toc1620988401"/>
      <w:bookmarkStart w:id="151" w:name="_Toc1332941476"/>
      <w:r>
        <w:rPr>
          <w:rFonts w:hint="eastAsia" w:ascii="宋体" w:hAnsi="宋体" w:eastAsia="宋体" w:cs="宋体"/>
          <w:b w:val="0"/>
          <w:color w:val="auto"/>
          <w:kern w:val="2"/>
          <w:sz w:val="24"/>
          <w:szCs w:val="24"/>
          <w:highlight w:val="none"/>
        </w:rPr>
        <w:t>（3）投标人需保证线路巡查人员服装统一，着制式服装上岗。制式服装由投标人提供，招标人指定样式，服装在服务期开始前必须到位。</w:t>
      </w:r>
      <w:bookmarkEnd w:id="148"/>
      <w:bookmarkEnd w:id="149"/>
      <w:bookmarkEnd w:id="150"/>
      <w:bookmarkEnd w:id="151"/>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bCs/>
          <w:color w:val="auto"/>
          <w:kern w:val="2"/>
          <w:sz w:val="24"/>
          <w:szCs w:val="24"/>
          <w:highlight w:val="none"/>
        </w:rPr>
      </w:pPr>
      <w:bookmarkStart w:id="152" w:name="_Toc545495546"/>
      <w:bookmarkStart w:id="153" w:name="_Toc1513456195"/>
      <w:bookmarkStart w:id="154" w:name="_Toc1948825293"/>
      <w:bookmarkStart w:id="155" w:name="_Toc1053295579"/>
      <w:r>
        <w:rPr>
          <w:rFonts w:hint="eastAsia" w:ascii="宋体" w:hAnsi="宋体" w:eastAsia="宋体" w:cs="宋体"/>
          <w:b w:val="0"/>
          <w:bCs/>
          <w:color w:val="auto"/>
          <w:kern w:val="2"/>
          <w:sz w:val="24"/>
          <w:szCs w:val="24"/>
          <w:highlight w:val="none"/>
        </w:rPr>
        <w:t>（2）线路巡查人员应熟练掌握轨道交通保护区线路走向、位置、轨道交通保护区范围，并能够对现场作业可能带来的影响、风险、问题等进行判断分析。</w:t>
      </w:r>
      <w:bookmarkEnd w:id="147"/>
      <w:bookmarkEnd w:id="152"/>
      <w:bookmarkEnd w:id="153"/>
      <w:bookmarkEnd w:id="154"/>
      <w:bookmarkEnd w:id="155"/>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bCs/>
          <w:color w:val="auto"/>
          <w:kern w:val="2"/>
          <w:sz w:val="24"/>
          <w:szCs w:val="24"/>
          <w:highlight w:val="none"/>
        </w:rPr>
      </w:pPr>
      <w:bookmarkStart w:id="156" w:name="_Toc649598926"/>
      <w:bookmarkStart w:id="157" w:name="_Toc692515349"/>
      <w:bookmarkStart w:id="158" w:name="_Toc1287423913"/>
      <w:bookmarkStart w:id="159" w:name="_Toc57678333"/>
      <w:bookmarkStart w:id="160" w:name="_Toc73717462"/>
      <w:r>
        <w:rPr>
          <w:rFonts w:hint="eastAsia" w:ascii="宋体" w:hAnsi="宋体" w:eastAsia="宋体" w:cs="宋体"/>
          <w:b w:val="0"/>
          <w:bCs/>
          <w:color w:val="auto"/>
          <w:kern w:val="2"/>
          <w:sz w:val="24"/>
          <w:szCs w:val="24"/>
          <w:highlight w:val="none"/>
        </w:rPr>
        <w:t>（3）线路巡查人员应每天对分管线路或区段巡查一次。</w:t>
      </w:r>
      <w:bookmarkEnd w:id="156"/>
      <w:bookmarkEnd w:id="157"/>
      <w:bookmarkEnd w:id="158"/>
      <w:bookmarkEnd w:id="159"/>
      <w:bookmarkEnd w:id="160"/>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color w:val="auto"/>
          <w:kern w:val="2"/>
          <w:sz w:val="24"/>
          <w:szCs w:val="24"/>
          <w:highlight w:val="none"/>
        </w:rPr>
      </w:pPr>
      <w:bookmarkStart w:id="161" w:name="_Toc588950762"/>
      <w:bookmarkStart w:id="162" w:name="_Toc1136737708"/>
      <w:bookmarkStart w:id="163" w:name="_Toc1277149924"/>
      <w:bookmarkStart w:id="164" w:name="_Toc1994998130"/>
      <w:bookmarkStart w:id="165" w:name="_Toc395486675"/>
      <w:r>
        <w:rPr>
          <w:rFonts w:hint="eastAsia" w:ascii="宋体" w:hAnsi="宋体" w:eastAsia="宋体" w:cs="宋体"/>
          <w:b w:val="0"/>
          <w:bCs/>
          <w:color w:val="auto"/>
          <w:kern w:val="2"/>
          <w:sz w:val="24"/>
          <w:szCs w:val="24"/>
          <w:highlight w:val="none"/>
        </w:rPr>
        <w:t>（4）线路巡查人员应在规定的频次内发现保护区违规施工作业行为</w:t>
      </w:r>
      <w:r>
        <w:rPr>
          <w:rFonts w:hint="eastAsia" w:ascii="宋体" w:hAnsi="宋体" w:eastAsia="宋体" w:cs="宋体"/>
          <w:b w:val="0"/>
          <w:bCs/>
          <w:color w:val="auto"/>
          <w:sz w:val="24"/>
          <w:szCs w:val="24"/>
          <w:highlight w:val="none"/>
        </w:rPr>
        <w:t>（</w:t>
      </w:r>
      <w:r>
        <w:rPr>
          <w:rFonts w:hint="eastAsia" w:ascii="宋体" w:hAnsi="宋体" w:eastAsia="宋体" w:cs="宋体"/>
          <w:b w:val="0"/>
          <w:color w:val="auto"/>
          <w:kern w:val="2"/>
          <w:sz w:val="24"/>
          <w:szCs w:val="24"/>
          <w:highlight w:val="none"/>
        </w:rPr>
        <w:t>详见附录4）。</w:t>
      </w:r>
      <w:bookmarkEnd w:id="161"/>
      <w:bookmarkEnd w:id="162"/>
      <w:bookmarkEnd w:id="163"/>
      <w:bookmarkEnd w:id="164"/>
      <w:bookmarkEnd w:id="165"/>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bCs/>
          <w:color w:val="auto"/>
          <w:kern w:val="2"/>
          <w:sz w:val="24"/>
          <w:szCs w:val="24"/>
          <w:highlight w:val="none"/>
        </w:rPr>
      </w:pPr>
      <w:bookmarkStart w:id="166" w:name="_Toc338970493"/>
      <w:bookmarkStart w:id="167" w:name="_Toc335524338"/>
      <w:bookmarkStart w:id="168" w:name="_Toc2034763002"/>
      <w:bookmarkStart w:id="169" w:name="_Toc330264715"/>
      <w:bookmarkStart w:id="170" w:name="_Toc250002097"/>
      <w:r>
        <w:rPr>
          <w:rFonts w:hint="eastAsia" w:ascii="宋体" w:hAnsi="宋体" w:eastAsia="宋体" w:cs="宋体"/>
          <w:b w:val="0"/>
          <w:bCs/>
          <w:color w:val="auto"/>
          <w:kern w:val="2"/>
          <w:sz w:val="24"/>
          <w:szCs w:val="24"/>
          <w:highlight w:val="none"/>
        </w:rPr>
        <w:t>（5）线路巡查人员应做好巡查工作记录，并由线路巡查班组长进行归类整理，形成齐全的台账记录，并每周反馈现场巡查情况。</w:t>
      </w:r>
      <w:bookmarkEnd w:id="166"/>
      <w:bookmarkEnd w:id="167"/>
      <w:bookmarkEnd w:id="168"/>
      <w:bookmarkEnd w:id="169"/>
      <w:bookmarkEnd w:id="170"/>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bCs/>
          <w:color w:val="auto"/>
          <w:kern w:val="2"/>
          <w:sz w:val="24"/>
          <w:szCs w:val="24"/>
          <w:highlight w:val="none"/>
        </w:rPr>
      </w:pPr>
      <w:bookmarkStart w:id="171" w:name="_Toc323439895"/>
      <w:bookmarkStart w:id="172" w:name="_Toc1132388777"/>
      <w:bookmarkStart w:id="173" w:name="_Toc1839039487"/>
      <w:bookmarkStart w:id="174" w:name="_Toc447434604"/>
      <w:bookmarkStart w:id="175" w:name="_Toc926388453"/>
      <w:r>
        <w:rPr>
          <w:rFonts w:hint="eastAsia" w:ascii="宋体" w:hAnsi="宋体" w:eastAsia="宋体" w:cs="宋体"/>
          <w:b w:val="0"/>
          <w:bCs/>
          <w:color w:val="auto"/>
          <w:kern w:val="2"/>
          <w:sz w:val="24"/>
          <w:szCs w:val="24"/>
          <w:highlight w:val="none"/>
        </w:rPr>
        <w:t>（6）线路巡查人员执行巡查作业时，应携带GIS仪器、备用电瓶、安全隐患告知书、宣传手册、巡查日志、无人机等工器具及台账。</w:t>
      </w:r>
      <w:bookmarkEnd w:id="171"/>
      <w:bookmarkEnd w:id="172"/>
      <w:bookmarkEnd w:id="173"/>
      <w:bookmarkEnd w:id="174"/>
      <w:bookmarkEnd w:id="175"/>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bCs/>
          <w:color w:val="auto"/>
          <w:kern w:val="2"/>
          <w:sz w:val="24"/>
          <w:szCs w:val="24"/>
          <w:highlight w:val="none"/>
        </w:rPr>
      </w:pPr>
      <w:bookmarkStart w:id="176" w:name="_Toc766851138"/>
      <w:bookmarkStart w:id="177" w:name="_Toc831305003"/>
      <w:bookmarkStart w:id="178" w:name="_Toc883883146"/>
      <w:bookmarkStart w:id="179" w:name="_Toc1346034947"/>
      <w:bookmarkStart w:id="180" w:name="_Toc1581872460"/>
      <w:r>
        <w:rPr>
          <w:rFonts w:hint="eastAsia" w:ascii="宋体" w:hAnsi="宋体" w:eastAsia="宋体" w:cs="宋体"/>
          <w:b w:val="0"/>
          <w:bCs/>
          <w:color w:val="auto"/>
          <w:kern w:val="2"/>
          <w:sz w:val="24"/>
          <w:szCs w:val="24"/>
          <w:highlight w:val="none"/>
        </w:rPr>
        <w:t>（7）每天线路巡查应覆盖保护区全范围，并对沿线车站相关出入口、风亭/风井、冷却塔等地面附属设施设备进行“一站一记录，一站一拍照”并实时、详尽，如实填写线路巡查日志，建立电子档案。</w:t>
      </w:r>
      <w:bookmarkEnd w:id="176"/>
      <w:bookmarkEnd w:id="177"/>
      <w:bookmarkEnd w:id="178"/>
      <w:bookmarkEnd w:id="179"/>
      <w:bookmarkEnd w:id="180"/>
    </w:p>
    <w:p>
      <w:pPr>
        <w:pStyle w:val="2"/>
        <w:keepNext w:val="0"/>
        <w:keepLines w:val="0"/>
        <w:pageBreakBefore w:val="0"/>
        <w:kinsoku/>
        <w:topLinePunct w:val="0"/>
        <w:bidi w:val="0"/>
        <w:spacing w:before="0" w:after="0" w:line="400" w:lineRule="exact"/>
        <w:ind w:firstLine="480" w:firstLineChars="200"/>
        <w:jc w:val="left"/>
        <w:outlineLvl w:val="9"/>
        <w:rPr>
          <w:rFonts w:hint="eastAsia" w:ascii="宋体" w:hAnsi="宋体" w:eastAsia="宋体" w:cs="宋体"/>
          <w:b w:val="0"/>
          <w:bCs/>
          <w:color w:val="auto"/>
          <w:kern w:val="2"/>
          <w:sz w:val="24"/>
          <w:szCs w:val="24"/>
          <w:highlight w:val="none"/>
        </w:rPr>
      </w:pPr>
      <w:bookmarkStart w:id="181" w:name="_Toc916401575"/>
      <w:bookmarkStart w:id="182" w:name="_Toc714729732"/>
      <w:bookmarkStart w:id="183" w:name="_Toc658028144"/>
      <w:bookmarkStart w:id="184" w:name="_Toc80330220"/>
      <w:bookmarkStart w:id="185" w:name="_Toc462883509"/>
      <w:r>
        <w:rPr>
          <w:rFonts w:hint="eastAsia" w:ascii="宋体" w:hAnsi="宋体" w:eastAsia="宋体" w:cs="宋体"/>
          <w:b w:val="0"/>
          <w:bCs/>
          <w:color w:val="auto"/>
          <w:kern w:val="2"/>
          <w:sz w:val="24"/>
          <w:szCs w:val="24"/>
          <w:highlight w:val="none"/>
        </w:rPr>
        <w:t>（8）线路巡查人员发现保护区新增施工作业行为时，应及时调查建设/施工单位名称、联系人及联系方式，工程概况、GIS确认与地铁结构的相对位置关系等现场相关信息，并分析判断可能对地铁存在的影响，发送安全隐患告知书，向招标人反馈现场情况。</w:t>
      </w:r>
      <w:bookmarkEnd w:id="181"/>
      <w:bookmarkEnd w:id="182"/>
      <w:bookmarkEnd w:id="183"/>
      <w:bookmarkEnd w:id="184"/>
      <w:bookmarkEnd w:id="185"/>
    </w:p>
    <w:p>
      <w:pPr>
        <w:keepNext w:val="0"/>
        <w:keepLines w:val="0"/>
        <w:pageBreakBefore w:val="0"/>
        <w:kinsoku/>
        <w:topLinePunct w:val="0"/>
        <w:bidi w:val="0"/>
        <w:spacing w:line="400" w:lineRule="exact"/>
        <w:ind w:firstLine="482" w:firstLineChars="200"/>
        <w:outlineLvl w:val="4"/>
        <w:rPr>
          <w:rFonts w:hint="eastAsia" w:ascii="宋体" w:hAnsi="宋体" w:eastAsia="宋体" w:cs="宋体"/>
          <w:b/>
          <w:bCs/>
          <w:color w:val="auto"/>
          <w:sz w:val="24"/>
          <w:szCs w:val="24"/>
          <w:highlight w:val="none"/>
        </w:rPr>
      </w:pPr>
      <w:bookmarkStart w:id="186" w:name="_Toc2469"/>
      <w:bookmarkStart w:id="187" w:name="_Toc15050"/>
      <w:bookmarkStart w:id="188" w:name="_Toc6567"/>
      <w:bookmarkStart w:id="189" w:name="_Toc3956"/>
      <w:bookmarkStart w:id="190" w:name="_Toc31406"/>
      <w:r>
        <w:rPr>
          <w:rFonts w:hint="eastAsia" w:ascii="宋体" w:hAnsi="宋体" w:eastAsia="宋体" w:cs="宋体"/>
          <w:b/>
          <w:bCs/>
          <w:color w:val="auto"/>
          <w:sz w:val="24"/>
          <w:szCs w:val="24"/>
          <w:highlight w:val="none"/>
        </w:rPr>
        <w:t>4.3.1.3维修流程</w:t>
      </w:r>
      <w:bookmarkEnd w:id="186"/>
      <w:bookmarkEnd w:id="187"/>
      <w:bookmarkEnd w:id="188"/>
      <w:bookmarkEnd w:id="189"/>
      <w:bookmarkEnd w:id="190"/>
    </w:p>
    <w:p>
      <w:pPr>
        <w:keepNext w:val="0"/>
        <w:keepLines w:val="0"/>
        <w:pageBreakBefore w:val="0"/>
        <w:kinsoku/>
        <w:topLinePunct w:val="0"/>
        <w:bidi w:val="0"/>
        <w:spacing w:line="400" w:lineRule="exact"/>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根据巡检和故障接报情况，按照相关规定制定维修计划，经审核批准后执行，投标人需在规定期限内完成相关维修任务。对不明确工作量的维修作业，招标人派遣工作人员跟踪监督，核实计量，并双方签字确认。</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sz w:val="24"/>
          <w:szCs w:val="24"/>
          <w:highlight w:val="none"/>
        </w:rPr>
        <w:t>大修：以项目形式实施的大修，不在本合同范围内。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（2）台账管理工作：投标人应按照招标人相关制度与要求做好相应的台帐记录与管理工作。</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（3）针对设施维护保养的重点、难点，投标人应无偿提供技术支持。</w:t>
      </w:r>
    </w:p>
    <w:p>
      <w:pPr>
        <w:keepNext w:val="0"/>
        <w:keepLines w:val="0"/>
        <w:pageBreakBefore w:val="0"/>
        <w:kinsoku/>
        <w:topLinePunct w:val="0"/>
        <w:bidi w:val="0"/>
        <w:spacing w:line="400" w:lineRule="exact"/>
        <w:ind w:firstLine="482" w:firstLineChars="200"/>
        <w:outlineLvl w:val="4"/>
        <w:rPr>
          <w:rFonts w:hint="eastAsia" w:ascii="宋体" w:hAnsi="宋体" w:eastAsia="宋体" w:cs="宋体"/>
          <w:b/>
          <w:bCs/>
          <w:color w:val="auto"/>
          <w:sz w:val="24"/>
          <w:szCs w:val="24"/>
          <w:highlight w:val="none"/>
        </w:rPr>
      </w:pPr>
      <w:bookmarkStart w:id="191" w:name="_Toc19858"/>
      <w:bookmarkStart w:id="192" w:name="_Toc3082"/>
      <w:bookmarkStart w:id="193" w:name="_Toc17070"/>
      <w:bookmarkStart w:id="194" w:name="_Toc12514"/>
      <w:bookmarkStart w:id="195" w:name="_Toc9625"/>
      <w:r>
        <w:rPr>
          <w:rFonts w:hint="eastAsia" w:ascii="宋体" w:hAnsi="宋体" w:eastAsia="宋体" w:cs="宋体"/>
          <w:b/>
          <w:bCs/>
          <w:color w:val="auto"/>
          <w:sz w:val="24"/>
          <w:szCs w:val="24"/>
          <w:highlight w:val="none"/>
        </w:rPr>
        <w:t>4.3.1.4检修制度</w:t>
      </w:r>
      <w:bookmarkEnd w:id="191"/>
      <w:bookmarkEnd w:id="192"/>
      <w:bookmarkEnd w:id="193"/>
      <w:bookmarkEnd w:id="194"/>
      <w:bookmarkEnd w:id="195"/>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（1）投标人必须遵守招标人所有的检修制度及相关管理规定。</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（2）请、销点制度：进入轨行区作业必须先到临近车站请点，经确认作业令后方可进轨行区作业，作业完后工器具材料和人员必须出清区间，并到车站进行销点。</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跟踪制度：检修项目实施过程中，招标人或投标人管理人员进行过程跟踪，发现不符合要求的地方，及时提出、整改；当检修按计划完成有困难时，投标人应及时调整人力、物力或采取相应措施，并向招标人报告，否则按不完成项目考核。</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（4）投标人必须建立健全台帐和生产记录。</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完工交付制度：检修项目完工后，经双方人员检查、验收确认后，才能投入试验与使用。投标人在检修项目结束后第二天，将检修项目、时间、完成情况，以书面形式交招标人审定，检修项目交付标准：要求的内容全部完成；试验与使用均正常；资料齐全。</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（6）投标人应严格遵守招标人的相关规定及制度。</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投标人必须根据招标人相关要求制订详细的投标项目的作业计划，经招标人批准后，按规定办理相关手续，方可按计划执行；投标人的作业计划一旦批准，必须按计划严格执行，如果因招标人原因取消计划，投标人需重新上报计划，招标人不承担投标人的相应损失。</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（8）投标人从事投标项目施工（检修）过程中，不得损坏地铁的设备，要确保地铁运营安全及设备和人身安全，因投标人的原因给招标人造成损失的，投标人应赔偿招标人的全部损失。</w:t>
      </w:r>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rPr>
      </w:pPr>
      <w:bookmarkStart w:id="196" w:name="_Toc2027733024"/>
      <w:bookmarkStart w:id="197" w:name="_Toc1684831795"/>
      <w:bookmarkStart w:id="198" w:name="_Toc1812866006"/>
      <w:bookmarkStart w:id="199" w:name="_Toc23509"/>
      <w:r>
        <w:rPr>
          <w:rFonts w:hint="eastAsia" w:ascii="宋体" w:hAnsi="宋体" w:eastAsia="宋体" w:cs="宋体"/>
          <w:b/>
          <w:bCs/>
          <w:color w:val="auto"/>
          <w:sz w:val="24"/>
          <w:szCs w:val="24"/>
          <w:highlight w:val="none"/>
        </w:rPr>
        <w:t>4.3.2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进/退场管理</w:t>
      </w:r>
      <w:bookmarkEnd w:id="196"/>
      <w:bookmarkEnd w:id="197"/>
      <w:bookmarkEnd w:id="198"/>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4.3.2.1投标人进场前，招标人对投标人进行评价的内容包括：主要对投标人员的资质证书；投标人员的到位率、合格率；投标人员安全教育完成情况；特殊工种的取证情况；按要求配备的工器具；按要求配备的备品备件及材料；按要求配置的办公家具和办公用品；投标人的安全控制组织架构及岗位职责；投标人的应急处理组织架构、岗位职责和应急预案；投标人的人员劳动防护用品的配置。</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4.3.2.2 招标人评价不合格的投标人不得进场，要求其整改。整改完成，符合要求方能进场。</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4.3.2.3 投标人进场后应根据国家、行业及招标人发布的技术标准、管理标准，结合实际补充完善并制定相关管理标准、管理制度和实施细则，管理制度包括生产计划、技术、安全、质量、人员及物资管理等，并根据技术标准、管理标准要求，制定在本项目实施的统一作业标准。</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4.3.2.4 投标人进场后应对现场管理进行标准化，包括工班和现场作业标准化等。</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4.3.2.5 投标人退场前须经验收合格，并出具验收合格报告后方可办理退场手续。</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b/>
          <w:bCs/>
          <w:color w:val="auto"/>
          <w:sz w:val="24"/>
          <w:szCs w:val="24"/>
          <w:highlight w:val="none"/>
          <w:shd w:val="clear" w:color="auto" w:fill="FFFFFF"/>
        </w:rPr>
      </w:pPr>
      <w:r>
        <w:rPr>
          <w:rFonts w:hint="eastAsia" w:ascii="宋体" w:hAnsi="宋体" w:eastAsia="宋体" w:cs="宋体"/>
          <w:color w:val="auto"/>
          <w:kern w:val="2"/>
          <w:sz w:val="24"/>
          <w:szCs w:val="24"/>
          <w:highlight w:val="none"/>
        </w:rPr>
        <w:t>4.3.2.6 投标人退场前应做好相关交接工作。</w:t>
      </w:r>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shd w:val="clear" w:color="auto" w:fill="FFFFFF"/>
        </w:rPr>
      </w:pPr>
      <w:bookmarkStart w:id="200" w:name="_Toc27615"/>
      <w:bookmarkStart w:id="201" w:name="_Toc1613711101"/>
      <w:bookmarkStart w:id="202" w:name="_Toc1699987221"/>
      <w:bookmarkStart w:id="203" w:name="_Toc1170147895"/>
      <w:r>
        <w:rPr>
          <w:rFonts w:hint="eastAsia" w:ascii="宋体" w:hAnsi="宋体" w:eastAsia="宋体" w:cs="宋体"/>
          <w:b/>
          <w:bCs/>
          <w:color w:val="auto"/>
          <w:sz w:val="24"/>
          <w:szCs w:val="24"/>
          <w:highlight w:val="none"/>
          <w:shd w:val="clear" w:color="auto" w:fill="FFFFFF"/>
        </w:rPr>
        <w:t>4.3.3 生产计划管理</w:t>
      </w:r>
      <w:bookmarkEnd w:id="200"/>
      <w:bookmarkEnd w:id="201"/>
      <w:bookmarkEnd w:id="202"/>
      <w:bookmarkEnd w:id="203"/>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4.3.3.1 投标人需根据招标人下发的年度设施设备检修计划及巡视计划组织编制年度以下的设备设施检修计划及巡视计划，根据相应的设备设施检修计划及巡视计划安排检修及巡视作业。</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4.3.3.2 维修施工作业周计划和临时计划由投标人提报，经审核批准后执行。</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4.3.3.3 维修施工作业令按施工管理办法将相关施工计划提交设备招标人，招标人及相关设备归属管理部门（中心）必须审核施工安全措施、影响情况、提供配合情况，并负责申报施工作业计划，投标人施工计划由招标人项目实施部门提报，施工计划备注施工单位编号及名称并备注“委外”字样。</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4.3.3.4 投标人凭维修施工作业令进行施工作业。</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4.3.3.5 投标人对设施设备月度检修计划及巡视计划的兑现率负责。</w:t>
      </w:r>
    </w:p>
    <w:p>
      <w:pPr>
        <w:pStyle w:val="152"/>
        <w:keepNext w:val="0"/>
        <w:keepLines w:val="0"/>
        <w:pageBreakBefore w:val="0"/>
        <w:tabs>
          <w:tab w:val="center" w:pos="4201"/>
          <w:tab w:val="right" w:leader="dot" w:pos="9298"/>
        </w:tabs>
        <w:kinsoku/>
        <w:topLinePunct w:val="0"/>
        <w:bidi w:val="0"/>
        <w:spacing w:line="400" w:lineRule="exact"/>
        <w:ind w:firstLine="482"/>
        <w:outlineLvl w:val="3"/>
        <w:rPr>
          <w:rFonts w:hint="eastAsia" w:ascii="宋体" w:hAnsi="宋体" w:eastAsia="宋体" w:cs="宋体"/>
          <w:color w:val="auto"/>
          <w:kern w:val="2"/>
          <w:sz w:val="24"/>
          <w:szCs w:val="24"/>
          <w:highlight w:val="none"/>
        </w:rPr>
      </w:pPr>
      <w:bookmarkStart w:id="204" w:name="_Toc22384"/>
      <w:bookmarkStart w:id="205" w:name="_Toc335512142"/>
      <w:bookmarkStart w:id="206" w:name="_Toc215167984"/>
      <w:bookmarkStart w:id="207" w:name="_Toc1125127899"/>
      <w:r>
        <w:rPr>
          <w:rFonts w:hint="eastAsia" w:ascii="宋体" w:hAnsi="宋体" w:eastAsia="宋体" w:cs="宋体"/>
          <w:b/>
          <w:bCs/>
          <w:color w:val="auto"/>
          <w:kern w:val="2"/>
          <w:sz w:val="24"/>
          <w:szCs w:val="24"/>
          <w:highlight w:val="none"/>
          <w:shd w:val="clear" w:color="auto" w:fill="FFFFFF"/>
        </w:rPr>
        <w:t>4.3.4 生产施工管理</w:t>
      </w:r>
      <w:bookmarkEnd w:id="204"/>
      <w:bookmarkEnd w:id="205"/>
      <w:bookmarkEnd w:id="206"/>
      <w:bookmarkEnd w:id="207"/>
      <w:r>
        <w:rPr>
          <w:rFonts w:hint="eastAsia" w:ascii="宋体" w:hAnsi="宋体" w:eastAsia="宋体" w:cs="宋体"/>
          <w:color w:val="auto"/>
          <w:kern w:val="2"/>
          <w:sz w:val="24"/>
          <w:szCs w:val="24"/>
          <w:highlight w:val="none"/>
        </w:rPr>
        <w:t xml:space="preserve"> </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4.3.4.1 投标人需按最新规章制度要求建立巡视记录、检修记录、设备履历表等维保设备台帐。</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4.3.4.2 投标人进行维修施工作业应严格执行招标人相关的规定。</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4.3.4.3 投标人员每日作业，应及时填写维修施工作业记录、台账。</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4.3.4.4 投标人应按要求定期对各类维修施工作业记录进行分类整理并上报招标人</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4.3.4.5 投标人应按招标人要求做好故障处理及应急抢修工作，并做好相关记录。</w:t>
      </w:r>
    </w:p>
    <w:p>
      <w:pPr>
        <w:pStyle w:val="152"/>
        <w:keepNext w:val="0"/>
        <w:keepLines w:val="0"/>
        <w:pageBreakBefore w:val="0"/>
        <w:tabs>
          <w:tab w:val="center" w:pos="4201"/>
          <w:tab w:val="right" w:leader="dot" w:pos="9298"/>
        </w:tabs>
        <w:kinsoku/>
        <w:topLinePunct w:val="0"/>
        <w:bidi w:val="0"/>
        <w:spacing w:line="400" w:lineRule="exact"/>
        <w:ind w:firstLine="482"/>
        <w:outlineLvl w:val="3"/>
        <w:rPr>
          <w:rFonts w:hint="eastAsia" w:ascii="宋体" w:hAnsi="宋体" w:eastAsia="宋体" w:cs="宋体"/>
          <w:b/>
          <w:bCs/>
          <w:color w:val="auto"/>
          <w:kern w:val="2"/>
          <w:sz w:val="24"/>
          <w:szCs w:val="24"/>
          <w:highlight w:val="none"/>
          <w:shd w:val="clear" w:color="auto" w:fill="FFFFFF"/>
        </w:rPr>
      </w:pPr>
      <w:bookmarkStart w:id="208" w:name="_Toc1562347504"/>
      <w:bookmarkStart w:id="209" w:name="_Toc2441"/>
      <w:bookmarkStart w:id="210" w:name="_Toc1716497595"/>
      <w:bookmarkStart w:id="211" w:name="_Toc1111985064"/>
      <w:r>
        <w:rPr>
          <w:rFonts w:hint="eastAsia" w:ascii="宋体" w:hAnsi="宋体" w:eastAsia="宋体" w:cs="宋体"/>
          <w:b/>
          <w:bCs/>
          <w:color w:val="auto"/>
          <w:kern w:val="2"/>
          <w:sz w:val="24"/>
          <w:szCs w:val="24"/>
          <w:highlight w:val="none"/>
          <w:shd w:val="clear" w:color="auto" w:fill="FFFFFF"/>
        </w:rPr>
        <w:t>4.3.5 技术管理</w:t>
      </w:r>
      <w:bookmarkEnd w:id="208"/>
      <w:bookmarkEnd w:id="209"/>
      <w:bookmarkEnd w:id="210"/>
      <w:bookmarkEnd w:id="211"/>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4.3.5.1 投标人应结合规程中重要检修、服务内容，制定相应的作业流程、专项规章和服务标准等。</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4.3.5.2 投标人必须服从招标人统一调度和指挥，并制定突发事件的应急措施方案。</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4.3.5.3 投标人应对故障进行技术分析，提出问题解决方案，较大或影响行车安全的故障解决方案须报业主批准或认可。</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4.3.5.4 投标人需更改检修内容时，需通过招标人专业技术组讨论同意并形成会议纪要后方可更改。</w:t>
      </w:r>
    </w:p>
    <w:p>
      <w:pPr>
        <w:keepNext w:val="0"/>
        <w:keepLines w:val="0"/>
        <w:pageBreakBefore w:val="0"/>
        <w:kinsoku/>
        <w:topLinePunct w:val="0"/>
        <w:bidi w:val="0"/>
        <w:spacing w:before="156" w:beforeLines="50" w:after="156" w:afterLines="50" w:line="400" w:lineRule="exact"/>
        <w:ind w:firstLine="482" w:firstLineChars="200"/>
        <w:outlineLvl w:val="3"/>
        <w:rPr>
          <w:rFonts w:hint="eastAsia" w:ascii="宋体" w:hAnsi="宋体" w:eastAsia="宋体" w:cs="宋体"/>
          <w:b/>
          <w:color w:val="auto"/>
          <w:sz w:val="24"/>
          <w:szCs w:val="24"/>
          <w:highlight w:val="none"/>
        </w:rPr>
      </w:pPr>
      <w:bookmarkStart w:id="212" w:name="_Toc144589396"/>
      <w:bookmarkStart w:id="213" w:name="_Toc1212337356"/>
      <w:bookmarkStart w:id="214" w:name="_Toc14886"/>
      <w:bookmarkStart w:id="215" w:name="_Toc1230107231"/>
      <w:r>
        <w:rPr>
          <w:rFonts w:hint="eastAsia" w:ascii="宋体" w:hAnsi="宋体" w:eastAsia="宋体" w:cs="宋体"/>
          <w:b/>
          <w:color w:val="auto"/>
          <w:sz w:val="24"/>
          <w:szCs w:val="24"/>
          <w:highlight w:val="none"/>
        </w:rPr>
        <w:t>4.</w:t>
      </w:r>
      <w:bookmarkStart w:id="216" w:name="_Toc11230"/>
      <w:r>
        <w:rPr>
          <w:rFonts w:hint="eastAsia" w:ascii="宋体" w:hAnsi="宋体" w:eastAsia="宋体" w:cs="宋体"/>
          <w:b/>
          <w:color w:val="auto"/>
          <w:sz w:val="24"/>
          <w:szCs w:val="24"/>
          <w:highlight w:val="none"/>
        </w:rPr>
        <w:t>3.6质量管理</w:t>
      </w:r>
      <w:bookmarkEnd w:id="212"/>
      <w:bookmarkEnd w:id="213"/>
      <w:bookmarkEnd w:id="214"/>
      <w:bookmarkEnd w:id="215"/>
      <w:bookmarkEnd w:id="216"/>
    </w:p>
    <w:p>
      <w:pPr>
        <w:keepNext w:val="0"/>
        <w:keepLines w:val="0"/>
        <w:pageBreakBefore w:val="0"/>
        <w:kinsoku/>
        <w:topLinePunct w:val="0"/>
        <w:bidi w:val="0"/>
        <w:spacing w:line="400" w:lineRule="exact"/>
        <w:ind w:firstLine="482" w:firstLineChars="200"/>
        <w:outlineLvl w:val="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4.3.6.1质量管理要求</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4.3.6.1.1投标人必须有明确的项目质量方针、质量目标并按此进行质量管理。</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4.3.6.1.2投标人必须认真贯彻执行GB/T19001-ISO9001质量保证标准。以完整的质量管理体系对待每一项维保工作，从维修准备到交工的各个环节都要做到精心组织，科学管理，对维修质量严格要求。</w:t>
      </w:r>
    </w:p>
    <w:p>
      <w:pPr>
        <w:pStyle w:val="15"/>
        <w:keepNext w:val="0"/>
        <w:keepLines w:val="0"/>
        <w:pageBreakBefore w:val="0"/>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4.3.6.1.3投标人必须认真贯彻“安全第一，预防为主，综合治理”的方针，在确保安全、提高质量的基础上努力提高效率，降低成本，不断改善设备设施的技术状态，保证设备设施安全、可靠运行。</w:t>
      </w:r>
    </w:p>
    <w:p>
      <w:pPr>
        <w:keepNext w:val="0"/>
        <w:keepLines w:val="0"/>
        <w:pageBreakBefore w:val="0"/>
        <w:kinsoku/>
        <w:topLinePunct w:val="0"/>
        <w:bidi w:val="0"/>
        <w:spacing w:line="400" w:lineRule="exact"/>
        <w:ind w:firstLine="482" w:firstLineChars="200"/>
        <w:outlineLvl w:val="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4.3.6.2质量保证</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4.3.6.2.1认真贯彻执行国家、地方、行业及招标人有关部门对设备维修质量的有关规范、规定和《质量管理和质量保证》体系等有关规定。</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4.3.6.2.2坚持把“质量第一，用户至上”作为质量控制的基本原则。</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4.3.6.2.3针对质量目标编制质量检验与管理体制实施细则，参与编制工作关键项目的施工（检修）作业技术措施或作业指导书，并严格执行，做好预防措施、控制质量通病。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4.3.6.2.4选派作业水平较高且有丰富经验的专业人员上岗，并组织学习地铁设备特性和技术标准以及维保要求，努力提高施工（检修）人员的业务素质，避免人为失误。以人的工作质量保工序质量、促工程质量，确保施工（检修）作业质量。</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4.3.6.2.5“以人为核心”，加强对员工的质量意识教育，充分调动所有施工（检修）人员的积极性，增强人的责任感，抓好施工（检修）过程中的质量控制，加大质量管理和质量检验力度，虚心接受招标人意见，请招标人质检人员实施监督。</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4.3.6.2.6</w:t>
      </w:r>
      <w:r>
        <w:rPr>
          <w:rFonts w:hint="eastAsia" w:ascii="宋体" w:hAnsi="宋体" w:eastAsia="宋体" w:cs="宋体"/>
          <w:color w:val="auto"/>
          <w:kern w:val="2"/>
          <w:sz w:val="24"/>
          <w:szCs w:val="24"/>
          <w:highlight w:val="none"/>
        </w:rPr>
        <w:t xml:space="preserve"> 严格按照标准化检修工艺对设备进行维修保养，确保设备设施满足质量指标。</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4.3.6.2.7 维修项目保证资料及时填写，并要求资料真实、完整、规范、及时、满足</w:t>
      </w:r>
      <w:r>
        <w:rPr>
          <w:rFonts w:hint="eastAsia" w:ascii="宋体" w:hAnsi="宋体" w:eastAsia="宋体" w:cs="宋体"/>
          <w:color w:val="auto"/>
          <w:kern w:val="2"/>
          <w:sz w:val="24"/>
          <w:szCs w:val="24"/>
          <w:highlight w:val="none"/>
        </w:rPr>
        <w:t>可追溯性要求。</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4.3.6.2.8 遵循招标人标准化原则，保证维修管理标准化，维修操作规范化，</w:t>
      </w:r>
      <w:r>
        <w:rPr>
          <w:rFonts w:hint="eastAsia" w:ascii="宋体" w:hAnsi="宋体" w:eastAsia="宋体" w:cs="宋体"/>
          <w:color w:val="auto"/>
          <w:kern w:val="2"/>
          <w:sz w:val="24"/>
          <w:szCs w:val="24"/>
          <w:highlight w:val="none"/>
        </w:rPr>
        <w:t>所提供的服务与相关的技术要求一致，确保检修质量。</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4.3.6.2.9 强化维修全过程的质量管理，在维修工作准备阶段主动与招标人取得联系，确保维修质量和维修工期。</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4.3.6.2.10 加强隐蔽工程的质量管理，隐蔽工程施工（检修）必须经招标人现场质检代表检查，并办好签字手续后方可隐蔽。</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4.3.6.2.11 坚持预防为主，确保维修工程的内在质量和外观质量均符合要求。</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4.3.6.2.12对施工（检修）用机具、设备、计量器具严格管理。对施工（检修）用检验、测量和试验设备分类按期进行校验、校准，使用前进行仔细检查，保证使用合格的计量器具。</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4.3.6.2.13 认真填写维修记录，做到不合格工序不转序，不合格项目不移交。尤其是对关键工序和特殊过程严加控制，确保工序质量。</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4.3.6.2.14 认真做好每次开工作业前的准备，工作结束的质量总结。</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4.3.6.2.15 维修过程中发生的质量问题或质量事故要及时报告招标人和投标人的有关部门，投标人必须及时制定处理方案，经招标人和有关部门审批后进行实施。</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4.3.6.2.16 投标人的检修班组应对检修工作内容认真自检，确认合格后，再报招标人确认。</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4.3.6.2.17 投标人的管理人员必须对维修现场跟踪检查，发现问题及时组织处理。</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4.3.6.2.18 维修工作完成后，及时整理完工资料，并交付招标人有关部门审核、确认。</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4.3.6.2.19</w:t>
      </w:r>
      <w:r>
        <w:rPr>
          <w:rFonts w:hint="eastAsia" w:ascii="宋体" w:hAnsi="宋体" w:eastAsia="宋体" w:cs="宋体"/>
          <w:color w:val="auto"/>
          <w:kern w:val="2"/>
          <w:sz w:val="24"/>
          <w:szCs w:val="24"/>
          <w:highlight w:val="none"/>
        </w:rPr>
        <w:t xml:space="preserve"> 投标人要按照招标人规定的时间节点提报月质量分析报告，其内容按照招标人的要求进行填写。</w:t>
      </w:r>
    </w:p>
    <w:p>
      <w:pPr>
        <w:pStyle w:val="15"/>
        <w:keepNext w:val="0"/>
        <w:keepLines w:val="0"/>
        <w:pageBreakBefore w:val="0"/>
        <w:kinsoku/>
        <w:topLinePunct w:val="0"/>
        <w:bidi w:val="0"/>
        <w:spacing w:line="400" w:lineRule="exact"/>
        <w:ind w:firstLine="0" w:firstLineChars="0"/>
        <w:rPr>
          <w:rFonts w:hint="eastAsia" w:ascii="宋体" w:hAnsi="宋体" w:eastAsia="宋体" w:cs="宋体"/>
          <w:color w:val="auto"/>
          <w:sz w:val="24"/>
          <w:szCs w:val="24"/>
          <w:highlight w:val="none"/>
        </w:rPr>
      </w:pPr>
    </w:p>
    <w:p>
      <w:pPr>
        <w:keepNext w:val="0"/>
        <w:keepLines w:val="0"/>
        <w:pageBreakBefore w:val="0"/>
        <w:kinsoku/>
        <w:topLinePunct w:val="0"/>
        <w:bidi w:val="0"/>
        <w:spacing w:line="400" w:lineRule="exact"/>
        <w:ind w:firstLine="482" w:firstLineChars="200"/>
        <w:outlineLvl w:val="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4.3.6.3</w:t>
      </w:r>
      <w:bookmarkStart w:id="217" w:name="_Toc12588"/>
      <w:r>
        <w:rPr>
          <w:rFonts w:hint="eastAsia" w:ascii="宋体" w:hAnsi="宋体" w:eastAsia="宋体" w:cs="宋体"/>
          <w:b/>
          <w:bCs/>
          <w:color w:val="auto"/>
          <w:sz w:val="24"/>
          <w:szCs w:val="24"/>
          <w:highlight w:val="none"/>
        </w:rPr>
        <w:t>质量管理组织机构及主要职责</w:t>
      </w:r>
      <w:bookmarkEnd w:id="217"/>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投标人必须提供该项目的质量管理组织架构图及各岗位的主要职责。</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4.3.6.3.1投标人必须有明确的安全质量检验标准及技术规范并参照执行。</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4.3.6.3.2 除非另有规定，本投标维保项目应按中国技术规范和标准设计及施工（检修）作业。如遇遗漏所需项目实施的作业规范，应征得招标人同意，补充规范以满足合同要求。原则上没有国家标准、规范的，适用行业标准、规范；没有国家和行业标准、规范的，适用工程所在地地方标准、规范；国内没有相应标准、规范的，由招标人向投标人提出施工（检修）作业技术要求，投标人提出施工（检修）工艺，经招标人批准后执行。</w:t>
      </w:r>
    </w:p>
    <w:p>
      <w:pPr>
        <w:pStyle w:val="152"/>
        <w:keepNext w:val="0"/>
        <w:keepLines w:val="0"/>
        <w:pageBreakBefore w:val="0"/>
        <w:tabs>
          <w:tab w:val="center" w:pos="4201"/>
          <w:tab w:val="right" w:leader="dot" w:pos="9298"/>
        </w:tabs>
        <w:kinsoku/>
        <w:topLinePunct w:val="0"/>
        <w:bidi w:val="0"/>
        <w:spacing w:line="400" w:lineRule="exact"/>
        <w:ind w:firstLine="482"/>
        <w:outlineLvl w:val="3"/>
        <w:rPr>
          <w:rFonts w:hint="eastAsia" w:ascii="宋体" w:hAnsi="宋体" w:eastAsia="宋体" w:cs="宋体"/>
          <w:color w:val="auto"/>
          <w:sz w:val="24"/>
          <w:szCs w:val="24"/>
          <w:highlight w:val="none"/>
        </w:rPr>
      </w:pPr>
      <w:bookmarkStart w:id="218" w:name="_Toc1243316170"/>
      <w:bookmarkStart w:id="219" w:name="_Toc17844168"/>
      <w:bookmarkStart w:id="220" w:name="_Toc32545"/>
      <w:bookmarkStart w:id="221" w:name="_Toc990241806"/>
      <w:r>
        <w:rPr>
          <w:rFonts w:hint="eastAsia" w:ascii="宋体" w:hAnsi="宋体" w:eastAsia="宋体" w:cs="宋体"/>
          <w:b/>
          <w:bCs/>
          <w:color w:val="auto"/>
          <w:kern w:val="2"/>
          <w:sz w:val="24"/>
          <w:szCs w:val="24"/>
          <w:highlight w:val="none"/>
        </w:rPr>
        <w:t>4.3.7安全管理</w:t>
      </w:r>
      <w:bookmarkEnd w:id="218"/>
      <w:bookmarkEnd w:id="219"/>
      <w:bookmarkEnd w:id="220"/>
      <w:bookmarkEnd w:id="221"/>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4.3.7.1 投标人应按劳动法以及政府规定购买各类保险，若因管理不善等其他原因造成人员（含项目部员工）伤亡（工伤）的由投标人自行理赔，造成第三方损失的应独立应诉并承担相关费用，因维保管理不善，安全管理和技术管理缺陷造成运营重大损失的应行责任赔偿，构成违法犯罪的交公安机关处理。</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4.3.7.2 投标人应自主组织日常安全管理制度和安全操作规程的培训和学习，招标人应督促投标人组织内部培训。</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4.3.7.3 投标人应与招标人的安全技术部签订安全协议书。</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4.3.7.4 投标人按招标人统一要求参加轨道交通组织的事故应急演练。</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4.3.7.5 投标人对投标人员劳动防护用品的发放标准应参照招标人同工种配置标准，费用包含在合同总价内。</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4.3.7.6 投标人特殊工种人员必须持证上岗。投标人涉及特种设备作业时，特种作业的人员必须持证上岗操作，取证及复审费用包含在合同总价内。</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4.3.7.7 投标人位应具备与所从事的生产经营活动相适应的安全生产知识和管理能力，投标人应服从招标人安排，接受招标人组织的各类安全培训。</w:t>
      </w:r>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rPr>
      </w:pPr>
      <w:bookmarkStart w:id="222" w:name="_Toc1713598504"/>
      <w:bookmarkStart w:id="223" w:name="_Toc239069468"/>
      <w:bookmarkStart w:id="224" w:name="_Toc1159496267"/>
      <w:r>
        <w:rPr>
          <w:rFonts w:hint="eastAsia" w:ascii="宋体" w:hAnsi="宋体" w:eastAsia="宋体" w:cs="宋体"/>
          <w:b/>
          <w:bCs/>
          <w:color w:val="auto"/>
          <w:sz w:val="24"/>
          <w:szCs w:val="24"/>
          <w:highlight w:val="none"/>
        </w:rPr>
        <w:t>4.3.8安全文明施工管理</w:t>
      </w:r>
      <w:bookmarkEnd w:id="222"/>
      <w:bookmarkEnd w:id="223"/>
      <w:bookmarkEnd w:id="224"/>
    </w:p>
    <w:p>
      <w:pPr>
        <w:keepNext w:val="0"/>
        <w:keepLines w:val="0"/>
        <w:pageBreakBefore w:val="0"/>
        <w:tabs>
          <w:tab w:val="right" w:leader="dot" w:pos="7980"/>
        </w:tabs>
        <w:kinsoku/>
        <w:topLinePunct w:val="0"/>
        <w:bidi w:val="0"/>
        <w:spacing w:line="400" w:lineRule="exact"/>
        <w:ind w:firstLine="482" w:firstLineChars="200"/>
        <w:outlineLvl w:val="4"/>
        <w:rPr>
          <w:rFonts w:hint="eastAsia" w:ascii="宋体" w:hAnsi="宋体" w:eastAsia="宋体" w:cs="宋体"/>
          <w:b/>
          <w:bCs/>
          <w:color w:val="auto"/>
          <w:sz w:val="24"/>
          <w:szCs w:val="24"/>
          <w:highlight w:val="none"/>
        </w:rPr>
      </w:pPr>
      <w:bookmarkStart w:id="225" w:name="_Toc24542"/>
      <w:bookmarkStart w:id="226" w:name="_Toc3105"/>
      <w:bookmarkStart w:id="227" w:name="_Toc23259"/>
      <w:bookmarkStart w:id="228" w:name="_Toc21727"/>
      <w:r>
        <w:rPr>
          <w:rFonts w:hint="eastAsia" w:ascii="宋体" w:hAnsi="宋体" w:eastAsia="宋体" w:cs="宋体"/>
          <w:b/>
          <w:bCs/>
          <w:color w:val="auto"/>
          <w:sz w:val="24"/>
          <w:szCs w:val="24"/>
          <w:highlight w:val="none"/>
        </w:rPr>
        <w:t>4.3.8.1投标人的安全管理</w:t>
      </w:r>
      <w:bookmarkEnd w:id="225"/>
      <w:bookmarkEnd w:id="226"/>
      <w:bookmarkEnd w:id="227"/>
      <w:bookmarkEnd w:id="228"/>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4.3.8.1.1投标人必须有明确的该项目的安全目标、安全指标并进行安全管理。</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4.3.8.1.2投标人必须提供该项目的安全控制组织架构及主要岗位职责。</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4.3.8.1.3安全控制管理制度</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（1）在作业过程中，首先牢固树立“安全第一、预防为主”的思想。</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（2）全面执行投标人发布的安全管理制度：</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（3）全面执行招标人发布的安全管理制度。</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（4）安全组织、技术措施</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遵照现行国家及有关部门的安全法规、规范、规定对本项目进行安全管理、健康管理、环境管理，确保安全施工（检修），杜绝一切人身伤亡事故。要有完整的安全管理组织体制，有专（兼）职安全干部，安全员负责设备维修和日常的安全、防火工作等。</w:t>
      </w:r>
    </w:p>
    <w:p>
      <w:pPr>
        <w:keepNext w:val="0"/>
        <w:keepLines w:val="0"/>
        <w:pageBreakBefore w:val="0"/>
        <w:tabs>
          <w:tab w:val="right" w:leader="dot" w:pos="798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人应依法对其单位的安全生产工作全面负责，负责本单位人员、设施、行为、现场等方面的安全管理工作。投标人应当建立建全安全生产责任制度和安全生产教育培训制度，制定安全生产规章制度和操作规程，保证本单位安全生产资金的投入，对所承担的项目进行定期和专项安全检查，并做好检查记录。</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实行“三级”安全管理，坚持“管施工（检修）的同时必须抓安全”，“行政负责人是第一安全责任人”的原则，开展好正常的安全活动。投标人对本合同工作范围内的安全、消防等负责，对本单位进场人员治安保卫工作负责。</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强化各级安全监察网络，一级抓一级，层层落实安全生产责任制，抓好安全基础工作，重点放在预防上，有针对性的开展好作业前的安全预想预防工作，在布置工作的同时也要布置安全，认真做好内部的各种安全管理台帐。</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（9）制定并执行安全管理制度、安全操作规程及安全奖惩办法等规章制度，强化安全管理。</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（10）推行安全风险制，从维保负责人到施工（检修）人员，逐级签订安全风险责任书。</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（11）投标人的专（兼）职安全员固定应在作业现场，掌握安全动态，加强安全监督管理，抓好安全措施的落实，及时向维保负责人提供安全信息，协助抓好整个项目的安全工作。</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（12）投标人的施工（检修）班长、安全员都有责任搞好本单位的施工（检修）安全。凡发现有违反安全操作规程者，有权令其停止工作。</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（13）投标人应加强对职工的安全教育，定期组织安全学习，施工（检修）中严格执行安全措施和安全规程，狠抓安全措施的落实，防患于未然。</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（14）在危险作业区域和交叉作业区域，增加临时性安全监察岗，加强预控和监督。</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（15）投标人的各级领导和业务部门定期深入作业现场，进行安全大检查，查思想、查管理、查落实，查隐患，对安全上的薄弱环节决不放过。</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（16）坚持文明施工（检修），保证施工（检修）机械、设备完好和清洁，安全操作规程齐全，持证上岗，施工（检修）现场的安全管理、安全设施、安全工器具要符合规定。</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（17）搞好季节施工（检修），针对节假日的职工安全意识松散心理，做好预防措施，合理安排作业，保证作业安全。</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（18）作业现场设置安全标志，安全员上岗监督，作业人员一律戴安全帽，闲杂人员不得进入作业现场；登高时必须佩好安全带及安全绳后才能进行高空作业，严禁高空落物。</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施工（检修）中严格按照安规办事，施工（检修）现场坚持特殊工种100%持有效证件上岗作业的准则；所有维修人员应办理招标人场地出入证，进入招标人场地必须执行招标人有关安全、消防和治安管理制度。所有维修人员均要有操作证及经过安全培训，并向招标人提供详细的操作技术等级证书和操作证的复印件供招标人备案。</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（20）各分项作业都制定明确的安全保证措施，贯彻执行于作业的全过程。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（21）加强对机具设备的维护管理，操作前检查；操作人员必须经考试合格，才能上岗，其它人员不能顶岗操作。</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（22）加强对车辆使用的管理，加强车辆保养和司机安全意识教育；加强所有作业人员在地铁隧道中行走的安全教育，防止行车伤害，杜绝交通事故发生。</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（23）作业用临时电源箱，下班后应将闸刀拉开上锁，所有机电设备都应设接地接零等保护装置，严禁乱拉、乱接电源线。</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（24）夏季施工（检修）应做好防暑降温工作。</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（25）工作负责人必须要办理许可手续后方可带领工作人员进入工作现场。</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（26）在危险区域动火必须到招标人处办理动火证。并派专人监护，方可实施。</w:t>
      </w:r>
    </w:p>
    <w:p>
      <w:pPr>
        <w:keepNext w:val="0"/>
        <w:keepLines w:val="0"/>
        <w:pageBreakBefore w:val="0"/>
        <w:tabs>
          <w:tab w:val="left" w:pos="270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（27）对设备缺陷的处理工作，必须在工作前将缺陷发生的原因、处理的方法以及处理工作时对现场条件的要求、工作中的安全注意事项等核查清楚。</w:t>
      </w:r>
    </w:p>
    <w:p>
      <w:pPr>
        <w:keepNext w:val="0"/>
        <w:keepLines w:val="0"/>
        <w:pageBreakBefore w:val="0"/>
        <w:tabs>
          <w:tab w:val="left" w:pos="270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对大型作业等较为复杂的施工（检修）作业项目，有关人员必须在施工（检修）前深入到现场，对大型施工（检修）机械的行走路线和工作位置以及对施工（检修）构成障碍的物体等核查清楚，以确定可行的施工（检修）方案和作业中的不安全因素，制定可靠的安全防范措施。</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（29）保证作业区内的清洁卫生。</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（30）爱护招标人的消防设施，按招标人有关规定及时到指定地点调换使用过的灭火器材。</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（31）投标人人员必须严格遵守招标人及投标人规定的劳动纪律，投标人规定的劳动纪律及各类规章制度、规程不得与招标人的规章制度、规程相违背。</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（32）投标人必须严格遵守招标人所在地的“社会治安管理条例”。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（33）安全防护方面的其他要求： 投标人应依据现行标准规范，结合工程特点、工程场地及周围环境、工期进度和作业环境要求，在维保方案中制定相应的安全防护、文明施工（检修）。</w:t>
      </w:r>
    </w:p>
    <w:p>
      <w:pPr>
        <w:keepNext w:val="0"/>
        <w:keepLines w:val="0"/>
        <w:pageBreakBefore w:val="0"/>
        <w:tabs>
          <w:tab w:val="right" w:leader="dot" w:pos="7980"/>
        </w:tabs>
        <w:kinsoku/>
        <w:topLinePunct w:val="0"/>
        <w:bidi w:val="0"/>
        <w:spacing w:line="400" w:lineRule="exact"/>
        <w:ind w:firstLine="482" w:firstLineChars="200"/>
        <w:outlineLvl w:val="4"/>
        <w:rPr>
          <w:rFonts w:hint="eastAsia" w:ascii="宋体" w:hAnsi="宋体" w:eastAsia="宋体" w:cs="宋体"/>
          <w:b/>
          <w:bCs/>
          <w:color w:val="auto"/>
          <w:sz w:val="24"/>
          <w:szCs w:val="24"/>
          <w:highlight w:val="none"/>
        </w:rPr>
      </w:pPr>
      <w:bookmarkStart w:id="229" w:name="_Toc22200"/>
      <w:bookmarkStart w:id="230" w:name="_Toc10395"/>
      <w:bookmarkStart w:id="231" w:name="_Toc206401930"/>
      <w:bookmarkStart w:id="232" w:name="_Toc144618764"/>
      <w:bookmarkStart w:id="233" w:name="_Toc12411"/>
      <w:bookmarkStart w:id="234" w:name="_Toc2356"/>
      <w:r>
        <w:rPr>
          <w:rFonts w:hint="eastAsia" w:ascii="宋体" w:hAnsi="宋体" w:eastAsia="宋体" w:cs="宋体"/>
          <w:b/>
          <w:bCs/>
          <w:color w:val="auto"/>
          <w:sz w:val="24"/>
          <w:szCs w:val="24"/>
          <w:highlight w:val="none"/>
        </w:rPr>
        <w:t>4.3.8.2投标人的文明维修管理</w:t>
      </w:r>
      <w:bookmarkEnd w:id="229"/>
      <w:bookmarkEnd w:id="230"/>
      <w:bookmarkEnd w:id="231"/>
      <w:bookmarkEnd w:id="232"/>
      <w:bookmarkEnd w:id="233"/>
      <w:bookmarkEnd w:id="234"/>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4.3.8.2.1维修过程中，严格按照“规范化管理、标准化作业”规定要求，实施文明维修管理。</w:t>
      </w:r>
    </w:p>
    <w:p>
      <w:pPr>
        <w:pStyle w:val="26"/>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4.3.8.2.2作业过程中，投标人应合理地保持作业现场中不出现不必要的障碍，处置好作业设备及多余材料，保持现场整洁和道路畅通。</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4.3.8.2.3保护维修区域内各种管线、输电及通信线路、控制开关、生产通道、测量标点等，不得随意破坏、操作、占用。如与其他维修平面发生矛盾，应事先通报招标人，在得到招标人同意后方可按要求执行。如发现未经请示同意而擅自行事，将视其具体情况给予罚款处理。</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4.3.8.2.4必须负责维修现场日常卫生清理工作，保证公共环境整洁。</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4.3.8.2.5运至维修现场的备品备件，剩余部分由投标人及时回收，并放到招标人指定的地点。</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4.3.8.2.6维修现场讲文明、讲礼貌，遇事商量解决，严禁打架、斗殴。</w:t>
      </w:r>
    </w:p>
    <w:p>
      <w:pPr>
        <w:keepNext w:val="0"/>
        <w:keepLines w:val="0"/>
        <w:pageBreakBefore w:val="0"/>
        <w:tabs>
          <w:tab w:val="right" w:leader="dot" w:pos="7980"/>
        </w:tabs>
        <w:kinsoku/>
        <w:topLinePunct w:val="0"/>
        <w:bidi w:val="0"/>
        <w:spacing w:line="400" w:lineRule="exact"/>
        <w:ind w:firstLine="482" w:firstLineChars="200"/>
        <w:outlineLvl w:val="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4.3.8.3投标人的文明行为管理</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投标人执行作业时，应着统一服装、正确佩戴安全帽、在上下班及工作路途中应严格遵守交通规则、严禁闯红灯及逆行。</w:t>
      </w:r>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shd w:val="clear" w:color="auto" w:fill="FFFFFF"/>
        </w:rPr>
      </w:pPr>
      <w:bookmarkStart w:id="235" w:name="_Toc1322518469"/>
      <w:bookmarkStart w:id="236" w:name="_Toc1676179901"/>
      <w:bookmarkStart w:id="237" w:name="_Toc6108253"/>
      <w:r>
        <w:rPr>
          <w:rFonts w:hint="eastAsia" w:ascii="宋体" w:hAnsi="宋体" w:eastAsia="宋体" w:cs="宋体"/>
          <w:b/>
          <w:bCs/>
          <w:color w:val="auto"/>
          <w:sz w:val="24"/>
          <w:szCs w:val="24"/>
          <w:highlight w:val="none"/>
          <w:shd w:val="clear" w:color="auto" w:fill="FFFFFF"/>
        </w:rPr>
        <w:t>4.3.9应急</w:t>
      </w:r>
      <w:bookmarkEnd w:id="199"/>
      <w:r>
        <w:rPr>
          <w:rFonts w:hint="eastAsia" w:ascii="宋体" w:hAnsi="宋体" w:eastAsia="宋体" w:cs="宋体"/>
          <w:b/>
          <w:bCs/>
          <w:color w:val="auto"/>
          <w:sz w:val="24"/>
          <w:szCs w:val="24"/>
          <w:highlight w:val="none"/>
          <w:shd w:val="clear" w:color="auto" w:fill="FFFFFF"/>
        </w:rPr>
        <w:t>管理</w:t>
      </w:r>
      <w:bookmarkEnd w:id="235"/>
      <w:bookmarkEnd w:id="236"/>
      <w:bookmarkEnd w:id="237"/>
    </w:p>
    <w:p>
      <w:pPr>
        <w:pStyle w:val="15"/>
        <w:keepNext w:val="0"/>
        <w:keepLines w:val="0"/>
        <w:pageBreakBefore w:val="0"/>
        <w:kinsoku/>
        <w:topLinePunct w:val="0"/>
        <w:bidi w:val="0"/>
        <w:spacing w:line="400" w:lineRule="exact"/>
        <w:ind w:firstLine="482"/>
        <w:outlineLvl w:val="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shd w:val="clear" w:color="auto" w:fill="FFFFFF"/>
        </w:rPr>
        <w:t>4.3.9.1 应急队伍组建及相关要求</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4.3.9.1投标人应按招标人总体预案要求成立专业应急处置小组，并以项目经理为组长，明确成员职责，其名单和通讯方式应在招标人处备案，接受招标人统一管理。</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4.3.9.2应急处置小组应根据招标人要求签订应急承诺书（附录5）并积极开展应急处置，应急信息不得瞒报、漏报、谎报，因投标人原因导致的损失，由投标人承担相关责任。</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4.3.9.3</w:t>
      </w:r>
      <w:r>
        <w:rPr>
          <w:rFonts w:hint="eastAsia" w:ascii="宋体" w:hAnsi="宋体" w:eastAsia="宋体" w:cs="宋体"/>
          <w:color w:val="auto"/>
          <w:kern w:val="2"/>
          <w:sz w:val="24"/>
          <w:szCs w:val="24"/>
          <w:highlight w:val="none"/>
        </w:rPr>
        <w:t>投标人应急处置小组要明确各成员职责24小时有人值班，满足故障处置的需要。应急值守的人员只能在规定的工作范围内进行生产活动，不得随意脱岗。</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4.3.9.4</w:t>
      </w:r>
      <w:r>
        <w:rPr>
          <w:rFonts w:hint="eastAsia" w:ascii="宋体" w:hAnsi="宋体" w:eastAsia="宋体" w:cs="宋体"/>
          <w:color w:val="auto"/>
          <w:kern w:val="2"/>
          <w:sz w:val="24"/>
          <w:szCs w:val="24"/>
          <w:highlight w:val="none"/>
        </w:rPr>
        <w:t xml:space="preserve"> 投标人应定期组织员工对应急处置预案和相关行业典型案例进行学习，提高应急处置能力，并做好学习记录。</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4.3.9.5 投标人应按照招标人的应急演练计划组织开展演练，做好演练的相关记录（含图像和文字），对演练内容进行总结，对处置方案进行不断优化。</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4.3.9.6</w:t>
      </w:r>
      <w:r>
        <w:rPr>
          <w:rFonts w:hint="eastAsia" w:ascii="宋体" w:hAnsi="宋体" w:eastAsia="宋体" w:cs="宋体"/>
          <w:color w:val="auto"/>
          <w:kern w:val="2"/>
          <w:sz w:val="24"/>
          <w:szCs w:val="24"/>
          <w:highlight w:val="none"/>
        </w:rPr>
        <w:t xml:space="preserve"> 日常配合专业维修部门对事故抢修所需工器具、材料进行定期检查，发现问题及时整改。</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4.3.9.7</w:t>
      </w:r>
      <w:r>
        <w:rPr>
          <w:rFonts w:hint="eastAsia" w:ascii="宋体" w:hAnsi="宋体" w:eastAsia="宋体" w:cs="宋体"/>
          <w:color w:val="auto"/>
          <w:kern w:val="2"/>
          <w:sz w:val="24"/>
          <w:szCs w:val="24"/>
          <w:highlight w:val="none"/>
        </w:rPr>
        <w:t xml:space="preserve"> 针对节假日（含周六、周日）、可遇见的其他大客流，投标人应按照专业维修部门的统一布置做好值班和设备检查工作，落实相关应急措施。</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4.3.9.8 投标人应急处置小组在应急期间由招标人统一管理，听从招标人相关安排及配合。</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38" w:name="_Toc14976"/>
      <w:r>
        <w:rPr>
          <w:rFonts w:hint="eastAsia" w:ascii="宋体" w:hAnsi="宋体" w:eastAsia="宋体" w:cs="宋体"/>
          <w:color w:val="auto"/>
          <w:sz w:val="24"/>
          <w:szCs w:val="24"/>
          <w:highlight w:val="none"/>
        </w:rPr>
        <w:t>4.3.9.9投标人对招标人通知的其他专业设备突发故障，影响地铁运营、人身设备安全的突发情况、异常情况、紧急事件或其他突发紧急情况进行及时响应，及时赶赴现场，按招标人的抢修计划进行配合抢险，当有必要时，投标人需安排人员进行协助抢修。进行协助抢修的人员必须经过招标人的培训并考试合格。</w:t>
      </w:r>
      <w:bookmarkEnd w:id="238"/>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39" w:name="_Toc24925"/>
      <w:r>
        <w:rPr>
          <w:rFonts w:hint="eastAsia" w:ascii="宋体" w:hAnsi="宋体" w:eastAsia="宋体" w:cs="宋体"/>
          <w:color w:val="auto"/>
          <w:sz w:val="24"/>
          <w:szCs w:val="24"/>
          <w:highlight w:val="none"/>
        </w:rPr>
        <w:t>4.3.9.10招标人有权在判定险情超过投标人处理能力的情况下，联系除投标人外的指定应急救援队参与抢险施工，投标人应全力配合相关工作。</w:t>
      </w:r>
      <w:bookmarkEnd w:id="239"/>
    </w:p>
    <w:p>
      <w:pPr>
        <w:pStyle w:val="15"/>
        <w:keepNext w:val="0"/>
        <w:keepLines w:val="0"/>
        <w:pageBreakBefore w:val="0"/>
        <w:kinsoku/>
        <w:topLinePunct w:val="0"/>
        <w:bidi w:val="0"/>
        <w:spacing w:line="400" w:lineRule="exact"/>
        <w:ind w:firstLine="482"/>
        <w:outlineLvl w:val="4"/>
        <w:rPr>
          <w:rFonts w:hint="eastAsia" w:ascii="宋体" w:hAnsi="宋体" w:eastAsia="宋体" w:cs="宋体"/>
          <w:b/>
          <w:bCs/>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4.3.9.2故障应急处置</w:t>
      </w:r>
    </w:p>
    <w:p>
      <w:pPr>
        <w:pStyle w:val="15"/>
        <w:keepNext w:val="0"/>
        <w:keepLines w:val="0"/>
        <w:pageBreakBefore w:val="0"/>
        <w:kinsoku/>
        <w:topLinePunct w:val="0"/>
        <w:bidi w:val="0"/>
        <w:spacing w:line="400" w:lineRule="exact"/>
        <w:ind w:firstLine="480"/>
        <w:outlineLvl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若发生道床变形、结构钻穿、隧道沉降等包含但不限与上述情况时，应采取以下应急处置措施。</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4.3.9.2.1 发生故障时，投标人人员应服从指挥和调遣。</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4.3.9.2.2 专业设备发生故障时，投标人负责人应立即组织人员进行抢修。并根据故障影响范围、恢复处理的难易度或根据专业维修部门要求随时抽调抢修小组其他成员（含休班人员）参与抢修工作。</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4.3.9.2.3 抢修应遵行“先通后复”的原则，不能一次性恢复的采取临时措施，待当日运营结束或车辆运行至终点下线后进行处理。</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4.3.9.2.4 故障处置过程中应加强对关联设备的监护和检查，加强和相关专业人员联系，并向控制中心汇报进展情况。故障处理过程中应做好记录及设备影像资料的摄录，便于后续的分析处理。</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4.3.9.2.5 故障抢修时必须加强现场安全的监护和防护，确保作业人员和乘客的安全。</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4.3.9.2.5 故障处置完毕后，应对设备进行检查或试验，确认状态良好。抢修人员在得到控制中心批准后方可离开现场。</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4.3.9.2.6 故障处置完毕后，投标人应和专业维修部门一起做好故障分析，形成报告。必要时投标人负责人及现场相关处置人员参加招标人组织的分析会。</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4.3.9.2.7 任何人不得隐瞒故障现象和过程，若存在投标人隐瞒故障现象和处理过程的，应加倍进行考核。</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4.3.9.2.8 投标人不得以任何借口延误抢修，因投标故障处理不得力，最后造成故障范围扩大、延长故障处理时间，从而影响电车运营或造成人员伤亡等其他较大影响的，应按照招标人相关管理办法进行处理。</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4.3.9.2.9 应急处置工作得力、快速恢复行车、减少设备损失、防止人员伤亡或有其他立功表现的，招标人给予表扬、表彰。</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4.3.9.2.10 若因外力而导致的应急状况，完成抢险后，应配合招标人进行相应的索赔。</w:t>
      </w:r>
    </w:p>
    <w:p>
      <w:pPr>
        <w:pStyle w:val="152"/>
        <w:keepNext w:val="0"/>
        <w:keepLines w:val="0"/>
        <w:pageBreakBefore w:val="0"/>
        <w:tabs>
          <w:tab w:val="center" w:pos="4201"/>
          <w:tab w:val="right" w:leader="dot" w:pos="9298"/>
        </w:tabs>
        <w:kinsoku/>
        <w:topLinePunct w:val="0"/>
        <w:bidi w:val="0"/>
        <w:spacing w:line="400" w:lineRule="exact"/>
        <w:ind w:firstLine="482"/>
        <w:outlineLvl w:val="3"/>
        <w:rPr>
          <w:rFonts w:hint="eastAsia" w:ascii="宋体" w:hAnsi="宋体" w:eastAsia="宋体" w:cs="宋体"/>
          <w:b/>
          <w:bCs/>
          <w:color w:val="auto"/>
          <w:kern w:val="2"/>
          <w:sz w:val="24"/>
          <w:szCs w:val="24"/>
          <w:highlight w:val="none"/>
          <w:shd w:val="clear" w:color="auto" w:fill="FFFFFF"/>
        </w:rPr>
      </w:pPr>
      <w:bookmarkStart w:id="240" w:name="_Toc1495158404"/>
      <w:bookmarkStart w:id="241" w:name="_Toc1111419216"/>
      <w:bookmarkStart w:id="242" w:name="_Toc19056"/>
      <w:bookmarkStart w:id="243" w:name="_Toc436668103"/>
      <w:r>
        <w:rPr>
          <w:rFonts w:hint="eastAsia" w:ascii="宋体" w:hAnsi="宋体" w:eastAsia="宋体" w:cs="宋体"/>
          <w:b/>
          <w:bCs/>
          <w:color w:val="auto"/>
          <w:kern w:val="2"/>
          <w:sz w:val="24"/>
          <w:szCs w:val="24"/>
          <w:highlight w:val="none"/>
          <w:shd w:val="clear" w:color="auto" w:fill="FFFFFF"/>
        </w:rPr>
        <w:t>4.3.10 培训管理</w:t>
      </w:r>
      <w:bookmarkEnd w:id="240"/>
      <w:bookmarkEnd w:id="241"/>
      <w:bookmarkEnd w:id="242"/>
      <w:bookmarkEnd w:id="243"/>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4.3.10.1投标人必须有系统的培训制度，并按此制度定期对员工进行各类培训，以满足现场生产需要。</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4.3.10.2投标人应依法对本单位人员进行安全培训及专业技能培训，并建立相关的培训档案。</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4.3.10.3投标人应及时组织学习招标人下达的相关文件及规章制度，并对学习记录形成相关的档案。</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4.3.10.4投标人应组织施工管理培训和特殊现场作业环境相关的安全培训。</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4.3.10.5投标人应定期集中组织人员参加培训。</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4.3.10.6投标人应听从招标人安排，必要时需取得包含但不限于本专业的上岗证。</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4.3.10.7投标人应按周，月，季的固定周期开展对地铁保护区巡查人员的专项培训，并形成台账存档。</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（1）月度培训内容包含交通安全、职业健康、劳动安全等方面相关法律法规、招标人相关规章制度、往年相关事故案例。</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（2）月度培训内容包含每月巡查报表、线路走向及埋深、保护区范围及周围环境变化情况。</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（3）周培训内容包含每周巡查报表、GIS仪器使用、保护区违规施工类型及工艺识别、工作质量及要求、隐患处置流程。</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4.3.10.8 投标人应定期组织内部培训，并进行阶段考试，以提高投标人员的技能水平。同时应接受招标人相关部门组织的培训，并保证培训合格。</w:t>
      </w:r>
    </w:p>
    <w:p>
      <w:pPr>
        <w:keepNext w:val="0"/>
        <w:keepLines w:val="0"/>
        <w:pageBreakBefore w:val="0"/>
        <w:tabs>
          <w:tab w:val="left" w:pos="3152"/>
        </w:tabs>
        <w:kinsoku/>
        <w:topLinePunct w:val="0"/>
        <w:bidi w:val="0"/>
        <w:spacing w:line="400" w:lineRule="exact"/>
        <w:ind w:firstLine="482" w:firstLineChars="200"/>
        <w:outlineLvl w:val="2"/>
        <w:rPr>
          <w:rFonts w:hint="eastAsia" w:ascii="宋体" w:hAnsi="宋体" w:eastAsia="宋体" w:cs="宋体"/>
          <w:b/>
          <w:bCs/>
          <w:color w:val="auto"/>
          <w:sz w:val="24"/>
          <w:szCs w:val="24"/>
          <w:highlight w:val="none"/>
        </w:rPr>
      </w:pPr>
      <w:bookmarkStart w:id="244" w:name="_Toc20329"/>
      <w:bookmarkStart w:id="245" w:name="_Toc1316735403"/>
      <w:bookmarkStart w:id="246" w:name="_Toc1539464386"/>
      <w:bookmarkStart w:id="247" w:name="_Toc1845911097"/>
      <w:r>
        <w:rPr>
          <w:rFonts w:hint="eastAsia" w:ascii="宋体" w:hAnsi="宋体" w:eastAsia="宋体" w:cs="宋体"/>
          <w:b/>
          <w:bCs/>
          <w:color w:val="auto"/>
          <w:sz w:val="24"/>
          <w:szCs w:val="24"/>
          <w:highlight w:val="none"/>
        </w:rPr>
        <w:t>4.3.11文件资料</w:t>
      </w:r>
      <w:bookmarkEnd w:id="244"/>
      <w:r>
        <w:rPr>
          <w:rFonts w:hint="eastAsia" w:ascii="宋体" w:hAnsi="宋体" w:eastAsia="宋体" w:cs="宋体"/>
          <w:b/>
          <w:bCs/>
          <w:color w:val="auto"/>
          <w:sz w:val="24"/>
          <w:szCs w:val="24"/>
          <w:highlight w:val="none"/>
        </w:rPr>
        <w:t>管理</w:t>
      </w:r>
      <w:bookmarkEnd w:id="245"/>
      <w:bookmarkEnd w:id="246"/>
      <w:bookmarkEnd w:id="247"/>
      <w:r>
        <w:rPr>
          <w:rFonts w:hint="eastAsia" w:ascii="宋体" w:hAnsi="宋体" w:eastAsia="宋体" w:cs="宋体"/>
          <w:b/>
          <w:bCs/>
          <w:color w:val="auto"/>
          <w:sz w:val="24"/>
          <w:szCs w:val="24"/>
          <w:highlight w:val="none"/>
        </w:rPr>
        <w:tab/>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4.3.11.1 投标人应根据投标项目进展情况及时搜集、记录、整理和形成各类内业资料，并按照归档要求及时登记存档，需移交或上报的资料要及时移交和上报。</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4.3.11.2所有与维修相关文件和记录应分别进行编号、分类、登记、发放、传递、保管和回收，必须与招标人管理同步。</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4.3.11.3维修图纸及维修计划、任务单、各类维修会议纪要（记录）按程序文件的要求统一编号、分类、登记、标识、存档，按招标人批准的范围发放、传递。</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4.3.11.4 投标人安全教育、人员考核、生产计划、巡检记录、项目维保量计量清单等内业资料每月需移交至中心备查，中心每季度上报至部门归档。</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4.3.11.5投标人如维修项目修改原设计，投标人必须征得招标人同意（涉及对原设计的重大修改，必须召开专家论证会经专家组同意）并在维修资料相应位置明确标识，并将修改存档，同时将修改指令复印件附在检修图中。对作废图纸应及时回收，交招标人统一处理。</w:t>
      </w:r>
    </w:p>
    <w:p>
      <w:pPr>
        <w:keepNext w:val="0"/>
        <w:keepLines w:val="0"/>
        <w:pageBreakBefore w:val="0"/>
        <w:tabs>
          <w:tab w:val="left" w:pos="2520"/>
        </w:tabs>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4.3.11.6投标人应有一整套检修规范、标准等文件，对于标准的更新及规程、规范的变化应及时报告招标人，并在相应部位做代替说明，待招标人批准后执行。</w:t>
      </w:r>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4.3.11.7 投标人必须保证对所有资料要及时填写、确保所有资料真实、可靠、完整，填写规范、签字齐全，所有原始记录不得随意修改，保持资料整洁性。</w:t>
      </w:r>
      <w:bookmarkStart w:id="248" w:name="_Toc9866"/>
      <w:bookmarkStart w:id="249" w:name="_Toc31981"/>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4.3.11.8 文件资料包含但不限于三级安全、巡检记录、维修记录等台账，台账样式由招标人提供，台账打印所需费用均由投标人在综合单价中自行考虑。</w:t>
      </w:r>
    </w:p>
    <w:bookmarkEnd w:id="248"/>
    <w:bookmarkEnd w:id="249"/>
    <w:p>
      <w:pPr>
        <w:keepNext w:val="0"/>
        <w:keepLines w:val="0"/>
        <w:pageBreakBefore w:val="0"/>
        <w:tabs>
          <w:tab w:val="left" w:pos="2520"/>
        </w:tabs>
        <w:kinsoku/>
        <w:topLinePunct w:val="0"/>
        <w:bidi w:val="0"/>
        <w:spacing w:line="400" w:lineRule="exact"/>
        <w:ind w:firstLine="482" w:firstLineChars="200"/>
        <w:outlineLvl w:val="2"/>
        <w:rPr>
          <w:rFonts w:hint="eastAsia" w:ascii="宋体" w:hAnsi="宋体" w:eastAsia="宋体" w:cs="宋体"/>
          <w:color w:val="auto"/>
          <w:sz w:val="24"/>
          <w:szCs w:val="24"/>
          <w:highlight w:val="none"/>
        </w:rPr>
      </w:pPr>
      <w:bookmarkStart w:id="250" w:name="_Toc1105704284"/>
      <w:bookmarkStart w:id="251" w:name="_Toc18935"/>
      <w:bookmarkStart w:id="252" w:name="_Toc632529832"/>
      <w:bookmarkStart w:id="253" w:name="_Toc1000127352"/>
      <w:r>
        <w:rPr>
          <w:rFonts w:hint="eastAsia" w:ascii="宋体" w:hAnsi="宋体" w:eastAsia="宋体" w:cs="宋体"/>
          <w:b/>
          <w:bCs/>
          <w:color w:val="auto"/>
          <w:sz w:val="24"/>
          <w:szCs w:val="24"/>
          <w:highlight w:val="none"/>
        </w:rPr>
        <w:t>4.3.12维修服务指标</w:t>
      </w:r>
      <w:bookmarkEnd w:id="250"/>
      <w:bookmarkEnd w:id="251"/>
      <w:bookmarkEnd w:id="252"/>
      <w:bookmarkEnd w:id="253"/>
    </w:p>
    <w:tbl>
      <w:tblPr>
        <w:tblStyle w:val="43"/>
        <w:tblW w:w="4997" w:type="pct"/>
        <w:tblInd w:w="0" w:type="dxa"/>
        <w:tblLayout w:type="autofit"/>
        <w:tblCellMar>
          <w:top w:w="0" w:type="dxa"/>
          <w:left w:w="0" w:type="dxa"/>
          <w:bottom w:w="0" w:type="dxa"/>
          <w:right w:w="0" w:type="dxa"/>
        </w:tblCellMar>
      </w:tblPr>
      <w:tblGrid>
        <w:gridCol w:w="383"/>
        <w:gridCol w:w="569"/>
        <w:gridCol w:w="864"/>
        <w:gridCol w:w="2682"/>
        <w:gridCol w:w="1030"/>
        <w:gridCol w:w="1019"/>
        <w:gridCol w:w="938"/>
        <w:gridCol w:w="750"/>
        <w:gridCol w:w="610"/>
      </w:tblGrid>
      <w:tr>
        <w:tblPrEx>
          <w:tblCellMar>
            <w:top w:w="0" w:type="dxa"/>
            <w:left w:w="0" w:type="dxa"/>
            <w:bottom w:w="0" w:type="dxa"/>
            <w:right w:w="0" w:type="dxa"/>
          </w:tblCellMar>
        </w:tblPrEx>
        <w:trPr>
          <w:trHeight w:val="872"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序号</w:t>
            </w:r>
          </w:p>
        </w:tc>
        <w:tc>
          <w:tcPr>
            <w:tcW w:w="3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故障等级</w:t>
            </w:r>
          </w:p>
        </w:tc>
        <w:tc>
          <w:tcPr>
            <w:tcW w:w="4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故障系统</w:t>
            </w: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故障描述</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（故障情况的列举）</w:t>
            </w:r>
          </w:p>
        </w:tc>
        <w:tc>
          <w:tcPr>
            <w:tcW w:w="5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运营期间响应时间（小时）</w:t>
            </w:r>
          </w:p>
        </w:tc>
        <w:tc>
          <w:tcPr>
            <w:tcW w:w="57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非运营期间响应时间（小时）</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临时性修复时限（小时）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稳定状态时间（天）</w:t>
            </w:r>
          </w:p>
        </w:tc>
        <w:tc>
          <w:tcPr>
            <w:tcW w:w="3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备注</w:t>
            </w:r>
          </w:p>
        </w:tc>
      </w:tr>
      <w:tr>
        <w:tblPrEx>
          <w:tblCellMar>
            <w:top w:w="0" w:type="dxa"/>
            <w:left w:w="0" w:type="dxa"/>
            <w:bottom w:w="0" w:type="dxa"/>
            <w:right w:w="0" w:type="dxa"/>
          </w:tblCellMar>
        </w:tblPrEx>
        <w:trPr>
          <w:trHeight w:val="285"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32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A类设备故障</w:t>
            </w:r>
          </w:p>
        </w:tc>
        <w:tc>
          <w:tcPr>
            <w:tcW w:w="489"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结构</w:t>
            </w: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隧道结构出现破碎、变形、垮塌。</w:t>
            </w:r>
          </w:p>
        </w:tc>
        <w:tc>
          <w:tcPr>
            <w:tcW w:w="5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≤0.5</w:t>
            </w:r>
          </w:p>
        </w:tc>
        <w:tc>
          <w:tcPr>
            <w:tcW w:w="57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时间不包含施工计划申报、审批和等待作业点时间。</w:t>
            </w:r>
          </w:p>
        </w:tc>
      </w:tr>
      <w:tr>
        <w:tblPrEx>
          <w:tblCellMar>
            <w:top w:w="0" w:type="dxa"/>
            <w:left w:w="0" w:type="dxa"/>
            <w:bottom w:w="0" w:type="dxa"/>
            <w:right w:w="0" w:type="dxa"/>
          </w:tblCellMar>
        </w:tblPrEx>
        <w:trPr>
          <w:trHeight w:val="450"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隧道结构出现涌水、涌泥现象，影响行车。</w:t>
            </w:r>
          </w:p>
        </w:tc>
        <w:tc>
          <w:tcPr>
            <w:tcW w:w="5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≤0.5</w:t>
            </w:r>
          </w:p>
        </w:tc>
        <w:tc>
          <w:tcPr>
            <w:tcW w:w="57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隧道结构及其附属设备出现侵限现象，影响行车。</w:t>
            </w:r>
          </w:p>
        </w:tc>
        <w:tc>
          <w:tcPr>
            <w:tcW w:w="5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≤0.5</w:t>
            </w:r>
          </w:p>
        </w:tc>
        <w:tc>
          <w:tcPr>
            <w:tcW w:w="57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85"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轨行区拱顶掉落结构异物影响行车。</w:t>
            </w:r>
          </w:p>
        </w:tc>
        <w:tc>
          <w:tcPr>
            <w:tcW w:w="5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≤0.5</w:t>
            </w:r>
          </w:p>
        </w:tc>
        <w:tc>
          <w:tcPr>
            <w:tcW w:w="57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85"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32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B类设备故障</w:t>
            </w: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渗漏水较大，导致出入口关闭。</w:t>
            </w:r>
          </w:p>
        </w:tc>
        <w:tc>
          <w:tcPr>
            <w:tcW w:w="5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57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85"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渗漏水较大，影响乘客正常通行的。</w:t>
            </w:r>
          </w:p>
        </w:tc>
        <w:tc>
          <w:tcPr>
            <w:tcW w:w="5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57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设备区渗漏水，影响下方电器设备的。</w:t>
            </w:r>
          </w:p>
        </w:tc>
        <w:tc>
          <w:tcPr>
            <w:tcW w:w="5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57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结构渗漏水导致电梯、自动扶梯停梯。</w:t>
            </w:r>
          </w:p>
        </w:tc>
        <w:tc>
          <w:tcPr>
            <w:tcW w:w="5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57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w:t>
            </w:r>
          </w:p>
        </w:tc>
        <w:tc>
          <w:tcPr>
            <w:tcW w:w="32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C类设备故障</w:t>
            </w: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出入口渗漏水类故障，不影响乘客正常通行的。</w:t>
            </w:r>
          </w:p>
        </w:tc>
        <w:tc>
          <w:tcPr>
            <w:tcW w:w="115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设备区渗漏水类故障不影响设备运行的。</w:t>
            </w:r>
          </w:p>
        </w:tc>
        <w:tc>
          <w:tcPr>
            <w:tcW w:w="115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85"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区间渗漏水，不影响行车。</w:t>
            </w:r>
          </w:p>
        </w:tc>
        <w:tc>
          <w:tcPr>
            <w:tcW w:w="115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85"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公共区渗漏水，不影响客运服务。</w:t>
            </w:r>
          </w:p>
        </w:tc>
        <w:tc>
          <w:tcPr>
            <w:tcW w:w="115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16</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车站、主所等建筑物装饰装修</w:t>
            </w: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屋顶漏水、钢结构表面油漆脱落、锈蚀。</w:t>
            </w:r>
          </w:p>
        </w:tc>
        <w:tc>
          <w:tcPr>
            <w:tcW w:w="115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18</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建筑外墙（含玻璃幕墙）出现开胶、破碎、脱落等情况。</w:t>
            </w:r>
          </w:p>
        </w:tc>
        <w:tc>
          <w:tcPr>
            <w:tcW w:w="115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19</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吊顶、天花附属附件有否破损、开裂、变形，天花吊顶压边松脱、翘起。</w:t>
            </w:r>
          </w:p>
        </w:tc>
        <w:tc>
          <w:tcPr>
            <w:tcW w:w="115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675"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地面有起鼓、裂纹、松脱、渗水现象，水沟盖板出槽、变形、断裂、脱落。</w:t>
            </w:r>
          </w:p>
        </w:tc>
        <w:tc>
          <w:tcPr>
            <w:tcW w:w="115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1125" w:hRule="atLeast"/>
        </w:trPr>
        <w:tc>
          <w:tcPr>
            <w:tcW w:w="21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21</w:t>
            </w:r>
          </w:p>
        </w:tc>
        <w:tc>
          <w:tcPr>
            <w:tcW w:w="3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9"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装饰面起皮、脱落或开裂，金属挂件翘起， 柱面、地脚线等各类装饰材料开裂、破损， 玻璃墙板、地脚线、喷涂墙面等有缺陷、裂纹、崩角、开裂，装饰面开胶、局部翘起。</w:t>
            </w:r>
          </w:p>
        </w:tc>
        <w:tc>
          <w:tcPr>
            <w:tcW w:w="1158"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53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6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备注：上述维修服务指标规定与公司新制定的标准、规范存在冲突时，以招标人要求执行。</w:t>
            </w:r>
          </w:p>
        </w:tc>
      </w:tr>
    </w:tbl>
    <w:p>
      <w:pPr>
        <w:pStyle w:val="39"/>
        <w:keepNext w:val="0"/>
        <w:keepLines w:val="0"/>
        <w:pageBreakBefore w:val="0"/>
        <w:kinsoku/>
        <w:topLinePunct w:val="0"/>
        <w:bidi w:val="0"/>
        <w:spacing w:before="0" w:beforeAutospacing="0" w:after="0" w:afterAutospacing="0" w:line="400" w:lineRule="exact"/>
        <w:jc w:val="both"/>
        <w:rPr>
          <w:rFonts w:hint="eastAsia" w:ascii="宋体" w:hAnsi="宋体" w:eastAsia="宋体" w:cs="宋体"/>
          <w:color w:val="auto"/>
          <w:sz w:val="24"/>
          <w:szCs w:val="24"/>
          <w:highlight w:val="none"/>
        </w:rPr>
      </w:pPr>
    </w:p>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4.3.12.1响应时间：投标人从接到故障信息后至到达现场确认故障情况的时间，原则上以登记时间为准。正线运行列车出现的故障，响应时间是指从收到故障通知到给出处理建议的时间为准。</w:t>
      </w:r>
    </w:p>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4.3.12.2临时修复时间：由于条件限制，投标人暂时无法使设备达到原有技术指标的情况下，采取临时性措施，尽量减少故障影响范围的时限。此时限是指从接到故障信息到采取措施临时修复完毕的时间。</w:t>
      </w:r>
    </w:p>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4.3.12.3完全修复时间：通过维修使故障设备恢复到原来技术指标及状态或恢复原有使用功能及符合相关技术标准的期限。此时限是指从接到故障信息到设备完全修复完毕的时间。</w:t>
      </w:r>
    </w:p>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4.3.12.4维修服务兑现率（简称维修率）：在一个统计周期内，按设备故障维修服务指标规定完成故障修复的件数与发生故障的总数的比率。（维修率=按维修服务承诺完成件数/发生故障总数*100%）</w:t>
      </w:r>
    </w:p>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4.3.12.5 A类故障：设备设施发生的故障，导致直接影响行车或客运服务并且对运营安全或运能等造成较大影响的故障。</w:t>
      </w:r>
    </w:p>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4.3.12.6 B类故障：设备设施发生的故障，导致间接影响行车或客运服务，或者直接降低行车和客运服务水平，对运营、服务质量有一定影响但不构成安全隐患的故障。</w:t>
      </w:r>
    </w:p>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4.3.12.7 C类故障：除A类、B类设备故障外的其他一般类设备设施故障（通过临时处理后马上恢复正常，并不造成设备停用，且对行车和客运服务未造成影响的故障；对客运服务和办公环境产生影响对运营、服务没有突出影响）。</w:t>
      </w:r>
    </w:p>
    <w:p>
      <w:pPr>
        <w:keepNext w:val="0"/>
        <w:keepLines w:val="0"/>
        <w:pageBreakBefore w:val="0"/>
        <w:tabs>
          <w:tab w:val="left" w:pos="2520"/>
        </w:tabs>
        <w:kinsoku/>
        <w:topLinePunct w:val="0"/>
        <w:bidi w:val="0"/>
        <w:spacing w:line="400" w:lineRule="exact"/>
        <w:ind w:firstLine="482" w:firstLineChars="200"/>
        <w:outlineLvl w:val="1"/>
        <w:rPr>
          <w:rFonts w:hint="eastAsia" w:ascii="宋体" w:hAnsi="宋体" w:eastAsia="宋体" w:cs="宋体"/>
          <w:color w:val="auto"/>
          <w:sz w:val="24"/>
          <w:szCs w:val="24"/>
          <w:highlight w:val="none"/>
        </w:rPr>
      </w:pPr>
      <w:bookmarkStart w:id="254" w:name="_Toc172851167"/>
      <w:bookmarkStart w:id="255" w:name="_Toc2034155676"/>
      <w:bookmarkStart w:id="256" w:name="_Toc1124510736"/>
      <w:r>
        <w:rPr>
          <w:rFonts w:hint="eastAsia" w:ascii="宋体" w:hAnsi="宋体" w:eastAsia="宋体" w:cs="宋体"/>
          <w:b/>
          <w:bCs/>
          <w:color w:val="auto"/>
          <w:sz w:val="24"/>
          <w:szCs w:val="24"/>
          <w:highlight w:val="none"/>
        </w:rPr>
        <w:t>五、考核与考评</w:t>
      </w:r>
      <w:bookmarkEnd w:id="254"/>
      <w:bookmarkEnd w:id="255"/>
      <w:bookmarkEnd w:id="256"/>
    </w:p>
    <w:p>
      <w:pPr>
        <w:pStyle w:val="39"/>
        <w:keepNext w:val="0"/>
        <w:keepLines w:val="0"/>
        <w:pageBreakBefore w:val="0"/>
        <w:kinsoku/>
        <w:topLinePunct w:val="0"/>
        <w:bidi w:val="0"/>
        <w:spacing w:before="0" w:beforeAutospacing="0" w:after="0" w:afterAutospacing="0" w:line="400" w:lineRule="exact"/>
        <w:ind w:firstLine="482" w:firstLineChars="200"/>
        <w:jc w:val="both"/>
        <w:outlineLvl w:val="2"/>
        <w:rPr>
          <w:rFonts w:hint="eastAsia" w:ascii="宋体" w:hAnsi="宋体" w:eastAsia="宋体" w:cs="宋体"/>
          <w:b/>
          <w:bCs/>
          <w:color w:val="auto"/>
          <w:sz w:val="24"/>
          <w:szCs w:val="24"/>
          <w:highlight w:val="none"/>
        </w:rPr>
      </w:pPr>
      <w:bookmarkStart w:id="257" w:name="_Toc613911109"/>
      <w:bookmarkStart w:id="258" w:name="_Toc217739026"/>
      <w:bookmarkStart w:id="259" w:name="_Toc14304"/>
      <w:bookmarkStart w:id="260" w:name="_Toc441373933"/>
      <w:r>
        <w:rPr>
          <w:rFonts w:hint="eastAsia" w:ascii="宋体" w:hAnsi="宋体" w:eastAsia="宋体" w:cs="宋体"/>
          <w:b/>
          <w:bCs/>
          <w:color w:val="auto"/>
          <w:sz w:val="24"/>
          <w:szCs w:val="24"/>
          <w:highlight w:val="none"/>
        </w:rPr>
        <w:t>5.1验收与质保</w:t>
      </w:r>
      <w:bookmarkEnd w:id="257"/>
      <w:bookmarkEnd w:id="258"/>
      <w:bookmarkEnd w:id="259"/>
      <w:bookmarkEnd w:id="260"/>
    </w:p>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投标人施工（检修）作业完成后应及时申请验收，招标人收到通知后及时进行验收。项目合同期满应申请项目验收，招标人验收合格后，开展质保金支付流程。</w:t>
      </w:r>
    </w:p>
    <w:p>
      <w:pPr>
        <w:pStyle w:val="39"/>
        <w:keepNext w:val="0"/>
        <w:keepLines w:val="0"/>
        <w:pageBreakBefore w:val="0"/>
        <w:kinsoku/>
        <w:topLinePunct w:val="0"/>
        <w:bidi w:val="0"/>
        <w:spacing w:before="0" w:beforeAutospacing="0" w:after="0" w:afterAutospacing="0" w:line="400" w:lineRule="exact"/>
        <w:ind w:firstLine="482" w:firstLineChars="200"/>
        <w:jc w:val="both"/>
        <w:outlineLvl w:val="2"/>
        <w:rPr>
          <w:rFonts w:hint="eastAsia" w:ascii="宋体" w:hAnsi="宋体" w:eastAsia="宋体" w:cs="宋体"/>
          <w:b/>
          <w:bCs/>
          <w:color w:val="auto"/>
          <w:sz w:val="24"/>
          <w:szCs w:val="24"/>
          <w:highlight w:val="none"/>
        </w:rPr>
      </w:pPr>
      <w:bookmarkStart w:id="261" w:name="_Toc3823"/>
      <w:bookmarkStart w:id="262" w:name="_Toc437291244"/>
      <w:bookmarkStart w:id="263" w:name="_Toc1625216221"/>
      <w:bookmarkStart w:id="264" w:name="_Toc2011688571"/>
      <w:bookmarkStart w:id="265" w:name="_Toc10631"/>
      <w:r>
        <w:rPr>
          <w:rFonts w:hint="eastAsia" w:ascii="宋体" w:hAnsi="宋体" w:eastAsia="宋体" w:cs="宋体"/>
          <w:b/>
          <w:bCs/>
          <w:color w:val="auto"/>
          <w:sz w:val="24"/>
          <w:szCs w:val="24"/>
          <w:highlight w:val="none"/>
        </w:rPr>
        <w:t>5.2投标人保证措施</w:t>
      </w:r>
      <w:bookmarkEnd w:id="261"/>
      <w:bookmarkEnd w:id="262"/>
      <w:bookmarkEnd w:id="263"/>
      <w:bookmarkEnd w:id="264"/>
    </w:p>
    <w:bookmarkEnd w:id="265"/>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bookmarkStart w:id="266" w:name="_Toc24808"/>
      <w:bookmarkStart w:id="267" w:name="_Toc144618762"/>
      <w:bookmarkStart w:id="268" w:name="_Toc206401928"/>
      <w:r>
        <w:rPr>
          <w:rFonts w:hint="eastAsia" w:ascii="宋体" w:hAnsi="宋体" w:eastAsia="宋体" w:cs="宋体"/>
          <w:color w:val="auto"/>
          <w:sz w:val="24"/>
          <w:szCs w:val="24"/>
          <w:highlight w:val="none"/>
        </w:rPr>
        <w:t>5.2.1严格遵守和执行国家、地方、行业的相关法律、法规、规范、规程、标准及招标人的厂纪、厂规等各项管理制度及规定。</w:t>
      </w:r>
      <w:bookmarkEnd w:id="266"/>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69" w:name="_Toc22454"/>
      <w:r>
        <w:rPr>
          <w:rFonts w:hint="eastAsia" w:ascii="宋体" w:hAnsi="宋体" w:eastAsia="宋体" w:cs="宋体"/>
          <w:color w:val="auto"/>
          <w:kern w:val="0"/>
          <w:sz w:val="24"/>
          <w:szCs w:val="24"/>
          <w:highlight w:val="none"/>
        </w:rPr>
        <w:t>5.2.2</w:t>
      </w:r>
      <w:r>
        <w:rPr>
          <w:rFonts w:hint="eastAsia" w:ascii="宋体" w:hAnsi="宋体" w:eastAsia="宋体" w:cs="宋体"/>
          <w:color w:val="auto"/>
          <w:sz w:val="24"/>
          <w:szCs w:val="24"/>
          <w:highlight w:val="none"/>
        </w:rPr>
        <w:t>遵守合同协议，组织足够力量的技术人员、技术工人，完成日常巡检、值班和不同种类、规模的维修及抢修。</w:t>
      </w:r>
      <w:bookmarkEnd w:id="269"/>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0" w:name="_Toc27967"/>
      <w:r>
        <w:rPr>
          <w:rFonts w:hint="eastAsia" w:ascii="宋体" w:hAnsi="宋体" w:eastAsia="宋体" w:cs="宋体"/>
          <w:color w:val="auto"/>
          <w:kern w:val="0"/>
          <w:sz w:val="24"/>
          <w:szCs w:val="24"/>
          <w:highlight w:val="none"/>
        </w:rPr>
        <w:t>5.2.3</w:t>
      </w:r>
      <w:r>
        <w:rPr>
          <w:rFonts w:hint="eastAsia" w:ascii="宋体" w:hAnsi="宋体" w:eastAsia="宋体" w:cs="宋体"/>
          <w:color w:val="auto"/>
          <w:sz w:val="24"/>
          <w:szCs w:val="24"/>
          <w:highlight w:val="none"/>
        </w:rPr>
        <w:t>对维修组织机构定岗、定员。队伍人员素质、专业技术满足各项维修要求，并保证参加维修的人员相对稳定。</w:t>
      </w:r>
      <w:bookmarkEnd w:id="270"/>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1" w:name="_Toc5756"/>
      <w:r>
        <w:rPr>
          <w:rFonts w:hint="eastAsia" w:ascii="宋体" w:hAnsi="宋体" w:eastAsia="宋体" w:cs="宋体"/>
          <w:color w:val="auto"/>
          <w:kern w:val="0"/>
          <w:sz w:val="24"/>
          <w:szCs w:val="24"/>
          <w:highlight w:val="none"/>
        </w:rPr>
        <w:t>5.2.4</w:t>
      </w:r>
      <w:r>
        <w:rPr>
          <w:rFonts w:hint="eastAsia" w:ascii="宋体" w:hAnsi="宋体" w:eastAsia="宋体" w:cs="宋体"/>
          <w:color w:val="auto"/>
          <w:sz w:val="24"/>
          <w:szCs w:val="24"/>
          <w:highlight w:val="none"/>
        </w:rPr>
        <w:t>严格按照招标人维修管理模式，及招标人审定的检修工作计划和检修方案组织实施。</w:t>
      </w:r>
      <w:bookmarkEnd w:id="271"/>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2" w:name="_Toc5671"/>
      <w:r>
        <w:rPr>
          <w:rFonts w:hint="eastAsia" w:ascii="宋体" w:hAnsi="宋体" w:eastAsia="宋体" w:cs="宋体"/>
          <w:color w:val="auto"/>
          <w:kern w:val="0"/>
          <w:sz w:val="24"/>
          <w:szCs w:val="24"/>
          <w:highlight w:val="none"/>
        </w:rPr>
        <w:t>5.2.5</w:t>
      </w:r>
      <w:r>
        <w:rPr>
          <w:rFonts w:hint="eastAsia" w:ascii="宋体" w:hAnsi="宋体" w:eastAsia="宋体" w:cs="宋体"/>
          <w:color w:val="auto"/>
          <w:sz w:val="24"/>
          <w:szCs w:val="24"/>
          <w:highlight w:val="none"/>
        </w:rPr>
        <w:t>按照合同协议认真执行，及时完成值班巡检、养护、检修、事故抢修以及原设计不能满足生产要求的局部改善。</w:t>
      </w:r>
      <w:bookmarkEnd w:id="272"/>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3" w:name="_Toc14892"/>
      <w:r>
        <w:rPr>
          <w:rFonts w:hint="eastAsia" w:ascii="宋体" w:hAnsi="宋体" w:eastAsia="宋体" w:cs="宋体"/>
          <w:color w:val="auto"/>
          <w:kern w:val="0"/>
          <w:sz w:val="24"/>
          <w:szCs w:val="24"/>
          <w:highlight w:val="none"/>
        </w:rPr>
        <w:t>5.2.6</w:t>
      </w:r>
      <w:r>
        <w:rPr>
          <w:rFonts w:hint="eastAsia" w:ascii="宋体" w:hAnsi="宋体" w:eastAsia="宋体" w:cs="宋体"/>
          <w:color w:val="auto"/>
          <w:sz w:val="24"/>
          <w:szCs w:val="24"/>
          <w:highlight w:val="none"/>
        </w:rPr>
        <w:t>投标人无条件服从招标人生产安排，每日24小时及节假日期间，凡招标人设施正常生产时，确保定编人员到岗到位。</w:t>
      </w:r>
      <w:bookmarkEnd w:id="273"/>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4" w:name="_Toc25982"/>
      <w:r>
        <w:rPr>
          <w:rFonts w:hint="eastAsia" w:ascii="宋体" w:hAnsi="宋体" w:eastAsia="宋体" w:cs="宋体"/>
          <w:color w:val="auto"/>
          <w:kern w:val="0"/>
          <w:sz w:val="24"/>
          <w:szCs w:val="24"/>
          <w:highlight w:val="none"/>
        </w:rPr>
        <w:t>5.2.7</w:t>
      </w:r>
      <w:r>
        <w:rPr>
          <w:rFonts w:hint="eastAsia" w:ascii="宋体" w:hAnsi="宋体" w:eastAsia="宋体" w:cs="宋体"/>
          <w:color w:val="auto"/>
          <w:sz w:val="24"/>
          <w:szCs w:val="24"/>
          <w:highlight w:val="none"/>
        </w:rPr>
        <w:t>建立健全维修管理体制，完善管理制度。</w:t>
      </w:r>
      <w:bookmarkEnd w:id="274"/>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5" w:name="_Toc23576"/>
      <w:r>
        <w:rPr>
          <w:rFonts w:hint="eastAsia" w:ascii="宋体" w:hAnsi="宋体" w:eastAsia="宋体" w:cs="宋体"/>
          <w:color w:val="auto"/>
          <w:kern w:val="0"/>
          <w:sz w:val="24"/>
          <w:szCs w:val="24"/>
          <w:highlight w:val="none"/>
        </w:rPr>
        <w:t>5.2.8</w:t>
      </w:r>
      <w:r>
        <w:rPr>
          <w:rFonts w:hint="eastAsia" w:ascii="宋体" w:hAnsi="宋体" w:eastAsia="宋体" w:cs="宋体"/>
          <w:color w:val="auto"/>
          <w:sz w:val="24"/>
          <w:szCs w:val="24"/>
          <w:highlight w:val="none"/>
        </w:rPr>
        <w:t>同招标人密切配合，有权利也有义务为招标人生产及设备维护提出合理化建议，形成“相溶、相敬、互通、互助”的局面。</w:t>
      </w:r>
      <w:bookmarkEnd w:id="275"/>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6" w:name="_Toc4745"/>
      <w:r>
        <w:rPr>
          <w:rFonts w:hint="eastAsia" w:ascii="宋体" w:hAnsi="宋体" w:eastAsia="宋体" w:cs="宋体"/>
          <w:color w:val="auto"/>
          <w:kern w:val="0"/>
          <w:sz w:val="24"/>
          <w:szCs w:val="24"/>
          <w:highlight w:val="none"/>
        </w:rPr>
        <w:t>5.2.9</w:t>
      </w:r>
      <w:r>
        <w:rPr>
          <w:rFonts w:hint="eastAsia" w:ascii="宋体" w:hAnsi="宋体" w:eastAsia="宋体" w:cs="宋体"/>
          <w:color w:val="auto"/>
          <w:sz w:val="24"/>
          <w:szCs w:val="24"/>
          <w:highlight w:val="none"/>
        </w:rPr>
        <w:t>强化对维修工期的检查、监督。</w:t>
      </w:r>
      <w:bookmarkEnd w:id="276"/>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7" w:name="_Toc21672"/>
      <w:r>
        <w:rPr>
          <w:rFonts w:hint="eastAsia" w:ascii="宋体" w:hAnsi="宋体" w:eastAsia="宋体" w:cs="宋体"/>
          <w:color w:val="auto"/>
          <w:kern w:val="0"/>
          <w:sz w:val="24"/>
          <w:szCs w:val="24"/>
          <w:highlight w:val="none"/>
        </w:rPr>
        <w:t>5.2.10</w:t>
      </w:r>
      <w:r>
        <w:rPr>
          <w:rFonts w:hint="eastAsia" w:ascii="宋体" w:hAnsi="宋体" w:eastAsia="宋体" w:cs="宋体"/>
          <w:color w:val="auto"/>
          <w:sz w:val="24"/>
          <w:szCs w:val="24"/>
          <w:highlight w:val="none"/>
        </w:rPr>
        <w:t>严格控制维修质量。认真做好每一项维修工作任务，做到一次性维修合格，不留尾项，不留隐患，不出现返工，降低总体成本，提高经济效益。</w:t>
      </w:r>
      <w:bookmarkEnd w:id="277"/>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8" w:name="_Toc357"/>
      <w:r>
        <w:rPr>
          <w:rFonts w:hint="eastAsia" w:ascii="宋体" w:hAnsi="宋体" w:eastAsia="宋体" w:cs="宋体"/>
          <w:color w:val="auto"/>
          <w:kern w:val="0"/>
          <w:sz w:val="24"/>
          <w:szCs w:val="24"/>
          <w:highlight w:val="none"/>
        </w:rPr>
        <w:t>5.2.11</w:t>
      </w:r>
      <w:r>
        <w:rPr>
          <w:rFonts w:hint="eastAsia" w:ascii="宋体" w:hAnsi="宋体" w:eastAsia="宋体" w:cs="宋体"/>
          <w:color w:val="auto"/>
          <w:sz w:val="24"/>
          <w:szCs w:val="24"/>
          <w:highlight w:val="none"/>
        </w:rPr>
        <w:t>加强安全管理力度，杜绝各类事故的发生。</w:t>
      </w:r>
      <w:bookmarkEnd w:id="278"/>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279" w:name="_Toc30608"/>
      <w:r>
        <w:rPr>
          <w:rFonts w:hint="eastAsia" w:ascii="宋体" w:hAnsi="宋体" w:eastAsia="宋体" w:cs="宋体"/>
          <w:color w:val="auto"/>
          <w:kern w:val="0"/>
          <w:sz w:val="24"/>
          <w:szCs w:val="24"/>
          <w:highlight w:val="none"/>
        </w:rPr>
        <w:t>5.2.12</w:t>
      </w:r>
      <w:r>
        <w:rPr>
          <w:rFonts w:hint="eastAsia" w:ascii="宋体" w:hAnsi="宋体" w:eastAsia="宋体" w:cs="宋体"/>
          <w:color w:val="auto"/>
          <w:sz w:val="24"/>
          <w:szCs w:val="24"/>
          <w:highlight w:val="none"/>
        </w:rPr>
        <w:t>投标人人员的病假、事假、调休轮休、探亲等各种假期，投标人必须在定编不缺员的情况下方可安排，并经招标人批准。</w:t>
      </w:r>
      <w:bookmarkEnd w:id="279"/>
    </w:p>
    <w:p>
      <w:pPr>
        <w:pStyle w:val="39"/>
        <w:keepNext w:val="0"/>
        <w:keepLines w:val="0"/>
        <w:pageBreakBefore w:val="0"/>
        <w:kinsoku/>
        <w:topLinePunct w:val="0"/>
        <w:bidi w:val="0"/>
        <w:spacing w:before="0" w:beforeAutospacing="0" w:after="0" w:afterAutospacing="0" w:line="400" w:lineRule="exact"/>
        <w:ind w:firstLine="480" w:firstLineChars="200"/>
        <w:jc w:val="both"/>
        <w:rPr>
          <w:rFonts w:hint="eastAsia" w:ascii="宋体" w:hAnsi="宋体" w:eastAsia="宋体" w:cs="宋体"/>
          <w:color w:val="auto"/>
          <w:sz w:val="24"/>
          <w:szCs w:val="24"/>
          <w:highlight w:val="none"/>
        </w:rPr>
      </w:pPr>
      <w:bookmarkStart w:id="280" w:name="_Toc24279"/>
      <w:r>
        <w:rPr>
          <w:rFonts w:hint="eastAsia" w:ascii="宋体" w:hAnsi="宋体" w:eastAsia="宋体" w:cs="宋体"/>
          <w:color w:val="auto"/>
          <w:sz w:val="24"/>
          <w:szCs w:val="24"/>
          <w:highlight w:val="none"/>
        </w:rPr>
        <w:t>5.2.13投标人负责人及主要技术骨干休息，离开岗位，必须向招标人办理请假手续。岗位缺员，招标人有权另行临时聘员或工作外协，所发生的费用由投标人承担。</w:t>
      </w:r>
      <w:bookmarkEnd w:id="280"/>
    </w:p>
    <w:bookmarkEnd w:id="267"/>
    <w:bookmarkEnd w:id="268"/>
    <w:p>
      <w:pPr>
        <w:pStyle w:val="39"/>
        <w:keepNext w:val="0"/>
        <w:keepLines w:val="0"/>
        <w:pageBreakBefore w:val="0"/>
        <w:kinsoku/>
        <w:topLinePunct w:val="0"/>
        <w:bidi w:val="0"/>
        <w:spacing w:before="0" w:beforeAutospacing="0" w:after="0" w:afterAutospacing="0" w:line="400" w:lineRule="exact"/>
        <w:ind w:firstLine="482" w:firstLineChars="200"/>
        <w:jc w:val="both"/>
        <w:outlineLvl w:val="2"/>
        <w:rPr>
          <w:rFonts w:hint="eastAsia" w:ascii="宋体" w:hAnsi="宋体" w:eastAsia="宋体" w:cs="宋体"/>
          <w:b/>
          <w:bCs/>
          <w:color w:val="auto"/>
          <w:sz w:val="24"/>
          <w:szCs w:val="24"/>
          <w:highlight w:val="none"/>
        </w:rPr>
      </w:pPr>
      <w:bookmarkStart w:id="281" w:name="_Toc1002915457"/>
      <w:bookmarkStart w:id="282" w:name="_Toc500530233"/>
      <w:bookmarkStart w:id="283" w:name="_Toc2928"/>
      <w:bookmarkStart w:id="284" w:name="_Toc1946491876"/>
      <w:bookmarkStart w:id="285" w:name="_Toc23673"/>
      <w:bookmarkStart w:id="286" w:name="_Toc20190"/>
      <w:r>
        <w:rPr>
          <w:rFonts w:hint="eastAsia" w:ascii="宋体" w:hAnsi="宋体" w:eastAsia="宋体" w:cs="宋体"/>
          <w:b/>
          <w:bCs/>
          <w:color w:val="auto"/>
          <w:sz w:val="24"/>
          <w:szCs w:val="24"/>
          <w:highlight w:val="none"/>
        </w:rPr>
        <w:t>5.3投标人管理、考核</w:t>
      </w:r>
      <w:bookmarkEnd w:id="281"/>
      <w:bookmarkEnd w:id="282"/>
      <w:bookmarkEnd w:id="283"/>
      <w:bookmarkEnd w:id="284"/>
      <w:bookmarkEnd w:id="285"/>
      <w:bookmarkEnd w:id="286"/>
      <w:r>
        <w:rPr>
          <w:rFonts w:hint="eastAsia" w:ascii="宋体" w:hAnsi="宋体" w:eastAsia="宋体" w:cs="宋体"/>
          <w:b/>
          <w:bCs/>
          <w:color w:val="auto"/>
          <w:sz w:val="24"/>
          <w:szCs w:val="24"/>
          <w:highlight w:val="none"/>
        </w:rPr>
        <w:t xml:space="preserve"> </w:t>
      </w:r>
    </w:p>
    <w:p>
      <w:pPr>
        <w:pStyle w:val="152"/>
        <w:keepNext w:val="0"/>
        <w:keepLines w:val="0"/>
        <w:pageBreakBefore w:val="0"/>
        <w:tabs>
          <w:tab w:val="center" w:pos="4201"/>
          <w:tab w:val="right" w:leader="dot" w:pos="9298"/>
        </w:tabs>
        <w:kinsoku/>
        <w:topLinePunct w:val="0"/>
        <w:bidi w:val="0"/>
        <w:spacing w:line="400" w:lineRule="exact"/>
        <w:ind w:firstLine="482"/>
        <w:outlineLvl w:val="3"/>
        <w:rPr>
          <w:rFonts w:hint="eastAsia" w:ascii="宋体" w:hAnsi="宋体" w:eastAsia="宋体" w:cs="宋体"/>
          <w:b/>
          <w:bCs/>
          <w:color w:val="auto"/>
          <w:kern w:val="2"/>
          <w:sz w:val="24"/>
          <w:szCs w:val="24"/>
          <w:highlight w:val="none"/>
        </w:rPr>
      </w:pPr>
      <w:bookmarkStart w:id="287" w:name="_Toc6697"/>
      <w:bookmarkStart w:id="288" w:name="_Toc17320"/>
      <w:bookmarkStart w:id="289" w:name="_Toc52560227"/>
      <w:bookmarkStart w:id="290" w:name="_Toc30884"/>
      <w:bookmarkStart w:id="291" w:name="_Toc5155"/>
      <w:bookmarkStart w:id="292" w:name="_Toc1689810494"/>
      <w:bookmarkStart w:id="293" w:name="_Toc1676824621"/>
      <w:bookmarkStart w:id="294" w:name="_Toc5972"/>
      <w:r>
        <w:rPr>
          <w:rFonts w:hint="eastAsia" w:ascii="宋体" w:hAnsi="宋体" w:eastAsia="宋体" w:cs="宋体"/>
          <w:b/>
          <w:bCs/>
          <w:color w:val="auto"/>
          <w:kern w:val="2"/>
          <w:sz w:val="24"/>
          <w:szCs w:val="24"/>
          <w:highlight w:val="none"/>
        </w:rPr>
        <w:t>5.3.1考核评价</w:t>
      </w:r>
      <w:bookmarkEnd w:id="287"/>
      <w:bookmarkEnd w:id="288"/>
      <w:bookmarkEnd w:id="289"/>
      <w:bookmarkEnd w:id="290"/>
      <w:bookmarkEnd w:id="291"/>
      <w:bookmarkEnd w:id="292"/>
      <w:bookmarkEnd w:id="293"/>
      <w:bookmarkEnd w:id="294"/>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bookmarkStart w:id="295" w:name="_Toc5675"/>
      <w:bookmarkStart w:id="296" w:name="_Toc13146"/>
      <w:r>
        <w:rPr>
          <w:rFonts w:hint="eastAsia" w:ascii="宋体" w:hAnsi="宋体" w:eastAsia="宋体" w:cs="宋体"/>
          <w:color w:val="auto"/>
          <w:kern w:val="2"/>
          <w:sz w:val="24"/>
          <w:szCs w:val="24"/>
          <w:highlight w:val="none"/>
        </w:rPr>
        <w:t>5.3.1.1 招标人对投标人工作进行日常检查与考核，每月至少检查两次，并建立检查问题库，督促限期整改。</w:t>
      </w:r>
      <w:bookmarkEnd w:id="295"/>
      <w:bookmarkEnd w:id="296"/>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bookmarkStart w:id="297" w:name="_Toc25599"/>
      <w:bookmarkStart w:id="298" w:name="_Toc12196"/>
      <w:r>
        <w:rPr>
          <w:rFonts w:hint="eastAsia" w:ascii="宋体" w:hAnsi="宋体" w:eastAsia="宋体" w:cs="宋体"/>
          <w:color w:val="auto"/>
          <w:kern w:val="2"/>
          <w:sz w:val="24"/>
          <w:szCs w:val="24"/>
          <w:highlight w:val="none"/>
        </w:rPr>
        <w:t>5.3.1.2 在检查过程中发现严重问题，招标人下发整改通知单（见附录6），限期整改。</w:t>
      </w:r>
      <w:bookmarkEnd w:id="297"/>
      <w:bookmarkEnd w:id="298"/>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bookmarkStart w:id="299" w:name="_Toc4735"/>
      <w:bookmarkStart w:id="300" w:name="_Toc21778"/>
      <w:r>
        <w:rPr>
          <w:rFonts w:hint="eastAsia" w:ascii="宋体" w:hAnsi="宋体" w:eastAsia="宋体" w:cs="宋体"/>
          <w:color w:val="auto"/>
          <w:kern w:val="2"/>
          <w:sz w:val="24"/>
          <w:szCs w:val="24"/>
          <w:highlight w:val="none"/>
        </w:rPr>
        <w:t>5.3.1.3 招标人月度收集投标人合同履约评价表（见附录7），并结合日常检查情况、生产任务完成情况及故障处理情况等进行审核。每月依据投标人考核评价表（见附录8）对投标人进行考评。</w:t>
      </w:r>
      <w:bookmarkEnd w:id="299"/>
      <w:bookmarkEnd w:id="300"/>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sz w:val="24"/>
          <w:szCs w:val="24"/>
          <w:highlight w:val="none"/>
        </w:rPr>
      </w:pPr>
      <w:bookmarkStart w:id="301" w:name="_Toc8975"/>
      <w:bookmarkStart w:id="302" w:name="_Toc12873"/>
      <w:r>
        <w:rPr>
          <w:rFonts w:hint="eastAsia" w:ascii="宋体" w:hAnsi="宋体" w:eastAsia="宋体" w:cs="宋体"/>
          <w:color w:val="auto"/>
          <w:kern w:val="2"/>
          <w:sz w:val="24"/>
          <w:szCs w:val="24"/>
          <w:highlight w:val="none"/>
        </w:rPr>
        <w:t xml:space="preserve">5.3.1.4 </w:t>
      </w:r>
      <w:r>
        <w:rPr>
          <w:rFonts w:hint="eastAsia" w:ascii="宋体" w:hAnsi="宋体" w:eastAsia="宋体" w:cs="宋体"/>
          <w:color w:val="auto"/>
          <w:sz w:val="24"/>
          <w:szCs w:val="24"/>
          <w:highlight w:val="none"/>
        </w:rPr>
        <w:t>依据运营期考核库，对投标人进行</w:t>
      </w:r>
      <w:r>
        <w:rPr>
          <w:rFonts w:hint="eastAsia" w:ascii="宋体" w:hAnsi="宋体" w:eastAsia="宋体" w:cs="宋体"/>
          <w:color w:val="auto"/>
          <w:kern w:val="2"/>
          <w:sz w:val="24"/>
          <w:szCs w:val="24"/>
          <w:highlight w:val="none"/>
        </w:rPr>
        <w:t>月度考核评价表，其内容主要包括运营事故（事件）、服务指标、检修及现场作业、安全管理、人员管理、项目内部管理、舆情与投诉、备品备件及工器具及其他等。评价档次分为五档，60分以下为较差，60分-70分为一般，70-80 分为良好，80分-90分为优良，90分及以上为优秀。评价结果应用于</w:t>
      </w:r>
      <w:r>
        <w:rPr>
          <w:rFonts w:hint="eastAsia" w:ascii="宋体" w:hAnsi="宋体" w:eastAsia="宋体" w:cs="宋体"/>
          <w:color w:val="auto"/>
          <w:sz w:val="24"/>
          <w:szCs w:val="24"/>
          <w:highlight w:val="none"/>
        </w:rPr>
        <w:t>维保费用支付。</w:t>
      </w:r>
      <w:bookmarkEnd w:id="301"/>
      <w:bookmarkEnd w:id="302"/>
    </w:p>
    <w:p>
      <w:pPr>
        <w:pStyle w:val="152"/>
        <w:keepNext w:val="0"/>
        <w:keepLines w:val="0"/>
        <w:pageBreakBefore w:val="0"/>
        <w:tabs>
          <w:tab w:val="center" w:pos="4201"/>
          <w:tab w:val="right" w:leader="dot" w:pos="9298"/>
        </w:tabs>
        <w:kinsoku/>
        <w:topLinePunct w:val="0"/>
        <w:bidi w:val="0"/>
        <w:spacing w:line="400" w:lineRule="exact"/>
        <w:ind w:firstLine="480"/>
        <w:rPr>
          <w:rFonts w:hint="eastAsia" w:ascii="宋体" w:hAnsi="宋体" w:eastAsia="宋体" w:cs="宋体"/>
          <w:color w:val="auto"/>
          <w:kern w:val="2"/>
          <w:sz w:val="24"/>
          <w:szCs w:val="24"/>
          <w:highlight w:val="none"/>
        </w:rPr>
      </w:pPr>
      <w:bookmarkStart w:id="303" w:name="_Toc23224"/>
      <w:bookmarkStart w:id="304" w:name="_Toc12586"/>
      <w:r>
        <w:rPr>
          <w:rFonts w:hint="eastAsia" w:ascii="宋体" w:hAnsi="宋体" w:eastAsia="宋体" w:cs="宋体"/>
          <w:color w:val="auto"/>
          <w:kern w:val="2"/>
          <w:sz w:val="24"/>
          <w:szCs w:val="24"/>
          <w:highlight w:val="none"/>
        </w:rPr>
        <w:t>5.3.1.5 招标人根据下发的整改通知单、投标合同中的考核细则以及投标项目实施情况，每月对投标人开具扣款单（见附录9），提出扣款说明。</w:t>
      </w:r>
      <w:bookmarkEnd w:id="303"/>
      <w:bookmarkEnd w:id="304"/>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305" w:name="_Toc22829"/>
      <w:bookmarkStart w:id="306" w:name="_Toc17889"/>
      <w:r>
        <w:rPr>
          <w:rFonts w:hint="eastAsia" w:ascii="宋体" w:hAnsi="宋体" w:eastAsia="宋体" w:cs="宋体"/>
          <w:color w:val="auto"/>
          <w:sz w:val="24"/>
          <w:szCs w:val="24"/>
          <w:highlight w:val="none"/>
        </w:rPr>
        <w:t>5.3.1.6投标考核标准（见附录2）</w:t>
      </w:r>
      <w:bookmarkEnd w:id="305"/>
      <w:bookmarkEnd w:id="306"/>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307" w:name="_Toc3920"/>
      <w:bookmarkStart w:id="308" w:name="_Toc25439"/>
      <w:r>
        <w:rPr>
          <w:rFonts w:hint="eastAsia" w:ascii="宋体" w:hAnsi="宋体" w:eastAsia="宋体" w:cs="宋体"/>
          <w:color w:val="auto"/>
          <w:sz w:val="24"/>
          <w:szCs w:val="24"/>
          <w:highlight w:val="none"/>
        </w:rPr>
        <w:t>5.3.1.6.1招标人依据运营期考核库对投标人进行月度考核评分，并对考核结果进行应用，考核成绩直接影响运营期合同款支付金额。招标人有权根据最新规章或通知（以最新发布版本为准）对考核标准进行调整，投标人须无条件执行招标人确定的考核标准。当考核项目同时符合多条扣分及扣款标准时，按最严格条款执行。月度综合考评满分为100分，根据月度过程考评意见，针对每项问题进行扣分，最终得出月度综合考评得分。当投标人收到招标人考核通知书后，必须在两个工作日内完成相关确认、申诉及签名盖章工作，否则视为同意考核内容。</w:t>
      </w:r>
      <w:bookmarkEnd w:id="307"/>
      <w:bookmarkEnd w:id="308"/>
    </w:p>
    <w:p>
      <w:pPr>
        <w:keepNext w:val="0"/>
        <w:keepLines w:val="0"/>
        <w:pageBreakBefore w:val="0"/>
        <w:shd w:val="clear" w:color="auto" w:fill="FFFFFF"/>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309" w:name="_Toc3641"/>
      <w:bookmarkStart w:id="310" w:name="_Toc28364"/>
      <w:r>
        <w:rPr>
          <w:rFonts w:hint="eastAsia" w:ascii="宋体" w:hAnsi="宋体" w:eastAsia="宋体" w:cs="宋体"/>
          <w:color w:val="auto"/>
          <w:sz w:val="24"/>
          <w:szCs w:val="24"/>
          <w:highlight w:val="none"/>
        </w:rPr>
        <w:t>5.3.1.6.2考核结果应用</w:t>
      </w:r>
      <w:bookmarkEnd w:id="309"/>
      <w:bookmarkEnd w:id="310"/>
    </w:p>
    <w:p>
      <w:pPr>
        <w:keepNext w:val="0"/>
        <w:keepLines w:val="0"/>
        <w:pageBreakBefore w:val="0"/>
        <w:kinsoku/>
        <w:topLinePunct w:val="0"/>
        <w:bidi w:val="0"/>
        <w:spacing w:line="400" w:lineRule="exact"/>
        <w:ind w:firstLine="480" w:firstLineChars="200"/>
        <w:jc w:val="left"/>
        <w:rPr>
          <w:rFonts w:hint="eastAsia" w:ascii="宋体" w:hAnsi="宋体" w:eastAsia="宋体" w:cs="宋体"/>
          <w:color w:val="auto"/>
          <w:sz w:val="24"/>
          <w:szCs w:val="24"/>
          <w:highlight w:val="none"/>
        </w:rPr>
      </w:pPr>
      <w:bookmarkStart w:id="311" w:name="_Toc24169"/>
      <w:bookmarkStart w:id="312" w:name="_Toc27153"/>
      <w:r>
        <w:rPr>
          <w:rFonts w:hint="eastAsia" w:ascii="宋体" w:hAnsi="宋体" w:eastAsia="宋体" w:cs="宋体"/>
          <w:color w:val="auto"/>
          <w:sz w:val="24"/>
          <w:szCs w:val="24"/>
          <w:highlight w:val="none"/>
        </w:rPr>
        <w:t>考核得分是投标人维保费用按月支付时的重要条件，维保费用按月支付，支付时需依据投标人月度得分。</w:t>
      </w:r>
      <w:bookmarkEnd w:id="311"/>
      <w:bookmarkEnd w:id="312"/>
    </w:p>
    <w:p>
      <w:pPr>
        <w:keepNext w:val="0"/>
        <w:keepLines w:val="0"/>
        <w:pageBreakBefore w:val="0"/>
        <w:kinsoku/>
        <w:topLinePunct w:val="0"/>
        <w:bidi w:val="0"/>
        <w:spacing w:line="400" w:lineRule="exact"/>
        <w:ind w:firstLine="480" w:firstLineChars="200"/>
        <w:jc w:val="left"/>
        <w:rPr>
          <w:rFonts w:hint="eastAsia" w:ascii="宋体" w:hAnsi="宋体" w:eastAsia="宋体" w:cs="宋体"/>
          <w:color w:val="auto"/>
          <w:sz w:val="24"/>
          <w:szCs w:val="24"/>
          <w:highlight w:val="none"/>
        </w:rPr>
      </w:pPr>
      <w:bookmarkStart w:id="313" w:name="_Toc20035"/>
      <w:bookmarkStart w:id="314" w:name="_Toc27152"/>
      <w:bookmarkStart w:id="315" w:name="_Toc30252"/>
      <w:bookmarkStart w:id="316" w:name="_Toc18197"/>
      <w:r>
        <w:rPr>
          <w:rFonts w:hint="eastAsia" w:ascii="宋体" w:hAnsi="宋体" w:eastAsia="宋体" w:cs="宋体"/>
          <w:color w:val="auto"/>
          <w:sz w:val="24"/>
          <w:szCs w:val="24"/>
          <w:highlight w:val="none"/>
        </w:rPr>
        <w:t>月度考核总得分在95分及以上，全额支付；</w:t>
      </w:r>
      <w:bookmarkEnd w:id="313"/>
      <w:bookmarkEnd w:id="314"/>
    </w:p>
    <w:p>
      <w:pPr>
        <w:keepNext w:val="0"/>
        <w:keepLines w:val="0"/>
        <w:pageBreakBefore w:val="0"/>
        <w:kinsoku/>
        <w:topLinePunct w:val="0"/>
        <w:bidi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月度考核总得分在90分及以上至95分，每一分扣除投标人当月度进度款1000元；</w:t>
      </w:r>
    </w:p>
    <w:p>
      <w:pPr>
        <w:keepNext w:val="0"/>
        <w:keepLines w:val="0"/>
        <w:pageBreakBefore w:val="0"/>
        <w:kinsoku/>
        <w:topLinePunct w:val="0"/>
        <w:bidi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月度考核总得分在80分及以上至90分，扣除投标人当月度进度款的3%；</w:t>
      </w:r>
      <w:bookmarkEnd w:id="315"/>
      <w:bookmarkEnd w:id="316"/>
    </w:p>
    <w:p>
      <w:pPr>
        <w:keepNext w:val="0"/>
        <w:keepLines w:val="0"/>
        <w:pageBreakBefore w:val="0"/>
        <w:kinsoku/>
        <w:topLinePunct w:val="0"/>
        <w:bidi w:val="0"/>
        <w:spacing w:line="400" w:lineRule="exact"/>
        <w:ind w:firstLine="480" w:firstLineChars="200"/>
        <w:jc w:val="left"/>
        <w:rPr>
          <w:rFonts w:hint="eastAsia" w:ascii="宋体" w:hAnsi="宋体" w:eastAsia="宋体" w:cs="宋体"/>
          <w:color w:val="auto"/>
          <w:sz w:val="24"/>
          <w:szCs w:val="24"/>
          <w:highlight w:val="none"/>
        </w:rPr>
      </w:pPr>
      <w:bookmarkStart w:id="317" w:name="_Toc16843"/>
      <w:bookmarkStart w:id="318" w:name="_Toc3557"/>
      <w:r>
        <w:rPr>
          <w:rFonts w:hint="eastAsia" w:ascii="宋体" w:hAnsi="宋体" w:eastAsia="宋体" w:cs="宋体"/>
          <w:color w:val="auto"/>
          <w:sz w:val="24"/>
          <w:szCs w:val="24"/>
          <w:highlight w:val="none"/>
        </w:rPr>
        <w:t>月度考核总得分在70分及以上至80分，扣除投标人当月度进度款的8%；</w:t>
      </w:r>
      <w:bookmarkEnd w:id="317"/>
      <w:bookmarkEnd w:id="318"/>
    </w:p>
    <w:p>
      <w:pPr>
        <w:keepNext w:val="0"/>
        <w:keepLines w:val="0"/>
        <w:pageBreakBefore w:val="0"/>
        <w:kinsoku/>
        <w:topLinePunct w:val="0"/>
        <w:bidi w:val="0"/>
        <w:spacing w:line="400" w:lineRule="exact"/>
        <w:ind w:firstLine="480" w:firstLineChars="200"/>
        <w:jc w:val="left"/>
        <w:rPr>
          <w:rFonts w:hint="eastAsia" w:ascii="宋体" w:hAnsi="宋体" w:eastAsia="宋体" w:cs="宋体"/>
          <w:color w:val="auto"/>
          <w:sz w:val="24"/>
          <w:szCs w:val="24"/>
          <w:highlight w:val="none"/>
        </w:rPr>
      </w:pPr>
      <w:bookmarkStart w:id="319" w:name="_Toc12686"/>
      <w:bookmarkStart w:id="320" w:name="_Toc10055"/>
      <w:r>
        <w:rPr>
          <w:rFonts w:hint="eastAsia" w:ascii="宋体" w:hAnsi="宋体" w:eastAsia="宋体" w:cs="宋体"/>
          <w:color w:val="auto"/>
          <w:sz w:val="24"/>
          <w:szCs w:val="24"/>
          <w:highlight w:val="none"/>
        </w:rPr>
        <w:t>月度考核总得分在60分及以上至70分，扣除投标人当月度进度款的15%</w:t>
      </w:r>
      <w:bookmarkEnd w:id="319"/>
      <w:bookmarkEnd w:id="320"/>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bookmarkStart w:id="321" w:name="_Toc5416"/>
      <w:bookmarkStart w:id="322" w:name="_Toc31372"/>
      <w:r>
        <w:rPr>
          <w:rFonts w:hint="eastAsia" w:ascii="宋体" w:hAnsi="宋体" w:eastAsia="宋体" w:cs="宋体"/>
          <w:color w:val="auto"/>
          <w:sz w:val="24"/>
          <w:szCs w:val="24"/>
          <w:highlight w:val="none"/>
        </w:rPr>
        <w:t>月度考核总得分在60分以下，扣除投标人当月度进度款的100%及全额履约保证金，并有权终止合同,招标人有权追究其违约责任。</w:t>
      </w:r>
      <w:bookmarkEnd w:id="321"/>
      <w:bookmarkEnd w:id="322"/>
    </w:p>
    <w:p>
      <w:pPr>
        <w:pStyle w:val="2"/>
        <w:keepNext w:val="0"/>
        <w:keepLines w:val="0"/>
        <w:pageBreakBefore w:val="0"/>
        <w:kinsoku/>
        <w:topLinePunct w:val="0"/>
        <w:bidi w:val="0"/>
        <w:spacing w:line="400" w:lineRule="exact"/>
        <w:jc w:val="left"/>
        <w:outlineLvl w:val="1"/>
        <w:rPr>
          <w:rFonts w:hint="eastAsia" w:ascii="宋体" w:hAnsi="宋体" w:eastAsia="宋体" w:cs="宋体"/>
          <w:bCs/>
          <w:color w:val="auto"/>
          <w:kern w:val="2"/>
          <w:sz w:val="24"/>
          <w:szCs w:val="24"/>
          <w:highlight w:val="none"/>
        </w:rPr>
      </w:pPr>
      <w:bookmarkStart w:id="323" w:name="_Toc1022193899"/>
      <w:bookmarkStart w:id="324" w:name="_Toc1620685851"/>
      <w:bookmarkStart w:id="325" w:name="_Toc789506475"/>
      <w:r>
        <w:rPr>
          <w:rFonts w:hint="eastAsia" w:ascii="宋体" w:hAnsi="宋体" w:eastAsia="宋体" w:cs="宋体"/>
          <w:bCs/>
          <w:color w:val="auto"/>
          <w:kern w:val="2"/>
          <w:sz w:val="24"/>
          <w:szCs w:val="24"/>
          <w:highlight w:val="none"/>
        </w:rPr>
        <w:t>六、报价</w:t>
      </w:r>
      <w:bookmarkEnd w:id="323"/>
      <w:bookmarkEnd w:id="324"/>
      <w:bookmarkEnd w:id="325"/>
    </w:p>
    <w:p>
      <w:pPr>
        <w:keepNext w:val="0"/>
        <w:keepLines w:val="0"/>
        <w:pageBreakBefore w:val="0"/>
        <w:kinsoku/>
        <w:topLinePunct w:val="0"/>
        <w:bidi w:val="0"/>
        <w:spacing w:line="400" w:lineRule="exact"/>
        <w:outlineLvl w:val="2"/>
        <w:rPr>
          <w:rFonts w:hint="eastAsia" w:ascii="宋体" w:hAnsi="宋体" w:eastAsia="宋体" w:cs="宋体"/>
          <w:b/>
          <w:bCs/>
          <w:color w:val="auto"/>
          <w:sz w:val="24"/>
          <w:szCs w:val="24"/>
          <w:highlight w:val="none"/>
        </w:rPr>
      </w:pPr>
      <w:bookmarkStart w:id="326" w:name="_Toc30821"/>
      <w:bookmarkStart w:id="327" w:name="_Toc28889"/>
      <w:bookmarkStart w:id="328" w:name="_Toc8273"/>
      <w:bookmarkStart w:id="329" w:name="_Toc4375"/>
      <w:bookmarkStart w:id="330" w:name="_Toc645216330"/>
      <w:bookmarkStart w:id="331" w:name="_Toc1323651384"/>
      <w:bookmarkStart w:id="332" w:name="_Toc1563157548"/>
      <w:bookmarkStart w:id="333" w:name="_Toc2504"/>
      <w:r>
        <w:rPr>
          <w:rFonts w:hint="eastAsia" w:ascii="宋体" w:hAnsi="宋体" w:eastAsia="宋体" w:cs="宋体"/>
          <w:b/>
          <w:bCs/>
          <w:color w:val="auto"/>
          <w:sz w:val="24"/>
          <w:szCs w:val="24"/>
          <w:highlight w:val="none"/>
        </w:rPr>
        <w:t>6.1合同单价报价</w:t>
      </w:r>
      <w:bookmarkEnd w:id="326"/>
      <w:bookmarkEnd w:id="327"/>
      <w:bookmarkEnd w:id="328"/>
      <w:bookmarkEnd w:id="329"/>
      <w:bookmarkEnd w:id="330"/>
      <w:bookmarkEnd w:id="331"/>
      <w:bookmarkEnd w:id="332"/>
      <w:bookmarkEnd w:id="333"/>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本项目为固定单价合同, 按实际完成工作量进行结算。不允许任何形式的转包和违法分包。</w:t>
      </w:r>
    </w:p>
    <w:tbl>
      <w:tblPr>
        <w:tblStyle w:val="43"/>
        <w:tblW w:w="5133" w:type="pct"/>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5"/>
        <w:gridCol w:w="874"/>
        <w:gridCol w:w="703"/>
        <w:gridCol w:w="1496"/>
        <w:gridCol w:w="3729"/>
        <w:gridCol w:w="1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5000" w:type="pct"/>
            <w:gridSpan w:val="6"/>
            <w:shd w:val="clear" w:color="auto" w:fill="FFFFFF"/>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2号线一期维保报价方式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38" w:type="pct"/>
            <w:gridSpan w:val="2"/>
            <w:shd w:val="clear" w:color="auto" w:fill="FFFFFF"/>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类别</w:t>
            </w:r>
          </w:p>
        </w:tc>
        <w:tc>
          <w:tcPr>
            <w:tcW w:w="388"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时长</w:t>
            </w:r>
          </w:p>
        </w:tc>
        <w:tc>
          <w:tcPr>
            <w:tcW w:w="825"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模式</w:t>
            </w:r>
          </w:p>
        </w:tc>
        <w:tc>
          <w:tcPr>
            <w:tcW w:w="2057"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备品备件及材料</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工器具</w:t>
            </w:r>
          </w:p>
        </w:tc>
        <w:tc>
          <w:tcPr>
            <w:tcW w:w="892"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56" w:type="pct"/>
            <w:vMerge w:val="restar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lang w:bidi="ar"/>
              </w:rPr>
            </w:pPr>
          </w:p>
          <w:p>
            <w:pPr>
              <w:keepNext w:val="0"/>
              <w:keepLines w:val="0"/>
              <w:pageBreakBefore w:val="0"/>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日常维保费用</w:t>
            </w:r>
          </w:p>
        </w:tc>
        <w:tc>
          <w:tcPr>
            <w:tcW w:w="482"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筹备期</w:t>
            </w:r>
          </w:p>
        </w:tc>
        <w:tc>
          <w:tcPr>
            <w:tcW w:w="388"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1个月</w:t>
            </w:r>
          </w:p>
        </w:tc>
        <w:tc>
          <w:tcPr>
            <w:tcW w:w="825"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综合单价</w:t>
            </w:r>
          </w:p>
        </w:tc>
        <w:tc>
          <w:tcPr>
            <w:tcW w:w="2057" w:type="pct"/>
            <w:vMerge w:val="restar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lang w:bidi="ar"/>
              </w:rPr>
            </w:pPr>
          </w:p>
          <w:p>
            <w:pPr>
              <w:keepNext w:val="0"/>
              <w:keepLines w:val="0"/>
              <w:pageBreakBefore w:val="0"/>
              <w:kinsoku/>
              <w:topLinePunct w:val="0"/>
              <w:bidi w:val="0"/>
              <w:spacing w:line="400" w:lineRule="exac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投标人负责所有相关工作所需的人工、备品备件及材料、工器具及机械设备等</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92"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56" w:type="pct"/>
            <w:vMerge w:val="continue"/>
            <w:shd w:val="clear" w:color="auto" w:fill="FFFFFF"/>
            <w:noWrap w:val="0"/>
            <w:tcMar>
              <w:top w:w="15" w:type="dxa"/>
              <w:left w:w="15" w:type="dxa"/>
              <w:right w:w="15" w:type="dxa"/>
            </w:tcMar>
            <w:vAlign w:val="center"/>
          </w:tcPr>
          <w:p>
            <w:pPr>
              <w:keepNext w:val="0"/>
              <w:keepLines w:val="0"/>
              <w:pageBreakBefore w:val="0"/>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2"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试运行期</w:t>
            </w:r>
          </w:p>
        </w:tc>
        <w:tc>
          <w:tcPr>
            <w:tcW w:w="388"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个月</w:t>
            </w:r>
          </w:p>
        </w:tc>
        <w:tc>
          <w:tcPr>
            <w:tcW w:w="825"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综合单价</w:t>
            </w:r>
          </w:p>
        </w:tc>
        <w:tc>
          <w:tcPr>
            <w:tcW w:w="2057" w:type="pct"/>
            <w:vMerge w:val="continue"/>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92"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356" w:type="pct"/>
            <w:vMerge w:val="continue"/>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2"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初期运营质保期内</w:t>
            </w:r>
          </w:p>
        </w:tc>
        <w:tc>
          <w:tcPr>
            <w:tcW w:w="388"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24个月</w:t>
            </w:r>
          </w:p>
        </w:tc>
        <w:tc>
          <w:tcPr>
            <w:tcW w:w="825" w:type="pc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综合单价</w:t>
            </w:r>
          </w:p>
        </w:tc>
        <w:tc>
          <w:tcPr>
            <w:tcW w:w="2057" w:type="pct"/>
            <w:vMerge w:val="continue"/>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92" w:type="pct"/>
            <w:vMerge w:val="restart"/>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投标人需考虑4.1.1中所列所有人员需求，需在日常维保费用中综合考虑，并在投标文件中列明清单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6" w:type="pct"/>
            <w:vMerge w:val="continue"/>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82" w:type="pct"/>
            <w:shd w:val="clear" w:color="auto" w:fill="FFFFFF"/>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质保期外</w:t>
            </w:r>
          </w:p>
        </w:tc>
        <w:tc>
          <w:tcPr>
            <w:tcW w:w="388" w:type="pct"/>
            <w:shd w:val="clear" w:color="auto" w:fill="FFFFFF"/>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12个月</w:t>
            </w:r>
          </w:p>
        </w:tc>
        <w:tc>
          <w:tcPr>
            <w:tcW w:w="825" w:type="pct"/>
            <w:tcBorders>
              <w:bottom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综合单价</w:t>
            </w:r>
          </w:p>
        </w:tc>
        <w:tc>
          <w:tcPr>
            <w:tcW w:w="2057" w:type="pct"/>
            <w:vMerge w:val="continue"/>
            <w:shd w:val="clear" w:color="auto" w:fill="FFFFFF"/>
            <w:noWrap w:val="0"/>
            <w:tcMar>
              <w:top w:w="15" w:type="dxa"/>
              <w:left w:w="15" w:type="dxa"/>
              <w:right w:w="15" w:type="dxa"/>
            </w:tcMar>
            <w:vAlign w:val="center"/>
          </w:tcPr>
          <w:p>
            <w:pPr>
              <w:keepNext w:val="0"/>
              <w:keepLines w:val="0"/>
              <w:pageBreakBefore w:val="0"/>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92" w:type="pct"/>
            <w:vMerge w:val="continue"/>
            <w:tcBorders>
              <w:bottom w:val="single" w:color="auto" w:sz="4" w:space="0"/>
            </w:tcBorders>
            <w:shd w:val="clear" w:color="auto" w:fill="FFFFFF"/>
            <w:noWrap w:val="0"/>
            <w:tcMar>
              <w:top w:w="15" w:type="dxa"/>
              <w:left w:w="15" w:type="dxa"/>
              <w:right w:w="15" w:type="dxa"/>
            </w:tcMar>
            <w:vAlign w:val="center"/>
          </w:tcPr>
          <w:p>
            <w:pPr>
              <w:keepNext w:val="0"/>
              <w:keepLines w:val="0"/>
              <w:pageBreakBefore w:val="0"/>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26" w:type="pct"/>
            <w:gridSpan w:val="3"/>
            <w:shd w:val="clear" w:color="auto" w:fill="FFFFFF"/>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零星工程整改</w:t>
            </w:r>
          </w:p>
        </w:tc>
        <w:tc>
          <w:tcPr>
            <w:tcW w:w="825" w:type="pct"/>
            <w:tcBorders>
              <w:top w:val="single" w:color="auto" w:sz="4" w:space="0"/>
              <w:bottom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综合单价</w:t>
            </w:r>
          </w:p>
        </w:tc>
        <w:tc>
          <w:tcPr>
            <w:tcW w:w="2057" w:type="pct"/>
            <w:vMerge w:val="continue"/>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92" w:type="pct"/>
            <w:tcBorders>
              <w:top w:val="single" w:color="auto" w:sz="4" w:space="0"/>
              <w:bottom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000" w:type="pct"/>
            <w:gridSpan w:val="6"/>
            <w:shd w:val="clear" w:color="auto" w:fill="FFFFFF"/>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bookmarkStart w:id="334" w:name="_Toc23886"/>
            <w:bookmarkStart w:id="335" w:name="_Toc12087"/>
            <w:bookmarkStart w:id="336" w:name="_Toc1660415781"/>
            <w:bookmarkStart w:id="337" w:name="_Toc417"/>
            <w:bookmarkStart w:id="338" w:name="_Toc6110"/>
            <w:bookmarkStart w:id="339" w:name="_Toc29679"/>
            <w:bookmarkStart w:id="340" w:name="_Toc2139603038"/>
            <w:bookmarkStart w:id="341" w:name="_Toc1803871231"/>
            <w:r>
              <w:rPr>
                <w:rFonts w:hint="eastAsia" w:ascii="宋体" w:hAnsi="宋体" w:eastAsia="宋体" w:cs="宋体"/>
                <w:color w:val="auto"/>
                <w:sz w:val="24"/>
                <w:szCs w:val="24"/>
                <w:highlight w:val="none"/>
              </w:rPr>
              <w:t>具体起止时间以招标人书面通知为准</w:t>
            </w:r>
          </w:p>
        </w:tc>
      </w:tr>
    </w:tbl>
    <w:p>
      <w:pPr>
        <w:keepNext w:val="0"/>
        <w:keepLines w:val="0"/>
        <w:pageBreakBefore w:val="0"/>
        <w:kinsoku/>
        <w:topLinePunct w:val="0"/>
        <w:bidi w:val="0"/>
        <w:spacing w:line="400" w:lineRule="exact"/>
        <w:ind w:firstLine="482" w:firstLineChars="200"/>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6.2维保费用补充说明</w:t>
      </w:r>
      <w:bookmarkEnd w:id="334"/>
      <w:bookmarkEnd w:id="335"/>
      <w:bookmarkEnd w:id="336"/>
      <w:bookmarkEnd w:id="337"/>
      <w:bookmarkEnd w:id="338"/>
      <w:bookmarkEnd w:id="339"/>
      <w:bookmarkEnd w:id="340"/>
      <w:bookmarkEnd w:id="341"/>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rPr>
      </w:pPr>
      <w:bookmarkStart w:id="342" w:name="_Toc1057894252"/>
      <w:bookmarkStart w:id="343" w:name="_Toc1174460171"/>
      <w:bookmarkStart w:id="344" w:name="_Toc19466"/>
      <w:bookmarkStart w:id="345" w:name="_Toc7121"/>
      <w:bookmarkStart w:id="346" w:name="_Toc7978"/>
      <w:bookmarkStart w:id="347" w:name="_Toc13070"/>
      <w:bookmarkStart w:id="348" w:name="_Toc709194317"/>
      <w:bookmarkStart w:id="349" w:name="_Toc13570"/>
      <w:bookmarkStart w:id="350" w:name="_Toc11734"/>
      <w:r>
        <w:rPr>
          <w:rFonts w:hint="eastAsia" w:ascii="宋体" w:hAnsi="宋体" w:eastAsia="宋体" w:cs="宋体"/>
          <w:b/>
          <w:bCs/>
          <w:color w:val="auto"/>
          <w:sz w:val="24"/>
          <w:szCs w:val="24"/>
          <w:highlight w:val="none"/>
        </w:rPr>
        <w:t>6.2.1日常维保费用</w:t>
      </w:r>
      <w:bookmarkEnd w:id="342"/>
      <w:bookmarkEnd w:id="343"/>
    </w:p>
    <w:p>
      <w:pPr>
        <w:keepNext w:val="0"/>
        <w:keepLines w:val="0"/>
        <w:pageBreakBefore w:val="0"/>
        <w:widowControl/>
        <w:kinsoku/>
        <w:topLinePunct w:val="0"/>
        <w:bidi w:val="0"/>
        <w:spacing w:line="400" w:lineRule="exact"/>
        <w:ind w:firstLine="482" w:firstLineChars="200"/>
        <w:rPr>
          <w:rFonts w:hint="eastAsia" w:ascii="宋体" w:hAnsi="宋体" w:eastAsia="宋体" w:cs="宋体"/>
          <w:color w:val="auto"/>
          <w:sz w:val="24"/>
          <w:szCs w:val="24"/>
          <w:highlight w:val="none"/>
        </w:rPr>
      </w:pPr>
      <w:bookmarkStart w:id="351" w:name="_Toc1099320677"/>
      <w:bookmarkStart w:id="352" w:name="_Toc562291228"/>
      <w:r>
        <w:rPr>
          <w:rFonts w:hint="eastAsia" w:ascii="宋体" w:hAnsi="宋体" w:eastAsia="宋体" w:cs="宋体"/>
          <w:b/>
          <w:bCs/>
          <w:color w:val="auto"/>
          <w:sz w:val="24"/>
          <w:szCs w:val="24"/>
          <w:highlight w:val="none"/>
        </w:rPr>
        <w:t>6.2.1.1</w:t>
      </w:r>
      <w:bookmarkEnd w:id="344"/>
      <w:bookmarkEnd w:id="345"/>
      <w:bookmarkEnd w:id="346"/>
      <w:bookmarkEnd w:id="347"/>
      <w:bookmarkEnd w:id="348"/>
      <w:bookmarkEnd w:id="349"/>
      <w:bookmarkEnd w:id="350"/>
      <w:bookmarkEnd w:id="351"/>
      <w:bookmarkEnd w:id="352"/>
      <w:bookmarkStart w:id="353" w:name="_Toc29287"/>
      <w:bookmarkStart w:id="354" w:name="_Toc4502"/>
      <w:bookmarkStart w:id="355" w:name="_Toc28523"/>
      <w:bookmarkStart w:id="356" w:name="_Toc20337"/>
      <w:r>
        <w:rPr>
          <w:rFonts w:hint="eastAsia" w:ascii="宋体" w:hAnsi="宋体" w:eastAsia="宋体" w:cs="宋体"/>
          <w:color w:val="auto"/>
          <w:sz w:val="24"/>
          <w:szCs w:val="24"/>
          <w:highlight w:val="none"/>
        </w:rPr>
        <w:t>本项目综合单价包含完成用户需求书中日常维保工作所需的人工、材料、机械、工器具、备品备件、管理费、利润税金等一切费用（</w:t>
      </w:r>
      <w:r>
        <w:rPr>
          <w:rFonts w:hint="eastAsia" w:ascii="宋体" w:hAnsi="宋体" w:eastAsia="宋体" w:cs="宋体"/>
          <w:b w:val="0"/>
          <w:bCs w:val="0"/>
          <w:color w:val="auto"/>
          <w:sz w:val="24"/>
          <w:szCs w:val="24"/>
          <w:highlight w:val="none"/>
          <w:lang w:bidi="ar"/>
        </w:rPr>
        <w:t>零星工程整改费用</w:t>
      </w:r>
      <w:r>
        <w:rPr>
          <w:rFonts w:hint="eastAsia" w:ascii="宋体" w:hAnsi="宋体" w:eastAsia="宋体" w:cs="宋体"/>
          <w:color w:val="auto"/>
          <w:sz w:val="24"/>
          <w:szCs w:val="24"/>
          <w:highlight w:val="none"/>
          <w:lang w:bidi="ar"/>
        </w:rPr>
        <w:t>除外</w:t>
      </w:r>
      <w:r>
        <w:rPr>
          <w:rFonts w:hint="eastAsia" w:ascii="宋体" w:hAnsi="宋体" w:eastAsia="宋体" w:cs="宋体"/>
          <w:color w:val="auto"/>
          <w:sz w:val="24"/>
          <w:szCs w:val="24"/>
          <w:highlight w:val="none"/>
        </w:rPr>
        <w:t>）；</w:t>
      </w:r>
      <w:bookmarkEnd w:id="353"/>
      <w:bookmarkEnd w:id="354"/>
      <w:bookmarkEnd w:id="355"/>
      <w:bookmarkEnd w:id="356"/>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6.2.1.2设备设施保养维修中对工器具、材料的再加工、改造费用亦包含在综合单价部分；</w:t>
      </w:r>
    </w:p>
    <w:p>
      <w:pPr>
        <w:keepNext w:val="0"/>
        <w:keepLines w:val="0"/>
        <w:pageBreakBefore w:val="0"/>
        <w:kinsoku/>
        <w:topLinePunct w:val="0"/>
        <w:bidi w:val="0"/>
        <w:spacing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6.2.1.3</w:t>
      </w:r>
      <w:r>
        <w:rPr>
          <w:rFonts w:hint="eastAsia" w:ascii="宋体" w:hAnsi="宋体" w:eastAsia="宋体" w:cs="宋体"/>
          <w:bCs/>
          <w:color w:val="auto"/>
          <w:sz w:val="24"/>
          <w:szCs w:val="24"/>
          <w:highlight w:val="none"/>
        </w:rPr>
        <w:t xml:space="preserve"> 取证及复审相关费用由投标人承担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6.2.1.4设备设施保养维修水电原则上由招标人提供（如遇特殊情况招标人无法供电，应由投标人自备发电机供电，费用含在综合单价内）；</w:t>
      </w:r>
    </w:p>
    <w:p>
      <w:pPr>
        <w:pStyle w:val="322"/>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6.2.1.5投标人需根据明确工作量内容按月度进行报价。</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6.2.1.6 从试运营正式开始之日起至试运营后一年为止，投标人需对本项目中袍江两湖站、海南路站、越兴路站及各站相邻半程区间（线路里程：SK27+667.045~SK30+726.015）在该段时间内的维保服务进行单独报价，维保服务包括车站及区间房建装修的巡检、值守、保养维护整改以及事故抢修等工作及其所需的人力、材料、机械、车站及区间房建装修专业与其他相关专业之间配合和协调等工作。</w:t>
      </w:r>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rPr>
      </w:pPr>
      <w:bookmarkStart w:id="357" w:name="_Toc20431"/>
      <w:bookmarkStart w:id="358" w:name="_Toc386080456"/>
      <w:bookmarkStart w:id="359" w:name="_Toc3325"/>
      <w:bookmarkStart w:id="360" w:name="_Toc711524423"/>
      <w:bookmarkStart w:id="361" w:name="_Toc256063503"/>
      <w:bookmarkStart w:id="362" w:name="_Toc31014"/>
      <w:bookmarkStart w:id="363" w:name="_Toc15961"/>
      <w:bookmarkStart w:id="364" w:name="_Toc28288"/>
      <w:bookmarkStart w:id="365" w:name="_Toc7423"/>
      <w:r>
        <w:rPr>
          <w:rFonts w:hint="eastAsia" w:ascii="宋体" w:hAnsi="宋体" w:eastAsia="宋体" w:cs="宋体"/>
          <w:b/>
          <w:bCs/>
          <w:color w:val="auto"/>
          <w:sz w:val="24"/>
          <w:szCs w:val="24"/>
          <w:highlight w:val="none"/>
        </w:rPr>
        <w:t>6.2.2</w:t>
      </w:r>
      <w:r>
        <w:rPr>
          <w:rFonts w:hint="eastAsia" w:ascii="宋体" w:hAnsi="宋体" w:eastAsia="宋体" w:cs="宋体"/>
          <w:b/>
          <w:bCs/>
          <w:color w:val="auto"/>
          <w:sz w:val="24"/>
          <w:szCs w:val="24"/>
          <w:highlight w:val="none"/>
          <w:lang w:bidi="ar"/>
        </w:rPr>
        <w:t>零星工程整改费用</w:t>
      </w:r>
      <w:bookmarkEnd w:id="357"/>
      <w:bookmarkEnd w:id="358"/>
      <w:bookmarkEnd w:id="359"/>
      <w:bookmarkEnd w:id="360"/>
      <w:bookmarkEnd w:id="361"/>
      <w:bookmarkEnd w:id="362"/>
      <w:bookmarkEnd w:id="363"/>
      <w:bookmarkEnd w:id="364"/>
      <w:bookmarkEnd w:id="365"/>
    </w:p>
    <w:p>
      <w:pPr>
        <w:keepNext w:val="0"/>
        <w:keepLines w:val="0"/>
        <w:pageBreakBefore w:val="0"/>
        <w:widowControl/>
        <w:kinsoku/>
        <w:topLinePunct w:val="0"/>
        <w:bidi w:val="0"/>
        <w:spacing w:line="400" w:lineRule="exact"/>
        <w:ind w:firstLine="480" w:firstLineChars="200"/>
        <w:jc w:val="left"/>
        <w:rPr>
          <w:rFonts w:hint="eastAsia" w:ascii="宋体" w:hAnsi="宋体" w:eastAsia="宋体" w:cs="宋体"/>
          <w:color w:val="auto"/>
          <w:sz w:val="24"/>
          <w:szCs w:val="24"/>
          <w:highlight w:val="none"/>
        </w:rPr>
      </w:pPr>
      <w:bookmarkStart w:id="366" w:name="_Toc11654"/>
      <w:bookmarkStart w:id="367" w:name="_Toc9272"/>
      <w:bookmarkStart w:id="368" w:name="_Toc17854"/>
      <w:bookmarkStart w:id="369" w:name="_Toc22945"/>
      <w:r>
        <w:rPr>
          <w:rFonts w:hint="eastAsia" w:ascii="宋体" w:hAnsi="宋体" w:eastAsia="宋体" w:cs="宋体"/>
          <w:color w:val="auto"/>
          <w:sz w:val="24"/>
          <w:szCs w:val="24"/>
          <w:highlight w:val="none"/>
        </w:rPr>
        <w:t>6.2.2.1</w:t>
      </w:r>
      <w:r>
        <w:rPr>
          <w:rFonts w:hint="eastAsia" w:ascii="宋体" w:hAnsi="宋体" w:eastAsia="宋体" w:cs="宋体"/>
          <w:color w:val="auto"/>
          <w:sz w:val="24"/>
          <w:szCs w:val="24"/>
          <w:highlight w:val="none"/>
          <w:lang w:bidi="ar"/>
        </w:rPr>
        <w:t>《零星工程预估工程量清单》（附件10）中所列项目涉及费用属</w:t>
      </w:r>
      <w:r>
        <w:rPr>
          <w:rFonts w:hint="eastAsia" w:ascii="宋体" w:hAnsi="宋体" w:eastAsia="宋体" w:cs="宋体"/>
          <w:b w:val="0"/>
          <w:bCs w:val="0"/>
          <w:color w:val="auto"/>
          <w:sz w:val="24"/>
          <w:szCs w:val="24"/>
          <w:highlight w:val="none"/>
          <w:lang w:bidi="ar"/>
        </w:rPr>
        <w:t>零星工程整改费用</w:t>
      </w:r>
      <w:r>
        <w:rPr>
          <w:rFonts w:hint="eastAsia" w:ascii="宋体" w:hAnsi="宋体" w:eastAsia="宋体" w:cs="宋体"/>
          <w:color w:val="auto"/>
          <w:sz w:val="24"/>
          <w:szCs w:val="24"/>
          <w:highlight w:val="none"/>
          <w:lang w:bidi="ar"/>
        </w:rPr>
        <w:t>，《零星工程预估工程量清单》（附件10）中</w:t>
      </w:r>
      <w:r>
        <w:rPr>
          <w:rFonts w:hint="eastAsia" w:ascii="宋体" w:hAnsi="宋体" w:eastAsia="宋体" w:cs="宋体"/>
          <w:color w:val="auto"/>
          <w:sz w:val="24"/>
          <w:szCs w:val="24"/>
          <w:highlight w:val="none"/>
        </w:rPr>
        <w:t>工程量由招标人预估，价格由投标人根据自身情况自主报价，根据投标人报价及实际完成工程量进行据实结算。</w:t>
      </w:r>
    </w:p>
    <w:p>
      <w:pPr>
        <w:keepNext w:val="0"/>
        <w:keepLines w:val="0"/>
        <w:pageBreakBefore w:val="0"/>
        <w:widowControl/>
        <w:kinsoku/>
        <w:topLinePunct w:val="0"/>
        <w:bidi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6.2.2.2</w:t>
      </w:r>
      <w:r>
        <w:rPr>
          <w:rFonts w:hint="eastAsia" w:ascii="宋体" w:hAnsi="宋体" w:eastAsia="宋体" w:cs="宋体"/>
          <w:color w:val="auto"/>
          <w:sz w:val="24"/>
          <w:szCs w:val="24"/>
          <w:highlight w:val="none"/>
          <w:lang w:bidi="ar"/>
        </w:rPr>
        <w:t>《零星工程预估工程量清单（附件10）》以外的</w:t>
      </w:r>
      <w:r>
        <w:rPr>
          <w:rFonts w:hint="eastAsia" w:ascii="宋体" w:hAnsi="宋体" w:eastAsia="宋体" w:cs="宋体"/>
          <w:color w:val="auto"/>
          <w:sz w:val="24"/>
          <w:szCs w:val="24"/>
          <w:highlight w:val="none"/>
        </w:rPr>
        <w:t>故障病害修复，且单项单次材料费及税金在10000元及以上的工作内容</w:t>
      </w:r>
      <w:r>
        <w:rPr>
          <w:rFonts w:hint="eastAsia" w:ascii="宋体" w:hAnsi="宋体" w:eastAsia="宋体" w:cs="宋体"/>
          <w:color w:val="auto"/>
          <w:sz w:val="24"/>
          <w:szCs w:val="24"/>
          <w:highlight w:val="none"/>
          <w:lang w:bidi="ar"/>
        </w:rPr>
        <w:t>列入</w:t>
      </w:r>
      <w:r>
        <w:rPr>
          <w:rFonts w:hint="eastAsia" w:ascii="宋体" w:hAnsi="宋体" w:eastAsia="宋体" w:cs="宋体"/>
          <w:bCs w:val="0"/>
          <w:color w:val="auto"/>
          <w:kern w:val="2"/>
          <w:sz w:val="24"/>
          <w:szCs w:val="24"/>
          <w:highlight w:val="none"/>
          <w:lang w:bidi="ar"/>
        </w:rPr>
        <w:t>零星工程整改</w:t>
      </w:r>
      <w:r>
        <w:rPr>
          <w:rFonts w:hint="eastAsia" w:ascii="宋体" w:hAnsi="宋体" w:eastAsia="宋体" w:cs="宋体"/>
          <w:bCs w:val="0"/>
          <w:color w:val="auto"/>
          <w:sz w:val="24"/>
          <w:szCs w:val="24"/>
          <w:highlight w:val="none"/>
          <w:lang w:bidi="ar"/>
        </w:rPr>
        <w:t>费用</w:t>
      </w:r>
      <w:r>
        <w:rPr>
          <w:rFonts w:hint="eastAsia" w:ascii="宋体" w:hAnsi="宋体" w:eastAsia="宋体" w:cs="宋体"/>
          <w:color w:val="auto"/>
          <w:sz w:val="24"/>
          <w:szCs w:val="24"/>
          <w:highlight w:val="none"/>
          <w:lang w:bidi="ar"/>
        </w:rPr>
        <w:t>，由招标人按实际消耗量核定费用后支付。材料单价按以下顺确定：1、信息价；2、类似项目的单价；3、按市场询。乙方应无条件接受，协商不一致时甲方有权另行委托其他单位实施。</w:t>
      </w:r>
      <w:r>
        <w:rPr>
          <w:rFonts w:hint="eastAsia" w:ascii="宋体" w:hAnsi="宋体" w:eastAsia="宋体" w:cs="宋体"/>
          <w:color w:val="auto"/>
          <w:sz w:val="24"/>
          <w:szCs w:val="24"/>
          <w:highlight w:val="none"/>
          <w:shd w:val="clear" w:color="auto" w:fill="auto"/>
          <w:lang w:bidi="ar"/>
        </w:rPr>
        <w:t>单项单次产生的材料费及税金在10000元以下</w:t>
      </w:r>
      <w:r>
        <w:rPr>
          <w:rFonts w:hint="eastAsia" w:ascii="宋体" w:hAnsi="宋体" w:eastAsia="宋体" w:cs="宋体"/>
          <w:color w:val="auto"/>
          <w:sz w:val="24"/>
          <w:szCs w:val="24"/>
          <w:highlight w:val="none"/>
          <w:lang w:bidi="ar"/>
        </w:rPr>
        <w:t>的工作内容</w:t>
      </w:r>
      <w:r>
        <w:rPr>
          <w:rFonts w:hint="eastAsia" w:ascii="宋体" w:hAnsi="宋体" w:eastAsia="宋体" w:cs="宋体"/>
          <w:color w:val="auto"/>
          <w:sz w:val="24"/>
          <w:szCs w:val="24"/>
          <w:highlight w:val="none"/>
          <w:shd w:val="clear" w:color="auto" w:fill="auto"/>
          <w:lang w:bidi="ar"/>
        </w:rPr>
        <w:t>包含在日常维保费用内，由投标人综合考虑。</w:t>
      </w:r>
    </w:p>
    <w:bookmarkEnd w:id="366"/>
    <w:bookmarkEnd w:id="367"/>
    <w:bookmarkEnd w:id="368"/>
    <w:bookmarkEnd w:id="369"/>
    <w:p>
      <w:pPr>
        <w:keepNext w:val="0"/>
        <w:keepLines w:val="0"/>
        <w:pageBreakBefore w:val="0"/>
        <w:widowControl/>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投标人在实施整改前须将整改方案报投标人同意后执行，否则招标人有权不予认可工作内容。</w:t>
      </w:r>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rPr>
      </w:pPr>
      <w:bookmarkStart w:id="370" w:name="_Toc1040989493"/>
      <w:bookmarkStart w:id="371" w:name="_Toc1719021932"/>
      <w:bookmarkStart w:id="372" w:name="_Toc26606"/>
      <w:bookmarkStart w:id="373" w:name="_Toc18101"/>
      <w:bookmarkStart w:id="374" w:name="_Toc9007"/>
      <w:bookmarkStart w:id="375" w:name="_Toc1149007106"/>
      <w:r>
        <w:rPr>
          <w:rFonts w:hint="eastAsia" w:ascii="宋体" w:hAnsi="宋体" w:eastAsia="宋体" w:cs="宋体"/>
          <w:b/>
          <w:bCs/>
          <w:color w:val="auto"/>
          <w:sz w:val="24"/>
          <w:szCs w:val="24"/>
          <w:highlight w:val="none"/>
        </w:rPr>
        <w:t>6.2.3投标项目部建立</w:t>
      </w:r>
      <w:bookmarkEnd w:id="370"/>
      <w:bookmarkEnd w:id="371"/>
      <w:bookmarkEnd w:id="372"/>
      <w:bookmarkEnd w:id="373"/>
      <w:bookmarkEnd w:id="374"/>
      <w:bookmarkEnd w:id="375"/>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投标人可向招标人或社会租借所需项目部用房（含所需的生产、生活、办公、材料仓库、主要设备停放等各种房屋及场地），项目部的租借费用包含在日常维保费用中，投标人投标报价时应综合考虑。</w:t>
      </w:r>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6.2.4筹备期费用</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指投标人在收到中标通知后，维保管理人员必须全部到岗，进场，开展熟悉现场情况及施工质量问题的记录等情况，并跟踪问题的消缺等工作，筹备期产生的费用应单独报价，该部分款项在合同正式执行后第一个月进行支付。</w:t>
      </w:r>
    </w:p>
    <w:p>
      <w:pPr>
        <w:keepNext w:val="0"/>
        <w:keepLines w:val="0"/>
        <w:pageBreakBefore w:val="0"/>
        <w:kinsoku/>
        <w:topLinePunct w:val="0"/>
        <w:bidi w:val="0"/>
        <w:spacing w:line="400" w:lineRule="exact"/>
        <w:ind w:firstLine="482" w:firstLineChars="200"/>
        <w:outlineLvl w:val="2"/>
        <w:rPr>
          <w:rFonts w:hint="eastAsia" w:ascii="宋体" w:hAnsi="宋体" w:eastAsia="宋体" w:cs="宋体"/>
          <w:b/>
          <w:bCs/>
          <w:color w:val="auto"/>
          <w:sz w:val="24"/>
          <w:szCs w:val="24"/>
          <w:highlight w:val="none"/>
        </w:rPr>
      </w:pPr>
      <w:bookmarkStart w:id="376" w:name="_Toc570373829"/>
      <w:bookmarkStart w:id="377" w:name="_Toc1365083773"/>
      <w:bookmarkStart w:id="378" w:name="_Toc572825430"/>
      <w:bookmarkStart w:id="379" w:name="_Toc21708"/>
      <w:r>
        <w:rPr>
          <w:rFonts w:hint="eastAsia" w:ascii="宋体" w:hAnsi="宋体" w:eastAsia="宋体" w:cs="宋体"/>
          <w:b/>
          <w:bCs/>
          <w:color w:val="auto"/>
          <w:sz w:val="24"/>
          <w:szCs w:val="24"/>
          <w:highlight w:val="none"/>
        </w:rPr>
        <w:t>6.3维保设备清单和工作量</w:t>
      </w:r>
      <w:bookmarkEnd w:id="376"/>
      <w:bookmarkEnd w:id="377"/>
      <w:bookmarkEnd w:id="378"/>
      <w:bookmarkEnd w:id="379"/>
      <w:r>
        <w:rPr>
          <w:rFonts w:hint="eastAsia" w:ascii="宋体" w:hAnsi="宋体" w:eastAsia="宋体" w:cs="宋体"/>
          <w:b/>
          <w:bCs/>
          <w:color w:val="auto"/>
          <w:sz w:val="24"/>
          <w:szCs w:val="24"/>
          <w:highlight w:val="none"/>
        </w:rPr>
        <w:t xml:space="preserve"> </w:t>
      </w:r>
    </w:p>
    <w:p>
      <w:pPr>
        <w:keepNext w:val="0"/>
        <w:keepLines w:val="0"/>
        <w:pageBreakBefore w:val="0"/>
        <w:kinsoku/>
        <w:topLinePunct w:val="0"/>
        <w:bidi w:val="0"/>
        <w:spacing w:line="400" w:lineRule="exact"/>
        <w:ind w:firstLine="482" w:firstLineChars="200"/>
        <w:outlineLvl w:val="3"/>
        <w:rPr>
          <w:rFonts w:hint="eastAsia" w:ascii="宋体" w:hAnsi="宋体" w:eastAsia="宋体" w:cs="宋体"/>
          <w:b/>
          <w:bCs/>
          <w:color w:val="auto"/>
          <w:sz w:val="24"/>
          <w:szCs w:val="24"/>
          <w:highlight w:val="none"/>
        </w:rPr>
      </w:pPr>
      <w:bookmarkStart w:id="380" w:name="_Toc6138"/>
      <w:bookmarkStart w:id="381" w:name="_Toc512866068"/>
      <w:bookmarkStart w:id="382" w:name="_Toc801559049"/>
      <w:bookmarkStart w:id="383" w:name="_Toc1761196696"/>
      <w:r>
        <w:rPr>
          <w:rFonts w:hint="eastAsia" w:ascii="宋体" w:hAnsi="宋体" w:eastAsia="宋体" w:cs="宋体"/>
          <w:b/>
          <w:bCs/>
          <w:color w:val="auto"/>
          <w:sz w:val="24"/>
          <w:szCs w:val="24"/>
          <w:highlight w:val="none"/>
        </w:rPr>
        <w:t>6.3.1日常维保项目</w:t>
      </w:r>
      <w:bookmarkEnd w:id="380"/>
      <w:bookmarkEnd w:id="381"/>
      <w:bookmarkEnd w:id="382"/>
      <w:bookmarkEnd w:id="383"/>
    </w:p>
    <w:p>
      <w:pPr>
        <w:keepNext w:val="0"/>
        <w:keepLines w:val="0"/>
        <w:pageBreakBefore w:val="0"/>
        <w:kinsoku/>
        <w:topLinePunct w:val="0"/>
        <w:bidi w:val="0"/>
        <w:spacing w:line="400" w:lineRule="exact"/>
        <w:ind w:firstLine="600" w:firstLineChars="25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日常维保项目工作量由投标人根据“设备设施清单”及“维保内容及周期”自行测算，下表作为参考进行投标报价。</w:t>
      </w:r>
    </w:p>
    <w:p>
      <w:pPr>
        <w:keepNext w:val="0"/>
        <w:keepLines w:val="0"/>
        <w:pageBreakBefore w:val="0"/>
        <w:kinsoku/>
        <w:topLinePunct w:val="0"/>
        <w:bidi w:val="0"/>
        <w:spacing w:line="400" w:lineRule="exact"/>
        <w:ind w:firstLine="482" w:firstLineChars="200"/>
        <w:rPr>
          <w:rFonts w:hint="eastAsia" w:ascii="宋体" w:hAnsi="宋体" w:eastAsia="宋体" w:cs="宋体"/>
          <w:b/>
          <w:bCs/>
          <w:color w:val="auto"/>
          <w:sz w:val="24"/>
          <w:szCs w:val="24"/>
          <w:highlight w:val="none"/>
        </w:rPr>
      </w:pPr>
      <w:bookmarkStart w:id="384" w:name="_Toc31197"/>
      <w:bookmarkStart w:id="385" w:name="_Toc1758"/>
      <w:bookmarkStart w:id="386" w:name="_Toc9135"/>
      <w:bookmarkStart w:id="387" w:name="_Toc26859"/>
      <w:bookmarkStart w:id="388" w:name="_Toc559"/>
      <w:bookmarkStart w:id="389" w:name="_Toc15366"/>
      <w:bookmarkStart w:id="390" w:name="_Toc17460"/>
      <w:bookmarkStart w:id="391" w:name="_Toc5395"/>
      <w:bookmarkStart w:id="392" w:name="_Toc18047"/>
      <w:r>
        <w:rPr>
          <w:rFonts w:hint="eastAsia" w:ascii="宋体" w:hAnsi="宋体" w:eastAsia="宋体" w:cs="宋体"/>
          <w:b/>
          <w:bCs/>
          <w:color w:val="auto"/>
          <w:sz w:val="24"/>
          <w:szCs w:val="24"/>
          <w:highlight w:val="none"/>
        </w:rPr>
        <w:t>6.3.1.1设备设施清单</w:t>
      </w:r>
      <w:bookmarkEnd w:id="384"/>
      <w:bookmarkEnd w:id="385"/>
      <w:bookmarkEnd w:id="386"/>
      <w:bookmarkEnd w:id="387"/>
      <w:bookmarkEnd w:id="388"/>
      <w:bookmarkEnd w:id="389"/>
      <w:bookmarkEnd w:id="390"/>
      <w:bookmarkEnd w:id="391"/>
      <w:bookmarkEnd w:id="392"/>
    </w:p>
    <w:p>
      <w:pPr>
        <w:pStyle w:val="61"/>
        <w:keepNext w:val="0"/>
        <w:keepLines w:val="0"/>
        <w:pageBreakBefore w:val="0"/>
        <w:kinsoku/>
        <w:topLinePunct w:val="0"/>
        <w:bidi w:val="0"/>
        <w:spacing w:line="40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6.3.1.1.1 2号线一期正线设备概况</w:t>
      </w:r>
    </w:p>
    <w:tbl>
      <w:tblPr>
        <w:tblStyle w:val="43"/>
        <w:tblW w:w="5000" w:type="pct"/>
        <w:tblInd w:w="0" w:type="dxa"/>
        <w:tblLayout w:type="fixed"/>
        <w:tblCellMar>
          <w:top w:w="0" w:type="dxa"/>
          <w:left w:w="0" w:type="dxa"/>
          <w:bottom w:w="0" w:type="dxa"/>
          <w:right w:w="0" w:type="dxa"/>
        </w:tblCellMar>
      </w:tblPr>
      <w:tblGrid>
        <w:gridCol w:w="650"/>
        <w:gridCol w:w="2031"/>
        <w:gridCol w:w="1532"/>
        <w:gridCol w:w="2144"/>
        <w:gridCol w:w="777"/>
        <w:gridCol w:w="780"/>
        <w:gridCol w:w="930"/>
      </w:tblGrid>
      <w:tr>
        <w:tblPrEx>
          <w:tblCellMar>
            <w:top w:w="0" w:type="dxa"/>
            <w:left w:w="0" w:type="dxa"/>
            <w:bottom w:w="0" w:type="dxa"/>
            <w:right w:w="0" w:type="dxa"/>
          </w:tblCellMar>
        </w:tblPrEx>
        <w:trPr>
          <w:trHeight w:val="526"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2号线一期正线设备概况</w:t>
            </w: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序号</w:t>
            </w:r>
          </w:p>
        </w:tc>
        <w:tc>
          <w:tcPr>
            <w:tcW w:w="114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设备名称</w:t>
            </w:r>
          </w:p>
        </w:tc>
        <w:tc>
          <w:tcPr>
            <w:tcW w:w="2078"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结构形式</w:t>
            </w:r>
          </w:p>
        </w:tc>
        <w:tc>
          <w:tcPr>
            <w:tcW w:w="43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左线长度</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4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右线长度</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52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备注</w:t>
            </w: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镜湖医院站</w:t>
            </w:r>
          </w:p>
        </w:tc>
        <w:tc>
          <w:tcPr>
            <w:tcW w:w="207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地下二层岛式</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464.023</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cantSplit/>
        </w:trPr>
        <w:tc>
          <w:tcPr>
            <w:tcW w:w="368" w:type="pct"/>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1148" w:type="pct"/>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镜湖医院站</w:t>
            </w:r>
            <w:r>
              <w:rPr>
                <w:rFonts w:hint="eastAsia" w:ascii="宋体" w:hAnsi="宋体" w:eastAsia="宋体" w:cs="宋体"/>
                <w:color w:val="auto"/>
                <w:sz w:val="24"/>
                <w:szCs w:val="24"/>
                <w:highlight w:val="none"/>
              </w:rPr>
              <w:t>-梅山广场站</w:t>
            </w:r>
          </w:p>
        </w:tc>
        <w:tc>
          <w:tcPr>
            <w:tcW w:w="866" w:type="pct"/>
            <w:vMerge w:val="restart"/>
            <w:tcBorders>
              <w:top w:val="single" w:color="000000" w:sz="4" w:space="0"/>
              <w:left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盾构隧道（单线）</w:t>
            </w: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1#联络通道</w:t>
            </w:r>
          </w:p>
        </w:tc>
        <w:tc>
          <w:tcPr>
            <w:tcW w:w="439" w:type="pct"/>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1763.262</w:t>
            </w:r>
          </w:p>
        </w:tc>
        <w:tc>
          <w:tcPr>
            <w:tcW w:w="440" w:type="pct"/>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1762.162</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1148"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866" w:type="pct"/>
            <w:vMerge w:val="continue"/>
            <w:tcBorders>
              <w:left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2#联络通道（兼泵房1）</w:t>
            </w:r>
          </w:p>
        </w:tc>
        <w:tc>
          <w:tcPr>
            <w:tcW w:w="439"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440"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废水泵房1</w:t>
            </w:r>
          </w:p>
        </w:tc>
      </w:tr>
      <w:tr>
        <w:tblPrEx>
          <w:tblCellMar>
            <w:top w:w="0" w:type="dxa"/>
            <w:left w:w="0" w:type="dxa"/>
            <w:bottom w:w="0" w:type="dxa"/>
            <w:right w:w="0" w:type="dxa"/>
          </w:tblCellMar>
        </w:tblPrEx>
        <w:trPr>
          <w:trHeight w:val="312" w:hRule="atLeast"/>
        </w:trPr>
        <w:tc>
          <w:tcPr>
            <w:tcW w:w="368"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1148"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866" w:type="pct"/>
            <w:vMerge w:val="continue"/>
            <w:tcBorders>
              <w:left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3#联络通道</w:t>
            </w:r>
          </w:p>
        </w:tc>
        <w:tc>
          <w:tcPr>
            <w:tcW w:w="439"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440"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梅山广场站</w:t>
            </w:r>
          </w:p>
        </w:tc>
        <w:tc>
          <w:tcPr>
            <w:tcW w:w="207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地下三层岛式</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230</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1148" w:type="pc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梅山广场站-后墅路站</w:t>
            </w:r>
            <w:r>
              <w:rPr>
                <w:rFonts w:hint="eastAsia" w:ascii="宋体" w:hAnsi="宋体" w:eastAsia="宋体" w:cs="宋体"/>
                <w:color w:val="auto"/>
                <w:sz w:val="24"/>
                <w:szCs w:val="24"/>
                <w:highlight w:val="none"/>
              </w:rPr>
              <w:t>区间</w:t>
            </w:r>
          </w:p>
        </w:tc>
        <w:tc>
          <w:tcPr>
            <w:tcW w:w="866" w:type="pc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盾构隧道（单线）</w:t>
            </w: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4#联络通道（兼泵房2）</w:t>
            </w:r>
          </w:p>
        </w:tc>
        <w:tc>
          <w:tcPr>
            <w:tcW w:w="439" w:type="pc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946.172</w:t>
            </w:r>
          </w:p>
        </w:tc>
        <w:tc>
          <w:tcPr>
            <w:tcW w:w="440" w:type="pc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946.172</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废水泵房2</w:t>
            </w: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后墅路站</w:t>
            </w:r>
          </w:p>
        </w:tc>
        <w:tc>
          <w:tcPr>
            <w:tcW w:w="207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地下二层岛式</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196.506</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w:t>
            </w:r>
          </w:p>
        </w:tc>
        <w:tc>
          <w:tcPr>
            <w:tcW w:w="1148" w:type="pct"/>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后墅路站--袍谷路站区间</w:t>
            </w:r>
          </w:p>
        </w:tc>
        <w:tc>
          <w:tcPr>
            <w:tcW w:w="866" w:type="pct"/>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盾构隧道（单线）</w:t>
            </w: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1#内置式泵房（泵房3）</w:t>
            </w:r>
          </w:p>
        </w:tc>
        <w:tc>
          <w:tcPr>
            <w:tcW w:w="439" w:type="pct"/>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924.609</w:t>
            </w:r>
          </w:p>
        </w:tc>
        <w:tc>
          <w:tcPr>
            <w:tcW w:w="440" w:type="pct"/>
            <w:vMerge w:val="restar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924.609</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废水泵房3</w:t>
            </w:r>
          </w:p>
        </w:tc>
      </w:tr>
      <w:tr>
        <w:tblPrEx>
          <w:tblCellMar>
            <w:top w:w="0" w:type="dxa"/>
            <w:left w:w="0" w:type="dxa"/>
            <w:bottom w:w="0" w:type="dxa"/>
            <w:right w:w="0" w:type="dxa"/>
          </w:tblCellMar>
        </w:tblPrEx>
        <w:trPr>
          <w:trHeight w:val="312" w:hRule="atLeast"/>
        </w:trPr>
        <w:tc>
          <w:tcPr>
            <w:tcW w:w="368" w:type="pct"/>
            <w:vMerge w:val="continue"/>
            <w:tcBorders>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148" w:type="pct"/>
            <w:vMerge w:val="continue"/>
            <w:tcBorders>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66" w:type="pct"/>
            <w:vMerge w:val="continue"/>
            <w:tcBorders>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5#联络通道</w:t>
            </w:r>
          </w:p>
        </w:tc>
        <w:tc>
          <w:tcPr>
            <w:tcW w:w="439"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40" w:type="pct"/>
            <w:vMerge w:val="continue"/>
            <w:tcBorders>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袍谷路站</w:t>
            </w:r>
          </w:p>
        </w:tc>
        <w:tc>
          <w:tcPr>
            <w:tcW w:w="207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地下二层岛式</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211</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袍谷路站-袍中路站区间</w:t>
            </w:r>
          </w:p>
        </w:tc>
        <w:tc>
          <w:tcPr>
            <w:tcW w:w="866"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盾构隧道（单线）</w:t>
            </w: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6#联络通道（兼泵房4）</w:t>
            </w:r>
          </w:p>
        </w:tc>
        <w:tc>
          <w:tcPr>
            <w:tcW w:w="439" w:type="pc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796.551</w:t>
            </w:r>
          </w:p>
        </w:tc>
        <w:tc>
          <w:tcPr>
            <w:tcW w:w="440" w:type="pct"/>
            <w:tcBorders>
              <w:top w:val="single" w:color="000000" w:sz="4" w:space="0"/>
              <w:left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796.312</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废水泵房4</w:t>
            </w: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袍中路站</w:t>
            </w:r>
          </w:p>
        </w:tc>
        <w:tc>
          <w:tcPr>
            <w:tcW w:w="207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地下二层岛式</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303.554</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袍中路站-洋泾湖站区间</w:t>
            </w:r>
          </w:p>
        </w:tc>
        <w:tc>
          <w:tcPr>
            <w:tcW w:w="866"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盾构隧道（单线）</w:t>
            </w: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7#联络通道（兼泵房5）</w:t>
            </w:r>
          </w:p>
        </w:tc>
        <w:tc>
          <w:tcPr>
            <w:tcW w:w="439"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1196</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1195.879</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废水泵房5</w:t>
            </w: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洋泾湖站</w:t>
            </w:r>
          </w:p>
        </w:tc>
        <w:tc>
          <w:tcPr>
            <w:tcW w:w="207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地下二层岛式</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242</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洋泾湖站-恂南站区间</w:t>
            </w:r>
          </w:p>
        </w:tc>
        <w:tc>
          <w:tcPr>
            <w:tcW w:w="866"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盾构隧道（单线）</w:t>
            </w: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8#联络通道（兼泵房6）</w:t>
            </w:r>
          </w:p>
        </w:tc>
        <w:tc>
          <w:tcPr>
            <w:tcW w:w="439"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736.21</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736.21</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废水泵房6</w:t>
            </w: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恂南站</w:t>
            </w:r>
          </w:p>
        </w:tc>
        <w:tc>
          <w:tcPr>
            <w:tcW w:w="207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地下二层岛式</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285.993</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14</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恂南站-豆姜站区间</w:t>
            </w:r>
          </w:p>
        </w:tc>
        <w:tc>
          <w:tcPr>
            <w:tcW w:w="866"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盾构隧道（单线）</w:t>
            </w: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9#联络通道（兼泵房7）</w:t>
            </w:r>
          </w:p>
        </w:tc>
        <w:tc>
          <w:tcPr>
            <w:tcW w:w="439"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879.706</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880.0922</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废水泵房7</w:t>
            </w: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豆姜站</w:t>
            </w:r>
          </w:p>
        </w:tc>
        <w:tc>
          <w:tcPr>
            <w:tcW w:w="207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地下二层岛式</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465.9</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16</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豆姜站-檀渎站区间</w:t>
            </w:r>
          </w:p>
        </w:tc>
        <w:tc>
          <w:tcPr>
            <w:tcW w:w="866"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盾构隧道（单线）</w:t>
            </w:r>
          </w:p>
        </w:tc>
        <w:tc>
          <w:tcPr>
            <w:tcW w:w="1212"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10#联络通道（兼泵房8）</w:t>
            </w:r>
          </w:p>
        </w:tc>
        <w:tc>
          <w:tcPr>
            <w:tcW w:w="439"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720.2793</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720.2793</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废水泵房8</w:t>
            </w:r>
          </w:p>
        </w:tc>
      </w:tr>
      <w:tr>
        <w:tblPrEx>
          <w:tblCellMar>
            <w:top w:w="0" w:type="dxa"/>
            <w:left w:w="0" w:type="dxa"/>
            <w:bottom w:w="0" w:type="dxa"/>
            <w:right w:w="0" w:type="dxa"/>
          </w:tblCellMar>
        </w:tblPrEx>
        <w:trPr>
          <w:trHeight w:val="312" w:hRule="atLeast"/>
        </w:trPr>
        <w:tc>
          <w:tcPr>
            <w:tcW w:w="36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17</w:t>
            </w:r>
          </w:p>
        </w:tc>
        <w:tc>
          <w:tcPr>
            <w:tcW w:w="1148"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檀渎站</w:t>
            </w:r>
          </w:p>
        </w:tc>
        <w:tc>
          <w:tcPr>
            <w:tcW w:w="2078"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地下二层岛式</w:t>
            </w:r>
          </w:p>
        </w:tc>
        <w:tc>
          <w:tcPr>
            <w:tcW w:w="880" w:type="pct"/>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338</w:t>
            </w:r>
          </w:p>
        </w:tc>
        <w:tc>
          <w:tcPr>
            <w:tcW w:w="524" w:type="pc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12"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pageBreakBefore w:val="0"/>
              <w:widowControl/>
              <w:kinsoku/>
              <w:topLinePunct w:val="0"/>
              <w:bidi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注：以上的房建设施设备详见图纸，如有差异以现场实际为准。</w:t>
            </w:r>
          </w:p>
        </w:tc>
      </w:tr>
    </w:tbl>
    <w:p>
      <w:pPr>
        <w:pStyle w:val="61"/>
        <w:keepNext w:val="0"/>
        <w:keepLines w:val="0"/>
        <w:pageBreakBefore w:val="0"/>
        <w:kinsoku/>
        <w:topLinePunct w:val="0"/>
        <w:bidi w:val="0"/>
        <w:spacing w:line="40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6.3.1.1.2 2号线一期车站表</w:t>
      </w:r>
    </w:p>
    <w:tbl>
      <w:tblPr>
        <w:tblStyle w:val="43"/>
        <w:tblW w:w="5000" w:type="pct"/>
        <w:tblInd w:w="0" w:type="dxa"/>
        <w:tblLayout w:type="fixed"/>
        <w:tblCellMar>
          <w:top w:w="0" w:type="dxa"/>
          <w:left w:w="0" w:type="dxa"/>
          <w:bottom w:w="0" w:type="dxa"/>
          <w:right w:w="0" w:type="dxa"/>
        </w:tblCellMar>
      </w:tblPr>
      <w:tblGrid>
        <w:gridCol w:w="433"/>
        <w:gridCol w:w="1159"/>
        <w:gridCol w:w="1636"/>
        <w:gridCol w:w="2045"/>
        <w:gridCol w:w="3571"/>
      </w:tblGrid>
      <w:tr>
        <w:tblPrEx>
          <w:tblCellMar>
            <w:top w:w="0" w:type="dxa"/>
            <w:left w:w="0" w:type="dxa"/>
            <w:bottom w:w="0" w:type="dxa"/>
            <w:right w:w="0" w:type="dxa"/>
          </w:tblCellMar>
        </w:tblPrEx>
        <w:trPr>
          <w:trHeight w:val="408" w:hRule="atLeast"/>
        </w:trPr>
        <w:tc>
          <w:tcPr>
            <w:tcW w:w="5000" w:type="pct"/>
            <w:gridSpan w:val="5"/>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bidi="ar"/>
              </w:rPr>
              <w:t>2号线一期车站表</w:t>
            </w:r>
          </w:p>
        </w:tc>
      </w:tr>
      <w:tr>
        <w:tblPrEx>
          <w:tblCellMar>
            <w:top w:w="0" w:type="dxa"/>
            <w:left w:w="0" w:type="dxa"/>
            <w:bottom w:w="0" w:type="dxa"/>
            <w:right w:w="0" w:type="dxa"/>
          </w:tblCellMar>
        </w:tblPrEx>
        <w:trPr>
          <w:trHeight w:val="312" w:hRule="atLeast"/>
        </w:trPr>
        <w:tc>
          <w:tcPr>
            <w:tcW w:w="245" w:type="pct"/>
            <w:vMerge w:val="restar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序号</w:t>
            </w:r>
          </w:p>
        </w:tc>
        <w:tc>
          <w:tcPr>
            <w:tcW w:w="655" w:type="pct"/>
            <w:vMerge w:val="restar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站名</w:t>
            </w:r>
          </w:p>
        </w:tc>
        <w:tc>
          <w:tcPr>
            <w:tcW w:w="925" w:type="pct"/>
            <w:vMerge w:val="restar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车站形式</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总建筑面积</w:t>
            </w:r>
          </w:p>
        </w:tc>
        <w:tc>
          <w:tcPr>
            <w:tcW w:w="2017"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备注</w:t>
            </w:r>
          </w:p>
        </w:tc>
      </w:tr>
      <w:tr>
        <w:tblPrEx>
          <w:tblCellMar>
            <w:top w:w="0" w:type="dxa"/>
            <w:left w:w="0" w:type="dxa"/>
            <w:bottom w:w="0" w:type="dxa"/>
            <w:right w:w="0" w:type="dxa"/>
          </w:tblCellMar>
        </w:tblPrEx>
        <w:trPr>
          <w:trHeight w:val="312" w:hRule="atLeast"/>
        </w:trPr>
        <w:tc>
          <w:tcPr>
            <w:tcW w:w="245"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55"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25"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平方米</w:t>
            </w:r>
          </w:p>
        </w:tc>
        <w:tc>
          <w:tcPr>
            <w:tcW w:w="2017"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2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65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镜湖医院站</w:t>
            </w:r>
          </w:p>
        </w:tc>
        <w:tc>
          <w:tcPr>
            <w:tcW w:w="9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地下二层岛式</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25933.13</w:t>
            </w:r>
          </w:p>
        </w:tc>
        <w:tc>
          <w:tcPr>
            <w:tcW w:w="2017"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出入口：4个；预留人防连通口：2个；风亭组：3组；紧急疏散口：1个；安全出口：3个；无障碍电梯厅：1个</w:t>
            </w:r>
          </w:p>
        </w:tc>
      </w:tr>
      <w:tr>
        <w:tblPrEx>
          <w:tblCellMar>
            <w:top w:w="0" w:type="dxa"/>
            <w:left w:w="0" w:type="dxa"/>
            <w:bottom w:w="0" w:type="dxa"/>
            <w:right w:w="0" w:type="dxa"/>
          </w:tblCellMar>
        </w:tblPrEx>
        <w:trPr>
          <w:trHeight w:val="383" w:hRule="atLeast"/>
        </w:trPr>
        <w:tc>
          <w:tcPr>
            <w:tcW w:w="2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65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梅山广场站</w:t>
            </w:r>
          </w:p>
        </w:tc>
        <w:tc>
          <w:tcPr>
            <w:tcW w:w="9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地下三层岛式</w:t>
            </w:r>
          </w:p>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（与1号线换乘）</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w:t>
            </w:r>
          </w:p>
        </w:tc>
        <w:tc>
          <w:tcPr>
            <w:tcW w:w="2017"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属于2号线维保范围的站厅层、站台层区域</w:t>
            </w:r>
          </w:p>
        </w:tc>
      </w:tr>
      <w:tr>
        <w:tblPrEx>
          <w:tblCellMar>
            <w:top w:w="0" w:type="dxa"/>
            <w:left w:w="0" w:type="dxa"/>
            <w:bottom w:w="0" w:type="dxa"/>
            <w:right w:w="0" w:type="dxa"/>
          </w:tblCellMar>
        </w:tblPrEx>
        <w:trPr>
          <w:trHeight w:val="312" w:hRule="atLeast"/>
        </w:trPr>
        <w:tc>
          <w:tcPr>
            <w:tcW w:w="2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65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后墅路站</w:t>
            </w:r>
          </w:p>
        </w:tc>
        <w:tc>
          <w:tcPr>
            <w:tcW w:w="9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地下二层岛式</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11589.12  </w:t>
            </w:r>
          </w:p>
        </w:tc>
        <w:tc>
          <w:tcPr>
            <w:tcW w:w="2017"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出入口：2个；预留人防连通口：2个；风亭组：2组；紧急疏散口：1个；无障碍电梯厅：1个</w:t>
            </w:r>
          </w:p>
        </w:tc>
      </w:tr>
      <w:tr>
        <w:tblPrEx>
          <w:tblCellMar>
            <w:top w:w="0" w:type="dxa"/>
            <w:left w:w="0" w:type="dxa"/>
            <w:bottom w:w="0" w:type="dxa"/>
            <w:right w:w="0" w:type="dxa"/>
          </w:tblCellMar>
        </w:tblPrEx>
        <w:trPr>
          <w:trHeight w:val="312" w:hRule="atLeast"/>
        </w:trPr>
        <w:tc>
          <w:tcPr>
            <w:tcW w:w="2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65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袍谷路站</w:t>
            </w:r>
          </w:p>
        </w:tc>
        <w:tc>
          <w:tcPr>
            <w:tcW w:w="9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地下二层岛式</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12162</w:t>
            </w:r>
          </w:p>
        </w:tc>
        <w:tc>
          <w:tcPr>
            <w:tcW w:w="2017"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出入口：4个；预留人防连通口：2个；风亭组：2组；安全出口：1个；无障碍电梯厅：1个</w:t>
            </w:r>
          </w:p>
        </w:tc>
      </w:tr>
      <w:tr>
        <w:tblPrEx>
          <w:tblCellMar>
            <w:top w:w="0" w:type="dxa"/>
            <w:left w:w="0" w:type="dxa"/>
            <w:bottom w:w="0" w:type="dxa"/>
            <w:right w:w="0" w:type="dxa"/>
          </w:tblCellMar>
        </w:tblPrEx>
        <w:trPr>
          <w:trHeight w:val="312" w:hRule="atLeast"/>
        </w:trPr>
        <w:tc>
          <w:tcPr>
            <w:tcW w:w="2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65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袍中路站</w:t>
            </w:r>
          </w:p>
        </w:tc>
        <w:tc>
          <w:tcPr>
            <w:tcW w:w="9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地下二层岛式</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16100.19</w:t>
            </w:r>
          </w:p>
        </w:tc>
        <w:tc>
          <w:tcPr>
            <w:tcW w:w="2017"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出入口：3个；消防出入口：1个；风亭组：2组</w:t>
            </w:r>
          </w:p>
        </w:tc>
      </w:tr>
      <w:tr>
        <w:tblPrEx>
          <w:tblCellMar>
            <w:top w:w="0" w:type="dxa"/>
            <w:left w:w="0" w:type="dxa"/>
            <w:bottom w:w="0" w:type="dxa"/>
            <w:right w:w="0" w:type="dxa"/>
          </w:tblCellMar>
        </w:tblPrEx>
        <w:trPr>
          <w:trHeight w:val="312" w:hRule="atLeast"/>
        </w:trPr>
        <w:tc>
          <w:tcPr>
            <w:tcW w:w="2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w:t>
            </w:r>
          </w:p>
        </w:tc>
        <w:tc>
          <w:tcPr>
            <w:tcW w:w="65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洋泾湖站</w:t>
            </w:r>
          </w:p>
        </w:tc>
        <w:tc>
          <w:tcPr>
            <w:tcW w:w="9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地下二层岛式</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11719</w:t>
            </w:r>
          </w:p>
        </w:tc>
        <w:tc>
          <w:tcPr>
            <w:tcW w:w="2017"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出入口：4个；人防连通口：2个；风亭组：2组；安全出口：1个；无障碍电梯厅：1个</w:t>
            </w:r>
          </w:p>
        </w:tc>
      </w:tr>
      <w:tr>
        <w:tblPrEx>
          <w:tblCellMar>
            <w:top w:w="0" w:type="dxa"/>
            <w:left w:w="0" w:type="dxa"/>
            <w:bottom w:w="0" w:type="dxa"/>
            <w:right w:w="0" w:type="dxa"/>
          </w:tblCellMar>
        </w:tblPrEx>
        <w:trPr>
          <w:trHeight w:val="312" w:hRule="atLeast"/>
        </w:trPr>
        <w:tc>
          <w:tcPr>
            <w:tcW w:w="2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65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恂南站</w:t>
            </w:r>
          </w:p>
        </w:tc>
        <w:tc>
          <w:tcPr>
            <w:tcW w:w="9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地下二层岛式</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15439.7 </w:t>
            </w:r>
          </w:p>
        </w:tc>
        <w:tc>
          <w:tcPr>
            <w:tcW w:w="2017"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出入口：4个（含预留1个）；消防出入口：1个；风亭组：2组</w:t>
            </w:r>
          </w:p>
        </w:tc>
      </w:tr>
      <w:tr>
        <w:tblPrEx>
          <w:tblCellMar>
            <w:top w:w="0" w:type="dxa"/>
            <w:left w:w="0" w:type="dxa"/>
            <w:bottom w:w="0" w:type="dxa"/>
            <w:right w:w="0" w:type="dxa"/>
          </w:tblCellMar>
        </w:tblPrEx>
        <w:trPr>
          <w:trHeight w:val="312" w:hRule="atLeast"/>
        </w:trPr>
        <w:tc>
          <w:tcPr>
            <w:tcW w:w="2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w:t>
            </w:r>
          </w:p>
        </w:tc>
        <w:tc>
          <w:tcPr>
            <w:tcW w:w="65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豆姜站</w:t>
            </w:r>
          </w:p>
        </w:tc>
        <w:tc>
          <w:tcPr>
            <w:tcW w:w="9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地下二层岛式</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33697</w:t>
            </w:r>
          </w:p>
        </w:tc>
        <w:tc>
          <w:tcPr>
            <w:tcW w:w="2017"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近期出入口：3个；安全出入口：14个；风亭组：4组</w:t>
            </w:r>
          </w:p>
        </w:tc>
      </w:tr>
      <w:tr>
        <w:tblPrEx>
          <w:tblCellMar>
            <w:top w:w="0" w:type="dxa"/>
            <w:left w:w="0" w:type="dxa"/>
            <w:bottom w:w="0" w:type="dxa"/>
            <w:right w:w="0" w:type="dxa"/>
          </w:tblCellMar>
        </w:tblPrEx>
        <w:trPr>
          <w:trHeight w:val="312" w:hRule="atLeast"/>
        </w:trPr>
        <w:tc>
          <w:tcPr>
            <w:tcW w:w="24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w:t>
            </w:r>
          </w:p>
        </w:tc>
        <w:tc>
          <w:tcPr>
            <w:tcW w:w="65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檀渎站</w:t>
            </w:r>
          </w:p>
        </w:tc>
        <w:tc>
          <w:tcPr>
            <w:tcW w:w="9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地下二层岛式</w:t>
            </w:r>
          </w:p>
        </w:tc>
        <w:tc>
          <w:tcPr>
            <w:tcW w:w="115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15150</w:t>
            </w:r>
          </w:p>
        </w:tc>
        <w:tc>
          <w:tcPr>
            <w:tcW w:w="2017"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近期出入口：2个；缓建出入口：1个；风亭组：3组</w:t>
            </w:r>
          </w:p>
        </w:tc>
      </w:tr>
      <w:tr>
        <w:tblPrEx>
          <w:tblCellMar>
            <w:top w:w="0" w:type="dxa"/>
            <w:left w:w="0" w:type="dxa"/>
            <w:bottom w:w="0" w:type="dxa"/>
            <w:right w:w="0" w:type="dxa"/>
          </w:tblCellMar>
        </w:tblPrEx>
        <w:trPr>
          <w:trHeight w:val="312" w:hRule="atLeast"/>
        </w:trPr>
        <w:tc>
          <w:tcPr>
            <w:tcW w:w="5000" w:type="pct"/>
            <w:gridSpan w:val="5"/>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注：以上的房建设施设备详见图纸，如有差异以现场实际为准。</w:t>
            </w:r>
          </w:p>
        </w:tc>
      </w:tr>
    </w:tbl>
    <w:p>
      <w:pPr>
        <w:pStyle w:val="61"/>
        <w:keepNext w:val="0"/>
        <w:keepLines w:val="0"/>
        <w:pageBreakBefore w:val="0"/>
        <w:kinsoku/>
        <w:topLinePunct w:val="0"/>
        <w:bidi w:val="0"/>
        <w:spacing w:line="40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6.3.1.1.3 2号线一期隧道表</w:t>
      </w:r>
    </w:p>
    <w:tbl>
      <w:tblPr>
        <w:tblStyle w:val="43"/>
        <w:tblW w:w="5000" w:type="pct"/>
        <w:tblInd w:w="0" w:type="dxa"/>
        <w:tblLayout w:type="autofit"/>
        <w:tblCellMar>
          <w:top w:w="0" w:type="dxa"/>
          <w:left w:w="0" w:type="dxa"/>
          <w:bottom w:w="0" w:type="dxa"/>
          <w:right w:w="0" w:type="dxa"/>
        </w:tblCellMar>
      </w:tblPr>
      <w:tblGrid>
        <w:gridCol w:w="504"/>
        <w:gridCol w:w="3024"/>
        <w:gridCol w:w="1305"/>
        <w:gridCol w:w="1539"/>
        <w:gridCol w:w="984"/>
        <w:gridCol w:w="984"/>
        <w:gridCol w:w="504"/>
      </w:tblGrid>
      <w:tr>
        <w:tblPrEx>
          <w:tblCellMar>
            <w:top w:w="0" w:type="dxa"/>
            <w:left w:w="0" w:type="dxa"/>
            <w:bottom w:w="0" w:type="dxa"/>
            <w:right w:w="0" w:type="dxa"/>
          </w:tblCellMar>
        </w:tblPrEx>
        <w:trPr>
          <w:trHeight w:val="312"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bidi="ar"/>
              </w:rPr>
              <w:t>2号线一期隧道表</w:t>
            </w:r>
          </w:p>
        </w:tc>
      </w:tr>
      <w:tr>
        <w:tblPrEx>
          <w:tblCellMar>
            <w:top w:w="0" w:type="dxa"/>
            <w:left w:w="0" w:type="dxa"/>
            <w:bottom w:w="0" w:type="dxa"/>
            <w:right w:w="0" w:type="dxa"/>
          </w:tblCellMar>
        </w:tblPrEx>
        <w:trPr>
          <w:trHeight w:val="305"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序号</w:t>
            </w:r>
          </w:p>
        </w:tc>
        <w:tc>
          <w:tcPr>
            <w:tcW w:w="112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区间</w:t>
            </w: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结构形式</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单双线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长度m</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盾构环数</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备注</w:t>
            </w: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1123"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镜湖医院站</w:t>
            </w:r>
            <w:r>
              <w:rPr>
                <w:rFonts w:hint="eastAsia" w:ascii="宋体" w:hAnsi="宋体" w:eastAsia="宋体" w:cs="宋体"/>
                <w:color w:val="auto"/>
                <w:sz w:val="24"/>
                <w:szCs w:val="24"/>
                <w:highlight w:val="none"/>
              </w:rPr>
              <w:t>-梅山广场站区间</w:t>
            </w: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单线（左线）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1763.262</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1470</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1123"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单线（右线）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1762.162</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1469</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1123"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梅山广场站-后墅路站</w:t>
            </w:r>
            <w:r>
              <w:rPr>
                <w:rFonts w:hint="eastAsia" w:ascii="宋体" w:hAnsi="宋体" w:eastAsia="宋体" w:cs="宋体"/>
                <w:color w:val="auto"/>
                <w:sz w:val="24"/>
                <w:szCs w:val="24"/>
                <w:highlight w:val="none"/>
              </w:rPr>
              <w:t>区间</w:t>
            </w: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单线（左线）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946.172</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832</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1123"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单线（右线）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946.172</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790</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1123"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后墅路站--袍谷路站区间</w:t>
            </w: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单线（左线）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924.609</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767</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w:t>
            </w:r>
          </w:p>
        </w:tc>
        <w:tc>
          <w:tcPr>
            <w:tcW w:w="1123"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单线（右线）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924.609</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770</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1123"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袍谷路站-袍中路站区间</w:t>
            </w: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单线（左线）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796.551</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664</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w:t>
            </w:r>
          </w:p>
        </w:tc>
        <w:tc>
          <w:tcPr>
            <w:tcW w:w="1123"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单线（右线）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796.312</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663</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w:t>
            </w:r>
          </w:p>
        </w:tc>
        <w:tc>
          <w:tcPr>
            <w:tcW w:w="1123"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袍中路站-洋泾湖站区间</w:t>
            </w: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单线（左线）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1196</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997</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w:t>
            </w:r>
          </w:p>
        </w:tc>
        <w:tc>
          <w:tcPr>
            <w:tcW w:w="1123"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单线（右线）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1195.879</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997</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w:t>
            </w:r>
          </w:p>
        </w:tc>
        <w:tc>
          <w:tcPr>
            <w:tcW w:w="1123"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洋泾湖站-恂南站区间</w:t>
            </w: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单线（左线）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736.21</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613</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w:t>
            </w:r>
          </w:p>
        </w:tc>
        <w:tc>
          <w:tcPr>
            <w:tcW w:w="1123"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单线（右线）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736.21</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613</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w:t>
            </w:r>
          </w:p>
        </w:tc>
        <w:tc>
          <w:tcPr>
            <w:tcW w:w="1123"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恂南站-豆姜站区间</w:t>
            </w: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单线（左线）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879.706</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735</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14</w:t>
            </w:r>
          </w:p>
        </w:tc>
        <w:tc>
          <w:tcPr>
            <w:tcW w:w="1123"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单线（右线）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880.0922</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735</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w:t>
            </w:r>
          </w:p>
        </w:tc>
        <w:tc>
          <w:tcPr>
            <w:tcW w:w="1123"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豆姜站-檀渎站区间</w:t>
            </w: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单线（左线）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720.2793</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601</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33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16</w:t>
            </w:r>
          </w:p>
        </w:tc>
        <w:tc>
          <w:tcPr>
            <w:tcW w:w="1123" w:type="pct"/>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0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盾构隧道</w:t>
            </w:r>
          </w:p>
        </w:tc>
        <w:tc>
          <w:tcPr>
            <w:tcW w:w="98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单线（右线）</w:t>
            </w:r>
          </w:p>
        </w:tc>
        <w:tc>
          <w:tcPr>
            <w:tcW w:w="607"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720.2793</w:t>
            </w:r>
          </w:p>
        </w:tc>
        <w:tc>
          <w:tcPr>
            <w:tcW w:w="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601</w:t>
            </w:r>
          </w:p>
        </w:tc>
        <w:tc>
          <w:tcPr>
            <w:tcW w:w="40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注：以上的房建设施设备详见图纸，如有差异以现场实际为准。</w:t>
            </w:r>
          </w:p>
        </w:tc>
      </w:tr>
    </w:tbl>
    <w:p>
      <w:pPr>
        <w:keepNext w:val="0"/>
        <w:keepLines w:val="0"/>
        <w:pageBreakBefore w:val="0"/>
        <w:kinsoku/>
        <w:topLinePunct w:val="0"/>
        <w:bidi w:val="0"/>
        <w:spacing w:line="400" w:lineRule="exact"/>
        <w:ind w:firstLine="482" w:firstLineChars="200"/>
        <w:rPr>
          <w:rFonts w:hint="eastAsia" w:ascii="宋体" w:hAnsi="宋体" w:eastAsia="宋体" w:cs="宋体"/>
          <w:b/>
          <w:bCs/>
          <w:color w:val="auto"/>
          <w:sz w:val="24"/>
          <w:szCs w:val="24"/>
          <w:highlight w:val="none"/>
        </w:rPr>
      </w:pPr>
      <w:bookmarkStart w:id="393" w:name="_Toc31246"/>
      <w:bookmarkStart w:id="394" w:name="_Toc23510"/>
      <w:bookmarkStart w:id="395" w:name="_Toc17856"/>
      <w:bookmarkStart w:id="396" w:name="_Toc19195"/>
      <w:bookmarkStart w:id="397" w:name="_Toc9865"/>
      <w:bookmarkStart w:id="398" w:name="_Toc3134"/>
      <w:bookmarkStart w:id="399" w:name="_Toc26155"/>
      <w:bookmarkStart w:id="400" w:name="_Toc8870"/>
      <w:bookmarkStart w:id="401" w:name="_Toc19472"/>
      <w:r>
        <w:rPr>
          <w:rFonts w:hint="eastAsia" w:ascii="宋体" w:hAnsi="宋体" w:eastAsia="宋体" w:cs="宋体"/>
          <w:b/>
          <w:bCs/>
          <w:color w:val="auto"/>
          <w:sz w:val="24"/>
          <w:szCs w:val="24"/>
          <w:highlight w:val="none"/>
        </w:rPr>
        <w:t>6.3.1.2维保内容及周期</w:t>
      </w:r>
      <w:bookmarkEnd w:id="393"/>
      <w:bookmarkEnd w:id="394"/>
      <w:bookmarkEnd w:id="395"/>
      <w:bookmarkEnd w:id="396"/>
      <w:bookmarkEnd w:id="397"/>
      <w:bookmarkEnd w:id="398"/>
      <w:bookmarkEnd w:id="399"/>
      <w:bookmarkEnd w:id="400"/>
      <w:bookmarkEnd w:id="401"/>
    </w:p>
    <w:p>
      <w:pPr>
        <w:pStyle w:val="61"/>
        <w:keepNext w:val="0"/>
        <w:keepLines w:val="0"/>
        <w:pageBreakBefore w:val="0"/>
        <w:kinsoku/>
        <w:topLinePunct w:val="0"/>
        <w:bidi w:val="0"/>
        <w:spacing w:line="40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6.3.1.2.1车站、主变电所房建装饰装修维保内容及周期</w:t>
      </w:r>
    </w:p>
    <w:tbl>
      <w:tblPr>
        <w:tblStyle w:val="43"/>
        <w:tblW w:w="5070" w:type="pct"/>
        <w:jc w:val="center"/>
        <w:tblLayout w:type="autofit"/>
        <w:tblCellMar>
          <w:top w:w="0" w:type="dxa"/>
          <w:left w:w="0" w:type="dxa"/>
          <w:bottom w:w="0" w:type="dxa"/>
          <w:right w:w="0" w:type="dxa"/>
        </w:tblCellMar>
      </w:tblPr>
      <w:tblGrid>
        <w:gridCol w:w="306"/>
        <w:gridCol w:w="730"/>
        <w:gridCol w:w="518"/>
        <w:gridCol w:w="6246"/>
        <w:gridCol w:w="1168"/>
      </w:tblGrid>
      <w:tr>
        <w:tblPrEx>
          <w:tblCellMar>
            <w:top w:w="0" w:type="dxa"/>
            <w:left w:w="0" w:type="dxa"/>
            <w:bottom w:w="0" w:type="dxa"/>
            <w:right w:w="0" w:type="dxa"/>
          </w:tblCellMar>
        </w:tblPrEx>
        <w:trPr>
          <w:trHeight w:val="418"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color w:val="auto"/>
                <w:kern w:val="0"/>
                <w:sz w:val="24"/>
                <w:szCs w:val="24"/>
                <w:highlight w:val="none"/>
                <w:lang w:bidi="ar"/>
              </w:rPr>
              <w:t>车站、主变电所房建装饰装修维保内容及周期</w:t>
            </w:r>
          </w:p>
        </w:tc>
      </w:tr>
      <w:tr>
        <w:tblPrEx>
          <w:tblCellMar>
            <w:top w:w="0" w:type="dxa"/>
            <w:left w:w="0" w:type="dxa"/>
            <w:bottom w:w="0" w:type="dxa"/>
            <w:right w:w="0" w:type="dxa"/>
          </w:tblCellMar>
        </w:tblPrEx>
        <w:trPr>
          <w:trHeight w:val="312" w:hRule="atLeast"/>
          <w:jc w:val="center"/>
        </w:trPr>
        <w:tc>
          <w:tcPr>
            <w:tcW w:w="1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序号</w:t>
            </w:r>
          </w:p>
        </w:tc>
        <w:tc>
          <w:tcPr>
            <w:tcW w:w="31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设备</w:t>
            </w: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修程</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主要工作内容</w:t>
            </w:r>
          </w:p>
        </w:tc>
        <w:tc>
          <w:tcPr>
            <w:tcW w:w="67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周期</w:t>
            </w:r>
          </w:p>
        </w:tc>
      </w:tr>
      <w:tr>
        <w:tblPrEx>
          <w:tblCellMar>
            <w:top w:w="0" w:type="dxa"/>
            <w:left w:w="0" w:type="dxa"/>
            <w:bottom w:w="0" w:type="dxa"/>
            <w:right w:w="0" w:type="dxa"/>
          </w:tblCellMar>
        </w:tblPrEx>
        <w:trPr>
          <w:trHeight w:val="90"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31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地面</w:t>
            </w: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检查地砖、地板有否破损、断裂、松脱</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108"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检查盲人导向带的防滑砖有否破损残缺</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检查楼梯踏步有否缺脚、掉边</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检查踢脚线是否有松动、脱落</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检查水泥砂浆地面有否开裂、破损</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修补地砖，填补水泥砂浆地面</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调整防静电地板布置，高低</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紧固防静电地板龙骨</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成片更换地砖、地板</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更换变形的防静电地板</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其它地面装饰零星维修</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31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天花</w:t>
            </w: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检查吊顶有否破损、变形、是否平整</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检查吊顶压边条是否松脱、翘起</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检查普通喷涂天花有否脱灰、开裂</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调整铝合金扣板平整度﹑垂片的排列整齐</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修补﹑加固压边条</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修补普通喷涂顶棚</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更换变形﹑残缺的吊顶</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增加格栅吊顶的吊钩</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加固吊顶的主﹑次龙骨</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更换变形﹑破损的矿棉板</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其它吊顶零星维修</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1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墙、柱面</w:t>
            </w: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检查贴面砖墙有否脱落、残缺</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检查干挂瓷砖有否松动、残缺</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01"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检查一般喷涂墙有否起毛，脱灰，裂缝</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检查装饰柱大理石面有否断裂</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检查喷涂墙面有否残缺</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面砖的修补</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干挂石材的固定、调整</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一般喷涂墙面的补涂</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整块墙、柱面砖、石材的更换</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喷涂墙柱面的整片补涂</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其它墙柱面零星维修</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40"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31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站内不锈钢护栏，玻璃</w:t>
            </w: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检查不锈钢护栏有否松动，玻璃（钢化玻璃）有否开裂、破损、压边条是否牢固，玻璃胶是否饱满</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检查玻璃（钢化玻璃）有否开裂，破损，压边条是否牢固，玻璃胶是否饱满，螺丝是否松动</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检查门窗玻璃有否开裂、破损，玻璃胶填充是否饱满</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把没有嵌满玻璃胶的玻璃打饱满，加固松动的螺丝</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加固不锈钢护栏，员工通道门铰加油润滑</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更换破损的门、窗玻璃</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其它栏杆、玻璃零星维修</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91"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31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挡烟垂壁</w:t>
            </w: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检查检查有否开裂，破损，压边条是否牢固，胶是否饱满，螺丝是否松动</w:t>
            </w:r>
          </w:p>
        </w:tc>
        <w:tc>
          <w:tcPr>
            <w:tcW w:w="67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加固松动的挡烟垂壁</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更换破损的挡烟垂壁</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63"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w:t>
            </w:r>
          </w:p>
        </w:tc>
        <w:tc>
          <w:tcPr>
            <w:tcW w:w="31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建筑门窗</w:t>
            </w: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检查防火门的锁、闭门器、插销有否损坏、残缺。门扇有否变形、脱漆。门的合页是否虚焊、脱焊</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325"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检查普通钢门的锁，闭门器，插销有否损坏，残缺。门扇有否变形，脱漆，门的合页是否虚焊，脱焊</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修理防火门，钢板门门锁、插销、闭门器</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补焊加固虚焊，脱焊的门合页、门铰、导槽、传动部件加油润滑保养</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95"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更换不可修理的门锁、插销、闭门器</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把脱漆，生锈的门重新喷漆</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其它门窗零星维修</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624"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31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烤瓷铝板</w:t>
            </w: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检查烤瓷铝板有否松动，安装是否牢固</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检查烤瓷铝板有否变形，生锈</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对松动的烤瓷铝板进行加固</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更换变形、生锈的烤瓷铝板</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w:t>
            </w:r>
          </w:p>
        </w:tc>
        <w:tc>
          <w:tcPr>
            <w:tcW w:w="31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站内横截沟离壁沟</w:t>
            </w: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检查排水设施有否破损</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检查盖板有否盖严密，有否破损、断裂</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地下站排水沟的定期疏通清理</w:t>
            </w:r>
          </w:p>
        </w:tc>
        <w:tc>
          <w:tcPr>
            <w:tcW w:w="67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每季度</w:t>
            </w:r>
          </w:p>
        </w:tc>
      </w:tr>
      <w:tr>
        <w:tblPrEx>
          <w:tblCellMar>
            <w:top w:w="0" w:type="dxa"/>
            <w:left w:w="0" w:type="dxa"/>
            <w:bottom w:w="0" w:type="dxa"/>
            <w:right w:w="0" w:type="dxa"/>
          </w:tblCellMar>
        </w:tblPrEx>
        <w:trPr>
          <w:trHeight w:val="90"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修补破损盖板，水沟</w:t>
            </w:r>
          </w:p>
        </w:tc>
        <w:tc>
          <w:tcPr>
            <w:tcW w:w="67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w:t>
            </w:r>
          </w:p>
        </w:tc>
        <w:tc>
          <w:tcPr>
            <w:tcW w:w="31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钢护栏</w:t>
            </w: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检查钢护栏是否有松动、破损、生锈</w:t>
            </w:r>
          </w:p>
        </w:tc>
        <w:tc>
          <w:tcPr>
            <w:tcW w:w="67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对生锈的护栏进行除锈、刷漆</w:t>
            </w:r>
          </w:p>
        </w:tc>
        <w:tc>
          <w:tcPr>
            <w:tcW w:w="67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对松动的护栏进行加固</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其它钢栏杆构件零星维修</w:t>
            </w:r>
          </w:p>
        </w:tc>
        <w:tc>
          <w:tcPr>
            <w:tcW w:w="672"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w:t>
            </w:r>
          </w:p>
        </w:tc>
        <w:tc>
          <w:tcPr>
            <w:tcW w:w="315" w:type="pct"/>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卫生间</w:t>
            </w: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卫生隔断及其他相关设施设备的状态功能</w:t>
            </w:r>
          </w:p>
        </w:tc>
        <w:tc>
          <w:tcPr>
            <w:tcW w:w="67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每半月</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卫生间防水重做，墙面恢复，墙、地砖恢复，地漏的修理，更换。</w:t>
            </w:r>
          </w:p>
        </w:tc>
        <w:tc>
          <w:tcPr>
            <w:tcW w:w="672" w:type="pct"/>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000000" w:sz="4" w:space="0"/>
              <w:bottom w:val="single" w:color="auto"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000000" w:sz="4" w:space="0"/>
              <w:bottom w:val="single" w:color="auto"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卫生隔断等设施设备松动、破损进行加固、维修、更换</w:t>
            </w:r>
          </w:p>
        </w:tc>
        <w:tc>
          <w:tcPr>
            <w:tcW w:w="672" w:type="pct"/>
            <w:vMerge w:val="continue"/>
            <w:tcBorders>
              <w:left w:val="single" w:color="000000" w:sz="4" w:space="0"/>
              <w:bottom w:val="single" w:color="auto"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w:t>
            </w:r>
          </w:p>
        </w:tc>
        <w:tc>
          <w:tcPr>
            <w:tcW w:w="31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站外导向牌</w:t>
            </w:r>
          </w:p>
        </w:tc>
        <w:tc>
          <w:tcPr>
            <w:tcW w:w="312"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是否有晃动、倾斜、变形，漆面起皮、脱落、锈蚀</w:t>
            </w:r>
          </w:p>
        </w:tc>
        <w:tc>
          <w:tcPr>
            <w:tcW w:w="672"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每月</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是否有牛皮癣等污染或影响美观</w:t>
            </w:r>
          </w:p>
        </w:tc>
        <w:tc>
          <w:tcPr>
            <w:tcW w:w="672"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清理牛皮癣等污染，保持美观</w:t>
            </w:r>
          </w:p>
        </w:tc>
        <w:tc>
          <w:tcPr>
            <w:tcW w:w="672"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状态修</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进行除锈、加固</w:t>
            </w:r>
          </w:p>
        </w:tc>
        <w:tc>
          <w:tcPr>
            <w:tcW w:w="672"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w:t>
            </w:r>
          </w:p>
        </w:tc>
        <w:tc>
          <w:tcPr>
            <w:tcW w:w="31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人防门</w:t>
            </w:r>
          </w:p>
        </w:tc>
        <w:tc>
          <w:tcPr>
            <w:tcW w:w="312"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门扇、门框、密封条、闭锁机构、铰页机构性能状态和门扇安全固定装置锁在定位缓冲装置</w:t>
            </w:r>
          </w:p>
        </w:tc>
        <w:tc>
          <w:tcPr>
            <w:tcW w:w="672"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半年</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检查人防门电气监测部分完好性。</w:t>
            </w:r>
          </w:p>
        </w:tc>
        <w:tc>
          <w:tcPr>
            <w:tcW w:w="672"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门的开启、关闭、运转，铰页、闭锁的摩擦部分涂抹润滑油，润滑轴承添加机油</w:t>
            </w:r>
          </w:p>
        </w:tc>
        <w:tc>
          <w:tcPr>
            <w:tcW w:w="672"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半年</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启闭过程是否正常，零件是否有松动，表面是否有锈蚀</w:t>
            </w:r>
          </w:p>
        </w:tc>
        <w:tc>
          <w:tcPr>
            <w:tcW w:w="6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每年</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将螺栓依次松开、除锈、上油、再拧紧</w:t>
            </w:r>
          </w:p>
        </w:tc>
        <w:tc>
          <w:tcPr>
            <w:tcW w:w="6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五年</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人防门电气监测部分保养、维修。</w:t>
            </w:r>
          </w:p>
        </w:tc>
        <w:tc>
          <w:tcPr>
            <w:tcW w:w="6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w:t>
            </w:r>
          </w:p>
        </w:tc>
        <w:tc>
          <w:tcPr>
            <w:tcW w:w="31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出入口顶棚</w:t>
            </w:r>
          </w:p>
        </w:tc>
        <w:tc>
          <w:tcPr>
            <w:tcW w:w="31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检查板缝是否渗漏水，外观是否破损并及时记录、处理或报修</w:t>
            </w:r>
          </w:p>
        </w:tc>
        <w:tc>
          <w:tcPr>
            <w:tcW w:w="67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每月</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检查顶部板块有否变形、密封胶有否老化、开裂，扣件是否紧密，并及时记录、处理或提级报修</w:t>
            </w:r>
          </w:p>
        </w:tc>
        <w:tc>
          <w:tcPr>
            <w:tcW w:w="672" w:type="pct"/>
            <w:vMerge w:val="continue"/>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检查支架有否脱漆、生锈，并及时记录、处理或报修</w:t>
            </w:r>
          </w:p>
        </w:tc>
        <w:tc>
          <w:tcPr>
            <w:tcW w:w="67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处理巡检发现报修的故障、缺陷等</w:t>
            </w:r>
          </w:p>
        </w:tc>
        <w:tc>
          <w:tcPr>
            <w:tcW w:w="67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涉及安全或对服务产生重大影响的则立即组织修复</w:t>
            </w:r>
          </w:p>
        </w:tc>
        <w:tc>
          <w:tcPr>
            <w:tcW w:w="672" w:type="pct"/>
            <w:vMerge w:val="continue"/>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处理接报的各类故障，包括调度、车站及各部门申报</w:t>
            </w:r>
          </w:p>
        </w:tc>
        <w:tc>
          <w:tcPr>
            <w:tcW w:w="672" w:type="pct"/>
            <w:vMerge w:val="continue"/>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对支柱与龙骨脱漆进行除锈、补漆</w:t>
            </w:r>
          </w:p>
        </w:tc>
        <w:tc>
          <w:tcPr>
            <w:tcW w:w="672"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14</w:t>
            </w:r>
          </w:p>
        </w:tc>
        <w:tc>
          <w:tcPr>
            <w:tcW w:w="31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无源导向指示牌（不包含贴纸类）、盲道，站台座椅</w:t>
            </w:r>
          </w:p>
        </w:tc>
        <w:tc>
          <w:tcPr>
            <w:tcW w:w="31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检查指示牌（不包含贴纸类）、盲道、站台座椅是否松动、变形、破损，并及时记录、处理或报修</w:t>
            </w:r>
          </w:p>
        </w:tc>
        <w:tc>
          <w:tcPr>
            <w:tcW w:w="67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每月</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检查指示牌（不包含贴纸类）、盲道、站台座椅是否整洁、美观，并及时记录、处理或报修</w:t>
            </w:r>
          </w:p>
        </w:tc>
        <w:tc>
          <w:tcPr>
            <w:tcW w:w="672"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处理巡检发现报修的故障、缺陷等</w:t>
            </w:r>
          </w:p>
        </w:tc>
        <w:tc>
          <w:tcPr>
            <w:tcW w:w="67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涉及安全或对服务产生重大影响的则立即组织修复</w:t>
            </w:r>
          </w:p>
        </w:tc>
        <w:tc>
          <w:tcPr>
            <w:tcW w:w="672"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处理接报的各类故障，包括调度、车站及各部门申报</w:t>
            </w:r>
          </w:p>
        </w:tc>
        <w:tc>
          <w:tcPr>
            <w:tcW w:w="672"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处理指示牌、盲道、站台座椅上个各类违规张贴的小广告</w:t>
            </w:r>
          </w:p>
        </w:tc>
        <w:tc>
          <w:tcPr>
            <w:tcW w:w="672"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更换变形、破旧的指示牌</w:t>
            </w:r>
          </w:p>
        </w:tc>
        <w:tc>
          <w:tcPr>
            <w:tcW w:w="672"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restart"/>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w:t>
            </w:r>
          </w:p>
        </w:tc>
        <w:tc>
          <w:tcPr>
            <w:tcW w:w="315" w:type="pct"/>
            <w:vMerge w:val="restart"/>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钢结构</w:t>
            </w:r>
          </w:p>
        </w:tc>
        <w:tc>
          <w:tcPr>
            <w:tcW w:w="3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检查车站，主变所所属范围内的钢结构有无松动、变形、锈蚀、脱焊等，并及时记录、处理或报修</w:t>
            </w:r>
          </w:p>
        </w:tc>
        <w:tc>
          <w:tcPr>
            <w:tcW w:w="672" w:type="pct"/>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每月</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处理巡检发现报修的故障、缺陷等</w:t>
            </w:r>
          </w:p>
        </w:tc>
        <w:tc>
          <w:tcPr>
            <w:tcW w:w="672" w:type="pct"/>
            <w:vMerge w:val="restart"/>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涉及安全或对服务产生重大影响的则立即组织修复</w:t>
            </w:r>
          </w:p>
        </w:tc>
        <w:tc>
          <w:tcPr>
            <w:tcW w:w="672"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处理接报的各类故障，包括调度、车站及各部门申报</w:t>
            </w:r>
          </w:p>
        </w:tc>
        <w:tc>
          <w:tcPr>
            <w:tcW w:w="672" w:type="pct"/>
            <w:vMerge w:val="continue"/>
            <w:tcBorders>
              <w:left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312" w:hRule="atLeast"/>
          <w:jc w:val="center"/>
        </w:trPr>
        <w:tc>
          <w:tcPr>
            <w:tcW w:w="194"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5"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3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更换变形、严重锈蚀、折断的钢结构</w:t>
            </w:r>
          </w:p>
        </w:tc>
        <w:tc>
          <w:tcPr>
            <w:tcW w:w="672"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注：具体工作内容以招标人的《房建结构检修规程》及相关养修维护要求为准，招标人保留检养修周期、内容调整及质量考核的权力。</w:t>
            </w:r>
          </w:p>
        </w:tc>
      </w:tr>
    </w:tbl>
    <w:p>
      <w:pPr>
        <w:pStyle w:val="61"/>
        <w:keepNext w:val="0"/>
        <w:keepLines w:val="0"/>
        <w:pageBreakBefore w:val="0"/>
        <w:kinsoku/>
        <w:topLinePunct w:val="0"/>
        <w:bidi w:val="0"/>
        <w:spacing w:line="40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6.3.2.1.2车站、主变电所结构维保内容及周期</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781"/>
        <w:gridCol w:w="6215"/>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5000" w:type="pct"/>
            <w:gridSpan w:val="4"/>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color w:val="auto"/>
                <w:kern w:val="0"/>
                <w:sz w:val="24"/>
                <w:szCs w:val="24"/>
                <w:highlight w:val="none"/>
                <w:lang w:bidi="ar"/>
              </w:rPr>
              <w:t>车站、主变电所结构维保内容及周期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587"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设施</w:t>
            </w:r>
          </w:p>
        </w:tc>
        <w:tc>
          <w:tcPr>
            <w:tcW w:w="432"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修程</w:t>
            </w: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检修工作内容</w:t>
            </w:r>
          </w:p>
        </w:tc>
        <w:tc>
          <w:tcPr>
            <w:tcW w:w="541"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87" w:type="pct"/>
            <w:vMerge w:val="restar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车站、主变电所结构</w:t>
            </w:r>
          </w:p>
        </w:tc>
        <w:tc>
          <w:tcPr>
            <w:tcW w:w="432" w:type="pct"/>
            <w:vMerge w:val="restar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检查主体、附属结构是否有渗漏水，是否有掉块、漏筋、变形，并及时记录、处理或报修</w:t>
            </w:r>
          </w:p>
        </w:tc>
        <w:tc>
          <w:tcPr>
            <w:tcW w:w="541" w:type="pct"/>
            <w:vMerge w:val="restar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7" w:type="pct"/>
            <w:vMerge w:val="continue"/>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432"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检查施工缝、变形缝、后浇带是否有渗漏水，并及时记录、处理或报修</w:t>
            </w:r>
          </w:p>
        </w:tc>
        <w:tc>
          <w:tcPr>
            <w:tcW w:w="541"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7" w:type="pct"/>
            <w:vMerge w:val="continue"/>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432"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检查变形缝填充材料是否饱满，并及时记录、处理或报修</w:t>
            </w:r>
          </w:p>
        </w:tc>
        <w:tc>
          <w:tcPr>
            <w:tcW w:w="541"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587" w:type="pct"/>
            <w:vMerge w:val="continue"/>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432"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检查接水槽等附属物是否有松动，并及时记录、处理或报修</w:t>
            </w:r>
          </w:p>
        </w:tc>
        <w:tc>
          <w:tcPr>
            <w:tcW w:w="541"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587" w:type="pct"/>
            <w:vMerge w:val="continue"/>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432"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检查砌体结构是否有裂纹，观察发展迹象，并及时记录、处理或报修</w:t>
            </w:r>
          </w:p>
        </w:tc>
        <w:tc>
          <w:tcPr>
            <w:tcW w:w="541"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7" w:type="pct"/>
            <w:vMerge w:val="continue"/>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432" w:type="pct"/>
            <w:vMerge w:val="restar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处理巡检发现报修的故障、缺陷等</w:t>
            </w:r>
          </w:p>
        </w:tc>
        <w:tc>
          <w:tcPr>
            <w:tcW w:w="541"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7" w:type="pct"/>
            <w:vMerge w:val="continue"/>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432"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涉及安全或对服务产生重大影响的则立即组织修复</w:t>
            </w:r>
          </w:p>
        </w:tc>
        <w:tc>
          <w:tcPr>
            <w:tcW w:w="541" w:type="pct"/>
            <w:vMerge w:val="restart"/>
            <w:noWrap w:val="0"/>
            <w:vAlign w:val="center"/>
          </w:tcPr>
          <w:p>
            <w:pPr>
              <w:keepNext w:val="0"/>
              <w:keepLines w:val="0"/>
              <w:pageBreakBefore w:val="0"/>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根据设备状态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7" w:type="pct"/>
            <w:vMerge w:val="continue"/>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432"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处理接报的各类故障，包括调度、车站及各部门申报</w:t>
            </w:r>
          </w:p>
        </w:tc>
        <w:tc>
          <w:tcPr>
            <w:tcW w:w="541" w:type="pct"/>
            <w:vMerge w:val="continue"/>
            <w:noWrap w:val="0"/>
            <w:vAlign w:val="center"/>
          </w:tcPr>
          <w:p>
            <w:pPr>
              <w:keepNext w:val="0"/>
              <w:keepLines w:val="0"/>
              <w:pageBreakBefore w:val="0"/>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587" w:type="pct"/>
            <w:vMerge w:val="continue"/>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c>
          <w:tcPr>
            <w:tcW w:w="432"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439" w:type="pct"/>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根据现场实际情况，对车站结构病害进行统计，以车站为单位，综合处理渗漏水、结构加固、补强</w:t>
            </w:r>
          </w:p>
        </w:tc>
        <w:tc>
          <w:tcPr>
            <w:tcW w:w="541" w:type="pct"/>
            <w:vMerge w:val="continue"/>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5000" w:type="pct"/>
            <w:gridSpan w:val="4"/>
            <w:noWrap w:val="0"/>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注：具体工作内容以招标人的《房建结构检修规程》及相关养修维护要求为准，招标人保留检养修周期及内容调整的权力。</w:t>
            </w:r>
          </w:p>
        </w:tc>
      </w:tr>
    </w:tbl>
    <w:p>
      <w:pPr>
        <w:pStyle w:val="61"/>
        <w:keepNext w:val="0"/>
        <w:keepLines w:val="0"/>
        <w:pageBreakBefore w:val="0"/>
        <w:kinsoku/>
        <w:topLinePunct w:val="0"/>
        <w:bidi w:val="0"/>
        <w:spacing w:line="40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6.3.1.2.3隧道设施设备维保内容及周期</w:t>
      </w:r>
    </w:p>
    <w:tbl>
      <w:tblPr>
        <w:tblStyle w:val="43"/>
        <w:tblW w:w="4993" w:type="pct"/>
        <w:tblInd w:w="0" w:type="dxa"/>
        <w:tblLayout w:type="autofit"/>
        <w:tblCellMar>
          <w:top w:w="0" w:type="dxa"/>
          <w:left w:w="0" w:type="dxa"/>
          <w:bottom w:w="0" w:type="dxa"/>
          <w:right w:w="0" w:type="dxa"/>
        </w:tblCellMar>
      </w:tblPr>
      <w:tblGrid>
        <w:gridCol w:w="291"/>
        <w:gridCol w:w="539"/>
        <w:gridCol w:w="548"/>
        <w:gridCol w:w="6753"/>
        <w:gridCol w:w="701"/>
      </w:tblGrid>
      <w:tr>
        <w:tblPrEx>
          <w:tblCellMar>
            <w:top w:w="0" w:type="dxa"/>
            <w:left w:w="0" w:type="dxa"/>
            <w:bottom w:w="0" w:type="dxa"/>
            <w:right w:w="0" w:type="dxa"/>
          </w:tblCellMar>
        </w:tblPrEx>
        <w:trPr>
          <w:trHeight w:val="312" w:hRule="atLeast"/>
        </w:trPr>
        <w:tc>
          <w:tcPr>
            <w:tcW w:w="5000" w:type="pct"/>
            <w:gridSpan w:val="5"/>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tabs>
                <w:tab w:val="left" w:pos="420"/>
              </w:tabs>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b/>
                <w:color w:val="auto"/>
                <w:kern w:val="0"/>
                <w:sz w:val="24"/>
                <w:szCs w:val="24"/>
                <w:highlight w:val="none"/>
                <w:lang w:bidi="ar"/>
              </w:rPr>
              <w:t>隧道设施设备维保内容及周期</w:t>
            </w:r>
          </w:p>
        </w:tc>
      </w:tr>
      <w:tr>
        <w:tblPrEx>
          <w:tblCellMar>
            <w:top w:w="0" w:type="dxa"/>
            <w:left w:w="0" w:type="dxa"/>
            <w:bottom w:w="0" w:type="dxa"/>
            <w:right w:w="0" w:type="dxa"/>
          </w:tblCellMar>
        </w:tblPrEx>
        <w:trPr>
          <w:trHeight w:val="312" w:hRule="atLeast"/>
        </w:trPr>
        <w:tc>
          <w:tcPr>
            <w:tcW w:w="16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序号</w:t>
            </w:r>
          </w:p>
        </w:tc>
        <w:tc>
          <w:tcPr>
            <w:tcW w:w="30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设施</w:t>
            </w:r>
          </w:p>
        </w:tc>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修程</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检修工作内容</w:t>
            </w:r>
          </w:p>
        </w:tc>
        <w:tc>
          <w:tcPr>
            <w:tcW w:w="3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周期</w:t>
            </w:r>
          </w:p>
        </w:tc>
      </w:tr>
      <w:tr>
        <w:tblPrEx>
          <w:tblCellMar>
            <w:top w:w="0" w:type="dxa"/>
            <w:left w:w="0" w:type="dxa"/>
            <w:bottom w:w="0" w:type="dxa"/>
            <w:right w:w="0" w:type="dxa"/>
          </w:tblCellMar>
        </w:tblPrEx>
        <w:trPr>
          <w:trHeight w:val="90" w:hRule="atLeast"/>
        </w:trPr>
        <w:tc>
          <w:tcPr>
            <w:tcW w:w="16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30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隧道主体结构</w:t>
            </w:r>
          </w:p>
        </w:tc>
        <w:tc>
          <w:tcPr>
            <w:tcW w:w="310"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结构渗漏水、变形，混凝土开裂、剥落、掉块、露筋、压溃、起鼓现象</w:t>
            </w:r>
          </w:p>
        </w:tc>
        <w:tc>
          <w:tcPr>
            <w:tcW w:w="39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每月</w:t>
            </w: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洞口上方仰坡有无危岩、落石，洞口、洞门构造物有无开裂、倾斜、沉降</w:t>
            </w:r>
          </w:p>
        </w:tc>
        <w:tc>
          <w:tcPr>
            <w:tcW w:w="39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盾构管片错台、环纵缝张开、破损、掉块、螺栓有无脱落，螺栓孔、注浆孔填塞物有无脱落</w:t>
            </w:r>
          </w:p>
        </w:tc>
        <w:tc>
          <w:tcPr>
            <w:tcW w:w="39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钢管片等钢结构锈蚀</w:t>
            </w:r>
          </w:p>
        </w:tc>
        <w:tc>
          <w:tcPr>
            <w:tcW w:w="39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变形缝压条（接水槽）翘起、脱落，开合、压溃、错台</w:t>
            </w:r>
          </w:p>
        </w:tc>
        <w:tc>
          <w:tcPr>
            <w:tcW w:w="39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隧道内道床冲洗、排水淤塞疏通清理</w:t>
            </w:r>
          </w:p>
        </w:tc>
        <w:tc>
          <w:tcPr>
            <w:tcW w:w="3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每半年</w:t>
            </w: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隧道结构渗漏水治理</w:t>
            </w:r>
          </w:p>
        </w:tc>
        <w:tc>
          <w:tcPr>
            <w:tcW w:w="39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状态修</w:t>
            </w: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隧道结构混凝土表面修补</w:t>
            </w:r>
          </w:p>
        </w:tc>
        <w:tc>
          <w:tcPr>
            <w:tcW w:w="39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变形缝压条（接水槽）加固及其他病害处理</w:t>
            </w:r>
          </w:p>
        </w:tc>
        <w:tc>
          <w:tcPr>
            <w:tcW w:w="39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盾构管片破损、掉块修补，螺栓恢复，预留孔处理</w:t>
            </w:r>
          </w:p>
        </w:tc>
        <w:tc>
          <w:tcPr>
            <w:tcW w:w="39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隧道内钢结构等金属构件的防腐除锈、焊缝补焊、老化失效构件加固或更换</w:t>
            </w:r>
          </w:p>
        </w:tc>
        <w:tc>
          <w:tcPr>
            <w:tcW w:w="3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每年</w:t>
            </w:r>
          </w:p>
        </w:tc>
      </w:tr>
      <w:tr>
        <w:tblPrEx>
          <w:tblCellMar>
            <w:top w:w="0" w:type="dxa"/>
            <w:left w:w="0" w:type="dxa"/>
            <w:bottom w:w="0" w:type="dxa"/>
            <w:right w:w="0" w:type="dxa"/>
          </w:tblCellMar>
        </w:tblPrEx>
        <w:trPr>
          <w:trHeight w:val="90" w:hRule="atLeast"/>
        </w:trPr>
        <w:tc>
          <w:tcPr>
            <w:tcW w:w="16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30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隧道排水设施</w:t>
            </w:r>
          </w:p>
        </w:tc>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排水沟等设施淤积、堵塞、滞水、开裂、破损等现象</w:t>
            </w:r>
          </w:p>
        </w:tc>
        <w:tc>
          <w:tcPr>
            <w:tcW w:w="3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每月</w:t>
            </w: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排水沟等设施清淤和垃圾清理</w:t>
            </w:r>
          </w:p>
        </w:tc>
        <w:tc>
          <w:tcPr>
            <w:tcW w:w="39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状态修</w:t>
            </w: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排水沟开裂破损、滞水等结构缺陷治理</w:t>
            </w:r>
          </w:p>
        </w:tc>
        <w:tc>
          <w:tcPr>
            <w:tcW w:w="39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30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隧道内疏散平台</w:t>
            </w:r>
          </w:p>
        </w:tc>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疏散平台板松动、翘起、凹陷、缺失，护栏松动、摇晃，钢结构锈蚀等情况</w:t>
            </w:r>
          </w:p>
        </w:tc>
        <w:tc>
          <w:tcPr>
            <w:tcW w:w="3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每月</w:t>
            </w: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对疏散平台松动、翘起、凹陷、缺失的平台板、护栏进行紧固、维修与更换</w:t>
            </w:r>
          </w:p>
        </w:tc>
        <w:tc>
          <w:tcPr>
            <w:tcW w:w="3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状态修</w:t>
            </w: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疏散平台金属构件的防腐除锈、焊缝补焊、老化失效构件加固或更换</w:t>
            </w:r>
          </w:p>
        </w:tc>
        <w:tc>
          <w:tcPr>
            <w:tcW w:w="3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每年</w:t>
            </w:r>
          </w:p>
        </w:tc>
      </w:tr>
      <w:tr>
        <w:tblPrEx>
          <w:tblCellMar>
            <w:top w:w="0" w:type="dxa"/>
            <w:left w:w="0" w:type="dxa"/>
            <w:bottom w:w="0" w:type="dxa"/>
            <w:right w:w="0" w:type="dxa"/>
          </w:tblCellMar>
        </w:tblPrEx>
        <w:trPr>
          <w:trHeight w:val="90" w:hRule="atLeast"/>
        </w:trPr>
        <w:tc>
          <w:tcPr>
            <w:tcW w:w="16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30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隧道内人防门、联络通道防火门等建构物</w:t>
            </w:r>
          </w:p>
        </w:tc>
        <w:tc>
          <w:tcPr>
            <w:tcW w:w="310" w:type="pct"/>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联络通道防火门门框固定、门体变形，铰链、锁具、闭门器状态，开启关闭状态</w:t>
            </w:r>
          </w:p>
        </w:tc>
        <w:tc>
          <w:tcPr>
            <w:tcW w:w="395" w:type="pct"/>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每月</w:t>
            </w: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地铁区间防护密闭隔断门平常开启到位，门扇安全固定装置锁定到位，铁链锁紧到位情况</w:t>
            </w:r>
          </w:p>
        </w:tc>
        <w:tc>
          <w:tcPr>
            <w:tcW w:w="395" w:type="pct"/>
            <w:vMerge w:val="continue"/>
            <w:tcBorders>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包含人防门电气监测部分完好性。</w:t>
            </w:r>
          </w:p>
        </w:tc>
        <w:tc>
          <w:tcPr>
            <w:tcW w:w="395" w:type="pct"/>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保养</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对人防门、联络通道防火门松动的门框、门体进行加固或更换</w:t>
            </w:r>
          </w:p>
        </w:tc>
        <w:tc>
          <w:tcPr>
            <w:tcW w:w="395"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状态修</w:t>
            </w:r>
          </w:p>
        </w:tc>
      </w:tr>
      <w:tr>
        <w:tblPrEx>
          <w:tblCellMar>
            <w:top w:w="0" w:type="dxa"/>
            <w:left w:w="0" w:type="dxa"/>
            <w:bottom w:w="0" w:type="dxa"/>
            <w:right w:w="0" w:type="dxa"/>
          </w:tblCellMar>
        </w:tblPrEx>
        <w:trPr>
          <w:trHeight w:val="90"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联络通道内杂物清理</w:t>
            </w:r>
          </w:p>
        </w:tc>
        <w:tc>
          <w:tcPr>
            <w:tcW w:w="39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567"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维修</w:t>
            </w: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对人防门、联络通道防火门门框、门体及配件进行普查整修</w:t>
            </w:r>
          </w:p>
        </w:tc>
        <w:tc>
          <w:tcPr>
            <w:tcW w:w="3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每年</w:t>
            </w:r>
          </w:p>
        </w:tc>
      </w:tr>
      <w:tr>
        <w:tblPrEx>
          <w:tblCellMar>
            <w:top w:w="0" w:type="dxa"/>
            <w:left w:w="0" w:type="dxa"/>
            <w:bottom w:w="0" w:type="dxa"/>
            <w:right w:w="0" w:type="dxa"/>
          </w:tblCellMar>
        </w:tblPrEx>
        <w:trPr>
          <w:trHeight w:val="567" w:hRule="atLeast"/>
        </w:trPr>
        <w:tc>
          <w:tcPr>
            <w:tcW w:w="16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10" w:type="pct"/>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382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包含人防门电气监测部分保养、维修。</w:t>
            </w:r>
          </w:p>
        </w:tc>
        <w:tc>
          <w:tcPr>
            <w:tcW w:w="3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状态修</w:t>
            </w:r>
          </w:p>
        </w:tc>
      </w:tr>
      <w:tr>
        <w:tblPrEx>
          <w:tblCellMar>
            <w:top w:w="0" w:type="dxa"/>
            <w:left w:w="0" w:type="dxa"/>
            <w:bottom w:w="0" w:type="dxa"/>
            <w:right w:w="0" w:type="dxa"/>
          </w:tblCellMar>
        </w:tblPrEx>
        <w:trPr>
          <w:trHeight w:val="9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注：具体工作内容以招标人的《房建结构检修规程》及相关养修维护要求为准，招标人保留检养修周期及内容调整的权力。</w:t>
            </w:r>
          </w:p>
        </w:tc>
      </w:tr>
    </w:tbl>
    <w:p>
      <w:pPr>
        <w:pStyle w:val="61"/>
        <w:keepNext w:val="0"/>
        <w:keepLines w:val="0"/>
        <w:pageBreakBefore w:val="0"/>
        <w:kinsoku/>
        <w:topLinePunct w:val="0"/>
        <w:bidi w:val="0"/>
        <w:spacing w:line="40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6.3.1.2.4房建结构设施设备特殊天气下应急检查</w:t>
      </w:r>
    </w:p>
    <w:tbl>
      <w:tblPr>
        <w:tblStyle w:val="43"/>
        <w:tblW w:w="5000" w:type="pct"/>
        <w:tblInd w:w="0" w:type="dxa"/>
        <w:tblLayout w:type="autofit"/>
        <w:tblCellMar>
          <w:top w:w="0" w:type="dxa"/>
          <w:left w:w="0" w:type="dxa"/>
          <w:bottom w:w="0" w:type="dxa"/>
          <w:right w:w="0" w:type="dxa"/>
        </w:tblCellMar>
      </w:tblPr>
      <w:tblGrid>
        <w:gridCol w:w="1201"/>
        <w:gridCol w:w="3173"/>
        <w:gridCol w:w="2262"/>
        <w:gridCol w:w="2208"/>
      </w:tblGrid>
      <w:tr>
        <w:tblPrEx>
          <w:tblCellMar>
            <w:top w:w="0" w:type="dxa"/>
            <w:left w:w="0" w:type="dxa"/>
            <w:bottom w:w="0" w:type="dxa"/>
            <w:right w:w="0" w:type="dxa"/>
          </w:tblCellMar>
        </w:tblPrEx>
        <w:trPr>
          <w:trHeight w:val="320" w:hRule="atLeast"/>
        </w:trPr>
        <w:tc>
          <w:tcPr>
            <w:tcW w:w="5000" w:type="pct"/>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tabs>
                <w:tab w:val="left" w:pos="420"/>
              </w:tabs>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b/>
                <w:color w:val="auto"/>
                <w:kern w:val="0"/>
                <w:sz w:val="24"/>
                <w:szCs w:val="24"/>
                <w:highlight w:val="none"/>
                <w:lang w:bidi="ar"/>
              </w:rPr>
              <w:t>房建结构设施设备特殊天气下应急检查</w:t>
            </w:r>
          </w:p>
        </w:tc>
      </w:tr>
      <w:tr>
        <w:tblPrEx>
          <w:tblCellMar>
            <w:top w:w="0" w:type="dxa"/>
            <w:left w:w="0" w:type="dxa"/>
            <w:bottom w:w="0" w:type="dxa"/>
            <w:right w:w="0" w:type="dxa"/>
          </w:tblCellMar>
        </w:tblPrEx>
        <w:trPr>
          <w:trHeight w:val="312" w:hRule="atLeast"/>
        </w:trPr>
        <w:tc>
          <w:tcPr>
            <w:tcW w:w="6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灾害项目</w:t>
            </w:r>
          </w:p>
        </w:tc>
        <w:tc>
          <w:tcPr>
            <w:tcW w:w="17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检查部位</w:t>
            </w:r>
          </w:p>
        </w:tc>
        <w:tc>
          <w:tcPr>
            <w:tcW w:w="12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检查项目</w:t>
            </w:r>
          </w:p>
        </w:tc>
        <w:tc>
          <w:tcPr>
            <w:tcW w:w="124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检查周期</w:t>
            </w:r>
          </w:p>
        </w:tc>
      </w:tr>
      <w:tr>
        <w:tblPrEx>
          <w:tblCellMar>
            <w:top w:w="0" w:type="dxa"/>
            <w:left w:w="0" w:type="dxa"/>
            <w:bottom w:w="0" w:type="dxa"/>
            <w:right w:w="0" w:type="dxa"/>
          </w:tblCellMar>
        </w:tblPrEx>
        <w:trPr>
          <w:trHeight w:val="90" w:hRule="atLeast"/>
        </w:trPr>
        <w:tc>
          <w:tcPr>
            <w:tcW w:w="6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火灾</w:t>
            </w:r>
          </w:p>
        </w:tc>
        <w:tc>
          <w:tcPr>
            <w:tcW w:w="17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火灾范围所有构件</w:t>
            </w:r>
          </w:p>
        </w:tc>
        <w:tc>
          <w:tcPr>
            <w:tcW w:w="12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全面检查</w:t>
            </w:r>
          </w:p>
        </w:tc>
        <w:tc>
          <w:tcPr>
            <w:tcW w:w="124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之后检查</w:t>
            </w:r>
          </w:p>
        </w:tc>
      </w:tr>
      <w:tr>
        <w:tblPrEx>
          <w:tblCellMar>
            <w:top w:w="0" w:type="dxa"/>
            <w:left w:w="0" w:type="dxa"/>
            <w:bottom w:w="0" w:type="dxa"/>
            <w:right w:w="0" w:type="dxa"/>
          </w:tblCellMar>
        </w:tblPrEx>
        <w:trPr>
          <w:trHeight w:val="90" w:hRule="atLeast"/>
        </w:trPr>
        <w:tc>
          <w:tcPr>
            <w:tcW w:w="679" w:type="pct"/>
            <w:tcBorders>
              <w:top w:val="single" w:color="000000" w:sz="4" w:space="0"/>
              <w:left w:val="single" w:color="000000" w:sz="4" w:space="0"/>
              <w:bottom w:val="nil"/>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暴雨</w:t>
            </w:r>
          </w:p>
        </w:tc>
        <w:tc>
          <w:tcPr>
            <w:tcW w:w="17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车站、隧道</w:t>
            </w:r>
          </w:p>
        </w:tc>
        <w:tc>
          <w:tcPr>
            <w:tcW w:w="12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防排水系统</w:t>
            </w:r>
          </w:p>
        </w:tc>
        <w:tc>
          <w:tcPr>
            <w:tcW w:w="124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之前检查、过程盯控、之后检查</w:t>
            </w:r>
          </w:p>
        </w:tc>
      </w:tr>
      <w:tr>
        <w:tblPrEx>
          <w:tblCellMar>
            <w:top w:w="0" w:type="dxa"/>
            <w:left w:w="0" w:type="dxa"/>
            <w:bottom w:w="0" w:type="dxa"/>
            <w:right w:w="0" w:type="dxa"/>
          </w:tblCellMar>
        </w:tblPrEx>
        <w:trPr>
          <w:trHeight w:val="90" w:hRule="atLeast"/>
        </w:trPr>
        <w:tc>
          <w:tcPr>
            <w:tcW w:w="6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地震</w:t>
            </w:r>
          </w:p>
        </w:tc>
        <w:tc>
          <w:tcPr>
            <w:tcW w:w="17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承重结构和维护结构</w:t>
            </w:r>
          </w:p>
        </w:tc>
        <w:tc>
          <w:tcPr>
            <w:tcW w:w="12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沉降、变形、倒塌、失稳</w:t>
            </w:r>
          </w:p>
        </w:tc>
        <w:tc>
          <w:tcPr>
            <w:tcW w:w="124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震后检查</w:t>
            </w:r>
          </w:p>
        </w:tc>
      </w:tr>
      <w:tr>
        <w:tblPrEx>
          <w:tblCellMar>
            <w:top w:w="0" w:type="dxa"/>
            <w:left w:w="0" w:type="dxa"/>
            <w:bottom w:w="0" w:type="dxa"/>
            <w:right w:w="0" w:type="dxa"/>
          </w:tblCellMar>
        </w:tblPrEx>
        <w:trPr>
          <w:trHeight w:val="90" w:hRule="atLeast"/>
        </w:trPr>
        <w:tc>
          <w:tcPr>
            <w:tcW w:w="5000" w:type="pct"/>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注：具体工作内容以招标人的《房建结构检修规程》及相关养修维护要求为准，招标人保留检养修周期及内容调整的权力。</w:t>
            </w:r>
          </w:p>
        </w:tc>
      </w:tr>
    </w:tbl>
    <w:p>
      <w:pPr>
        <w:pStyle w:val="61"/>
        <w:keepNext w:val="0"/>
        <w:keepLines w:val="0"/>
        <w:pageBreakBefore w:val="0"/>
        <w:kinsoku/>
        <w:topLinePunct w:val="0"/>
        <w:bidi w:val="0"/>
        <w:spacing w:line="40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6.3.1.2.5其他说明</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（1）除规程中周期性巡查项目外还应包含特殊情况下的加密巡查与清理维护，如台风汛期防台防洪防涝重点巡查等；</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（2）达到房建结构系统设备设施大修所设定要求的维修项目内容不在本项目需求内。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（3）本项目需求针对已有的建筑相关配件及装饰装修部分进行养护与维修，如有新增或改造超出框架条目限定部分不在本项目范围内。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（4）站外地铁红线以内建筑及围护设施设备缺失和损坏的修复属于维保范围。</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（5）维保内容亦包括因工作或应急需要进行的相关配合作业。</w:t>
      </w:r>
    </w:p>
    <w:p>
      <w:pPr>
        <w:pStyle w:val="61"/>
        <w:keepNext w:val="0"/>
        <w:keepLines w:val="0"/>
        <w:pageBreakBefore w:val="0"/>
        <w:kinsoku/>
        <w:topLinePunct w:val="0"/>
        <w:bidi w:val="0"/>
        <w:spacing w:line="400" w:lineRule="exact"/>
        <w:ind w:firstLine="482"/>
        <w:outlineLvl w:val="3"/>
        <w:rPr>
          <w:rFonts w:hint="eastAsia" w:ascii="宋体" w:hAnsi="宋体" w:eastAsia="宋体" w:cs="宋体"/>
          <w:b/>
          <w:bCs/>
          <w:color w:val="auto"/>
          <w:sz w:val="24"/>
          <w:szCs w:val="24"/>
          <w:highlight w:val="none"/>
        </w:rPr>
      </w:pPr>
      <w:bookmarkStart w:id="402" w:name="_Toc17076"/>
      <w:bookmarkStart w:id="403" w:name="_Toc32163"/>
      <w:bookmarkStart w:id="404" w:name="_Toc22270"/>
      <w:bookmarkStart w:id="405" w:name="_Toc18400"/>
      <w:bookmarkStart w:id="406" w:name="_Toc1098667826"/>
      <w:bookmarkStart w:id="407" w:name="_Toc708275992"/>
      <w:bookmarkStart w:id="408" w:name="_Toc1841522455"/>
      <w:r>
        <w:rPr>
          <w:rFonts w:hint="eastAsia" w:ascii="宋体" w:hAnsi="宋体" w:eastAsia="宋体" w:cs="宋体"/>
          <w:b/>
          <w:bCs/>
          <w:color w:val="auto"/>
          <w:sz w:val="24"/>
          <w:szCs w:val="24"/>
          <w:highlight w:val="none"/>
        </w:rPr>
        <w:t>6.3.2</w:t>
      </w:r>
      <w:bookmarkEnd w:id="402"/>
      <w:bookmarkEnd w:id="403"/>
      <w:bookmarkEnd w:id="404"/>
      <w:bookmarkEnd w:id="405"/>
      <w:r>
        <w:rPr>
          <w:rFonts w:hint="eastAsia" w:ascii="宋体" w:hAnsi="宋体" w:eastAsia="宋体" w:cs="宋体"/>
          <w:b/>
          <w:bCs/>
          <w:color w:val="auto"/>
          <w:sz w:val="24"/>
          <w:szCs w:val="24"/>
          <w:highlight w:val="none"/>
        </w:rPr>
        <w:t>零星工程</w:t>
      </w:r>
      <w:bookmarkEnd w:id="406"/>
      <w:bookmarkEnd w:id="407"/>
      <w:bookmarkEnd w:id="408"/>
    </w:p>
    <w:p>
      <w:pPr>
        <w:pStyle w:val="61"/>
        <w:keepNext w:val="0"/>
        <w:keepLines w:val="0"/>
        <w:pageBreakBefore w:val="0"/>
        <w:kinsoku/>
        <w:topLinePunct w:val="0"/>
        <w:bidi w:val="0"/>
        <w:spacing w:line="400" w:lineRule="exact"/>
        <w:ind w:firstLine="480"/>
        <w:rPr>
          <w:rFonts w:hint="eastAsia" w:ascii="宋体" w:hAnsi="宋体" w:eastAsia="宋体" w:cs="宋体"/>
          <w:color w:val="auto"/>
          <w:sz w:val="24"/>
          <w:szCs w:val="24"/>
          <w:highlight w:val="none"/>
        </w:rPr>
      </w:pPr>
      <w:bookmarkStart w:id="409" w:name="_Toc420339912"/>
      <w:bookmarkStart w:id="410" w:name="_Toc494750049"/>
      <w:r>
        <w:rPr>
          <w:rFonts w:hint="eastAsia" w:ascii="宋体" w:hAnsi="宋体" w:eastAsia="宋体" w:cs="宋体"/>
          <w:color w:val="auto"/>
          <w:sz w:val="24"/>
          <w:szCs w:val="24"/>
          <w:highlight w:val="none"/>
        </w:rPr>
        <w:t>6.3.2.1零星工程详见</w:t>
      </w:r>
      <w:r>
        <w:rPr>
          <w:rFonts w:hint="eastAsia" w:ascii="宋体" w:hAnsi="宋体" w:eastAsia="宋体" w:cs="宋体"/>
          <w:b/>
          <w:bCs/>
          <w:color w:val="auto"/>
          <w:sz w:val="24"/>
          <w:szCs w:val="24"/>
          <w:highlight w:val="none"/>
        </w:rPr>
        <w:t>6.2.2</w:t>
      </w:r>
      <w:bookmarkEnd w:id="409"/>
      <w:bookmarkEnd w:id="410"/>
      <w:r>
        <w:rPr>
          <w:rFonts w:hint="eastAsia" w:ascii="宋体" w:hAnsi="宋体" w:eastAsia="宋体" w:cs="宋体"/>
          <w:color w:val="auto"/>
          <w:sz w:val="24"/>
          <w:szCs w:val="24"/>
          <w:highlight w:val="none"/>
        </w:rPr>
        <w:t>。</w:t>
      </w:r>
    </w:p>
    <w:p>
      <w:pPr>
        <w:pStyle w:val="61"/>
        <w:keepNext w:val="0"/>
        <w:keepLines w:val="0"/>
        <w:pageBreakBefore w:val="0"/>
        <w:kinsoku/>
        <w:topLinePunct w:val="0"/>
        <w:bidi w:val="0"/>
        <w:spacing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6.3.2.2 单项零星工程包含一年质保期暂扣相应质保金，质保期从此份合同结束开始起算。</w:t>
      </w:r>
    </w:p>
    <w:p>
      <w:pPr>
        <w:keepNext w:val="0"/>
        <w:keepLines w:val="0"/>
        <w:pageBreakBefore w:val="0"/>
        <w:kinsoku/>
        <w:topLinePunct w:val="0"/>
        <w:bidi w:val="0"/>
        <w:spacing w:before="156" w:beforeLines="50" w:after="156" w:afterLines="50" w:line="400" w:lineRule="exact"/>
        <w:outlineLvl w:val="1"/>
        <w:rPr>
          <w:rFonts w:hint="eastAsia" w:ascii="宋体" w:hAnsi="宋体" w:eastAsia="宋体" w:cs="宋体"/>
          <w:color w:val="auto"/>
          <w:sz w:val="24"/>
          <w:szCs w:val="24"/>
          <w:highlight w:val="none"/>
        </w:rPr>
      </w:pPr>
      <w:bookmarkStart w:id="411" w:name="_Toc900638544"/>
      <w:bookmarkStart w:id="412" w:name="_Toc1137083388"/>
      <w:bookmarkStart w:id="413" w:name="_Toc762868165"/>
      <w:bookmarkStart w:id="414" w:name="_Toc131471603"/>
      <w:bookmarkStart w:id="415" w:name="_Toc144618756"/>
      <w:bookmarkStart w:id="416" w:name="_Toc206401922"/>
      <w:r>
        <w:rPr>
          <w:rFonts w:hint="eastAsia" w:ascii="宋体" w:hAnsi="宋体" w:eastAsia="宋体" w:cs="宋体"/>
          <w:b/>
          <w:bCs/>
          <w:color w:val="auto"/>
          <w:sz w:val="24"/>
          <w:szCs w:val="24"/>
          <w:highlight w:val="none"/>
        </w:rPr>
        <w:t>七、规范及技术标准</w:t>
      </w:r>
      <w:bookmarkEnd w:id="411"/>
      <w:bookmarkEnd w:id="412"/>
      <w:bookmarkEnd w:id="413"/>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投标人须遵守相关法律法规、技术规范及管理制度，包括但不限于：</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《城市轨道交通技术规范》（GB50490-2009）</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《地铁设计规范》（GB50157-2013）</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《混凝土结构设计规范》（GB50010-2018）</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《钢结构焊接规范》（GB50661-2011）</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《盾构法隧道施工与验收规范》（GB50446-2017）</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《混凝土结构加固设计规范》（GB50367-2013）</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《地下工程防水技术规范》（GB50108-2008）</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《混凝土结构工程施工质量验收规范》（GB50204-2015）</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《钢结构工程施工质量验收规范》（GB50205-2017）</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《地下工程防水质量验收规范》（GB50208-2011）</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《城市轨道交通结构安全保护技术规范》(CJJ/T 202-2013)</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《地下工程渗漏治理技术规程》（JGJ/T212-2010）</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《注浆技术规程》（YSJ 211-2018）</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《混凝土结构耐久性设计规范》GB/T50476-2019）</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《混凝土裂缝用环氧树脂灌浆材料》（JC/T1041-2007）</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《城市轨道交通工程监测技术规范》（GB 50911-2013）</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《工业建筑防腐蚀设计规范》（GB50046-2018）</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《建筑内部装修设计防火规范》（GB50222-2017）</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《建筑装饰装修工程质量验收规范》（GB50210-2018）</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《天然石材放射性防护分类控制标准》（JC518-93）</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《屋面工程技术规范》（GB50345-2012）</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《无障碍设计规范》（</w:t>
      </w:r>
      <w:r>
        <w:rPr>
          <w:rFonts w:hint="eastAsia" w:ascii="宋体" w:hAnsi="宋体" w:eastAsia="宋体" w:cs="宋体"/>
          <w:color w:val="auto"/>
          <w:sz w:val="24"/>
          <w:szCs w:val="24"/>
          <w:highlight w:val="none"/>
        </w:rPr>
        <w:t>GB</w:t>
      </w:r>
      <w:r>
        <w:rPr>
          <w:rFonts w:hint="eastAsia" w:ascii="宋体" w:hAnsi="宋体" w:eastAsia="宋体" w:cs="宋体"/>
          <w:color w:val="auto"/>
          <w:sz w:val="24"/>
          <w:szCs w:val="24"/>
          <w:highlight w:val="none"/>
          <w:lang w:val="zh-CN"/>
        </w:rPr>
        <w:t>50763-2012）</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《建筑工程施工质量验收统一标准》（GB50300-2013）</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《室内装饰装修材料内墙涂料中有害物质限量》（GB18582-2008）</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《建筑玻璃应用技术规程》（JGJ113-2015）</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《民用建筑工程室内环境污染控制规范》（</w:t>
      </w:r>
      <w:r>
        <w:rPr>
          <w:rFonts w:hint="eastAsia" w:ascii="宋体" w:hAnsi="宋体" w:eastAsia="宋体" w:cs="宋体"/>
          <w:color w:val="auto"/>
          <w:sz w:val="24"/>
          <w:szCs w:val="24"/>
          <w:highlight w:val="none"/>
        </w:rPr>
        <w:t>GB</w:t>
      </w:r>
      <w:r>
        <w:rPr>
          <w:rFonts w:hint="eastAsia" w:ascii="宋体" w:hAnsi="宋体" w:eastAsia="宋体" w:cs="宋体"/>
          <w:color w:val="auto"/>
          <w:sz w:val="24"/>
          <w:szCs w:val="24"/>
          <w:highlight w:val="none"/>
          <w:lang w:val="zh-CN"/>
        </w:rPr>
        <w:t>50325-2010）</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工程测量规范</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GB50026-2007</w:t>
      </w:r>
      <w:r>
        <w:rPr>
          <w:rFonts w:hint="eastAsia" w:ascii="宋体" w:hAnsi="宋体" w:eastAsia="宋体" w:cs="宋体"/>
          <w:color w:val="auto"/>
          <w:sz w:val="24"/>
          <w:szCs w:val="24"/>
          <w:highlight w:val="none"/>
          <w:lang w:val="zh-CN"/>
        </w:rPr>
        <w:t>）</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钢结构用扭剪型高强度螺栓连接副</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GB/T3632-2008</w:t>
      </w:r>
      <w:r>
        <w:rPr>
          <w:rFonts w:hint="eastAsia" w:ascii="宋体" w:hAnsi="宋体" w:eastAsia="宋体" w:cs="宋体"/>
          <w:color w:val="auto"/>
          <w:sz w:val="24"/>
          <w:szCs w:val="24"/>
          <w:highlight w:val="none"/>
          <w:lang w:val="zh-CN"/>
        </w:rPr>
        <w:t>）</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其它相关规范、规程及招标人相关的安全规则、维修规则、应急预案和施工（检修）管理制度等。</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非另有规定，本投标维保项目应按中国技术规范和标准设计及施工（检修）。工程施工（检修）的规范和标准包括以下内容但不限于此如遇遗漏所需项目实施的工程规范，应征得招标人同意，补充规范以满足合同要求。原则上没有国家标准、规范的，适用行业标准、规范；没有行业标准、规范的，适用工程所在地地方标准、规范；国内没有相应标准、规范的，由招标人向投标人提出施工（检修）技术要求，投标人提出施工（检修）工艺，经招标人批准后执行。</w:t>
      </w:r>
    </w:p>
    <w:bookmarkEnd w:id="414"/>
    <w:bookmarkEnd w:id="415"/>
    <w:bookmarkEnd w:id="416"/>
    <w:p>
      <w:pPr>
        <w:pStyle w:val="61"/>
        <w:keepNext w:val="0"/>
        <w:keepLines w:val="0"/>
        <w:pageBreakBefore w:val="0"/>
        <w:kinsoku/>
        <w:topLinePunct w:val="0"/>
        <w:bidi w:val="0"/>
        <w:spacing w:line="400" w:lineRule="exact"/>
        <w:ind w:firstLine="480"/>
        <w:rPr>
          <w:rFonts w:hint="eastAsia" w:ascii="宋体" w:hAnsi="宋体" w:eastAsia="宋体" w:cs="宋体"/>
          <w:color w:val="auto"/>
          <w:sz w:val="24"/>
          <w:szCs w:val="24"/>
          <w:highlight w:val="none"/>
        </w:rPr>
      </w:pPr>
    </w:p>
    <w:p>
      <w:pPr>
        <w:rPr>
          <w:rFonts w:hint="eastAsia" w:hAnsi="宋体" w:cs="宋体"/>
          <w:b/>
          <w:bCs/>
          <w:color w:val="auto"/>
          <w:kern w:val="44"/>
          <w:sz w:val="24"/>
          <w:szCs w:val="24"/>
          <w:highlight w:val="none"/>
          <w:lang w:val="en-US" w:eastAsia="zh-CN"/>
        </w:rPr>
      </w:pPr>
      <w:bookmarkStart w:id="417" w:name="_Toc31133"/>
      <w:r>
        <w:rPr>
          <w:rFonts w:hint="eastAsia" w:hAnsi="宋体" w:cs="宋体"/>
          <w:b/>
          <w:bCs/>
          <w:color w:val="auto"/>
          <w:kern w:val="44"/>
          <w:sz w:val="24"/>
          <w:szCs w:val="24"/>
          <w:highlight w:val="none"/>
          <w:lang w:val="en-US" w:eastAsia="zh-CN"/>
        </w:rPr>
        <w:br w:type="page"/>
      </w:r>
    </w:p>
    <w:p>
      <w:pPr>
        <w:pStyle w:val="152"/>
        <w:keepNext w:val="0"/>
        <w:keepLines w:val="0"/>
        <w:pageBreakBefore w:val="0"/>
        <w:numPr>
          <w:ilvl w:val="0"/>
          <w:numId w:val="0"/>
        </w:numPr>
        <w:tabs>
          <w:tab w:val="center" w:pos="4201"/>
          <w:tab w:val="right" w:leader="dot" w:pos="9298"/>
        </w:tabs>
        <w:kinsoku/>
        <w:topLinePunct w:val="0"/>
        <w:bidi w:val="0"/>
        <w:spacing w:line="400" w:lineRule="exact"/>
        <w:outlineLvl w:val="1"/>
        <w:rPr>
          <w:rFonts w:hint="eastAsia" w:ascii="宋体" w:hAnsi="宋体" w:eastAsia="宋体" w:cs="宋体"/>
          <w:b/>
          <w:bCs/>
          <w:color w:val="auto"/>
          <w:kern w:val="44"/>
          <w:sz w:val="24"/>
          <w:szCs w:val="24"/>
          <w:highlight w:val="none"/>
        </w:rPr>
      </w:pPr>
      <w:r>
        <w:rPr>
          <w:rFonts w:hint="eastAsia" w:hAnsi="宋体" w:cs="宋体"/>
          <w:b/>
          <w:bCs/>
          <w:color w:val="auto"/>
          <w:kern w:val="44"/>
          <w:sz w:val="24"/>
          <w:szCs w:val="24"/>
          <w:highlight w:val="none"/>
          <w:lang w:val="en-US" w:eastAsia="zh-CN"/>
        </w:rPr>
        <w:t>八、</w:t>
      </w:r>
      <w:bookmarkStart w:id="418" w:name="_Toc2084636591"/>
      <w:bookmarkStart w:id="419" w:name="_Toc83572955"/>
      <w:bookmarkStart w:id="420" w:name="_Toc141473412"/>
      <w:r>
        <w:rPr>
          <w:rFonts w:hint="eastAsia" w:ascii="宋体" w:hAnsi="宋体" w:eastAsia="宋体" w:cs="宋体"/>
          <w:b/>
          <w:bCs/>
          <w:color w:val="auto"/>
          <w:kern w:val="44"/>
          <w:sz w:val="24"/>
          <w:szCs w:val="24"/>
          <w:highlight w:val="none"/>
        </w:rPr>
        <w:t>附</w:t>
      </w:r>
      <w:bookmarkEnd w:id="417"/>
      <w:r>
        <w:rPr>
          <w:rFonts w:hint="eastAsia" w:ascii="宋体" w:hAnsi="宋体" w:eastAsia="宋体" w:cs="宋体"/>
          <w:b/>
          <w:bCs/>
          <w:color w:val="auto"/>
          <w:kern w:val="44"/>
          <w:sz w:val="24"/>
          <w:szCs w:val="24"/>
          <w:highlight w:val="none"/>
        </w:rPr>
        <w:t>录</w:t>
      </w:r>
      <w:bookmarkEnd w:id="418"/>
      <w:bookmarkEnd w:id="419"/>
    </w:p>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rPr>
      </w:pPr>
      <w:bookmarkStart w:id="421" w:name="_Toc1766374859"/>
      <w:r>
        <w:rPr>
          <w:rFonts w:hint="eastAsia" w:ascii="宋体" w:hAnsi="宋体" w:eastAsia="宋体" w:cs="宋体"/>
          <w:b/>
          <w:bCs/>
          <w:color w:val="auto"/>
          <w:kern w:val="44"/>
          <w:sz w:val="24"/>
          <w:szCs w:val="24"/>
          <w:highlight w:val="none"/>
        </w:rPr>
        <w:t>附录1</w:t>
      </w:r>
      <w:bookmarkEnd w:id="420"/>
      <w:bookmarkEnd w:id="421"/>
    </w:p>
    <w:p>
      <w:pPr>
        <w:pStyle w:val="20"/>
        <w:keepNext w:val="0"/>
        <w:keepLines w:val="0"/>
        <w:pageBreakBefore w:val="0"/>
        <w:tabs>
          <w:tab w:val="left" w:pos="5953"/>
        </w:tabs>
        <w:kinsoku/>
        <w:topLinePunct w:val="0"/>
        <w:bidi w:val="0"/>
        <w:spacing w:after="0" w:line="400"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维保内容接口界面</w:t>
      </w:r>
    </w:p>
    <w:tbl>
      <w:tblPr>
        <w:tblStyle w:val="43"/>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06"/>
        <w:gridCol w:w="1134"/>
        <w:gridCol w:w="1771"/>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0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20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1134"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单位1</w:t>
            </w:r>
          </w:p>
        </w:tc>
        <w:tc>
          <w:tcPr>
            <w:tcW w:w="177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工作内容</w:t>
            </w:r>
          </w:p>
        </w:tc>
        <w:tc>
          <w:tcPr>
            <w:tcW w:w="127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单位2</w:t>
            </w:r>
          </w:p>
        </w:tc>
        <w:tc>
          <w:tcPr>
            <w:tcW w:w="212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w:t>
            </w:r>
          </w:p>
        </w:tc>
        <w:tc>
          <w:tcPr>
            <w:tcW w:w="120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卫生间</w:t>
            </w:r>
          </w:p>
        </w:tc>
        <w:tc>
          <w:tcPr>
            <w:tcW w:w="1134"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房建结构专业</w:t>
            </w:r>
          </w:p>
        </w:tc>
        <w:tc>
          <w:tcPr>
            <w:tcW w:w="177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负责卫生间内天花、吊顶、隔断、墙面、地面及磁砖、大理石台面、镜子、门、锁等建构筑物的维修。</w:t>
            </w:r>
          </w:p>
        </w:tc>
        <w:tc>
          <w:tcPr>
            <w:tcW w:w="127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机电专业</w:t>
            </w:r>
          </w:p>
        </w:tc>
        <w:tc>
          <w:tcPr>
            <w:tcW w:w="212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机电负责卫生间内上下水管路、洁具的维修及由此导致的磁砖、墙面的破坏和恢复。机自负责卫生间内洁具（含坐便器塑料盖、台盆、水箱盖等附属件）及上、下水配件的维修和更换。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20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车站明沟、明渠、露天水池至地下排水管</w:t>
            </w:r>
          </w:p>
        </w:tc>
        <w:tc>
          <w:tcPr>
            <w:tcW w:w="1134"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房建结构专业</w:t>
            </w:r>
          </w:p>
        </w:tc>
        <w:tc>
          <w:tcPr>
            <w:tcW w:w="177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负责明沟、明渠、露天水池包括有活动盖板的雨水沟的维护或管理工作。</w:t>
            </w:r>
          </w:p>
        </w:tc>
        <w:tc>
          <w:tcPr>
            <w:tcW w:w="127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机电专业</w:t>
            </w:r>
          </w:p>
        </w:tc>
        <w:tc>
          <w:tcPr>
            <w:tcW w:w="212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机电风水电负责地下管道的维护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20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人防门</w:t>
            </w:r>
          </w:p>
        </w:tc>
        <w:tc>
          <w:tcPr>
            <w:tcW w:w="1134"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房建结构专业</w:t>
            </w:r>
          </w:p>
        </w:tc>
        <w:tc>
          <w:tcPr>
            <w:tcW w:w="177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负责人防门门体、铰链 、就地控制箱维护；</w:t>
            </w:r>
          </w:p>
        </w:tc>
        <w:tc>
          <w:tcPr>
            <w:tcW w:w="127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机电专业</w:t>
            </w:r>
          </w:p>
        </w:tc>
        <w:tc>
          <w:tcPr>
            <w:tcW w:w="212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就地控制箱供电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20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防火门</w:t>
            </w:r>
          </w:p>
        </w:tc>
        <w:tc>
          <w:tcPr>
            <w:tcW w:w="1134"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房建结构专业</w:t>
            </w:r>
          </w:p>
        </w:tc>
        <w:tc>
          <w:tcPr>
            <w:tcW w:w="177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负责维护门体、电控设备</w:t>
            </w:r>
          </w:p>
        </w:tc>
        <w:tc>
          <w:tcPr>
            <w:tcW w:w="127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弱电专业</w:t>
            </w:r>
          </w:p>
        </w:tc>
        <w:tc>
          <w:tcPr>
            <w:tcW w:w="212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负责维护防火门监控系统（或门禁系统），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20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门禁系统与门</w:t>
            </w:r>
          </w:p>
        </w:tc>
        <w:tc>
          <w:tcPr>
            <w:tcW w:w="1134"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房建结构专业</w:t>
            </w:r>
          </w:p>
        </w:tc>
        <w:tc>
          <w:tcPr>
            <w:tcW w:w="177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负责维护门禁系统的所有门体、机械锁，非接入门禁系统的门体及锁具整体</w:t>
            </w:r>
          </w:p>
        </w:tc>
        <w:tc>
          <w:tcPr>
            <w:tcW w:w="127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弱电专业</w:t>
            </w:r>
          </w:p>
        </w:tc>
        <w:tc>
          <w:tcPr>
            <w:tcW w:w="212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负责维护接入门禁系统的机电一体化锁、磁力锁及其锁具配套的附件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20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区间联络通道门</w:t>
            </w:r>
          </w:p>
        </w:tc>
        <w:tc>
          <w:tcPr>
            <w:tcW w:w="1134"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房建结构专业</w:t>
            </w:r>
          </w:p>
        </w:tc>
        <w:tc>
          <w:tcPr>
            <w:tcW w:w="177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负责门体，闭门器的维护</w:t>
            </w:r>
          </w:p>
        </w:tc>
        <w:tc>
          <w:tcPr>
            <w:tcW w:w="127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弱电专业</w:t>
            </w:r>
          </w:p>
        </w:tc>
        <w:tc>
          <w:tcPr>
            <w:tcW w:w="212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负责门磁及以后的电线维护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20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梅山广场换乘通道</w:t>
            </w:r>
          </w:p>
        </w:tc>
        <w:tc>
          <w:tcPr>
            <w:tcW w:w="1134"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房建结构专业</w:t>
            </w:r>
          </w:p>
        </w:tc>
        <w:tc>
          <w:tcPr>
            <w:tcW w:w="1771"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c>
          <w:tcPr>
            <w:tcW w:w="127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京越轨道交通</w:t>
            </w:r>
          </w:p>
        </w:tc>
        <w:tc>
          <w:tcPr>
            <w:tcW w:w="2126" w:type="dxa"/>
            <w:noWrap w:val="0"/>
            <w:vAlign w:val="center"/>
          </w:tcPr>
          <w:p>
            <w:pPr>
              <w:keepNext w:val="0"/>
              <w:keepLines w:val="0"/>
              <w:pageBreakBefore w:val="0"/>
              <w:widowControl/>
              <w:kinsoku/>
              <w:topLinePunct w:val="0"/>
              <w:bidi w:val="0"/>
              <w:spacing w:line="400" w:lineRule="exact"/>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4" w:type="dxa"/>
            <w:gridSpan w:val="6"/>
            <w:noWrap w:val="0"/>
            <w:vAlign w:val="center"/>
          </w:tcPr>
          <w:p>
            <w:pPr>
              <w:pStyle w:val="20"/>
              <w:keepNext w:val="0"/>
              <w:keepLines w:val="0"/>
              <w:pageBreakBefore w:val="0"/>
              <w:tabs>
                <w:tab w:val="left" w:pos="5953"/>
              </w:tabs>
              <w:kinsoku/>
              <w:topLinePunct w:val="0"/>
              <w:bidi w:val="0"/>
              <w:spacing w:line="400" w:lineRule="exact"/>
              <w:ind w:left="0" w:lef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注：维保内容接口界面以招标人最终发布为准，招标人保留对维修界面及内容调整的权力</w:t>
            </w:r>
          </w:p>
        </w:tc>
      </w:tr>
    </w:tbl>
    <w:p>
      <w:pPr>
        <w:keepNext w:val="0"/>
        <w:keepLines w:val="0"/>
        <w:pageBreakBefore w:val="0"/>
        <w:widowControl/>
        <w:kinsoku/>
        <w:topLinePunct w:val="0"/>
        <w:bidi w:val="0"/>
        <w:spacing w:line="400" w:lineRule="exact"/>
        <w:jc w:val="center"/>
        <w:outlineLvl w:val="2"/>
        <w:rPr>
          <w:rFonts w:hint="eastAsia" w:ascii="宋体" w:hAnsi="宋体" w:eastAsia="宋体" w:cs="宋体"/>
          <w:color w:val="auto"/>
          <w:sz w:val="24"/>
          <w:szCs w:val="24"/>
          <w:highlight w:val="none"/>
          <w:lang w:val="zh-CN" w:bidi="zh-CN"/>
        </w:rPr>
        <w:sectPr>
          <w:footerReference r:id="rId5" w:type="default"/>
          <w:pgSz w:w="11906" w:h="16838"/>
          <w:pgMar w:top="1440" w:right="1286" w:bottom="1440" w:left="1800" w:header="851" w:footer="992" w:gutter="0"/>
          <w:pgNumType w:fmt="decimal" w:start="1"/>
          <w:cols w:space="720" w:num="1"/>
          <w:docGrid w:type="lines" w:linePitch="312" w:charSpace="0"/>
        </w:sectPr>
      </w:pPr>
    </w:p>
    <w:p>
      <w:pPr>
        <w:pStyle w:val="152"/>
        <w:keepNext w:val="0"/>
        <w:keepLines w:val="0"/>
        <w:pageBreakBefore w:val="0"/>
        <w:tabs>
          <w:tab w:val="center" w:pos="4201"/>
          <w:tab w:val="right" w:leader="dot" w:pos="9298"/>
        </w:tabs>
        <w:kinsoku/>
        <w:topLinePunct w:val="0"/>
        <w:bidi w:val="0"/>
        <w:spacing w:line="400" w:lineRule="exact"/>
        <w:ind w:firstLine="0" w:firstLineChars="0"/>
        <w:jc w:val="left"/>
        <w:outlineLvl w:val="2"/>
        <w:rPr>
          <w:rFonts w:hint="eastAsia" w:ascii="宋体" w:hAnsi="宋体" w:eastAsia="宋体" w:cs="宋体"/>
          <w:b/>
          <w:bCs/>
          <w:color w:val="auto"/>
          <w:kern w:val="44"/>
          <w:sz w:val="24"/>
          <w:szCs w:val="24"/>
          <w:highlight w:val="none"/>
          <w:lang w:val="zh-CN" w:bidi="zh-CN"/>
        </w:rPr>
      </w:pPr>
      <w:bookmarkStart w:id="422" w:name="_Toc5694"/>
      <w:bookmarkStart w:id="423" w:name="_Toc1378633195"/>
      <w:bookmarkStart w:id="424" w:name="_Toc1679269740"/>
      <w:bookmarkStart w:id="425" w:name="_Toc1558666688"/>
      <w:bookmarkStart w:id="426" w:name="_Toc30492"/>
      <w:r>
        <w:rPr>
          <w:rFonts w:hint="eastAsia" w:ascii="宋体" w:hAnsi="宋体" w:eastAsia="宋体" w:cs="宋体"/>
          <w:b/>
          <w:bCs/>
          <w:color w:val="auto"/>
          <w:kern w:val="44"/>
          <w:sz w:val="24"/>
          <w:szCs w:val="24"/>
          <w:highlight w:val="none"/>
          <w:lang w:val="zh-CN" w:bidi="zh-CN"/>
        </w:rPr>
        <w:t>附录</w:t>
      </w:r>
      <w:bookmarkEnd w:id="422"/>
      <w:r>
        <w:rPr>
          <w:rFonts w:hint="eastAsia" w:ascii="宋体" w:hAnsi="宋体" w:eastAsia="宋体" w:cs="宋体"/>
          <w:b/>
          <w:bCs/>
          <w:color w:val="auto"/>
          <w:kern w:val="44"/>
          <w:sz w:val="24"/>
          <w:szCs w:val="24"/>
          <w:highlight w:val="none"/>
          <w:lang w:bidi="zh-CN"/>
        </w:rPr>
        <w:t>2</w:t>
      </w:r>
      <w:bookmarkEnd w:id="423"/>
      <w:bookmarkEnd w:id="424"/>
      <w:bookmarkEnd w:id="425"/>
      <w:bookmarkEnd w:id="426"/>
    </w:p>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运营期考核库</w:t>
      </w:r>
    </w:p>
    <w:tbl>
      <w:tblPr>
        <w:tblStyle w:val="43"/>
        <w:tblW w:w="4997" w:type="pct"/>
        <w:tblInd w:w="0" w:type="dxa"/>
        <w:tblLayout w:type="autofit"/>
        <w:tblCellMar>
          <w:top w:w="0" w:type="dxa"/>
          <w:left w:w="0" w:type="dxa"/>
          <w:bottom w:w="0" w:type="dxa"/>
          <w:right w:w="0" w:type="dxa"/>
        </w:tblCellMar>
      </w:tblPr>
      <w:tblGrid>
        <w:gridCol w:w="390"/>
        <w:gridCol w:w="990"/>
        <w:gridCol w:w="5370"/>
        <w:gridCol w:w="810"/>
        <w:gridCol w:w="750"/>
        <w:gridCol w:w="535"/>
      </w:tblGrid>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序号</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检查内容</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扣分</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扣钱</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备注</w:t>
            </w: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45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运营事故（事件）</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因投标人原因造成发生一般事故级以上等级事故</w:t>
            </w:r>
          </w:p>
        </w:tc>
        <w:tc>
          <w:tcPr>
            <w:tcW w:w="522"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40000元以上/次</w:t>
            </w:r>
          </w:p>
        </w:tc>
        <w:tc>
          <w:tcPr>
            <w:tcW w:w="66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构成犯罪的，依照《刑法》有关规定追究其刑事责任。</w:t>
            </w: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因投标人原因造成险性事件</w:t>
            </w:r>
          </w:p>
        </w:tc>
        <w:tc>
          <w:tcPr>
            <w:tcW w:w="522"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30000元/次</w:t>
            </w:r>
          </w:p>
        </w:tc>
        <w:tc>
          <w:tcPr>
            <w:tcW w:w="66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因投标人原因造成一般事件</w:t>
            </w:r>
          </w:p>
        </w:tc>
        <w:tc>
          <w:tcPr>
            <w:tcW w:w="522"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20000元/次</w:t>
            </w:r>
          </w:p>
        </w:tc>
        <w:tc>
          <w:tcPr>
            <w:tcW w:w="66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因投标人原因造成事件苗头</w:t>
            </w:r>
          </w:p>
        </w:tc>
        <w:tc>
          <w:tcPr>
            <w:tcW w:w="522"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10000元/次</w:t>
            </w:r>
          </w:p>
        </w:tc>
        <w:tc>
          <w:tcPr>
            <w:tcW w:w="66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45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服务指标</w:t>
            </w:r>
          </w:p>
        </w:tc>
        <w:tc>
          <w:tcPr>
            <w:tcW w:w="2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A类故障响应时间，每超过5分钟，扣1分。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1分/5分钟</w:t>
            </w:r>
          </w:p>
        </w:tc>
        <w:tc>
          <w:tcPr>
            <w:tcW w:w="4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w:t>
            </w:r>
          </w:p>
        </w:tc>
        <w:tc>
          <w:tcPr>
            <w:tcW w:w="4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A类故障临时性修复，每超过30分钟，扣1分。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1分/30分钟</w:t>
            </w:r>
          </w:p>
        </w:tc>
        <w:tc>
          <w:tcPr>
            <w:tcW w:w="4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w:t>
            </w:r>
          </w:p>
        </w:tc>
        <w:tc>
          <w:tcPr>
            <w:tcW w:w="4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A类故障维修率不低于100%，每降低1%，扣1分。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1分/1%</w:t>
            </w:r>
          </w:p>
        </w:tc>
        <w:tc>
          <w:tcPr>
            <w:tcW w:w="4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w:t>
            </w:r>
          </w:p>
        </w:tc>
        <w:tc>
          <w:tcPr>
            <w:tcW w:w="4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B类故障响应时间，每超过15分钟，扣1分。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1分/15分钟</w:t>
            </w:r>
          </w:p>
        </w:tc>
        <w:tc>
          <w:tcPr>
            <w:tcW w:w="4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w:t>
            </w:r>
          </w:p>
        </w:tc>
        <w:tc>
          <w:tcPr>
            <w:tcW w:w="4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B类故障临时性修复，每超过1小时，扣1分。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1分/12小时</w:t>
            </w:r>
          </w:p>
        </w:tc>
        <w:tc>
          <w:tcPr>
            <w:tcW w:w="4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w:t>
            </w:r>
          </w:p>
        </w:tc>
        <w:tc>
          <w:tcPr>
            <w:tcW w:w="4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B类故障维修率不低于95%，每降低1%，扣1分。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1分/1%</w:t>
            </w:r>
          </w:p>
        </w:tc>
        <w:tc>
          <w:tcPr>
            <w:tcW w:w="4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w:t>
            </w:r>
          </w:p>
        </w:tc>
        <w:tc>
          <w:tcPr>
            <w:tcW w:w="4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C类故障响应时间，每超过1小时，扣1分。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1分/1小时</w:t>
            </w:r>
          </w:p>
        </w:tc>
        <w:tc>
          <w:tcPr>
            <w:tcW w:w="4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其中玻璃更换周期为1个月，每超过1天，扣1分</w:t>
            </w: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w:t>
            </w:r>
          </w:p>
        </w:tc>
        <w:tc>
          <w:tcPr>
            <w:tcW w:w="4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C类故障临时性修复，每超过1天，扣1分。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1分/1天</w:t>
            </w:r>
          </w:p>
        </w:tc>
        <w:tc>
          <w:tcPr>
            <w:tcW w:w="4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w:t>
            </w:r>
          </w:p>
        </w:tc>
        <w:tc>
          <w:tcPr>
            <w:tcW w:w="4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C类故障维修率不低于90%，每降低1%，扣1分。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1分/1%</w:t>
            </w:r>
          </w:p>
        </w:tc>
        <w:tc>
          <w:tcPr>
            <w:tcW w:w="45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14</w:t>
            </w:r>
          </w:p>
        </w:tc>
        <w:tc>
          <w:tcPr>
            <w:tcW w:w="45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检修及现场作业</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检修计划安排不合理或未按时上报。</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漏检或未按规定时间检修。</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16</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检修不到位，未及时发现安全隐患或设备故障。</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在检修项目未完成的情况下，出现欺瞒或瞒报招标人的。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作业现场环境不整洁，不能满足招标人要求。</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未根据实际情况及时调整作业计划，导致设施设备发生故障或缺陷的。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在没有提前申明或无特殊原因下，检修计划及临时计划未按时完成。</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21</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检修过程不符合招标人要求，返工或者检修质量不满足招标人确认的检修标准。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检修资料填写不符合要求达到10项，或者存在漏签、代签或弄虚作假的。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检修资料填写不符合要求，未达到10项的。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维护维修工作结束，未及时复原设备零部件、定位紧固件或作业现场未清理等。</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其他投标人在检修中存在问题，视情节轻重。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26</w:t>
            </w:r>
          </w:p>
        </w:tc>
        <w:tc>
          <w:tcPr>
            <w:tcW w:w="45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故障处理及应急演练</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发现故障或缺陷未及时上报或上报流程不正确、</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故障处理结果没有按时反馈或故障处理未记录</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需要停用设备时，未及时上报并通知招标人属地管理部门故障影响。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故障处理不及时，造成除运营事故（事件）外的其他重大影响，尚未构成运营事故（事件）的。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故障处理不及时受到招标人或上级主管部门、单位通报。</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31</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故障维修不彻底或同一故障当日维修2次以上的。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因投标人责任未按期完成故障修复。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通过故障分析等未对设备事故做出正确判断、采取有效措施，导致故障重复发生。</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隐瞒、延报或谎报故障事件的。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携带的备品备件、工器具或其他物资不当，导致延误故障处理。</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36</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故障接报无人受理，或由于投标人通讯不畅，造成信息未能及时传达，导致故障处理延误。</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故障因投标人维修人员操作不当，造成设备零部件损坏的，赔偿并考核。</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不配合招标人安排的演练或其他配合工作的。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其他影响招标人应急响应及故障处理的行为，视情节影响。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40</w:t>
            </w:r>
          </w:p>
        </w:tc>
        <w:tc>
          <w:tcPr>
            <w:tcW w:w="45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安全管理</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存储、使用易燃易爆物品时，未采用特殊的消防安全措施。</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41</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招标人派遣人员在事故调查过程中，投标人不积极配合提供有关资料。</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使用的机械或其他作业设备带病工作，不满足安全要求。</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危险部位未设警示标志。</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未按照施工管理规定相关流程开展作业或未及时销点造成作业超时。</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未开展安全生产会或未做好相关记录或相关通报传达签字不及时。</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46</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误碰施工区域内的紧急设备设施。</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擅自动用施工区域内的紧急设备设施。</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作业过程影响正常运营秩序，对乘客造成影响。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作业现场不符合安全管理规定，违章指挥、违章作业现象严重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安全防护用品未定期检测。</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51</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带领无关人员进入施工、办公现场以及招标人其他非公共区域。</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作业过程中，不听从招标人属地管理单位的管理，野蛮作业。</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施工作业或经营活动中，违章占用或堵塞消防通道。</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未办理相关手续，私拉、乱接临时电气线路。</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作业过程中危及乘客或招标人员工的人身安全。</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56</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从事项目服务以外的活动或招标人禁止的各种行为，或在禁烟区吸烟。</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个人防护不符合劳动保护要求或未正确使用防护用品或工具。</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作业结束后，遗留工器具或施工垃圾于轨行区。</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未按照动火、密闭空间作业安全要求开展相关作业。</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特殊工种未持对应的有效证件上岗。</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61</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现场进行动火作业的人员和申报的动火作业人员不符。</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投标人施工人员夜间在轨行区作业时，没有按规定穿着安全防护用品,做好自身防护。</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未开展人员安全教育培训、考试，私自安排人员上岗的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其他违反招标人安全管理相关要求的行为。</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65</w:t>
            </w:r>
          </w:p>
        </w:tc>
        <w:tc>
          <w:tcPr>
            <w:tcW w:w="45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人员管理</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未按招标人要求配备项目负责人或未经招标人同意变更项目负责人。</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100000元/人次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66</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未按招标人要求配备其他管理人员或未经招标人同意变更其他管理人员。</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50000元/人次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未按招标人要求配备其他项目人员或未经招标人同意变更其他项目人员。</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10000元/人次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因投标人要求，经招标人同意更换项目负责人。</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5000元/人次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因投标人要求，经招标人同意更换其他管理人员。</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2000元/人次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因投标人要求，经招标人同意更换其他项目人员。</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500元/人次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71</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投标人提交更换人员资料不符合要求或审核未通过。</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招标人要求更换的员工，投标人未更换，或未按时更换。</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合同要求的特殊工种证等证件未及时取得。</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相关上岗证未及时取得。</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施工负责人证考试未通过</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200元/人</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76</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参加招标人组织的技术、安全、考试不合格。</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投标人人员迟到、早退或擅自离岗。</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工作时间做与工作无关事宜的（包括私自会客、聊天、看报刊等）</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项目人员通讯工具未保持24小时开机，手机关机或不接听电话</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车站范围内不服从招标人管理、与乘客发生纠纷的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81</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未按照合同约定或招标人要求开展工作的。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出现劳动合同签订、社保缴纳、工资发放等问题</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其他影响投标服务质量的人员管理问题，视情节轻重。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84</w:t>
            </w:r>
          </w:p>
        </w:tc>
        <w:tc>
          <w:tcPr>
            <w:tcW w:w="45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项目内部管理</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组织架构不健全，没有专（兼）职人员负责安全、物资、培训、绩效、质量控制、标准化建设等项目日常管理工作，或管理混乱，未达到招标人管理要求。</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450"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安全、物资、培训、绩效、质量控制、标准化建设等项目日常管理制度不健全，或存在执行不到位，记录不全等管理不善情况。</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86</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投标人项目管理人员不熟悉管理制度。</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投标人人员（除项目管理人员）不熟悉管理制度。</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家具备品、办公用品等各项资源配置不满足维保工作要求。</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招标人配备的家具备品、办公用品等各项资源被人为损坏的，赔偿并考核。</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仪表不整洁，无制服上岗。</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91</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其他不满足投标项目管理要求的项目管理问题</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92</w:t>
            </w:r>
          </w:p>
        </w:tc>
        <w:tc>
          <w:tcPr>
            <w:tcW w:w="45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备品备件及工器具</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备品备件、工器具管理混乱、无标识、帐物不符的</w:t>
            </w:r>
          </w:p>
        </w:tc>
        <w:tc>
          <w:tcPr>
            <w:tcW w:w="5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备品备件及工器具问题导致无法满足服务质量的。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工器具未按合同要求配置，影响生产运作。</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工器具未按合同要求配置，暂不影响生产运作。</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96</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招标人的工器具挪用、损坏或丢失，赔偿工器具并考核。</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招标人的工器具未按规定领用或归还。</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工器具未定期检测。</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故障备件未及时返还给招标人。</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挪用、损坏或丢失招标人提供的备品备件，赔偿并考核。</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101</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投标人现场使用的材料与招标人合同中要求的规格参数不符。</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物资消耗台帐、物资台帐、物资盘点台帐未按要求提供的。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未在规定时间内提交物资需求计划，或提交物资需求计划与实际需求相差较大。</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投标人浪费招标人材料或未按招标人的相关规定处置应属于招标人的废料以及多余的材料。</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其他无法满足服务质量的备品备件及工器具问题，视情节轻重。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106</w:t>
            </w:r>
          </w:p>
        </w:tc>
        <w:tc>
          <w:tcPr>
            <w:tcW w:w="45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舆情与投诉</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其他因投标人原因造成的舆情。</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因投标人原因，对招标人声誉或者形象造成影响。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因投标人原因造成第三方投诉</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发生第三方投诉，且责任判定为投标人。</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招标人人员对投标人进行投诉，且责任判定为投标人。</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111</w:t>
            </w:r>
          </w:p>
        </w:tc>
        <w:tc>
          <w:tcPr>
            <w:tcW w:w="45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其他工作</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不遵守招标人的各项管理规定或不执行招标人相关文件。</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112</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对存在的问题未按要求及时整改的。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113</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没按要求回复整改通知书。</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114</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违反乘车卡管理制度。</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115</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未按要求提交招标人要求的相关资料的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116</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因投标人原因，发生部门被公司及以上考核扣分的情况。</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117</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无正当理由不参加招标人组织的会议，或未按要求落实会议内容</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118</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投标人未按照约定日期完成退场的，每超过一天。</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119</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投标人递交支付材料、设备总结、整改报告等不及时或质量不高。</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120</w:t>
            </w:r>
          </w:p>
        </w:tc>
        <w:tc>
          <w:tcPr>
            <w:tcW w:w="45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其他合同内约定的相关事宜，视情节轻重</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1-3分/次</w:t>
            </w: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121</w:t>
            </w:r>
          </w:p>
        </w:tc>
        <w:tc>
          <w:tcPr>
            <w:tcW w:w="451"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地铁保护相关工作</w:t>
            </w: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未在规定的频次内及时发现控制保护区内直接影响运营安全或对地铁设施造成永久性伤害的重大安全隐患作业活动的。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122</w:t>
            </w:r>
          </w:p>
        </w:tc>
        <w:tc>
          <w:tcPr>
            <w:tcW w:w="451"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未在规定的频次内及时发现控制保护区内影响运营安全或对地铁设施可能造成严重变形的较大安全隐患作业活动的。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123</w:t>
            </w:r>
          </w:p>
        </w:tc>
        <w:tc>
          <w:tcPr>
            <w:tcW w:w="451"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未在规定的频次内及时发现控制保护区内可能影响运营安全或对地铁设施造成可能较大变形的一般安全隐患作业活动。</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124</w:t>
            </w:r>
          </w:p>
        </w:tc>
        <w:tc>
          <w:tcPr>
            <w:tcW w:w="451"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未在规定的频次内及时发现控制保护区内对地铁设施可能造成变形或可能发展成为其他高等级安全隐患的轻微安全隐患作业活动的。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125</w:t>
            </w:r>
          </w:p>
        </w:tc>
        <w:tc>
          <w:tcPr>
            <w:tcW w:w="451"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未按规定的频次及要求组织线路巡查或未覆盖保护区全范围的。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126</w:t>
            </w:r>
          </w:p>
        </w:tc>
        <w:tc>
          <w:tcPr>
            <w:tcW w:w="451"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台账弄虚作假、纸质及电子资料台账不缺失的。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255" w:hRule="atLeast"/>
        </w:trPr>
        <w:tc>
          <w:tcPr>
            <w:tcW w:w="22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127</w:t>
            </w:r>
          </w:p>
        </w:tc>
        <w:tc>
          <w:tcPr>
            <w:tcW w:w="451" w:type="pct"/>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26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GIS仪器丢失或人为损坏的。</w:t>
            </w:r>
          </w:p>
        </w:tc>
        <w:tc>
          <w:tcPr>
            <w:tcW w:w="5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45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1000元/次</w:t>
            </w:r>
          </w:p>
        </w:tc>
        <w:tc>
          <w:tcPr>
            <w:tcW w:w="66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照价赔偿。</w:t>
            </w:r>
          </w:p>
        </w:tc>
      </w:tr>
    </w:tbl>
    <w:p>
      <w:pPr>
        <w:keepNext w:val="0"/>
        <w:keepLines w:val="0"/>
        <w:pageBreakBefore w:val="0"/>
        <w:kinsoku/>
        <w:topLinePunct w:val="0"/>
        <w:bidi w:val="0"/>
        <w:spacing w:line="400" w:lineRule="exact"/>
        <w:rPr>
          <w:rFonts w:hint="eastAsia" w:ascii="宋体" w:hAnsi="宋体" w:eastAsia="宋体" w:cs="宋体"/>
          <w:color w:val="auto"/>
          <w:sz w:val="24"/>
          <w:szCs w:val="24"/>
          <w:highlight w:val="none"/>
        </w:rPr>
      </w:pPr>
    </w:p>
    <w:p>
      <w:pPr>
        <w:keepNext w:val="0"/>
        <w:keepLines w:val="0"/>
        <w:pageBreakBefore w:val="0"/>
        <w:kinsoku/>
        <w:topLinePunct w:val="0"/>
        <w:bidi w:val="0"/>
        <w:spacing w:line="400" w:lineRule="exact"/>
        <w:rPr>
          <w:rFonts w:hint="eastAsia" w:ascii="宋体" w:hAnsi="宋体" w:eastAsia="宋体" w:cs="宋体"/>
          <w:color w:val="auto"/>
          <w:sz w:val="24"/>
          <w:szCs w:val="24"/>
          <w:highlight w:val="none"/>
        </w:rPr>
      </w:pPr>
    </w:p>
    <w:p>
      <w:pPr>
        <w:keepNext w:val="0"/>
        <w:keepLines w:val="0"/>
        <w:pageBreakBefore w:val="0"/>
        <w:kinsoku/>
        <w:topLinePunct w:val="0"/>
        <w:bidi w:val="0"/>
        <w:spacing w:line="400" w:lineRule="exact"/>
        <w:rPr>
          <w:rFonts w:hint="eastAsia" w:ascii="宋体" w:hAnsi="宋体" w:eastAsia="宋体" w:cs="宋体"/>
          <w:color w:val="auto"/>
          <w:sz w:val="24"/>
          <w:szCs w:val="24"/>
          <w:highlight w:val="none"/>
        </w:rPr>
      </w:pPr>
    </w:p>
    <w:p>
      <w:pPr>
        <w:pStyle w:val="152"/>
        <w:keepNext w:val="0"/>
        <w:keepLines w:val="0"/>
        <w:pageBreakBefore w:val="0"/>
        <w:tabs>
          <w:tab w:val="center" w:pos="4201"/>
          <w:tab w:val="right" w:leader="dot" w:pos="9298"/>
        </w:tabs>
        <w:kinsoku/>
        <w:topLinePunct w:val="0"/>
        <w:bidi w:val="0"/>
        <w:spacing w:line="400" w:lineRule="exact"/>
        <w:ind w:firstLine="0" w:firstLineChars="0"/>
        <w:jc w:val="center"/>
        <w:rPr>
          <w:rFonts w:hint="eastAsia" w:ascii="宋体" w:hAnsi="宋体" w:eastAsia="宋体" w:cs="宋体"/>
          <w:color w:val="auto"/>
          <w:sz w:val="24"/>
          <w:szCs w:val="24"/>
          <w:highlight w:val="none"/>
          <w:lang w:val="zh-CN" w:bidi="zh-CN"/>
        </w:rPr>
      </w:pPr>
    </w:p>
    <w:p>
      <w:pPr>
        <w:rPr>
          <w:rFonts w:hint="eastAsia" w:ascii="宋体" w:hAnsi="宋体" w:eastAsia="宋体" w:cs="宋体"/>
          <w:color w:val="auto"/>
          <w:sz w:val="24"/>
          <w:szCs w:val="24"/>
          <w:highlight w:val="none"/>
          <w:lang w:val="zh-CN" w:bidi="zh-CN"/>
        </w:rPr>
      </w:pPr>
      <w:bookmarkStart w:id="427" w:name="_Toc1768404750"/>
      <w:bookmarkStart w:id="428" w:name="_Toc1851813120"/>
      <w:bookmarkStart w:id="429" w:name="_Toc1750018950"/>
      <w:bookmarkStart w:id="430" w:name="_Toc5834"/>
      <w:r>
        <w:rPr>
          <w:rFonts w:hint="eastAsia" w:ascii="宋体" w:hAnsi="宋体" w:eastAsia="宋体" w:cs="宋体"/>
          <w:color w:val="auto"/>
          <w:sz w:val="24"/>
          <w:szCs w:val="24"/>
          <w:highlight w:val="none"/>
          <w:lang w:val="zh-CN" w:bidi="zh-CN"/>
        </w:rPr>
        <w:br w:type="page"/>
      </w:r>
    </w:p>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lang w:val="zh-CN"/>
        </w:rPr>
      </w:pPr>
      <w:r>
        <w:rPr>
          <w:rFonts w:hint="eastAsia" w:ascii="宋体" w:hAnsi="宋体" w:eastAsia="宋体" w:cs="宋体"/>
          <w:b/>
          <w:bCs/>
          <w:color w:val="auto"/>
          <w:kern w:val="44"/>
          <w:sz w:val="24"/>
          <w:szCs w:val="24"/>
          <w:highlight w:val="none"/>
          <w:lang w:val="zh-CN"/>
        </w:rPr>
        <w:t>附录</w:t>
      </w:r>
      <w:r>
        <w:rPr>
          <w:rFonts w:hint="eastAsia" w:ascii="宋体" w:hAnsi="宋体" w:eastAsia="宋体" w:cs="宋体"/>
          <w:b/>
          <w:bCs/>
          <w:color w:val="auto"/>
          <w:kern w:val="44"/>
          <w:sz w:val="24"/>
          <w:szCs w:val="24"/>
          <w:highlight w:val="none"/>
        </w:rPr>
        <w:t>3</w:t>
      </w:r>
      <w:bookmarkEnd w:id="427"/>
      <w:bookmarkEnd w:id="428"/>
      <w:bookmarkEnd w:id="429"/>
      <w:bookmarkEnd w:id="430"/>
    </w:p>
    <w:p>
      <w:pPr>
        <w:pStyle w:val="20"/>
        <w:keepNext w:val="0"/>
        <w:keepLines w:val="0"/>
        <w:pageBreakBefore w:val="0"/>
        <w:tabs>
          <w:tab w:val="left" w:pos="5953"/>
        </w:tabs>
        <w:kinsoku/>
        <w:topLinePunct w:val="0"/>
        <w:bidi w:val="0"/>
        <w:spacing w:after="0" w:line="400" w:lineRule="exact"/>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绍兴市轨道交通地铁保护区域</w:t>
      </w:r>
    </w:p>
    <w:p>
      <w:pPr>
        <w:pStyle w:val="20"/>
        <w:keepNext w:val="0"/>
        <w:keepLines w:val="0"/>
        <w:pageBreakBefore w:val="0"/>
        <w:tabs>
          <w:tab w:val="left" w:pos="5953"/>
        </w:tabs>
        <w:kinsoku/>
        <w:topLinePunct w:val="0"/>
        <w:bidi w:val="0"/>
        <w:spacing w:after="0" w:line="400" w:lineRule="exact"/>
        <w:jc w:val="center"/>
        <w:rPr>
          <w:rFonts w:hint="eastAsia" w:ascii="宋体" w:hAnsi="宋体" w:eastAsia="宋体" w:cs="宋体"/>
          <w:color w:val="auto"/>
          <w:sz w:val="24"/>
          <w:szCs w:val="24"/>
          <w:highlight w:val="none"/>
        </w:rPr>
      </w:pP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根据《绍兴市城市轨道交通管理条例》相关规定，城市轨道交通沿线设立控制保护区和特别保护区。控制保护区和特别保护区统称为保护区。</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控制保护区范围如下：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（1）地下车站、隧道结构外边线外侧五十米内；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（2）地面车站、高架车站以及线路轨道结构外边线外侧三十米内；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（3）车辆段、出入口、通风亭、变电所等建筑物、构筑物结构外边线外侧十米内；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（4）过江、过河隧道结构外边线外侧一百米内。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控制保护区内的下列区域为特别保护区：</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（1）地下工程（车站、隧道等）结构外边线外侧五米内；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（2）高架车站及高架线路工程结构水平投影外侧三米内；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（3）地面车站及地面线路路堤或者路堑外边线外侧三米内；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kern w:val="0"/>
          <w:sz w:val="24"/>
          <w:szCs w:val="24"/>
          <w:highlight w:val="none"/>
          <w:lang w:eastAsia="zh-CN"/>
        </w:rPr>
        <w:sectPr>
          <w:pgSz w:w="11906" w:h="16838"/>
          <w:pgMar w:top="1440" w:right="1286" w:bottom="1440" w:left="1800" w:header="851" w:footer="992" w:gutter="0"/>
          <w:pgNumType w:fmt="decimal"/>
          <w:cols w:space="720" w:num="1"/>
          <w:docGrid w:type="lines" w:linePitch="312" w:charSpace="0"/>
        </w:sectPr>
      </w:pPr>
      <w:r>
        <w:rPr>
          <w:rFonts w:hint="eastAsia" w:ascii="宋体" w:hAnsi="宋体" w:eastAsia="宋体" w:cs="宋体"/>
          <w:color w:val="auto"/>
          <w:sz w:val="24"/>
          <w:szCs w:val="24"/>
          <w:highlight w:val="none"/>
        </w:rPr>
        <w:t>（4）高压电缆沟水平投影外侧三米内</w:t>
      </w:r>
      <w:r>
        <w:rPr>
          <w:rFonts w:hint="eastAsia" w:cs="宋体"/>
          <w:color w:val="auto"/>
          <w:sz w:val="24"/>
          <w:szCs w:val="24"/>
          <w:highlight w:val="none"/>
          <w:lang w:eastAsia="zh-CN"/>
        </w:rPr>
        <w:t>。</w:t>
      </w:r>
    </w:p>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lang w:val="zh-CN"/>
        </w:rPr>
      </w:pPr>
      <w:bookmarkStart w:id="431" w:name="_Toc941354584"/>
      <w:bookmarkStart w:id="432" w:name="_Toc32064"/>
      <w:bookmarkStart w:id="433" w:name="_Toc21722788"/>
      <w:bookmarkStart w:id="434" w:name="_Toc1318878432"/>
      <w:r>
        <w:rPr>
          <w:rFonts w:hint="eastAsia" w:ascii="宋体" w:hAnsi="宋体" w:eastAsia="宋体" w:cs="宋体"/>
          <w:b/>
          <w:bCs/>
          <w:color w:val="auto"/>
          <w:kern w:val="44"/>
          <w:sz w:val="24"/>
          <w:szCs w:val="24"/>
          <w:highlight w:val="none"/>
          <w:lang w:val="zh-CN"/>
        </w:rPr>
        <w:t>附录</w:t>
      </w:r>
      <w:r>
        <w:rPr>
          <w:rFonts w:hint="eastAsia" w:ascii="宋体" w:hAnsi="宋体" w:eastAsia="宋体" w:cs="宋体"/>
          <w:b/>
          <w:bCs/>
          <w:color w:val="auto"/>
          <w:kern w:val="44"/>
          <w:sz w:val="24"/>
          <w:szCs w:val="24"/>
          <w:highlight w:val="none"/>
        </w:rPr>
        <w:t>4</w:t>
      </w:r>
      <w:bookmarkEnd w:id="431"/>
      <w:bookmarkEnd w:id="432"/>
      <w:bookmarkEnd w:id="433"/>
      <w:bookmarkEnd w:id="434"/>
    </w:p>
    <w:p>
      <w:pPr>
        <w:pStyle w:val="166"/>
        <w:keepNext w:val="0"/>
        <w:keepLines w:val="0"/>
        <w:pageBreakBefore w:val="0"/>
        <w:kinsoku/>
        <w:topLinePunct w:val="0"/>
        <w:bidi w:val="0"/>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违规施工作业行为</w:t>
      </w:r>
    </w:p>
    <w:p>
      <w:pPr>
        <w:pStyle w:val="166"/>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违规施工作业行为是指未征求招标人意见在保护区内进行的下列作业活动：</w:t>
      </w:r>
    </w:p>
    <w:p>
      <w:pPr>
        <w:pStyle w:val="166"/>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（1）新建、改建、扩建、拆除建筑物、构筑物；</w:t>
      </w:r>
    </w:p>
    <w:p>
      <w:pPr>
        <w:pStyle w:val="166"/>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（2）从事基坑（槽）开挖、以盾构掘进等方法进行隧道施工、地下顶进、爆破、桩基础施工、打（拔）桩、高压注浆、安装锚杆（索）、勘探、降低地下水位等可能影响城市轨道交通安全的作业；</w:t>
      </w:r>
    </w:p>
    <w:p>
      <w:pPr>
        <w:pStyle w:val="166"/>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（3）敷设、埋设、架设电力隧道、高压线路等管线和其他需跨越或者横穿城市轨道交通的设施；</w:t>
      </w:r>
    </w:p>
    <w:p>
      <w:pPr>
        <w:pStyle w:val="166"/>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（4）河道沟渠开挖整治、凿井取水；</w:t>
      </w:r>
    </w:p>
    <w:p>
      <w:pPr>
        <w:pStyle w:val="166"/>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（5）在过江、过河隧道段水域抛锚、拖锚或者从事疏浚、采砂等作业；</w:t>
      </w:r>
    </w:p>
    <w:p>
      <w:pPr>
        <w:pStyle w:val="166"/>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（6）堆载、取土等大面积增加或者减少载荷的活动；</w:t>
      </w:r>
    </w:p>
    <w:p>
      <w:pPr>
        <w:pStyle w:val="166"/>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color w:val="auto"/>
          <w:sz w:val="24"/>
          <w:szCs w:val="24"/>
          <w:highlight w:val="none"/>
        </w:rPr>
        <w:sectPr>
          <w:pgSz w:w="11906" w:h="16838"/>
          <w:pgMar w:top="1440" w:right="1286" w:bottom="1440" w:left="1800" w:header="851" w:footer="992" w:gutter="0"/>
          <w:pgNumType w:fmt="decimal"/>
          <w:cols w:space="720" w:num="1"/>
          <w:docGrid w:type="lines" w:linePitch="312" w:charSpace="0"/>
        </w:sectPr>
      </w:pPr>
      <w:r>
        <w:rPr>
          <w:rFonts w:hint="eastAsia" w:ascii="宋体" w:hAnsi="宋体" w:eastAsia="宋体" w:cs="宋体"/>
          <w:color w:val="auto"/>
          <w:sz w:val="24"/>
          <w:szCs w:val="24"/>
          <w:highlight w:val="none"/>
        </w:rPr>
        <w:t>（7）其他可能影响城市轨道交通设施安全的活动。</w:t>
      </w:r>
    </w:p>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lang w:val="zh-CN"/>
        </w:rPr>
      </w:pPr>
      <w:r>
        <w:rPr>
          <w:rFonts w:hint="eastAsia" w:ascii="宋体" w:hAnsi="宋体" w:eastAsia="宋体" w:cs="宋体"/>
          <w:b/>
          <w:bCs/>
          <w:color w:val="auto"/>
          <w:kern w:val="44"/>
          <w:sz w:val="24"/>
          <w:szCs w:val="24"/>
          <w:highlight w:val="none"/>
          <w:lang w:val="zh-CN"/>
        </w:rPr>
        <w:t>附录</w:t>
      </w:r>
      <w:r>
        <w:rPr>
          <w:rFonts w:hint="eastAsia" w:ascii="宋体" w:hAnsi="宋体" w:eastAsia="宋体" w:cs="宋体"/>
          <w:b/>
          <w:bCs/>
          <w:color w:val="auto"/>
          <w:kern w:val="44"/>
          <w:sz w:val="24"/>
          <w:szCs w:val="24"/>
          <w:highlight w:val="none"/>
        </w:rPr>
        <w:t>5</w:t>
      </w:r>
    </w:p>
    <w:p>
      <w:pPr>
        <w:keepNext w:val="0"/>
        <w:keepLines w:val="0"/>
        <w:pageBreakBefore w:val="0"/>
        <w:widowControl/>
        <w:kinsoku/>
        <w:topLinePunct w:val="0"/>
        <w:bidi w:val="0"/>
        <w:snapToGrid w:val="0"/>
        <w:spacing w:line="400" w:lineRule="exact"/>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工程抢险承诺书</w:t>
      </w:r>
    </w:p>
    <w:p>
      <w:pPr>
        <w:keepNext w:val="0"/>
        <w:keepLines w:val="0"/>
        <w:pageBreakBefore w:val="0"/>
        <w:kinsoku/>
        <w:topLinePunct w:val="0"/>
        <w:bidi w:val="0"/>
        <w:spacing w:line="400" w:lineRule="exact"/>
        <w:rPr>
          <w:rFonts w:hint="eastAsia" w:ascii="宋体" w:hAnsi="宋体" w:eastAsia="宋体" w:cs="宋体"/>
          <w:snapToGrid w:val="0"/>
          <w:color w:val="auto"/>
          <w:kern w:val="0"/>
          <w:sz w:val="24"/>
          <w:szCs w:val="24"/>
          <w:highlight w:val="none"/>
        </w:rPr>
      </w:pPr>
    </w:p>
    <w:p>
      <w:pPr>
        <w:keepNext w:val="0"/>
        <w:keepLines w:val="0"/>
        <w:pageBreakBefore w:val="0"/>
        <w:kinsoku/>
        <w:topLinePunct w:val="0"/>
        <w:bidi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绍兴市轨道交通集团有限公司运营分公司：</w:t>
      </w:r>
    </w:p>
    <w:p>
      <w:pPr>
        <w:keepNext w:val="0"/>
        <w:keepLines w:val="0"/>
        <w:pageBreakBefore w:val="0"/>
        <w:kinsoku/>
        <w:topLinePunct w:val="0"/>
        <w:bidi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我单位承诺在本维保服务合同期内积极参与应急抢险救援工作</w:t>
      </w:r>
      <w:r>
        <w:rPr>
          <w:rFonts w:hint="eastAsia" w:ascii="宋体" w:hAnsi="宋体" w:eastAsia="宋体" w:cs="宋体"/>
          <w:color w:val="auto"/>
          <w:sz w:val="24"/>
          <w:szCs w:val="24"/>
          <w:highlight w:val="none"/>
        </w:rPr>
        <w:t>，保证全力组织人员及设备进行抢险救援，必要时，我单位将临时调动其余地区现有资源组织应急抢险救援。</w:t>
      </w:r>
      <w:r>
        <w:rPr>
          <w:rFonts w:hint="eastAsia" w:ascii="宋体" w:hAnsi="宋体" w:eastAsia="宋体" w:cs="宋体"/>
          <w:snapToGrid w:val="0"/>
          <w:color w:val="auto"/>
          <w:kern w:val="0"/>
          <w:sz w:val="24"/>
          <w:szCs w:val="24"/>
          <w:highlight w:val="none"/>
        </w:rPr>
        <w:t>对消极组织或者组织不力，我公司承担由此而产生的相关后果，无条件接受有关监管部门的任何经济处罚。</w:t>
      </w:r>
    </w:p>
    <w:p>
      <w:pPr>
        <w:keepNext w:val="0"/>
        <w:keepLines w:val="0"/>
        <w:pageBreakBefore w:val="0"/>
        <w:kinsoku/>
        <w:topLinePunct w:val="0"/>
        <w:bidi w:val="0"/>
        <w:spacing w:line="400" w:lineRule="exact"/>
        <w:rPr>
          <w:rFonts w:hint="eastAsia" w:ascii="宋体" w:hAnsi="宋体" w:eastAsia="宋体" w:cs="宋体"/>
          <w:snapToGrid w:val="0"/>
          <w:color w:val="auto"/>
          <w:kern w:val="0"/>
          <w:sz w:val="24"/>
          <w:szCs w:val="24"/>
          <w:highlight w:val="none"/>
        </w:rPr>
      </w:pPr>
    </w:p>
    <w:p>
      <w:pPr>
        <w:keepNext w:val="0"/>
        <w:keepLines w:val="0"/>
        <w:pageBreakBefore w:val="0"/>
        <w:kinsoku/>
        <w:topLinePunct w:val="0"/>
        <w:bidi w:val="0"/>
        <w:spacing w:line="400" w:lineRule="exact"/>
        <w:jc w:val="center"/>
        <w:rPr>
          <w:rFonts w:hint="eastAsia" w:ascii="宋体" w:hAnsi="宋体" w:eastAsia="宋体" w:cs="宋体"/>
          <w:b/>
          <w:snapToGrid w:val="0"/>
          <w:color w:val="auto"/>
          <w:kern w:val="0"/>
          <w:sz w:val="24"/>
          <w:szCs w:val="24"/>
          <w:highlight w:val="none"/>
        </w:rPr>
      </w:pPr>
    </w:p>
    <w:p>
      <w:pPr>
        <w:keepNext w:val="0"/>
        <w:keepLines w:val="0"/>
        <w:pageBreakBefore w:val="0"/>
        <w:kinsoku/>
        <w:topLinePunct w:val="0"/>
        <w:bidi w:val="0"/>
        <w:spacing w:line="400" w:lineRule="exact"/>
        <w:jc w:val="center"/>
        <w:rPr>
          <w:rFonts w:hint="eastAsia" w:ascii="宋体" w:hAnsi="宋体" w:eastAsia="宋体" w:cs="宋体"/>
          <w:b/>
          <w:snapToGrid w:val="0"/>
          <w:color w:val="auto"/>
          <w:kern w:val="0"/>
          <w:sz w:val="24"/>
          <w:szCs w:val="24"/>
          <w:highlight w:val="none"/>
        </w:rPr>
      </w:pPr>
    </w:p>
    <w:p>
      <w:pPr>
        <w:keepNext w:val="0"/>
        <w:keepLines w:val="0"/>
        <w:pageBreakBefore w:val="0"/>
        <w:kinsoku/>
        <w:topLinePunct w:val="0"/>
        <w:bidi w:val="0"/>
        <w:spacing w:line="400" w:lineRule="exact"/>
        <w:jc w:val="center"/>
        <w:rPr>
          <w:rFonts w:hint="eastAsia" w:ascii="宋体" w:hAnsi="宋体" w:eastAsia="宋体" w:cs="宋体"/>
          <w:b/>
          <w:snapToGrid w:val="0"/>
          <w:color w:val="auto"/>
          <w:kern w:val="0"/>
          <w:sz w:val="24"/>
          <w:szCs w:val="24"/>
          <w:highlight w:val="none"/>
        </w:rPr>
      </w:pPr>
    </w:p>
    <w:p>
      <w:pPr>
        <w:keepNext w:val="0"/>
        <w:keepLines w:val="0"/>
        <w:pageBreakBefore w:val="0"/>
        <w:kinsoku/>
        <w:wordWrap w:val="0"/>
        <w:topLinePunct w:val="0"/>
        <w:bidi w:val="0"/>
        <w:adjustRightInd w:val="0"/>
        <w:snapToGrid w:val="0"/>
        <w:spacing w:line="400" w:lineRule="exact"/>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承诺人：（盖单位章）           </w:t>
      </w:r>
    </w:p>
    <w:p>
      <w:pPr>
        <w:keepNext w:val="0"/>
        <w:keepLines w:val="0"/>
        <w:pageBreakBefore w:val="0"/>
        <w:kinsoku/>
        <w:topLinePunct w:val="0"/>
        <w:bidi w:val="0"/>
        <w:adjustRightInd w:val="0"/>
        <w:snapToGrid w:val="0"/>
        <w:spacing w:line="400" w:lineRule="exact"/>
        <w:jc w:val="right"/>
        <w:rPr>
          <w:rFonts w:hint="eastAsia" w:ascii="宋体" w:hAnsi="宋体" w:eastAsia="宋体" w:cs="宋体"/>
          <w:snapToGrid w:val="0"/>
          <w:color w:val="auto"/>
          <w:kern w:val="0"/>
          <w:sz w:val="24"/>
          <w:szCs w:val="24"/>
          <w:highlight w:val="none"/>
        </w:rPr>
      </w:pPr>
    </w:p>
    <w:p>
      <w:pPr>
        <w:keepNext w:val="0"/>
        <w:keepLines w:val="0"/>
        <w:pageBreakBefore w:val="0"/>
        <w:kinsoku/>
        <w:wordWrap w:val="0"/>
        <w:topLinePunct w:val="0"/>
        <w:bidi w:val="0"/>
        <w:adjustRightInd w:val="0"/>
        <w:snapToGrid w:val="0"/>
        <w:spacing w:line="400" w:lineRule="exact"/>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法定代表人或委托代理人：（签名或盖章）      </w:t>
      </w:r>
    </w:p>
    <w:p>
      <w:pPr>
        <w:pStyle w:val="2"/>
        <w:keepNext w:val="0"/>
        <w:keepLines w:val="0"/>
        <w:pageBreakBefore w:val="0"/>
        <w:kinsoku/>
        <w:topLinePunct w:val="0"/>
        <w:bidi w:val="0"/>
        <w:snapToGrid w:val="0"/>
        <w:spacing w:line="400" w:lineRule="exact"/>
        <w:jc w:val="right"/>
        <w:outlineLvl w:val="9"/>
        <w:rPr>
          <w:rFonts w:hint="eastAsia" w:ascii="宋体" w:hAnsi="宋体" w:eastAsia="宋体" w:cs="宋体"/>
          <w:color w:val="auto"/>
          <w:sz w:val="24"/>
          <w:szCs w:val="24"/>
          <w:highlight w:val="none"/>
        </w:rPr>
      </w:pPr>
    </w:p>
    <w:p>
      <w:pPr>
        <w:keepNext w:val="0"/>
        <w:keepLines w:val="0"/>
        <w:pageBreakBefore w:val="0"/>
        <w:kinsoku/>
        <w:topLinePunct w:val="0"/>
        <w:bidi w:val="0"/>
        <w:spacing w:line="400" w:lineRule="exact"/>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日期：    年   月  </w:t>
      </w:r>
    </w:p>
    <w:p>
      <w:pPr>
        <w:pStyle w:val="166"/>
        <w:keepNext w:val="0"/>
        <w:keepLines w:val="0"/>
        <w:pageBreakBefore w:val="0"/>
        <w:kinsoku/>
        <w:topLinePunct w:val="0"/>
        <w:bidi w:val="0"/>
        <w:adjustRightInd w:val="0"/>
        <w:snapToGrid w:val="0"/>
        <w:spacing w:line="400" w:lineRule="exact"/>
        <w:ind w:firstLine="480" w:firstLineChars="200"/>
        <w:rPr>
          <w:rFonts w:hint="eastAsia" w:ascii="宋体" w:hAnsi="宋体" w:eastAsia="宋体" w:cs="宋体"/>
          <w:color w:val="auto"/>
          <w:sz w:val="24"/>
          <w:szCs w:val="24"/>
          <w:highlight w:val="none"/>
        </w:rPr>
        <w:sectPr>
          <w:pgSz w:w="11906" w:h="16838"/>
          <w:pgMar w:top="1440" w:right="1286" w:bottom="1440" w:left="1800" w:header="851" w:footer="992" w:gutter="0"/>
          <w:pgNumType w:fmt="decimal"/>
          <w:cols w:space="720" w:num="1"/>
          <w:docGrid w:type="lines" w:linePitch="312" w:charSpace="0"/>
        </w:sectPr>
      </w:pPr>
    </w:p>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rPr>
      </w:pPr>
      <w:bookmarkStart w:id="435" w:name="_Toc401297442"/>
      <w:bookmarkStart w:id="436" w:name="_Toc656913991"/>
      <w:bookmarkStart w:id="437" w:name="_Toc18380"/>
      <w:bookmarkStart w:id="438" w:name="_Toc1894178831"/>
      <w:r>
        <w:rPr>
          <w:rFonts w:hint="eastAsia" w:ascii="宋体" w:hAnsi="宋体" w:eastAsia="宋体" w:cs="宋体"/>
          <w:b/>
          <w:bCs/>
          <w:color w:val="auto"/>
          <w:kern w:val="44"/>
          <w:sz w:val="24"/>
          <w:szCs w:val="24"/>
          <w:highlight w:val="none"/>
          <w:lang w:val="zh-CN"/>
        </w:rPr>
        <w:t>附录</w:t>
      </w:r>
      <w:bookmarkEnd w:id="435"/>
      <w:bookmarkEnd w:id="436"/>
      <w:bookmarkEnd w:id="437"/>
      <w:bookmarkEnd w:id="438"/>
      <w:r>
        <w:rPr>
          <w:rFonts w:hint="eastAsia" w:ascii="宋体" w:hAnsi="宋体" w:eastAsia="宋体" w:cs="宋体"/>
          <w:b/>
          <w:bCs/>
          <w:color w:val="auto"/>
          <w:kern w:val="44"/>
          <w:sz w:val="24"/>
          <w:szCs w:val="24"/>
          <w:highlight w:val="none"/>
        </w:rPr>
        <w:t>6</w:t>
      </w:r>
    </w:p>
    <w:p>
      <w:pPr>
        <w:pStyle w:val="152"/>
        <w:keepNext w:val="0"/>
        <w:keepLines w:val="0"/>
        <w:pageBreakBefore w:val="0"/>
        <w:tabs>
          <w:tab w:val="center" w:pos="4201"/>
          <w:tab w:val="right" w:leader="dot" w:pos="9298"/>
        </w:tabs>
        <w:kinsoku/>
        <w:topLinePunct w:val="0"/>
        <w:bidi w:val="0"/>
        <w:spacing w:line="400" w:lineRule="exact"/>
        <w:ind w:firstLine="0" w:firstLineChars="0"/>
        <w:jc w:val="center"/>
        <w:rPr>
          <w:rFonts w:hint="eastAsia" w:ascii="宋体" w:hAnsi="宋体" w:eastAsia="宋体" w:cs="宋体"/>
          <w:color w:val="auto"/>
          <w:sz w:val="24"/>
          <w:szCs w:val="24"/>
          <w:highlight w:val="none"/>
        </w:rPr>
      </w:pPr>
      <w:bookmarkStart w:id="439" w:name="_Toc19225"/>
      <w:bookmarkStart w:id="440" w:name="_Toc6975"/>
      <w:bookmarkStart w:id="441" w:name="_Toc12642"/>
      <w:bookmarkStart w:id="442" w:name="_Toc15501"/>
      <w:r>
        <w:rPr>
          <w:rFonts w:hint="eastAsia" w:ascii="宋体" w:hAnsi="宋体" w:eastAsia="宋体" w:cs="宋体"/>
          <w:color w:val="auto"/>
          <w:sz w:val="24"/>
          <w:szCs w:val="24"/>
          <w:highlight w:val="none"/>
        </w:rPr>
        <w:t>投标人问题整改通知单</w:t>
      </w:r>
    </w:p>
    <w:p>
      <w:pPr>
        <w:keepNext w:val="0"/>
        <w:keepLines w:val="0"/>
        <w:pageBreakBefore w:val="0"/>
        <w:widowControl/>
        <w:kinsoku/>
        <w:topLinePunct w:val="0"/>
        <w:bidi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检查日期：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（年份-序号）</w:t>
      </w:r>
    </w:p>
    <w:tbl>
      <w:tblPr>
        <w:tblStyle w:val="4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758"/>
        <w:gridCol w:w="1446"/>
        <w:gridCol w:w="1690"/>
        <w:gridCol w:w="1298"/>
        <w:gridCol w:w="1200"/>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4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序号</w:t>
            </w:r>
          </w:p>
        </w:tc>
        <w:tc>
          <w:tcPr>
            <w:tcW w:w="973"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发现问题</w:t>
            </w:r>
          </w:p>
        </w:tc>
        <w:tc>
          <w:tcPr>
            <w:tcW w:w="8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整改意见及期限</w:t>
            </w:r>
          </w:p>
        </w:tc>
        <w:tc>
          <w:tcPr>
            <w:tcW w:w="935"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整改措施</w:t>
            </w:r>
          </w:p>
        </w:tc>
        <w:tc>
          <w:tcPr>
            <w:tcW w:w="718"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整改结果</w:t>
            </w:r>
          </w:p>
        </w:tc>
        <w:tc>
          <w:tcPr>
            <w:tcW w:w="664"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复查确认</w:t>
            </w:r>
          </w:p>
        </w:tc>
        <w:tc>
          <w:tcPr>
            <w:tcW w:w="506"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4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73"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35"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718"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4"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506"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4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73"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35"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718"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4"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506"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4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73"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35"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718"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4"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506"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73"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35"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718"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4"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506"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4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73"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35"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718"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4"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506"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4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73"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35"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718"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4"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506"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4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73"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800"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935"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718"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664"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c>
          <w:tcPr>
            <w:tcW w:w="506" w:type="pct"/>
            <w:noWrap w:val="0"/>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bl>
    <w:p>
      <w:pPr>
        <w:keepNext w:val="0"/>
        <w:keepLines w:val="0"/>
        <w:pageBreakBefore w:val="0"/>
        <w:widowControl/>
        <w:kinsoku/>
        <w:topLinePunct w:val="0"/>
        <w:bidi w:val="0"/>
        <w:spacing w:line="400" w:lineRule="exact"/>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检查人：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检查部门负责人：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签收人（项目负责人）：</w:t>
      </w:r>
      <w:r>
        <w:rPr>
          <w:rFonts w:hint="eastAsia" w:ascii="宋体" w:hAnsi="宋体" w:eastAsia="宋体" w:cs="宋体"/>
          <w:color w:val="auto"/>
          <w:kern w:val="0"/>
          <w:sz w:val="24"/>
          <w:szCs w:val="24"/>
          <w:highlight w:val="none"/>
          <w:u w:val="single"/>
        </w:rPr>
        <w:t xml:space="preserve">           </w:t>
      </w:r>
    </w:p>
    <w:p>
      <w:pPr>
        <w:keepNext w:val="0"/>
        <w:keepLines w:val="0"/>
        <w:pageBreakBefore w:val="0"/>
        <w:widowControl/>
        <w:kinsoku/>
        <w:topLinePunct w:val="0"/>
        <w:bidi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注1：投标人应在要求整改期限内将整改措施及整改结果填写本通知单回复投标项目实施部门。</w:t>
      </w:r>
    </w:p>
    <w:p>
      <w:pPr>
        <w:keepNext w:val="0"/>
        <w:keepLines w:val="0"/>
        <w:pageBreakBefore w:val="0"/>
        <w:widowControl/>
        <w:kinsoku/>
        <w:topLinePunct w:val="0"/>
        <w:bidi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注2：投标项目实施部门在接到整改结果回复后，组织复查确认并在“复查确认”栏中签名、填写复查时间，存档本通知单完成闭环。</w:t>
      </w:r>
    </w:p>
    <w:p>
      <w:pPr>
        <w:keepNext w:val="0"/>
        <w:keepLines w:val="0"/>
        <w:pageBreakBefore w:val="0"/>
        <w:widowControl/>
        <w:kinsoku/>
        <w:topLinePunct w:val="0"/>
        <w:bidi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注3：投标人签收人应该为本项目投标合同中明确约定的全权代表投标人履行投标合同的项目负责人或项目实施部门。</w:t>
      </w:r>
    </w:p>
    <w:p>
      <w:pPr>
        <w:keepNext w:val="0"/>
        <w:keepLines w:val="0"/>
        <w:pageBreakBefore w:val="0"/>
        <w:widowControl/>
        <w:kinsoku/>
        <w:topLinePunct w:val="0"/>
        <w:bidi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注4：本表单保存期限为5年。</w:t>
      </w:r>
    </w:p>
    <w:bookmarkEnd w:id="439"/>
    <w:bookmarkEnd w:id="440"/>
    <w:bookmarkEnd w:id="441"/>
    <w:bookmarkEnd w:id="442"/>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rPr>
      </w:pPr>
      <w:bookmarkStart w:id="443" w:name="_Toc17168"/>
      <w:bookmarkStart w:id="444" w:name="_Toc2066981104"/>
      <w:bookmarkStart w:id="445" w:name="_Toc1164882806"/>
      <w:bookmarkStart w:id="446" w:name="_Toc732906166"/>
      <w:r>
        <w:rPr>
          <w:rFonts w:hint="eastAsia" w:ascii="宋体" w:hAnsi="宋体" w:eastAsia="宋体" w:cs="宋体"/>
          <w:b/>
          <w:bCs/>
          <w:color w:val="auto"/>
          <w:kern w:val="44"/>
          <w:sz w:val="24"/>
          <w:szCs w:val="24"/>
          <w:highlight w:val="none"/>
          <w:lang w:val="zh-CN"/>
        </w:rPr>
        <w:t>附录</w:t>
      </w:r>
      <w:bookmarkEnd w:id="443"/>
      <w:bookmarkEnd w:id="444"/>
      <w:bookmarkEnd w:id="445"/>
      <w:bookmarkEnd w:id="446"/>
      <w:r>
        <w:rPr>
          <w:rFonts w:hint="eastAsia" w:ascii="宋体" w:hAnsi="宋体" w:eastAsia="宋体" w:cs="宋体"/>
          <w:b/>
          <w:bCs/>
          <w:color w:val="auto"/>
          <w:kern w:val="44"/>
          <w:sz w:val="24"/>
          <w:szCs w:val="24"/>
          <w:highlight w:val="none"/>
        </w:rPr>
        <w:t>7</w:t>
      </w:r>
    </w:p>
    <w:p>
      <w:pPr>
        <w:pStyle w:val="152"/>
        <w:keepNext w:val="0"/>
        <w:keepLines w:val="0"/>
        <w:pageBreakBefore w:val="0"/>
        <w:tabs>
          <w:tab w:val="center" w:pos="4201"/>
          <w:tab w:val="right" w:leader="dot" w:pos="9298"/>
        </w:tabs>
        <w:kinsoku/>
        <w:topLinePunct w:val="0"/>
        <w:bidi w:val="0"/>
        <w:spacing w:line="400" w:lineRule="exact"/>
        <w:ind w:firstLine="0" w:firstLineChars="0"/>
        <w:jc w:val="center"/>
        <w:rPr>
          <w:rFonts w:hint="eastAsia" w:ascii="宋体" w:hAnsi="宋体" w:eastAsia="宋体" w:cs="宋体"/>
          <w:color w:val="auto"/>
          <w:sz w:val="24"/>
          <w:szCs w:val="24"/>
          <w:highlight w:val="none"/>
        </w:rPr>
      </w:pPr>
      <w:bookmarkStart w:id="447" w:name="_Toc26374"/>
      <w:bookmarkStart w:id="448" w:name="_Toc18448"/>
      <w:bookmarkStart w:id="449" w:name="_Toc19625"/>
      <w:bookmarkStart w:id="450" w:name="_Toc11075"/>
      <w:r>
        <w:rPr>
          <w:rFonts w:hint="eastAsia" w:ascii="宋体" w:hAnsi="宋体" w:eastAsia="宋体" w:cs="宋体"/>
          <w:color w:val="auto"/>
          <w:sz w:val="24"/>
          <w:szCs w:val="24"/>
          <w:highlight w:val="none"/>
        </w:rPr>
        <w:t>合同履约评价表</w:t>
      </w:r>
    </w:p>
    <w:p>
      <w:pPr>
        <w:pStyle w:val="152"/>
        <w:keepNext w:val="0"/>
        <w:keepLines w:val="0"/>
        <w:pageBreakBefore w:val="0"/>
        <w:tabs>
          <w:tab w:val="center" w:pos="4201"/>
          <w:tab w:val="right" w:leader="dot" w:pos="9298"/>
        </w:tabs>
        <w:kinsoku/>
        <w:topLinePunct w:val="0"/>
        <w:bidi w:val="0"/>
        <w:spacing w:line="400" w:lineRule="exact"/>
        <w:ind w:firstLine="0" w:firstLineChars="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月</w:t>
      </w:r>
      <w:r>
        <w:rPr>
          <w:rFonts w:hint="eastAsia" w:ascii="宋体" w:hAnsi="宋体" w:eastAsia="宋体" w:cs="宋体"/>
          <w:color w:val="auto"/>
          <w:sz w:val="24"/>
          <w:szCs w:val="24"/>
          <w:highlight w:val="none"/>
        </w:rPr>
        <w:t>度投标人：</w:t>
      </w:r>
    </w:p>
    <w:tbl>
      <w:tblPr>
        <w:tblStyle w:val="43"/>
        <w:tblW w:w="95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4"/>
        <w:gridCol w:w="8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7" w:hRule="atLeast"/>
          <w:jc w:val="center"/>
        </w:trPr>
        <w:tc>
          <w:tcPr>
            <w:tcW w:w="1334" w:type="dxa"/>
            <w:noWrap w:val="0"/>
            <w:vAlign w:val="center"/>
          </w:tcPr>
          <w:p>
            <w:pPr>
              <w:pStyle w:val="316"/>
              <w:keepNext w:val="0"/>
              <w:keepLines w:val="0"/>
              <w:pageBreakBefore w:val="0"/>
              <w:kinsoku/>
              <w:topLinePunct w:val="0"/>
              <w:bidi w:val="0"/>
              <w:spacing w:before="1" w:line="400" w:lineRule="exact"/>
              <w:ind w:right="76"/>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本季月度主要工作内容、完成情况及上月存在问题整改情况</w:t>
            </w:r>
          </w:p>
        </w:tc>
        <w:tc>
          <w:tcPr>
            <w:tcW w:w="8238" w:type="dxa"/>
            <w:noWrap w:val="0"/>
            <w:vAlign w:val="top"/>
          </w:tcPr>
          <w:p>
            <w:pPr>
              <w:pStyle w:val="316"/>
              <w:keepNext w:val="0"/>
              <w:keepLines w:val="0"/>
              <w:pageBreakBefore w:val="0"/>
              <w:kinsoku/>
              <w:topLinePunct w:val="0"/>
              <w:bidi w:val="0"/>
              <w:spacing w:before="6"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before="6"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before="6"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line="400" w:lineRule="exact"/>
              <w:ind w:left="1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2" w:hRule="atLeast"/>
          <w:jc w:val="center"/>
        </w:trPr>
        <w:tc>
          <w:tcPr>
            <w:tcW w:w="1334" w:type="dxa"/>
            <w:noWrap w:val="0"/>
            <w:vAlign w:val="center"/>
          </w:tcPr>
          <w:p>
            <w:pPr>
              <w:pStyle w:val="316"/>
              <w:keepNext w:val="0"/>
              <w:keepLines w:val="0"/>
              <w:pageBreakBefore w:val="0"/>
              <w:kinsoku/>
              <w:topLinePunct w:val="0"/>
              <w:bidi w:val="0"/>
              <w:spacing w:before="99" w:line="400" w:lineRule="exact"/>
              <w:ind w:left="107" w:right="93"/>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存在问题及不足（主要是计划兑现率、维保质量、工作表</w:t>
            </w:r>
          </w:p>
          <w:p>
            <w:pPr>
              <w:pStyle w:val="316"/>
              <w:keepNext w:val="0"/>
              <w:keepLines w:val="0"/>
              <w:pageBreakBefore w:val="0"/>
              <w:kinsoku/>
              <w:topLinePunct w:val="0"/>
              <w:bidi w:val="0"/>
              <w:spacing w:line="400" w:lineRule="exact"/>
              <w:ind w:left="10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现等）</w:t>
            </w:r>
          </w:p>
        </w:tc>
        <w:tc>
          <w:tcPr>
            <w:tcW w:w="8238" w:type="dxa"/>
            <w:noWrap w:val="0"/>
            <w:vAlign w:val="top"/>
          </w:tcPr>
          <w:p>
            <w:pPr>
              <w:pStyle w:val="316"/>
              <w:keepNext w:val="0"/>
              <w:keepLines w:val="0"/>
              <w:pageBreakBefore w:val="0"/>
              <w:kinsoku/>
              <w:topLinePunct w:val="0"/>
              <w:bidi w:val="0"/>
              <w:spacing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before="133" w:line="400" w:lineRule="exact"/>
              <w:ind w:left="108"/>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（招标人填写）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jc w:val="center"/>
        </w:trPr>
        <w:tc>
          <w:tcPr>
            <w:tcW w:w="1334" w:type="dxa"/>
            <w:noWrap w:val="0"/>
            <w:vAlign w:val="center"/>
          </w:tcPr>
          <w:p>
            <w:pPr>
              <w:pStyle w:val="316"/>
              <w:keepNext w:val="0"/>
              <w:keepLines w:val="0"/>
              <w:pageBreakBefore w:val="0"/>
              <w:kinsoku/>
              <w:topLinePunct w:val="0"/>
              <w:bidi w:val="0"/>
              <w:spacing w:line="400" w:lineRule="exact"/>
              <w:ind w:right="9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表扬或好人好事</w:t>
            </w:r>
          </w:p>
        </w:tc>
        <w:tc>
          <w:tcPr>
            <w:tcW w:w="8238" w:type="dxa"/>
            <w:noWrap w:val="0"/>
            <w:vAlign w:val="top"/>
          </w:tcPr>
          <w:p>
            <w:pPr>
              <w:pStyle w:val="316"/>
              <w:keepNext w:val="0"/>
              <w:keepLines w:val="0"/>
              <w:pageBreakBefore w:val="0"/>
              <w:kinsoku/>
              <w:topLinePunct w:val="0"/>
              <w:bidi w:val="0"/>
              <w:spacing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before="11"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line="400" w:lineRule="exact"/>
              <w:ind w:left="108"/>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（招标人填写）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jc w:val="center"/>
        </w:trPr>
        <w:tc>
          <w:tcPr>
            <w:tcW w:w="1334" w:type="dxa"/>
            <w:noWrap w:val="0"/>
            <w:vAlign w:val="center"/>
          </w:tcPr>
          <w:p>
            <w:pPr>
              <w:pStyle w:val="316"/>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其它说明</w:t>
            </w:r>
          </w:p>
        </w:tc>
        <w:tc>
          <w:tcPr>
            <w:tcW w:w="8238" w:type="dxa"/>
            <w:noWrap w:val="0"/>
            <w:vAlign w:val="top"/>
          </w:tcPr>
          <w:p>
            <w:pPr>
              <w:pStyle w:val="316"/>
              <w:keepNext w:val="0"/>
              <w:keepLines w:val="0"/>
              <w:pageBreakBefore w:val="0"/>
              <w:kinsoku/>
              <w:topLinePunct w:val="0"/>
              <w:bidi w:val="0"/>
              <w:spacing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before="9" w:line="400" w:lineRule="exact"/>
              <w:rPr>
                <w:rFonts w:hint="eastAsia" w:ascii="宋体" w:hAnsi="宋体" w:eastAsia="宋体" w:cs="宋体"/>
                <w:color w:val="auto"/>
                <w:sz w:val="24"/>
                <w:szCs w:val="24"/>
                <w:highlight w:val="none"/>
                <w:lang w:eastAsia="zh-CN"/>
              </w:rPr>
            </w:pPr>
          </w:p>
          <w:p>
            <w:pPr>
              <w:pStyle w:val="316"/>
              <w:keepNext w:val="0"/>
              <w:keepLines w:val="0"/>
              <w:pageBreakBefore w:val="0"/>
              <w:kinsoku/>
              <w:topLinePunct w:val="0"/>
              <w:bidi w:val="0"/>
              <w:spacing w:line="400" w:lineRule="exact"/>
              <w:ind w:left="108"/>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（招标人填写）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1334" w:type="dxa"/>
            <w:noWrap w:val="0"/>
            <w:vAlign w:val="top"/>
          </w:tcPr>
          <w:p>
            <w:pPr>
              <w:pStyle w:val="316"/>
              <w:keepNext w:val="0"/>
              <w:keepLines w:val="0"/>
              <w:pageBreakBefore w:val="0"/>
              <w:kinsoku/>
              <w:topLinePunct w:val="0"/>
              <w:bidi w:val="0"/>
              <w:spacing w:before="99" w:line="400" w:lineRule="exact"/>
              <w:ind w:left="10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总体评价</w:t>
            </w:r>
          </w:p>
        </w:tc>
        <w:tc>
          <w:tcPr>
            <w:tcW w:w="8238" w:type="dxa"/>
            <w:noWrap w:val="0"/>
            <w:vAlign w:val="top"/>
          </w:tcPr>
          <w:p>
            <w:pPr>
              <w:pStyle w:val="316"/>
              <w:keepNext w:val="0"/>
              <w:keepLines w:val="0"/>
              <w:pageBreakBefore w:val="0"/>
              <w:tabs>
                <w:tab w:val="left" w:pos="1579"/>
                <w:tab w:val="left" w:pos="2734"/>
                <w:tab w:val="left" w:pos="3891"/>
                <w:tab w:val="left" w:pos="5045"/>
              </w:tabs>
              <w:kinsoku/>
              <w:topLinePunct w:val="0"/>
              <w:bidi w:val="0"/>
              <w:spacing w:before="99" w:line="400" w:lineRule="exact"/>
              <w:ind w:left="42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pacing w:val="1"/>
                <w:sz w:val="24"/>
                <w:szCs w:val="24"/>
                <w:highlight w:val="none"/>
                <w:lang w:eastAsia="zh-CN"/>
              </w:rPr>
              <w:t xml:space="preserve"> </w:t>
            </w:r>
            <w:r>
              <w:rPr>
                <w:rFonts w:hint="eastAsia" w:ascii="宋体" w:hAnsi="宋体" w:eastAsia="宋体" w:cs="宋体"/>
                <w:color w:val="auto"/>
                <w:spacing w:val="-3"/>
                <w:sz w:val="24"/>
                <w:szCs w:val="24"/>
                <w:highlight w:val="none"/>
                <w:lang w:eastAsia="zh-CN"/>
              </w:rPr>
              <w:t>优</w:t>
            </w:r>
            <w:r>
              <w:rPr>
                <w:rFonts w:hint="eastAsia" w:ascii="宋体" w:hAnsi="宋体" w:eastAsia="宋体" w:cs="宋体"/>
                <w:color w:val="auto"/>
                <w:sz w:val="24"/>
                <w:szCs w:val="24"/>
                <w:highlight w:val="none"/>
                <w:lang w:eastAsia="zh-CN"/>
              </w:rPr>
              <w:t xml:space="preserve">秀   </w:t>
            </w: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lang w:eastAsia="zh-CN"/>
              </w:rPr>
              <w:t xml:space="preserve">优良   </w:t>
            </w: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pacing w:val="-3"/>
                <w:sz w:val="24"/>
                <w:szCs w:val="24"/>
                <w:highlight w:val="none"/>
                <w:lang w:eastAsia="zh-CN"/>
              </w:rPr>
              <w:t>良</w:t>
            </w:r>
            <w:r>
              <w:rPr>
                <w:rFonts w:hint="eastAsia" w:ascii="宋体" w:hAnsi="宋体" w:eastAsia="宋体" w:cs="宋体"/>
                <w:color w:val="auto"/>
                <w:sz w:val="24"/>
                <w:szCs w:val="24"/>
                <w:highlight w:val="none"/>
                <w:lang w:eastAsia="zh-CN"/>
              </w:rPr>
              <w:t xml:space="preserve">好   </w:t>
            </w: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lang w:eastAsia="zh-CN"/>
              </w:rPr>
              <w:t xml:space="preserve">一般   </w:t>
            </w: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pacing w:val="-3"/>
                <w:sz w:val="24"/>
                <w:szCs w:val="24"/>
                <w:highlight w:val="none"/>
                <w:lang w:eastAsia="zh-CN"/>
              </w:rPr>
              <w:t>较差</w:t>
            </w:r>
          </w:p>
        </w:tc>
      </w:tr>
    </w:tbl>
    <w:p>
      <w:pPr>
        <w:pStyle w:val="152"/>
        <w:keepNext w:val="0"/>
        <w:keepLines w:val="0"/>
        <w:pageBreakBefore w:val="0"/>
        <w:tabs>
          <w:tab w:val="center" w:pos="4201"/>
          <w:tab w:val="right" w:leader="dot" w:pos="9298"/>
        </w:tabs>
        <w:kinsoku/>
        <w:topLinePunct w:val="0"/>
        <w:bidi w:val="0"/>
        <w:spacing w:line="400" w:lineRule="exact"/>
        <w:ind w:firstLine="0" w:firstLineChars="0"/>
        <w:rPr>
          <w:rFonts w:hint="eastAsia" w:ascii="宋体" w:hAnsi="宋体" w:eastAsia="宋体" w:cs="宋体"/>
          <w:color w:val="auto"/>
          <w:sz w:val="24"/>
          <w:szCs w:val="24"/>
          <w:highlight w:val="none"/>
        </w:rPr>
      </w:pPr>
    </w:p>
    <w:p>
      <w:pPr>
        <w:pStyle w:val="152"/>
        <w:keepNext w:val="0"/>
        <w:keepLines w:val="0"/>
        <w:pageBreakBefore w:val="0"/>
        <w:tabs>
          <w:tab w:val="center" w:pos="4201"/>
          <w:tab w:val="right" w:leader="dot" w:pos="9298"/>
        </w:tabs>
        <w:kinsoku/>
        <w:topLinePunct w:val="0"/>
        <w:bidi w:val="0"/>
        <w:spacing w:line="400" w:lineRule="exact"/>
        <w:ind w:firstLine="0" w:firstLineChars="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3"/>
          <w:sz w:val="24"/>
          <w:szCs w:val="24"/>
          <w:highlight w:val="none"/>
        </w:rPr>
        <w:t>负</w:t>
      </w:r>
      <w:r>
        <w:rPr>
          <w:rFonts w:hint="eastAsia" w:ascii="宋体" w:hAnsi="宋体" w:eastAsia="宋体" w:cs="宋体"/>
          <w:color w:val="auto"/>
          <w:sz w:val="24"/>
          <w:szCs w:val="24"/>
          <w:highlight w:val="none"/>
        </w:rPr>
        <w:t>责</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专</w:t>
      </w:r>
      <w:r>
        <w:rPr>
          <w:rFonts w:hint="eastAsia" w:ascii="宋体" w:hAnsi="宋体" w:eastAsia="宋体" w:cs="宋体"/>
          <w:color w:val="auto"/>
          <w:sz w:val="24"/>
          <w:szCs w:val="24"/>
          <w:highlight w:val="none"/>
        </w:rPr>
        <w:t>业</w:t>
      </w:r>
      <w:r>
        <w:rPr>
          <w:rFonts w:hint="eastAsia" w:ascii="宋体" w:hAnsi="宋体" w:eastAsia="宋体" w:cs="宋体"/>
          <w:color w:val="auto"/>
          <w:spacing w:val="-3"/>
          <w:sz w:val="24"/>
          <w:szCs w:val="24"/>
          <w:highlight w:val="none"/>
        </w:rPr>
        <w:t>工</w:t>
      </w:r>
      <w:r>
        <w:rPr>
          <w:rFonts w:hint="eastAsia" w:ascii="宋体" w:hAnsi="宋体" w:eastAsia="宋体" w:cs="宋体"/>
          <w:color w:val="auto"/>
          <w:sz w:val="24"/>
          <w:szCs w:val="24"/>
          <w:highlight w:val="none"/>
        </w:rPr>
        <w:t>程</w:t>
      </w:r>
      <w:r>
        <w:rPr>
          <w:rFonts w:hint="eastAsia" w:ascii="宋体" w:hAnsi="宋体" w:eastAsia="宋体" w:cs="宋体"/>
          <w:color w:val="auto"/>
          <w:spacing w:val="-3"/>
          <w:sz w:val="24"/>
          <w:szCs w:val="24"/>
          <w:highlight w:val="none"/>
        </w:rPr>
        <w:t>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项目</w:t>
      </w:r>
      <w:r>
        <w:rPr>
          <w:rFonts w:hint="eastAsia" w:ascii="宋体" w:hAnsi="宋体" w:eastAsia="宋体" w:cs="宋体"/>
          <w:color w:val="auto"/>
          <w:sz w:val="24"/>
          <w:szCs w:val="24"/>
          <w:highlight w:val="none"/>
          <w:lang w:bidi="ar"/>
        </w:rPr>
        <w:t>实施部门负责人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p>
    <w:p>
      <w:pPr>
        <w:pStyle w:val="152"/>
        <w:keepNext w:val="0"/>
        <w:keepLines w:val="0"/>
        <w:pageBreakBefore w:val="0"/>
        <w:tabs>
          <w:tab w:val="center" w:pos="4201"/>
          <w:tab w:val="right" w:leader="dot" w:pos="9298"/>
        </w:tabs>
        <w:kinsoku/>
        <w:topLinePunct w:val="0"/>
        <w:bidi w:val="0"/>
        <w:spacing w:line="400" w:lineRule="exact"/>
        <w:ind w:firstLine="42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日期: </w:t>
      </w:r>
      <w:r>
        <w:rPr>
          <w:rFonts w:hint="eastAsia" w:ascii="宋体" w:hAnsi="宋体" w:eastAsia="宋体" w:cs="宋体"/>
          <w:color w:val="auto"/>
          <w:sz w:val="24"/>
          <w:szCs w:val="24"/>
          <w:highlight w:val="none"/>
          <w:u w:val="single"/>
        </w:rPr>
        <w:t xml:space="preserve">           </w:t>
      </w:r>
    </w:p>
    <w:p>
      <w:pPr>
        <w:pStyle w:val="152"/>
        <w:keepNext w:val="0"/>
        <w:keepLines w:val="0"/>
        <w:pageBreakBefore w:val="0"/>
        <w:tabs>
          <w:tab w:val="center" w:pos="4201"/>
          <w:tab w:val="right" w:leader="dot" w:pos="9298"/>
        </w:tabs>
        <w:kinsoku/>
        <w:topLinePunct w:val="0"/>
        <w:bidi w:val="0"/>
        <w:spacing w:line="400" w:lineRule="exact"/>
        <w:ind w:firstLine="420"/>
        <w:rPr>
          <w:rFonts w:hint="eastAsia" w:ascii="宋体" w:hAnsi="宋体" w:eastAsia="宋体" w:cs="宋体"/>
          <w:color w:val="auto"/>
          <w:sz w:val="24"/>
          <w:szCs w:val="24"/>
          <w:highlight w:val="none"/>
          <w:lang w:val="zh-CN" w:bidi="zh-CN"/>
        </w:rPr>
      </w:pPr>
      <w:r>
        <w:rPr>
          <w:rFonts w:hint="eastAsia" w:ascii="宋体" w:hAnsi="宋体" w:eastAsia="宋体" w:cs="宋体"/>
          <w:color w:val="auto"/>
          <w:sz w:val="24"/>
          <w:szCs w:val="24"/>
          <w:highlight w:val="none"/>
        </w:rPr>
        <w:t>本合</w:t>
      </w:r>
      <w:r>
        <w:rPr>
          <w:rFonts w:hint="eastAsia" w:ascii="宋体" w:hAnsi="宋体" w:eastAsia="宋体" w:cs="宋体"/>
          <w:color w:val="auto"/>
          <w:spacing w:val="-3"/>
          <w:sz w:val="24"/>
          <w:szCs w:val="24"/>
          <w:highlight w:val="none"/>
        </w:rPr>
        <w:t>同</w:t>
      </w:r>
      <w:r>
        <w:rPr>
          <w:rFonts w:hint="eastAsia" w:ascii="宋体" w:hAnsi="宋体" w:eastAsia="宋体" w:cs="宋体"/>
          <w:color w:val="auto"/>
          <w:sz w:val="24"/>
          <w:szCs w:val="24"/>
          <w:highlight w:val="none"/>
        </w:rPr>
        <w:t>履</w:t>
      </w:r>
      <w:r>
        <w:rPr>
          <w:rFonts w:hint="eastAsia" w:ascii="宋体" w:hAnsi="宋体" w:eastAsia="宋体" w:cs="宋体"/>
          <w:color w:val="auto"/>
          <w:spacing w:val="-3"/>
          <w:sz w:val="24"/>
          <w:szCs w:val="24"/>
          <w:highlight w:val="none"/>
        </w:rPr>
        <w:t>约</w:t>
      </w:r>
      <w:r>
        <w:rPr>
          <w:rFonts w:hint="eastAsia" w:ascii="宋体" w:hAnsi="宋体" w:eastAsia="宋体" w:cs="宋体"/>
          <w:color w:val="auto"/>
          <w:sz w:val="24"/>
          <w:szCs w:val="24"/>
          <w:highlight w:val="none"/>
        </w:rPr>
        <w:t>评</w:t>
      </w:r>
      <w:r>
        <w:rPr>
          <w:rFonts w:hint="eastAsia" w:ascii="宋体" w:hAnsi="宋体" w:eastAsia="宋体" w:cs="宋体"/>
          <w:color w:val="auto"/>
          <w:spacing w:val="-98"/>
          <w:sz w:val="24"/>
          <w:szCs w:val="24"/>
          <w:highlight w:val="none"/>
        </w:rPr>
        <w:t xml:space="preserve"> </w:t>
      </w:r>
      <w:r>
        <w:rPr>
          <w:rFonts w:hint="eastAsia" w:ascii="宋体" w:hAnsi="宋体" w:eastAsia="宋体" w:cs="宋体"/>
          <w:color w:val="auto"/>
          <w:spacing w:val="-3"/>
          <w:sz w:val="24"/>
          <w:szCs w:val="24"/>
          <w:highlight w:val="none"/>
        </w:rPr>
        <w:t>价</w:t>
      </w:r>
      <w:r>
        <w:rPr>
          <w:rFonts w:hint="eastAsia" w:ascii="宋体" w:hAnsi="宋体" w:eastAsia="宋体" w:cs="宋体"/>
          <w:color w:val="auto"/>
          <w:sz w:val="24"/>
          <w:szCs w:val="24"/>
          <w:highlight w:val="none"/>
        </w:rPr>
        <w:t>表</w:t>
      </w:r>
      <w:r>
        <w:rPr>
          <w:rFonts w:hint="eastAsia" w:ascii="宋体" w:hAnsi="宋体" w:eastAsia="宋体" w:cs="宋体"/>
          <w:color w:val="auto"/>
          <w:spacing w:val="-3"/>
          <w:sz w:val="24"/>
          <w:szCs w:val="24"/>
          <w:highlight w:val="none"/>
        </w:rPr>
        <w:t>按</w:t>
      </w:r>
      <w:r>
        <w:rPr>
          <w:rFonts w:hint="eastAsia" w:ascii="宋体" w:hAnsi="宋体" w:eastAsia="宋体" w:cs="宋体"/>
          <w:color w:val="auto"/>
          <w:sz w:val="24"/>
          <w:szCs w:val="24"/>
          <w:highlight w:val="none"/>
        </w:rPr>
        <w:t>月</w:t>
      </w:r>
      <w:r>
        <w:rPr>
          <w:rFonts w:hint="eastAsia" w:ascii="宋体" w:hAnsi="宋体" w:eastAsia="宋体" w:cs="宋体"/>
          <w:color w:val="auto"/>
          <w:spacing w:val="-3"/>
          <w:sz w:val="24"/>
          <w:szCs w:val="24"/>
          <w:highlight w:val="none"/>
        </w:rPr>
        <w:t>度</w:t>
      </w:r>
      <w:r>
        <w:rPr>
          <w:rFonts w:hint="eastAsia" w:ascii="宋体" w:hAnsi="宋体" w:eastAsia="宋体" w:cs="宋体"/>
          <w:color w:val="auto"/>
          <w:sz w:val="24"/>
          <w:szCs w:val="24"/>
          <w:highlight w:val="none"/>
        </w:rPr>
        <w:t>进行</w:t>
      </w:r>
      <w:r>
        <w:rPr>
          <w:rFonts w:hint="eastAsia" w:ascii="宋体" w:hAnsi="宋体" w:eastAsia="宋体" w:cs="宋体"/>
          <w:color w:val="auto"/>
          <w:spacing w:val="-3"/>
          <w:sz w:val="24"/>
          <w:szCs w:val="24"/>
          <w:highlight w:val="none"/>
        </w:rPr>
        <w:t>评</w:t>
      </w:r>
      <w:r>
        <w:rPr>
          <w:rFonts w:hint="eastAsia" w:ascii="宋体" w:hAnsi="宋体" w:eastAsia="宋体" w:cs="宋体"/>
          <w:color w:val="auto"/>
          <w:sz w:val="24"/>
          <w:szCs w:val="24"/>
          <w:highlight w:val="none"/>
        </w:rPr>
        <w:t>价</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本</w:t>
      </w:r>
      <w:r>
        <w:rPr>
          <w:rFonts w:hint="eastAsia" w:ascii="宋体" w:hAnsi="宋体" w:eastAsia="宋体" w:cs="宋体"/>
          <w:color w:val="auto"/>
          <w:spacing w:val="-3"/>
          <w:sz w:val="24"/>
          <w:szCs w:val="24"/>
          <w:highlight w:val="none"/>
        </w:rPr>
        <w:t>表</w:t>
      </w:r>
      <w:r>
        <w:rPr>
          <w:rFonts w:hint="eastAsia" w:ascii="宋体" w:hAnsi="宋体" w:eastAsia="宋体" w:cs="宋体"/>
          <w:color w:val="auto"/>
          <w:sz w:val="24"/>
          <w:szCs w:val="24"/>
          <w:highlight w:val="none"/>
        </w:rPr>
        <w:t>一</w:t>
      </w:r>
      <w:r>
        <w:rPr>
          <w:rFonts w:hint="eastAsia" w:ascii="宋体" w:hAnsi="宋体" w:eastAsia="宋体" w:cs="宋体"/>
          <w:color w:val="auto"/>
          <w:spacing w:val="-3"/>
          <w:sz w:val="24"/>
          <w:szCs w:val="24"/>
          <w:highlight w:val="none"/>
        </w:rPr>
        <w:t>式</w:t>
      </w:r>
      <w:r>
        <w:rPr>
          <w:rFonts w:hint="eastAsia" w:ascii="宋体" w:hAnsi="宋体" w:eastAsia="宋体" w:cs="宋体"/>
          <w:color w:val="auto"/>
          <w:sz w:val="24"/>
          <w:szCs w:val="24"/>
          <w:highlight w:val="none"/>
        </w:rPr>
        <w:t>二</w:t>
      </w:r>
      <w:r>
        <w:rPr>
          <w:rFonts w:hint="eastAsia" w:ascii="宋体" w:hAnsi="宋体" w:eastAsia="宋体" w:cs="宋体"/>
          <w:color w:val="auto"/>
          <w:spacing w:val="-3"/>
          <w:sz w:val="24"/>
          <w:szCs w:val="24"/>
          <w:highlight w:val="none"/>
        </w:rPr>
        <w:t>份</w:t>
      </w:r>
      <w:r>
        <w:rPr>
          <w:rFonts w:hint="eastAsia" w:ascii="宋体" w:hAnsi="宋体" w:eastAsia="宋体" w:cs="宋体"/>
          <w:color w:val="auto"/>
          <w:sz w:val="24"/>
          <w:szCs w:val="24"/>
          <w:highlight w:val="none"/>
        </w:rPr>
        <w:t>，投标人一</w:t>
      </w:r>
      <w:r>
        <w:rPr>
          <w:rFonts w:hint="eastAsia" w:ascii="宋体" w:hAnsi="宋体" w:eastAsia="宋体" w:cs="宋体"/>
          <w:color w:val="auto"/>
          <w:spacing w:val="-3"/>
          <w:sz w:val="24"/>
          <w:szCs w:val="24"/>
          <w:highlight w:val="none"/>
        </w:rPr>
        <w:t>份</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bidi="ar"/>
        </w:rPr>
        <w:t>实施部门</w:t>
      </w:r>
      <w:r>
        <w:rPr>
          <w:rFonts w:hint="eastAsia" w:ascii="宋体" w:hAnsi="宋体" w:eastAsia="宋体" w:cs="宋体"/>
          <w:color w:val="auto"/>
          <w:sz w:val="24"/>
          <w:szCs w:val="24"/>
          <w:highlight w:val="none"/>
        </w:rPr>
        <w:t>一</w:t>
      </w:r>
      <w:r>
        <w:rPr>
          <w:rFonts w:hint="eastAsia" w:ascii="宋体" w:hAnsi="宋体" w:eastAsia="宋体" w:cs="宋体"/>
          <w:color w:val="auto"/>
          <w:spacing w:val="-3"/>
          <w:sz w:val="24"/>
          <w:szCs w:val="24"/>
          <w:highlight w:val="none"/>
        </w:rPr>
        <w:t>份</w:t>
      </w:r>
      <w:r>
        <w:rPr>
          <w:rFonts w:hint="eastAsia" w:ascii="宋体" w:hAnsi="宋体" w:eastAsia="宋体" w:cs="宋体"/>
          <w:color w:val="auto"/>
          <w:sz w:val="24"/>
          <w:szCs w:val="24"/>
          <w:highlight w:val="none"/>
        </w:rPr>
        <w:t>。</w:t>
      </w:r>
    </w:p>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rPr>
      </w:pPr>
      <w:r>
        <w:rPr>
          <w:rFonts w:hint="eastAsia" w:ascii="宋体" w:hAnsi="宋体" w:eastAsia="宋体" w:cs="宋体"/>
          <w:b/>
          <w:bCs/>
          <w:color w:val="auto"/>
          <w:kern w:val="44"/>
          <w:sz w:val="24"/>
          <w:szCs w:val="24"/>
          <w:highlight w:val="none"/>
          <w:lang w:val="zh-CN"/>
        </w:rPr>
        <w:br w:type="page"/>
      </w:r>
      <w:bookmarkEnd w:id="447"/>
      <w:bookmarkEnd w:id="448"/>
      <w:bookmarkEnd w:id="449"/>
      <w:bookmarkEnd w:id="450"/>
      <w:bookmarkStart w:id="451" w:name="_Toc401502015"/>
      <w:bookmarkStart w:id="452" w:name="_Toc636"/>
      <w:bookmarkStart w:id="453" w:name="_Toc6208292"/>
      <w:r>
        <w:rPr>
          <w:rFonts w:hint="eastAsia" w:ascii="宋体" w:hAnsi="宋体" w:eastAsia="宋体" w:cs="宋体"/>
          <w:b/>
          <w:bCs/>
          <w:color w:val="auto"/>
          <w:kern w:val="44"/>
          <w:sz w:val="24"/>
          <w:szCs w:val="24"/>
          <w:highlight w:val="none"/>
          <w:lang w:val="zh-CN"/>
        </w:rPr>
        <w:t>附录</w:t>
      </w:r>
      <w:bookmarkEnd w:id="451"/>
      <w:bookmarkEnd w:id="452"/>
      <w:bookmarkEnd w:id="453"/>
      <w:r>
        <w:rPr>
          <w:rFonts w:hint="eastAsia" w:ascii="宋体" w:hAnsi="宋体" w:eastAsia="宋体" w:cs="宋体"/>
          <w:b/>
          <w:bCs/>
          <w:color w:val="auto"/>
          <w:kern w:val="44"/>
          <w:sz w:val="24"/>
          <w:szCs w:val="24"/>
          <w:highlight w:val="none"/>
        </w:rPr>
        <w:t>8</w:t>
      </w:r>
    </w:p>
    <w:p>
      <w:pPr>
        <w:pStyle w:val="152"/>
        <w:keepNext w:val="0"/>
        <w:keepLines w:val="0"/>
        <w:pageBreakBefore w:val="0"/>
        <w:tabs>
          <w:tab w:val="center" w:pos="4201"/>
          <w:tab w:val="right" w:leader="dot" w:pos="9298"/>
        </w:tabs>
        <w:kinsoku/>
        <w:topLinePunct w:val="0"/>
        <w:bidi w:val="0"/>
        <w:spacing w:line="400" w:lineRule="exact"/>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投标人考核评价表</w:t>
      </w:r>
    </w:p>
    <w:p>
      <w:pPr>
        <w:pStyle w:val="20"/>
        <w:keepNext w:val="0"/>
        <w:keepLines w:val="0"/>
        <w:pageBreakBefore w:val="0"/>
        <w:tabs>
          <w:tab w:val="left" w:pos="5953"/>
        </w:tabs>
        <w:kinsoku/>
        <w:topLinePunct w:val="0"/>
        <w:bidi w:val="0"/>
        <w:spacing w:before="83" w:after="43" w:line="400" w:lineRule="exact"/>
        <w:ind w:left="0" w:leftChars="0" w:firstLine="0" w:firstLineChars="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合同编号：</w:t>
      </w:r>
      <w:r>
        <w:rPr>
          <w:rFonts w:hint="eastAsia" w:ascii="宋体" w:hAnsi="宋体" w:eastAsia="宋体" w:cs="宋体"/>
          <w:color w:val="auto"/>
          <w:sz w:val="24"/>
          <w:szCs w:val="24"/>
          <w:highlight w:val="none"/>
          <w:u w:val="single"/>
        </w:rPr>
        <w:t xml:space="preserve">               </w:t>
      </w:r>
    </w:p>
    <w:tbl>
      <w:tblPr>
        <w:tblStyle w:val="43"/>
        <w:tblW w:w="4999" w:type="pct"/>
        <w:tblInd w:w="0" w:type="dxa"/>
        <w:tblLayout w:type="autofit"/>
        <w:tblCellMar>
          <w:top w:w="0" w:type="dxa"/>
          <w:left w:w="0" w:type="dxa"/>
          <w:bottom w:w="0" w:type="dxa"/>
          <w:right w:w="0" w:type="dxa"/>
        </w:tblCellMar>
      </w:tblPr>
      <w:tblGrid>
        <w:gridCol w:w="1925"/>
        <w:gridCol w:w="6925"/>
      </w:tblGrid>
      <w:tr>
        <w:trPr>
          <w:trHeight w:val="2401" w:hRule="atLeast"/>
        </w:trPr>
        <w:tc>
          <w:tcPr>
            <w:tcW w:w="108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本月主要工作内容、完成情况及上月存在问题整改情况</w:t>
            </w:r>
          </w:p>
        </w:tc>
        <w:tc>
          <w:tcPr>
            <w:tcW w:w="39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（投标人填写）</w:t>
            </w:r>
          </w:p>
        </w:tc>
      </w:tr>
      <w:tr>
        <w:tblPrEx>
          <w:tblCellMar>
            <w:top w:w="0" w:type="dxa"/>
            <w:left w:w="0" w:type="dxa"/>
            <w:bottom w:w="0" w:type="dxa"/>
            <w:right w:w="0" w:type="dxa"/>
          </w:tblCellMar>
        </w:tblPrEx>
        <w:trPr>
          <w:trHeight w:val="2039" w:hRule="atLeast"/>
        </w:trPr>
        <w:tc>
          <w:tcPr>
            <w:tcW w:w="108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存在问题及不足（计划完成情况、工作质量等）</w:t>
            </w:r>
          </w:p>
        </w:tc>
        <w:tc>
          <w:tcPr>
            <w:tcW w:w="39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（招标人填写）</w:t>
            </w:r>
          </w:p>
        </w:tc>
      </w:tr>
      <w:tr>
        <w:tblPrEx>
          <w:tblCellMar>
            <w:top w:w="0" w:type="dxa"/>
            <w:left w:w="0" w:type="dxa"/>
            <w:bottom w:w="0" w:type="dxa"/>
            <w:right w:w="0" w:type="dxa"/>
          </w:tblCellMar>
        </w:tblPrEx>
        <w:trPr>
          <w:trHeight w:val="902" w:hRule="atLeast"/>
        </w:trPr>
        <w:tc>
          <w:tcPr>
            <w:tcW w:w="10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表扬或好人好事</w:t>
            </w:r>
          </w:p>
        </w:tc>
        <w:tc>
          <w:tcPr>
            <w:tcW w:w="39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（招标人填写）</w:t>
            </w:r>
          </w:p>
        </w:tc>
      </w:tr>
      <w:tr>
        <w:tblPrEx>
          <w:tblCellMar>
            <w:top w:w="0" w:type="dxa"/>
            <w:left w:w="0" w:type="dxa"/>
            <w:bottom w:w="0" w:type="dxa"/>
            <w:right w:w="0" w:type="dxa"/>
          </w:tblCellMar>
        </w:tblPrEx>
        <w:trPr>
          <w:trHeight w:val="845" w:hRule="atLeast"/>
        </w:trPr>
        <w:tc>
          <w:tcPr>
            <w:tcW w:w="10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其他说明</w:t>
            </w:r>
          </w:p>
        </w:tc>
        <w:tc>
          <w:tcPr>
            <w:tcW w:w="39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（招标人填写）</w:t>
            </w:r>
          </w:p>
        </w:tc>
      </w:tr>
      <w:tr>
        <w:tblPrEx>
          <w:tblCellMar>
            <w:top w:w="0" w:type="dxa"/>
            <w:left w:w="0" w:type="dxa"/>
            <w:bottom w:w="0" w:type="dxa"/>
            <w:right w:w="0" w:type="dxa"/>
          </w:tblCellMar>
        </w:tblPrEx>
        <w:trPr>
          <w:trHeight w:val="1273" w:hRule="atLeast"/>
        </w:trPr>
        <w:tc>
          <w:tcPr>
            <w:tcW w:w="10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考核得分</w:t>
            </w:r>
          </w:p>
        </w:tc>
        <w:tc>
          <w:tcPr>
            <w:tcW w:w="39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（招标人填写）</w:t>
            </w:r>
          </w:p>
        </w:tc>
      </w:tr>
      <w:tr>
        <w:tblPrEx>
          <w:tblCellMar>
            <w:top w:w="0" w:type="dxa"/>
            <w:left w:w="0" w:type="dxa"/>
            <w:bottom w:w="0" w:type="dxa"/>
            <w:right w:w="0" w:type="dxa"/>
          </w:tblCellMar>
        </w:tblPrEx>
        <w:trPr>
          <w:trHeight w:val="1167"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经办人：              日期：          项目实施部门负责人：              日期：</w:t>
            </w:r>
          </w:p>
        </w:tc>
      </w:tr>
      <w:tr>
        <w:tblPrEx>
          <w:tblCellMar>
            <w:top w:w="0" w:type="dxa"/>
            <w:left w:w="0" w:type="dxa"/>
            <w:bottom w:w="0" w:type="dxa"/>
            <w:right w:w="0" w:type="dxa"/>
          </w:tblCellMar>
        </w:tblPrEx>
        <w:trPr>
          <w:trHeight w:val="239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项目实施部门审核意见：</w:t>
            </w: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pStyle w:val="20"/>
              <w:keepNext w:val="0"/>
              <w:keepLines w:val="0"/>
              <w:pageBreakBefore w:val="0"/>
              <w:kinsoku/>
              <w:topLinePunct w:val="0"/>
              <w:bidi w:val="0"/>
              <w:spacing w:line="400" w:lineRule="exact"/>
              <w:rPr>
                <w:rFonts w:hint="eastAsia" w:ascii="宋体" w:hAnsi="宋体" w:eastAsia="宋体" w:cs="宋体"/>
                <w:color w:val="auto"/>
                <w:sz w:val="24"/>
                <w:szCs w:val="24"/>
                <w:highlight w:val="none"/>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日期：</w:t>
            </w:r>
          </w:p>
        </w:tc>
      </w:tr>
    </w:tbl>
    <w:p>
      <w:pPr>
        <w:pStyle w:val="20"/>
        <w:keepNext w:val="0"/>
        <w:keepLines w:val="0"/>
        <w:pageBreakBefore w:val="0"/>
        <w:tabs>
          <w:tab w:val="left" w:pos="5953"/>
        </w:tabs>
        <w:kinsoku/>
        <w:topLinePunct w:val="0"/>
        <w:bidi w:val="0"/>
        <w:spacing w:after="0"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注1：本表单保存期限为5年。</w:t>
      </w:r>
    </w:p>
    <w:p>
      <w:pPr>
        <w:pStyle w:val="20"/>
        <w:keepNext w:val="0"/>
        <w:keepLines w:val="0"/>
        <w:pageBreakBefore w:val="0"/>
        <w:tabs>
          <w:tab w:val="left" w:pos="5953"/>
        </w:tabs>
        <w:kinsoku/>
        <w:topLinePunct w:val="0"/>
        <w:bidi w:val="0"/>
        <w:spacing w:line="4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注2：按每月度进行一次工作评价，年度评价取月度评价的平均分。</w:t>
      </w:r>
    </w:p>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rPr>
      </w:pPr>
      <w:bookmarkStart w:id="454" w:name="_Toc990011353"/>
      <w:bookmarkStart w:id="455" w:name="_Toc1738220383"/>
      <w:bookmarkStart w:id="456" w:name="_Toc1647155797"/>
      <w:r>
        <w:rPr>
          <w:rFonts w:hint="eastAsia" w:ascii="宋体" w:hAnsi="宋体" w:eastAsia="宋体" w:cs="宋体"/>
          <w:b/>
          <w:bCs/>
          <w:color w:val="auto"/>
          <w:kern w:val="44"/>
          <w:sz w:val="24"/>
          <w:szCs w:val="24"/>
          <w:highlight w:val="none"/>
          <w:lang w:val="zh-CN"/>
        </w:rPr>
        <w:t>附录</w:t>
      </w:r>
      <w:bookmarkEnd w:id="454"/>
      <w:bookmarkEnd w:id="455"/>
      <w:bookmarkEnd w:id="456"/>
      <w:r>
        <w:rPr>
          <w:rFonts w:hint="eastAsia" w:ascii="宋体" w:hAnsi="宋体" w:eastAsia="宋体" w:cs="宋体"/>
          <w:b/>
          <w:bCs/>
          <w:color w:val="auto"/>
          <w:kern w:val="44"/>
          <w:sz w:val="24"/>
          <w:szCs w:val="24"/>
          <w:highlight w:val="none"/>
        </w:rPr>
        <w:t>9</w:t>
      </w:r>
    </w:p>
    <w:p>
      <w:pPr>
        <w:pStyle w:val="20"/>
        <w:keepNext w:val="0"/>
        <w:keepLines w:val="0"/>
        <w:pageBreakBefore w:val="0"/>
        <w:tabs>
          <w:tab w:val="left" w:pos="5953"/>
        </w:tabs>
        <w:kinsoku/>
        <w:topLinePunct w:val="0"/>
        <w:bidi w:val="0"/>
        <w:spacing w:after="0" w:line="400" w:lineRule="exact"/>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投标人开具扣款单</w:t>
      </w:r>
    </w:p>
    <w:p>
      <w:pPr>
        <w:keepNext w:val="0"/>
        <w:keepLines w:val="0"/>
        <w:pageBreakBefore w:val="0"/>
        <w:kinsoku/>
        <w:topLinePunct w:val="0"/>
        <w:bidi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年    </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半年</w:t>
      </w:r>
    </w:p>
    <w:tbl>
      <w:tblPr>
        <w:tblStyle w:val="43"/>
        <w:tblW w:w="5000" w:type="pct"/>
        <w:tblInd w:w="0" w:type="dxa"/>
        <w:tblLayout w:type="autofit"/>
        <w:tblCellMar>
          <w:top w:w="0" w:type="dxa"/>
          <w:left w:w="0" w:type="dxa"/>
          <w:bottom w:w="0" w:type="dxa"/>
          <w:right w:w="0" w:type="dxa"/>
        </w:tblCellMar>
      </w:tblPr>
      <w:tblGrid>
        <w:gridCol w:w="5129"/>
        <w:gridCol w:w="3721"/>
      </w:tblGrid>
      <w:tr>
        <w:tblPrEx>
          <w:tblCellMar>
            <w:top w:w="0" w:type="dxa"/>
            <w:left w:w="0" w:type="dxa"/>
            <w:bottom w:w="0" w:type="dxa"/>
            <w:right w:w="0" w:type="dxa"/>
          </w:tblCellMar>
        </w:tblPrEx>
        <w:trPr>
          <w:trHeight w:val="758" w:hRule="atLeast"/>
        </w:trPr>
        <w:tc>
          <w:tcPr>
            <w:tcW w:w="500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投标项目名称：</w:t>
            </w:r>
          </w:p>
        </w:tc>
      </w:tr>
      <w:tr>
        <w:tblPrEx>
          <w:tblCellMar>
            <w:top w:w="0" w:type="dxa"/>
            <w:left w:w="0" w:type="dxa"/>
            <w:bottom w:w="0" w:type="dxa"/>
            <w:right w:w="0" w:type="dxa"/>
          </w:tblCellMar>
        </w:tblPrEx>
        <w:trPr>
          <w:trHeight w:val="722" w:hRule="atLeast"/>
        </w:trPr>
        <w:tc>
          <w:tcPr>
            <w:tcW w:w="500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合同编号：</w:t>
            </w:r>
          </w:p>
        </w:tc>
      </w:tr>
      <w:tr>
        <w:tblPrEx>
          <w:tblCellMar>
            <w:top w:w="0" w:type="dxa"/>
            <w:left w:w="0" w:type="dxa"/>
            <w:bottom w:w="0" w:type="dxa"/>
            <w:right w:w="0" w:type="dxa"/>
          </w:tblCellMar>
        </w:tblPrEx>
        <w:trPr>
          <w:trHeight w:val="5508" w:hRule="atLeast"/>
        </w:trPr>
        <w:tc>
          <w:tcPr>
            <w:tcW w:w="500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扣款事由：</w:t>
            </w: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根据</w:t>
            </w: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规定，现扣款                 元 ，                 （大写）。</w:t>
            </w: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经办人：          日期：      项目实施部门负责人：       日期：</w:t>
            </w:r>
          </w:p>
        </w:tc>
      </w:tr>
      <w:tr>
        <w:tblPrEx>
          <w:tblCellMar>
            <w:top w:w="0" w:type="dxa"/>
            <w:left w:w="0" w:type="dxa"/>
            <w:bottom w:w="0" w:type="dxa"/>
            <w:right w:w="0" w:type="dxa"/>
          </w:tblCellMar>
        </w:tblPrEx>
        <w:trPr>
          <w:trHeight w:val="1663" w:hRule="atLeast"/>
        </w:trPr>
        <w:tc>
          <w:tcPr>
            <w:tcW w:w="28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项目实施部门审核意见：</w:t>
            </w: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日期：</w:t>
            </w:r>
          </w:p>
        </w:tc>
        <w:tc>
          <w:tcPr>
            <w:tcW w:w="2101" w:type="pct"/>
            <w:vMerge w:val="restart"/>
            <w:tcBorders>
              <w:top w:val="single" w:color="000000" w:sz="4" w:space="0"/>
              <w:left w:val="single" w:color="000000" w:sz="4" w:space="0"/>
              <w:right w:val="single" w:color="000000" w:sz="4" w:space="0"/>
            </w:tcBorders>
            <w:noWrap/>
            <w:tcMar>
              <w:top w:w="15" w:type="dxa"/>
              <w:left w:w="15" w:type="dxa"/>
              <w:right w:w="15" w:type="dxa"/>
            </w:tcMar>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投标人确认（盖章）：</w:t>
            </w: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项目负责人：</w:t>
            </w: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日期：</w:t>
            </w:r>
          </w:p>
        </w:tc>
      </w:tr>
      <w:tr>
        <w:tblPrEx>
          <w:tblCellMar>
            <w:top w:w="0" w:type="dxa"/>
            <w:left w:w="0" w:type="dxa"/>
            <w:bottom w:w="0" w:type="dxa"/>
            <w:right w:w="0" w:type="dxa"/>
          </w:tblCellMar>
        </w:tblPrEx>
        <w:trPr>
          <w:trHeight w:val="1710" w:hRule="atLeast"/>
        </w:trPr>
        <w:tc>
          <w:tcPr>
            <w:tcW w:w="28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项目实施部门分管领导意见：</w:t>
            </w: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日期：</w:t>
            </w:r>
          </w:p>
        </w:tc>
        <w:tc>
          <w:tcPr>
            <w:tcW w:w="2101" w:type="pct"/>
            <w:vMerge w:val="continue"/>
            <w:tcBorders>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lang w:bidi="ar"/>
              </w:rPr>
            </w:pPr>
          </w:p>
        </w:tc>
      </w:tr>
    </w:tbl>
    <w:p>
      <w:pPr>
        <w:keepNext w:val="0"/>
        <w:keepLines w:val="0"/>
        <w:pageBreakBefore w:val="0"/>
        <w:widowControl/>
        <w:kinsoku/>
        <w:topLinePunct w:val="0"/>
        <w:bidi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注1：本表一式三份，一份交财务部，一份交投标人，一份项目实施部门留存。</w:t>
      </w:r>
    </w:p>
    <w:p>
      <w:pPr>
        <w:keepNext w:val="0"/>
        <w:keepLines w:val="0"/>
        <w:pageBreakBefore w:val="0"/>
        <w:kinsoku/>
        <w:topLinePunct w:val="0"/>
        <w:bidi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注2：本表单保存期限为5年。</w:t>
      </w:r>
    </w:p>
    <w:p>
      <w:pPr>
        <w:pStyle w:val="322"/>
        <w:keepNext w:val="0"/>
        <w:keepLines w:val="0"/>
        <w:pageBreakBefore w:val="0"/>
        <w:kinsoku/>
        <w:topLinePunct w:val="0"/>
        <w:bidi w:val="0"/>
        <w:spacing w:line="400" w:lineRule="exact"/>
        <w:rPr>
          <w:rFonts w:hint="eastAsia" w:ascii="宋体" w:hAnsi="宋体" w:eastAsia="宋体" w:cs="宋体"/>
          <w:color w:val="auto"/>
          <w:sz w:val="24"/>
          <w:szCs w:val="24"/>
          <w:highlight w:val="none"/>
          <w:lang w:val="zh-CN"/>
        </w:rPr>
        <w:sectPr>
          <w:headerReference r:id="rId6" w:type="default"/>
          <w:footerReference r:id="rId7" w:type="default"/>
          <w:pgSz w:w="11906" w:h="16838"/>
          <w:pgMar w:top="1440" w:right="1286" w:bottom="1440" w:left="1800" w:header="851" w:footer="992" w:gutter="0"/>
          <w:pgNumType w:fmt="decimal"/>
          <w:cols w:space="720" w:num="1"/>
          <w:docGrid w:type="lines" w:linePitch="312" w:charSpace="0"/>
        </w:sectPr>
      </w:pPr>
    </w:p>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rPr>
      </w:pPr>
      <w:bookmarkStart w:id="457" w:name="_Toc299021023"/>
      <w:r>
        <w:rPr>
          <w:rFonts w:hint="eastAsia" w:ascii="宋体" w:hAnsi="宋体" w:eastAsia="宋体" w:cs="宋体"/>
          <w:b/>
          <w:bCs/>
          <w:color w:val="auto"/>
          <w:kern w:val="44"/>
          <w:sz w:val="24"/>
          <w:szCs w:val="24"/>
          <w:highlight w:val="none"/>
        </w:rPr>
        <w:t>附录</w:t>
      </w:r>
      <w:bookmarkEnd w:id="457"/>
      <w:r>
        <w:rPr>
          <w:rFonts w:hint="eastAsia" w:ascii="宋体" w:hAnsi="宋体" w:eastAsia="宋体" w:cs="宋体"/>
          <w:b/>
          <w:bCs/>
          <w:color w:val="auto"/>
          <w:kern w:val="44"/>
          <w:sz w:val="24"/>
          <w:szCs w:val="24"/>
          <w:highlight w:val="none"/>
        </w:rPr>
        <w:t>10</w:t>
      </w:r>
    </w:p>
    <w:p>
      <w:pPr>
        <w:pStyle w:val="21"/>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零星工程预估工程量清单</w:t>
      </w:r>
    </w:p>
    <w:tbl>
      <w:tblPr>
        <w:tblStyle w:val="43"/>
        <w:tblW w:w="4997" w:type="pct"/>
        <w:tblInd w:w="0" w:type="dxa"/>
        <w:tblLayout w:type="autofit"/>
        <w:tblCellMar>
          <w:top w:w="0" w:type="dxa"/>
          <w:left w:w="0" w:type="dxa"/>
          <w:bottom w:w="0" w:type="dxa"/>
          <w:right w:w="0" w:type="dxa"/>
        </w:tblCellMar>
      </w:tblPr>
      <w:tblGrid>
        <w:gridCol w:w="281"/>
        <w:gridCol w:w="1225"/>
        <w:gridCol w:w="3426"/>
        <w:gridCol w:w="713"/>
        <w:gridCol w:w="890"/>
        <w:gridCol w:w="2310"/>
      </w:tblGrid>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color w:val="auto"/>
                <w:sz w:val="24"/>
                <w:szCs w:val="24"/>
                <w:highlight w:val="none"/>
              </w:rPr>
            </w:pPr>
            <w:bookmarkStart w:id="458" w:name="_Toc1403952274"/>
            <w:r>
              <w:rPr>
                <w:rFonts w:hint="eastAsia" w:ascii="宋体" w:hAnsi="宋体" w:eastAsia="宋体" w:cs="宋体"/>
                <w:b/>
                <w:color w:val="auto"/>
                <w:kern w:val="0"/>
                <w:sz w:val="24"/>
                <w:szCs w:val="24"/>
                <w:highlight w:val="none"/>
                <w:lang w:bidi="ar"/>
              </w:rPr>
              <w:t>序号</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项目名称</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施工内容</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单位</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工程量</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备注</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隧内混凝土裂缝/施工缝注浆堵漏</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只针对非结构缝处，以及严重淌水、喷水渗漏水处的控水，一般采用高压注浆方式。查找渗漏点，埋设注浆嘴，注浆堵漏，观察效果，表面清理恢复。</w:t>
            </w:r>
          </w:p>
        </w:tc>
        <w:tc>
          <w:tcPr>
            <w:tcW w:w="41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聚氨酯堵漏</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结构缝渗漏水应采用改性环氧注浆材料灌注，以满足补强要求。查找渗漏点，埋设注浆嘴，注浆堵漏，观察效果，表面清理恢复。</w:t>
            </w:r>
          </w:p>
        </w:tc>
        <w:tc>
          <w:tcPr>
            <w:tcW w:w="41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800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环氧堵漏</w:t>
            </w:r>
          </w:p>
        </w:tc>
      </w:tr>
      <w:tr>
        <w:tblPrEx>
          <w:tblCellMar>
            <w:top w:w="0" w:type="dxa"/>
            <w:left w:w="0" w:type="dxa"/>
            <w:bottom w:w="0" w:type="dxa"/>
            <w:right w:w="0" w:type="dxa"/>
          </w:tblCellMar>
        </w:tblPrEx>
        <w:trPr>
          <w:trHeight w:val="28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非隧道混凝土裂缝/施工缝注浆堵漏</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只针对非结构缝处，以及严重淌水、喷水渗漏水处的控水，一般采用高压注浆方式。查找渗漏点，埋设注浆嘴，注浆堵漏，观察效果，表面清理恢复。</w:t>
            </w:r>
          </w:p>
        </w:tc>
        <w:tc>
          <w:tcPr>
            <w:tcW w:w="41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聚氨酯堵漏</w:t>
            </w:r>
          </w:p>
        </w:tc>
      </w:tr>
      <w:tr>
        <w:tblPrEx>
          <w:tblCellMar>
            <w:top w:w="0" w:type="dxa"/>
            <w:left w:w="0" w:type="dxa"/>
            <w:bottom w:w="0" w:type="dxa"/>
            <w:right w:w="0" w:type="dxa"/>
          </w:tblCellMar>
        </w:tblPrEx>
        <w:trPr>
          <w:trHeight w:val="28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结构缝渗漏水应采用改性环氧注浆材料灌注，以满足补强要求。查找渗漏点，埋设注浆嘴，注浆堵漏，观察效果，表面清理恢复。</w:t>
            </w:r>
          </w:p>
        </w:tc>
        <w:tc>
          <w:tcPr>
            <w:tcW w:w="41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800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环氧堵漏</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隧道变形缝渗漏封堵</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确认维修位置，拆除旧止水胶条，缝内聚氨酯等注浆填充，更换新止水胶条，固定密封，修整缝口混凝土，检查。</w:t>
            </w:r>
          </w:p>
        </w:tc>
        <w:tc>
          <w:tcPr>
            <w:tcW w:w="41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含止水胶条</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确认维修位置，缝内聚氨酯等注浆填充，修整缝口混凝土，检查。</w:t>
            </w:r>
          </w:p>
        </w:tc>
        <w:tc>
          <w:tcPr>
            <w:tcW w:w="41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不含止水胶条</w:t>
            </w:r>
          </w:p>
        </w:tc>
      </w:tr>
      <w:tr>
        <w:tblPrEx>
          <w:tblCellMar>
            <w:top w:w="0" w:type="dxa"/>
            <w:left w:w="0" w:type="dxa"/>
            <w:bottom w:w="0" w:type="dxa"/>
            <w:right w:w="0" w:type="dxa"/>
          </w:tblCellMar>
        </w:tblPrEx>
        <w:trPr>
          <w:trHeight w:val="28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非隧道变形缝渗漏封堵</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施工内容同上含止水胶条封堵</w:t>
            </w:r>
          </w:p>
        </w:tc>
        <w:tc>
          <w:tcPr>
            <w:tcW w:w="41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含止水胶条</w:t>
            </w:r>
          </w:p>
        </w:tc>
      </w:tr>
      <w:tr>
        <w:tblPrEx>
          <w:tblCellMar>
            <w:top w:w="0" w:type="dxa"/>
            <w:left w:w="0" w:type="dxa"/>
            <w:bottom w:w="0" w:type="dxa"/>
            <w:right w:w="0" w:type="dxa"/>
          </w:tblCellMar>
        </w:tblPrEx>
        <w:trPr>
          <w:trHeight w:val="28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施工内容同上不含止水胶条封堵</w:t>
            </w:r>
          </w:p>
        </w:tc>
        <w:tc>
          <w:tcPr>
            <w:tcW w:w="41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不含止水胶条</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盾构管片环、纵缝渗漏封堵</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检查清理渗漏缝，设置阻断点，封缝，注入弹性环氧灌浆材料。</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400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环氧封堵</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盾构螺栓孔渗漏封堵</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检查清理螺栓孔，松开螺栓设灌浆口，在孔内灌注聚氨酯浆液等，更换螺栓防水垫片，紧固螺栓，检查清理。</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聚氨酯封堵</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w:t>
            </w:r>
          </w:p>
        </w:tc>
        <w:tc>
          <w:tcPr>
            <w:tcW w:w="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防水砂浆堵漏</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清理基面，抹填堵漏砂浆，表面修整恢复。</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处</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聚合物防水砂浆，单处面积≤1平方</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清理基面，抹填堵漏砂浆，表面修整恢复。</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平方米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聚合物防水砂浆，单处面积＞1平方</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13</w:t>
            </w:r>
          </w:p>
        </w:tc>
        <w:tc>
          <w:tcPr>
            <w:tcW w:w="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预留孔(穿墙管件)等堵孔</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清理孔洞，聚氨酯填塞料，发泡堵孔，不漏水，表层水泥封填，洞口修整。</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孔</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阻燃型聚氨脂封堵，孔径≤10cm</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14</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清理孔洞，嵌填防火泥，聚氨酯填塞料，发泡堵孔，不漏水，表层水泥封填，洞口修整。</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立方</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阻燃型聚氨脂封堵，孔径＞10cm</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隧内孔洞封堵</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清理孔洞，聚合砂浆、聚氨酯填塞料，注浆封闭，不漏水，表层水泥封填，洞口修整。</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孔</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聚氨酯封堵</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干裂缝修复加固</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清理，埋设胶座，封缝处理，灌注灌缝胶，表观清理恢复。</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混凝土裂缝修补胶</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17</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砼轨枕松动破损环氧注浆补强</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轨枕边清缝剔槽，埋置注浆管，封缝，灌注环氧树脂浆液，清理注浆口，修面。</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18</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道床离缝、脱空、翻浆冒泥注浆</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灌浆处理：</w:t>
            </w:r>
          </w:p>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采用环氧树脂对管片与道床之间的缝隙灌浆处理，在施工前需对缝内杂物及积水等进行清理。</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以处理道床的中心线长度m计算</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19</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渗漏处理（壁后单液浆填充注浆）</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注浆前应查明待注区域衬砌外回填土的现状；</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应根据隧道外部土体的性质选择注浆材料（水泥浆）；</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水胶比（W/C）宜为0.6~1.0；</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注浆结束后对砼表面进行清理；</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待注浆达到堵水效果后，须在后期对砼表面进行清理，保证外观无色差。</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吨</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单液浆</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渗漏处理（壁后双液浆填充注浆）</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1、注浆前应查明待注区域衬砌外回填土的现状；</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2、应根据隧道外部土体的性质选择注浆材料（水泥-水玻璃双液浆）；</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3、水胶比（W/C）宜为0.6~1.0，水泥浆与水玻璃溶液的体积比可在1:0.1~1:1；</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4、注浆结束后对砼表面进行清理；</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5、待注浆达到堵水效果后，须在后期对砼表面进行清理，保证外观无色差。</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吨</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双液浆</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21</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钢环加固（宽度550mm）</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1、清理结构表面灰尘、析出物表面杂质；</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2、根据现场管片弧度定制钢环片，钢环采用Q345B（Q355）钢板，钢环宽度为550mm，厚度为20mm；</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3、钢环根据现场情况采用管片牛腿或道床牛腿+拉杆形式；</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4、现场螺栓采用M16化学锚栓，螺杆宜采用A4-80材质，且须确保锚栓抗拔力不小于40KN；</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5、钢环拼缝应满焊，并对其进行磁粉探伤检验，确保焊缝质量等级不低于二级；</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6、钢环与管片之间应进行环氧树脂的压注填充工作，压住压力宜控制在0.2-0.4MPa；</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7、施工结束后需对钢环表面进行除锈处理，并喷涂SPUR（聚脲弹性体），涂层厚度均匀，分多次多层喷涂，总厚度不小于1.2mm。</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22</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钢环加固（宽度850mm）</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1、清理结构表面灰尘、析出物表面杂质；</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2、根据现场管片弧度定制钢环片，钢环采用Q345B（Q355）钢板，钢环宽度为850mm，厚度为20mm；</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3、钢环根据现场情况采用管片牛腿或道床牛腿+拉杆形式；</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4、现场螺栓采用M16化学锚栓，螺杆宜采用A4-80材质，且须确保锚栓抗拔力不小于40KN；</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5、钢环拼缝应满焊，并对其进行磁粉探伤检验，确保焊缝质量等级不低于二级；</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6、钢环与管片之间应进行环氧树脂的压注填充工作，压住压力宜控制在0.2-0.4MPa；</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7、施工结束后需对钢环表面进行除锈处理，并喷涂SPUR（聚脲弹性体），涂层厚度均匀，分多次多层喷涂，总厚度不小于1.2mm。</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23</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洞内微扰动注浆</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1、结合图纸及现场情况判断隧道区间或车站结构边线；</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2、管片开孔至引水面保护层，安装放喷球阀；</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3、在放喷球阀内二次开孔，安装注浆管；</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4、试喷后根据要求进行微扰动注浆；</w:t>
            </w:r>
          </w:p>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5、施工结束后对孔位进行封堵，拔除放喷球阀，恢复结构面。</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孔</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p>
        </w:tc>
      </w:tr>
      <w:tr>
        <w:tblPrEx>
          <w:tblCellMar>
            <w:top w:w="0" w:type="dxa"/>
            <w:left w:w="0" w:type="dxa"/>
            <w:bottom w:w="0" w:type="dxa"/>
            <w:right w:w="0" w:type="dxa"/>
          </w:tblCellMar>
        </w:tblPrEx>
        <w:trPr>
          <w:trHeight w:val="102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24</w:t>
            </w:r>
          </w:p>
        </w:tc>
        <w:tc>
          <w:tcPr>
            <w:tcW w:w="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安装玻璃纤维接水槽</w:t>
            </w:r>
          </w:p>
        </w:tc>
        <w:tc>
          <w:tcPr>
            <w:tcW w:w="194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接水槽制作，密贴安装衬砌表壁，304不锈钢膨胀螺栓固定，拼接时留有承插口，密封胶封边，检查不渗水。</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隧内定型玻璃纤维板25cm*3cm*0.2cm</w:t>
            </w:r>
          </w:p>
        </w:tc>
      </w:tr>
      <w:tr>
        <w:tblPrEx>
          <w:tblCellMar>
            <w:top w:w="0" w:type="dxa"/>
            <w:left w:w="0" w:type="dxa"/>
            <w:bottom w:w="0" w:type="dxa"/>
            <w:right w:w="0" w:type="dxa"/>
          </w:tblCellMar>
        </w:tblPrEx>
        <w:trPr>
          <w:trHeight w:val="102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25</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p>
        </w:tc>
        <w:tc>
          <w:tcPr>
            <w:tcW w:w="194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非隧内玻璃纤维板15cm~40cm*3cm*0.2cm</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26</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安装不锈钢接水槽</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接水槽制作，304不锈钢膨胀螺栓固定，拼接时留有承插口，密封胶封边，检查不渗水。</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平方米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304不锈钢接水槽，壁厚0.8</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27</w:t>
            </w:r>
          </w:p>
        </w:tc>
        <w:tc>
          <w:tcPr>
            <w:tcW w:w="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安装PVC引水管</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PVC引水管布设，固定安装。</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阻燃型PVC，φ40以内</w:t>
            </w:r>
          </w:p>
        </w:tc>
      </w:tr>
      <w:tr>
        <w:tblPrEx>
          <w:tblCellMar>
            <w:top w:w="0" w:type="dxa"/>
            <w:left w:w="0" w:type="dxa"/>
            <w:bottom w:w="0" w:type="dxa"/>
            <w:right w:w="0" w:type="dxa"/>
          </w:tblCellMar>
        </w:tblPrEx>
        <w:trPr>
          <w:trHeight w:val="102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28</w:t>
            </w:r>
          </w:p>
        </w:tc>
        <w:tc>
          <w:tcPr>
            <w:tcW w:w="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修筑引、排水浅沟</w:t>
            </w: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pageBreakBefore w:val="0"/>
              <w:widowControl/>
              <w:kinsoku/>
              <w:topLinePunct w:val="0"/>
              <w:bidi w:val="0"/>
              <w:spacing w:line="400" w:lineRule="exact"/>
              <w:textAlignment w:val="top"/>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切割地面，凿除清理，形成沟槽，内壁修整，防水处理，制作不锈钢盖板。</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≤15cm深，地面切割（含1.2厚不锈钢盖板）</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29</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切割地面，凿除清理，形成沟槽，内壁修整，防水处理。</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≤15cm深，地面切割（不含盖板）</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30</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19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砌筑排水沟，抹面防水处理，修整，清理。</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≤15cm深，地面砌筑（不含盖板）</w:t>
            </w:r>
          </w:p>
        </w:tc>
      </w:tr>
      <w:tr>
        <w:tblPrEx>
          <w:tblCellMar>
            <w:top w:w="0" w:type="dxa"/>
            <w:left w:w="0" w:type="dxa"/>
            <w:bottom w:w="0" w:type="dxa"/>
            <w:right w:w="0" w:type="dxa"/>
          </w:tblCellMar>
        </w:tblPrEx>
        <w:trPr>
          <w:trHeight w:val="285"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31</w:t>
            </w:r>
          </w:p>
        </w:tc>
        <w:tc>
          <w:tcPr>
            <w:tcW w:w="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开洞（水钻）</w:t>
            </w:r>
          </w:p>
        </w:tc>
        <w:tc>
          <w:tcPr>
            <w:tcW w:w="1946"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水钻钻孔</w:t>
            </w: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孔</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洞直径≤75mm</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32</w:t>
            </w:r>
          </w:p>
        </w:tc>
        <w:tc>
          <w:tcPr>
            <w:tcW w:w="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jc w:val="center"/>
              <w:rPr>
                <w:rFonts w:hint="eastAsia" w:ascii="宋体" w:hAnsi="宋体" w:eastAsia="宋体" w:cs="宋体"/>
                <w:color w:val="auto"/>
                <w:sz w:val="24"/>
                <w:szCs w:val="24"/>
                <w:highlight w:val="none"/>
              </w:rPr>
            </w:pPr>
          </w:p>
        </w:tc>
        <w:tc>
          <w:tcPr>
            <w:tcW w:w="1946"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topLinePunct w:val="0"/>
              <w:bidi w:val="0"/>
              <w:spacing w:line="400" w:lineRule="exact"/>
              <w:rPr>
                <w:rFonts w:hint="eastAsia" w:ascii="宋体" w:hAnsi="宋体" w:eastAsia="宋体" w:cs="宋体"/>
                <w:color w:val="auto"/>
                <w:sz w:val="24"/>
                <w:szCs w:val="24"/>
                <w:highlight w:val="none"/>
              </w:rPr>
            </w:pPr>
          </w:p>
        </w:tc>
        <w:tc>
          <w:tcPr>
            <w:tcW w:w="4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孔</w:t>
            </w:r>
          </w:p>
        </w:tc>
        <w:tc>
          <w:tcPr>
            <w:tcW w:w="5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12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200mm≥洞直径＞75mm</w:t>
            </w:r>
          </w:p>
        </w:tc>
      </w:tr>
      <w:tr>
        <w:tblPrEx>
          <w:tblCellMar>
            <w:top w:w="0" w:type="dxa"/>
            <w:left w:w="0" w:type="dxa"/>
            <w:bottom w:w="0" w:type="dxa"/>
            <w:right w:w="0" w:type="dxa"/>
          </w:tblCellMar>
        </w:tblPrEx>
        <w:trPr>
          <w:trHeight w:val="52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33</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复合材料井沟盖板制作安装</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复合盖板，厚度30~50mm</w:t>
            </w:r>
            <w:r>
              <w:rPr>
                <w:rFonts w:hint="eastAsia" w:ascii="宋体" w:hAnsi="宋体" w:eastAsia="宋体" w:cs="宋体"/>
                <w:color w:val="auto"/>
                <w:sz w:val="24"/>
                <w:szCs w:val="24"/>
                <w:highlight w:val="none"/>
                <w:lang w:bidi="ar"/>
              </w:rPr>
              <w:t>，具体尺寸现场制作。施工内容：基座处理，盖板（格栅）加工制作、安装。</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更换或新增</w:t>
            </w:r>
          </w:p>
        </w:tc>
      </w:tr>
      <w:tr>
        <w:tblPrEx>
          <w:tblCellMar>
            <w:top w:w="0" w:type="dxa"/>
            <w:left w:w="0" w:type="dxa"/>
            <w:bottom w:w="0" w:type="dxa"/>
            <w:right w:w="0" w:type="dxa"/>
          </w:tblCellMar>
        </w:tblPrEx>
        <w:trPr>
          <w:trHeight w:val="27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34</w:t>
            </w:r>
          </w:p>
        </w:tc>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出入口玻璃更换</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材料：安全玻璃，具有3C</w:t>
            </w:r>
            <w:r>
              <w:rPr>
                <w:rFonts w:hint="eastAsia" w:ascii="宋体" w:hAnsi="宋体" w:eastAsia="宋体" w:cs="宋体"/>
                <w:color w:val="auto"/>
                <w:sz w:val="24"/>
                <w:szCs w:val="24"/>
                <w:highlight w:val="none"/>
                <w:lang w:bidi="ar"/>
              </w:rPr>
              <w:t>认证或</w:t>
            </w:r>
            <w:r>
              <w:rPr>
                <w:rFonts w:hint="eastAsia" w:ascii="宋体" w:hAnsi="宋体" w:eastAsia="宋体" w:cs="宋体"/>
                <w:color w:val="auto"/>
                <w:kern w:val="0"/>
                <w:sz w:val="24"/>
                <w:szCs w:val="24"/>
                <w:highlight w:val="none"/>
                <w:lang w:bidi="ar"/>
              </w:rPr>
              <w:t>CE</w:t>
            </w:r>
            <w:r>
              <w:rPr>
                <w:rFonts w:hint="eastAsia" w:ascii="宋体" w:hAnsi="宋体" w:eastAsia="宋体" w:cs="宋体"/>
                <w:color w:val="auto"/>
                <w:sz w:val="24"/>
                <w:szCs w:val="24"/>
                <w:highlight w:val="none"/>
                <w:lang w:bidi="ar"/>
              </w:rPr>
              <w:t>认证，原样玻璃尺寸。施工内容：碎玻璃拆卸、安全防护，新玻璃制作、运输、安装等。</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25</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更换，适用位置：地面出入口及地下站采光顶</w:t>
            </w:r>
          </w:p>
        </w:tc>
      </w:tr>
      <w:tr>
        <w:tblPrEx>
          <w:tblCellMar>
            <w:top w:w="0" w:type="dxa"/>
            <w:left w:w="0" w:type="dxa"/>
            <w:bottom w:w="0" w:type="dxa"/>
            <w:right w:w="0" w:type="dxa"/>
          </w:tblCellMar>
        </w:tblPrEx>
        <w:trPr>
          <w:trHeight w:val="102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35</w:t>
            </w:r>
          </w:p>
        </w:tc>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一般位置安全玻璃更换</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材料：安全玻璃，具有3C</w:t>
            </w:r>
            <w:r>
              <w:rPr>
                <w:rFonts w:hint="eastAsia" w:ascii="宋体" w:hAnsi="宋体" w:eastAsia="宋体" w:cs="宋体"/>
                <w:color w:val="auto"/>
                <w:sz w:val="24"/>
                <w:szCs w:val="24"/>
                <w:highlight w:val="none"/>
                <w:lang w:bidi="ar"/>
              </w:rPr>
              <w:t>认证或</w:t>
            </w:r>
            <w:r>
              <w:rPr>
                <w:rFonts w:hint="eastAsia" w:ascii="宋体" w:hAnsi="宋体" w:eastAsia="宋体" w:cs="宋体"/>
                <w:color w:val="auto"/>
                <w:kern w:val="0"/>
                <w:sz w:val="24"/>
                <w:szCs w:val="24"/>
                <w:highlight w:val="none"/>
                <w:lang w:bidi="ar"/>
              </w:rPr>
              <w:t>CE</w:t>
            </w:r>
            <w:r>
              <w:rPr>
                <w:rFonts w:hint="eastAsia" w:ascii="宋体" w:hAnsi="宋体" w:eastAsia="宋体" w:cs="宋体"/>
                <w:color w:val="auto"/>
                <w:sz w:val="24"/>
                <w:szCs w:val="24"/>
                <w:highlight w:val="none"/>
                <w:lang w:bidi="ar"/>
              </w:rPr>
              <w:t>认证，原样玻璃尺寸。施工内容：碎玻璃拆卸、安全防护，新玻璃制作、运输、安装等。</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25</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更换，适用位置：除上述位置以外其它位置</w:t>
            </w:r>
          </w:p>
        </w:tc>
      </w:tr>
      <w:tr>
        <w:tblPrEx>
          <w:tblCellMar>
            <w:top w:w="0" w:type="dxa"/>
            <w:left w:w="0" w:type="dxa"/>
            <w:bottom w:w="0" w:type="dxa"/>
            <w:right w:w="0" w:type="dxa"/>
          </w:tblCellMar>
        </w:tblPrEx>
        <w:trPr>
          <w:trHeight w:val="51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36</w:t>
            </w:r>
          </w:p>
        </w:tc>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普通玻璃安装</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材料：玻璃使用原有型号规格玻璃；施工内容：碎玻璃拆卸、安全防护，新玻璃制作、运输、安装等。</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更换</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37</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卫生间地面防水更换重做</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施工内容：原有地面拆除清理；地面找平；两遍防水涂料涂刷；保护层施工，闭水试验；地面瓷砖恢复。</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渗漏水重做（不与地砖铺贴重复计价）</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38</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安装吊顶</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施工内容：吊筋、龙骨制作安装（含旧顶拆除清运）、顶板安装</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新增</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39</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轻钢龙骨隔断</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施工内容：龙骨安装固定；石膏板安装固定；面层腻子及乳胶漆粉刷；金属面防腐防锈。</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新增</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铝塑板安装</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施工内容：龙骨制作安装；金属防锈防腐处理；铝塑板制作安装（颜色由招标人确认）。</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新增</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w:t>
            </w:r>
          </w:p>
        </w:tc>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施工内容：金属骨架防锈防腐处理；铝塑板制作安装（颜色由招标人确认）。</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新增</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42</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砌体墙砌筑</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施工内容：200mm厚砌块墙（含墙筋）；砌筑水泥砂浆不低于M7.5；一般抹灰层、腻子两遍、白色乳胶漆两遍面层。</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立方米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新增或重新砌筑整片墙</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静电地板安装</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施工内容：龙骨，辅材、安装；原静电地板拆除，垃圾外运等。</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新增</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44</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地砖铺贴</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施工内容：地砖底部场地硬化处理，原地面的处理和垃圾清运；新砖铺贴。</w:t>
            </w:r>
          </w:p>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标准：铺贴平整，无空鼓</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平方米</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新增</w:t>
            </w:r>
          </w:p>
        </w:tc>
      </w:tr>
      <w:tr>
        <w:tblPrEx>
          <w:tblCellMar>
            <w:top w:w="0" w:type="dxa"/>
            <w:left w:w="0" w:type="dxa"/>
            <w:bottom w:w="0" w:type="dxa"/>
            <w:right w:w="0" w:type="dxa"/>
          </w:tblCellMar>
        </w:tblPrEx>
        <w:trPr>
          <w:trHeight w:val="765"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45</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门锁</w:t>
            </w:r>
          </w:p>
        </w:tc>
        <w:tc>
          <w:tcPr>
            <w:tcW w:w="1946"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施工内容：维修及更换破损的门锁；要求：与原件一致</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25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topLinePunct w:val="0"/>
              <w:bidi w:val="0"/>
              <w:spacing w:line="400" w:lineRule="exact"/>
              <w:jc w:val="center"/>
              <w:textAlignment w:val="center"/>
              <w:rPr>
                <w:rFonts w:hint="eastAsia" w:ascii="宋体" w:hAnsi="宋体" w:eastAsia="宋体" w:cs="宋体"/>
                <w:color w:val="auto"/>
                <w:kern w:val="0"/>
                <w:sz w:val="24"/>
                <w:szCs w:val="24"/>
                <w:highlight w:val="none"/>
              </w:rPr>
            </w:pPr>
          </w:p>
        </w:tc>
      </w:tr>
    </w:tbl>
    <w:p>
      <w:pPr>
        <w:keepNext w:val="0"/>
        <w:keepLines w:val="0"/>
        <w:pageBreakBefore w:val="0"/>
        <w:kinsoku/>
        <w:topLinePunct w:val="0"/>
        <w:bidi w:val="0"/>
        <w:spacing w:line="400" w:lineRule="exact"/>
        <w:jc w:val="center"/>
        <w:outlineLvl w:val="2"/>
        <w:rPr>
          <w:rFonts w:hint="eastAsia" w:ascii="宋体" w:hAnsi="宋体" w:eastAsia="宋体" w:cs="宋体"/>
          <w:color w:val="auto"/>
          <w:sz w:val="24"/>
          <w:szCs w:val="24"/>
          <w:highlight w:val="none"/>
          <w:lang w:val="zh-CN" w:bidi="zh-CN"/>
        </w:rPr>
        <w:sectPr>
          <w:pgSz w:w="11906" w:h="16838"/>
          <w:pgMar w:top="1440" w:right="1286" w:bottom="1440" w:left="1800" w:header="851" w:footer="992" w:gutter="0"/>
          <w:pgNumType w:fmt="decimal"/>
          <w:cols w:space="720" w:num="1"/>
          <w:docGrid w:type="lines" w:linePitch="312" w:charSpace="0"/>
        </w:sectPr>
      </w:pPr>
    </w:p>
    <w:p>
      <w:pPr>
        <w:pStyle w:val="152"/>
        <w:keepNext w:val="0"/>
        <w:keepLines w:val="0"/>
        <w:pageBreakBefore w:val="0"/>
        <w:tabs>
          <w:tab w:val="center" w:pos="4201"/>
          <w:tab w:val="right" w:leader="dot" w:pos="9298"/>
        </w:tabs>
        <w:kinsoku/>
        <w:topLinePunct w:val="0"/>
        <w:bidi w:val="0"/>
        <w:spacing w:line="400" w:lineRule="exact"/>
        <w:ind w:firstLine="0" w:firstLineChars="0"/>
        <w:outlineLvl w:val="2"/>
        <w:rPr>
          <w:rFonts w:hint="eastAsia" w:ascii="宋体" w:hAnsi="宋体" w:eastAsia="宋体" w:cs="宋体"/>
          <w:b/>
          <w:bCs/>
          <w:color w:val="auto"/>
          <w:kern w:val="44"/>
          <w:sz w:val="24"/>
          <w:szCs w:val="24"/>
          <w:highlight w:val="none"/>
        </w:rPr>
      </w:pPr>
      <w:bookmarkStart w:id="459" w:name="_Toc545886839"/>
      <w:bookmarkStart w:id="460" w:name="_Toc1724020484"/>
      <w:r>
        <w:rPr>
          <w:rFonts w:hint="eastAsia" w:ascii="宋体" w:hAnsi="宋体" w:eastAsia="宋体" w:cs="宋体"/>
          <w:b/>
          <w:bCs/>
          <w:color w:val="auto"/>
          <w:kern w:val="44"/>
          <w:sz w:val="24"/>
          <w:szCs w:val="24"/>
          <w:highlight w:val="none"/>
          <w:lang w:val="zh-CN"/>
        </w:rPr>
        <w:t>附录</w:t>
      </w:r>
      <w:bookmarkEnd w:id="458"/>
      <w:r>
        <w:rPr>
          <w:rFonts w:hint="eastAsia" w:ascii="宋体" w:hAnsi="宋体" w:eastAsia="宋体" w:cs="宋体"/>
          <w:b/>
          <w:bCs/>
          <w:color w:val="auto"/>
          <w:kern w:val="44"/>
          <w:sz w:val="24"/>
          <w:szCs w:val="24"/>
          <w:highlight w:val="none"/>
        </w:rPr>
        <w:t>1</w:t>
      </w:r>
      <w:bookmarkEnd w:id="459"/>
      <w:bookmarkEnd w:id="460"/>
      <w:r>
        <w:rPr>
          <w:rFonts w:hint="eastAsia" w:ascii="宋体" w:hAnsi="宋体" w:eastAsia="宋体" w:cs="宋体"/>
          <w:b/>
          <w:bCs/>
          <w:color w:val="auto"/>
          <w:kern w:val="44"/>
          <w:sz w:val="24"/>
          <w:szCs w:val="24"/>
          <w:highlight w:val="none"/>
        </w:rPr>
        <w:t>1</w:t>
      </w:r>
    </w:p>
    <w:p>
      <w:pPr>
        <w:pStyle w:val="152"/>
        <w:keepNext w:val="0"/>
        <w:keepLines w:val="0"/>
        <w:pageBreakBefore w:val="0"/>
        <w:tabs>
          <w:tab w:val="center" w:pos="4201"/>
          <w:tab w:val="right" w:leader="dot" w:pos="9298"/>
        </w:tabs>
        <w:kinsoku/>
        <w:topLinePunct w:val="0"/>
        <w:bidi w:val="0"/>
        <w:spacing w:line="400" w:lineRule="exact"/>
        <w:ind w:firstLine="0" w:firstLineChars="0"/>
        <w:jc w:val="center"/>
        <w:rPr>
          <w:rFonts w:hint="eastAsia" w:ascii="宋体" w:hAnsi="宋体" w:eastAsia="宋体" w:cs="宋体"/>
          <w:color w:val="auto"/>
          <w:sz w:val="24"/>
          <w:szCs w:val="24"/>
          <w:highlight w:val="none"/>
          <w:lang w:val="zh-CN" w:bidi="zh-CN"/>
        </w:rPr>
      </w:pPr>
      <w:r>
        <w:rPr>
          <w:rFonts w:hint="eastAsia" w:ascii="宋体" w:hAnsi="宋体" w:eastAsia="宋体" w:cs="宋体"/>
          <w:color w:val="auto"/>
          <w:sz w:val="24"/>
          <w:szCs w:val="24"/>
          <w:highlight w:val="none"/>
          <w:lang w:val="zh-CN" w:bidi="zh-CN"/>
        </w:rPr>
        <w:t>运营事故（事件）分级分类</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按照事故事件损失及对生产造成的影响和危害程度，分为特别重大事故、重大事故、较大事故、一般事故、险性事件、一般事件和事件苗头。</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1.特别重大事故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在运营生产中，发生下列情况或造成下列后果之一的为特别重大事故：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1)人员死亡30人以上；</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2)人员重伤100人以上；</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3)直接经济损失1亿元（人民币，下同)以上；</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2.重大事故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在运营生产中，发生下列情况或造成下列后果之一的为重大事故：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1)人员死亡10人以上30人以下；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2)人员重伤50人以上100人以下；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3)连续中断行车24小时以上的；</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4)直接经济损失5000万元以上1亿元以下；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3.较大事故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在运营生产中，发生下列情况或造成下列后果之一的为较大事故：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1)人员死亡3人以上10人以下；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2)人员重伤10人以上50人以下；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3)连续中断行车6小时以上24小时以下的；</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4)直接经济损失1000万元以上5000万元以下；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4.一般事故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在运营生产中，发生下列情况或造成下列后果之一的为一般事故：</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1)人员死亡1人以上3人以下；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2)人员重伤1人以上10人以下；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3)连续中断行车2小时以上6小时以下的；</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4)直接经济损失50万元以上1000万元以下；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5.险性事件</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在运营生产中，发生下列情况或造成下列后果之一的为险性事件：</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1)直接经济损失30万元以上50万元以下；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2)连续中断行车90分钟以上2小时以下；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3)运营时间内未经批准进入隧道内行走或隧道内施工作业未进行请销点；</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4)运营时间正线或辅助线隧道结构或道床变形，影响安全的；</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5)运营时间列车、设备、机房、办公用房、车站等非外力造成的火警，未能及时处置对客运、正常秩序造成较大影响，关闭车站2小时以上；</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6)经公司安全管理委员会决定列入本项的。</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6.一般事件</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在运营生产中，发生下列情况或造成下列后果之一的为一般事件：</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1)直接经济损失10万元以上30万元以下；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2)连续中断行车30分钟以上90分钟以下；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3)非运营时间内未经批准进入隧道内行走或隧道内施工作业未进行请销点；</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4)错挂、漏挂、错撤、忘撤接地线；</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5)设备、设施超限，或装载货物超限、货物装载不良开车，导致设备设施损坏；</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6)经公司安全管理委员会决定列入本项的。</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7.事件苗头</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在运营生产中，发生下列情况或造成下列后果之一的为事件苗头：</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1)直接经济损失1万元以上10万元以下；</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2)运营期间，设备、设施、备品脱落或掉入轨行区，造成停车的；</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3)轨行区内无施工许可作业，或作业人员、物料设备超出施工防护区域；</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4)施工清场不彻底或轨行区内应撤除的设施、设备、物料、标志未及时撤除影响行车的；</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5)施工作业未按要求设置或撤除安全防护装置；</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6)无特种作业操作证操作相关设备，或无证违章操作安全相关命令；</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7)未验电即挂地线；</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8设备、设施超限，或装载货物超限、货物装载不良开车；</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9)运营期间，运营线路积水漫过轨面；</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10人为原因造成自动消防设施误动作、在紧急情况下不动作，或在操作过程中出现明显失误；</w:t>
      </w:r>
    </w:p>
    <w:p>
      <w:pPr>
        <w:keepNext w:val="0"/>
        <w:keepLines w:val="0"/>
        <w:pageBreakBefore w:val="0"/>
        <w:kinsoku/>
        <w:topLinePunct w:val="0"/>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11)经公司安全管理委员会决定列入本项的。</w:t>
      </w:r>
    </w:p>
    <w:p>
      <w:pPr>
        <w:keepNext w:val="0"/>
        <w:keepLines w:val="0"/>
        <w:pageBreakBefore w:val="0"/>
        <w:kinsoku/>
        <w:topLinePunct w:val="0"/>
        <w:bidi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8.其他危及生产安全的事件，公司安全管理委员会认为有必要时可定为事故事件；同时，公司安全管理委员会也有权对事故事件重新认定。</w:t>
      </w:r>
    </w:p>
    <w:p>
      <w:pPr>
        <w:rPr>
          <w:rFonts w:hint="eastAsia" w:cs="仿宋_GB2312" w:asciiTheme="minorEastAsia" w:hAnsiTheme="minorEastAsia" w:eastAsiaTheme="minorEastAsia"/>
          <w:color w:val="000000" w:themeColor="text1"/>
          <w:sz w:val="36"/>
          <w:szCs w:val="36"/>
          <w14:textFill>
            <w14:solidFill>
              <w14:schemeClr w14:val="tx1"/>
            </w14:solidFill>
          </w14:textFill>
        </w:rPr>
      </w:pPr>
      <w:r>
        <w:rPr>
          <w:rFonts w:hint="eastAsia" w:cs="仿宋_GB2312" w:asciiTheme="minorEastAsia" w:hAnsiTheme="minorEastAsia" w:eastAsiaTheme="minorEastAsia"/>
          <w:color w:val="000000" w:themeColor="text1"/>
          <w:sz w:val="36"/>
          <w:szCs w:val="36"/>
          <w14:textFill>
            <w14:solidFill>
              <w14:schemeClr w14:val="tx1"/>
            </w14:solidFill>
          </w14:textFill>
        </w:rPr>
        <w:br w:type="page"/>
      </w:r>
    </w:p>
    <w:p>
      <w:pPr>
        <w:pStyle w:val="4"/>
        <w:snapToGrid w:val="0"/>
        <w:spacing w:before="0" w:line="420" w:lineRule="exact"/>
        <w:ind w:left="425" w:hanging="425" w:firstLineChars="0"/>
        <w:jc w:val="center"/>
        <w:textAlignment w:val="baseline"/>
        <w:rPr>
          <w:rFonts w:cs="仿宋_GB2312" w:asciiTheme="minorEastAsia" w:hAnsiTheme="minorEastAsia" w:eastAsiaTheme="minorEastAsia"/>
          <w:color w:val="000000" w:themeColor="text1"/>
          <w:sz w:val="36"/>
          <w:szCs w:val="36"/>
          <w14:textFill>
            <w14:solidFill>
              <w14:schemeClr w14:val="tx1"/>
            </w14:solidFill>
          </w14:textFill>
        </w:rPr>
      </w:pPr>
      <w:r>
        <w:rPr>
          <w:rFonts w:hint="eastAsia" w:cs="仿宋_GB2312" w:asciiTheme="minorEastAsia" w:hAnsiTheme="minorEastAsia" w:eastAsiaTheme="minorEastAsia"/>
          <w:color w:val="000000" w:themeColor="text1"/>
          <w:sz w:val="36"/>
          <w:szCs w:val="36"/>
          <w14:textFill>
            <w14:solidFill>
              <w14:schemeClr w14:val="tx1"/>
            </w14:solidFill>
          </w14:textFill>
        </w:rPr>
        <w:t>第四部分  政府采购合同参考范本</w:t>
      </w:r>
    </w:p>
    <w:p>
      <w:pPr>
        <w:rPr>
          <w:rFonts w:asciiTheme="minorEastAsia" w:hAnsiTheme="minorEastAsia" w:eastAsiaTheme="minorEastAsia"/>
          <w:color w:val="000000" w:themeColor="text1"/>
          <w14:textFill>
            <w14:solidFill>
              <w14:schemeClr w14:val="tx1"/>
            </w14:solidFill>
          </w14:textFill>
        </w:rPr>
      </w:pPr>
    </w:p>
    <w:p>
      <w:pPr>
        <w:rPr>
          <w:rFonts w:asciiTheme="minorEastAsia" w:hAnsiTheme="minorEastAsia" w:eastAsiaTheme="minorEastAsia"/>
          <w:color w:val="000000" w:themeColor="text1"/>
          <w:u w:val="single"/>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合同编号：</w:t>
      </w:r>
      <w:r>
        <w:rPr>
          <w:rFonts w:asciiTheme="minorEastAsia" w:hAnsiTheme="minorEastAsia" w:eastAsiaTheme="minorEastAsia"/>
          <w:color w:val="000000" w:themeColor="text1"/>
          <w:u w:val="single"/>
          <w14:textFill>
            <w14:solidFill>
              <w14:schemeClr w14:val="tx1"/>
            </w14:solidFill>
          </w14:textFill>
        </w:rPr>
        <w:t xml:space="preserve">           </w:t>
      </w:r>
    </w:p>
    <w:p>
      <w:pPr>
        <w:spacing w:line="480" w:lineRule="auto"/>
        <w:jc w:val="center"/>
        <w:rPr>
          <w:rFonts w:cs="仿宋_GB2312" w:asciiTheme="minorEastAsia" w:hAnsiTheme="minorEastAsia" w:eastAsiaTheme="minorEastAsia"/>
          <w:b/>
          <w:color w:val="000000" w:themeColor="text1"/>
          <w:sz w:val="36"/>
          <w:szCs w:val="36"/>
          <w14:textFill>
            <w14:solidFill>
              <w14:schemeClr w14:val="tx1"/>
            </w14:solidFill>
          </w14:textFill>
        </w:rPr>
      </w:pPr>
      <w:r>
        <w:rPr>
          <w:rFonts w:hint="eastAsia" w:cs="仿宋_GB2312" w:asciiTheme="minorEastAsia" w:hAnsiTheme="minorEastAsia" w:eastAsiaTheme="minorEastAsia"/>
          <w:b/>
          <w:color w:val="000000" w:themeColor="text1"/>
          <w:sz w:val="36"/>
          <w:szCs w:val="36"/>
          <w14:textFill>
            <w14:solidFill>
              <w14:schemeClr w14:val="tx1"/>
            </w14:solidFill>
          </w14:textFill>
        </w:rPr>
        <w:t>政府采购合同参考范本</w:t>
      </w:r>
    </w:p>
    <w:p>
      <w:pPr>
        <w:spacing w:line="480" w:lineRule="auto"/>
        <w:jc w:val="center"/>
        <w:rPr>
          <w:rFonts w:cs="仿宋_GB2312" w:asciiTheme="minorEastAsia" w:hAnsiTheme="minorEastAsia" w:eastAsiaTheme="minorEastAsia"/>
          <w:b/>
          <w:color w:val="000000" w:themeColor="text1"/>
          <w:sz w:val="36"/>
          <w:szCs w:val="36"/>
          <w14:textFill>
            <w14:solidFill>
              <w14:schemeClr w14:val="tx1"/>
            </w14:solidFill>
          </w14:textFill>
        </w:rPr>
      </w:pPr>
      <w:r>
        <w:rPr>
          <w:rFonts w:hint="eastAsia" w:cs="仿宋_GB2312" w:asciiTheme="minorEastAsia" w:hAnsiTheme="minorEastAsia" w:eastAsiaTheme="minorEastAsia"/>
          <w:b/>
          <w:color w:val="000000" w:themeColor="text1"/>
          <w:sz w:val="36"/>
          <w:szCs w:val="36"/>
          <w14:textFill>
            <w14:solidFill>
              <w14:schemeClr w14:val="tx1"/>
            </w14:solidFill>
          </w14:textFill>
        </w:rPr>
        <w:t>（服务类）</w:t>
      </w:r>
    </w:p>
    <w:p>
      <w:pPr>
        <w:ind w:firstLine="480" w:firstLineChars="200"/>
        <w:rPr>
          <w:rFonts w:asciiTheme="minorEastAsia" w:hAnsiTheme="minorEastAsia" w:eastAsiaTheme="minorEastAsia"/>
          <w:color w:val="000000" w:themeColor="text1"/>
          <w14:textFill>
            <w14:solidFill>
              <w14:schemeClr w14:val="tx1"/>
            </w14:solidFill>
          </w14:textFill>
        </w:rPr>
      </w:pPr>
    </w:p>
    <w:p>
      <w:pPr>
        <w:ind w:firstLine="480" w:firstLineChars="200"/>
        <w:rPr>
          <w:rFonts w:asciiTheme="minorEastAsia" w:hAnsiTheme="minorEastAsia" w:eastAsiaTheme="minorEastAsia"/>
          <w:color w:val="000000" w:themeColor="text1"/>
          <w14:textFill>
            <w14:solidFill>
              <w14:schemeClr w14:val="tx1"/>
            </w14:solidFill>
          </w14:textFill>
        </w:rPr>
      </w:pPr>
    </w:p>
    <w:p>
      <w:pPr>
        <w:rPr>
          <w:rFonts w:asciiTheme="minorEastAsia" w:hAnsiTheme="minorEastAsia" w:eastAsiaTheme="minorEastAsia"/>
          <w:color w:val="000000" w:themeColor="text1"/>
          <w14:textFill>
            <w14:solidFill>
              <w14:schemeClr w14:val="tx1"/>
            </w14:solidFill>
          </w14:textFill>
        </w:rPr>
      </w:pPr>
    </w:p>
    <w:p>
      <w:pPr>
        <w:ind w:firstLine="420"/>
        <w:rPr>
          <w:rFonts w:asciiTheme="minorEastAsia" w:hAnsiTheme="minorEastAsia" w:eastAsiaTheme="minorEastAsia"/>
          <w:color w:val="000000" w:themeColor="text1"/>
          <w14:textFill>
            <w14:solidFill>
              <w14:schemeClr w14:val="tx1"/>
            </w14:solidFill>
          </w14:textFill>
        </w:rPr>
      </w:pPr>
    </w:p>
    <w:p>
      <w:pPr>
        <w:ind w:firstLine="420"/>
        <w:rPr>
          <w:rFonts w:asciiTheme="minorEastAsia" w:hAnsiTheme="minorEastAsia" w:eastAsiaTheme="minorEastAsia"/>
          <w:color w:val="000000" w:themeColor="text1"/>
          <w14:textFill>
            <w14:solidFill>
              <w14:schemeClr w14:val="tx1"/>
            </w14:solidFill>
          </w14:textFill>
        </w:rPr>
      </w:pPr>
    </w:p>
    <w:p>
      <w:pPr>
        <w:ind w:firstLine="420"/>
        <w:rPr>
          <w:rFonts w:asciiTheme="minorEastAsia" w:hAnsiTheme="minorEastAsia" w:eastAsiaTheme="minorEastAsia"/>
          <w:color w:val="000000" w:themeColor="text1"/>
          <w14:textFill>
            <w14:solidFill>
              <w14:schemeClr w14:val="tx1"/>
            </w14:solidFill>
          </w14:textFill>
        </w:rPr>
      </w:pPr>
    </w:p>
    <w:p>
      <w:pPr>
        <w:pStyle w:val="15"/>
        <w:rPr>
          <w:rFonts w:asciiTheme="minorEastAsia" w:hAnsiTheme="minorEastAsia"/>
          <w:color w:val="000000" w:themeColor="text1"/>
          <w14:textFill>
            <w14:solidFill>
              <w14:schemeClr w14:val="tx1"/>
            </w14:solidFill>
          </w14:textFill>
        </w:rPr>
      </w:pPr>
    </w:p>
    <w:p>
      <w:pPr>
        <w:rPr>
          <w:rFonts w:asciiTheme="minorEastAsia" w:hAnsiTheme="minorEastAsia" w:eastAsiaTheme="minorEastAsia"/>
          <w:color w:val="000000" w:themeColor="text1"/>
          <w14:textFill>
            <w14:solidFill>
              <w14:schemeClr w14:val="tx1"/>
            </w14:solidFill>
          </w14:textFill>
        </w:rPr>
      </w:pPr>
    </w:p>
    <w:p>
      <w:pPr>
        <w:spacing w:before="120" w:line="22" w:lineRule="atLeast"/>
        <w:rPr>
          <w:rFonts w:asciiTheme="minorEastAsia" w:hAnsiTheme="minorEastAsia" w:eastAsiaTheme="minorEastAsia"/>
          <w:color w:val="000000" w:themeColor="text1"/>
          <w14:textFill>
            <w14:solidFill>
              <w14:schemeClr w14:val="tx1"/>
            </w14:solidFill>
          </w14:textFill>
        </w:rPr>
      </w:pPr>
    </w:p>
    <w:p>
      <w:pPr>
        <w:spacing w:before="120" w:line="22" w:lineRule="atLeast"/>
        <w:ind w:firstLine="960" w:firstLineChars="4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项目名称：</w:t>
      </w:r>
      <w:r>
        <w:rPr>
          <w:rFonts w:hint="eastAsia" w:asciiTheme="minorEastAsia" w:hAnsiTheme="minorEastAsia" w:eastAsiaTheme="minorEastAsia"/>
          <w:color w:val="000000" w:themeColor="text1"/>
          <w:u w:val="single"/>
          <w14:textFill>
            <w14:solidFill>
              <w14:schemeClr w14:val="tx1"/>
            </w14:solidFill>
          </w14:textFill>
        </w:rPr>
        <w:t xml:space="preserve">                                   </w:t>
      </w:r>
    </w:p>
    <w:p>
      <w:pPr>
        <w:rPr>
          <w:rFonts w:asciiTheme="minorEastAsia" w:hAnsiTheme="minorEastAsia" w:eastAsiaTheme="minorEastAsia"/>
          <w:color w:val="000000" w:themeColor="text1"/>
          <w14:textFill>
            <w14:solidFill>
              <w14:schemeClr w14:val="tx1"/>
            </w14:solidFill>
          </w14:textFill>
        </w:rPr>
      </w:pPr>
    </w:p>
    <w:p>
      <w:pPr>
        <w:spacing w:before="120" w:line="22" w:lineRule="atLeast"/>
        <w:ind w:firstLine="960" w:firstLineChars="400"/>
        <w:rPr>
          <w:rFonts w:asciiTheme="minorEastAsia" w:hAnsiTheme="minorEastAsia" w:eastAsiaTheme="minorEastAsia"/>
          <w:color w:val="000000" w:themeColor="text1"/>
          <w:u w:val="single"/>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甲方：</w:t>
      </w:r>
      <w:r>
        <w:rPr>
          <w:rFonts w:hint="eastAsia" w:asciiTheme="minorEastAsia" w:hAnsiTheme="minorEastAsia" w:eastAsiaTheme="minorEastAsia"/>
          <w:color w:val="000000" w:themeColor="text1"/>
          <w:u w:val="single"/>
          <w14:textFill>
            <w14:solidFill>
              <w14:schemeClr w14:val="tx1"/>
            </w14:solidFill>
          </w14:textFill>
        </w:rPr>
        <w:t xml:space="preserve">                                       </w:t>
      </w:r>
    </w:p>
    <w:p>
      <w:pPr>
        <w:spacing w:before="120" w:line="22" w:lineRule="atLeast"/>
        <w:rPr>
          <w:rFonts w:asciiTheme="minorEastAsia" w:hAnsiTheme="minorEastAsia" w:eastAsiaTheme="minorEastAsia"/>
          <w:color w:val="000000" w:themeColor="text1"/>
          <w14:textFill>
            <w14:solidFill>
              <w14:schemeClr w14:val="tx1"/>
            </w14:solidFill>
          </w14:textFill>
        </w:rPr>
      </w:pPr>
    </w:p>
    <w:p>
      <w:pPr>
        <w:spacing w:before="120" w:line="22" w:lineRule="atLeast"/>
        <w:ind w:firstLine="960" w:firstLineChars="400"/>
        <w:rPr>
          <w:rFonts w:asciiTheme="minorEastAsia" w:hAnsiTheme="minorEastAsia" w:eastAsiaTheme="minorEastAsia"/>
          <w:color w:val="000000" w:themeColor="text1"/>
          <w:u w:val="single"/>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乙方：</w:t>
      </w:r>
      <w:r>
        <w:rPr>
          <w:rFonts w:hint="eastAsia" w:asciiTheme="minorEastAsia" w:hAnsiTheme="minorEastAsia" w:eastAsiaTheme="minorEastAsia"/>
          <w:color w:val="000000" w:themeColor="text1"/>
          <w:u w:val="single"/>
          <w14:textFill>
            <w14:solidFill>
              <w14:schemeClr w14:val="tx1"/>
            </w14:solidFill>
          </w14:textFill>
        </w:rPr>
        <w:t xml:space="preserve">                                       </w:t>
      </w:r>
    </w:p>
    <w:p>
      <w:pPr>
        <w:spacing w:before="120" w:line="22" w:lineRule="atLeast"/>
        <w:rPr>
          <w:rFonts w:asciiTheme="minorEastAsia" w:hAnsiTheme="minorEastAsia" w:eastAsiaTheme="minorEastAsia"/>
          <w:color w:val="000000" w:themeColor="text1"/>
          <w14:textFill>
            <w14:solidFill>
              <w14:schemeClr w14:val="tx1"/>
            </w14:solidFill>
          </w14:textFill>
        </w:rPr>
      </w:pPr>
    </w:p>
    <w:p>
      <w:pPr>
        <w:spacing w:before="120" w:line="22" w:lineRule="atLeast"/>
        <w:ind w:firstLine="960" w:firstLineChars="400"/>
        <w:rPr>
          <w:rFonts w:asciiTheme="minorEastAsia" w:hAnsiTheme="minorEastAsia" w:eastAsiaTheme="minorEastAsia"/>
          <w:color w:val="000000" w:themeColor="text1"/>
          <w:u w:val="single"/>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签订地：</w:t>
      </w:r>
      <w:r>
        <w:rPr>
          <w:rFonts w:hint="eastAsia" w:asciiTheme="minorEastAsia" w:hAnsiTheme="minorEastAsia" w:eastAsiaTheme="minorEastAsia"/>
          <w:color w:val="000000" w:themeColor="text1"/>
          <w:u w:val="single"/>
          <w14:textFill>
            <w14:solidFill>
              <w14:schemeClr w14:val="tx1"/>
            </w14:solidFill>
          </w14:textFill>
        </w:rPr>
        <w:t xml:space="preserve">                                     </w:t>
      </w:r>
    </w:p>
    <w:p>
      <w:pPr>
        <w:spacing w:before="120" w:line="22" w:lineRule="atLeast"/>
        <w:rPr>
          <w:rFonts w:asciiTheme="minorEastAsia" w:hAnsiTheme="minorEastAsia" w:eastAsiaTheme="minorEastAsia"/>
          <w:color w:val="000000" w:themeColor="text1"/>
          <w14:textFill>
            <w14:solidFill>
              <w14:schemeClr w14:val="tx1"/>
            </w14:solidFill>
          </w14:textFill>
        </w:rPr>
      </w:pPr>
    </w:p>
    <w:p>
      <w:pPr>
        <w:spacing w:before="120" w:line="22" w:lineRule="atLeast"/>
        <w:ind w:firstLine="960" w:firstLineChars="400"/>
        <w:rPr>
          <w:rFonts w:asciiTheme="minorEastAsia" w:hAnsiTheme="minorEastAsia" w:eastAsiaTheme="minorEastAsia"/>
          <w:color w:val="000000" w:themeColor="text1"/>
          <w:u w:val="single"/>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签订日期：</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年</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月</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日</w:t>
      </w:r>
    </w:p>
    <w:p>
      <w:pPr>
        <w:rPr>
          <w:rFonts w:asciiTheme="minorEastAsia" w:hAnsiTheme="minorEastAsia" w:eastAsiaTheme="minorEastAsia"/>
          <w:color w:val="000000" w:themeColor="text1"/>
          <w14:textFill>
            <w14:solidFill>
              <w14:schemeClr w14:val="tx1"/>
            </w14:solidFill>
          </w14:textFill>
        </w:rPr>
        <w:sectPr>
          <w:headerReference r:id="rId9" w:type="first"/>
          <w:footerReference r:id="rId11" w:type="first"/>
          <w:headerReference r:id="rId8" w:type="default"/>
          <w:footerReference r:id="rId10" w:type="default"/>
          <w:pgSz w:w="11907" w:h="16839"/>
          <w:pgMar w:top="1304" w:right="1361" w:bottom="1361" w:left="1588" w:header="851" w:footer="851" w:gutter="0"/>
          <w:pgNumType w:fmt="decimal"/>
          <w:cols w:space="720" w:num="1"/>
          <w:titlePg/>
          <w:docGrid w:linePitch="326" w:charSpace="0"/>
        </w:sectPr>
      </w:pPr>
    </w:p>
    <w:p>
      <w:pPr>
        <w:spacing w:line="560" w:lineRule="exact"/>
        <w:ind w:firstLine="480" w:firstLineChars="200"/>
        <w:rPr>
          <w:rFonts w:asciiTheme="minorEastAsia" w:hAnsiTheme="minorEastAsia" w:eastAsiaTheme="minorEastAsia"/>
          <w:color w:val="000000" w:themeColor="text1"/>
          <w:lang w:val="zh-CN"/>
          <w14:textFill>
            <w14:solidFill>
              <w14:schemeClr w14:val="tx1"/>
            </w14:solidFill>
          </w14:textFill>
        </w:rPr>
      </w:pPr>
    </w:p>
    <w:p>
      <w:pPr>
        <w:ind w:firstLine="723"/>
        <w:jc w:val="center"/>
        <w:rPr>
          <w:rFonts w:cs="仿宋" w:asciiTheme="majorEastAsia" w:hAnsiTheme="majorEastAsia" w:eastAsiaTheme="majorEastAsia"/>
          <w:b/>
          <w:sz w:val="36"/>
          <w:szCs w:val="32"/>
        </w:rPr>
      </w:pPr>
      <w:r>
        <w:rPr>
          <w:rFonts w:hint="eastAsia" w:cs="仿宋" w:asciiTheme="majorEastAsia" w:hAnsiTheme="majorEastAsia" w:eastAsiaTheme="majorEastAsia"/>
          <w:b/>
          <w:sz w:val="36"/>
          <w:szCs w:val="32"/>
        </w:rPr>
        <w:t>目</w:t>
      </w:r>
      <w:r>
        <w:rPr>
          <w:rFonts w:cs="仿宋" w:asciiTheme="majorEastAsia" w:hAnsiTheme="majorEastAsia" w:eastAsiaTheme="majorEastAsia"/>
          <w:b/>
          <w:sz w:val="36"/>
          <w:szCs w:val="32"/>
        </w:rPr>
        <w:t xml:space="preserve">  </w:t>
      </w:r>
      <w:r>
        <w:rPr>
          <w:rFonts w:hint="eastAsia" w:cs="仿宋" w:asciiTheme="majorEastAsia" w:hAnsiTheme="majorEastAsia" w:eastAsiaTheme="majorEastAsia"/>
          <w:b/>
          <w:sz w:val="36"/>
          <w:szCs w:val="32"/>
        </w:rPr>
        <w:t>录</w:t>
      </w:r>
    </w:p>
    <w:p>
      <w:pPr>
        <w:numPr>
          <w:ilvl w:val="255"/>
          <w:numId w:val="0"/>
        </w:numPr>
        <w:ind w:firstLine="1063" w:firstLineChars="378"/>
        <w:rPr>
          <w:rFonts w:cs="仿宋" w:asciiTheme="majorEastAsia" w:hAnsiTheme="majorEastAsia" w:eastAsiaTheme="majorEastAsia"/>
          <w:b/>
          <w:sz w:val="28"/>
        </w:rPr>
      </w:pPr>
    </w:p>
    <w:p>
      <w:pPr>
        <w:numPr>
          <w:ilvl w:val="255"/>
          <w:numId w:val="0"/>
        </w:numPr>
        <w:spacing w:line="360" w:lineRule="auto"/>
        <w:ind w:firstLine="1063" w:firstLineChars="378"/>
        <w:rPr>
          <w:rFonts w:cs="仿宋" w:asciiTheme="majorEastAsia" w:hAnsiTheme="majorEastAsia" w:eastAsiaTheme="majorEastAsia"/>
          <w:b/>
          <w:sz w:val="28"/>
        </w:rPr>
      </w:pPr>
      <w:r>
        <w:rPr>
          <w:rFonts w:hint="eastAsia" w:cs="仿宋" w:asciiTheme="majorEastAsia" w:hAnsiTheme="majorEastAsia" w:eastAsiaTheme="majorEastAsia"/>
          <w:b/>
          <w:sz w:val="28"/>
        </w:rPr>
        <w:t>第一部分 合同协议书</w:t>
      </w:r>
    </w:p>
    <w:p>
      <w:pPr>
        <w:numPr>
          <w:ilvl w:val="255"/>
          <w:numId w:val="0"/>
        </w:numPr>
        <w:spacing w:line="360" w:lineRule="auto"/>
        <w:ind w:firstLine="1063" w:firstLineChars="378"/>
        <w:rPr>
          <w:rFonts w:cs="仿宋" w:asciiTheme="majorEastAsia" w:hAnsiTheme="majorEastAsia" w:eastAsiaTheme="majorEastAsia"/>
          <w:b/>
          <w:sz w:val="28"/>
        </w:rPr>
      </w:pPr>
      <w:r>
        <w:rPr>
          <w:rFonts w:hint="eastAsia" w:cs="仿宋" w:asciiTheme="majorEastAsia" w:hAnsiTheme="majorEastAsia" w:eastAsiaTheme="majorEastAsia"/>
          <w:b/>
          <w:sz w:val="28"/>
        </w:rPr>
        <w:t>第二部分 合同条款</w:t>
      </w:r>
    </w:p>
    <w:p>
      <w:pPr>
        <w:numPr>
          <w:ilvl w:val="255"/>
          <w:numId w:val="0"/>
        </w:numPr>
        <w:spacing w:line="360" w:lineRule="auto"/>
        <w:ind w:firstLine="1063" w:firstLineChars="378"/>
        <w:rPr>
          <w:rFonts w:cs="仿宋" w:asciiTheme="majorEastAsia" w:hAnsiTheme="majorEastAsia" w:eastAsiaTheme="majorEastAsia"/>
          <w:b/>
          <w:sz w:val="28"/>
        </w:rPr>
      </w:pPr>
      <w:r>
        <w:rPr>
          <w:rFonts w:hint="eastAsia" w:cs="仿宋" w:asciiTheme="majorEastAsia" w:hAnsiTheme="majorEastAsia" w:eastAsiaTheme="majorEastAsia"/>
          <w:b/>
          <w:sz w:val="28"/>
        </w:rPr>
        <w:t>第三部分 合同附件</w:t>
      </w:r>
    </w:p>
    <w:p>
      <w:pPr>
        <w:numPr>
          <w:ilvl w:val="255"/>
          <w:numId w:val="0"/>
        </w:numPr>
        <w:spacing w:line="360" w:lineRule="auto"/>
        <w:ind w:firstLine="843" w:firstLineChars="300"/>
        <w:rPr>
          <w:rFonts w:cs="仿宋" w:asciiTheme="majorEastAsia" w:hAnsiTheme="majorEastAsia" w:eastAsiaTheme="majorEastAsia"/>
          <w:b/>
          <w:sz w:val="28"/>
        </w:rPr>
      </w:pPr>
      <w:r>
        <w:rPr>
          <w:rFonts w:hint="eastAsia" w:cs="仿宋" w:asciiTheme="majorEastAsia" w:hAnsiTheme="majorEastAsia" w:eastAsiaTheme="majorEastAsia"/>
          <w:b/>
          <w:sz w:val="28"/>
        </w:rPr>
        <w:t xml:space="preserve">     1.中标通知书</w:t>
      </w:r>
    </w:p>
    <w:p>
      <w:pPr>
        <w:numPr>
          <w:ilvl w:val="255"/>
          <w:numId w:val="0"/>
        </w:numPr>
        <w:spacing w:line="360" w:lineRule="auto"/>
        <w:ind w:firstLine="843" w:firstLineChars="300"/>
        <w:rPr>
          <w:rFonts w:cs="仿宋" w:asciiTheme="majorEastAsia" w:hAnsiTheme="majorEastAsia" w:eastAsiaTheme="majorEastAsia"/>
          <w:b/>
          <w:sz w:val="28"/>
        </w:rPr>
      </w:pPr>
      <w:r>
        <w:rPr>
          <w:rFonts w:hint="eastAsia" w:cs="仿宋" w:asciiTheme="majorEastAsia" w:hAnsiTheme="majorEastAsia" w:eastAsiaTheme="majorEastAsia"/>
          <w:b/>
          <w:sz w:val="28"/>
        </w:rPr>
        <w:t xml:space="preserve">     2.投标报价表</w:t>
      </w:r>
    </w:p>
    <w:p>
      <w:pPr>
        <w:numPr>
          <w:ilvl w:val="255"/>
          <w:numId w:val="0"/>
        </w:numPr>
        <w:spacing w:line="360" w:lineRule="auto"/>
        <w:ind w:firstLine="843" w:firstLineChars="300"/>
        <w:rPr>
          <w:rFonts w:cs="仿宋" w:asciiTheme="majorEastAsia" w:hAnsiTheme="majorEastAsia" w:eastAsiaTheme="majorEastAsia"/>
          <w:b/>
          <w:sz w:val="28"/>
        </w:rPr>
      </w:pPr>
      <w:r>
        <w:rPr>
          <w:rFonts w:hint="eastAsia" w:cs="仿宋" w:asciiTheme="majorEastAsia" w:hAnsiTheme="majorEastAsia" w:eastAsiaTheme="majorEastAsia"/>
          <w:b/>
          <w:sz w:val="28"/>
        </w:rPr>
        <w:t xml:space="preserve">     3.履约担保</w:t>
      </w:r>
    </w:p>
    <w:p>
      <w:pPr>
        <w:numPr>
          <w:ilvl w:val="255"/>
          <w:numId w:val="0"/>
        </w:numPr>
        <w:spacing w:line="360" w:lineRule="auto"/>
        <w:ind w:firstLine="843" w:firstLineChars="300"/>
        <w:rPr>
          <w:rFonts w:cs="仿宋" w:asciiTheme="majorEastAsia" w:hAnsiTheme="majorEastAsia" w:eastAsiaTheme="majorEastAsia"/>
          <w:b/>
          <w:sz w:val="28"/>
        </w:rPr>
      </w:pPr>
      <w:r>
        <w:rPr>
          <w:rFonts w:hint="eastAsia" w:cs="仿宋" w:asciiTheme="majorEastAsia" w:hAnsiTheme="majorEastAsia" w:eastAsiaTheme="majorEastAsia"/>
          <w:b/>
          <w:sz w:val="28"/>
        </w:rPr>
        <w:t xml:space="preserve">     4.用户需求书</w:t>
      </w:r>
    </w:p>
    <w:p>
      <w:pPr>
        <w:numPr>
          <w:ilvl w:val="255"/>
          <w:numId w:val="0"/>
        </w:numPr>
        <w:spacing w:line="360" w:lineRule="auto"/>
        <w:ind w:firstLine="843" w:firstLineChars="300"/>
        <w:rPr>
          <w:rFonts w:cs="仿宋" w:asciiTheme="majorEastAsia" w:hAnsiTheme="majorEastAsia" w:eastAsiaTheme="majorEastAsia"/>
          <w:b/>
          <w:sz w:val="28"/>
        </w:rPr>
      </w:pPr>
      <w:r>
        <w:rPr>
          <w:rFonts w:hint="eastAsia" w:cs="仿宋" w:asciiTheme="majorEastAsia" w:hAnsiTheme="majorEastAsia" w:eastAsiaTheme="majorEastAsia"/>
          <w:b/>
          <w:sz w:val="28"/>
        </w:rPr>
        <w:t xml:space="preserve">     5.拟派人员汇总表</w:t>
      </w:r>
    </w:p>
    <w:p>
      <w:pPr>
        <w:spacing w:line="360" w:lineRule="auto"/>
        <w:ind w:firstLine="843" w:firstLineChars="300"/>
        <w:rPr>
          <w:rFonts w:cs="仿宋" w:asciiTheme="majorEastAsia" w:hAnsiTheme="majorEastAsia" w:eastAsiaTheme="majorEastAsia"/>
          <w:b/>
          <w:sz w:val="28"/>
        </w:rPr>
      </w:pPr>
      <w:r>
        <w:rPr>
          <w:rFonts w:hint="eastAsia" w:cs="仿宋" w:asciiTheme="majorEastAsia" w:hAnsiTheme="majorEastAsia" w:eastAsiaTheme="majorEastAsia"/>
          <w:b/>
          <w:sz w:val="28"/>
        </w:rPr>
        <w:t xml:space="preserve">     6.廉政协议书</w:t>
      </w:r>
    </w:p>
    <w:p>
      <w:pPr>
        <w:spacing w:line="360" w:lineRule="auto"/>
        <w:ind w:firstLine="0" w:firstLineChars="0"/>
        <w:rPr>
          <w:rFonts w:asciiTheme="minorEastAsia" w:hAnsiTheme="minorEastAsia" w:eastAsiaTheme="minorEastAsia"/>
          <w:color w:val="000000" w:themeColor="text1"/>
          <w:lang w:val="zh-CN"/>
          <w14:textFill>
            <w14:solidFill>
              <w14:schemeClr w14:val="tx1"/>
            </w14:solidFill>
          </w14:textFill>
        </w:rPr>
      </w:pPr>
      <w:r>
        <w:rPr>
          <w:rFonts w:asciiTheme="minorEastAsia" w:hAnsiTheme="minorEastAsia" w:eastAsiaTheme="minorEastAsia"/>
          <w:color w:val="000000" w:themeColor="text1"/>
          <w:lang w:val="zh-CN"/>
          <w14:textFill>
            <w14:solidFill>
              <w14:schemeClr w14:val="tx1"/>
            </w14:solidFill>
          </w14:textFill>
        </w:rPr>
        <w:br w:type="page"/>
      </w:r>
    </w:p>
    <w:p>
      <w:pPr>
        <w:pStyle w:val="251"/>
        <w:pageBreakBefore w:val="0"/>
        <w:spacing w:line="560" w:lineRule="exact"/>
        <w:ind w:left="481" w:leftChars="0" w:hanging="481" w:hangingChars="133"/>
        <w:jc w:val="center"/>
        <w:outlineLvl w:val="2"/>
        <w:rPr>
          <w:rFonts w:hint="eastAsia"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第一部分 合同协议书</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Theme="minorEastAsia" w:hAnsiTheme="minorEastAsia" w:eastAsiaTheme="minorEastAsia"/>
          <w:color w:val="000000" w:themeColor="text1"/>
          <w:u w:val="single"/>
          <w14:textFill>
            <w14:solidFill>
              <w14:schemeClr w14:val="tx1"/>
            </w14:solidFill>
          </w14:textFill>
        </w:rPr>
        <w:t>（采购人）</w:t>
      </w:r>
      <w:r>
        <w:rPr>
          <w:rFonts w:asciiTheme="minorEastAsia" w:hAnsiTheme="minorEastAsia" w:eastAsiaTheme="minorEastAsia"/>
          <w:color w:val="000000" w:themeColor="text1"/>
          <w:lang w:val="zh-CN"/>
          <w14:textFill>
            <w14:solidFill>
              <w14:schemeClr w14:val="tx1"/>
            </w14:solidFill>
          </w14:textFill>
        </w:rPr>
        <w:t>(以下简称：甲方)和</w:t>
      </w:r>
      <w:r>
        <w:rPr>
          <w:rFonts w:asciiTheme="minorEastAsia" w:hAnsiTheme="minorEastAsia" w:eastAsiaTheme="minorEastAsia"/>
          <w:color w:val="000000" w:themeColor="text1"/>
          <w:u w:val="single"/>
          <w14:textFill>
            <w14:solidFill>
              <w14:schemeClr w14:val="tx1"/>
            </w14:solidFill>
          </w14:textFill>
        </w:rPr>
        <w:t xml:space="preserve">   （中标供应商名称）   </w:t>
      </w:r>
      <w:r>
        <w:rPr>
          <w:rFonts w:asciiTheme="minorEastAsia" w:hAnsiTheme="minorEastAsia" w:eastAsiaTheme="minorEastAsia"/>
          <w:color w:val="000000" w:themeColor="text1"/>
          <w:lang w:val="zh-CN"/>
          <w14:textFill>
            <w14:solidFill>
              <w14:schemeClr w14:val="tx1"/>
            </w14:solidFill>
          </w14:textFill>
        </w:rPr>
        <w:t>(以下简称：乙方)协商一致，约定以下合同</w:t>
      </w:r>
      <w:r>
        <w:rPr>
          <w:rFonts w:hint="eastAsia" w:asciiTheme="minorEastAsia" w:hAnsiTheme="minorEastAsia" w:eastAsiaTheme="minorEastAsia"/>
          <w:color w:val="000000" w:themeColor="text1"/>
          <w14:textFill>
            <w14:solidFill>
              <w14:schemeClr w14:val="tx1"/>
            </w14:solidFill>
          </w14:textFill>
        </w:rPr>
        <w:t>条款，以兹共同遵守、全面履行。</w:t>
      </w:r>
    </w:p>
    <w:p>
      <w:pPr>
        <w:keepNext w:val="0"/>
        <w:keepLines w:val="0"/>
        <w:pageBreakBefore w:val="0"/>
        <w:kinsoku/>
        <w:wordWrap/>
        <w:overflowPunct/>
        <w:topLinePunct w:val="0"/>
        <w:bidi w:val="0"/>
        <w:adjustRightInd/>
        <w:snapToGrid/>
        <w:spacing w:line="440" w:lineRule="exact"/>
        <w:ind w:firstLine="482" w:firstLineChars="200"/>
        <w:textAlignment w:val="auto"/>
        <w:outlineLvl w:val="3"/>
        <w:rPr>
          <w:rFonts w:asciiTheme="minorEastAsia" w:hAnsiTheme="minorEastAsia" w:eastAsiaTheme="minorEastAsia"/>
          <w:b/>
          <w:color w:val="000000" w:themeColor="text1"/>
          <w14:textFill>
            <w14:solidFill>
              <w14:schemeClr w14:val="tx1"/>
            </w14:solidFill>
          </w14:textFill>
        </w:rPr>
      </w:pPr>
      <w:bookmarkStart w:id="461" w:name="_Toc3029"/>
      <w:bookmarkStart w:id="462" w:name="_Toc2232"/>
      <w:bookmarkStart w:id="463" w:name="_Toc24059"/>
      <w:r>
        <w:rPr>
          <w:rFonts w:asciiTheme="minorEastAsia" w:hAnsiTheme="minorEastAsia" w:eastAsiaTheme="minorEastAsia"/>
          <w:b/>
          <w:color w:val="000000" w:themeColor="text1"/>
          <w14:textFill>
            <w14:solidFill>
              <w14:schemeClr w14:val="tx1"/>
            </w14:solidFill>
          </w14:textFill>
        </w:rPr>
        <w:t xml:space="preserve">1.1 </w:t>
      </w:r>
      <w:r>
        <w:rPr>
          <w:rFonts w:hint="eastAsia" w:asciiTheme="minorEastAsia" w:hAnsiTheme="minorEastAsia" w:eastAsiaTheme="minorEastAsia"/>
          <w:b/>
          <w:color w:val="000000" w:themeColor="text1"/>
          <w14:textFill>
            <w14:solidFill>
              <w14:schemeClr w14:val="tx1"/>
            </w14:solidFill>
          </w14:textFill>
        </w:rPr>
        <w:t>合同组成部分</w:t>
      </w:r>
      <w:bookmarkEnd w:id="461"/>
      <w:bookmarkEnd w:id="462"/>
      <w:bookmarkEnd w:id="463"/>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1.1.1 </w:t>
      </w:r>
      <w:r>
        <w:rPr>
          <w:rFonts w:hint="eastAsia" w:asciiTheme="minorEastAsia" w:hAnsiTheme="minorEastAsia" w:eastAsiaTheme="minorEastAsia"/>
          <w:color w:val="000000" w:themeColor="text1"/>
          <w14:textFill>
            <w14:solidFill>
              <w14:schemeClr w14:val="tx1"/>
            </w14:solidFill>
          </w14:textFill>
        </w:rPr>
        <w:t>本合同及其补充合同、变更协议；</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1.1.2 </w:t>
      </w:r>
      <w:r>
        <w:rPr>
          <w:rFonts w:hint="eastAsia" w:asciiTheme="minorEastAsia" w:hAnsiTheme="minorEastAsia" w:eastAsiaTheme="minorEastAsia"/>
          <w:color w:val="000000" w:themeColor="text1"/>
          <w14:textFill>
            <w14:solidFill>
              <w14:schemeClr w14:val="tx1"/>
            </w14:solidFill>
          </w14:textFill>
        </w:rPr>
        <w:t>中标通知书；</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1.1.3 </w:t>
      </w:r>
      <w:r>
        <w:rPr>
          <w:rFonts w:hint="eastAsia" w:asciiTheme="minorEastAsia" w:hAnsiTheme="minorEastAsia" w:eastAsiaTheme="minorEastAsia"/>
          <w:color w:val="000000" w:themeColor="text1"/>
          <w14:textFill>
            <w14:solidFill>
              <w14:schemeClr w14:val="tx1"/>
            </w14:solidFill>
          </w14:textFill>
        </w:rPr>
        <w:t>投标文件（含澄清或者说明文件）；</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1.1.4 </w:t>
      </w:r>
      <w:r>
        <w:rPr>
          <w:rFonts w:hint="eastAsia" w:asciiTheme="minorEastAsia" w:hAnsiTheme="minorEastAsia" w:eastAsiaTheme="minorEastAsia"/>
          <w:color w:val="000000" w:themeColor="text1"/>
          <w14:textFill>
            <w14:solidFill>
              <w14:schemeClr w14:val="tx1"/>
            </w14:solidFill>
          </w14:textFill>
        </w:rPr>
        <w:t>招标文件（含澄清或者修改文件）；</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1.1.5 </w:t>
      </w:r>
      <w:r>
        <w:rPr>
          <w:rFonts w:hint="eastAsia" w:asciiTheme="minorEastAsia" w:hAnsiTheme="minorEastAsia" w:eastAsiaTheme="minorEastAsia"/>
          <w:color w:val="000000" w:themeColor="text1"/>
          <w14:textFill>
            <w14:solidFill>
              <w14:schemeClr w14:val="tx1"/>
            </w14:solidFill>
          </w14:textFill>
        </w:rPr>
        <w:t>其他相关采购文件。</w:t>
      </w:r>
    </w:p>
    <w:p>
      <w:pPr>
        <w:keepNext w:val="0"/>
        <w:keepLines w:val="0"/>
        <w:pageBreakBefore w:val="0"/>
        <w:kinsoku/>
        <w:wordWrap/>
        <w:overflowPunct/>
        <w:topLinePunct w:val="0"/>
        <w:bidi w:val="0"/>
        <w:adjustRightInd/>
        <w:snapToGrid/>
        <w:spacing w:line="440" w:lineRule="exact"/>
        <w:ind w:firstLine="482" w:firstLineChars="200"/>
        <w:textAlignment w:val="auto"/>
        <w:outlineLvl w:val="3"/>
        <w:rPr>
          <w:rFonts w:asciiTheme="minorEastAsia" w:hAnsiTheme="minorEastAsia" w:eastAsiaTheme="minorEastAsia"/>
          <w:b/>
          <w:color w:val="000000" w:themeColor="text1"/>
          <w14:textFill>
            <w14:solidFill>
              <w14:schemeClr w14:val="tx1"/>
            </w14:solidFill>
          </w14:textFill>
        </w:rPr>
      </w:pPr>
      <w:bookmarkStart w:id="464" w:name="_Toc21295"/>
      <w:bookmarkStart w:id="465" w:name="_Toc24300"/>
      <w:bookmarkStart w:id="466" w:name="_Toc27126"/>
      <w:r>
        <w:rPr>
          <w:rFonts w:asciiTheme="minorEastAsia" w:hAnsiTheme="minorEastAsia" w:eastAsiaTheme="minorEastAsia"/>
          <w:b/>
          <w:color w:val="000000" w:themeColor="text1"/>
          <w14:textFill>
            <w14:solidFill>
              <w14:schemeClr w14:val="tx1"/>
            </w14:solidFill>
          </w14:textFill>
        </w:rPr>
        <w:t xml:space="preserve">1.2 </w:t>
      </w:r>
      <w:bookmarkEnd w:id="464"/>
      <w:bookmarkEnd w:id="465"/>
      <w:bookmarkEnd w:id="466"/>
      <w:r>
        <w:rPr>
          <w:rFonts w:hint="eastAsia" w:asciiTheme="minorEastAsia" w:hAnsiTheme="minorEastAsia" w:eastAsiaTheme="minorEastAsia"/>
          <w:b/>
          <w:color w:val="000000" w:themeColor="text1"/>
          <w14:textFill>
            <w14:solidFill>
              <w14:schemeClr w14:val="tx1"/>
            </w14:solidFill>
          </w14:textFill>
        </w:rPr>
        <w:t>服务</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u w:val="single"/>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1.2.1 </w:t>
      </w:r>
      <w:r>
        <w:rPr>
          <w:rFonts w:hint="eastAsia" w:asciiTheme="minorEastAsia" w:hAnsiTheme="minorEastAsia" w:eastAsiaTheme="minorEastAsia"/>
          <w:color w:val="000000" w:themeColor="text1"/>
          <w14:textFill>
            <w14:solidFill>
              <w14:schemeClr w14:val="tx1"/>
            </w14:solidFill>
          </w14:textFill>
        </w:rPr>
        <w:t>服务名称：</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u w:val="single"/>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1.2.2 </w:t>
      </w:r>
      <w:r>
        <w:rPr>
          <w:rFonts w:hint="eastAsia" w:asciiTheme="minorEastAsia" w:hAnsiTheme="minorEastAsia" w:eastAsiaTheme="minorEastAsia"/>
          <w:color w:val="000000" w:themeColor="text1"/>
          <w14:textFill>
            <w14:solidFill>
              <w14:schemeClr w14:val="tx1"/>
            </w14:solidFill>
          </w14:textFill>
        </w:rPr>
        <w:t>服务期限和内容：</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1.2.3 </w:t>
      </w:r>
      <w:r>
        <w:rPr>
          <w:rFonts w:hint="eastAsia" w:asciiTheme="minorEastAsia" w:hAnsiTheme="minorEastAsia" w:eastAsiaTheme="minorEastAsia"/>
          <w:color w:val="000000" w:themeColor="text1"/>
          <w14:textFill>
            <w14:solidFill>
              <w14:schemeClr w14:val="tx1"/>
            </w14:solidFill>
          </w14:textFill>
        </w:rPr>
        <w:t>服务提供地点及方式：</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p>
    <w:p>
      <w:pPr>
        <w:keepNext w:val="0"/>
        <w:keepLines w:val="0"/>
        <w:pageBreakBefore w:val="0"/>
        <w:kinsoku/>
        <w:wordWrap/>
        <w:overflowPunct/>
        <w:topLinePunct w:val="0"/>
        <w:bidi w:val="0"/>
        <w:adjustRightInd/>
        <w:snapToGrid/>
        <w:spacing w:line="440" w:lineRule="exact"/>
        <w:ind w:firstLine="482" w:firstLineChars="200"/>
        <w:textAlignment w:val="auto"/>
        <w:outlineLvl w:val="3"/>
        <w:rPr>
          <w:rFonts w:asciiTheme="minorEastAsia" w:hAnsiTheme="minorEastAsia" w:eastAsiaTheme="minorEastAsia"/>
          <w:b/>
          <w:color w:val="000000" w:themeColor="text1"/>
          <w14:textFill>
            <w14:solidFill>
              <w14:schemeClr w14:val="tx1"/>
            </w14:solidFill>
          </w14:textFill>
        </w:rPr>
      </w:pPr>
      <w:bookmarkStart w:id="467" w:name="_Toc21551"/>
      <w:bookmarkStart w:id="468" w:name="_Toc23292"/>
      <w:bookmarkStart w:id="469" w:name="_Toc21631"/>
      <w:r>
        <w:rPr>
          <w:rFonts w:asciiTheme="minorEastAsia" w:hAnsiTheme="minorEastAsia" w:eastAsiaTheme="minorEastAsia"/>
          <w:b/>
          <w:color w:val="000000" w:themeColor="text1"/>
          <w14:textFill>
            <w14:solidFill>
              <w14:schemeClr w14:val="tx1"/>
            </w14:solidFill>
          </w14:textFill>
        </w:rPr>
        <w:t xml:space="preserve">1.3 </w:t>
      </w:r>
      <w:r>
        <w:rPr>
          <w:rFonts w:hint="eastAsia" w:asciiTheme="minorEastAsia" w:hAnsiTheme="minorEastAsia" w:eastAsiaTheme="minorEastAsia"/>
          <w:b/>
          <w:color w:val="000000" w:themeColor="text1"/>
          <w14:textFill>
            <w14:solidFill>
              <w14:schemeClr w14:val="tx1"/>
            </w14:solidFill>
          </w14:textFill>
        </w:rPr>
        <w:t>价款</w:t>
      </w:r>
      <w:bookmarkEnd w:id="467"/>
      <w:bookmarkEnd w:id="468"/>
      <w:bookmarkEnd w:id="469"/>
    </w:p>
    <w:p>
      <w:pPr>
        <w:pStyle w:val="317"/>
        <w:keepNext w:val="0"/>
        <w:keepLines w:val="0"/>
        <w:pageBreakBefore w:val="0"/>
        <w:kinsoku/>
        <w:wordWrap/>
        <w:overflowPunct/>
        <w:topLinePunct w:val="0"/>
        <w:bidi w:val="0"/>
        <w:adjustRightInd/>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1.3.1合同价格形式</w:t>
      </w:r>
    </w:p>
    <w:p>
      <w:pPr>
        <w:pStyle w:val="317"/>
        <w:keepNext w:val="0"/>
        <w:keepLines w:val="0"/>
        <w:pageBreakBefore w:val="0"/>
        <w:kinsoku/>
        <w:wordWrap/>
        <w:overflowPunct/>
        <w:topLinePunct w:val="0"/>
        <w:bidi w:val="0"/>
        <w:adjustRightInd/>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本合同采用固定单价形式，合同履约过程中，合同单价不作调整。</w:t>
      </w:r>
    </w:p>
    <w:p>
      <w:pPr>
        <w:pStyle w:val="317"/>
        <w:keepNext w:val="0"/>
        <w:keepLines w:val="0"/>
        <w:pageBreakBefore w:val="0"/>
        <w:kinsoku/>
        <w:wordWrap/>
        <w:overflowPunct/>
        <w:topLinePunct w:val="0"/>
        <w:bidi w:val="0"/>
        <w:adjustRightInd/>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1.3.2合同价格</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rPr>
      </w:pPr>
      <w:r>
        <w:rPr>
          <w:rFonts w:hint="eastAsia"/>
        </w:rPr>
        <w:t>本合同签约合同价为：</w:t>
      </w:r>
      <w:r>
        <w:rPr>
          <w:rFonts w:hint="eastAsia" w:asciiTheme="minorEastAsia" w:hAnsiTheme="minorEastAsia" w:eastAsiaTheme="minorEastAsia"/>
        </w:rPr>
        <w:t>￥</w:t>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rPr>
        <w:t>元（大写：</w:t>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rPr>
        <w:t>）。</w:t>
      </w:r>
    </w:p>
    <w:p>
      <w:pPr>
        <w:pStyle w:val="317"/>
        <w:keepNext w:val="0"/>
        <w:keepLines w:val="0"/>
        <w:pageBreakBefore w:val="0"/>
        <w:kinsoku/>
        <w:wordWrap/>
        <w:overflowPunct/>
        <w:topLinePunct w:val="0"/>
        <w:bidi w:val="0"/>
        <w:adjustRightInd/>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1.3.2.1</w:t>
      </w:r>
      <w:r>
        <w:rPr>
          <w:rFonts w:hint="eastAsia" w:ascii="宋体" w:hAnsi="宋体" w:cs="宋体"/>
          <w:sz w:val="24"/>
          <w:szCs w:val="24"/>
          <w:lang w:eastAsia="zh-CN"/>
        </w:rPr>
        <w:t>除合同另有约定外，</w:t>
      </w:r>
      <w:r>
        <w:rPr>
          <w:rFonts w:hint="eastAsia" w:ascii="宋体" w:hAnsi="宋体" w:cs="宋体"/>
          <w:sz w:val="24"/>
          <w:szCs w:val="24"/>
        </w:rPr>
        <w:t>本合同价格包括乙方完成本合同工作内容向甲方提供服务应收取的全部费用，包括但不限于人工费、服务费、服装费、培训费、人员工伤事故保险、人身意外伤害险、材料费、管理费、各种规费、税费及招标文件明示或暗示的所有责任、义务和风险等。未列项目的费用，已包含在合同价格中。</w:t>
      </w:r>
    </w:p>
    <w:p>
      <w:pPr>
        <w:pStyle w:val="317"/>
        <w:keepNext w:val="0"/>
        <w:keepLines w:val="0"/>
        <w:pageBreakBefore w:val="0"/>
        <w:kinsoku/>
        <w:wordWrap/>
        <w:overflowPunct/>
        <w:topLinePunct w:val="0"/>
        <w:bidi w:val="0"/>
        <w:adjustRightInd/>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1.3.2</w:t>
      </w:r>
      <w:r>
        <w:rPr>
          <w:rFonts w:ascii="宋体" w:hAnsi="宋体" w:cs="宋体"/>
          <w:sz w:val="24"/>
          <w:szCs w:val="24"/>
        </w:rPr>
        <w:t>.2合同文件中明示或暗示的所有责任、义务均视为包含在合同价</w:t>
      </w:r>
      <w:r>
        <w:rPr>
          <w:rFonts w:hint="eastAsia" w:ascii="宋体" w:hAnsi="宋体" w:cs="宋体"/>
          <w:sz w:val="24"/>
          <w:szCs w:val="24"/>
        </w:rPr>
        <w:t>格</w:t>
      </w:r>
      <w:r>
        <w:rPr>
          <w:rFonts w:ascii="宋体" w:hAnsi="宋体" w:cs="宋体"/>
          <w:sz w:val="24"/>
          <w:szCs w:val="24"/>
        </w:rPr>
        <w:t>中，甲方不接受任何除合同明示的可以调整的价格外的索赔或洽商。</w:t>
      </w:r>
    </w:p>
    <w:p>
      <w:pPr>
        <w:pStyle w:val="317"/>
        <w:keepNext w:val="0"/>
        <w:keepLines w:val="0"/>
        <w:pageBreakBefore w:val="0"/>
        <w:kinsoku/>
        <w:wordWrap/>
        <w:overflowPunct/>
        <w:topLinePunct w:val="0"/>
        <w:bidi w:val="0"/>
        <w:adjustRightInd/>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1.3.2.3在合同履行期间，除合同另有约定外，不因工作阶段周期延长或缩短、难易程度变化、市场物价波动等因素而进行调整，乙方不得因此提出索赔。</w:t>
      </w:r>
    </w:p>
    <w:p>
      <w:pPr>
        <w:keepNext w:val="0"/>
        <w:keepLines w:val="0"/>
        <w:pageBreakBefore w:val="0"/>
        <w:kinsoku/>
        <w:wordWrap/>
        <w:overflowPunct/>
        <w:topLinePunct w:val="0"/>
        <w:bidi w:val="0"/>
        <w:adjustRightInd/>
        <w:snapToGrid/>
        <w:spacing w:line="440" w:lineRule="exact"/>
        <w:ind w:firstLine="482" w:firstLineChars="200"/>
        <w:textAlignment w:val="auto"/>
        <w:outlineLvl w:val="3"/>
        <w:rPr>
          <w:rFonts w:asciiTheme="minorEastAsia" w:hAnsiTheme="minorEastAsia" w:eastAsiaTheme="minorEastAsia"/>
          <w:b/>
          <w:color w:val="000000" w:themeColor="text1"/>
          <w14:textFill>
            <w14:solidFill>
              <w14:schemeClr w14:val="tx1"/>
            </w14:solidFill>
          </w14:textFill>
        </w:rPr>
      </w:pPr>
      <w:bookmarkStart w:id="470" w:name="_Toc19304"/>
      <w:bookmarkStart w:id="471" w:name="_Toc32071"/>
      <w:bookmarkStart w:id="472" w:name="_Toc2846"/>
      <w:r>
        <w:rPr>
          <w:rFonts w:asciiTheme="minorEastAsia" w:hAnsiTheme="minorEastAsia" w:eastAsiaTheme="minorEastAsia"/>
          <w:b/>
          <w:color w:val="000000" w:themeColor="text1"/>
          <w14:textFill>
            <w14:solidFill>
              <w14:schemeClr w14:val="tx1"/>
            </w14:solidFill>
          </w14:textFill>
        </w:rPr>
        <w:t>1.</w:t>
      </w:r>
      <w:bookmarkEnd w:id="470"/>
      <w:bookmarkEnd w:id="471"/>
      <w:bookmarkEnd w:id="472"/>
      <w:bookmarkStart w:id="473" w:name="_Toc27250"/>
      <w:bookmarkStart w:id="474" w:name="_Toc21423"/>
      <w:bookmarkStart w:id="475" w:name="_Toc19554"/>
      <w:r>
        <w:rPr>
          <w:rFonts w:hint="eastAsia" w:asciiTheme="minorEastAsia" w:hAnsiTheme="minorEastAsia" w:eastAsiaTheme="minorEastAsia"/>
          <w:b/>
          <w:color w:val="000000" w:themeColor="text1"/>
          <w:lang w:val="en-US" w:eastAsia="zh-CN"/>
          <w14:textFill>
            <w14:solidFill>
              <w14:schemeClr w14:val="tx1"/>
            </w14:solidFill>
          </w14:textFill>
        </w:rPr>
        <w:t>4</w:t>
      </w:r>
      <w:r>
        <w:rPr>
          <w:rFonts w:hint="eastAsia" w:asciiTheme="minorEastAsia" w:hAnsiTheme="minorEastAsia" w:eastAsiaTheme="minorEastAsia"/>
          <w:b/>
          <w:color w:val="000000" w:themeColor="text1"/>
          <w14:textFill>
            <w14:solidFill>
              <w14:schemeClr w14:val="tx1"/>
            </w14:solidFill>
          </w14:textFill>
        </w:rPr>
        <w:t>违约责任</w:t>
      </w:r>
      <w:bookmarkEnd w:id="473"/>
      <w:bookmarkEnd w:id="474"/>
      <w:bookmarkEnd w:id="475"/>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lang w:val="en-US" w:eastAsia="zh-CN"/>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 xml:space="preserve">.1 </w:t>
      </w:r>
      <w:r>
        <w:rPr>
          <w:rFonts w:hint="eastAsia" w:asciiTheme="minorEastAsia" w:hAnsiTheme="minorEastAsia" w:eastAsiaTheme="minorEastAsia"/>
          <w:color w:val="000000" w:themeColor="text1"/>
          <w14:textFill>
            <w14:solidFill>
              <w14:schemeClr w14:val="tx1"/>
            </w14:solidFill>
          </w14:textFill>
        </w:rPr>
        <w:t>除不可抗力外，如果乙方没有按照本合同约定的期限、地点和方式提供服务，那么甲方可要求乙方支付违约金，违约金按</w:t>
      </w:r>
      <w:r>
        <w:rPr>
          <w:rFonts w:hint="eastAsia" w:asciiTheme="minorEastAsia" w:hAnsiTheme="minorEastAsia" w:eastAsiaTheme="minorEastAsia"/>
          <w:color w:val="000000" w:themeColor="text1"/>
          <w:lang w:val="en-US" w:eastAsia="zh-CN"/>
          <w14:textFill>
            <w14:solidFill>
              <w14:schemeClr w14:val="tx1"/>
            </w14:solidFill>
          </w14:textFill>
        </w:rPr>
        <w:t>10000</w:t>
      </w:r>
      <w:r>
        <w:rPr>
          <w:rFonts w:asciiTheme="minorEastAsia" w:hAnsiTheme="minorEastAsia" w:eastAsiaTheme="minorEastAsia"/>
          <w:color w:val="000000" w:themeColor="text1"/>
          <w14:textFill>
            <w14:solidFill>
              <w14:schemeClr w14:val="tx1"/>
            </w14:solidFill>
          </w14:textFill>
        </w:rPr>
        <w:t>元</w:t>
      </w:r>
      <w:r>
        <w:rPr>
          <w:rFonts w:hint="eastAsia" w:asciiTheme="minorEastAsia" w:hAnsiTheme="minorEastAsia" w:eastAsiaTheme="minorEastAsia"/>
          <w:color w:val="000000" w:themeColor="text1"/>
          <w14:textFill>
            <w14:solidFill>
              <w14:schemeClr w14:val="tx1"/>
            </w14:solidFill>
          </w14:textFill>
        </w:rPr>
        <w:t>/次</w:t>
      </w:r>
      <w:r>
        <w:rPr>
          <w:rFonts w:asciiTheme="minorEastAsia" w:hAnsiTheme="minorEastAsia" w:eastAsiaTheme="minorEastAsia"/>
          <w:color w:val="000000" w:themeColor="text1"/>
          <w14:textFill>
            <w14:solidFill>
              <w14:schemeClr w14:val="tx1"/>
            </w14:solidFill>
          </w14:textFill>
        </w:rPr>
        <w:t>计算，最高限额为本合同总价的</w:t>
      </w:r>
      <w:r>
        <w:rPr>
          <w:rFonts w:hint="eastAsia" w:asciiTheme="minorEastAsia" w:hAnsiTheme="minorEastAsia" w:eastAsiaTheme="minorEastAsia"/>
          <w:color w:val="000000" w:themeColor="text1"/>
          <w:lang w:val="en-US" w:eastAsia="zh-CN"/>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%；未按要求提供服务的违约金计算数额达到前述最高限额之日起，甲方有权在要求乙方支付违约金的同时，书面通知乙方解除本合同；</w:t>
      </w:r>
    </w:p>
    <w:p>
      <w:pPr>
        <w:keepNext w:val="0"/>
        <w:keepLines w:val="0"/>
        <w:pageBreakBefore w:val="0"/>
        <w:kinsoku/>
        <w:wordWrap/>
        <w:overflowPunct/>
        <w:topLinePunct w:val="0"/>
        <w:bidi w:val="0"/>
        <w:adjustRightInd/>
        <w:snapToGrid/>
        <w:spacing w:line="440" w:lineRule="exact"/>
        <w:textAlignment w:val="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lang w:val="en-US" w:eastAsia="zh-CN"/>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lang w:val="en-US" w:eastAsia="zh-CN"/>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lang w:val="en-US" w:eastAsia="zh-CN"/>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lang w:val="en-US" w:eastAsia="zh-CN"/>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lang w:val="en-US" w:eastAsia="zh-CN"/>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lang w:val="en-US" w:eastAsia="zh-CN"/>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lang w:val="en-US" w:eastAsia="zh-CN"/>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lang w:val="en-US" w:eastAsia="zh-CN"/>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如果出现政府采购监督管理部门在处理投诉事项期间，书面通知甲方暂停采购活动的情形，或者询问或质疑事项可能影响中标结果的，导致甲方中止履行合同的情形，均不视为甲方违约。</w:t>
      </w:r>
    </w:p>
    <w:p>
      <w:pPr>
        <w:keepNext w:val="0"/>
        <w:keepLines w:val="0"/>
        <w:pageBreakBefore w:val="0"/>
        <w:kinsoku/>
        <w:wordWrap/>
        <w:overflowPunct/>
        <w:topLinePunct w:val="0"/>
        <w:bidi w:val="0"/>
        <w:adjustRightInd/>
        <w:snapToGrid/>
        <w:spacing w:line="440" w:lineRule="exact"/>
        <w:ind w:firstLine="482" w:firstLineChars="200"/>
        <w:textAlignment w:val="auto"/>
        <w:outlineLvl w:val="3"/>
        <w:rPr>
          <w:rFonts w:asciiTheme="minorEastAsia" w:hAnsiTheme="minorEastAsia" w:eastAsiaTheme="minorEastAsia"/>
          <w:b/>
          <w:color w:val="000000" w:themeColor="text1"/>
          <w14:textFill>
            <w14:solidFill>
              <w14:schemeClr w14:val="tx1"/>
            </w14:solidFill>
          </w14:textFill>
        </w:rPr>
      </w:pPr>
      <w:bookmarkStart w:id="476" w:name="_Toc16021"/>
      <w:bookmarkStart w:id="477" w:name="_Toc28375"/>
      <w:bookmarkStart w:id="478" w:name="_Toc15583"/>
      <w:r>
        <w:rPr>
          <w:rFonts w:asciiTheme="minorEastAsia" w:hAnsiTheme="minorEastAsia" w:eastAsiaTheme="minorEastAsia"/>
          <w:b/>
          <w:color w:val="000000" w:themeColor="text1"/>
          <w14:textFill>
            <w14:solidFill>
              <w14:schemeClr w14:val="tx1"/>
            </w14:solidFill>
          </w14:textFill>
        </w:rPr>
        <w:t>1.</w:t>
      </w:r>
      <w:r>
        <w:rPr>
          <w:rFonts w:hint="eastAsia" w:asciiTheme="minorEastAsia" w:hAnsiTheme="minorEastAsia" w:eastAsiaTheme="minorEastAsia"/>
          <w:b/>
          <w:color w:val="000000" w:themeColor="text1"/>
          <w:lang w:val="en-US" w:eastAsia="zh-CN"/>
          <w14:textFill>
            <w14:solidFill>
              <w14:schemeClr w14:val="tx1"/>
            </w14:solidFill>
          </w14:textFill>
        </w:rPr>
        <w:t>5</w:t>
      </w:r>
      <w:r>
        <w:rPr>
          <w:rFonts w:hint="eastAsia" w:asciiTheme="minorEastAsia" w:hAnsiTheme="minorEastAsia" w:eastAsiaTheme="minorEastAsia"/>
          <w:b/>
          <w:color w:val="000000" w:themeColor="text1"/>
          <w14:textFill>
            <w14:solidFill>
              <w14:schemeClr w14:val="tx1"/>
            </w14:solidFill>
          </w14:textFill>
        </w:rPr>
        <w:t>合同争议的解决</w:t>
      </w:r>
      <w:bookmarkEnd w:id="476"/>
      <w:bookmarkEnd w:id="477"/>
      <w:bookmarkEnd w:id="478"/>
    </w:p>
    <w:p>
      <w:pPr>
        <w:keepNext w:val="0"/>
        <w:keepLines w:val="0"/>
        <w:pageBreakBefore w:val="0"/>
        <w:kinsoku/>
        <w:wordWrap/>
        <w:overflowPunct/>
        <w:topLinePunct w:val="0"/>
        <w:bidi w:val="0"/>
        <w:adjustRightInd/>
        <w:snapToGrid/>
        <w:spacing w:line="440" w:lineRule="exact"/>
        <w:ind w:left="-70" w:leftChars="-29" w:right="-480" w:rightChars="-200" w:firstLine="480" w:firstLineChars="200"/>
        <w:textAlignment w:val="auto"/>
        <w:rPr>
          <w:rFonts w:asciiTheme="minorEastAsia" w:hAnsiTheme="minorEastAsia" w:eastAsiaTheme="minorEastAsia"/>
          <w:color w:val="000000" w:themeColor="text1"/>
          <w14:textFill>
            <w14:solidFill>
              <w14:schemeClr w14:val="tx1"/>
            </w14:solidFill>
          </w14:textFill>
        </w:rPr>
      </w:pPr>
      <w:bookmarkStart w:id="479" w:name="_Toc7245"/>
      <w:bookmarkStart w:id="480" w:name="_Toc11173"/>
      <w:bookmarkStart w:id="481" w:name="_Toc15322"/>
      <w:r>
        <w:rPr>
          <w:rFonts w:hint="eastAsia" w:asciiTheme="minorEastAsia" w:hAnsiTheme="minorEastAsia" w:eastAsiaTheme="minorEastAsia"/>
          <w:color w:val="000000" w:themeColor="text1"/>
          <w14:textFill>
            <w14:solidFill>
              <w14:schemeClr w14:val="tx1"/>
            </w14:solidFill>
          </w14:textFill>
        </w:rPr>
        <w:t>本合同履行过程中发生的任何争议，双方当事人均可通过和解或者调解解决；不愿和解、调解或者和解、调解不成的，可以选择以下第</w:t>
      </w:r>
      <w:r>
        <w:rPr>
          <w:rFonts w:hint="eastAsia" w:cs="仿宋" w:asciiTheme="majorEastAsia" w:hAnsiTheme="majorEastAsia" w:eastAsiaTheme="majorEastAsia"/>
        </w:rPr>
        <w:t>1.5.2</w:t>
      </w:r>
      <w:r>
        <w:rPr>
          <w:rFonts w:hint="eastAsia" w:asciiTheme="minorEastAsia" w:hAnsiTheme="minorEastAsia" w:eastAsiaTheme="minorEastAsia"/>
          <w:color w:val="000000" w:themeColor="text1"/>
          <w14:textFill>
            <w14:solidFill>
              <w14:schemeClr w14:val="tx1"/>
            </w14:solidFill>
          </w14:textFill>
        </w:rPr>
        <w:t>条款规定的方式解决：</w:t>
      </w:r>
    </w:p>
    <w:p>
      <w:pPr>
        <w:keepNext w:val="0"/>
        <w:keepLines w:val="0"/>
        <w:pageBreakBefore w:val="0"/>
        <w:kinsoku/>
        <w:wordWrap/>
        <w:overflowPunct/>
        <w:topLinePunct w:val="0"/>
        <w:bidi w:val="0"/>
        <w:adjustRightInd/>
        <w:snapToGrid/>
        <w:spacing w:line="440" w:lineRule="exact"/>
        <w:ind w:left="-70" w:leftChars="-29" w:right="-480" w:rightChars="-200" w:firstLine="480" w:firstLineChars="200"/>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1.5.1 将争议提交仲裁委员会依申请仲裁时其现行有效的仲裁规则裁决；</w:t>
      </w:r>
    </w:p>
    <w:p>
      <w:pPr>
        <w:keepNext w:val="0"/>
        <w:keepLines w:val="0"/>
        <w:pageBreakBefore w:val="0"/>
        <w:kinsoku/>
        <w:wordWrap/>
        <w:overflowPunct/>
        <w:topLinePunct w:val="0"/>
        <w:bidi w:val="0"/>
        <w:adjustRightInd/>
        <w:snapToGrid/>
        <w:spacing w:line="440" w:lineRule="exact"/>
        <w:ind w:firstLine="480" w:firstLineChars="200"/>
        <w:textAlignment w:val="auto"/>
        <w:outlineLvl w:val="3"/>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1.5.2 向甲方所在地人民法院起诉。</w:t>
      </w:r>
    </w:p>
    <w:p>
      <w:pPr>
        <w:keepNext w:val="0"/>
        <w:keepLines w:val="0"/>
        <w:pageBreakBefore w:val="0"/>
        <w:kinsoku/>
        <w:wordWrap/>
        <w:overflowPunct/>
        <w:topLinePunct w:val="0"/>
        <w:bidi w:val="0"/>
        <w:adjustRightInd/>
        <w:snapToGrid/>
        <w:spacing w:line="440" w:lineRule="exact"/>
        <w:ind w:firstLine="482" w:firstLineChars="200"/>
        <w:textAlignment w:val="auto"/>
        <w:outlineLvl w:val="3"/>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1.</w:t>
      </w:r>
      <w:r>
        <w:rPr>
          <w:rFonts w:hint="eastAsia" w:asciiTheme="minorEastAsia" w:hAnsiTheme="minorEastAsia" w:eastAsiaTheme="minorEastAsia"/>
          <w:b/>
          <w:color w:val="000000" w:themeColor="text1"/>
          <w:lang w:val="en-US" w:eastAsia="zh-CN"/>
          <w14:textFill>
            <w14:solidFill>
              <w14:schemeClr w14:val="tx1"/>
            </w14:solidFill>
          </w14:textFill>
        </w:rPr>
        <w:t>6</w:t>
      </w:r>
      <w:r>
        <w:rPr>
          <w:rFonts w:hint="eastAsia" w:asciiTheme="minorEastAsia" w:hAnsiTheme="minorEastAsia" w:eastAsiaTheme="minorEastAsia"/>
          <w:b/>
          <w:color w:val="000000" w:themeColor="text1"/>
          <w14:textFill>
            <w14:solidFill>
              <w14:schemeClr w14:val="tx1"/>
            </w14:solidFill>
          </w14:textFill>
        </w:rPr>
        <w:t>合同生效</w:t>
      </w:r>
      <w:bookmarkEnd w:id="479"/>
      <w:bookmarkEnd w:id="480"/>
      <w:bookmarkEnd w:id="481"/>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1.6.1</w:t>
      </w:r>
      <w:r>
        <w:rPr>
          <w:rFonts w:hint="eastAsia" w:asciiTheme="minorEastAsia" w:hAnsiTheme="minorEastAsia" w:eastAsiaTheme="minorEastAsia"/>
          <w:color w:val="000000" w:themeColor="text1"/>
          <w14:textFill>
            <w14:solidFill>
              <w14:schemeClr w14:val="tx1"/>
            </w14:solidFill>
          </w14:textFill>
        </w:rPr>
        <w:t>本合同自双方当事人签字盖章时生效。</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1.6.2本合同一式</w:t>
      </w:r>
      <w:r>
        <w:rPr>
          <w:rFonts w:hint="eastAsia" w:cs="宋体" w:asciiTheme="minorEastAsia" w:hAnsiTheme="minorEastAsia" w:eastAsiaTheme="minorEastAsia"/>
          <w:color w:val="000000" w:themeColor="text1"/>
          <w:lang w:eastAsia="zh-CN"/>
          <w14:textFill>
            <w14:solidFill>
              <w14:schemeClr w14:val="tx1"/>
            </w14:solidFill>
          </w14:textFill>
        </w:rPr>
        <w:t>拾</w:t>
      </w:r>
      <w:r>
        <w:rPr>
          <w:rFonts w:hint="eastAsia" w:cs="宋体" w:asciiTheme="minorEastAsia" w:hAnsiTheme="minorEastAsia" w:eastAsiaTheme="minorEastAsia"/>
          <w:color w:val="000000" w:themeColor="text1"/>
          <w14:textFill>
            <w14:solidFill>
              <w14:schemeClr w14:val="tx1"/>
            </w14:solidFill>
          </w14:textFill>
        </w:rPr>
        <w:t>份，双方各持</w:t>
      </w:r>
      <w:r>
        <w:rPr>
          <w:rFonts w:hint="eastAsia" w:cs="宋体" w:asciiTheme="minorEastAsia" w:hAnsiTheme="minorEastAsia" w:eastAsiaTheme="minorEastAsia"/>
          <w:color w:val="000000" w:themeColor="text1"/>
          <w:lang w:eastAsia="zh-CN"/>
          <w14:textFill>
            <w14:solidFill>
              <w14:schemeClr w14:val="tx1"/>
            </w14:solidFill>
          </w14:textFill>
        </w:rPr>
        <w:t>伍</w:t>
      </w:r>
      <w:r>
        <w:rPr>
          <w:rFonts w:hint="eastAsia" w:cs="宋体" w:asciiTheme="minorEastAsia" w:hAnsiTheme="minorEastAsia" w:eastAsiaTheme="minorEastAsia"/>
          <w:color w:val="000000" w:themeColor="text1"/>
          <w14:textFill>
            <w14:solidFill>
              <w14:schemeClr w14:val="tx1"/>
            </w14:solidFill>
          </w14:textFill>
        </w:rPr>
        <w:t>份，每份具有同等法律效力。</w:t>
      </w: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b/>
          <w:color w:val="000000" w:themeColor="text1"/>
          <w:lang w:val="zh-CN"/>
          <w14:textFill>
            <w14:solidFill>
              <w14:schemeClr w14:val="tx1"/>
            </w14:solidFill>
          </w14:textFill>
        </w:rPr>
      </w:pPr>
    </w:p>
    <w:p>
      <w:pPr>
        <w:keepNext w:val="0"/>
        <w:keepLines w:val="0"/>
        <w:pageBreakBefore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b/>
          <w:color w:val="000000" w:themeColor="text1"/>
          <w:lang w:val="zh-CN"/>
          <w14:textFill>
            <w14:solidFill>
              <w14:schemeClr w14:val="tx1"/>
            </w14:solidFill>
          </w14:textFill>
        </w:rPr>
      </w:pP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b/>
          <w:color w:val="000000" w:themeColor="text1"/>
          <w:lang w:val="zh-CN"/>
          <w14:textFill>
            <w14:solidFill>
              <w14:schemeClr w14:val="tx1"/>
            </w14:solidFill>
          </w14:textFill>
        </w:rPr>
        <w:t>甲方</w:t>
      </w:r>
      <w:r>
        <w:rPr>
          <w:rFonts w:hint="eastAsia" w:asciiTheme="minorEastAsia" w:hAnsiTheme="minorEastAsia" w:eastAsiaTheme="minorEastAsia"/>
          <w:color w:val="000000" w:themeColor="text1"/>
          <w:lang w:val="zh-CN"/>
          <w14:textFill>
            <w14:solidFill>
              <w14:schemeClr w14:val="tx1"/>
            </w14:solidFill>
          </w14:textFill>
        </w:rPr>
        <w:t>：</w:t>
      </w:r>
      <w:r>
        <w:rPr>
          <w:rFonts w:asciiTheme="minorEastAsia" w:hAnsiTheme="minorEastAsia" w:eastAsiaTheme="minorEastAsia"/>
          <w:b/>
          <w:color w:val="000000" w:themeColor="text1"/>
          <w:lang w:val="zh-CN"/>
          <w14:textFill>
            <w14:solidFill>
              <w14:schemeClr w14:val="tx1"/>
            </w14:solidFill>
          </w14:textFill>
        </w:rPr>
        <w:t xml:space="preserve">                                   乙方</w:t>
      </w:r>
      <w:r>
        <w:rPr>
          <w:rFonts w:hint="eastAsia" w:asciiTheme="minorEastAsia" w:hAnsiTheme="minorEastAsia" w:eastAsiaTheme="minorEastAsia"/>
          <w:color w:val="000000" w:themeColor="text1"/>
          <w:lang w:val="zh-CN"/>
          <w14:textFill>
            <w14:solidFill>
              <w14:schemeClr w14:val="tx1"/>
            </w14:solidFill>
          </w14:textFill>
        </w:rPr>
        <w:t>：</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 xml:space="preserve">统一社会信用代码： </w:t>
      </w:r>
      <w:r>
        <w:rPr>
          <w:rFonts w:asciiTheme="minorEastAsia" w:hAnsiTheme="minorEastAsia" w:eastAsiaTheme="minorEastAsia"/>
          <w:color w:val="000000" w:themeColor="text1"/>
          <w:lang w:val="zh-CN"/>
          <w14:textFill>
            <w14:solidFill>
              <w14:schemeClr w14:val="tx1"/>
            </w14:solidFill>
          </w14:textFill>
        </w:rPr>
        <w:t xml:space="preserve">                      </w:t>
      </w:r>
      <w:r>
        <w:rPr>
          <w:rFonts w:hint="eastAsia" w:asciiTheme="minorEastAsia" w:hAnsiTheme="minorEastAsia" w:eastAsiaTheme="minorEastAsia"/>
          <w:color w:val="000000" w:themeColor="text1"/>
          <w:lang w:val="zh-CN"/>
          <w14:textFill>
            <w14:solidFill>
              <w14:schemeClr w14:val="tx1"/>
            </w14:solidFill>
          </w14:textFill>
        </w:rPr>
        <w:t>统一社会信用代码</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 xml:space="preserve">住所： </w:t>
      </w:r>
      <w:r>
        <w:rPr>
          <w:rFonts w:asciiTheme="minorEastAsia" w:hAnsiTheme="minorEastAsia" w:eastAsiaTheme="minorEastAsia"/>
          <w:color w:val="000000" w:themeColor="text1"/>
          <w:lang w:val="zh-CN"/>
          <w14:textFill>
            <w14:solidFill>
              <w14:schemeClr w14:val="tx1"/>
            </w14:solidFill>
          </w14:textFill>
        </w:rPr>
        <w:t xml:space="preserve">                                  </w:t>
      </w:r>
      <w:r>
        <w:rPr>
          <w:rFonts w:hint="eastAsia" w:asciiTheme="minorEastAsia" w:hAnsiTheme="minorEastAsia" w:eastAsiaTheme="minorEastAsia"/>
          <w:color w:val="000000" w:themeColor="text1"/>
          <w:lang w:val="zh-CN"/>
          <w14:textFill>
            <w14:solidFill>
              <w14:schemeClr w14:val="tx1"/>
            </w14:solidFill>
          </w14:textFill>
        </w:rPr>
        <w:t>住所：</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 xml:space="preserve">法定代表人 </w:t>
      </w:r>
      <w:r>
        <w:rPr>
          <w:rFonts w:asciiTheme="minorEastAsia" w:hAnsiTheme="minorEastAsia" w:eastAsiaTheme="minorEastAsia"/>
          <w:color w:val="000000" w:themeColor="text1"/>
          <w:lang w:val="zh-CN"/>
          <w14:textFill>
            <w14:solidFill>
              <w14:schemeClr w14:val="tx1"/>
            </w14:solidFill>
          </w14:textFill>
        </w:rPr>
        <w:t xml:space="preserve">                              </w:t>
      </w:r>
      <w:r>
        <w:rPr>
          <w:rFonts w:hint="eastAsia" w:asciiTheme="minorEastAsia" w:hAnsiTheme="minorEastAsia" w:eastAsiaTheme="minorEastAsia"/>
          <w:color w:val="000000" w:themeColor="text1"/>
          <w:lang w:val="zh-CN"/>
          <w14:textFill>
            <w14:solidFill>
              <w14:schemeClr w14:val="tx1"/>
            </w14:solidFill>
          </w14:textFill>
        </w:rPr>
        <w:t>或法定代表人</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授权代表（签字）：</w:t>
      </w:r>
      <w:r>
        <w:rPr>
          <w:rFonts w:asciiTheme="minorEastAsia" w:hAnsiTheme="minorEastAsia" w:eastAsiaTheme="minorEastAsia"/>
          <w:color w:val="000000" w:themeColor="text1"/>
          <w:lang w:val="zh-CN"/>
          <w14:textFill>
            <w14:solidFill>
              <w14:schemeClr w14:val="tx1"/>
            </w14:solidFill>
          </w14:textFill>
        </w:rPr>
        <w:t xml:space="preserve">                       或授权代表（签字）: </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 xml:space="preserve">联系人： </w:t>
      </w:r>
      <w:r>
        <w:rPr>
          <w:rFonts w:asciiTheme="minorEastAsia" w:hAnsiTheme="minorEastAsia" w:eastAsiaTheme="minorEastAsia"/>
          <w:color w:val="000000" w:themeColor="text1"/>
          <w:lang w:val="zh-CN"/>
          <w14:textFill>
            <w14:solidFill>
              <w14:schemeClr w14:val="tx1"/>
            </w14:solidFill>
          </w14:textFill>
        </w:rPr>
        <w:t xml:space="preserve">                                </w:t>
      </w:r>
      <w:r>
        <w:rPr>
          <w:rFonts w:hint="eastAsia" w:asciiTheme="minorEastAsia" w:hAnsiTheme="minorEastAsia" w:eastAsiaTheme="minorEastAsia"/>
          <w:color w:val="000000" w:themeColor="text1"/>
          <w:lang w:val="zh-CN"/>
          <w14:textFill>
            <w14:solidFill>
              <w14:schemeClr w14:val="tx1"/>
            </w14:solidFill>
          </w14:textFill>
        </w:rPr>
        <w:t>联系人：</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 xml:space="preserve">约定送达地址： </w:t>
      </w:r>
      <w:r>
        <w:rPr>
          <w:rFonts w:asciiTheme="minorEastAsia" w:hAnsiTheme="minorEastAsia" w:eastAsiaTheme="minorEastAsia"/>
          <w:color w:val="000000" w:themeColor="text1"/>
          <w:lang w:val="zh-CN"/>
          <w14:textFill>
            <w14:solidFill>
              <w14:schemeClr w14:val="tx1"/>
            </w14:solidFill>
          </w14:textFill>
        </w:rPr>
        <w:t xml:space="preserve">                          </w:t>
      </w:r>
      <w:r>
        <w:rPr>
          <w:rFonts w:hint="eastAsia" w:asciiTheme="minorEastAsia" w:hAnsiTheme="minorEastAsia" w:eastAsiaTheme="minorEastAsia"/>
          <w:color w:val="000000" w:themeColor="text1"/>
          <w:lang w:val="zh-CN"/>
          <w14:textFill>
            <w14:solidFill>
              <w14:schemeClr w14:val="tx1"/>
            </w14:solidFill>
          </w14:textFill>
        </w:rPr>
        <w:t>约定送达地址：</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 xml:space="preserve">邮政编码： </w:t>
      </w:r>
      <w:r>
        <w:rPr>
          <w:rFonts w:asciiTheme="minorEastAsia" w:hAnsiTheme="minorEastAsia" w:eastAsiaTheme="minorEastAsia"/>
          <w:color w:val="000000" w:themeColor="text1"/>
          <w:lang w:val="zh-CN"/>
          <w14:textFill>
            <w14:solidFill>
              <w14:schemeClr w14:val="tx1"/>
            </w14:solidFill>
          </w14:textFill>
        </w:rPr>
        <w:t xml:space="preserve">                              </w:t>
      </w:r>
      <w:r>
        <w:rPr>
          <w:rFonts w:hint="eastAsia" w:asciiTheme="minorEastAsia" w:hAnsiTheme="minorEastAsia" w:eastAsiaTheme="minorEastAsia"/>
          <w:color w:val="000000" w:themeColor="text1"/>
          <w:lang w:val="zh-CN"/>
          <w14:textFill>
            <w14:solidFill>
              <w14:schemeClr w14:val="tx1"/>
            </w14:solidFill>
          </w14:textFill>
        </w:rPr>
        <w:t>邮政编码：</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电话</w:t>
      </w:r>
      <w:r>
        <w:rPr>
          <w:rFonts w:asciiTheme="minorEastAsia" w:hAnsiTheme="minorEastAsia" w:eastAsiaTheme="minorEastAsia"/>
          <w:color w:val="000000" w:themeColor="text1"/>
          <w:lang w:val="zh-CN"/>
          <w14:textFill>
            <w14:solidFill>
              <w14:schemeClr w14:val="tx1"/>
            </w14:solidFill>
          </w14:textFill>
        </w:rPr>
        <w:t xml:space="preserve">:                                    电话: </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传真</w:t>
      </w:r>
      <w:r>
        <w:rPr>
          <w:rFonts w:asciiTheme="minorEastAsia" w:hAnsiTheme="minorEastAsia" w:eastAsiaTheme="minorEastAsia"/>
          <w:color w:val="000000" w:themeColor="text1"/>
          <w:lang w:val="zh-CN"/>
          <w14:textFill>
            <w14:solidFill>
              <w14:schemeClr w14:val="tx1"/>
            </w14:solidFill>
          </w14:textFill>
        </w:rPr>
        <w:t xml:space="preserve">:                                    </w:t>
      </w:r>
      <w:r>
        <w:rPr>
          <w:rFonts w:hint="eastAsia" w:asciiTheme="minorEastAsia" w:hAnsiTheme="minorEastAsia" w:eastAsiaTheme="minorEastAsia"/>
          <w:color w:val="000000" w:themeColor="text1"/>
          <w:lang w:val="zh-CN"/>
          <w14:textFill>
            <w14:solidFill>
              <w14:schemeClr w14:val="tx1"/>
            </w14:solidFill>
          </w14:textFill>
        </w:rPr>
        <w:t>传真</w:t>
      </w:r>
      <w:r>
        <w:rPr>
          <w:rFonts w:asciiTheme="minorEastAsia" w:hAnsiTheme="minorEastAsia" w:eastAsiaTheme="minorEastAsia"/>
          <w:color w:val="000000" w:themeColor="text1"/>
          <w:lang w:val="zh-CN"/>
          <w14:textFill>
            <w14:solidFill>
              <w14:schemeClr w14:val="tx1"/>
            </w14:solidFill>
          </w14:textFill>
        </w:rPr>
        <w:t>:</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 xml:space="preserve">电子邮箱： </w:t>
      </w:r>
      <w:r>
        <w:rPr>
          <w:rFonts w:asciiTheme="minorEastAsia" w:hAnsiTheme="minorEastAsia" w:eastAsiaTheme="minorEastAsia"/>
          <w:color w:val="000000" w:themeColor="text1"/>
          <w:lang w:val="zh-CN"/>
          <w14:textFill>
            <w14:solidFill>
              <w14:schemeClr w14:val="tx1"/>
            </w14:solidFill>
          </w14:textFill>
        </w:rPr>
        <w:t xml:space="preserve">                              </w:t>
      </w:r>
      <w:r>
        <w:rPr>
          <w:rFonts w:hint="eastAsia" w:asciiTheme="minorEastAsia" w:hAnsiTheme="minorEastAsia" w:eastAsiaTheme="minorEastAsia"/>
          <w:color w:val="000000" w:themeColor="text1"/>
          <w:lang w:val="zh-CN"/>
          <w14:textFill>
            <w14:solidFill>
              <w14:schemeClr w14:val="tx1"/>
            </w14:solidFill>
          </w14:textFill>
        </w:rPr>
        <w:t>电子邮箱：</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开户银行：</w:t>
      </w:r>
      <w:r>
        <w:rPr>
          <w:rFonts w:asciiTheme="minorEastAsia" w:hAnsiTheme="minorEastAsia" w:eastAsiaTheme="minorEastAsia"/>
          <w:color w:val="000000" w:themeColor="text1"/>
          <w14:textFill>
            <w14:solidFill>
              <w14:schemeClr w14:val="tx1"/>
            </w14:solidFill>
          </w14:textFill>
        </w:rPr>
        <w:t xml:space="preserve">                               开户银行： </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开户名称：</w:t>
      </w:r>
      <w:r>
        <w:rPr>
          <w:rFonts w:asciiTheme="minorEastAsia" w:hAnsiTheme="minorEastAsia" w:eastAsiaTheme="minorEastAsia"/>
          <w:color w:val="000000" w:themeColor="text1"/>
          <w14:textFill>
            <w14:solidFill>
              <w14:schemeClr w14:val="tx1"/>
            </w14:solidFill>
          </w14:textFill>
        </w:rPr>
        <w:t xml:space="preserve">                               开户名称： </w:t>
      </w:r>
    </w:p>
    <w:p>
      <w:pPr>
        <w:keepNext w:val="0"/>
        <w:keepLines w:val="0"/>
        <w:pageBreakBefore w:val="0"/>
        <w:kinsoku/>
        <w:wordWrap/>
        <w:overflowPunct/>
        <w:topLinePunct w:val="0"/>
        <w:autoSpaceDE w:val="0"/>
        <w:autoSpaceDN w:val="0"/>
        <w:bidi w:val="0"/>
        <w:adjustRightInd/>
        <w:snapToGrid/>
        <w:spacing w:line="440" w:lineRule="exact"/>
        <w:textAlignment w:val="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开户账号： </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开户账号：</w:t>
      </w:r>
    </w:p>
    <w:p>
      <w:pPr>
        <w:rPr>
          <w:rFonts w:hint="eastAsia" w:asciiTheme="minorEastAsia" w:hAnsiTheme="minorEastAsia" w:eastAsiaTheme="minorEastAsia"/>
          <w:b/>
          <w:color w:val="000000" w:themeColor="text1"/>
          <w:sz w:val="36"/>
          <w:szCs w:val="36"/>
          <w14:textFill>
            <w14:solidFill>
              <w14:schemeClr w14:val="tx1"/>
            </w14:solidFill>
          </w14:textFill>
        </w:rPr>
      </w:pPr>
      <w:bookmarkStart w:id="482" w:name="_Toc331685783"/>
      <w:r>
        <w:rPr>
          <w:rFonts w:hint="eastAsia" w:asciiTheme="minorEastAsia" w:hAnsiTheme="minorEastAsia" w:eastAsiaTheme="minorEastAsia"/>
          <w:b/>
          <w:color w:val="000000" w:themeColor="text1"/>
          <w:sz w:val="36"/>
          <w:szCs w:val="36"/>
          <w14:textFill>
            <w14:solidFill>
              <w14:schemeClr w14:val="tx1"/>
            </w14:solidFill>
          </w14:textFill>
        </w:rPr>
        <w:br w:type="page"/>
      </w:r>
    </w:p>
    <w:p>
      <w:pPr>
        <w:pStyle w:val="251"/>
        <w:pageBreakBefore w:val="0"/>
        <w:spacing w:line="560" w:lineRule="exact"/>
        <w:ind w:left="481" w:leftChars="0" w:hanging="481" w:hangingChars="133"/>
        <w:jc w:val="center"/>
        <w:outlineLvl w:val="2"/>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第二部分 合同条款</w:t>
      </w:r>
      <w:bookmarkEnd w:id="482"/>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bookmarkStart w:id="483" w:name="_Ref467378404"/>
      <w:bookmarkStart w:id="484" w:name="_Ref467379214"/>
      <w:bookmarkStart w:id="485" w:name="_Ref467378463"/>
      <w:bookmarkStart w:id="486" w:name="_Ref467379109"/>
      <w:bookmarkStart w:id="487" w:name="_Ref467379205"/>
      <w:bookmarkStart w:id="488" w:name="_Toc16917"/>
      <w:bookmarkStart w:id="489" w:name="_Toc19614"/>
      <w:bookmarkStart w:id="490" w:name="_Ref467379195"/>
      <w:bookmarkStart w:id="491" w:name="_Ref467378499"/>
      <w:bookmarkStart w:id="492" w:name="_Ref467379094"/>
      <w:bookmarkStart w:id="493" w:name="_Ref467379101"/>
      <w:bookmarkStart w:id="494" w:name="_Ref467379225"/>
      <w:bookmarkStart w:id="495" w:name="_Toc279701240"/>
      <w:bookmarkStart w:id="496" w:name="_Toc259093669"/>
      <w:bookmarkStart w:id="497" w:name="_Toc487900349"/>
      <w:bookmarkStart w:id="498" w:name="_Toc28763"/>
      <w:r>
        <w:rPr>
          <w:rFonts w:asciiTheme="minorEastAsia" w:hAnsiTheme="minorEastAsia" w:eastAsiaTheme="minorEastAsia"/>
          <w:b/>
          <w:color w:val="000000" w:themeColor="text1"/>
          <w14:textFill>
            <w14:solidFill>
              <w14:schemeClr w14:val="tx1"/>
            </w14:solidFill>
          </w14:textFill>
        </w:rPr>
        <w:t xml:space="preserve">2.1 </w:t>
      </w:r>
      <w:r>
        <w:rPr>
          <w:rFonts w:hint="eastAsia" w:asciiTheme="minorEastAsia" w:hAnsiTheme="minorEastAsia" w:eastAsiaTheme="minorEastAsia"/>
          <w:b/>
          <w:color w:val="000000" w:themeColor="text1"/>
          <w14:textFill>
            <w14:solidFill>
              <w14:schemeClr w14:val="tx1"/>
            </w14:solidFill>
          </w14:textFill>
        </w:rPr>
        <w:t>定义</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本合同中的下列词语应按以下内容进行解释：</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2.1.1 </w:t>
      </w:r>
      <w:r>
        <w:rPr>
          <w:rFonts w:hint="eastAsia" w:asciiTheme="minorEastAsia" w:hAnsiTheme="minorEastAsia" w:eastAsiaTheme="minorEastAsia"/>
          <w:color w:val="000000" w:themeColor="text1"/>
          <w14:textFill>
            <w14:solidFill>
              <w14:schemeClr w14:val="tx1"/>
            </w14:solidFill>
          </w14:textFill>
        </w:rPr>
        <w:t>“合同”系指采购人和中标供应商签订的载明双方当事人所达成的协议，并包括所有的附件、附录和构成合同的其他文件。</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2.1.2 </w:t>
      </w:r>
      <w:r>
        <w:rPr>
          <w:rFonts w:hint="eastAsia" w:asciiTheme="minorEastAsia" w:hAnsiTheme="minorEastAsia" w:eastAsiaTheme="minorEastAsia"/>
          <w:color w:val="000000" w:themeColor="text1"/>
          <w14:textFill>
            <w14:solidFill>
              <w14:schemeClr w14:val="tx1"/>
            </w14:solidFill>
          </w14:textFill>
        </w:rPr>
        <w:t>“合同价”系指根据合同约定，中标供应商在完全履行合同义务后，采购人应支付给中标供应商的价格。</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2.1.3 </w:t>
      </w:r>
      <w:r>
        <w:rPr>
          <w:rFonts w:hint="eastAsia" w:cs="仿宋" w:asciiTheme="majorEastAsia" w:hAnsiTheme="majorEastAsia" w:eastAsiaTheme="majorEastAsia"/>
        </w:rPr>
        <w:t>“服务”系指中标供应商根据合同约定应向采购人提供的服务。</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bookmarkStart w:id="499" w:name="_Ref467378840"/>
      <w:r>
        <w:rPr>
          <w:rFonts w:asciiTheme="minorEastAsia" w:hAnsiTheme="minorEastAsia" w:eastAsiaTheme="minorEastAsia"/>
          <w:color w:val="000000" w:themeColor="text1"/>
          <w14:textFill>
            <w14:solidFill>
              <w14:schemeClr w14:val="tx1"/>
            </w14:solidFill>
          </w14:textFill>
        </w:rPr>
        <w:t xml:space="preserve">2.1.4 </w:t>
      </w:r>
      <w:r>
        <w:rPr>
          <w:rFonts w:hint="eastAsia" w:asciiTheme="minorEastAsia" w:hAnsiTheme="minorEastAsia" w:eastAsiaTheme="minorEastAsia"/>
          <w:color w:val="000000" w:themeColor="text1"/>
          <w14:textFill>
            <w14:solidFill>
              <w14:schemeClr w14:val="tx1"/>
            </w14:solidFill>
          </w14:textFill>
        </w:rPr>
        <w:t>“甲方”系指与中标供应商签署合同的采购人</w:t>
      </w:r>
      <w:bookmarkEnd w:id="499"/>
      <w:r>
        <w:rPr>
          <w:rFonts w:hint="eastAsia" w:asciiTheme="minorEastAsia" w:hAnsiTheme="minorEastAsia" w:eastAsiaTheme="minorEastAsia"/>
          <w:color w:val="000000" w:themeColor="text1"/>
          <w14:textFill>
            <w14:solidFill>
              <w14:schemeClr w14:val="tx1"/>
            </w14:solidFill>
          </w14:textFill>
        </w:rPr>
        <w:t>。</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2.1.5 </w:t>
      </w:r>
      <w:r>
        <w:rPr>
          <w:rFonts w:hint="eastAsia" w:cs="仿宋" w:asciiTheme="majorEastAsia" w:hAnsiTheme="majorEastAsia" w:eastAsiaTheme="majorEastAsia"/>
        </w:rPr>
        <w:t>“乙方”系指根据合同约定提供服务的中标供应商；两个以上的自然人、法人或者其他组织组成一个联合体，以一个供应商的身份共同参加采购的，联合体各方均应为乙方或者与乙方相同地位的合同当事人，并就合同约定的事项对甲方承担连带责任。</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cs="仿宋" w:asciiTheme="majorEastAsia" w:hAnsiTheme="majorEastAsia" w:eastAsiaTheme="majorEastAsia"/>
        </w:rPr>
        <w:t>2.1.6 “现场”系指合同约定服务提供地点。</w:t>
      </w:r>
    </w:p>
    <w:p>
      <w:pPr>
        <w:spacing w:line="560" w:lineRule="exact"/>
        <w:ind w:firstLine="482" w:firstLineChars="200"/>
        <w:outlineLvl w:val="3"/>
        <w:rPr>
          <w:rFonts w:hint="eastAsia" w:asciiTheme="minorEastAsia" w:hAnsiTheme="minorEastAsia" w:eastAsiaTheme="minorEastAsia"/>
          <w:b/>
          <w:color w:val="000000" w:themeColor="text1"/>
          <w:lang w:val="en-US" w:eastAsia="zh-CN"/>
          <w14:textFill>
            <w14:solidFill>
              <w14:schemeClr w14:val="tx1"/>
            </w14:solidFill>
          </w14:textFill>
        </w:rPr>
      </w:pPr>
      <w:bookmarkStart w:id="500" w:name="_Toc279701248"/>
      <w:bookmarkStart w:id="501" w:name="_Ref467379863"/>
      <w:bookmarkStart w:id="502" w:name="_Ref467379852"/>
      <w:bookmarkStart w:id="503" w:name="_Ref467379923"/>
      <w:bookmarkStart w:id="504" w:name="_Toc259093677"/>
      <w:bookmarkStart w:id="505" w:name="_Toc487900358"/>
      <w:bookmarkStart w:id="506" w:name="_Toc16110"/>
      <w:bookmarkStart w:id="507" w:name="_Toc774"/>
      <w:bookmarkStart w:id="508" w:name="_Toc3225"/>
      <w:r>
        <w:rPr>
          <w:rFonts w:hint="eastAsia" w:asciiTheme="minorEastAsia" w:hAnsiTheme="minorEastAsia" w:eastAsiaTheme="minorEastAsia"/>
          <w:b/>
          <w:color w:val="000000" w:themeColor="text1"/>
          <w:lang w:val="en-US" w:eastAsia="zh-CN"/>
          <w14:textFill>
            <w14:solidFill>
              <w14:schemeClr w14:val="tx1"/>
            </w14:solidFill>
          </w14:textFill>
        </w:rPr>
        <w:t>2.2双方的权利义务</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 xml:space="preserve"> 甲方的权利</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.1 甲方有权根据需要制定、修订各项委外维保工作管理制度和考核制度。</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.2 甲方有权按照本企业有关制度及规定，对乙方的维保工作实施跟踪管理、监督、检查、验收，给予工作质量、安全、工期、服务、文明卫生等评定，实施考核。</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.3 甲方有权对乙方的人员资质进行审核,对不符合要求的乙方人员，有权要求调换。</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.4 甲方有权对乙方人员的工作进行考核，对不能胜任合同要求或有严重渎职行为的乙方人员，甲方有权指令乙方更换。</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.5 甲方有权对乙方的工具设备及其他设施的到位及备用状态进行检查。</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.6 若乙方不能完成承包范围中的工作或完成的工作不符合质量、时间要求，甲方有权指定第三方完成该工作，乙方承担相关费用。</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.7 甲方有权对乙方人员在工作中的违章违纪行为进行制止，当其行为危及人身或设备设施安全时，有权立即终止其工作。</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.8 当乙方或乙方人员发生责任事故时，甲方有权追究乙方的安全责任。</w:t>
      </w:r>
    </w:p>
    <w:p>
      <w:pPr>
        <w:spacing w:line="360" w:lineRule="auto"/>
        <w:ind w:firstLine="484" w:firstLineChars="202"/>
        <w:rPr>
          <w:rFonts w:hint="eastAsia"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ascii="宋体" w:hAnsi="宋体"/>
          <w:color w:val="000000"/>
          <w:szCs w:val="21"/>
        </w:rPr>
        <w:t>.1.9</w:t>
      </w:r>
      <w:r>
        <w:rPr>
          <w:rFonts w:hint="eastAsia" w:ascii="宋体" w:hAnsi="宋体"/>
          <w:color w:val="000000"/>
          <w:szCs w:val="21"/>
        </w:rPr>
        <w:t>甲方有权利根据项目实施情况对不能满足本项目实施的人员进行调整，乙方应按照甲方的要求进行人员调整。</w:t>
      </w:r>
    </w:p>
    <w:p>
      <w:pPr>
        <w:spacing w:line="360" w:lineRule="auto"/>
        <w:ind w:firstLine="484" w:firstLineChars="202"/>
        <w:rPr>
          <w:rFonts w:hint="eastAsia"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.1.10在合同执行过程中，甲方有权调整服务范围或数量，当甲方提出调整服务范围或数量时，乙方应予以接受且不因此提出任何索赔。</w:t>
      </w:r>
    </w:p>
    <w:p>
      <w:pPr>
        <w:spacing w:line="360" w:lineRule="auto"/>
        <w:ind w:firstLine="484" w:firstLineChars="202"/>
        <w:rPr>
          <w:rFonts w:ascii="宋体" w:hAnsi="宋体"/>
          <w:color w:val="000000"/>
          <w:szCs w:val="21"/>
          <w:highlight w:val="none"/>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 xml:space="preserve"> 甲方的义务</w:t>
      </w:r>
    </w:p>
    <w:p>
      <w:pPr>
        <w:spacing w:line="360" w:lineRule="auto"/>
        <w:ind w:firstLine="484" w:firstLineChars="202"/>
        <w:rPr>
          <w:rFonts w:ascii="宋体" w:hAnsi="宋体"/>
          <w:color w:val="000000"/>
          <w:szCs w:val="21"/>
          <w:highlight w:val="none"/>
        </w:rPr>
      </w:pPr>
      <w:r>
        <w:rPr>
          <w:rFonts w:hint="eastAsia" w:ascii="宋体" w:hAnsi="宋体"/>
          <w:color w:val="000000"/>
          <w:szCs w:val="21"/>
          <w:highlight w:val="none"/>
        </w:rPr>
        <w:t>2.</w:t>
      </w:r>
      <w:r>
        <w:rPr>
          <w:rFonts w:hint="eastAsia"/>
          <w:color w:val="000000"/>
          <w:szCs w:val="21"/>
          <w:highlight w:val="none"/>
          <w:lang w:val="en-US" w:eastAsia="zh-CN"/>
        </w:rPr>
        <w:t>2</w:t>
      </w:r>
      <w:r>
        <w:rPr>
          <w:rFonts w:hint="eastAsia" w:ascii="宋体" w:hAnsi="宋体"/>
          <w:color w:val="000000"/>
          <w:szCs w:val="21"/>
          <w:highlight w:val="none"/>
        </w:rPr>
        <w:t>.</w:t>
      </w:r>
      <w:r>
        <w:rPr>
          <w:rFonts w:ascii="宋体" w:hAnsi="宋体"/>
          <w:color w:val="000000"/>
          <w:szCs w:val="21"/>
          <w:highlight w:val="none"/>
        </w:rPr>
        <w:t>2</w:t>
      </w:r>
      <w:r>
        <w:rPr>
          <w:rFonts w:hint="eastAsia" w:ascii="宋体" w:hAnsi="宋体"/>
          <w:color w:val="000000"/>
          <w:szCs w:val="21"/>
          <w:highlight w:val="none"/>
        </w:rPr>
        <w:t>.1 负责提供乙方合格人员的进场条件，提供乙方人员进场前的安全教育。</w:t>
      </w:r>
    </w:p>
    <w:p>
      <w:pPr>
        <w:spacing w:line="360" w:lineRule="auto"/>
        <w:ind w:firstLine="484" w:firstLineChars="202"/>
        <w:rPr>
          <w:rFonts w:hint="eastAsia" w:ascii="宋体" w:hAnsi="宋体"/>
          <w:color w:val="000000"/>
          <w:szCs w:val="21"/>
          <w:highlight w:val="none"/>
        </w:rPr>
      </w:pPr>
      <w:r>
        <w:rPr>
          <w:rFonts w:hint="eastAsia" w:ascii="宋体" w:hAnsi="宋体"/>
          <w:color w:val="000000"/>
          <w:szCs w:val="21"/>
          <w:highlight w:val="none"/>
        </w:rPr>
        <w:t>2</w:t>
      </w:r>
      <w:r>
        <w:rPr>
          <w:rFonts w:ascii="宋体" w:hAnsi="宋体"/>
          <w:color w:val="000000"/>
          <w:szCs w:val="21"/>
          <w:highlight w:val="none"/>
        </w:rPr>
        <w:t>.</w:t>
      </w:r>
      <w:r>
        <w:rPr>
          <w:rFonts w:hint="eastAsia"/>
          <w:color w:val="000000"/>
          <w:szCs w:val="21"/>
          <w:highlight w:val="none"/>
          <w:lang w:val="en-US" w:eastAsia="zh-CN"/>
        </w:rPr>
        <w:t>2</w:t>
      </w:r>
      <w:r>
        <w:rPr>
          <w:rFonts w:ascii="宋体" w:hAnsi="宋体"/>
          <w:color w:val="000000"/>
          <w:szCs w:val="21"/>
          <w:highlight w:val="none"/>
        </w:rPr>
        <w:t xml:space="preserve">.2.2 </w:t>
      </w:r>
      <w:r>
        <w:rPr>
          <w:rFonts w:hint="eastAsia" w:ascii="宋体" w:hAnsi="宋体"/>
          <w:color w:val="000000"/>
          <w:szCs w:val="21"/>
          <w:highlight w:val="none"/>
        </w:rPr>
        <w:t>负责审核乙方编制的规章制度、维保方案、维修计划。</w:t>
      </w:r>
    </w:p>
    <w:p>
      <w:pPr>
        <w:spacing w:line="360" w:lineRule="auto"/>
        <w:ind w:firstLine="484" w:firstLineChars="202"/>
        <w:rPr>
          <w:rFonts w:ascii="宋体" w:hAnsi="宋体"/>
          <w:color w:val="000000"/>
          <w:szCs w:val="21"/>
        </w:rPr>
      </w:pPr>
      <w:r>
        <w:rPr>
          <w:rFonts w:hint="eastAsia" w:ascii="宋体" w:hAnsi="宋体"/>
          <w:color w:val="000000"/>
          <w:szCs w:val="21"/>
          <w:highlight w:val="none"/>
        </w:rPr>
        <w:t>2.</w:t>
      </w:r>
      <w:r>
        <w:rPr>
          <w:rFonts w:hint="eastAsia"/>
          <w:color w:val="000000"/>
          <w:szCs w:val="21"/>
          <w:highlight w:val="none"/>
          <w:lang w:val="en-US" w:eastAsia="zh-CN"/>
        </w:rPr>
        <w:t>2</w:t>
      </w:r>
      <w:r>
        <w:rPr>
          <w:rFonts w:hint="eastAsia" w:ascii="宋体" w:hAnsi="宋体"/>
          <w:color w:val="000000"/>
          <w:szCs w:val="21"/>
          <w:highlight w:val="none"/>
        </w:rPr>
        <w:t>.</w:t>
      </w:r>
      <w:r>
        <w:rPr>
          <w:rFonts w:ascii="宋体" w:hAnsi="宋体"/>
          <w:color w:val="000000"/>
          <w:szCs w:val="21"/>
          <w:highlight w:val="none"/>
        </w:rPr>
        <w:t>2</w:t>
      </w:r>
      <w:r>
        <w:rPr>
          <w:rFonts w:hint="eastAsia" w:ascii="宋体" w:hAnsi="宋体"/>
          <w:color w:val="000000"/>
          <w:szCs w:val="21"/>
          <w:highlight w:val="none"/>
        </w:rPr>
        <w:t>.</w:t>
      </w:r>
      <w:r>
        <w:rPr>
          <w:rFonts w:ascii="宋体" w:hAnsi="宋体"/>
          <w:color w:val="000000"/>
          <w:szCs w:val="21"/>
          <w:highlight w:val="none"/>
        </w:rPr>
        <w:t>3</w:t>
      </w:r>
      <w:r>
        <w:rPr>
          <w:rFonts w:hint="eastAsia" w:ascii="宋体" w:hAnsi="宋体"/>
          <w:color w:val="000000"/>
          <w:szCs w:val="21"/>
          <w:highlight w:val="none"/>
        </w:rPr>
        <w:t xml:space="preserve"> 负责协调甲方管辖范围内的委外维保项目作业场地具备作业条件，在完工后负责办理委外维保项目作业销令手续（或培训乙方人员，使之具备上述工作的资格，具体要求以“服务技术标准及要求”为</w:t>
      </w:r>
      <w:r>
        <w:rPr>
          <w:rFonts w:hint="eastAsia" w:ascii="宋体" w:hAnsi="宋体"/>
          <w:color w:val="000000"/>
          <w:szCs w:val="21"/>
        </w:rPr>
        <w:t>准）。</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 xml:space="preserve"> 负责指定在地铁范围内作业所需水、电的接入地点，保证作业期间的需要。</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 xml:space="preserve"> 负责向乙方提供维保工作必需的图纸和资料。</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 xml:space="preserve"> 负责审批乙方提供的维修计划和材料计划。</w:t>
      </w:r>
    </w:p>
    <w:p>
      <w:pPr>
        <w:spacing w:line="360" w:lineRule="auto"/>
        <w:ind w:firstLine="484" w:firstLineChars="202"/>
        <w:rPr>
          <w:rFonts w:hint="eastAsia" w:ascii="宋体" w:hAnsi="宋体"/>
          <w:color w:val="000000"/>
          <w:szCs w:val="21"/>
        </w:rPr>
      </w:pPr>
      <w:r>
        <w:rPr>
          <w:rFonts w:hint="eastAsia" w:ascii="宋体" w:hAnsi="宋体"/>
          <w:color w:val="000000"/>
          <w:szCs w:val="21"/>
        </w:rPr>
        <w:t>2.</w:t>
      </w:r>
      <w:r>
        <w:rPr>
          <w:rFonts w:hint="eastAsia"/>
          <w:color w:val="000000"/>
          <w:szCs w:val="21"/>
          <w:lang w:val="en-US" w:eastAsia="zh-CN"/>
        </w:rPr>
        <w:t>2</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.7 负责对重大、复杂事故处理和维修项目的方案审批。</w:t>
      </w:r>
    </w:p>
    <w:p>
      <w:pPr>
        <w:spacing w:line="360" w:lineRule="auto"/>
        <w:ind w:firstLine="484" w:firstLineChars="202"/>
        <w:rPr>
          <w:rFonts w:hint="eastAsia" w:ascii="宋体" w:hAnsi="宋体"/>
          <w:color w:val="000000"/>
          <w:szCs w:val="21"/>
        </w:rPr>
      </w:pPr>
      <w:r>
        <w:rPr>
          <w:rFonts w:hint="eastAsia" w:ascii="宋体" w:hAnsi="宋体"/>
          <w:color w:val="000000"/>
          <w:szCs w:val="21"/>
        </w:rPr>
        <w:t>2.</w:t>
      </w:r>
      <w:r>
        <w:rPr>
          <w:rFonts w:hint="eastAsia" w:ascii="宋体" w:hAnsi="宋体"/>
          <w:color w:val="000000"/>
          <w:szCs w:val="21"/>
          <w:lang w:val="en-US" w:eastAsia="zh-CN"/>
        </w:rPr>
        <w:t>2</w:t>
      </w:r>
      <w:r>
        <w:rPr>
          <w:rFonts w:hint="eastAsia" w:ascii="宋体" w:hAnsi="宋体"/>
          <w:color w:val="000000"/>
          <w:szCs w:val="21"/>
        </w:rPr>
        <w:t>.2.8 负责抽查维修工作的完工验收。</w:t>
      </w:r>
    </w:p>
    <w:p>
      <w:pPr>
        <w:spacing w:line="360" w:lineRule="auto"/>
        <w:ind w:firstLine="484" w:firstLineChars="202"/>
        <w:rPr>
          <w:rFonts w:hint="eastAsia" w:ascii="宋体" w:hAnsi="宋体"/>
          <w:color w:val="000000"/>
          <w:szCs w:val="21"/>
          <w:lang w:val="en-US" w:eastAsia="zh-CN"/>
        </w:rPr>
      </w:pPr>
      <w:r>
        <w:rPr>
          <w:rFonts w:hint="eastAsia" w:ascii="宋体" w:hAnsi="宋体"/>
          <w:color w:val="000000"/>
          <w:szCs w:val="21"/>
        </w:rPr>
        <w:t>2.</w:t>
      </w:r>
      <w:r>
        <w:rPr>
          <w:rFonts w:hint="eastAsia" w:ascii="宋体" w:hAnsi="宋体"/>
          <w:color w:val="000000"/>
          <w:szCs w:val="21"/>
          <w:lang w:val="en-US" w:eastAsia="zh-CN"/>
        </w:rPr>
        <w:t>2</w:t>
      </w:r>
      <w:r>
        <w:rPr>
          <w:rFonts w:hint="eastAsia" w:ascii="宋体" w:hAnsi="宋体"/>
          <w:color w:val="000000"/>
          <w:szCs w:val="21"/>
        </w:rPr>
        <w:t>.2.9 负责按照合同约定向乙方支付费用。</w:t>
      </w:r>
    </w:p>
    <w:p>
      <w:pPr>
        <w:spacing w:line="360" w:lineRule="auto"/>
        <w:ind w:firstLine="484" w:firstLineChars="202"/>
        <w:rPr>
          <w:rFonts w:hint="eastAsia" w:ascii="宋体" w:hAnsi="宋体"/>
          <w:bCs/>
          <w:color w:val="000000"/>
          <w:szCs w:val="21"/>
        </w:rPr>
      </w:pPr>
      <w:r>
        <w:rPr>
          <w:rFonts w:hint="eastAsia" w:ascii="宋体" w:hAnsi="宋体"/>
          <w:bCs/>
          <w:color w:val="000000"/>
          <w:szCs w:val="21"/>
        </w:rPr>
        <w:t>2</w:t>
      </w:r>
      <w:r>
        <w:rPr>
          <w:rFonts w:ascii="宋体" w:hAnsi="宋体"/>
          <w:bCs/>
          <w:color w:val="000000"/>
          <w:szCs w:val="21"/>
        </w:rPr>
        <w:t>.2.</w:t>
      </w:r>
      <w:r>
        <w:rPr>
          <w:rFonts w:hint="eastAsia"/>
          <w:bCs/>
          <w:color w:val="000000"/>
          <w:szCs w:val="21"/>
          <w:lang w:val="en-US" w:eastAsia="zh-CN"/>
        </w:rPr>
        <w:t>3</w:t>
      </w:r>
      <w:r>
        <w:rPr>
          <w:rFonts w:ascii="宋体" w:hAnsi="宋体"/>
          <w:bCs/>
          <w:color w:val="000000"/>
          <w:szCs w:val="21"/>
        </w:rPr>
        <w:t xml:space="preserve"> </w:t>
      </w:r>
      <w:r>
        <w:rPr>
          <w:rFonts w:hint="eastAsia" w:ascii="宋体" w:hAnsi="宋体"/>
          <w:bCs/>
          <w:color w:val="000000"/>
          <w:szCs w:val="21"/>
        </w:rPr>
        <w:t>乙方的权利</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3</w:t>
      </w:r>
      <w:r>
        <w:rPr>
          <w:rFonts w:hint="eastAsia" w:ascii="宋体" w:hAnsi="宋体"/>
          <w:color w:val="000000"/>
          <w:szCs w:val="21"/>
        </w:rPr>
        <w:t>.1 乙方有权按合同有关条款规定获得所完成的合格委外维保工作的报酬。</w:t>
      </w:r>
    </w:p>
    <w:p>
      <w:pPr>
        <w:spacing w:line="360" w:lineRule="auto"/>
        <w:ind w:firstLine="484" w:firstLineChars="202"/>
        <w:rPr>
          <w:rFonts w:hint="eastAsia" w:ascii="宋体" w:hAnsi="宋体"/>
          <w:color w:val="000000"/>
          <w:szCs w:val="21"/>
        </w:rPr>
      </w:pPr>
      <w:bookmarkStart w:id="509" w:name="_Hlk51931186"/>
      <w:r>
        <w:rPr>
          <w:rFonts w:hint="eastAsia" w:ascii="宋体" w:hAnsi="宋体"/>
          <w:color w:val="000000"/>
          <w:szCs w:val="21"/>
        </w:rPr>
        <w:t>2.2.</w:t>
      </w:r>
      <w:r>
        <w:rPr>
          <w:rFonts w:hint="eastAsia"/>
          <w:color w:val="000000"/>
          <w:szCs w:val="21"/>
          <w:lang w:val="en-US" w:eastAsia="zh-CN"/>
        </w:rPr>
        <w:t>3</w:t>
      </w:r>
      <w:r>
        <w:rPr>
          <w:rFonts w:hint="eastAsia" w:ascii="宋体" w:hAnsi="宋体"/>
          <w:color w:val="000000"/>
          <w:szCs w:val="21"/>
        </w:rPr>
        <w:t xml:space="preserve">.2 </w:t>
      </w:r>
      <w:bookmarkEnd w:id="509"/>
      <w:r>
        <w:rPr>
          <w:rFonts w:hint="eastAsia" w:ascii="宋体" w:hAnsi="宋体"/>
          <w:color w:val="000000"/>
          <w:szCs w:val="21"/>
        </w:rPr>
        <w:t>为了更好、更安全地完成委外维保工作，乙方有权获得甲方的工作协调、方案计划的审批，有权向甲方提出合理化建议。</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 xml:space="preserve"> 乙方的义务</w:t>
      </w:r>
    </w:p>
    <w:p>
      <w:pPr>
        <w:spacing w:line="360" w:lineRule="auto"/>
        <w:ind w:firstLine="484" w:firstLineChars="202"/>
        <w:rPr>
          <w:rFonts w:hint="eastAsia" w:ascii="宋体" w:hAnsi="宋体"/>
          <w:bCs/>
          <w:color w:val="000000"/>
          <w:szCs w:val="21"/>
        </w:rPr>
      </w:pPr>
      <w:r>
        <w:rPr>
          <w:rFonts w:hint="eastAsia" w:ascii="宋体" w:hAnsi="宋体"/>
          <w:bCs/>
          <w:color w:val="000000"/>
          <w:szCs w:val="21"/>
        </w:rPr>
        <w:t>2</w:t>
      </w:r>
      <w:r>
        <w:rPr>
          <w:rFonts w:ascii="宋体" w:hAnsi="宋体"/>
          <w:bCs/>
          <w:color w:val="000000"/>
          <w:szCs w:val="21"/>
        </w:rPr>
        <w:t>.2.</w:t>
      </w:r>
      <w:r>
        <w:rPr>
          <w:rFonts w:hint="eastAsia"/>
          <w:bCs/>
          <w:color w:val="000000"/>
          <w:szCs w:val="21"/>
          <w:lang w:val="en-US" w:eastAsia="zh-CN"/>
        </w:rPr>
        <w:t>4</w:t>
      </w:r>
      <w:r>
        <w:rPr>
          <w:rFonts w:ascii="宋体" w:hAnsi="宋体"/>
          <w:bCs/>
          <w:color w:val="000000"/>
          <w:szCs w:val="21"/>
        </w:rPr>
        <w:t>.1</w:t>
      </w:r>
      <w:r>
        <w:rPr>
          <w:rFonts w:hint="eastAsia" w:ascii="宋体" w:hAnsi="宋体"/>
          <w:bCs/>
          <w:color w:val="000000"/>
          <w:szCs w:val="21"/>
        </w:rPr>
        <w:t>建立维保团队组织架构，建立岗位描述。</w:t>
      </w:r>
    </w:p>
    <w:p>
      <w:pPr>
        <w:spacing w:line="360" w:lineRule="auto"/>
        <w:ind w:firstLine="484" w:firstLineChars="202"/>
        <w:rPr>
          <w:rFonts w:hint="eastAsia" w:ascii="宋体" w:hAnsi="宋体"/>
          <w:bCs/>
          <w:color w:val="000000"/>
          <w:szCs w:val="21"/>
        </w:rPr>
      </w:pPr>
      <w:r>
        <w:rPr>
          <w:rFonts w:ascii="宋体" w:hAnsi="宋体"/>
          <w:bCs/>
          <w:color w:val="000000"/>
          <w:szCs w:val="21"/>
        </w:rPr>
        <w:t>2.2.</w:t>
      </w:r>
      <w:r>
        <w:rPr>
          <w:rFonts w:hint="eastAsia"/>
          <w:bCs/>
          <w:color w:val="000000"/>
          <w:szCs w:val="21"/>
          <w:lang w:val="en-US" w:eastAsia="zh-CN"/>
        </w:rPr>
        <w:t>4</w:t>
      </w:r>
      <w:r>
        <w:rPr>
          <w:rFonts w:ascii="宋体" w:hAnsi="宋体"/>
          <w:bCs/>
          <w:color w:val="000000"/>
          <w:szCs w:val="21"/>
        </w:rPr>
        <w:t>.2</w:t>
      </w:r>
      <w:r>
        <w:rPr>
          <w:rFonts w:hint="eastAsia" w:ascii="宋体" w:hAnsi="宋体"/>
          <w:bCs/>
          <w:color w:val="000000"/>
          <w:szCs w:val="21"/>
        </w:rPr>
        <w:t>制定培训计划，进行人员岗前培训及各类技能培训。</w:t>
      </w:r>
    </w:p>
    <w:p>
      <w:pPr>
        <w:spacing w:line="360" w:lineRule="auto"/>
        <w:ind w:firstLine="484" w:firstLineChars="202"/>
        <w:rPr>
          <w:rFonts w:ascii="宋体" w:hAnsi="宋体"/>
          <w:bCs/>
          <w:color w:val="000000"/>
          <w:szCs w:val="21"/>
        </w:rPr>
      </w:pPr>
      <w:r>
        <w:rPr>
          <w:rFonts w:ascii="宋体" w:hAnsi="宋体"/>
          <w:bCs/>
          <w:color w:val="000000"/>
          <w:szCs w:val="21"/>
        </w:rPr>
        <w:t>2.2.</w:t>
      </w:r>
      <w:r>
        <w:rPr>
          <w:rFonts w:hint="eastAsia"/>
          <w:bCs/>
          <w:color w:val="000000"/>
          <w:szCs w:val="21"/>
          <w:lang w:val="en-US" w:eastAsia="zh-CN"/>
        </w:rPr>
        <w:t>4</w:t>
      </w:r>
      <w:r>
        <w:rPr>
          <w:rFonts w:ascii="宋体" w:hAnsi="宋体"/>
          <w:bCs/>
          <w:color w:val="000000"/>
          <w:szCs w:val="21"/>
        </w:rPr>
        <w:t>.3</w:t>
      </w:r>
      <w:r>
        <w:rPr>
          <w:rFonts w:hint="eastAsia" w:ascii="宋体" w:hAnsi="宋体"/>
          <w:bCs/>
          <w:color w:val="000000"/>
          <w:szCs w:val="21"/>
        </w:rPr>
        <w:t>编制</w:t>
      </w:r>
      <w:r>
        <w:rPr>
          <w:rFonts w:hint="eastAsia"/>
          <w:bCs/>
          <w:color w:val="000000"/>
          <w:szCs w:val="21"/>
          <w:lang w:eastAsia="zh-CN"/>
        </w:rPr>
        <w:t>涉及本项目的</w:t>
      </w:r>
      <w:r>
        <w:rPr>
          <w:rFonts w:hint="eastAsia" w:ascii="宋体" w:hAnsi="宋体"/>
          <w:bCs/>
          <w:color w:val="000000"/>
          <w:szCs w:val="21"/>
        </w:rPr>
        <w:t>各类规章、制度。</w:t>
      </w:r>
    </w:p>
    <w:p>
      <w:pPr>
        <w:spacing w:line="360" w:lineRule="auto"/>
        <w:ind w:firstLine="484" w:firstLineChars="202"/>
        <w:rPr>
          <w:rFonts w:ascii="宋体" w:hAnsi="宋体"/>
          <w:bCs/>
          <w:color w:val="000000"/>
          <w:szCs w:val="21"/>
        </w:rPr>
      </w:pPr>
      <w:r>
        <w:rPr>
          <w:rFonts w:ascii="宋体" w:hAnsi="宋体"/>
          <w:bCs/>
          <w:color w:val="000000"/>
          <w:szCs w:val="21"/>
        </w:rPr>
        <w:t>2.2.</w:t>
      </w:r>
      <w:r>
        <w:rPr>
          <w:rFonts w:hint="eastAsia"/>
          <w:bCs/>
          <w:color w:val="000000"/>
          <w:szCs w:val="21"/>
          <w:lang w:val="en-US" w:eastAsia="zh-CN"/>
        </w:rPr>
        <w:t>4</w:t>
      </w:r>
      <w:r>
        <w:rPr>
          <w:rFonts w:ascii="宋体" w:hAnsi="宋体"/>
          <w:bCs/>
          <w:color w:val="000000"/>
          <w:szCs w:val="21"/>
        </w:rPr>
        <w:t>.4</w:t>
      </w:r>
      <w:r>
        <w:rPr>
          <w:rFonts w:hint="eastAsia" w:ascii="宋体" w:hAnsi="宋体"/>
          <w:bCs/>
          <w:color w:val="000000"/>
          <w:szCs w:val="21"/>
        </w:rPr>
        <w:t>编制运营筹备阶段物资物料方案，并提供维保所需的工器具清单。</w:t>
      </w:r>
    </w:p>
    <w:p>
      <w:pPr>
        <w:spacing w:line="360" w:lineRule="auto"/>
        <w:ind w:firstLine="484" w:firstLineChars="202"/>
        <w:rPr>
          <w:rFonts w:hint="eastAsia" w:ascii="宋体" w:hAnsi="宋体"/>
          <w:bCs/>
          <w:color w:val="000000"/>
          <w:szCs w:val="21"/>
        </w:rPr>
      </w:pPr>
      <w:r>
        <w:rPr>
          <w:rFonts w:ascii="宋体" w:hAnsi="宋体"/>
          <w:bCs/>
          <w:color w:val="000000"/>
          <w:szCs w:val="21"/>
        </w:rPr>
        <w:t>2.2.</w:t>
      </w:r>
      <w:r>
        <w:rPr>
          <w:rFonts w:hint="eastAsia"/>
          <w:bCs/>
          <w:color w:val="000000"/>
          <w:szCs w:val="21"/>
          <w:lang w:val="en-US" w:eastAsia="zh-CN"/>
        </w:rPr>
        <w:t>4</w:t>
      </w:r>
      <w:r>
        <w:rPr>
          <w:rFonts w:ascii="宋体" w:hAnsi="宋体"/>
          <w:bCs/>
          <w:color w:val="000000"/>
          <w:szCs w:val="21"/>
        </w:rPr>
        <w:t>.5</w:t>
      </w:r>
      <w:r>
        <w:rPr>
          <w:rFonts w:hint="eastAsia" w:ascii="宋体" w:hAnsi="宋体"/>
          <w:bCs/>
          <w:color w:val="000000"/>
          <w:szCs w:val="21"/>
        </w:rPr>
        <w:t>建立安全管理体系，落实安全管理体系，保障筹备期作业安全。</w:t>
      </w:r>
    </w:p>
    <w:p>
      <w:pPr>
        <w:spacing w:line="360" w:lineRule="auto"/>
        <w:ind w:firstLine="484" w:firstLineChars="202"/>
        <w:rPr>
          <w:rFonts w:ascii="宋体" w:hAnsi="宋体"/>
          <w:bCs/>
          <w:color w:val="000000"/>
          <w:szCs w:val="21"/>
        </w:rPr>
      </w:pPr>
      <w:r>
        <w:rPr>
          <w:rFonts w:ascii="宋体" w:hAnsi="宋体"/>
          <w:bCs/>
          <w:color w:val="000000"/>
          <w:szCs w:val="21"/>
        </w:rPr>
        <w:t>2.2.</w:t>
      </w:r>
      <w:r>
        <w:rPr>
          <w:rFonts w:hint="eastAsia"/>
          <w:bCs/>
          <w:color w:val="000000"/>
          <w:szCs w:val="21"/>
          <w:lang w:val="en-US" w:eastAsia="zh-CN"/>
        </w:rPr>
        <w:t>4</w:t>
      </w:r>
      <w:r>
        <w:rPr>
          <w:rFonts w:ascii="宋体" w:hAnsi="宋体"/>
          <w:bCs/>
          <w:color w:val="000000"/>
          <w:szCs w:val="21"/>
        </w:rPr>
        <w:t>.6</w:t>
      </w:r>
      <w:r>
        <w:rPr>
          <w:rFonts w:hint="eastAsia" w:ascii="宋体" w:hAnsi="宋体"/>
          <w:bCs/>
          <w:color w:val="000000"/>
          <w:szCs w:val="21"/>
        </w:rPr>
        <w:t>全程参与所辖工程的调试、问题发现及消缺，为协助</w:t>
      </w:r>
      <w:r>
        <w:rPr>
          <w:rFonts w:hint="eastAsia"/>
          <w:bCs/>
          <w:color w:val="000000"/>
          <w:szCs w:val="21"/>
          <w:lang w:eastAsia="zh-CN"/>
        </w:rPr>
        <w:t>房建结构</w:t>
      </w:r>
      <w:r>
        <w:rPr>
          <w:rFonts w:hint="eastAsia" w:ascii="宋体" w:hAnsi="宋体"/>
          <w:bCs/>
          <w:color w:val="000000"/>
          <w:szCs w:val="21"/>
        </w:rPr>
        <w:t>工程设备设施验收做好准备。</w:t>
      </w:r>
    </w:p>
    <w:p>
      <w:pPr>
        <w:spacing w:line="360" w:lineRule="auto"/>
        <w:ind w:firstLine="484" w:firstLineChars="202"/>
        <w:rPr>
          <w:rFonts w:ascii="宋体" w:hAnsi="宋体"/>
          <w:bCs/>
          <w:color w:val="000000"/>
          <w:szCs w:val="21"/>
        </w:rPr>
      </w:pPr>
      <w:r>
        <w:rPr>
          <w:rFonts w:ascii="宋体" w:hAnsi="宋体"/>
          <w:bCs/>
          <w:color w:val="000000"/>
          <w:szCs w:val="21"/>
        </w:rPr>
        <w:t>2.2.</w:t>
      </w:r>
      <w:r>
        <w:rPr>
          <w:rFonts w:hint="eastAsia"/>
          <w:bCs/>
          <w:color w:val="000000"/>
          <w:szCs w:val="21"/>
          <w:lang w:val="en-US" w:eastAsia="zh-CN"/>
        </w:rPr>
        <w:t>4</w:t>
      </w:r>
      <w:r>
        <w:rPr>
          <w:rFonts w:ascii="宋体" w:hAnsi="宋体"/>
          <w:bCs/>
          <w:color w:val="000000"/>
          <w:szCs w:val="21"/>
        </w:rPr>
        <w:t>.7</w:t>
      </w:r>
      <w:r>
        <w:rPr>
          <w:rFonts w:hint="eastAsia" w:ascii="宋体" w:hAnsi="宋体"/>
          <w:bCs/>
          <w:color w:val="000000"/>
          <w:szCs w:val="21"/>
        </w:rPr>
        <w:t>全程参与</w:t>
      </w:r>
      <w:r>
        <w:rPr>
          <w:rFonts w:hint="eastAsia"/>
          <w:bCs/>
          <w:color w:val="000000"/>
          <w:szCs w:val="21"/>
          <w:lang w:eastAsia="zh-CN"/>
        </w:rPr>
        <w:t>房建结构</w:t>
      </w:r>
      <w:r>
        <w:rPr>
          <w:rFonts w:hint="eastAsia" w:ascii="宋体" w:hAnsi="宋体"/>
          <w:bCs/>
          <w:color w:val="000000"/>
          <w:szCs w:val="21"/>
        </w:rPr>
        <w:t>工程设备设施与其他专业关联系统的联调联试。</w:t>
      </w:r>
    </w:p>
    <w:p>
      <w:pPr>
        <w:spacing w:line="360" w:lineRule="auto"/>
        <w:ind w:firstLine="484" w:firstLineChars="202"/>
        <w:rPr>
          <w:rFonts w:hint="eastAsia" w:ascii="宋体" w:hAnsi="宋体"/>
          <w:bCs/>
          <w:color w:val="000000"/>
          <w:szCs w:val="21"/>
        </w:rPr>
      </w:pPr>
      <w:r>
        <w:rPr>
          <w:rFonts w:ascii="宋体" w:hAnsi="宋体"/>
          <w:bCs/>
          <w:color w:val="000000"/>
          <w:szCs w:val="21"/>
        </w:rPr>
        <w:t>2.2.</w:t>
      </w:r>
      <w:r>
        <w:rPr>
          <w:rFonts w:hint="eastAsia"/>
          <w:bCs/>
          <w:color w:val="000000"/>
          <w:szCs w:val="21"/>
          <w:lang w:val="en-US" w:eastAsia="zh-CN"/>
        </w:rPr>
        <w:t>4</w:t>
      </w:r>
      <w:r>
        <w:rPr>
          <w:rFonts w:ascii="宋体" w:hAnsi="宋体"/>
          <w:bCs/>
          <w:color w:val="000000"/>
          <w:szCs w:val="21"/>
        </w:rPr>
        <w:t>.8</w:t>
      </w:r>
      <w:r>
        <w:rPr>
          <w:rFonts w:hint="eastAsia" w:ascii="宋体" w:hAnsi="宋体"/>
          <w:bCs/>
          <w:color w:val="000000"/>
          <w:szCs w:val="21"/>
        </w:rPr>
        <w:t>协助进行“三权移交”相关工作。</w:t>
      </w:r>
    </w:p>
    <w:p>
      <w:pPr>
        <w:spacing w:line="360" w:lineRule="auto"/>
        <w:ind w:firstLine="484" w:firstLineChars="202"/>
        <w:rPr>
          <w:rFonts w:ascii="宋体" w:hAnsi="宋体"/>
          <w:bCs/>
          <w:color w:val="000000"/>
          <w:szCs w:val="21"/>
        </w:rPr>
      </w:pPr>
      <w:r>
        <w:rPr>
          <w:rFonts w:ascii="宋体" w:hAnsi="宋体"/>
          <w:bCs/>
          <w:color w:val="000000"/>
          <w:szCs w:val="21"/>
        </w:rPr>
        <w:t>2.2.3.9</w:t>
      </w:r>
      <w:r>
        <w:rPr>
          <w:rFonts w:hint="eastAsia" w:ascii="宋体" w:hAnsi="宋体"/>
          <w:bCs/>
          <w:color w:val="000000"/>
          <w:szCs w:val="21"/>
        </w:rPr>
        <w:t>负责运营筹备阶段</w:t>
      </w:r>
      <w:r>
        <w:rPr>
          <w:rFonts w:hint="eastAsia"/>
          <w:bCs/>
          <w:color w:val="000000"/>
          <w:szCs w:val="21"/>
          <w:lang w:eastAsia="zh-CN"/>
        </w:rPr>
        <w:t>房建结构</w:t>
      </w:r>
      <w:r>
        <w:rPr>
          <w:rFonts w:hint="eastAsia" w:ascii="宋体" w:hAnsi="宋体"/>
          <w:bCs/>
          <w:color w:val="000000"/>
          <w:szCs w:val="21"/>
        </w:rPr>
        <w:t>工程设备设施的各项演练和应急突发事件的处置。</w:t>
      </w:r>
    </w:p>
    <w:p>
      <w:pPr>
        <w:spacing w:line="360" w:lineRule="auto"/>
        <w:ind w:firstLine="484" w:firstLineChars="202"/>
        <w:rPr>
          <w:rFonts w:hint="eastAsia" w:ascii="宋体" w:hAnsi="宋体"/>
          <w:bCs/>
          <w:color w:val="000000"/>
          <w:szCs w:val="21"/>
        </w:rPr>
      </w:pPr>
      <w:r>
        <w:rPr>
          <w:rFonts w:hint="eastAsia" w:ascii="宋体" w:hAnsi="宋体"/>
          <w:bCs/>
          <w:color w:val="000000"/>
          <w:szCs w:val="21"/>
        </w:rPr>
        <w:t>2</w:t>
      </w:r>
      <w:r>
        <w:rPr>
          <w:rFonts w:ascii="宋体" w:hAnsi="宋体"/>
          <w:bCs/>
          <w:color w:val="000000"/>
          <w:szCs w:val="21"/>
        </w:rPr>
        <w:t>.2.</w:t>
      </w:r>
      <w:r>
        <w:rPr>
          <w:rFonts w:hint="eastAsia"/>
          <w:bCs/>
          <w:color w:val="000000"/>
          <w:szCs w:val="21"/>
          <w:lang w:val="en-US" w:eastAsia="zh-CN"/>
        </w:rPr>
        <w:t>4</w:t>
      </w:r>
      <w:r>
        <w:rPr>
          <w:rFonts w:ascii="宋体" w:hAnsi="宋体"/>
          <w:bCs/>
          <w:color w:val="000000"/>
          <w:szCs w:val="21"/>
        </w:rPr>
        <w:t>.10</w:t>
      </w:r>
      <w:r>
        <w:rPr>
          <w:rFonts w:hint="eastAsia" w:ascii="宋体" w:hAnsi="宋体"/>
          <w:bCs/>
          <w:color w:val="000000"/>
          <w:szCs w:val="21"/>
        </w:rPr>
        <w:t>配合开通前专家评审工作。</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.1</w:t>
      </w:r>
      <w:r>
        <w:rPr>
          <w:rFonts w:ascii="宋体" w:hAnsi="宋体"/>
          <w:color w:val="000000"/>
          <w:szCs w:val="21"/>
        </w:rPr>
        <w:t>1</w:t>
      </w:r>
      <w:r>
        <w:rPr>
          <w:rFonts w:hint="eastAsia" w:ascii="宋体" w:hAnsi="宋体"/>
          <w:color w:val="000000"/>
          <w:szCs w:val="21"/>
        </w:rPr>
        <w:t xml:space="preserve"> 确保维保范围内所有设备设施的完备性，且保证运行良好，不能影响轨道运营的顺利进行。</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2 服从和遵守甲方制定各项安全制度、委外维保工作管理制度、考核制度及其它的规章制度。乙方的委外维保人员应积极主动学习甲方的有关规章制度和管理规定，主动学习有关的安全规定、安全标准、维保规程和标准，学习必要的、最新的与委外维保工作有关的资料、文件和手册，严格按照甲方规定的工作规范、标准、程序和权限开展工作，乙方的常驻委外维保人员必须服从甲方统一的日常管理，包括日常的考核，服从工作安排。</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3 按规定委派维保负责人（项目负责人），代表乙方全权管理乙方承担的委外项目和乙方提供的委外人员。乙方依据合同发出的通知，以书面形式由维保负责人签字后送交甲方，甲方在回执上签署姓名和收到时间后生效。</w:t>
      </w:r>
    </w:p>
    <w:p>
      <w:pPr>
        <w:spacing w:line="360" w:lineRule="auto"/>
        <w:ind w:firstLine="484" w:firstLineChars="202"/>
        <w:rPr>
          <w:rFonts w:ascii="宋体" w:hAnsi="宋体"/>
          <w:bCs/>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 xml:space="preserve">4 </w:t>
      </w:r>
      <w:r>
        <w:rPr>
          <w:rFonts w:hint="eastAsia" w:ascii="宋体" w:hAnsi="宋体"/>
          <w:bCs/>
          <w:color w:val="000000"/>
          <w:szCs w:val="21"/>
        </w:rPr>
        <w:t>乙方应向甲方提供管理人员、工程师、维保人员等关键人员资质以及其他人员名单和相关证件。并须严格按照所提供名单执行，如有变动需经甲方批准。</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15</w:t>
      </w:r>
      <w:r>
        <w:rPr>
          <w:rFonts w:hint="eastAsia" w:ascii="宋体" w:hAnsi="宋体"/>
          <w:color w:val="000000"/>
          <w:szCs w:val="21"/>
        </w:rPr>
        <w:t xml:space="preserve"> 为保证</w:t>
      </w:r>
      <w:r>
        <w:rPr>
          <w:rFonts w:hint="eastAsia"/>
          <w:color w:val="000000"/>
          <w:szCs w:val="21"/>
          <w:lang w:eastAsia="zh-CN"/>
        </w:rPr>
        <w:t>房建结构</w:t>
      </w:r>
      <w:r>
        <w:rPr>
          <w:rFonts w:hint="eastAsia" w:ascii="宋体" w:hAnsi="宋体"/>
          <w:color w:val="000000"/>
          <w:szCs w:val="21"/>
        </w:rPr>
        <w:t>工程维保工作顺利进行，乙方必须严格执行甲方的安全计划、质量计划、维修计划等，并接受甲方对维保工作的跟踪管理、监督、检查、验收及甲方对工作质量、安全、工期、服务、文明卫生等评定、考核，使维保管理工作满足甲方要求。</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16</w:t>
      </w:r>
      <w:r>
        <w:rPr>
          <w:rFonts w:hint="eastAsia" w:ascii="宋体" w:hAnsi="宋体"/>
          <w:color w:val="000000"/>
          <w:szCs w:val="21"/>
        </w:rPr>
        <w:t xml:space="preserve"> 在对设备设施进行维保工作时，乙方按甲方提供的委外维保项目维保作业计划(方案)和发出的指令办理相关手续，组织维保，乙方人员应积极配合并服从甲方技术人员的指导。</w:t>
      </w:r>
    </w:p>
    <w:p>
      <w:pPr>
        <w:spacing w:line="360" w:lineRule="auto"/>
        <w:ind w:firstLine="484" w:firstLineChars="202"/>
        <w:rPr>
          <w:rFonts w:hint="eastAsia" w:ascii="宋体" w:hAnsi="宋体"/>
          <w:bCs/>
          <w:color w:val="000000"/>
          <w:szCs w:val="21"/>
        </w:rPr>
      </w:pPr>
      <w:r>
        <w:rPr>
          <w:rFonts w:hint="eastAsia" w:ascii="宋体" w:hAnsi="宋体"/>
          <w:color w:val="000000"/>
          <w:szCs w:val="21"/>
          <w:highlight w:val="none"/>
        </w:rPr>
        <w:t>2.2.</w:t>
      </w:r>
      <w:r>
        <w:rPr>
          <w:rFonts w:hint="eastAsia"/>
          <w:color w:val="000000"/>
          <w:szCs w:val="21"/>
          <w:highlight w:val="none"/>
          <w:lang w:val="en-US" w:eastAsia="zh-CN"/>
        </w:rPr>
        <w:t>4</w:t>
      </w:r>
      <w:r>
        <w:rPr>
          <w:rFonts w:hint="eastAsia" w:ascii="宋体" w:hAnsi="宋体"/>
          <w:color w:val="000000"/>
          <w:szCs w:val="21"/>
          <w:highlight w:val="none"/>
        </w:rPr>
        <w:t>.</w:t>
      </w:r>
      <w:r>
        <w:rPr>
          <w:rFonts w:ascii="宋体" w:hAnsi="宋体"/>
          <w:color w:val="000000"/>
          <w:szCs w:val="21"/>
          <w:highlight w:val="none"/>
        </w:rPr>
        <w:t>17</w:t>
      </w:r>
      <w:r>
        <w:rPr>
          <w:rFonts w:hint="eastAsia" w:ascii="宋体" w:hAnsi="宋体"/>
          <w:color w:val="000000"/>
          <w:szCs w:val="21"/>
          <w:highlight w:val="none"/>
        </w:rPr>
        <w:t xml:space="preserve"> 凡甲方提供的备品备件、专用工器具、试验仪器及设备设施等，乙方只能用于本次服务，不得他用；若</w:t>
      </w:r>
      <w:r>
        <w:rPr>
          <w:rFonts w:hint="eastAsia" w:ascii="宋体" w:hAnsi="宋体"/>
          <w:bCs/>
          <w:color w:val="000000"/>
          <w:szCs w:val="21"/>
        </w:rPr>
        <w:t>乙方人员使用不当造成</w:t>
      </w:r>
      <w:r>
        <w:rPr>
          <w:rFonts w:hint="eastAsia" w:ascii="宋体" w:hAnsi="宋体"/>
          <w:color w:val="000000"/>
          <w:szCs w:val="21"/>
        </w:rPr>
        <w:t>甲方提供设备设施</w:t>
      </w:r>
      <w:r>
        <w:rPr>
          <w:rFonts w:hint="eastAsia" w:ascii="宋体" w:hAnsi="宋体"/>
          <w:bCs/>
          <w:color w:val="000000"/>
          <w:szCs w:val="21"/>
        </w:rPr>
        <w:t>损坏，乙方负责维修或更换，该费用从计价款中扣除。</w:t>
      </w:r>
    </w:p>
    <w:p>
      <w:pPr>
        <w:spacing w:line="360" w:lineRule="auto"/>
        <w:ind w:firstLine="484" w:firstLineChars="202"/>
        <w:rPr>
          <w:rFonts w:ascii="宋体" w:hAnsi="宋体"/>
          <w:bCs/>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8 事故</w:t>
      </w:r>
      <w:r>
        <w:rPr>
          <w:rFonts w:hint="eastAsia" w:ascii="宋体" w:hAnsi="宋体"/>
          <w:bCs/>
          <w:color w:val="000000"/>
          <w:szCs w:val="21"/>
        </w:rPr>
        <w:t>发生后乙方应协助甲方进行事故调查。</w:t>
      </w:r>
    </w:p>
    <w:p>
      <w:pPr>
        <w:spacing w:line="360" w:lineRule="auto"/>
        <w:ind w:firstLine="484" w:firstLineChars="202"/>
        <w:rPr>
          <w:rFonts w:hint="eastAsia"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.19 特殊天气时（如：大风、大雨、大雪、雷电、大雾等）乙方应自觉按照甲方制定的规程要求加强</w:t>
      </w:r>
      <w:r>
        <w:rPr>
          <w:rFonts w:hint="eastAsia"/>
          <w:color w:val="000000"/>
          <w:szCs w:val="21"/>
          <w:lang w:eastAsia="zh-CN"/>
        </w:rPr>
        <w:t>房建结构</w:t>
      </w:r>
      <w:r>
        <w:rPr>
          <w:rFonts w:hint="eastAsia" w:ascii="宋体" w:hAnsi="宋体"/>
          <w:color w:val="000000"/>
          <w:szCs w:val="21"/>
        </w:rPr>
        <w:t xml:space="preserve">设备设施的巡视检查工作，并无条件服从甲方针对特殊情况做出的安排。 </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0 对于可预见的外来影响设备设施运行及检修的因素，乙方应采取积极有效的防护措施，确保设备设施及维保安全，否则乙方承担相应损失。</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1 乙方对因操作失误或因渎职而引发的事故负全部责任，并承担因此给甲方造成的全部经济损失（甲方具备所有权的设备设施因质量问题造成的事故除外）。</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2 由于责任事故造成人身伤亡或第三方财产损失引起争议、产生诉讼的，乙方应独立应诉，并承担一切诉讼后果，如应上述原因导致甲方受到追诉而遭受损失，乙方应予全部赔偿。</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 xml:space="preserve">3 </w:t>
      </w:r>
      <w:r>
        <w:rPr>
          <w:rFonts w:hint="eastAsia"/>
          <w:color w:val="000000"/>
          <w:szCs w:val="21"/>
          <w:lang w:eastAsia="zh-CN"/>
        </w:rPr>
        <w:t>乙方应</w:t>
      </w:r>
      <w:r>
        <w:rPr>
          <w:rFonts w:hint="eastAsia" w:ascii="宋体" w:hAnsi="宋体"/>
          <w:color w:val="000000"/>
          <w:szCs w:val="21"/>
        </w:rPr>
        <w:t>爱护地铁的设备设施，确保地铁运营安全及设备设施、人身安全，保持甲方的工器具的完好，材料的使用要本着节约的原则，不得浪费。</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4 遵守绍兴地方的法规，服从行业主管部门的管理，凡涉及到乙方的项目委外维保车辆准运证等有关证、照，均由乙方自行办理，甲方给予配合，发生的费用全部由乙方承担。</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5 遵守政府有关主管部门对维保场地交通、维保噪音以及环境保护和安全生产等的管理规定，按规定办理有关手续，承担相关费用，并对由此造成的有关损失负责。</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6 做好维保场地的管线和邻近建筑物、构筑物(包括文物保护建筑)及园林绿化的保护工作。保证维保场地符合环境卫生管理的有关规定，交工前清理现场达到甲方的要求并使甲方满意，乙方应承担因自身原因违反有关规定造成的损失和扣款。</w:t>
      </w:r>
    </w:p>
    <w:p>
      <w:pPr>
        <w:spacing w:line="360" w:lineRule="auto"/>
        <w:ind w:firstLine="484" w:firstLineChars="202"/>
        <w:rPr>
          <w:rFonts w:ascii="宋体" w:hAnsi="宋体"/>
          <w:color w:val="000000"/>
          <w:szCs w:val="21"/>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7乙方在结束本合同维修周期的维保任务后，如有第三方维保单位进入维保，乙方应保证主要管理人员配合第三方维保单位在2个月的期限内完成交接工作。</w:t>
      </w:r>
    </w:p>
    <w:p>
      <w:pPr>
        <w:spacing w:line="360" w:lineRule="auto"/>
        <w:ind w:firstLine="484" w:firstLineChars="202"/>
        <w:rPr>
          <w:rFonts w:ascii="宋体" w:hAnsi="宋体"/>
          <w:color w:val="000000"/>
          <w:szCs w:val="21"/>
        </w:rPr>
      </w:pPr>
      <w:r>
        <w:rPr>
          <w:rFonts w:hint="eastAsia" w:ascii="宋体" w:hAnsi="宋体"/>
          <w:color w:val="000000"/>
          <w:szCs w:val="21"/>
        </w:rPr>
        <w:t>2</w:t>
      </w:r>
      <w:r>
        <w:rPr>
          <w:rFonts w:ascii="宋体" w:hAnsi="宋体"/>
          <w:color w:val="000000"/>
          <w:szCs w:val="21"/>
        </w:rPr>
        <w:t>.2.</w:t>
      </w:r>
      <w:r>
        <w:rPr>
          <w:rFonts w:hint="eastAsia"/>
          <w:color w:val="000000"/>
          <w:szCs w:val="21"/>
          <w:lang w:val="en-US" w:eastAsia="zh-CN"/>
        </w:rPr>
        <w:t>4</w:t>
      </w:r>
      <w:r>
        <w:rPr>
          <w:rFonts w:ascii="宋体" w:hAnsi="宋体"/>
          <w:color w:val="000000"/>
          <w:szCs w:val="21"/>
        </w:rPr>
        <w:t>.</w:t>
      </w:r>
      <w:r>
        <w:rPr>
          <w:rFonts w:hint="eastAsia" w:ascii="宋体" w:hAnsi="宋体"/>
          <w:color w:val="000000"/>
          <w:szCs w:val="21"/>
        </w:rPr>
        <w:t>28</w:t>
      </w:r>
      <w:r>
        <w:rPr>
          <w:rFonts w:ascii="宋体" w:hAnsi="宋体"/>
          <w:color w:val="000000"/>
          <w:szCs w:val="21"/>
        </w:rPr>
        <w:t xml:space="preserve"> </w:t>
      </w:r>
      <w:r>
        <w:rPr>
          <w:rFonts w:hint="eastAsia" w:ascii="宋体" w:hAnsi="宋体"/>
          <w:color w:val="000000"/>
          <w:szCs w:val="21"/>
        </w:rPr>
        <w:t>乙方接受甲方管理和生产调度指挥、应急调度指挥，并配合甲方完成重大活动保障等事项，配合其它专业开展维修和故障抢险作业。</w:t>
      </w:r>
    </w:p>
    <w:p>
      <w:pPr>
        <w:spacing w:line="360" w:lineRule="auto"/>
        <w:ind w:firstLine="484" w:firstLineChars="202"/>
        <w:rPr>
          <w:rFonts w:hint="eastAsia" w:ascii="宋体" w:hAnsi="宋体"/>
          <w:color w:val="000000"/>
          <w:szCs w:val="21"/>
        </w:rPr>
      </w:pPr>
      <w:r>
        <w:rPr>
          <w:rFonts w:hint="eastAsia" w:ascii="宋体" w:hAnsi="宋体"/>
          <w:color w:val="000000"/>
          <w:szCs w:val="21"/>
        </w:rPr>
        <w:t>2</w:t>
      </w:r>
      <w:r>
        <w:rPr>
          <w:rFonts w:ascii="宋体" w:hAnsi="宋体"/>
          <w:color w:val="000000"/>
          <w:szCs w:val="21"/>
        </w:rPr>
        <w:t>.2.</w:t>
      </w:r>
      <w:r>
        <w:rPr>
          <w:rFonts w:hint="eastAsia"/>
          <w:color w:val="000000"/>
          <w:szCs w:val="21"/>
          <w:lang w:val="en-US" w:eastAsia="zh-CN"/>
        </w:rPr>
        <w:t>4</w:t>
      </w:r>
      <w:r>
        <w:rPr>
          <w:rFonts w:ascii="宋体" w:hAnsi="宋体"/>
          <w:color w:val="000000"/>
          <w:szCs w:val="21"/>
        </w:rPr>
        <w:t>.</w:t>
      </w:r>
      <w:r>
        <w:rPr>
          <w:rFonts w:hint="eastAsia" w:ascii="宋体" w:hAnsi="宋体"/>
          <w:color w:val="000000"/>
          <w:szCs w:val="21"/>
        </w:rPr>
        <w:t>29</w:t>
      </w:r>
      <w:r>
        <w:rPr>
          <w:rFonts w:ascii="宋体" w:hAnsi="宋体"/>
          <w:color w:val="000000"/>
          <w:szCs w:val="21"/>
        </w:rPr>
        <w:t xml:space="preserve"> </w:t>
      </w:r>
      <w:r>
        <w:rPr>
          <w:rFonts w:hint="eastAsia" w:ascii="宋体" w:hAnsi="宋体"/>
          <w:color w:val="000000"/>
          <w:szCs w:val="21"/>
        </w:rPr>
        <w:t>乙方配合甲方进行安全、质量体系建设和各类审计、内控等工作。</w:t>
      </w:r>
    </w:p>
    <w:p>
      <w:pPr>
        <w:spacing w:line="360" w:lineRule="auto"/>
        <w:ind w:firstLine="484" w:firstLineChars="202"/>
        <w:outlineLvl w:val="9"/>
        <w:rPr>
          <w:rFonts w:hint="eastAsia" w:ascii="宋体" w:hAnsi="宋体" w:eastAsia="宋体"/>
          <w:b w:val="0"/>
          <w:color w:val="000000"/>
          <w:szCs w:val="21"/>
          <w:lang w:val="en-US" w:eastAsia="zh-CN"/>
        </w:rPr>
      </w:pPr>
      <w:r>
        <w:rPr>
          <w:rFonts w:hint="eastAsia" w:ascii="宋体" w:hAnsi="宋体"/>
          <w:color w:val="000000"/>
          <w:szCs w:val="21"/>
        </w:rPr>
        <w:t>2.2.</w:t>
      </w:r>
      <w:r>
        <w:rPr>
          <w:rFonts w:hint="eastAsia"/>
          <w:color w:val="000000"/>
          <w:szCs w:val="21"/>
          <w:lang w:val="en-US" w:eastAsia="zh-CN"/>
        </w:rPr>
        <w:t>4</w:t>
      </w:r>
      <w:r>
        <w:rPr>
          <w:rFonts w:hint="eastAsia" w:ascii="宋体" w:hAnsi="宋体"/>
          <w:color w:val="000000"/>
          <w:szCs w:val="21"/>
        </w:rPr>
        <w:t>.30 乙方在</w:t>
      </w:r>
      <w:r>
        <w:rPr>
          <w:rFonts w:hint="eastAsia"/>
          <w:color w:val="000000"/>
          <w:szCs w:val="21"/>
          <w:lang w:val="en-US" w:eastAsia="zh-CN"/>
        </w:rPr>
        <w:t>2号线一期</w:t>
      </w:r>
      <w:r>
        <w:rPr>
          <w:rFonts w:hint="eastAsia" w:ascii="宋体" w:hAnsi="宋体"/>
          <w:color w:val="000000"/>
          <w:szCs w:val="21"/>
        </w:rPr>
        <w:t>运营维保期间，有义务配合</w:t>
      </w:r>
      <w:r>
        <w:rPr>
          <w:rFonts w:hint="eastAsia"/>
          <w:color w:val="000000"/>
          <w:szCs w:val="21"/>
          <w:lang w:val="en-US" w:eastAsia="zh-CN"/>
        </w:rPr>
        <w:t>2</w:t>
      </w:r>
      <w:r>
        <w:rPr>
          <w:rFonts w:hint="eastAsia" w:ascii="宋体" w:hAnsi="宋体"/>
          <w:color w:val="000000"/>
          <w:szCs w:val="21"/>
        </w:rPr>
        <w:t>号线筹备期的相关工作。</w:t>
      </w:r>
    </w:p>
    <w:p>
      <w:pPr>
        <w:spacing w:line="560" w:lineRule="exact"/>
        <w:ind w:firstLine="482" w:firstLineChars="200"/>
        <w:outlineLvl w:val="3"/>
        <w:rPr>
          <w:rFonts w:hint="eastAsia" w:asciiTheme="minorEastAsia" w:hAnsiTheme="minorEastAsia" w:eastAsiaTheme="minorEastAsia"/>
          <w:b/>
          <w:color w:val="000000" w:themeColor="text1"/>
          <w:lang w:val="en-US" w:eastAsia="zh-CN"/>
          <w14:textFill>
            <w14:solidFill>
              <w14:schemeClr w14:val="tx1"/>
            </w14:solidFill>
          </w14:textFill>
        </w:rPr>
      </w:pPr>
      <w:r>
        <w:rPr>
          <w:rFonts w:hint="eastAsia" w:asciiTheme="minorEastAsia" w:hAnsiTheme="minorEastAsia" w:eastAsiaTheme="minorEastAsia"/>
          <w:b/>
          <w:color w:val="000000" w:themeColor="text1"/>
          <w:lang w:val="en-US" w:eastAsia="zh-CN"/>
          <w14:textFill>
            <w14:solidFill>
              <w14:schemeClr w14:val="tx1"/>
            </w14:solidFill>
          </w14:textFill>
        </w:rPr>
        <w:t>2.3支付</w:t>
      </w:r>
    </w:p>
    <w:p>
      <w:pPr>
        <w:spacing w:line="360" w:lineRule="auto"/>
        <w:ind w:firstLine="484" w:firstLineChars="202"/>
        <w:rPr>
          <w:rFonts w:hint="eastAsia"/>
          <w:color w:val="000000"/>
          <w:szCs w:val="21"/>
          <w:lang w:val="en-US" w:eastAsia="zh-CN"/>
        </w:rPr>
      </w:pPr>
      <w:r>
        <w:rPr>
          <w:rFonts w:hint="eastAsia"/>
          <w:color w:val="000000"/>
          <w:szCs w:val="21"/>
          <w:lang w:val="en-US" w:eastAsia="zh-CN"/>
        </w:rPr>
        <w:t>2.3.1维保费用在每月验收合格后按月支付。</w:t>
      </w:r>
    </w:p>
    <w:p>
      <w:pPr>
        <w:spacing w:line="360" w:lineRule="auto"/>
        <w:ind w:firstLine="484" w:firstLineChars="202"/>
        <w:rPr>
          <w:rFonts w:hint="eastAsia"/>
          <w:color w:val="000000"/>
          <w:szCs w:val="21"/>
          <w:lang w:val="en-US" w:eastAsia="zh-CN"/>
        </w:rPr>
      </w:pPr>
      <w:r>
        <w:rPr>
          <w:rFonts w:hint="eastAsia"/>
          <w:color w:val="000000"/>
          <w:szCs w:val="21"/>
          <w:lang w:val="en-US" w:eastAsia="zh-CN"/>
        </w:rPr>
        <w:t>每月支付费用=每月日常维保费用+据实结算的零星工程费用-月度、季度考核扣款</w:t>
      </w:r>
    </w:p>
    <w:p>
      <w:pPr>
        <w:spacing w:line="360" w:lineRule="auto"/>
        <w:ind w:firstLine="484" w:firstLineChars="202"/>
        <w:rPr>
          <w:rFonts w:hint="eastAsia"/>
          <w:color w:val="000000"/>
          <w:szCs w:val="21"/>
          <w:lang w:val="en-US" w:eastAsia="zh-CN"/>
        </w:rPr>
      </w:pPr>
      <w:r>
        <w:rPr>
          <w:rFonts w:hint="eastAsia"/>
          <w:color w:val="000000"/>
          <w:szCs w:val="21"/>
          <w:lang w:val="en-US" w:eastAsia="zh-CN"/>
        </w:rPr>
        <w:t>若月度付款不足以满足扣款时，顺延至下个月，直至扣款完毕。</w:t>
      </w:r>
    </w:p>
    <w:p>
      <w:pPr>
        <w:spacing w:line="360" w:lineRule="auto"/>
        <w:ind w:firstLine="484" w:firstLineChars="202"/>
        <w:rPr>
          <w:rFonts w:hint="eastAsia"/>
          <w:color w:val="000000"/>
          <w:szCs w:val="21"/>
          <w:lang w:val="en-US" w:eastAsia="zh-CN"/>
        </w:rPr>
      </w:pPr>
      <w:r>
        <w:rPr>
          <w:rFonts w:hint="eastAsia"/>
          <w:color w:val="000000"/>
          <w:szCs w:val="21"/>
          <w:lang w:val="en-US" w:eastAsia="zh-CN"/>
        </w:rPr>
        <w:t>2.3.2服务期最后一个月结束后，供应商须按要求提交相关资料。采购人审核完成后支付合同审定金额的99%，剩余款项待合同服务期结束一年，经采购人验收合格后一次性支付。</w:t>
      </w:r>
    </w:p>
    <w:p>
      <w:pPr>
        <w:spacing w:line="360" w:lineRule="auto"/>
        <w:ind w:firstLine="484" w:firstLineChars="202"/>
        <w:rPr>
          <w:rFonts w:hint="eastAsia" w:ascii="宋体" w:hAnsi="宋体"/>
          <w:color w:val="000000"/>
          <w:szCs w:val="21"/>
          <w:lang w:val="en-US" w:eastAsia="zh-CN"/>
        </w:rPr>
      </w:pPr>
      <w:r>
        <w:rPr>
          <w:rFonts w:hint="eastAsia" w:ascii="宋体" w:hAnsi="宋体"/>
          <w:color w:val="000000"/>
          <w:szCs w:val="21"/>
          <w:lang w:val="en-US" w:eastAsia="zh-CN"/>
        </w:rPr>
        <w:t>付款比例和考核扣款详见</w:t>
      </w:r>
      <w:r>
        <w:rPr>
          <w:rFonts w:hint="eastAsia"/>
          <w:color w:val="000000"/>
          <w:szCs w:val="21"/>
          <w:lang w:val="en-US" w:eastAsia="zh-CN"/>
        </w:rPr>
        <w:t>招标项目范围及要求</w:t>
      </w:r>
      <w:r>
        <w:rPr>
          <w:rFonts w:hint="eastAsia" w:ascii="宋体" w:hAnsi="宋体"/>
          <w:color w:val="000000"/>
          <w:szCs w:val="21"/>
          <w:lang w:val="en-US" w:eastAsia="zh-CN"/>
        </w:rPr>
        <w:t>。涉及增值税税率调整的，税金均按国家规定调整。</w:t>
      </w:r>
    </w:p>
    <w:p>
      <w:pPr>
        <w:spacing w:line="56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未经甲方通知上岗的，甲方不予认可，不支付相关费用。</w:t>
      </w:r>
    </w:p>
    <w:p>
      <w:pPr>
        <w:spacing w:line="56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2.3.</w:t>
      </w:r>
      <w:r>
        <w:rPr>
          <w:rFonts w:hint="eastAsia" w:cs="仿宋" w:asciiTheme="majorEastAsia" w:hAnsiTheme="majorEastAsia" w:eastAsiaTheme="majorEastAsia"/>
          <w:lang w:val="en-US" w:eastAsia="zh-CN"/>
        </w:rPr>
        <w:t>3</w:t>
      </w:r>
      <w:r>
        <w:rPr>
          <w:rFonts w:hint="eastAsia" w:cs="仿宋" w:asciiTheme="majorEastAsia" w:hAnsiTheme="majorEastAsia" w:eastAsiaTheme="majorEastAsia"/>
        </w:rPr>
        <w:t>在最后一期请款的同时，乙方须按甲方要求提交</w:t>
      </w:r>
      <w:r>
        <w:rPr>
          <w:rFonts w:hint="eastAsia" w:cs="仿宋" w:asciiTheme="majorEastAsia" w:hAnsiTheme="majorEastAsia" w:eastAsiaTheme="majorEastAsia"/>
          <w:lang w:eastAsia="zh-CN"/>
        </w:rPr>
        <w:t>相关</w:t>
      </w:r>
      <w:r>
        <w:rPr>
          <w:rFonts w:hint="eastAsia" w:cs="仿宋" w:asciiTheme="majorEastAsia" w:hAnsiTheme="majorEastAsia" w:eastAsiaTheme="majorEastAsia"/>
        </w:rPr>
        <w:t>资料，</w:t>
      </w:r>
      <w:r>
        <w:rPr>
          <w:rFonts w:hint="eastAsia" w:cs="仿宋" w:asciiTheme="majorEastAsia" w:hAnsiTheme="majorEastAsia" w:eastAsiaTheme="majorEastAsia"/>
          <w:lang w:eastAsia="zh-CN"/>
        </w:rPr>
        <w:t>审核</w:t>
      </w:r>
      <w:r>
        <w:rPr>
          <w:rFonts w:hint="eastAsia" w:cs="仿宋" w:asciiTheme="majorEastAsia" w:hAnsiTheme="majorEastAsia" w:eastAsiaTheme="majorEastAsia"/>
        </w:rPr>
        <w:t>完成后支付</w:t>
      </w:r>
      <w:r>
        <w:rPr>
          <w:rFonts w:hint="eastAsia" w:cs="仿宋" w:asciiTheme="majorEastAsia" w:hAnsiTheme="majorEastAsia" w:eastAsiaTheme="majorEastAsia"/>
          <w:lang w:eastAsia="zh-CN"/>
        </w:rPr>
        <w:t>相关费用</w:t>
      </w:r>
      <w:r>
        <w:rPr>
          <w:rFonts w:hint="eastAsia" w:cs="仿宋" w:asciiTheme="majorEastAsia" w:hAnsiTheme="majorEastAsia" w:eastAsiaTheme="majorEastAsia"/>
        </w:rPr>
        <w:t>。</w:t>
      </w:r>
    </w:p>
    <w:p>
      <w:pPr>
        <w:spacing w:line="560" w:lineRule="exact"/>
        <w:ind w:firstLine="480" w:firstLineChars="200"/>
        <w:rPr>
          <w:rFonts w:cs="仿宋" w:asciiTheme="majorEastAsia" w:hAnsiTheme="majorEastAsia" w:eastAsiaTheme="majorEastAsia"/>
        </w:rPr>
      </w:pPr>
      <w:r>
        <w:rPr>
          <w:rFonts w:cs="仿宋" w:asciiTheme="majorEastAsia" w:hAnsiTheme="majorEastAsia" w:eastAsiaTheme="majorEastAsia"/>
        </w:rPr>
        <w:t>2.3.</w:t>
      </w:r>
      <w:r>
        <w:rPr>
          <w:rFonts w:hint="eastAsia" w:cs="仿宋" w:asciiTheme="majorEastAsia" w:hAnsiTheme="majorEastAsia" w:eastAsiaTheme="majorEastAsia"/>
          <w:lang w:val="en-US" w:eastAsia="zh-CN"/>
        </w:rPr>
        <w:t>4</w:t>
      </w:r>
      <w:r>
        <w:rPr>
          <w:rFonts w:hint="eastAsia" w:cs="仿宋" w:asciiTheme="majorEastAsia" w:hAnsiTheme="majorEastAsia" w:eastAsiaTheme="majorEastAsia"/>
        </w:rPr>
        <w:t>乙方在每次请款时，提供付款申请及相关证明资料，经甲方审核后方可办理支付手续，提交支付申请时须提供与应收金额等额的符合税收法规定的增值税专用发票，否则甲方有权顺延付款且无需承担违约责任。</w:t>
      </w:r>
    </w:p>
    <w:p>
      <w:pPr>
        <w:spacing w:line="56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2.3.</w:t>
      </w:r>
      <w:r>
        <w:rPr>
          <w:rFonts w:hint="default" w:cs="仿宋" w:asciiTheme="majorEastAsia" w:hAnsiTheme="majorEastAsia" w:eastAsiaTheme="majorEastAsia"/>
          <w:lang w:val="en-US" w:eastAsia="zh-CN"/>
        </w:rPr>
        <w:t>5</w:t>
      </w:r>
      <w:r>
        <w:rPr>
          <w:rFonts w:hint="eastAsia" w:cs="仿宋" w:asciiTheme="majorEastAsia" w:hAnsiTheme="majorEastAsia" w:eastAsiaTheme="majorEastAsia"/>
        </w:rPr>
        <w:t>涉及增值税税率调整的，税金均按国家规定调整。</w:t>
      </w:r>
    </w:p>
    <w:p>
      <w:pPr>
        <w:spacing w:line="56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2.3.</w:t>
      </w:r>
      <w:r>
        <w:rPr>
          <w:rFonts w:hint="default" w:cs="仿宋" w:asciiTheme="majorEastAsia" w:hAnsiTheme="majorEastAsia" w:eastAsiaTheme="majorEastAsia"/>
          <w:lang w:val="en-US" w:eastAsia="zh-CN"/>
        </w:rPr>
        <w:t>6</w:t>
      </w:r>
      <w:r>
        <w:rPr>
          <w:rFonts w:hint="eastAsia" w:cs="仿宋" w:asciiTheme="majorEastAsia" w:hAnsiTheme="majorEastAsia" w:eastAsiaTheme="majorEastAsia"/>
          <w:lang w:eastAsia="zh-CN"/>
        </w:rPr>
        <w:t>审核</w:t>
      </w:r>
      <w:r>
        <w:rPr>
          <w:rFonts w:hint="eastAsia" w:cs="仿宋" w:asciiTheme="majorEastAsia" w:hAnsiTheme="majorEastAsia" w:eastAsiaTheme="majorEastAsia"/>
        </w:rPr>
        <w:t>流程及资料按甲方</w:t>
      </w:r>
      <w:r>
        <w:rPr>
          <w:rFonts w:hint="eastAsia" w:cs="仿宋" w:asciiTheme="majorEastAsia" w:hAnsiTheme="majorEastAsia" w:eastAsiaTheme="majorEastAsia"/>
          <w:lang w:eastAsia="zh-CN"/>
        </w:rPr>
        <w:t>相关</w:t>
      </w:r>
      <w:r>
        <w:rPr>
          <w:rFonts w:hint="eastAsia" w:cs="仿宋" w:asciiTheme="majorEastAsia" w:hAnsiTheme="majorEastAsia" w:eastAsiaTheme="majorEastAsia"/>
        </w:rPr>
        <w:t>管理办法执行。</w:t>
      </w:r>
    </w:p>
    <w:p>
      <w:pPr>
        <w:spacing w:line="560" w:lineRule="exact"/>
        <w:ind w:firstLine="482" w:firstLineChars="200"/>
        <w:outlineLvl w:val="3"/>
        <w:rPr>
          <w:rFonts w:hint="default" w:asciiTheme="minorEastAsia" w:hAnsiTheme="minorEastAsia" w:eastAsiaTheme="minorEastAsia"/>
          <w:b/>
          <w:color w:val="000000" w:themeColor="text1"/>
          <w:lang w:val="en-US" w:eastAsia="zh-CN"/>
          <w14:textFill>
            <w14:solidFill>
              <w14:schemeClr w14:val="tx1"/>
            </w14:solidFill>
          </w14:textFill>
        </w:rPr>
      </w:pPr>
      <w:r>
        <w:rPr>
          <w:rFonts w:hint="eastAsia" w:asciiTheme="minorEastAsia" w:hAnsiTheme="minorEastAsia" w:eastAsiaTheme="minorEastAsia"/>
          <w:b/>
          <w:color w:val="000000" w:themeColor="text1"/>
          <w:lang w:val="en-US" w:eastAsia="zh-CN"/>
          <w14:textFill>
            <w14:solidFill>
              <w14:schemeClr w14:val="tx1"/>
            </w14:solidFill>
          </w14:textFill>
        </w:rPr>
        <w:t>2.4违约</w:t>
      </w:r>
    </w:p>
    <w:p>
      <w:pPr>
        <w:spacing w:line="360" w:lineRule="auto"/>
        <w:ind w:firstLine="484" w:firstLineChars="202"/>
        <w:rPr>
          <w:rFonts w:ascii="宋体" w:hAnsi="宋体"/>
          <w:color w:val="000000"/>
          <w:szCs w:val="21"/>
        </w:rPr>
      </w:pPr>
      <w:r>
        <w:rPr>
          <w:rFonts w:hint="eastAsia"/>
          <w:color w:val="000000"/>
          <w:szCs w:val="21"/>
          <w:lang w:val="en-US" w:eastAsia="zh-CN"/>
        </w:rPr>
        <w:t>2.4</w:t>
      </w:r>
      <w:r>
        <w:rPr>
          <w:rFonts w:hint="eastAsia" w:ascii="宋体" w:hAnsi="宋体"/>
          <w:color w:val="000000"/>
          <w:szCs w:val="21"/>
        </w:rPr>
        <w:t>.</w:t>
      </w:r>
      <w:r>
        <w:rPr>
          <w:rFonts w:hint="eastAsia"/>
          <w:color w:val="000000"/>
          <w:szCs w:val="21"/>
          <w:lang w:val="en-US" w:eastAsia="zh-CN"/>
        </w:rPr>
        <w:t>1</w:t>
      </w:r>
      <w:r>
        <w:rPr>
          <w:rFonts w:hint="eastAsia" w:ascii="宋体" w:hAnsi="宋体"/>
          <w:color w:val="000000"/>
          <w:szCs w:val="21"/>
        </w:rPr>
        <w:t xml:space="preserve"> 当发生下列情况时, 乙方承担违约责任，赔偿因其违约给甲方造成的经济损失：</w:t>
      </w:r>
    </w:p>
    <w:p>
      <w:pPr>
        <w:spacing w:line="360" w:lineRule="auto"/>
        <w:ind w:firstLine="484" w:firstLineChars="202"/>
        <w:rPr>
          <w:rFonts w:ascii="宋体" w:hAnsi="宋体"/>
          <w:color w:val="000000"/>
          <w:szCs w:val="21"/>
        </w:rPr>
      </w:pPr>
      <w:r>
        <w:rPr>
          <w:rFonts w:hint="eastAsia"/>
          <w:color w:val="000000"/>
          <w:szCs w:val="21"/>
          <w:lang w:val="en-US" w:eastAsia="zh-CN"/>
        </w:rPr>
        <w:t>（1）</w:t>
      </w:r>
      <w:r>
        <w:rPr>
          <w:rFonts w:hint="eastAsia" w:ascii="宋体" w:hAnsi="宋体"/>
          <w:color w:val="000000"/>
          <w:szCs w:val="21"/>
        </w:rPr>
        <w:t>由于乙方原因造成的工作延误而乙方不采取相应的措施；</w:t>
      </w:r>
    </w:p>
    <w:p>
      <w:pPr>
        <w:spacing w:line="360" w:lineRule="auto"/>
        <w:ind w:firstLine="484" w:firstLineChars="202"/>
        <w:rPr>
          <w:rFonts w:ascii="宋体" w:hAnsi="宋体"/>
          <w:color w:val="000000"/>
          <w:szCs w:val="21"/>
        </w:rPr>
      </w:pPr>
      <w:r>
        <w:rPr>
          <w:rFonts w:hint="eastAsia"/>
          <w:color w:val="000000"/>
          <w:szCs w:val="21"/>
          <w:lang w:eastAsia="zh-CN"/>
        </w:rPr>
        <w:t>（</w:t>
      </w:r>
      <w:r>
        <w:rPr>
          <w:rFonts w:hint="eastAsia"/>
          <w:color w:val="000000"/>
          <w:szCs w:val="21"/>
          <w:lang w:val="en-US" w:eastAsia="zh-CN"/>
        </w:rPr>
        <w:t>2</w:t>
      </w:r>
      <w:r>
        <w:rPr>
          <w:rFonts w:hint="eastAsia"/>
          <w:color w:val="000000"/>
          <w:szCs w:val="21"/>
          <w:lang w:eastAsia="zh-CN"/>
        </w:rPr>
        <w:t>）</w:t>
      </w:r>
      <w:r>
        <w:rPr>
          <w:rFonts w:hint="eastAsia" w:ascii="宋体" w:hAnsi="宋体"/>
          <w:color w:val="000000"/>
          <w:szCs w:val="21"/>
        </w:rPr>
        <w:t>因乙方原因工程质量达不到约定的质量标准；</w:t>
      </w:r>
    </w:p>
    <w:p>
      <w:pPr>
        <w:spacing w:line="360" w:lineRule="auto"/>
        <w:ind w:firstLine="484" w:firstLineChars="202"/>
        <w:rPr>
          <w:rFonts w:ascii="宋体" w:hAnsi="宋体"/>
          <w:color w:val="000000"/>
          <w:szCs w:val="21"/>
        </w:rPr>
      </w:pPr>
      <w:r>
        <w:rPr>
          <w:rFonts w:hint="eastAsia"/>
          <w:color w:val="000000"/>
          <w:szCs w:val="21"/>
          <w:lang w:eastAsia="zh-CN"/>
        </w:rPr>
        <w:t>（</w:t>
      </w:r>
      <w:r>
        <w:rPr>
          <w:rFonts w:hint="eastAsia"/>
          <w:color w:val="000000"/>
          <w:szCs w:val="21"/>
          <w:lang w:val="en-US" w:eastAsia="zh-CN"/>
        </w:rPr>
        <w:t>3</w:t>
      </w:r>
      <w:r>
        <w:rPr>
          <w:rFonts w:hint="eastAsia"/>
          <w:color w:val="000000"/>
          <w:szCs w:val="21"/>
          <w:lang w:eastAsia="zh-CN"/>
        </w:rPr>
        <w:t>）</w:t>
      </w:r>
      <w:r>
        <w:rPr>
          <w:rFonts w:hint="eastAsia" w:ascii="宋体" w:hAnsi="宋体"/>
          <w:color w:val="000000"/>
          <w:szCs w:val="21"/>
        </w:rPr>
        <w:t xml:space="preserve"> 乙方的工作实质上妨碍了甲方或其他方； </w:t>
      </w:r>
    </w:p>
    <w:p>
      <w:pPr>
        <w:spacing w:line="360" w:lineRule="auto"/>
        <w:ind w:firstLine="484" w:firstLineChars="202"/>
        <w:rPr>
          <w:rFonts w:ascii="宋体" w:hAnsi="宋体"/>
          <w:color w:val="000000"/>
          <w:szCs w:val="21"/>
        </w:rPr>
      </w:pPr>
      <w:r>
        <w:rPr>
          <w:rFonts w:hint="eastAsia"/>
          <w:color w:val="000000"/>
          <w:szCs w:val="21"/>
          <w:lang w:eastAsia="zh-CN"/>
        </w:rPr>
        <w:t>（</w:t>
      </w:r>
      <w:r>
        <w:rPr>
          <w:rFonts w:hint="eastAsia"/>
          <w:color w:val="000000"/>
          <w:szCs w:val="21"/>
          <w:lang w:val="en-US" w:eastAsia="zh-CN"/>
        </w:rPr>
        <w:t>4</w:t>
      </w:r>
      <w:r>
        <w:rPr>
          <w:rFonts w:hint="eastAsia"/>
          <w:color w:val="000000"/>
          <w:szCs w:val="21"/>
          <w:lang w:eastAsia="zh-CN"/>
        </w:rPr>
        <w:t>）</w:t>
      </w:r>
      <w:r>
        <w:rPr>
          <w:rFonts w:hint="eastAsia" w:ascii="宋体" w:hAnsi="宋体"/>
          <w:color w:val="000000"/>
          <w:szCs w:val="21"/>
        </w:rPr>
        <w:t xml:space="preserve"> 乙方的工作实质上违反了有关环境、健康或安全的法律、法规及规章制度；</w:t>
      </w:r>
    </w:p>
    <w:p>
      <w:pPr>
        <w:spacing w:line="360" w:lineRule="auto"/>
        <w:ind w:firstLine="484" w:firstLineChars="202"/>
        <w:rPr>
          <w:rFonts w:ascii="宋体" w:hAnsi="宋体"/>
          <w:color w:val="000000"/>
          <w:szCs w:val="21"/>
        </w:rPr>
      </w:pPr>
      <w:r>
        <w:rPr>
          <w:rFonts w:hint="eastAsia"/>
          <w:color w:val="000000"/>
          <w:szCs w:val="21"/>
          <w:lang w:eastAsia="zh-CN"/>
        </w:rPr>
        <w:t>（</w:t>
      </w:r>
      <w:r>
        <w:rPr>
          <w:rFonts w:hint="eastAsia"/>
          <w:color w:val="000000"/>
          <w:szCs w:val="21"/>
          <w:lang w:val="en-US" w:eastAsia="zh-CN"/>
        </w:rPr>
        <w:t>5</w:t>
      </w:r>
      <w:r>
        <w:rPr>
          <w:rFonts w:hint="eastAsia"/>
          <w:color w:val="000000"/>
          <w:szCs w:val="21"/>
          <w:lang w:eastAsia="zh-CN"/>
        </w:rPr>
        <w:t>）</w:t>
      </w:r>
      <w:r>
        <w:rPr>
          <w:rFonts w:hint="eastAsia" w:ascii="宋体" w:hAnsi="宋体"/>
          <w:color w:val="000000"/>
          <w:szCs w:val="21"/>
        </w:rPr>
        <w:t xml:space="preserve"> 乙方将其承包的全部工</w:t>
      </w:r>
      <w:r>
        <w:rPr>
          <w:rFonts w:hint="eastAsia"/>
          <w:color w:val="000000"/>
          <w:szCs w:val="21"/>
          <w:lang w:eastAsia="zh-CN"/>
        </w:rPr>
        <w:t>作</w:t>
      </w:r>
      <w:r>
        <w:rPr>
          <w:rFonts w:hint="eastAsia" w:ascii="宋体" w:hAnsi="宋体"/>
          <w:color w:val="000000"/>
          <w:szCs w:val="21"/>
        </w:rPr>
        <w:t>转包给他人或者肢解以后转包给他人；</w:t>
      </w:r>
    </w:p>
    <w:p>
      <w:pPr>
        <w:spacing w:line="360" w:lineRule="auto"/>
        <w:ind w:firstLine="484" w:firstLineChars="202"/>
        <w:rPr>
          <w:rFonts w:ascii="宋体" w:hAnsi="宋体"/>
          <w:color w:val="000000"/>
          <w:szCs w:val="21"/>
        </w:rPr>
      </w:pPr>
      <w:r>
        <w:rPr>
          <w:rFonts w:hint="eastAsia"/>
          <w:color w:val="000000"/>
          <w:szCs w:val="21"/>
          <w:lang w:eastAsia="zh-CN"/>
        </w:rPr>
        <w:t>（</w:t>
      </w:r>
      <w:r>
        <w:rPr>
          <w:rFonts w:hint="eastAsia"/>
          <w:color w:val="000000"/>
          <w:szCs w:val="21"/>
          <w:lang w:val="en-US" w:eastAsia="zh-CN"/>
        </w:rPr>
        <w:t>6</w:t>
      </w:r>
      <w:r>
        <w:rPr>
          <w:rFonts w:hint="eastAsia"/>
          <w:color w:val="000000"/>
          <w:szCs w:val="21"/>
          <w:lang w:eastAsia="zh-CN"/>
        </w:rPr>
        <w:t>）</w:t>
      </w:r>
      <w:r>
        <w:rPr>
          <w:rFonts w:hint="eastAsia" w:ascii="宋体" w:hAnsi="宋体"/>
          <w:color w:val="000000"/>
          <w:szCs w:val="21"/>
        </w:rPr>
        <w:t xml:space="preserve"> 乙方不履行合同义务或不按合同约定履行义务的其他情况。</w:t>
      </w:r>
    </w:p>
    <w:p>
      <w:pPr>
        <w:spacing w:line="360" w:lineRule="auto"/>
        <w:ind w:firstLine="484" w:firstLineChars="202"/>
        <w:rPr>
          <w:rFonts w:ascii="宋体" w:hAnsi="宋体"/>
          <w:color w:val="000000"/>
          <w:szCs w:val="21"/>
        </w:rPr>
      </w:pPr>
      <w:r>
        <w:rPr>
          <w:rFonts w:hint="eastAsia"/>
          <w:color w:val="000000"/>
          <w:szCs w:val="21"/>
          <w:lang w:val="en-US" w:eastAsia="zh-CN"/>
        </w:rPr>
        <w:t>2.4</w:t>
      </w:r>
      <w:r>
        <w:rPr>
          <w:rFonts w:hint="eastAsia" w:ascii="宋体" w:hAnsi="宋体"/>
          <w:color w:val="000000"/>
          <w:szCs w:val="21"/>
        </w:rPr>
        <w:t>.3 当乙方出现违约情况而不改正或不停止违约行为时，甲方有权将乙方逐出现场，并聘请其他人完成乙方合同内工</w:t>
      </w:r>
      <w:r>
        <w:rPr>
          <w:rFonts w:hint="eastAsia"/>
          <w:color w:val="000000"/>
          <w:szCs w:val="21"/>
          <w:lang w:eastAsia="zh-CN"/>
        </w:rPr>
        <w:t>作</w:t>
      </w:r>
      <w:r>
        <w:rPr>
          <w:rFonts w:hint="eastAsia" w:ascii="宋体" w:hAnsi="宋体"/>
          <w:color w:val="000000"/>
          <w:szCs w:val="21"/>
        </w:rPr>
        <w:t>，乙方应承担由此产生的一切费用。</w:t>
      </w:r>
    </w:p>
    <w:p>
      <w:pPr>
        <w:spacing w:line="360" w:lineRule="auto"/>
        <w:ind w:firstLine="484" w:firstLineChars="202"/>
        <w:rPr>
          <w:rFonts w:ascii="宋体" w:hAnsi="宋体"/>
          <w:color w:val="000000"/>
          <w:szCs w:val="21"/>
        </w:rPr>
      </w:pPr>
      <w:r>
        <w:rPr>
          <w:rFonts w:hint="eastAsia"/>
          <w:color w:val="000000"/>
          <w:szCs w:val="21"/>
          <w:lang w:val="en-US" w:eastAsia="zh-CN"/>
        </w:rPr>
        <w:t>2.4</w:t>
      </w:r>
      <w:r>
        <w:rPr>
          <w:rFonts w:hint="eastAsia" w:ascii="宋体" w:hAnsi="宋体"/>
          <w:color w:val="000000"/>
          <w:szCs w:val="21"/>
        </w:rPr>
        <w:t>.4 因乙方的责任造成甲方工作量的增加，乙方应承担相应的费用。</w:t>
      </w:r>
    </w:p>
    <w:p>
      <w:pPr>
        <w:spacing w:line="360" w:lineRule="auto"/>
        <w:ind w:firstLine="484" w:firstLineChars="202"/>
        <w:rPr>
          <w:rFonts w:ascii="宋体" w:hAnsi="宋体"/>
          <w:color w:val="000000"/>
          <w:szCs w:val="21"/>
        </w:rPr>
      </w:pPr>
      <w:r>
        <w:rPr>
          <w:rFonts w:hint="eastAsia"/>
          <w:color w:val="000000"/>
          <w:szCs w:val="21"/>
          <w:lang w:val="en-US" w:eastAsia="zh-CN"/>
        </w:rPr>
        <w:t>2.4</w:t>
      </w:r>
      <w:r>
        <w:rPr>
          <w:rFonts w:hint="eastAsia" w:ascii="宋体" w:hAnsi="宋体"/>
          <w:color w:val="000000"/>
          <w:szCs w:val="21"/>
        </w:rPr>
        <w:t>.5 一方违约后，另一方要求违约方继续履行合同时，违约方承担上述违约责任后仍应继续履行合同。</w:t>
      </w:r>
    </w:p>
    <w:p>
      <w:pPr>
        <w:spacing w:line="360" w:lineRule="auto"/>
        <w:ind w:firstLine="484" w:firstLineChars="202"/>
        <w:rPr>
          <w:rFonts w:hint="eastAsia" w:ascii="宋体" w:hAnsi="宋体"/>
          <w:color w:val="000000"/>
          <w:szCs w:val="21"/>
        </w:rPr>
      </w:pPr>
      <w:r>
        <w:rPr>
          <w:rFonts w:hint="eastAsia"/>
          <w:color w:val="000000"/>
          <w:szCs w:val="21"/>
          <w:lang w:val="en-US" w:eastAsia="zh-CN"/>
        </w:rPr>
        <w:t>2.4</w:t>
      </w:r>
      <w:r>
        <w:rPr>
          <w:rFonts w:hint="eastAsia" w:ascii="宋体" w:hAnsi="宋体"/>
          <w:color w:val="000000"/>
          <w:szCs w:val="21"/>
        </w:rPr>
        <w:t>.6 乙方在合同规定的承包期内，因故要提前终止其承包的任务，应提前三个月书面通知甲方，在这三个月内，乙方人员需在配合甲方做好相应的交接工作后，方可撤离，同时在费用结算中，未结算部分的费用甲方不再支付，并按合同总金额的</w:t>
      </w:r>
      <w:r>
        <w:rPr>
          <w:rFonts w:hint="eastAsia" w:ascii="宋体" w:hAnsi="宋体"/>
          <w:color w:val="000000"/>
          <w:szCs w:val="21"/>
          <w:u w:val="single"/>
        </w:rPr>
        <w:t xml:space="preserve"> </w:t>
      </w:r>
      <w:r>
        <w:rPr>
          <w:rFonts w:hint="eastAsia" w:ascii="宋体" w:hAnsi="宋体"/>
          <w:b/>
          <w:color w:val="000000"/>
          <w:szCs w:val="21"/>
          <w:u w:val="single"/>
        </w:rPr>
        <w:t xml:space="preserve">10% </w:t>
      </w:r>
      <w:r>
        <w:rPr>
          <w:rFonts w:hint="eastAsia" w:ascii="宋体" w:hAnsi="宋体"/>
          <w:color w:val="000000"/>
          <w:szCs w:val="21"/>
        </w:rPr>
        <w:t>进行扣款，不够扣减的，甲方有权要求乙方另行支付。</w:t>
      </w:r>
    </w:p>
    <w:p>
      <w:pPr>
        <w:spacing w:line="560" w:lineRule="exact"/>
        <w:ind w:firstLine="480" w:firstLineChars="200"/>
        <w:outlineLvl w:val="9"/>
        <w:rPr>
          <w:rFonts w:asciiTheme="minorEastAsia" w:hAnsiTheme="minorEastAsia" w:eastAsiaTheme="minorEastAsia"/>
          <w:b/>
          <w:color w:val="000000" w:themeColor="text1"/>
          <w14:textFill>
            <w14:solidFill>
              <w14:schemeClr w14:val="tx1"/>
            </w14:solidFill>
          </w14:textFill>
        </w:rPr>
      </w:pPr>
      <w:r>
        <w:rPr>
          <w:rFonts w:hint="eastAsia"/>
          <w:color w:val="000000"/>
          <w:szCs w:val="21"/>
          <w:lang w:val="en-US" w:eastAsia="zh-CN"/>
        </w:rPr>
        <w:t>2.4</w:t>
      </w:r>
      <w:r>
        <w:rPr>
          <w:rFonts w:hint="eastAsia" w:ascii="宋体" w:hAnsi="宋体"/>
          <w:color w:val="000000"/>
          <w:szCs w:val="21"/>
        </w:rPr>
        <w:t>.7 其他情形见服务技术标准及要求中“项目对考核与评价的要求”。</w:t>
      </w:r>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lang w:val="en-US" w:eastAsia="zh-CN"/>
          <w14:textFill>
            <w14:solidFill>
              <w14:schemeClr w14:val="tx1"/>
            </w14:solidFill>
          </w14:textFill>
        </w:rPr>
        <w:t>5</w:t>
      </w:r>
      <w:r>
        <w:rPr>
          <w:rFonts w:asciiTheme="minorEastAsia" w:hAnsiTheme="minorEastAsia" w:eastAsiaTheme="minorEastAsia"/>
          <w:b/>
          <w:color w:val="000000" w:themeColor="text1"/>
          <w14:textFill>
            <w14:solidFill>
              <w14:schemeClr w14:val="tx1"/>
            </w14:solidFill>
          </w14:textFill>
        </w:rPr>
        <w:t xml:space="preserve"> </w:t>
      </w:r>
      <w:r>
        <w:rPr>
          <w:rFonts w:hint="eastAsia" w:asciiTheme="minorEastAsia" w:hAnsiTheme="minorEastAsia" w:eastAsiaTheme="minorEastAsia"/>
          <w:b/>
          <w:color w:val="000000" w:themeColor="text1"/>
          <w14:textFill>
            <w14:solidFill>
              <w14:schemeClr w14:val="tx1"/>
            </w14:solidFill>
          </w14:textFill>
        </w:rPr>
        <w:t>技术资料</w:t>
      </w:r>
      <w:bookmarkEnd w:id="500"/>
      <w:bookmarkEnd w:id="501"/>
      <w:bookmarkEnd w:id="502"/>
      <w:bookmarkEnd w:id="503"/>
      <w:bookmarkEnd w:id="504"/>
      <w:bookmarkEnd w:id="505"/>
      <w:r>
        <w:rPr>
          <w:rFonts w:hint="eastAsia" w:asciiTheme="minorEastAsia" w:hAnsiTheme="minorEastAsia" w:eastAsiaTheme="minorEastAsia"/>
          <w:b/>
          <w:color w:val="000000" w:themeColor="text1"/>
          <w14:textFill>
            <w14:solidFill>
              <w14:schemeClr w14:val="tx1"/>
            </w14:solidFill>
          </w14:textFill>
        </w:rPr>
        <w:t>和保密义务</w:t>
      </w:r>
      <w:bookmarkEnd w:id="506"/>
      <w:bookmarkEnd w:id="507"/>
      <w:bookmarkEnd w:id="508"/>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lang w:val="en-US" w:eastAsia="zh-CN"/>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 xml:space="preserve">.1 </w:t>
      </w:r>
      <w:r>
        <w:rPr>
          <w:rFonts w:hint="eastAsia" w:asciiTheme="minorEastAsia" w:hAnsiTheme="minorEastAsia" w:eastAsiaTheme="minorEastAsia"/>
          <w:color w:val="000000" w:themeColor="text1"/>
          <w14:textFill>
            <w14:solidFill>
              <w14:schemeClr w14:val="tx1"/>
            </w14:solidFill>
          </w14:textFill>
        </w:rPr>
        <w:t>乙方有权依据合同约定和项目需要，向甲方了解有关情况，调阅有关资料等，甲方应予积极配合；</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lang w:val="en-US" w:eastAsia="zh-CN"/>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 xml:space="preserve">.2 </w:t>
      </w:r>
      <w:r>
        <w:rPr>
          <w:rFonts w:hint="eastAsia" w:asciiTheme="minorEastAsia" w:hAnsiTheme="minorEastAsia" w:eastAsiaTheme="minorEastAsia"/>
          <w:color w:val="000000" w:themeColor="text1"/>
          <w14:textFill>
            <w14:solidFill>
              <w14:schemeClr w14:val="tx1"/>
            </w14:solidFill>
          </w14:textFill>
        </w:rPr>
        <w:t>乙方有义务妥善保管和保护由甲方提供的前款信息和资料等；</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lang w:val="en-US" w:eastAsia="zh-CN"/>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 xml:space="preserve">.3 </w:t>
      </w:r>
      <w:r>
        <w:rPr>
          <w:rFonts w:hint="eastAsia" w:asciiTheme="minorEastAsia" w:hAnsiTheme="minorEastAsia" w:eastAsiaTheme="minorEastAsia"/>
          <w:color w:val="000000" w:themeColor="text1"/>
          <w14:textFill>
            <w14:solidFill>
              <w14:schemeClr w14:val="tx1"/>
            </w14:solidFill>
          </w14:textFill>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bookmarkStart w:id="510" w:name="_Toc7860"/>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lang w:val="en-US" w:eastAsia="zh-CN"/>
          <w14:textFill>
            <w14:solidFill>
              <w14:schemeClr w14:val="tx1"/>
            </w14:solidFill>
          </w14:textFill>
        </w:rPr>
        <w:t>6</w:t>
      </w:r>
      <w:r>
        <w:rPr>
          <w:rFonts w:asciiTheme="minorEastAsia" w:hAnsiTheme="minorEastAsia" w:eastAsiaTheme="minorEastAsia"/>
          <w:b/>
          <w:color w:val="000000" w:themeColor="text1"/>
          <w14:textFill>
            <w14:solidFill>
              <w14:schemeClr w14:val="tx1"/>
            </w14:solidFill>
          </w14:textFill>
        </w:rPr>
        <w:t xml:space="preserve"> </w:t>
      </w:r>
      <w:r>
        <w:rPr>
          <w:rFonts w:hint="eastAsia" w:asciiTheme="minorEastAsia" w:hAnsiTheme="minorEastAsia" w:eastAsiaTheme="minorEastAsia"/>
          <w:b/>
          <w:color w:val="000000" w:themeColor="text1"/>
          <w14:textFill>
            <w14:solidFill>
              <w14:schemeClr w14:val="tx1"/>
            </w14:solidFill>
          </w14:textFill>
        </w:rPr>
        <w:t>质量保证</w:t>
      </w:r>
      <w:bookmarkEnd w:id="510"/>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lang w:val="en-US" w:eastAsia="zh-CN"/>
          <w14:textFill>
            <w14:solidFill>
              <w14:schemeClr w14:val="tx1"/>
            </w14:solidFill>
          </w14:textFill>
        </w:rPr>
        <w:t>6</w:t>
      </w:r>
      <w:r>
        <w:rPr>
          <w:rFonts w:asciiTheme="minorEastAsia" w:hAnsiTheme="minorEastAsia" w:eastAsiaTheme="minorEastAsia"/>
          <w:color w:val="000000" w:themeColor="text1"/>
          <w14:textFill>
            <w14:solidFill>
              <w14:schemeClr w14:val="tx1"/>
            </w14:solidFill>
          </w14:textFill>
        </w:rPr>
        <w:t xml:space="preserve">.1 </w:t>
      </w:r>
      <w:r>
        <w:rPr>
          <w:rFonts w:hint="eastAsia" w:asciiTheme="minorEastAsia" w:hAnsiTheme="minorEastAsia" w:eastAsiaTheme="minorEastAsia"/>
          <w:color w:val="000000" w:themeColor="text1"/>
          <w14:textFill>
            <w14:solidFill>
              <w14:schemeClr w14:val="tx1"/>
            </w14:solidFill>
          </w14:textFill>
        </w:rPr>
        <w:t>乙方应建立和完善履行合同的内部质量保证体系，并提供相关内部规章制度给甲方，以便甲方进行监督检查；</w:t>
      </w:r>
    </w:p>
    <w:p>
      <w:pPr>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lang w:val="en-US" w:eastAsia="zh-CN"/>
          <w14:textFill>
            <w14:solidFill>
              <w14:schemeClr w14:val="tx1"/>
            </w14:solidFill>
          </w14:textFill>
        </w:rPr>
        <w:t>6</w:t>
      </w:r>
      <w:r>
        <w:rPr>
          <w:rFonts w:asciiTheme="minorEastAsia" w:hAnsiTheme="minorEastAsia" w:eastAsiaTheme="minorEastAsia"/>
          <w:color w:val="000000" w:themeColor="text1"/>
          <w14:textFill>
            <w14:solidFill>
              <w14:schemeClr w14:val="tx1"/>
            </w14:solidFill>
          </w14:textFill>
        </w:rPr>
        <w:t xml:space="preserve">.2 </w:t>
      </w:r>
      <w:r>
        <w:rPr>
          <w:rFonts w:hint="eastAsia" w:asciiTheme="minorEastAsia" w:hAnsiTheme="minorEastAsia" w:eastAsiaTheme="minorEastAsia"/>
          <w:color w:val="000000" w:themeColor="text1"/>
          <w14:textFill>
            <w14:solidFill>
              <w14:schemeClr w14:val="tx1"/>
            </w14:solidFill>
          </w14:textFill>
        </w:rPr>
        <w:t>乙方应保证履行合同的人员数量和素质、软件和硬件设备的配置、场地、环境和设施等满足全面履行合同的要求，并应接受甲方的监督检查。</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2.6.3根据《绍兴市柴油动力移动源排气污染防治办法》，采购需求中涉及以柴油作为动力来源的重型柴油车、船舶和非道路移动机械，则该动力源（发动机、发电机等）应当符合国家最低排放要求。</w:t>
      </w:r>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bookmarkStart w:id="511" w:name="_Toc7502"/>
      <w:bookmarkStart w:id="512" w:name="_Ref467378121"/>
      <w:bookmarkStart w:id="513" w:name="_Toc259093683"/>
      <w:bookmarkStart w:id="514" w:name="_Toc487900364"/>
      <w:bookmarkStart w:id="515" w:name="_Toc279701254"/>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lang w:val="en-US" w:eastAsia="zh-CN"/>
          <w14:textFill>
            <w14:solidFill>
              <w14:schemeClr w14:val="tx1"/>
            </w14:solidFill>
          </w14:textFill>
        </w:rPr>
        <w:t>7</w:t>
      </w:r>
      <w:r>
        <w:rPr>
          <w:rFonts w:hint="eastAsia" w:asciiTheme="minorEastAsia" w:hAnsiTheme="minorEastAsia" w:eastAsiaTheme="minorEastAsia"/>
          <w:b/>
          <w:color w:val="000000" w:themeColor="text1"/>
          <w14:textFill>
            <w14:solidFill>
              <w14:schemeClr w14:val="tx1"/>
            </w14:solidFill>
          </w14:textFill>
        </w:rPr>
        <w:t>合同变更</w:t>
      </w:r>
      <w:bookmarkEnd w:id="511"/>
    </w:p>
    <w:p>
      <w:pPr>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bookmarkStart w:id="516" w:name="_Toc259093688"/>
      <w:bookmarkStart w:id="517" w:name="_Toc279701259"/>
      <w:bookmarkStart w:id="518" w:name="_Toc487900369"/>
      <w:r>
        <w:rPr>
          <w:rFonts w:hint="eastAsia" w:asciiTheme="minorEastAsia" w:hAnsiTheme="minorEastAsia" w:eastAsia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olor w:val="000000" w:themeColor="text1"/>
          <w14:textFill>
            <w14:solidFill>
              <w14:schemeClr w14:val="tx1"/>
            </w14:solidFill>
          </w14:textFill>
        </w:rPr>
        <w:t>.1 在合同履行中，甲方有权对委外维保项目进行实质性的变更，对本合同条件所作的任何修改、补充均须根据双方协商达成的协议，以规定的标准修改书形式由双方授权代表签字来完成，并作为本合同不可分割的组成部分，具有与合同本身同样的效力。</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olor w:val="000000" w:themeColor="text1"/>
          <w14:textFill>
            <w14:solidFill>
              <w14:schemeClr w14:val="tx1"/>
            </w14:solidFill>
          </w14:textFill>
        </w:rPr>
        <w:t>.2  因乙方自身原因导致的委外维保项目变更，乙方无权要求任何补偿。</w:t>
      </w:r>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bookmarkStart w:id="519" w:name="_Toc22955"/>
      <w:bookmarkStart w:id="520" w:name="_Toc10366"/>
      <w:bookmarkStart w:id="521" w:name="_Toc15237"/>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lang w:val="en-US" w:eastAsia="zh-CN"/>
          <w14:textFill>
            <w14:solidFill>
              <w14:schemeClr w14:val="tx1"/>
            </w14:solidFill>
          </w14:textFill>
        </w:rPr>
        <w:t>8</w:t>
      </w:r>
      <w:r>
        <w:rPr>
          <w:rFonts w:hint="eastAsia" w:asciiTheme="minorEastAsia" w:hAnsiTheme="minorEastAsia" w:eastAsiaTheme="minorEastAsia"/>
          <w:b/>
          <w:color w:val="000000" w:themeColor="text1"/>
          <w14:textFill>
            <w14:solidFill>
              <w14:schemeClr w14:val="tx1"/>
            </w14:solidFill>
          </w14:textFill>
        </w:rPr>
        <w:t>合同转让</w:t>
      </w:r>
      <w:bookmarkEnd w:id="516"/>
      <w:bookmarkEnd w:id="517"/>
      <w:bookmarkEnd w:id="518"/>
      <w:r>
        <w:rPr>
          <w:rFonts w:hint="eastAsia" w:asciiTheme="minorEastAsia" w:hAnsiTheme="minorEastAsia" w:eastAsiaTheme="minorEastAsia"/>
          <w:b/>
          <w:color w:val="000000" w:themeColor="text1"/>
          <w14:textFill>
            <w14:solidFill>
              <w14:schemeClr w14:val="tx1"/>
            </w14:solidFill>
          </w14:textFill>
        </w:rPr>
        <w:t>和分包</w:t>
      </w:r>
      <w:bookmarkEnd w:id="519"/>
      <w:bookmarkEnd w:id="520"/>
      <w:bookmarkEnd w:id="521"/>
    </w:p>
    <w:p>
      <w:pPr>
        <w:spacing w:line="56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未经甲方书面同意，乙方不得部分转</w:t>
      </w:r>
      <w:r>
        <w:rPr>
          <w:rFonts w:hint="eastAsia" w:cs="仿宋" w:asciiTheme="majorEastAsia" w:hAnsiTheme="majorEastAsia" w:eastAsiaTheme="majorEastAsia"/>
          <w:lang w:val="en-US" w:eastAsia="zh-CN"/>
        </w:rPr>
        <w:t>包</w:t>
      </w:r>
      <w:r>
        <w:rPr>
          <w:rFonts w:hint="eastAsia" w:cs="仿宋" w:asciiTheme="majorEastAsia" w:hAnsiTheme="majorEastAsia" w:eastAsiaTheme="majorEastAsia"/>
        </w:rPr>
        <w:t>/分包或全部转</w:t>
      </w:r>
      <w:r>
        <w:rPr>
          <w:rFonts w:hint="eastAsia" w:cs="仿宋" w:asciiTheme="majorEastAsia" w:hAnsiTheme="majorEastAsia" w:eastAsiaTheme="majorEastAsia"/>
          <w:lang w:val="en-US" w:eastAsia="zh-CN"/>
        </w:rPr>
        <w:t>包</w:t>
      </w:r>
      <w:r>
        <w:rPr>
          <w:rFonts w:hint="eastAsia" w:cs="仿宋" w:asciiTheme="majorEastAsia" w:hAnsiTheme="majorEastAsia" w:eastAsiaTheme="majorEastAsia"/>
        </w:rPr>
        <w:t>/分包其应履行的合同义务。</w:t>
      </w:r>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bookmarkStart w:id="522" w:name="_Toc16508"/>
      <w:bookmarkStart w:id="523" w:name="_Toc13566"/>
      <w:bookmarkStart w:id="524" w:name="_Toc14066"/>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lang w:val="en-US" w:eastAsia="zh-CN"/>
          <w14:textFill>
            <w14:solidFill>
              <w14:schemeClr w14:val="tx1"/>
            </w14:solidFill>
          </w14:textFill>
        </w:rPr>
        <w:t>9</w:t>
      </w:r>
      <w:r>
        <w:rPr>
          <w:rFonts w:asciiTheme="minorEastAsia" w:hAnsiTheme="minorEastAsia" w:eastAsiaTheme="minorEastAsia"/>
          <w:b/>
          <w:color w:val="000000" w:themeColor="text1"/>
          <w14:textFill>
            <w14:solidFill>
              <w14:schemeClr w14:val="tx1"/>
            </w14:solidFill>
          </w14:textFill>
        </w:rPr>
        <w:t xml:space="preserve"> </w:t>
      </w:r>
      <w:r>
        <w:rPr>
          <w:rFonts w:hint="eastAsia" w:asciiTheme="minorEastAsia" w:hAnsiTheme="minorEastAsia" w:eastAsiaTheme="minorEastAsia"/>
          <w:b/>
          <w:color w:val="000000" w:themeColor="text1"/>
          <w14:textFill>
            <w14:solidFill>
              <w14:schemeClr w14:val="tx1"/>
            </w14:solidFill>
          </w14:textFill>
        </w:rPr>
        <w:t>不可抗力</w:t>
      </w:r>
      <w:bookmarkEnd w:id="522"/>
      <w:bookmarkEnd w:id="523"/>
      <w:bookmarkEnd w:id="524"/>
    </w:p>
    <w:p>
      <w:pPr>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olor w:val="000000" w:themeColor="text1"/>
          <w14:textFill>
            <w14:solidFill>
              <w14:schemeClr w14:val="tx1"/>
            </w14:solidFill>
          </w14:textFill>
        </w:rPr>
        <w:t>.1 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olor w:val="000000" w:themeColor="text1"/>
          <w14:textFill>
            <w14:solidFill>
              <w14:schemeClr w14:val="tx1"/>
            </w14:solidFill>
          </w14:textFill>
        </w:rPr>
        <w:t>.2 因不可抗力致使合同有变更必要的，双方当事人应在通过友好协商在合理的时间内约定以书面形式变更合同；</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olor w:val="000000" w:themeColor="text1"/>
          <w14:textFill>
            <w14:solidFill>
              <w14:schemeClr w14:val="tx1"/>
            </w14:solidFill>
          </w14:textFill>
        </w:rPr>
        <w:t>.3 受不可抗力影响的一方在不可抗力发生后，应在十四（14）天内以书面形式通知对方当事人，并在十四（14）内，将有关部门出具的证明文件送达对方当事人。</w:t>
      </w:r>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bookmarkStart w:id="525" w:name="_Toc6969"/>
      <w:bookmarkStart w:id="526" w:name="_Toc259093684"/>
      <w:bookmarkStart w:id="527" w:name="_Toc30676"/>
      <w:bookmarkStart w:id="528" w:name="_Toc487900365"/>
      <w:bookmarkStart w:id="529" w:name="_Toc279701255"/>
      <w:bookmarkStart w:id="530" w:name="_Toc689"/>
      <w:r>
        <w:rPr>
          <w:rFonts w:asciiTheme="minorEastAsia" w:hAnsiTheme="minorEastAsia" w:eastAsiaTheme="minorEastAsia"/>
          <w:b/>
          <w:color w:val="000000" w:themeColor="text1"/>
          <w14:textFill>
            <w14:solidFill>
              <w14:schemeClr w14:val="tx1"/>
            </w14:solidFill>
          </w14:textFill>
        </w:rPr>
        <w:t>2.1</w:t>
      </w:r>
      <w:r>
        <w:rPr>
          <w:rFonts w:hint="eastAsia" w:asciiTheme="minorEastAsia" w:hAnsiTheme="minorEastAsia" w:eastAsiaTheme="minorEastAsia"/>
          <w:b/>
          <w:color w:val="000000" w:themeColor="text1"/>
          <w:lang w:val="en-US" w:eastAsia="zh-CN"/>
          <w14:textFill>
            <w14:solidFill>
              <w14:schemeClr w14:val="tx1"/>
            </w14:solidFill>
          </w14:textFill>
        </w:rPr>
        <w:t>0</w:t>
      </w:r>
      <w:r>
        <w:rPr>
          <w:rFonts w:asciiTheme="minorEastAsia" w:hAnsiTheme="minorEastAsia" w:eastAsiaTheme="minorEastAsia"/>
          <w:b/>
          <w:color w:val="000000" w:themeColor="text1"/>
          <w14:textFill>
            <w14:solidFill>
              <w14:schemeClr w14:val="tx1"/>
            </w14:solidFill>
          </w14:textFill>
        </w:rPr>
        <w:t xml:space="preserve"> </w:t>
      </w:r>
      <w:r>
        <w:rPr>
          <w:rFonts w:hint="eastAsia" w:asciiTheme="minorEastAsia" w:hAnsiTheme="minorEastAsia" w:eastAsiaTheme="minorEastAsia"/>
          <w:b/>
          <w:color w:val="000000" w:themeColor="text1"/>
          <w14:textFill>
            <w14:solidFill>
              <w14:schemeClr w14:val="tx1"/>
            </w14:solidFill>
          </w14:textFill>
        </w:rPr>
        <w:t>税费</w:t>
      </w:r>
      <w:bookmarkEnd w:id="525"/>
      <w:bookmarkEnd w:id="526"/>
      <w:bookmarkEnd w:id="527"/>
      <w:bookmarkEnd w:id="528"/>
      <w:bookmarkEnd w:id="529"/>
      <w:bookmarkEnd w:id="530"/>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与合同有关的一切税费，均按照中华人民共和国法律的相关规定。</w:t>
      </w:r>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bookmarkStart w:id="531" w:name="_Toc16959"/>
      <w:bookmarkStart w:id="532" w:name="_Toc279701258"/>
      <w:bookmarkStart w:id="533" w:name="_Toc7102"/>
      <w:bookmarkStart w:id="534" w:name="_Toc487900368"/>
      <w:bookmarkStart w:id="535" w:name="_Toc8298"/>
      <w:bookmarkStart w:id="536" w:name="_Toc259093687"/>
      <w:r>
        <w:rPr>
          <w:rFonts w:asciiTheme="minorEastAsia" w:hAnsiTheme="minorEastAsia" w:eastAsiaTheme="minorEastAsia"/>
          <w:b/>
          <w:color w:val="000000" w:themeColor="text1"/>
          <w14:textFill>
            <w14:solidFill>
              <w14:schemeClr w14:val="tx1"/>
            </w14:solidFill>
          </w14:textFill>
        </w:rPr>
        <w:t>2.1</w:t>
      </w:r>
      <w:r>
        <w:rPr>
          <w:rFonts w:hint="eastAsia" w:asciiTheme="minorEastAsia" w:hAnsiTheme="minorEastAsia" w:eastAsiaTheme="minorEastAsia"/>
          <w:b/>
          <w:color w:val="000000" w:themeColor="text1"/>
          <w:lang w:val="en-US" w:eastAsia="zh-CN"/>
          <w14:textFill>
            <w14:solidFill>
              <w14:schemeClr w14:val="tx1"/>
            </w14:solidFill>
          </w14:textFill>
        </w:rPr>
        <w:t>1</w:t>
      </w:r>
      <w:r>
        <w:rPr>
          <w:rFonts w:asciiTheme="minorEastAsia" w:hAnsiTheme="minorEastAsia" w:eastAsiaTheme="minorEastAsia"/>
          <w:b/>
          <w:color w:val="000000" w:themeColor="text1"/>
          <w14:textFill>
            <w14:solidFill>
              <w14:schemeClr w14:val="tx1"/>
            </w14:solidFill>
          </w14:textFill>
        </w:rPr>
        <w:t>乙方破产</w:t>
      </w:r>
      <w:bookmarkEnd w:id="531"/>
      <w:bookmarkEnd w:id="532"/>
      <w:bookmarkEnd w:id="533"/>
      <w:bookmarkEnd w:id="534"/>
      <w:bookmarkEnd w:id="535"/>
      <w:bookmarkEnd w:id="536"/>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bookmarkStart w:id="537" w:name="_Toc15387"/>
      <w:bookmarkStart w:id="538" w:name="_Toc6134"/>
      <w:bookmarkStart w:id="539" w:name="_Toc29333"/>
      <w:r>
        <w:rPr>
          <w:rFonts w:asciiTheme="minorEastAsia" w:hAnsiTheme="minorEastAsia" w:eastAsiaTheme="minorEastAsia"/>
          <w:b/>
          <w:color w:val="000000" w:themeColor="text1"/>
          <w14:textFill>
            <w14:solidFill>
              <w14:schemeClr w14:val="tx1"/>
            </w14:solidFill>
          </w14:textFill>
        </w:rPr>
        <w:t>2.1</w:t>
      </w:r>
      <w:r>
        <w:rPr>
          <w:rFonts w:hint="eastAsia" w:asciiTheme="minorEastAsia" w:hAnsiTheme="minorEastAsia" w:eastAsiaTheme="minorEastAsia"/>
          <w:b/>
          <w:color w:val="000000" w:themeColor="text1"/>
          <w:lang w:val="en-US" w:eastAsia="zh-CN"/>
          <w14:textFill>
            <w14:solidFill>
              <w14:schemeClr w14:val="tx1"/>
            </w14:solidFill>
          </w14:textFill>
        </w:rPr>
        <w:t>2</w:t>
      </w:r>
      <w:r>
        <w:rPr>
          <w:rFonts w:asciiTheme="minorEastAsia" w:hAnsiTheme="minorEastAsia" w:eastAsiaTheme="minorEastAsia"/>
          <w:b/>
          <w:color w:val="000000" w:themeColor="text1"/>
          <w14:textFill>
            <w14:solidFill>
              <w14:schemeClr w14:val="tx1"/>
            </w14:solidFill>
          </w14:textFill>
        </w:rPr>
        <w:t xml:space="preserve"> </w:t>
      </w:r>
      <w:r>
        <w:rPr>
          <w:rFonts w:hint="eastAsia" w:asciiTheme="minorEastAsia" w:hAnsiTheme="minorEastAsia" w:eastAsiaTheme="minorEastAsia"/>
          <w:b/>
          <w:color w:val="000000" w:themeColor="text1"/>
          <w14:textFill>
            <w14:solidFill>
              <w14:schemeClr w14:val="tx1"/>
            </w14:solidFill>
          </w14:textFill>
        </w:rPr>
        <w:t>合同中止、终止</w:t>
      </w:r>
      <w:bookmarkEnd w:id="537"/>
      <w:bookmarkEnd w:id="538"/>
      <w:bookmarkEnd w:id="539"/>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w:t>
      </w:r>
      <w:r>
        <w:rPr>
          <w:rFonts w:hint="eastAsia" w:asciiTheme="minorEastAsia" w:hAnsiTheme="minorEastAsia" w:eastAsiaTheme="minorEastAsia"/>
          <w:color w:val="000000" w:themeColor="text1"/>
          <w:lang w:val="en-US" w:eastAsia="zh-CN"/>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 xml:space="preserve">.1 </w:t>
      </w:r>
      <w:r>
        <w:rPr>
          <w:rFonts w:hint="eastAsia" w:asciiTheme="minorEastAsia" w:hAnsiTheme="minorEastAsia" w:eastAsiaTheme="minorEastAsia"/>
          <w:color w:val="000000" w:themeColor="text1"/>
          <w14:textFill>
            <w14:solidFill>
              <w14:schemeClr w14:val="tx1"/>
            </w14:solidFill>
          </w14:textFill>
        </w:rPr>
        <w:t>双方当事人不得擅自中止或者终止合同；</w:t>
      </w:r>
    </w:p>
    <w:p>
      <w:pPr>
        <w:spacing w:line="560" w:lineRule="exact"/>
        <w:ind w:firstLine="480" w:firstLineChars="200"/>
        <w:rPr>
          <w:rFonts w:hint="default" w:asciiTheme="minorEastAsia" w:hAnsiTheme="minorEastAsia" w:eastAsiaTheme="minorEastAsia"/>
          <w:b/>
          <w:color w:val="000000" w:themeColor="text1"/>
          <w:lang w:val="en-US" w:eastAsia="zh-CN"/>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w:t>
      </w:r>
      <w:r>
        <w:rPr>
          <w:rFonts w:hint="eastAsia" w:asciiTheme="minorEastAsia" w:hAnsiTheme="minorEastAsia" w:eastAsiaTheme="minorEastAsia"/>
          <w:color w:val="000000" w:themeColor="text1"/>
          <w:lang w:val="en-US" w:eastAsia="zh-CN"/>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.2合同继续履行将损害国家利益和社会公共利益的，双方当事人应当中止或者终止合同。有过错的一方应当承担赔偿责任，双方当事人都有过错的，各自承担相应的责任。</w:t>
      </w:r>
      <w:bookmarkStart w:id="540" w:name="_Toc14563"/>
      <w:bookmarkStart w:id="541" w:name="_Toc1125"/>
      <w:bookmarkStart w:id="542" w:name="_Toc6596"/>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2.1</w:t>
      </w:r>
      <w:r>
        <w:rPr>
          <w:rFonts w:hint="eastAsia" w:asciiTheme="minorEastAsia" w:hAnsiTheme="minorEastAsia" w:eastAsiaTheme="minorEastAsia"/>
          <w:b/>
          <w:color w:val="000000" w:themeColor="text1"/>
          <w:lang w:val="en-US" w:eastAsia="zh-CN"/>
          <w14:textFill>
            <w14:solidFill>
              <w14:schemeClr w14:val="tx1"/>
            </w14:solidFill>
          </w14:textFill>
        </w:rPr>
        <w:t>3</w:t>
      </w:r>
      <w:r>
        <w:rPr>
          <w:rFonts w:asciiTheme="minorEastAsia" w:hAnsiTheme="minorEastAsia" w:eastAsiaTheme="minorEastAsia"/>
          <w:b/>
          <w:color w:val="000000" w:themeColor="text1"/>
          <w14:textFill>
            <w14:solidFill>
              <w14:schemeClr w14:val="tx1"/>
            </w14:solidFill>
          </w14:textFill>
        </w:rPr>
        <w:t>检验和验收</w:t>
      </w:r>
      <w:bookmarkEnd w:id="540"/>
      <w:bookmarkEnd w:id="541"/>
      <w:bookmarkEnd w:id="542"/>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2.13</w:t>
      </w:r>
      <w:r>
        <w:rPr>
          <w:rFonts w:hint="eastAsia" w:asciiTheme="minorEastAsia" w:hAnsiTheme="minorEastAsia" w:eastAsiaTheme="minorEastAsia"/>
          <w:color w:val="000000" w:themeColor="text1"/>
          <w14:textFill>
            <w14:solidFill>
              <w14:schemeClr w14:val="tx1"/>
            </w14:solidFill>
          </w14:textFill>
        </w:rPr>
        <w:t>.1 投标人应在完成月度工作内容后四十八小时内通知招标人验收。招标人收到通知后应及时派员进行验收，满足本合同约定方能通过招标人验收。</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2.13</w:t>
      </w:r>
      <w:r>
        <w:rPr>
          <w:rFonts w:hint="eastAsia" w:asciiTheme="minorEastAsia" w:hAnsiTheme="minorEastAsia" w:eastAsiaTheme="minorEastAsia"/>
          <w:color w:val="000000" w:themeColor="text1"/>
          <w14:textFill>
            <w14:solidFill>
              <w14:schemeClr w14:val="tx1"/>
            </w14:solidFill>
          </w14:textFill>
        </w:rPr>
        <w:t>.2双方应就验收情况在服务成果验收单及机电设备季度运行报告上签章确认。</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2.13</w:t>
      </w:r>
      <w:r>
        <w:rPr>
          <w:rFonts w:hint="eastAsia" w:asciiTheme="minorEastAsia" w:hAnsiTheme="minorEastAsia" w:eastAsiaTheme="minorEastAsia"/>
          <w:color w:val="000000" w:themeColor="text1"/>
          <w14:textFill>
            <w14:solidFill>
              <w14:schemeClr w14:val="tx1"/>
            </w14:solidFill>
          </w14:textFill>
        </w:rPr>
        <w:t>.3如服务未通过验收，投标人应采取重做、补救等措施直至服务合格，由此造成逾期交付的，投标人应承担延迟履行的违约责任。招标人对投标人服务的验收不豁免投标人就应承担的一切义务或责任。</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2.13</w:t>
      </w:r>
      <w:r>
        <w:rPr>
          <w:rFonts w:hint="eastAsia" w:asciiTheme="minorEastAsia" w:hAnsiTheme="minorEastAsia" w:eastAsiaTheme="minorEastAsia"/>
          <w:color w:val="000000" w:themeColor="text1"/>
          <w14:textFill>
            <w14:solidFill>
              <w14:schemeClr w14:val="tx1"/>
            </w14:solidFill>
          </w14:textFill>
        </w:rPr>
        <w:t>.4 投标人应认真按照标准、规范、规程和图纸要求以及招标人依据合同发出的要求开展</w:t>
      </w:r>
      <w:r>
        <w:rPr>
          <w:rFonts w:hint="eastAsia" w:asciiTheme="minorEastAsia" w:hAnsiTheme="minorEastAsia" w:eastAsiaTheme="minorEastAsia"/>
          <w:color w:val="000000" w:themeColor="text1"/>
          <w:lang w:eastAsia="zh-CN"/>
          <w14:textFill>
            <w14:solidFill>
              <w14:schemeClr w14:val="tx1"/>
            </w14:solidFill>
          </w14:textFill>
        </w:rPr>
        <w:t>维保</w:t>
      </w:r>
      <w:r>
        <w:rPr>
          <w:rFonts w:hint="eastAsia" w:asciiTheme="minorEastAsia" w:hAnsiTheme="minorEastAsia" w:eastAsiaTheme="minorEastAsia"/>
          <w:color w:val="000000" w:themeColor="text1"/>
          <w14:textFill>
            <w14:solidFill>
              <w14:schemeClr w14:val="tx1"/>
            </w14:solidFill>
          </w14:textFill>
        </w:rPr>
        <w:t>作业，随时接受招标人的检查检验，为检查检验提供便利条件。</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2.13</w:t>
      </w:r>
      <w:r>
        <w:rPr>
          <w:rFonts w:hint="eastAsia" w:asciiTheme="minorEastAsia" w:hAnsiTheme="minorEastAsia" w:eastAsiaTheme="minorEastAsia"/>
          <w:color w:val="000000" w:themeColor="text1"/>
          <w14:textFill>
            <w14:solidFill>
              <w14:schemeClr w14:val="tx1"/>
            </w14:solidFill>
          </w14:textFill>
        </w:rPr>
        <w:t xml:space="preserve">.5 </w:t>
      </w:r>
      <w:r>
        <w:rPr>
          <w:rFonts w:hint="eastAsia" w:asciiTheme="minorEastAsia" w:hAnsiTheme="minorEastAsia" w:eastAsiaTheme="minorEastAsia"/>
          <w:color w:val="000000" w:themeColor="text1"/>
          <w:lang w:eastAsia="zh-CN"/>
          <w14:textFill>
            <w14:solidFill>
              <w14:schemeClr w14:val="tx1"/>
            </w14:solidFill>
          </w14:textFill>
        </w:rPr>
        <w:t>维保</w:t>
      </w:r>
      <w:r>
        <w:rPr>
          <w:rFonts w:hint="eastAsia" w:asciiTheme="minorEastAsia" w:hAnsiTheme="minorEastAsia" w:eastAsiaTheme="minorEastAsia"/>
          <w:color w:val="000000" w:themeColor="text1"/>
          <w14:textFill>
            <w14:solidFill>
              <w14:schemeClr w14:val="tx1"/>
            </w14:solidFill>
          </w14:textFill>
        </w:rPr>
        <w:t>质量达不到验收标准，招标人一经发现，有权要求投标人返工，投标人应按招标人的要求执行，直到符合验收标准。</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2.13</w:t>
      </w:r>
      <w:r>
        <w:rPr>
          <w:rFonts w:hint="eastAsia" w:asciiTheme="minorEastAsia" w:hAnsiTheme="minorEastAsia" w:eastAsiaTheme="minorEastAsia"/>
          <w:color w:val="000000" w:themeColor="text1"/>
          <w14:textFill>
            <w14:solidFill>
              <w14:schemeClr w14:val="tx1"/>
            </w14:solidFill>
          </w14:textFill>
        </w:rPr>
        <w:t>.6 对于投标人原因造成的质量问题，若投标人不积极进行修补或无能力修补，招标人可以聘请其他人员完成此项工作，费用由投标人承担，并由招标人从应支付给投标人的款项中扣除。</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2.13</w:t>
      </w:r>
      <w:r>
        <w:rPr>
          <w:rFonts w:hint="eastAsia" w:asciiTheme="minorEastAsia" w:hAnsiTheme="minorEastAsia" w:eastAsiaTheme="minorEastAsia"/>
          <w:color w:val="000000" w:themeColor="text1"/>
          <w14:textFill>
            <w14:solidFill>
              <w14:schemeClr w14:val="tx1"/>
            </w14:solidFill>
          </w14:textFill>
        </w:rPr>
        <w:t>.7 招标人有权要求投标人进行合同未约定的检查。</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2.13</w:t>
      </w:r>
      <w:r>
        <w:rPr>
          <w:rFonts w:hint="eastAsia"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olor w:val="000000" w:themeColor="text1"/>
          <w14:textFill>
            <w14:solidFill>
              <w14:schemeClr w14:val="tx1"/>
            </w14:solidFill>
          </w14:textFill>
        </w:rPr>
        <w:t>维保结束后的验收</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eastAsia="zh-CN"/>
          <w14:textFill>
            <w14:solidFill>
              <w14:schemeClr w14:val="tx1"/>
            </w14:solidFill>
          </w14:textFill>
        </w:rPr>
        <w:t>（</w:t>
      </w:r>
      <w:r>
        <w:rPr>
          <w:rFonts w:hint="eastAsia" w:asciiTheme="minorEastAsia" w:hAnsiTheme="minorEastAsia" w:eastAsia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olor w:val="000000" w:themeColor="text1"/>
          <w:lang w:eastAsia="zh-CN"/>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维保到期前90日，由投标人通知招标人组织验收，招标人在维保到期后10日内验收完毕。</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eastAsia="zh-CN"/>
          <w14:textFill>
            <w14:solidFill>
              <w14:schemeClr w14:val="tx1"/>
            </w14:solidFill>
          </w14:textFill>
        </w:rPr>
        <w:t>（</w:t>
      </w:r>
      <w:r>
        <w:rPr>
          <w:rFonts w:hint="eastAsia" w:asciiTheme="minorEastAsia" w:hAnsiTheme="minorEastAsia" w:eastAsia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olor w:val="000000" w:themeColor="text1"/>
          <w:lang w:eastAsia="zh-CN"/>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投标人必须按招标人要求进行验收配合。</w:t>
      </w:r>
    </w:p>
    <w:p>
      <w:pPr>
        <w:tabs>
          <w:tab w:val="left" w:pos="360"/>
          <w:tab w:val="left" w:pos="540"/>
          <w:tab w:val="left" w:pos="1080"/>
        </w:tabs>
        <w:spacing w:line="560" w:lineRule="exact"/>
        <w:ind w:firstLine="480" w:firstLineChars="20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eastAsia="zh-CN"/>
          <w14:textFill>
            <w14:solidFill>
              <w14:schemeClr w14:val="tx1"/>
            </w14:solidFill>
          </w14:textFill>
        </w:rPr>
        <w:t>（</w:t>
      </w:r>
      <w:r>
        <w:rPr>
          <w:rFonts w:hint="eastAsia" w:asciiTheme="minorEastAsia" w:hAnsiTheme="minorEastAsia" w:eastAsia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olor w:val="000000" w:themeColor="text1"/>
          <w:lang w:eastAsia="zh-CN"/>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维保内容及质量符合要求的，双方签字盖章，同时投标人将全部有效资料（包括维保验收资料）向招标人移交。如维保内容尚未完成或质量不合格的，由投标人在限定的期限内整改直至符合要求，在此期间发生的所有费用由投标人承担。</w:t>
      </w:r>
    </w:p>
    <w:p>
      <w:pPr>
        <w:tabs>
          <w:tab w:val="left" w:pos="360"/>
          <w:tab w:val="left" w:pos="540"/>
          <w:tab w:val="left" w:pos="1080"/>
        </w:tabs>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eastAsia="zh-CN"/>
          <w14:textFill>
            <w14:solidFill>
              <w14:schemeClr w14:val="tx1"/>
            </w14:solidFill>
          </w14:textFill>
        </w:rPr>
        <w:t>（</w:t>
      </w:r>
      <w:r>
        <w:rPr>
          <w:rFonts w:hint="eastAsia" w:asciiTheme="minorEastAsia" w:hAnsiTheme="minorEastAsia" w:eastAsia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olor w:val="000000" w:themeColor="text1"/>
          <w:lang w:eastAsia="zh-CN"/>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招标人在维保到期后30日内发现的问题，由投标人负责整改。</w:t>
      </w:r>
    </w:p>
    <w:bookmarkEnd w:id="512"/>
    <w:bookmarkEnd w:id="513"/>
    <w:bookmarkEnd w:id="514"/>
    <w:bookmarkEnd w:id="515"/>
    <w:p>
      <w:pPr>
        <w:spacing w:line="560" w:lineRule="exact"/>
        <w:ind w:firstLine="482" w:firstLineChars="200"/>
        <w:outlineLvl w:val="3"/>
        <w:rPr>
          <w:rFonts w:cs="仿宋" w:asciiTheme="majorEastAsia" w:hAnsiTheme="majorEastAsia" w:eastAsiaTheme="majorEastAsia"/>
          <w:b/>
        </w:rPr>
      </w:pPr>
      <w:bookmarkStart w:id="543" w:name="_Toc279701261"/>
      <w:bookmarkStart w:id="544" w:name="_Toc487900371"/>
      <w:bookmarkStart w:id="545" w:name="_Toc259093690"/>
      <w:bookmarkStart w:id="546" w:name="_Toc11284"/>
      <w:bookmarkStart w:id="547" w:name="_Toc19604"/>
      <w:bookmarkStart w:id="548" w:name="_Toc25182"/>
      <w:bookmarkStart w:id="549" w:name="_Toc4355"/>
      <w:bookmarkStart w:id="550" w:name="_Toc259093691"/>
      <w:bookmarkStart w:id="551" w:name="_Toc18540"/>
      <w:bookmarkStart w:id="552" w:name="_Toc30599"/>
      <w:bookmarkStart w:id="553" w:name="_Toc487900372"/>
      <w:bookmarkStart w:id="554" w:name="_Toc279701262"/>
      <w:r>
        <w:rPr>
          <w:rFonts w:hint="eastAsia" w:cs="仿宋" w:asciiTheme="majorEastAsia" w:hAnsiTheme="majorEastAsia" w:eastAsiaTheme="majorEastAsia"/>
          <w:b/>
        </w:rPr>
        <w:t>2.1</w:t>
      </w:r>
      <w:r>
        <w:rPr>
          <w:rFonts w:cs="仿宋" w:asciiTheme="majorEastAsia" w:hAnsiTheme="majorEastAsia" w:eastAsiaTheme="majorEastAsia"/>
          <w:b/>
        </w:rPr>
        <w:t>4</w:t>
      </w:r>
      <w:r>
        <w:rPr>
          <w:rFonts w:hint="eastAsia" w:cs="仿宋" w:asciiTheme="majorEastAsia" w:hAnsiTheme="majorEastAsia" w:eastAsiaTheme="majorEastAsia"/>
          <w:b/>
        </w:rPr>
        <w:t>通知</w:t>
      </w:r>
      <w:bookmarkEnd w:id="543"/>
      <w:bookmarkEnd w:id="544"/>
      <w:bookmarkEnd w:id="545"/>
      <w:r>
        <w:rPr>
          <w:rFonts w:hint="eastAsia" w:cs="仿宋" w:asciiTheme="majorEastAsia" w:hAnsiTheme="majorEastAsia" w:eastAsiaTheme="majorEastAsia"/>
          <w:b/>
        </w:rPr>
        <w:t>和送达</w:t>
      </w:r>
      <w:bookmarkEnd w:id="546"/>
      <w:bookmarkEnd w:id="547"/>
      <w:bookmarkEnd w:id="548"/>
    </w:p>
    <w:p>
      <w:pPr>
        <w:spacing w:line="560" w:lineRule="exact"/>
        <w:ind w:firstLine="480" w:firstLineChars="200"/>
        <w:rPr>
          <w:rFonts w:cs="仿宋" w:asciiTheme="majorEastAsia" w:hAnsiTheme="majorEastAsia" w:eastAsiaTheme="majorEastAsia"/>
        </w:rPr>
      </w:pPr>
      <w:bookmarkStart w:id="555" w:name="_Toc3135"/>
      <w:bookmarkStart w:id="556" w:name="_Toc6698"/>
      <w:r>
        <w:rPr>
          <w:rFonts w:hint="eastAsia" w:cs="仿宋" w:asciiTheme="majorEastAsia" w:hAnsiTheme="majorEastAsia" w:eastAsiaTheme="majorEastAsia"/>
        </w:rPr>
        <w:t>2.1</w:t>
      </w:r>
      <w:r>
        <w:rPr>
          <w:rFonts w:cs="仿宋" w:asciiTheme="majorEastAsia" w:hAnsiTheme="majorEastAsia" w:eastAsiaTheme="majorEastAsia"/>
        </w:rPr>
        <w:t>4</w:t>
      </w:r>
      <w:r>
        <w:rPr>
          <w:rFonts w:hint="eastAsia" w:cs="仿宋" w:asciiTheme="majorEastAsia" w:hAnsiTheme="majorEastAsia" w:eastAsiaTheme="majorEastAsia"/>
        </w:rPr>
        <w:t>.1任何一方因履行合同而以合同第一部分尾部所列明的传真或电子邮件发出的所有通知、文件、材料，均视为已向对方当事人送达；任何一方变更上述送达方式或者地址的，应于</w:t>
      </w:r>
      <w:r>
        <w:rPr>
          <w:rFonts w:cs="仿宋" w:asciiTheme="majorEastAsia" w:hAnsiTheme="majorEastAsia" w:eastAsiaTheme="majorEastAsia"/>
        </w:rPr>
        <w:t>3</w:t>
      </w:r>
      <w:r>
        <w:rPr>
          <w:rFonts w:hint="eastAsia" w:cs="仿宋" w:asciiTheme="majorEastAsia" w:hAnsiTheme="majorEastAsia" w:eastAsiaTheme="majorEastAsia"/>
        </w:rPr>
        <w:t>个工作日内书面通知对方当事人，在对方当事人收到有关变更通知之前，变更前的约定送达方式或者地址仍视为有效。</w:t>
      </w:r>
      <w:bookmarkEnd w:id="555"/>
      <w:bookmarkEnd w:id="556"/>
    </w:p>
    <w:p>
      <w:pPr>
        <w:spacing w:line="560" w:lineRule="exact"/>
        <w:ind w:firstLine="480" w:firstLineChars="200"/>
        <w:outlineLvl w:val="9"/>
        <w:rPr>
          <w:rFonts w:hint="eastAsia" w:cs="仿宋" w:asciiTheme="majorEastAsia" w:hAnsiTheme="majorEastAsia" w:eastAsiaTheme="majorEastAsia"/>
        </w:rPr>
      </w:pPr>
      <w:bookmarkStart w:id="557" w:name="_Toc23128"/>
      <w:bookmarkStart w:id="558" w:name="_Toc23294"/>
      <w:r>
        <w:rPr>
          <w:rFonts w:hint="eastAsia" w:cs="仿宋" w:asciiTheme="majorEastAsia" w:hAnsiTheme="majorEastAsia" w:eastAsiaTheme="majorEastAsia"/>
        </w:rPr>
        <w:t>2.1</w:t>
      </w:r>
      <w:r>
        <w:rPr>
          <w:rFonts w:cs="仿宋" w:asciiTheme="majorEastAsia" w:hAnsiTheme="majorEastAsia" w:eastAsiaTheme="majorEastAsia"/>
        </w:rPr>
        <w:t>4</w:t>
      </w:r>
      <w:r>
        <w:rPr>
          <w:rFonts w:hint="eastAsia" w:cs="仿宋" w:asciiTheme="majorEastAsia" w:hAnsiTheme="majorEastAsia" w:eastAsiaTheme="majorEastAsia"/>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557"/>
      <w:bookmarkEnd w:id="558"/>
    </w:p>
    <w:p>
      <w:pPr>
        <w:spacing w:line="560" w:lineRule="exact"/>
        <w:ind w:firstLine="482" w:firstLineChars="200"/>
        <w:outlineLvl w:val="3"/>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2.1</w:t>
      </w:r>
      <w:r>
        <w:rPr>
          <w:rFonts w:hint="eastAsia" w:asciiTheme="minorEastAsia" w:hAnsiTheme="minorEastAsia" w:eastAsiaTheme="minorEastAsia"/>
          <w:b/>
          <w:color w:val="000000" w:themeColor="text1"/>
          <w:lang w:val="en-US" w:eastAsia="zh-CN"/>
          <w14:textFill>
            <w14:solidFill>
              <w14:schemeClr w14:val="tx1"/>
            </w14:solidFill>
          </w14:textFill>
        </w:rPr>
        <w:t>5</w:t>
      </w:r>
      <w:r>
        <w:rPr>
          <w:rFonts w:asciiTheme="minorEastAsia" w:hAnsiTheme="minorEastAsia" w:eastAsiaTheme="minorEastAsia"/>
          <w:b/>
          <w:color w:val="000000" w:themeColor="text1"/>
          <w14:textFill>
            <w14:solidFill>
              <w14:schemeClr w14:val="tx1"/>
            </w14:solidFill>
          </w14:textFill>
        </w:rPr>
        <w:t xml:space="preserve"> </w:t>
      </w:r>
      <w:r>
        <w:rPr>
          <w:rFonts w:hint="eastAsia" w:asciiTheme="minorEastAsia" w:hAnsiTheme="minorEastAsia" w:eastAsiaTheme="minorEastAsia"/>
          <w:b/>
          <w:color w:val="000000" w:themeColor="text1"/>
          <w14:textFill>
            <w14:solidFill>
              <w14:schemeClr w14:val="tx1"/>
            </w14:solidFill>
          </w14:textFill>
        </w:rPr>
        <w:t>计量单位</w:t>
      </w:r>
      <w:bookmarkEnd w:id="549"/>
      <w:bookmarkEnd w:id="550"/>
      <w:bookmarkEnd w:id="551"/>
      <w:bookmarkEnd w:id="552"/>
      <w:bookmarkEnd w:id="553"/>
      <w:bookmarkEnd w:id="554"/>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除技术规范中另有规定外</w:t>
      </w:r>
      <w:r>
        <w:rPr>
          <w:rFonts w:asciiTheme="minorEastAsia" w:hAnsiTheme="minorEastAsia" w:eastAsiaTheme="minorEastAsia"/>
          <w:color w:val="000000" w:themeColor="text1"/>
          <w14:textFill>
            <w14:solidFill>
              <w14:schemeClr w14:val="tx1"/>
            </w14:solidFill>
          </w14:textFill>
        </w:rPr>
        <w:t>,合同的计量单位均使用国家法定计量单位。</w:t>
      </w:r>
    </w:p>
    <w:p>
      <w:pPr>
        <w:spacing w:line="560" w:lineRule="exact"/>
        <w:ind w:firstLine="482" w:firstLineChars="200"/>
        <w:outlineLvl w:val="4"/>
        <w:rPr>
          <w:rFonts w:asciiTheme="minorEastAsia" w:hAnsiTheme="minorEastAsia" w:eastAsiaTheme="minorEastAsia"/>
          <w:b/>
          <w:color w:val="000000" w:themeColor="text1"/>
          <w14:textFill>
            <w14:solidFill>
              <w14:schemeClr w14:val="tx1"/>
            </w14:solidFill>
          </w14:textFill>
        </w:rPr>
      </w:pPr>
      <w:bookmarkStart w:id="559" w:name="_Toc259093692"/>
      <w:bookmarkStart w:id="560" w:name="_Toc12773"/>
      <w:bookmarkStart w:id="561" w:name="_Toc487900373"/>
      <w:bookmarkStart w:id="562" w:name="_Toc279701263"/>
      <w:bookmarkStart w:id="563" w:name="_Toc18567"/>
      <w:bookmarkStart w:id="564" w:name="_Toc10330"/>
      <w:r>
        <w:rPr>
          <w:rFonts w:asciiTheme="minorEastAsia" w:hAnsiTheme="minorEastAsia" w:eastAsiaTheme="minorEastAsia"/>
          <w:b/>
          <w:color w:val="000000" w:themeColor="text1"/>
          <w14:textFill>
            <w14:solidFill>
              <w14:schemeClr w14:val="tx1"/>
            </w14:solidFill>
          </w14:textFill>
        </w:rPr>
        <w:t>2.1</w:t>
      </w:r>
      <w:r>
        <w:rPr>
          <w:rFonts w:hint="eastAsia" w:asciiTheme="minorEastAsia" w:hAnsiTheme="minorEastAsia" w:eastAsiaTheme="minorEastAsia"/>
          <w:b/>
          <w:color w:val="000000" w:themeColor="text1"/>
          <w:lang w:val="en-US" w:eastAsia="zh-CN"/>
          <w14:textFill>
            <w14:solidFill>
              <w14:schemeClr w14:val="tx1"/>
            </w14:solidFill>
          </w14:textFill>
        </w:rPr>
        <w:t>6</w:t>
      </w:r>
      <w:r>
        <w:rPr>
          <w:rFonts w:asciiTheme="minorEastAsia" w:hAnsiTheme="minorEastAsia" w:eastAsiaTheme="minorEastAsia"/>
          <w:b/>
          <w:color w:val="000000" w:themeColor="text1"/>
          <w14:textFill>
            <w14:solidFill>
              <w14:schemeClr w14:val="tx1"/>
            </w14:solidFill>
          </w14:textFill>
        </w:rPr>
        <w:t xml:space="preserve"> </w:t>
      </w:r>
      <w:r>
        <w:rPr>
          <w:rFonts w:hint="eastAsia" w:asciiTheme="minorEastAsia" w:hAnsiTheme="minorEastAsia" w:eastAsiaTheme="minorEastAsia"/>
          <w:b/>
          <w:color w:val="000000" w:themeColor="text1"/>
          <w14:textFill>
            <w14:solidFill>
              <w14:schemeClr w14:val="tx1"/>
            </w14:solidFill>
          </w14:textFill>
        </w:rPr>
        <w:t>合同使用的文字和适用的法律</w:t>
      </w:r>
      <w:bookmarkEnd w:id="559"/>
      <w:bookmarkEnd w:id="560"/>
      <w:bookmarkEnd w:id="561"/>
      <w:bookmarkEnd w:id="562"/>
      <w:bookmarkEnd w:id="563"/>
      <w:bookmarkEnd w:id="564"/>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w:t>
      </w:r>
      <w:r>
        <w:rPr>
          <w:rFonts w:hint="eastAsia" w:asciiTheme="minorEastAsia" w:hAnsiTheme="minorEastAsia" w:eastAsiaTheme="minorEastAsia"/>
          <w:color w:val="000000" w:themeColor="text1"/>
          <w:lang w:val="en-US" w:eastAsia="zh-CN"/>
          <w14:textFill>
            <w14:solidFill>
              <w14:schemeClr w14:val="tx1"/>
            </w14:solidFill>
          </w14:textFill>
        </w:rPr>
        <w:t>6</w:t>
      </w:r>
      <w:r>
        <w:rPr>
          <w:rFonts w:asciiTheme="minorEastAsia" w:hAnsiTheme="minorEastAsia" w:eastAsiaTheme="minorEastAsia"/>
          <w:color w:val="000000" w:themeColor="text1"/>
          <w14:textFill>
            <w14:solidFill>
              <w14:schemeClr w14:val="tx1"/>
            </w14:solidFill>
          </w14:textFill>
        </w:rPr>
        <w:t xml:space="preserve">.1 </w:t>
      </w:r>
      <w:r>
        <w:rPr>
          <w:rFonts w:hint="eastAsia" w:asciiTheme="minorEastAsia" w:hAnsiTheme="minorEastAsia" w:eastAsiaTheme="minorEastAsia"/>
          <w:color w:val="000000" w:themeColor="text1"/>
          <w14:textFill>
            <w14:solidFill>
              <w14:schemeClr w14:val="tx1"/>
            </w14:solidFill>
          </w14:textFill>
        </w:rPr>
        <w:t>合同使用汉语书就、变更和解释；</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w:t>
      </w:r>
      <w:r>
        <w:rPr>
          <w:rFonts w:hint="eastAsia" w:asciiTheme="minorEastAsia" w:hAnsiTheme="minorEastAsia" w:eastAsiaTheme="minorEastAsia"/>
          <w:color w:val="000000" w:themeColor="text1"/>
          <w:lang w:val="en-US" w:eastAsia="zh-CN"/>
          <w14:textFill>
            <w14:solidFill>
              <w14:schemeClr w14:val="tx1"/>
            </w14:solidFill>
          </w14:textFill>
        </w:rPr>
        <w:t>6</w:t>
      </w:r>
      <w:r>
        <w:rPr>
          <w:rFonts w:asciiTheme="minorEastAsia" w:hAnsiTheme="minorEastAsia" w:eastAsiaTheme="minorEastAsia"/>
          <w:color w:val="000000" w:themeColor="text1"/>
          <w14:textFill>
            <w14:solidFill>
              <w14:schemeClr w14:val="tx1"/>
            </w14:solidFill>
          </w14:textFill>
        </w:rPr>
        <w:t xml:space="preserve">.2 </w:t>
      </w:r>
      <w:r>
        <w:rPr>
          <w:rFonts w:hint="eastAsia" w:asciiTheme="minorEastAsia" w:hAnsiTheme="minorEastAsia" w:eastAsiaTheme="minorEastAsia"/>
          <w:color w:val="000000" w:themeColor="text1"/>
          <w14:textFill>
            <w14:solidFill>
              <w14:schemeClr w14:val="tx1"/>
            </w14:solidFill>
          </w14:textFill>
        </w:rPr>
        <w:t>合同适用中华人民共和国法律。</w:t>
      </w:r>
    </w:p>
    <w:p>
      <w:pPr>
        <w:spacing w:line="560" w:lineRule="exact"/>
        <w:ind w:firstLine="482" w:firstLineChars="200"/>
        <w:outlineLvl w:val="4"/>
        <w:rPr>
          <w:rFonts w:asciiTheme="minorEastAsia" w:hAnsiTheme="minorEastAsia" w:eastAsiaTheme="minorEastAsia"/>
          <w:b/>
          <w:color w:val="000000" w:themeColor="text1"/>
          <w14:textFill>
            <w14:solidFill>
              <w14:schemeClr w14:val="tx1"/>
            </w14:solidFill>
          </w14:textFill>
        </w:rPr>
      </w:pPr>
      <w:bookmarkStart w:id="565" w:name="_Toc16673"/>
      <w:bookmarkStart w:id="566" w:name="_Toc12004"/>
      <w:bookmarkStart w:id="567" w:name="_Toc3148"/>
      <w:bookmarkStart w:id="568" w:name="_Toc279701264"/>
      <w:bookmarkStart w:id="569" w:name="_Toc259093693"/>
      <w:r>
        <w:rPr>
          <w:rFonts w:asciiTheme="minorEastAsia" w:hAnsiTheme="minorEastAsia" w:eastAsiaTheme="minorEastAsia"/>
          <w:b/>
          <w:color w:val="000000" w:themeColor="text1"/>
          <w14:textFill>
            <w14:solidFill>
              <w14:schemeClr w14:val="tx1"/>
            </w14:solidFill>
          </w14:textFill>
        </w:rPr>
        <w:t>2.</w:t>
      </w:r>
      <w:r>
        <w:rPr>
          <w:rFonts w:hint="eastAsia" w:asciiTheme="minorEastAsia" w:hAnsiTheme="minorEastAsia" w:eastAsiaTheme="minorEastAsia"/>
          <w:b/>
          <w:color w:val="000000" w:themeColor="text1"/>
          <w:lang w:val="en-US" w:eastAsia="zh-CN"/>
          <w14:textFill>
            <w14:solidFill>
              <w14:schemeClr w14:val="tx1"/>
            </w14:solidFill>
          </w14:textFill>
        </w:rPr>
        <w:t>17</w:t>
      </w:r>
      <w:r>
        <w:rPr>
          <w:rFonts w:asciiTheme="minorEastAsia" w:hAnsiTheme="minorEastAsia" w:eastAsiaTheme="minorEastAsia"/>
          <w:b/>
          <w:color w:val="000000" w:themeColor="text1"/>
          <w14:textFill>
            <w14:solidFill>
              <w14:schemeClr w14:val="tx1"/>
            </w14:solidFill>
          </w14:textFill>
        </w:rPr>
        <w:t xml:space="preserve"> </w:t>
      </w:r>
      <w:r>
        <w:rPr>
          <w:rFonts w:hint="eastAsia" w:asciiTheme="minorEastAsia" w:hAnsiTheme="minorEastAsia" w:eastAsiaTheme="minorEastAsia"/>
          <w:b/>
          <w:color w:val="000000" w:themeColor="text1"/>
          <w14:textFill>
            <w14:solidFill>
              <w14:schemeClr w14:val="tx1"/>
            </w14:solidFill>
          </w14:textFill>
        </w:rPr>
        <w:t>履约保证金</w:t>
      </w:r>
      <w:bookmarkEnd w:id="565"/>
      <w:bookmarkEnd w:id="566"/>
      <w:bookmarkEnd w:id="567"/>
      <w:bookmarkEnd w:id="568"/>
      <w:bookmarkEnd w:id="569"/>
    </w:p>
    <w:p>
      <w:pPr>
        <w:pStyle w:val="317"/>
        <w:adjustRightInd w:val="0"/>
        <w:snapToGrid w:val="0"/>
        <w:spacing w:line="480" w:lineRule="exact"/>
        <w:ind w:firstLine="480" w:firstLineChars="200"/>
        <w:jc w:val="left"/>
        <w:outlineLvl w:val="9"/>
        <w:rPr>
          <w:rFonts w:cs="仿宋" w:asciiTheme="majorEastAsia" w:hAnsiTheme="majorEastAsia" w:eastAsiaTheme="majorEastAsia"/>
        </w:rPr>
      </w:pPr>
      <w:r>
        <w:rPr>
          <w:rFonts w:hint="eastAsia" w:cs="仿宋" w:asciiTheme="majorEastAsia" w:hAnsiTheme="majorEastAsia" w:eastAsiaTheme="majorEastAsia"/>
          <w:sz w:val="24"/>
        </w:rPr>
        <w:t>2.</w:t>
      </w:r>
      <w:r>
        <w:rPr>
          <w:rFonts w:cs="仿宋" w:asciiTheme="majorEastAsia" w:hAnsiTheme="majorEastAsia" w:eastAsiaTheme="majorEastAsia"/>
          <w:sz w:val="24"/>
        </w:rPr>
        <w:t>17</w:t>
      </w:r>
      <w:r>
        <w:rPr>
          <w:rFonts w:hint="eastAsia" w:cs="仿宋" w:asciiTheme="majorEastAsia" w:hAnsiTheme="majorEastAsia" w:eastAsiaTheme="majorEastAsia"/>
          <w:sz w:val="24"/>
        </w:rPr>
        <w:t>.1 乙方应以银行保函、电汇、网银等形式，提交合同金额1%的履约保证金。</w:t>
      </w:r>
      <w:r>
        <w:rPr>
          <w:rFonts w:hint="eastAsia" w:ascii="宋体" w:hAnsi="宋体" w:cs="宋体"/>
          <w:kern w:val="0"/>
          <w:sz w:val="24"/>
          <w:szCs w:val="24"/>
        </w:rPr>
        <w:t>履约担保有效期：至本合同规定的服务期结束90天止。</w:t>
      </w:r>
    </w:p>
    <w:p>
      <w:pPr>
        <w:spacing w:line="56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2.</w:t>
      </w:r>
      <w:r>
        <w:rPr>
          <w:rFonts w:cs="仿宋" w:asciiTheme="majorEastAsia" w:hAnsiTheme="majorEastAsia" w:eastAsiaTheme="majorEastAsia"/>
        </w:rPr>
        <w:t>17</w:t>
      </w:r>
      <w:r>
        <w:rPr>
          <w:rFonts w:hint="eastAsia" w:cs="仿宋" w:asciiTheme="majorEastAsia" w:hAnsiTheme="majorEastAsia" w:eastAsiaTheme="majorEastAsia"/>
        </w:rPr>
        <w:t>.2 履约保证金在合同服务期结束，甲方验收合格且通过结算后无息退还乙方；</w:t>
      </w:r>
    </w:p>
    <w:p>
      <w:pPr>
        <w:spacing w:line="56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2.</w:t>
      </w:r>
      <w:r>
        <w:rPr>
          <w:rFonts w:cs="仿宋" w:asciiTheme="majorEastAsia" w:hAnsiTheme="majorEastAsia" w:eastAsiaTheme="majorEastAsia"/>
        </w:rPr>
        <w:t>17</w:t>
      </w:r>
      <w:r>
        <w:rPr>
          <w:rFonts w:hint="eastAsia" w:cs="仿宋" w:asciiTheme="majorEastAsia" w:hAnsiTheme="majorEastAsia" w:eastAsiaTheme="majorEastAsia"/>
        </w:rPr>
        <w:t>.3 如果乙方不履行合同，履约保证金不予退还；如果乙方未能按合同约定全面履行义务，那么甲方有权从履约保证金中取得</w:t>
      </w:r>
      <w:r>
        <w:rPr>
          <w:rFonts w:hint="eastAsia" w:cs="仿宋" w:asciiTheme="majorEastAsia" w:hAnsiTheme="majorEastAsia" w:eastAsiaTheme="majorEastAsia"/>
          <w:lang w:eastAsia="zh-CN"/>
        </w:rPr>
        <w:t>、</w:t>
      </w:r>
      <w:r>
        <w:rPr>
          <w:rFonts w:hint="eastAsia" w:cs="仿宋" w:asciiTheme="majorEastAsia" w:hAnsiTheme="majorEastAsia" w:eastAsiaTheme="majorEastAsia"/>
          <w:lang w:val="en-US" w:eastAsia="zh-CN"/>
        </w:rPr>
        <w:t>违约金、</w:t>
      </w:r>
      <w:r>
        <w:rPr>
          <w:rFonts w:hint="eastAsia" w:cs="仿宋" w:asciiTheme="majorEastAsia" w:hAnsiTheme="majorEastAsia" w:eastAsiaTheme="majorEastAsia"/>
        </w:rPr>
        <w:t>补偿或赔偿，同时不影响甲方要求乙方承担合同约定的超过履约保证金的违约责任的权利。</w:t>
      </w:r>
    </w:p>
    <w:p>
      <w:pPr>
        <w:spacing w:line="560" w:lineRule="exact"/>
        <w:ind w:firstLine="480" w:firstLineChars="200"/>
        <w:rPr>
          <w:rFonts w:hint="eastAsia" w:ascii="宋体" w:hAnsi="宋体" w:cs="宋体"/>
          <w:color w:val="auto"/>
          <w:kern w:val="0"/>
          <w:sz w:val="24"/>
          <w:szCs w:val="28"/>
          <w:lang w:val="en-US" w:eastAsia="zh-CN"/>
        </w:rPr>
      </w:pPr>
      <w:r>
        <w:rPr>
          <w:rFonts w:hint="eastAsia" w:ascii="宋体" w:hAnsi="宋体" w:cs="宋体"/>
          <w:color w:val="auto"/>
          <w:kern w:val="0"/>
          <w:sz w:val="24"/>
          <w:szCs w:val="28"/>
          <w:lang w:val="en-US" w:eastAsia="zh-CN"/>
        </w:rPr>
        <w:t>2.1</w:t>
      </w:r>
      <w:r>
        <w:rPr>
          <w:rFonts w:hint="eastAsia" w:cs="宋体"/>
          <w:kern w:val="0"/>
          <w:sz w:val="24"/>
          <w:szCs w:val="28"/>
          <w:lang w:val="en-US" w:eastAsia="zh-CN"/>
        </w:rPr>
        <w:t>8</w:t>
      </w:r>
      <w:r>
        <w:rPr>
          <w:rFonts w:hint="eastAsia" w:ascii="宋体" w:hAnsi="宋体" w:eastAsia="宋体" w:cs="宋体"/>
          <w:b w:val="0"/>
          <w:szCs w:val="28"/>
        </w:rPr>
        <w:t>安全生产责任</w:t>
      </w:r>
    </w:p>
    <w:p>
      <w:pPr>
        <w:spacing w:line="560" w:lineRule="exact"/>
        <w:ind w:firstLine="480" w:firstLineChars="200"/>
        <w:rPr>
          <w:rFonts w:hint="eastAsia" w:ascii="宋体" w:hAnsi="宋体" w:eastAsia="宋体" w:cs="宋体"/>
          <w:szCs w:val="28"/>
        </w:rPr>
      </w:pPr>
      <w:r>
        <w:rPr>
          <w:rFonts w:hint="eastAsia" w:ascii="宋体" w:hAnsi="宋体" w:eastAsia="宋体" w:cs="宋体"/>
          <w:szCs w:val="28"/>
        </w:rPr>
        <w:t>2.1</w:t>
      </w:r>
      <w:r>
        <w:rPr>
          <w:rFonts w:hint="eastAsia" w:cs="宋体"/>
          <w:szCs w:val="28"/>
          <w:lang w:val="en-US" w:eastAsia="zh-CN"/>
        </w:rPr>
        <w:t>8</w:t>
      </w:r>
      <w:r>
        <w:rPr>
          <w:rFonts w:hint="eastAsia" w:ascii="宋体" w:hAnsi="宋体" w:eastAsia="宋体" w:cs="宋体"/>
          <w:szCs w:val="28"/>
        </w:rPr>
        <w:t>.1 乙方负责</w:t>
      </w:r>
      <w:r>
        <w:rPr>
          <w:rFonts w:hint="eastAsia" w:ascii="宋体" w:hAnsi="宋体" w:eastAsia="宋体" w:cs="宋体"/>
          <w:szCs w:val="28"/>
          <w:lang w:eastAsia="zh-CN"/>
        </w:rPr>
        <w:t>维保</w:t>
      </w:r>
      <w:r>
        <w:rPr>
          <w:rFonts w:hint="eastAsia" w:ascii="宋体" w:hAnsi="宋体" w:eastAsia="宋体" w:cs="宋体"/>
          <w:szCs w:val="28"/>
        </w:rPr>
        <w:t>工作范围内的安全管理，发现问题及时上报。乙方必须建立健全安全生产管理体系，完善各项安全生产制度，相关文件及时报甲方备案。</w:t>
      </w:r>
    </w:p>
    <w:p>
      <w:pPr>
        <w:spacing w:line="560" w:lineRule="exact"/>
        <w:ind w:firstLine="480" w:firstLineChars="200"/>
        <w:rPr>
          <w:rFonts w:hint="eastAsia" w:ascii="宋体" w:hAnsi="宋体" w:eastAsia="宋体" w:cs="宋体"/>
          <w:szCs w:val="28"/>
        </w:rPr>
      </w:pPr>
      <w:r>
        <w:rPr>
          <w:rFonts w:hint="eastAsia" w:ascii="宋体" w:hAnsi="宋体" w:eastAsia="宋体" w:cs="宋体"/>
          <w:szCs w:val="28"/>
        </w:rPr>
        <w:t>2.1</w:t>
      </w:r>
      <w:r>
        <w:rPr>
          <w:rFonts w:hint="eastAsia" w:cs="宋体"/>
          <w:szCs w:val="28"/>
          <w:lang w:val="en-US" w:eastAsia="zh-CN"/>
        </w:rPr>
        <w:t>8</w:t>
      </w:r>
      <w:r>
        <w:rPr>
          <w:rFonts w:hint="eastAsia" w:ascii="宋体" w:hAnsi="宋体" w:eastAsia="宋体" w:cs="宋体"/>
          <w:szCs w:val="28"/>
        </w:rPr>
        <w:t>.2 甲方针对乙方涉及在安全生产、文明创优等活动</w:t>
      </w:r>
      <w:r>
        <w:rPr>
          <w:rFonts w:hint="eastAsia" w:ascii="宋体" w:hAnsi="宋体" w:eastAsia="宋体" w:cs="宋体"/>
          <w:szCs w:val="28"/>
          <w:lang w:eastAsia="zh-CN"/>
        </w:rPr>
        <w:t>中</w:t>
      </w:r>
      <w:r>
        <w:rPr>
          <w:rFonts w:hint="eastAsia" w:ascii="宋体" w:hAnsi="宋体" w:eastAsia="宋体" w:cs="宋体"/>
          <w:szCs w:val="28"/>
        </w:rPr>
        <w:t>不积极配合的，甲方有权制止教育、责成其限期整改。</w:t>
      </w:r>
    </w:p>
    <w:p>
      <w:pPr>
        <w:spacing w:line="560" w:lineRule="exact"/>
        <w:ind w:firstLine="480" w:firstLineChars="200"/>
        <w:rPr>
          <w:rFonts w:hint="eastAsia" w:ascii="宋体" w:hAnsi="宋体" w:eastAsia="宋体" w:cs="宋体"/>
          <w:szCs w:val="28"/>
        </w:rPr>
      </w:pPr>
      <w:r>
        <w:rPr>
          <w:rFonts w:hint="eastAsia" w:ascii="宋体" w:hAnsi="宋体" w:eastAsia="宋体" w:cs="宋体"/>
          <w:szCs w:val="28"/>
        </w:rPr>
        <w:t>2.1</w:t>
      </w:r>
      <w:r>
        <w:rPr>
          <w:rFonts w:hint="eastAsia" w:cs="宋体"/>
          <w:szCs w:val="28"/>
          <w:lang w:val="en-US" w:eastAsia="zh-CN"/>
        </w:rPr>
        <w:t>8</w:t>
      </w:r>
      <w:r>
        <w:rPr>
          <w:rFonts w:hint="eastAsia" w:ascii="宋体" w:hAnsi="宋体" w:eastAsia="宋体" w:cs="宋体"/>
          <w:szCs w:val="28"/>
        </w:rPr>
        <w:t>.3 乙方应主动接受甲方在安全生产工作上的业务指导，服从管理。</w:t>
      </w:r>
    </w:p>
    <w:p>
      <w:pPr>
        <w:spacing w:line="560" w:lineRule="exact"/>
        <w:ind w:firstLine="480" w:firstLineChars="200"/>
        <w:rPr>
          <w:rFonts w:hint="eastAsia" w:ascii="宋体" w:hAnsi="宋体" w:eastAsia="宋体" w:cs="宋体"/>
          <w:szCs w:val="28"/>
        </w:rPr>
      </w:pPr>
      <w:r>
        <w:rPr>
          <w:rFonts w:hint="eastAsia" w:ascii="宋体" w:hAnsi="宋体" w:eastAsia="宋体" w:cs="宋体"/>
          <w:szCs w:val="28"/>
        </w:rPr>
        <w:t>2.1</w:t>
      </w:r>
      <w:r>
        <w:rPr>
          <w:rFonts w:hint="eastAsia" w:cs="宋体"/>
          <w:szCs w:val="28"/>
          <w:lang w:val="en-US" w:eastAsia="zh-CN"/>
        </w:rPr>
        <w:t>8</w:t>
      </w:r>
      <w:r>
        <w:rPr>
          <w:rFonts w:hint="eastAsia" w:ascii="宋体" w:hAnsi="宋体" w:eastAsia="宋体" w:cs="宋体"/>
          <w:szCs w:val="28"/>
        </w:rPr>
        <w:t>.4 乙方要加强人员安全生产宣传教育，做好上岗前的安全培训，乙方保证不发生安全事故。</w:t>
      </w:r>
    </w:p>
    <w:p>
      <w:pPr>
        <w:spacing w:line="560" w:lineRule="exact"/>
        <w:ind w:firstLine="480" w:firstLineChars="200"/>
        <w:rPr>
          <w:rFonts w:hint="eastAsia" w:ascii="宋体" w:hAnsi="宋体" w:eastAsia="宋体" w:cs="宋体"/>
          <w:szCs w:val="28"/>
        </w:rPr>
      </w:pPr>
      <w:r>
        <w:rPr>
          <w:rFonts w:hint="eastAsia" w:ascii="宋体" w:hAnsi="宋体" w:eastAsia="宋体" w:cs="宋体"/>
          <w:szCs w:val="28"/>
        </w:rPr>
        <w:t>2.1</w:t>
      </w:r>
      <w:r>
        <w:rPr>
          <w:rFonts w:hint="eastAsia" w:cs="宋体"/>
          <w:szCs w:val="28"/>
          <w:lang w:val="en-US" w:eastAsia="zh-CN"/>
        </w:rPr>
        <w:t>8</w:t>
      </w:r>
      <w:r>
        <w:rPr>
          <w:rFonts w:hint="eastAsia" w:ascii="宋体" w:hAnsi="宋体" w:eastAsia="宋体" w:cs="宋体"/>
          <w:szCs w:val="28"/>
        </w:rPr>
        <w:t>.5乙方应遵守其它国家法律法规、部门规章涉及安全生产相关内容条款。</w:t>
      </w:r>
    </w:p>
    <w:p>
      <w:pPr>
        <w:spacing w:line="56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2.1</w:t>
      </w:r>
      <w:r>
        <w:rPr>
          <w:rFonts w:hint="eastAsia" w:cs="宋体"/>
          <w:sz w:val="24"/>
          <w:szCs w:val="28"/>
          <w:lang w:val="en-US" w:eastAsia="zh-CN"/>
        </w:rPr>
        <w:t>8</w:t>
      </w:r>
      <w:r>
        <w:rPr>
          <w:rFonts w:hint="eastAsia" w:ascii="宋体" w:hAnsi="宋体" w:eastAsia="宋体" w:cs="宋体"/>
          <w:sz w:val="24"/>
          <w:szCs w:val="28"/>
        </w:rPr>
        <w:t>.6在整个服务期间，乙方自身的人员工伤事故的保险、人身意外伤害险等由乙方自行投保，保险费用已包含在合同总价中。</w:t>
      </w:r>
    </w:p>
    <w:p>
      <w:pPr>
        <w:spacing w:line="560" w:lineRule="exact"/>
        <w:ind w:firstLine="480" w:firstLineChars="200"/>
        <w:rPr>
          <w:rFonts w:hint="eastAsia" w:ascii="宋体" w:hAnsi="宋体" w:eastAsia="宋体" w:cs="宋体"/>
          <w:color w:val="auto"/>
          <w:kern w:val="0"/>
          <w:sz w:val="24"/>
          <w:szCs w:val="28"/>
          <w:lang w:val="en-US" w:eastAsia="zh-CN"/>
        </w:rPr>
      </w:pPr>
    </w:p>
    <w:p>
      <w:pPr>
        <w:rPr>
          <w:rFonts w:cs="宋体" w:asciiTheme="minorEastAsia" w:hAnsiTheme="minorEastAsia"/>
          <w:color w:val="000000" w:themeColor="text1"/>
          <w:kern w:val="0"/>
          <w:sz w:val="24"/>
          <w14:textFill>
            <w14:solidFill>
              <w14:schemeClr w14:val="tx1"/>
            </w14:solidFill>
          </w14:textFill>
        </w:rPr>
      </w:pPr>
      <w:r>
        <w:rPr>
          <w:rFonts w:cs="宋体" w:asciiTheme="minorEastAsia" w:hAnsiTheme="minorEastAsia"/>
          <w:color w:val="000000" w:themeColor="text1"/>
          <w:kern w:val="0"/>
          <w:sz w:val="24"/>
          <w14:textFill>
            <w14:solidFill>
              <w14:schemeClr w14:val="tx1"/>
            </w14:solidFill>
          </w14:textFill>
        </w:rPr>
        <w:br w:type="page"/>
      </w:r>
    </w:p>
    <w:p>
      <w:pPr>
        <w:spacing w:line="560" w:lineRule="exact"/>
        <w:jc w:val="center"/>
        <w:outlineLvl w:val="3"/>
        <w:rPr>
          <w:rFonts w:eastAsiaTheme="majorEastAsia"/>
          <w:sz w:val="36"/>
          <w:szCs w:val="36"/>
        </w:rPr>
      </w:pPr>
      <w:r>
        <w:rPr>
          <w:rFonts w:hint="eastAsia" w:cs="仿宋" w:asciiTheme="majorEastAsia" w:hAnsiTheme="majorEastAsia" w:eastAsiaTheme="majorEastAsia"/>
          <w:b/>
          <w:sz w:val="36"/>
          <w:szCs w:val="36"/>
        </w:rPr>
        <w:t>第三部分  合同附件</w:t>
      </w:r>
    </w:p>
    <w:p>
      <w:pPr>
        <w:pStyle w:val="326"/>
        <w:jc w:val="center"/>
        <w:rPr>
          <w:rFonts w:eastAsia="黑体"/>
          <w:sz w:val="30"/>
          <w:szCs w:val="30"/>
        </w:rPr>
      </w:pPr>
      <w:r>
        <w:rPr>
          <w:rFonts w:hint="eastAsia" w:ascii="黑体" w:hAnsi="黑体" w:eastAsia="黑体"/>
          <w:sz w:val="30"/>
          <w:szCs w:val="30"/>
        </w:rPr>
        <w:t>履约保函</w:t>
      </w:r>
    </w:p>
    <w:p>
      <w:pPr>
        <w:pStyle w:val="326"/>
        <w:rPr>
          <w:b/>
          <w:sz w:val="24"/>
        </w:rPr>
      </w:pPr>
      <w:r>
        <w:rPr>
          <w:rFonts w:hint="eastAsia" w:ascii="宋体" w:hAnsi="宋体"/>
          <w:sz w:val="24"/>
          <w:u w:val="single"/>
        </w:rPr>
        <w:t>绍兴市轨道交通集团有限公司</w:t>
      </w:r>
      <w:r>
        <w:rPr>
          <w:rFonts w:hint="eastAsia" w:ascii="宋体" w:hAnsi="宋体"/>
          <w:b/>
          <w:sz w:val="24"/>
        </w:rPr>
        <w:t>：</w:t>
      </w:r>
    </w:p>
    <w:p>
      <w:pPr>
        <w:pStyle w:val="326"/>
        <w:ind w:firstLine="480" w:firstLineChars="200"/>
        <w:rPr>
          <w:sz w:val="24"/>
        </w:rPr>
      </w:pPr>
      <w:r>
        <w:rPr>
          <w:rFonts w:hint="eastAsia" w:ascii="宋体" w:hAnsi="宋体"/>
          <w:sz w:val="24"/>
        </w:rPr>
        <w:t>鉴于</w:t>
      </w:r>
      <w:r>
        <w:rPr>
          <w:sz w:val="24"/>
          <w:u w:val="single"/>
        </w:rPr>
        <w:t xml:space="preserve">                 </w:t>
      </w:r>
      <w:r>
        <w:rPr>
          <w:rFonts w:hint="eastAsia" w:ascii="宋体" w:hAnsi="宋体"/>
          <w:sz w:val="24"/>
        </w:rPr>
        <w:t>（以下简称</w:t>
      </w:r>
      <w:r>
        <w:rPr>
          <w:sz w:val="24"/>
        </w:rPr>
        <w:t>“</w:t>
      </w:r>
      <w:r>
        <w:rPr>
          <w:rFonts w:hint="eastAsia" w:ascii="宋体" w:hAnsi="宋体"/>
          <w:sz w:val="24"/>
        </w:rPr>
        <w:t>甲方</w:t>
      </w:r>
      <w:r>
        <w:rPr>
          <w:sz w:val="24"/>
        </w:rPr>
        <w:t>”</w:t>
      </w:r>
      <w:r>
        <w:rPr>
          <w:rFonts w:hint="eastAsia" w:ascii="宋体" w:hAnsi="宋体"/>
          <w:sz w:val="24"/>
        </w:rPr>
        <w:t>）接受</w:t>
      </w:r>
      <w:r>
        <w:rPr>
          <w:sz w:val="24"/>
          <w:u w:val="single"/>
        </w:rPr>
        <w:t xml:space="preserve">                  </w:t>
      </w:r>
      <w:r>
        <w:rPr>
          <w:rFonts w:hint="eastAsia" w:ascii="宋体" w:hAnsi="宋体"/>
          <w:sz w:val="24"/>
        </w:rPr>
        <w:t>（以下简称</w:t>
      </w:r>
      <w:r>
        <w:rPr>
          <w:sz w:val="24"/>
        </w:rPr>
        <w:t>“</w:t>
      </w:r>
      <w:r>
        <w:rPr>
          <w:rFonts w:hint="eastAsia" w:ascii="宋体" w:hAnsi="宋体"/>
          <w:sz w:val="24"/>
        </w:rPr>
        <w:t>乙方</w:t>
      </w:r>
      <w:r>
        <w:rPr>
          <w:sz w:val="24"/>
        </w:rPr>
        <w:t>”</w:t>
      </w:r>
      <w:r>
        <w:rPr>
          <w:rFonts w:hint="eastAsia" w:ascii="宋体" w:hAnsi="宋体"/>
          <w:sz w:val="24"/>
        </w:rPr>
        <w:t>）于</w:t>
      </w:r>
      <w:r>
        <w:rPr>
          <w:sz w:val="24"/>
        </w:rPr>
        <w:t xml:space="preserve">   </w:t>
      </w:r>
      <w:r>
        <w:rPr>
          <w:rFonts w:hint="eastAsia" w:ascii="宋体" w:hAnsi="宋体"/>
          <w:sz w:val="24"/>
        </w:rPr>
        <w:t>年</w:t>
      </w:r>
      <w:r>
        <w:rPr>
          <w:sz w:val="24"/>
        </w:rPr>
        <w:t xml:space="preserve">   </w:t>
      </w:r>
      <w:r>
        <w:rPr>
          <w:rFonts w:hint="eastAsia" w:ascii="宋体" w:hAnsi="宋体"/>
          <w:sz w:val="24"/>
        </w:rPr>
        <w:t>月</w:t>
      </w:r>
      <w:r>
        <w:rPr>
          <w:sz w:val="24"/>
        </w:rPr>
        <w:t xml:space="preserve">   </w:t>
      </w:r>
      <w:r>
        <w:rPr>
          <w:rFonts w:hint="eastAsia" w:ascii="宋体" w:hAnsi="宋体"/>
          <w:sz w:val="24"/>
        </w:rPr>
        <w:t>日参加的</w:t>
      </w:r>
      <w:r>
        <w:rPr>
          <w:sz w:val="24"/>
          <w:u w:val="single"/>
        </w:rPr>
        <w:t xml:space="preserve">                     </w:t>
      </w:r>
      <w:r>
        <w:rPr>
          <w:rFonts w:hint="eastAsia" w:ascii="宋体" w:hAnsi="宋体"/>
          <w:sz w:val="24"/>
        </w:rPr>
        <w:t>投标。我方愿意无条件地、不可撤销地就乙方履行与你方订立的合同，向你方提供保函。</w:t>
      </w:r>
    </w:p>
    <w:p>
      <w:pPr>
        <w:pStyle w:val="326"/>
        <w:ind w:firstLine="480" w:firstLineChars="200"/>
        <w:rPr>
          <w:sz w:val="24"/>
        </w:rPr>
      </w:pPr>
      <w:r>
        <w:rPr>
          <w:sz w:val="24"/>
        </w:rPr>
        <w:t>1.</w:t>
      </w:r>
      <w:r>
        <w:rPr>
          <w:rFonts w:hint="eastAsia" w:ascii="宋体" w:hAnsi="宋体"/>
          <w:sz w:val="24"/>
        </w:rPr>
        <w:t>保函金额人民币（大写）元（￥）。</w:t>
      </w:r>
    </w:p>
    <w:p>
      <w:pPr>
        <w:pStyle w:val="326"/>
        <w:ind w:firstLine="480" w:firstLineChars="200"/>
        <w:rPr>
          <w:sz w:val="24"/>
        </w:rPr>
      </w:pPr>
      <w:r>
        <w:rPr>
          <w:sz w:val="24"/>
        </w:rPr>
        <w:t>2.</w:t>
      </w:r>
      <w:r>
        <w:rPr>
          <w:rFonts w:hint="eastAsia" w:ascii="宋体" w:hAnsi="宋体"/>
          <w:sz w:val="24"/>
        </w:rPr>
        <w:t>保函有效期：自本保函开具之日起，至</w:t>
      </w:r>
      <w:r>
        <w:rPr>
          <w:rFonts w:hint="eastAsia"/>
          <w:sz w:val="24"/>
          <w:lang w:val="en-US" w:eastAsia="zh-CN"/>
        </w:rPr>
        <w:t xml:space="preserve"> </w:t>
      </w:r>
      <w:r>
        <w:rPr>
          <w:rFonts w:hint="eastAsia" w:ascii="宋体" w:hAnsi="宋体"/>
          <w:sz w:val="24"/>
        </w:rPr>
        <w:t>年</w:t>
      </w:r>
      <w:r>
        <w:rPr>
          <w:rFonts w:hint="eastAsia"/>
          <w:sz w:val="24"/>
          <w:lang w:val="en-US" w:eastAsia="zh-CN"/>
        </w:rPr>
        <w:t xml:space="preserve"> </w:t>
      </w:r>
      <w:r>
        <w:rPr>
          <w:rFonts w:hint="eastAsia" w:ascii="宋体" w:hAnsi="宋体"/>
          <w:sz w:val="24"/>
        </w:rPr>
        <w:t>月</w:t>
      </w:r>
      <w:r>
        <w:rPr>
          <w:rFonts w:hint="eastAsia"/>
          <w:sz w:val="24"/>
          <w:lang w:val="en-US" w:eastAsia="zh-CN"/>
        </w:rPr>
        <w:t xml:space="preserve"> </w:t>
      </w:r>
      <w:r>
        <w:rPr>
          <w:rFonts w:hint="eastAsia" w:ascii="宋体" w:hAnsi="宋体"/>
          <w:sz w:val="24"/>
        </w:rPr>
        <w:t>日止。</w:t>
      </w:r>
    </w:p>
    <w:p>
      <w:pPr>
        <w:pStyle w:val="326"/>
        <w:ind w:firstLine="480" w:firstLineChars="200"/>
        <w:rPr>
          <w:sz w:val="24"/>
        </w:rPr>
      </w:pPr>
      <w:r>
        <w:rPr>
          <w:sz w:val="24"/>
        </w:rPr>
        <w:t>3.</w:t>
      </w:r>
      <w:r>
        <w:rPr>
          <w:rFonts w:hint="eastAsia" w:ascii="宋体" w:hAnsi="宋体"/>
          <w:sz w:val="24"/>
        </w:rPr>
        <w:t>在本保函有效期内，我方在收到你方以书面形式提出的在保函金额内的赔偿要求后，在</w:t>
      </w:r>
      <w:r>
        <w:rPr>
          <w:sz w:val="24"/>
        </w:rPr>
        <w:t>5</w:t>
      </w:r>
      <w:r>
        <w:rPr>
          <w:rFonts w:hint="eastAsia" w:ascii="宋体" w:hAnsi="宋体"/>
          <w:sz w:val="24"/>
        </w:rPr>
        <w:t>个工作日内无条件支付。</w:t>
      </w:r>
    </w:p>
    <w:p>
      <w:pPr>
        <w:pStyle w:val="326"/>
        <w:ind w:firstLine="480" w:firstLineChars="200"/>
        <w:rPr>
          <w:sz w:val="24"/>
        </w:rPr>
      </w:pPr>
      <w:r>
        <w:rPr>
          <w:sz w:val="24"/>
        </w:rPr>
        <w:t>4.</w:t>
      </w:r>
      <w:r>
        <w:rPr>
          <w:rFonts w:hint="eastAsia" w:ascii="宋体" w:hAnsi="宋体"/>
          <w:sz w:val="24"/>
        </w:rPr>
        <w:t>甲、乙双方按规定修改合同时，我方承担本保函规定的义务不变。</w:t>
      </w:r>
    </w:p>
    <w:p>
      <w:pPr>
        <w:pStyle w:val="326"/>
        <w:ind w:firstLine="480" w:firstLineChars="200"/>
        <w:rPr>
          <w:sz w:val="24"/>
        </w:rPr>
      </w:pPr>
      <w:r>
        <w:rPr>
          <w:sz w:val="24"/>
        </w:rPr>
        <w:t>5.</w:t>
      </w:r>
      <w:r>
        <w:rPr>
          <w:rFonts w:hint="eastAsia" w:ascii="宋体" w:hAnsi="宋体"/>
          <w:sz w:val="24"/>
        </w:rPr>
        <w:t>本保函适用国际商会《见索即付保函统一规则》等独立保函交易示范规则。</w:t>
      </w:r>
    </w:p>
    <w:p>
      <w:pPr>
        <w:pStyle w:val="326"/>
        <w:ind w:firstLine="480" w:firstLineChars="200"/>
        <w:rPr>
          <w:sz w:val="24"/>
        </w:rPr>
      </w:pPr>
      <w:r>
        <w:rPr>
          <w:sz w:val="24"/>
        </w:rPr>
        <w:t>6.</w:t>
      </w:r>
      <w:r>
        <w:rPr>
          <w:rFonts w:hint="eastAsia" w:ascii="宋体" w:hAnsi="宋体"/>
          <w:sz w:val="24"/>
        </w:rPr>
        <w:t>本保函以及与本保函有关的纠纷，由各方协商解决，协商不成的，任何一方均可向甲方所在地人民法院提请诉讼。</w:t>
      </w:r>
    </w:p>
    <w:p>
      <w:pPr>
        <w:pStyle w:val="326"/>
        <w:ind w:firstLine="480" w:firstLineChars="200"/>
        <w:rPr>
          <w:sz w:val="24"/>
        </w:rPr>
      </w:pPr>
      <w:r>
        <w:rPr>
          <w:sz w:val="24"/>
        </w:rPr>
        <w:t xml:space="preserve"> </w:t>
      </w:r>
    </w:p>
    <w:p>
      <w:pPr>
        <w:pStyle w:val="326"/>
        <w:rPr>
          <w:sz w:val="24"/>
        </w:rPr>
      </w:pPr>
      <w:r>
        <w:rPr>
          <w:sz w:val="24"/>
        </w:rPr>
        <w:t xml:space="preserve"> </w:t>
      </w:r>
    </w:p>
    <w:p>
      <w:pPr>
        <w:pStyle w:val="326"/>
        <w:rPr>
          <w:sz w:val="24"/>
        </w:rPr>
      </w:pPr>
      <w:r>
        <w:rPr>
          <w:sz w:val="24"/>
        </w:rPr>
        <w:t xml:space="preserve"> </w:t>
      </w:r>
    </w:p>
    <w:p>
      <w:pPr>
        <w:pStyle w:val="326"/>
        <w:wordWrap w:val="0"/>
        <w:ind w:right="480"/>
        <w:rPr>
          <w:sz w:val="24"/>
        </w:rPr>
      </w:pPr>
      <w:r>
        <w:rPr>
          <w:sz w:val="24"/>
        </w:rPr>
        <w:t xml:space="preserve">                             </w:t>
      </w:r>
      <w:r>
        <w:rPr>
          <w:rFonts w:hint="eastAsia" w:ascii="宋体" w:hAnsi="宋体"/>
          <w:sz w:val="24"/>
        </w:rPr>
        <w:t>担保人：（盖单位章）</w:t>
      </w:r>
    </w:p>
    <w:p>
      <w:pPr>
        <w:pStyle w:val="326"/>
        <w:ind w:firstLine="3463" w:firstLineChars="1443"/>
        <w:rPr>
          <w:sz w:val="24"/>
        </w:rPr>
      </w:pPr>
      <w:r>
        <w:rPr>
          <w:rFonts w:hint="eastAsia" w:ascii="宋体" w:hAnsi="宋体"/>
          <w:sz w:val="24"/>
        </w:rPr>
        <w:t>法定代表人或其委托代理人：</w:t>
      </w:r>
      <w:r>
        <w:rPr>
          <w:rFonts w:hint="eastAsia" w:ascii="宋体" w:hAnsi="宋体"/>
          <w:sz w:val="24"/>
          <w:u w:val="single"/>
        </w:rPr>
        <w:t>（签字）</w:t>
      </w:r>
    </w:p>
    <w:p>
      <w:pPr>
        <w:pStyle w:val="326"/>
        <w:ind w:firstLine="3463" w:firstLineChars="1443"/>
        <w:rPr>
          <w:sz w:val="24"/>
        </w:rPr>
      </w:pPr>
      <w:r>
        <w:rPr>
          <w:rFonts w:hint="eastAsia" w:ascii="宋体" w:hAnsi="宋体"/>
          <w:sz w:val="24"/>
        </w:rPr>
        <w:t>地址：</w:t>
      </w:r>
    </w:p>
    <w:p>
      <w:pPr>
        <w:pStyle w:val="326"/>
        <w:ind w:firstLine="3463" w:firstLineChars="1443"/>
        <w:rPr>
          <w:sz w:val="24"/>
        </w:rPr>
      </w:pPr>
      <w:r>
        <w:rPr>
          <w:rFonts w:hint="eastAsia" w:ascii="宋体" w:hAnsi="宋体"/>
          <w:sz w:val="24"/>
        </w:rPr>
        <w:t>邮编：</w:t>
      </w:r>
    </w:p>
    <w:p>
      <w:pPr>
        <w:pStyle w:val="326"/>
        <w:ind w:firstLine="3463" w:firstLineChars="1443"/>
        <w:rPr>
          <w:sz w:val="24"/>
        </w:rPr>
      </w:pPr>
      <w:r>
        <w:rPr>
          <w:rFonts w:hint="eastAsia" w:ascii="宋体" w:hAnsi="宋体"/>
          <w:sz w:val="24"/>
        </w:rPr>
        <w:t>电话：</w:t>
      </w:r>
    </w:p>
    <w:p>
      <w:pPr>
        <w:pStyle w:val="326"/>
        <w:ind w:firstLine="3463" w:firstLineChars="1443"/>
        <w:rPr>
          <w:sz w:val="24"/>
        </w:rPr>
      </w:pPr>
      <w:r>
        <w:rPr>
          <w:rFonts w:hint="eastAsia" w:ascii="宋体" w:hAnsi="宋体"/>
          <w:sz w:val="24"/>
        </w:rPr>
        <w:t>传真：</w:t>
      </w:r>
    </w:p>
    <w:p>
      <w:pPr>
        <w:spacing w:line="360" w:lineRule="auto"/>
        <w:ind w:right="600" w:firstLine="3463" w:firstLineChars="1443"/>
      </w:pPr>
      <w:r>
        <w:rPr>
          <w:rFonts w:hint="eastAsia" w:ascii="宋体" w:hAnsi="宋体"/>
          <w:sz w:val="24"/>
        </w:rPr>
        <w:t>年</w:t>
      </w:r>
      <w:r>
        <w:rPr>
          <w:sz w:val="24"/>
        </w:rPr>
        <w:t xml:space="preserve">   </w:t>
      </w:r>
      <w:r>
        <w:rPr>
          <w:rFonts w:hint="eastAsia" w:ascii="宋体" w:hAnsi="宋体"/>
          <w:sz w:val="24"/>
        </w:rPr>
        <w:t>月</w:t>
      </w:r>
      <w:r>
        <w:rPr>
          <w:sz w:val="24"/>
        </w:rPr>
        <w:t xml:space="preserve">   </w:t>
      </w:r>
      <w:r>
        <w:rPr>
          <w:rFonts w:hint="eastAsia" w:ascii="宋体" w:hAnsi="宋体"/>
          <w:sz w:val="24"/>
        </w:rPr>
        <w:t>日</w:t>
      </w:r>
    </w:p>
    <w:p>
      <w:pPr>
        <w:ind w:firstLine="480"/>
      </w:pPr>
      <w:r>
        <w:br w:type="page"/>
      </w:r>
    </w:p>
    <w:p>
      <w:pPr>
        <w:spacing w:line="360" w:lineRule="auto"/>
        <w:jc w:val="center"/>
        <w:rPr>
          <w:b/>
          <w:color w:val="000000"/>
          <w:sz w:val="32"/>
          <w:szCs w:val="32"/>
        </w:rPr>
      </w:pPr>
      <w:bookmarkStart w:id="570" w:name="_GoBack"/>
      <w:r>
        <w:rPr>
          <w:rFonts w:hint="eastAsia"/>
          <w:b/>
          <w:color w:val="000000"/>
          <w:sz w:val="32"/>
          <w:szCs w:val="32"/>
        </w:rPr>
        <w:t>廉政协议书</w:t>
      </w:r>
    </w:p>
    <w:p>
      <w:pPr>
        <w:keepNext w:val="0"/>
        <w:keepLines w:val="0"/>
        <w:pageBreakBefore w:val="0"/>
        <w:widowControl/>
        <w:kinsoku/>
        <w:wordWrap/>
        <w:overflowPunct/>
        <w:topLinePunct w:val="0"/>
        <w:autoSpaceDE/>
        <w:autoSpaceDN/>
        <w:bidi w:val="0"/>
        <w:adjustRightInd/>
        <w:spacing w:line="400" w:lineRule="exact"/>
        <w:ind w:firstLine="482" w:firstLineChars="200"/>
        <w:textAlignment w:val="auto"/>
        <w:rPr>
          <w:rFonts w:cs="仿宋_GB2312"/>
          <w:b/>
          <w:color w:val="000000"/>
          <w:szCs w:val="21"/>
          <w:u w:val="single"/>
        </w:rPr>
      </w:pPr>
      <w:r>
        <w:rPr>
          <w:rFonts w:hint="eastAsia" w:cs="仿宋_GB2312"/>
          <w:b/>
          <w:color w:val="000000"/>
          <w:szCs w:val="21"/>
        </w:rPr>
        <w:t>甲方</w:t>
      </w:r>
      <w:r>
        <w:rPr>
          <w:rFonts w:hint="eastAsia" w:cs="仿宋_GB2312"/>
          <w:color w:val="000000"/>
          <w:szCs w:val="21"/>
        </w:rPr>
        <w:t>（全称）</w:t>
      </w:r>
      <w:r>
        <w:rPr>
          <w:rFonts w:hint="eastAsia" w:cs="仿宋_GB2312"/>
          <w:b/>
          <w:color w:val="000000"/>
          <w:szCs w:val="21"/>
        </w:rPr>
        <w:t>：</w:t>
      </w:r>
      <w:r>
        <w:rPr>
          <w:rFonts w:hint="eastAsia" w:cs="仿宋" w:asciiTheme="majorEastAsia" w:hAnsiTheme="majorEastAsia" w:eastAsiaTheme="majorEastAsia"/>
          <w:color w:val="000000" w:themeColor="text1"/>
          <w:u w:val="single"/>
          <w14:textFill>
            <w14:solidFill>
              <w14:schemeClr w14:val="tx1"/>
            </w14:solidFill>
          </w14:textFill>
        </w:rPr>
        <w:t>绍兴市轨道交通集团有限公司</w:t>
      </w:r>
    </w:p>
    <w:p>
      <w:pPr>
        <w:keepNext w:val="0"/>
        <w:keepLines w:val="0"/>
        <w:pageBreakBefore w:val="0"/>
        <w:widowControl/>
        <w:kinsoku/>
        <w:wordWrap/>
        <w:overflowPunct/>
        <w:topLinePunct w:val="0"/>
        <w:autoSpaceDE/>
        <w:autoSpaceDN/>
        <w:bidi w:val="0"/>
        <w:adjustRightInd/>
        <w:spacing w:line="400" w:lineRule="exact"/>
        <w:ind w:firstLine="482" w:firstLineChars="200"/>
        <w:textAlignment w:val="auto"/>
        <w:rPr>
          <w:rFonts w:hint="eastAsia" w:eastAsia="宋体" w:cs="仿宋_GB2312"/>
          <w:b/>
          <w:color w:val="000000"/>
          <w:szCs w:val="21"/>
          <w:u w:val="single"/>
          <w:lang w:eastAsia="zh-CN"/>
        </w:rPr>
      </w:pPr>
      <w:r>
        <w:rPr>
          <w:rFonts w:hint="eastAsia" w:cs="仿宋_GB2312"/>
          <w:b/>
          <w:color w:val="000000"/>
          <w:szCs w:val="21"/>
        </w:rPr>
        <w:t>乙方</w:t>
      </w:r>
      <w:r>
        <w:rPr>
          <w:rFonts w:hint="eastAsia" w:cs="仿宋_GB2312"/>
          <w:color w:val="000000"/>
          <w:szCs w:val="21"/>
        </w:rPr>
        <w:t>（全称）</w:t>
      </w:r>
      <w:r>
        <w:rPr>
          <w:rFonts w:hint="eastAsia" w:cs="仿宋_GB2312"/>
          <w:b/>
          <w:color w:val="000000"/>
          <w:szCs w:val="21"/>
        </w:rPr>
        <w:t>：</w:t>
      </w:r>
      <w:r>
        <w:rPr>
          <w:rFonts w:hint="eastAsia" w:cs="仿宋" w:asciiTheme="majorEastAsia" w:hAnsiTheme="majorEastAsia" w:eastAsiaTheme="majorEastAsia"/>
          <w:color w:val="000000" w:themeColor="text1"/>
          <w:u w:val="single"/>
          <w:lang w:val="en-US" w:eastAsia="zh-CN"/>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cs="仿宋_GB2312"/>
          <w:color w:val="000000"/>
          <w:szCs w:val="21"/>
        </w:rPr>
      </w:pPr>
      <w:r>
        <w:rPr>
          <w:rFonts w:hint="eastAsia" w:cs="仿宋_GB2312"/>
          <w:color w:val="000000"/>
          <w:szCs w:val="21"/>
        </w:rPr>
        <w:t xml:space="preserve">为加强廉政建设,防止发生各种谋取不正当利益的违法违纪行为，确保双方工作人员在合同履行过程中廉洁自律、诚实守信，保护双方合法权益,现就    </w:t>
      </w:r>
      <w:r>
        <w:rPr>
          <w:rFonts w:hint="eastAsia" w:cs="仿宋_GB2312"/>
          <w:color w:val="000000"/>
          <w:szCs w:val="21"/>
          <w:lang w:val="en-US" w:eastAsia="zh-CN"/>
        </w:rPr>
        <w:t xml:space="preserve">  </w:t>
      </w:r>
      <w:r>
        <w:rPr>
          <w:rFonts w:hint="eastAsia" w:cs="仿宋_GB2312"/>
          <w:color w:val="000000"/>
          <w:szCs w:val="21"/>
        </w:rPr>
        <w:t xml:space="preserve"> 签订本廉政协议书。</w:t>
      </w:r>
    </w:p>
    <w:p>
      <w:pPr>
        <w:keepNext w:val="0"/>
        <w:keepLines w:val="0"/>
        <w:pageBreakBefore w:val="0"/>
        <w:widowControl/>
        <w:kinsoku/>
        <w:wordWrap/>
        <w:overflowPunct/>
        <w:topLinePunct w:val="0"/>
        <w:autoSpaceDE/>
        <w:autoSpaceDN/>
        <w:bidi w:val="0"/>
        <w:adjustRightInd/>
        <w:snapToGrid w:val="0"/>
        <w:spacing w:line="400" w:lineRule="exact"/>
        <w:ind w:firstLine="482" w:firstLineChars="200"/>
        <w:textAlignment w:val="auto"/>
        <w:rPr>
          <w:rFonts w:cs="仿宋_GB2312"/>
          <w:b/>
          <w:color w:val="000000"/>
          <w:szCs w:val="21"/>
        </w:rPr>
      </w:pPr>
      <w:r>
        <w:rPr>
          <w:rFonts w:hint="eastAsia" w:cs="仿宋_GB2312"/>
          <w:b/>
          <w:color w:val="000000"/>
          <w:szCs w:val="21"/>
        </w:rPr>
        <w:t xml:space="preserve">第一条 </w:t>
      </w:r>
      <w:r>
        <w:rPr>
          <w:rFonts w:hint="eastAsia" w:cs="仿宋_GB2312"/>
          <w:color w:val="000000"/>
          <w:szCs w:val="21"/>
        </w:rPr>
        <w:t>甲乙双方责任</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（一）甲、乙双方单位及工作人员应严格遵守国家的法律法规和廉政建设方面的有关规定。</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（二）自项目招标结束、签订合同直至项目结束全过程，甲、乙双方工作人员均应全面履行合同内容及廉政责任的各项规定，自觉按合同办事。</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（三）发现对方在业务活动中有违规、违纪、违法行为的，应及时提醒对方，情节严重的，应向其上级主管部门或纪检监察部门举报。</w:t>
      </w:r>
    </w:p>
    <w:p>
      <w:pPr>
        <w:keepNext w:val="0"/>
        <w:keepLines w:val="0"/>
        <w:pageBreakBefore w:val="0"/>
        <w:widowControl/>
        <w:kinsoku/>
        <w:wordWrap/>
        <w:overflowPunct/>
        <w:topLinePunct w:val="0"/>
        <w:autoSpaceDE/>
        <w:autoSpaceDN/>
        <w:bidi w:val="0"/>
        <w:adjustRightInd/>
        <w:snapToGrid w:val="0"/>
        <w:spacing w:line="400" w:lineRule="exact"/>
        <w:ind w:firstLine="482" w:firstLineChars="200"/>
        <w:textAlignment w:val="auto"/>
        <w:rPr>
          <w:rFonts w:cs="仿宋_GB2312"/>
          <w:color w:val="000000"/>
          <w:szCs w:val="21"/>
        </w:rPr>
      </w:pPr>
      <w:r>
        <w:rPr>
          <w:rFonts w:hint="eastAsia" w:cs="仿宋_GB2312"/>
          <w:b/>
          <w:color w:val="000000"/>
          <w:szCs w:val="21"/>
        </w:rPr>
        <w:t xml:space="preserve">第二条 </w:t>
      </w:r>
      <w:r>
        <w:rPr>
          <w:rFonts w:hint="eastAsia" w:cs="仿宋_GB2312"/>
          <w:color w:val="000000"/>
          <w:szCs w:val="21"/>
        </w:rPr>
        <w:t>甲方责任</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（一）严格遵守廉洁从业各项规定，不准以任何形式向乙方索取索要或接受回扣、购物卡、礼金、有价证券、贵重物品和好处费、感谢费等。</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（二）不准在乙方和相关单位报销任何应由甲方单位或个人支付的费用。</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（三）不准违反合同约定而使用乙方和相关单位提供的通信、交通工具和高档办公用品。</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（四）不准要求、暗示或接受乙方和相关单位为个人装修住房、婚丧嫁娶、配偶子女的工作安排以及出国（境）、旅游等提供方便。</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（五）不准参加有可能影响公正执行公务的乙方单位和相关工作人员的宴请、健身、娱乐等活动。</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（六）不准向乙方单位介绍或为配偶、子女、亲属参与同受托单位合同有关的业务、监管等活动。</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（七）除合同有特别约定外，不得向乙方介绍或指定项目分包或相关单位。</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（八）除合同有特别约定外，不得向乙方推销或指定使用各种材料及设备等。</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（九）不得利用职权为其家属和亲友向乙方推销各类材料及设备等提供方便。</w:t>
      </w:r>
    </w:p>
    <w:p>
      <w:pPr>
        <w:keepNext w:val="0"/>
        <w:keepLines w:val="0"/>
        <w:pageBreakBefore w:val="0"/>
        <w:widowControl/>
        <w:kinsoku/>
        <w:wordWrap/>
        <w:overflowPunct/>
        <w:topLinePunct w:val="0"/>
        <w:autoSpaceDE/>
        <w:autoSpaceDN/>
        <w:bidi w:val="0"/>
        <w:adjustRightInd/>
        <w:snapToGrid w:val="0"/>
        <w:spacing w:line="400" w:lineRule="exact"/>
        <w:ind w:firstLine="482" w:firstLineChars="200"/>
        <w:textAlignment w:val="auto"/>
        <w:rPr>
          <w:rFonts w:cs="仿宋_GB2312"/>
          <w:b/>
          <w:color w:val="000000"/>
          <w:szCs w:val="21"/>
        </w:rPr>
      </w:pPr>
      <w:r>
        <w:rPr>
          <w:rFonts w:hint="eastAsia" w:cs="仿宋_GB2312"/>
          <w:b/>
          <w:color w:val="000000"/>
          <w:szCs w:val="21"/>
        </w:rPr>
        <w:t xml:space="preserve">第三条 </w:t>
      </w:r>
      <w:r>
        <w:rPr>
          <w:rFonts w:hint="eastAsia" w:cs="仿宋_GB2312"/>
          <w:color w:val="000000"/>
          <w:szCs w:val="21"/>
        </w:rPr>
        <w:t>乙方责任</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一）乙方及其工作人员应当在合同的签订、履行过程中，严格遵守中华人民共和国反商业贿赂的法律规定，廉洁自律，不得以任何方式从事任何涉及商业贿赂或向甲方、甲方工作人员或其他相关人员提供本合同约定以外利益的行为，包括但不限于以下任一情形：</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1.不准以任何理由向甲方和相关单位及工作人员贿赂、或赠送现金、实物、有价证券、贵重物品及回扣、好处费、感谢费等。</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2.不准以任何形式、理由为甲方或其工作人员、相关人员报销费用。</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3.不准以任何行贿形式为甲方工作人员或相关人员及其亲属装修住房、婚丧嫁娶、配偶子女及亲属的工作安排以及出国（境）、旅游等提供方便。</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4.不准以任何理由为甲方工作人员或相关人员有可能影响公正执行公务的旅游、健身、娱乐、宴请等活动。</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5.不准为甲方私用提供通信、交通工具和高档办公用品。</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（二）乙方或其工作人员出现上述第一条情形的，乙方同意甲方采取以下任一措施追究乙方违约责任：</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1.乙方向甲方支付合同总价款10%的违约金，本合同继续履行。</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2.解除本合同，乙方返还甲方已支付的全部款项，并向甲方支付合同总价款10%的违约金。违约金不足以弥补全部损失的，乙方还应承担赔偿责任。</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（三）合同履行结束后发现乙方存在违反前述反贿赂条款情形的，甲方将保留追究其法律责任（包括但不限于违约责任等）的权利。</w:t>
      </w:r>
    </w:p>
    <w:p>
      <w:pPr>
        <w:keepNext w:val="0"/>
        <w:keepLines w:val="0"/>
        <w:pageBreakBefore w:val="0"/>
        <w:widowControl/>
        <w:kinsoku/>
        <w:wordWrap/>
        <w:overflowPunct/>
        <w:topLinePunct w:val="0"/>
        <w:autoSpaceDE/>
        <w:autoSpaceDN/>
        <w:bidi w:val="0"/>
        <w:adjustRightInd/>
        <w:snapToGrid w:val="0"/>
        <w:spacing w:line="400" w:lineRule="exact"/>
        <w:ind w:firstLine="482" w:firstLineChars="200"/>
        <w:textAlignment w:val="auto"/>
        <w:rPr>
          <w:rFonts w:cs="仿宋_GB2312"/>
          <w:b/>
          <w:color w:val="000000"/>
          <w:szCs w:val="21"/>
        </w:rPr>
      </w:pPr>
      <w:r>
        <w:rPr>
          <w:rFonts w:hint="eastAsia" w:cs="仿宋_GB2312"/>
          <w:b/>
          <w:color w:val="000000"/>
          <w:szCs w:val="21"/>
        </w:rPr>
        <w:t xml:space="preserve">第四条 </w:t>
      </w:r>
      <w:r>
        <w:rPr>
          <w:rFonts w:hint="eastAsia" w:cs="仿宋_GB2312"/>
          <w:color w:val="000000"/>
          <w:szCs w:val="21"/>
        </w:rPr>
        <w:t>合同监管</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甲、乙双方单位纪检监察部门有权依照本合同内容的规定，对合同履约中的廉洁从业情况实施监督，并有权采取措施及时制止不廉洁行为的发生。</w:t>
      </w:r>
    </w:p>
    <w:p>
      <w:pPr>
        <w:keepNext w:val="0"/>
        <w:keepLines w:val="0"/>
        <w:pageBreakBefore w:val="0"/>
        <w:widowControl/>
        <w:kinsoku/>
        <w:wordWrap/>
        <w:overflowPunct/>
        <w:topLinePunct w:val="0"/>
        <w:autoSpaceDE/>
        <w:autoSpaceDN/>
        <w:bidi w:val="0"/>
        <w:adjustRightInd/>
        <w:snapToGrid w:val="0"/>
        <w:spacing w:line="400" w:lineRule="exact"/>
        <w:ind w:firstLine="482" w:firstLineChars="200"/>
        <w:textAlignment w:val="auto"/>
        <w:rPr>
          <w:rFonts w:cs="仿宋_GB2312"/>
          <w:color w:val="000000"/>
          <w:szCs w:val="21"/>
        </w:rPr>
      </w:pPr>
      <w:r>
        <w:rPr>
          <w:rFonts w:hint="eastAsia" w:cs="仿宋_GB2312"/>
          <w:b/>
          <w:color w:val="000000"/>
          <w:szCs w:val="21"/>
        </w:rPr>
        <w:t xml:space="preserve">第五条 </w:t>
      </w:r>
      <w:r>
        <w:rPr>
          <w:rFonts w:hint="eastAsia" w:cs="仿宋_GB2312"/>
          <w:color w:val="000000"/>
          <w:szCs w:val="21"/>
        </w:rPr>
        <w:t>违约责任</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（一）甲方工作人员有违反本责任书责任行为的，按照管理权限，依据有关法律法规和规定给予党纪、政纪处分或组织处理；涉嫌犯罪的，移交司法机关追究刑事责任；给乙方单位造成经济损失的，应予以赔偿。</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r>
        <w:rPr>
          <w:rFonts w:hint="eastAsia" w:cs="仿宋_GB2312"/>
          <w:color w:val="000000"/>
          <w:szCs w:val="21"/>
        </w:rPr>
        <w:t xml:space="preserve">（二）乙方工作人员或所属单位人员有违反本责任书责任行为的，按照管理权限，依据有关法律法规和规定给予党纪、政纪处分或组织处理；涉嫌犯罪的，移交司法机关追究刑事责任；给甲方单位造成经济损失的，应予以赔偿。 </w:t>
      </w:r>
    </w:p>
    <w:p>
      <w:pPr>
        <w:keepNext w:val="0"/>
        <w:keepLines w:val="0"/>
        <w:pageBreakBefore w:val="0"/>
        <w:widowControl/>
        <w:kinsoku/>
        <w:wordWrap/>
        <w:overflowPunct/>
        <w:topLinePunct w:val="0"/>
        <w:autoSpaceDE/>
        <w:autoSpaceDN/>
        <w:bidi w:val="0"/>
        <w:adjustRightInd/>
        <w:snapToGrid w:val="0"/>
        <w:spacing w:line="400" w:lineRule="exact"/>
        <w:ind w:firstLine="482" w:firstLineChars="200"/>
        <w:textAlignment w:val="auto"/>
        <w:rPr>
          <w:rFonts w:cs="仿宋_GB2312"/>
          <w:color w:val="000000"/>
          <w:szCs w:val="21"/>
        </w:rPr>
      </w:pPr>
      <w:r>
        <w:rPr>
          <w:rFonts w:hint="eastAsia" w:cs="仿宋_GB2312"/>
          <w:b/>
          <w:color w:val="000000"/>
          <w:szCs w:val="21"/>
        </w:rPr>
        <w:t>第六条</w:t>
      </w:r>
      <w:r>
        <w:rPr>
          <w:rFonts w:hint="eastAsia" w:cs="仿宋_GB2312"/>
          <w:color w:val="000000"/>
          <w:szCs w:val="21"/>
        </w:rPr>
        <w:t xml:space="preserve"> 本责任书作为</w:t>
      </w:r>
      <w:r>
        <w:rPr>
          <w:rFonts w:cs="仿宋_GB2312"/>
          <w:color w:val="000000"/>
          <w:szCs w:val="21"/>
        </w:rPr>
        <w:t xml:space="preserve"> </w:t>
      </w:r>
      <w:r>
        <w:rPr>
          <w:rFonts w:hint="eastAsia" w:cs="仿宋_GB2312"/>
          <w:color w:val="000000"/>
          <w:szCs w:val="21"/>
          <w:lang w:val="en-US" w:eastAsia="zh-CN"/>
        </w:rPr>
        <w:t xml:space="preserve">         </w:t>
      </w:r>
      <w:r>
        <w:rPr>
          <w:rFonts w:hint="eastAsia" w:cs="仿宋_GB2312"/>
          <w:color w:val="000000"/>
          <w:szCs w:val="21"/>
        </w:rPr>
        <w:t>的附件，与该合同具有同等效力。</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cs="仿宋_GB2312"/>
          <w:color w:val="000000"/>
          <w:szCs w:val="21"/>
        </w:rPr>
      </w:pPr>
    </w:p>
    <w:p>
      <w:pPr>
        <w:keepNext w:val="0"/>
        <w:keepLines w:val="0"/>
        <w:pageBreakBefore w:val="0"/>
        <w:widowControl/>
        <w:kinsoku/>
        <w:wordWrap/>
        <w:overflowPunct/>
        <w:topLinePunct w:val="0"/>
        <w:autoSpaceDE/>
        <w:autoSpaceDN/>
        <w:bidi w:val="0"/>
        <w:adjustRightInd/>
        <w:spacing w:line="400" w:lineRule="exact"/>
        <w:ind w:left="420"/>
        <w:textAlignment w:val="auto"/>
        <w:rPr>
          <w:color w:val="000000"/>
          <w:szCs w:val="21"/>
        </w:rPr>
      </w:pPr>
      <w:r>
        <w:rPr>
          <w:color w:val="000000"/>
          <w:szCs w:val="21"/>
        </w:rPr>
        <w:t>甲方：（盖章）　　　　　　　　　　　　     　乙方：（盖章）</w:t>
      </w:r>
    </w:p>
    <w:p>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color w:val="000000"/>
          <w:szCs w:val="21"/>
        </w:rPr>
      </w:pPr>
      <w:r>
        <w:rPr>
          <w:color w:val="000000"/>
          <w:szCs w:val="21"/>
        </w:rPr>
        <w:t>法定代表人：　　　　　　　　　　　　　　　　法定代表人：</w:t>
      </w:r>
    </w:p>
    <w:p>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color w:val="000000"/>
          <w:szCs w:val="21"/>
        </w:rPr>
      </w:pPr>
      <w:r>
        <w:rPr>
          <w:rFonts w:hint="eastAsia"/>
          <w:color w:val="000000"/>
          <w:szCs w:val="21"/>
        </w:rPr>
        <w:t xml:space="preserve">或委托代理人（签字或盖章）：       </w:t>
      </w:r>
      <w:r>
        <w:rPr>
          <w:color w:val="000000"/>
          <w:szCs w:val="21"/>
        </w:rPr>
        <w:t xml:space="preserve">  </w:t>
      </w:r>
      <w:r>
        <w:rPr>
          <w:rFonts w:hint="eastAsia"/>
          <w:color w:val="000000"/>
          <w:szCs w:val="21"/>
        </w:rPr>
        <w:t xml:space="preserve">       或委托代理人（签字或盖章）：</w:t>
      </w:r>
    </w:p>
    <w:p>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color w:val="000000"/>
          <w:szCs w:val="21"/>
        </w:rPr>
      </w:pPr>
      <w:r>
        <w:rPr>
          <w:color w:val="000000"/>
          <w:szCs w:val="21"/>
        </w:rPr>
        <w:t>地址：　　　　　　　　　　　　　　　　　　　地址：</w:t>
      </w:r>
    </w:p>
    <w:p>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color w:val="000000"/>
          <w:szCs w:val="21"/>
        </w:rPr>
      </w:pPr>
      <w:r>
        <w:rPr>
          <w:color w:val="000000"/>
          <w:szCs w:val="21"/>
        </w:rPr>
        <w:t>电话：　　　　　　　　　　　　　　　　　　　电话：</w:t>
      </w:r>
    </w:p>
    <w:p>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asciiTheme="minorEastAsia" w:hAnsiTheme="minorEastAsia" w:eastAsiaTheme="minorEastAsia"/>
          <w:color w:val="000000" w:themeColor="text1"/>
          <w14:textFill>
            <w14:solidFill>
              <w14:schemeClr w14:val="tx1"/>
            </w14:solidFill>
          </w14:textFill>
        </w:rPr>
      </w:pPr>
      <w:r>
        <w:rPr>
          <w:color w:val="000000"/>
          <w:szCs w:val="21"/>
        </w:rPr>
        <w:t>年　　月　　日　　　　　　　　　　　　　　　 年　　月　　日</w:t>
      </w:r>
      <w:bookmarkEnd w:id="570"/>
    </w:p>
    <w:p>
      <w:pPr>
        <w:keepNext w:val="0"/>
        <w:keepLines w:val="0"/>
        <w:pageBreakBefore w:val="0"/>
        <w:widowControl/>
        <w:kinsoku/>
        <w:wordWrap/>
        <w:overflowPunct/>
        <w:topLinePunct w:val="0"/>
        <w:autoSpaceDE/>
        <w:autoSpaceDN/>
        <w:bidi w:val="0"/>
        <w:adjustRightInd/>
        <w:spacing w:line="400" w:lineRule="exact"/>
        <w:textAlignment w:val="auto"/>
        <w:rPr>
          <w:rFonts w:asciiTheme="minorEastAsia" w:hAnsiTheme="minorEastAsia" w:eastAsiaTheme="minorEastAsia"/>
          <w:b/>
          <w:color w:val="000000" w:themeColor="text1"/>
          <w:sz w:val="36"/>
          <w:szCs w:val="36"/>
          <w14:textFill>
            <w14:solidFill>
              <w14:schemeClr w14:val="tx1"/>
            </w14:solidFill>
          </w14:textFill>
        </w:rPr>
      </w:pPr>
      <w:r>
        <w:rPr>
          <w:rFonts w:asciiTheme="minorEastAsia" w:hAnsiTheme="minorEastAsia" w:eastAsiaTheme="minorEastAsia"/>
          <w:b/>
          <w:color w:val="000000" w:themeColor="text1"/>
          <w:sz w:val="36"/>
          <w:szCs w:val="36"/>
          <w14:textFill>
            <w14:solidFill>
              <w14:schemeClr w14:val="tx1"/>
            </w14:solidFill>
          </w14:textFill>
        </w:rPr>
        <w:br w:type="page"/>
      </w:r>
    </w:p>
    <w:p>
      <w:pPr>
        <w:snapToGrid w:val="0"/>
        <w:spacing w:line="800" w:lineRule="exact"/>
        <w:jc w:val="center"/>
        <w:outlineLvl w:val="0"/>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第五部分</w:t>
      </w:r>
      <w:r>
        <w:rPr>
          <w:rFonts w:asciiTheme="minorEastAsia" w:hAnsiTheme="minorEastAsia" w:eastAsiaTheme="minorEastAsia"/>
          <w:b/>
          <w:color w:val="000000" w:themeColor="text1"/>
          <w:sz w:val="36"/>
          <w:szCs w:val="36"/>
          <w14:textFill>
            <w14:solidFill>
              <w14:schemeClr w14:val="tx1"/>
            </w14:solidFill>
          </w14:textFill>
        </w:rPr>
        <w:t xml:space="preserve"> </w:t>
      </w:r>
      <w:r>
        <w:rPr>
          <w:rFonts w:hint="eastAsia" w:asciiTheme="minorEastAsia" w:hAnsiTheme="minorEastAsia" w:eastAsiaTheme="minorEastAsia"/>
          <w:b/>
          <w:color w:val="000000" w:themeColor="text1"/>
          <w:sz w:val="36"/>
          <w:szCs w:val="36"/>
          <w14:textFill>
            <w14:solidFill>
              <w14:schemeClr w14:val="tx1"/>
            </w14:solidFill>
          </w14:textFill>
        </w:rPr>
        <w:t>评标</w:t>
      </w:r>
      <w:r>
        <w:rPr>
          <w:rFonts w:hint="eastAsia" w:cs="仿宋_GB2312" w:asciiTheme="minorEastAsia" w:hAnsiTheme="minorEastAsia" w:eastAsiaTheme="minorEastAsia"/>
          <w:b/>
          <w:color w:val="000000" w:themeColor="text1"/>
          <w:sz w:val="36"/>
          <w:szCs w:val="36"/>
          <w14:textFill>
            <w14:solidFill>
              <w14:schemeClr w14:val="tx1"/>
            </w14:solidFill>
          </w14:textFill>
        </w:rPr>
        <w:t>方法</w:t>
      </w:r>
      <w:r>
        <w:rPr>
          <w:rFonts w:hint="eastAsia" w:asciiTheme="minorEastAsia" w:hAnsiTheme="minorEastAsia" w:eastAsiaTheme="minorEastAsia"/>
          <w:b/>
          <w:color w:val="000000" w:themeColor="text1"/>
          <w:sz w:val="36"/>
          <w:szCs w:val="36"/>
          <w14:textFill>
            <w14:solidFill>
              <w14:schemeClr w14:val="tx1"/>
            </w14:solidFill>
          </w14:textFill>
        </w:rPr>
        <w:t>及标准</w:t>
      </w:r>
    </w:p>
    <w:p>
      <w:pPr>
        <w:spacing w:line="440" w:lineRule="exact"/>
        <w:outlineLvl w:val="1"/>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1</w:t>
      </w:r>
      <w:r>
        <w:rPr>
          <w:rFonts w:hint="eastAsia" w:asciiTheme="minorEastAsia" w:hAnsiTheme="minorEastAsia" w:eastAsiaTheme="minorEastAsia"/>
          <w:b/>
          <w:color w:val="000000" w:themeColor="text1"/>
          <w14:textFill>
            <w14:solidFill>
              <w14:schemeClr w14:val="tx1"/>
            </w14:solidFill>
          </w14:textFill>
        </w:rPr>
        <w:t>.</w:t>
      </w:r>
      <w:r>
        <w:rPr>
          <w:rFonts w:asciiTheme="minorEastAsia" w:hAnsiTheme="minorEastAsia" w:eastAsiaTheme="minorEastAsia"/>
          <w:b/>
          <w:color w:val="000000" w:themeColor="text1"/>
          <w14:textFill>
            <w14:solidFill>
              <w14:schemeClr w14:val="tx1"/>
            </w14:solidFill>
          </w14:textFill>
        </w:rPr>
        <w:t>评标</w:t>
      </w:r>
      <w:r>
        <w:rPr>
          <w:rFonts w:hint="eastAsia" w:asciiTheme="minorEastAsia" w:hAnsiTheme="minorEastAsia" w:eastAsiaTheme="minorEastAsia"/>
          <w:b/>
          <w:color w:val="000000" w:themeColor="text1"/>
          <w14:textFill>
            <w14:solidFill>
              <w14:schemeClr w14:val="tx1"/>
            </w14:solidFill>
          </w14:textFill>
        </w:rPr>
        <w:t>方法：</w:t>
      </w:r>
    </w:p>
    <w:p>
      <w:pPr>
        <w:spacing w:line="400" w:lineRule="exact"/>
        <w:ind w:firstLine="480" w:firstLineChars="200"/>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1.1本次评标采用综合评分法，评标结果按评审后得分由高到低顺序排列。得分相同的，按投标报价由低到高顺序排列。得分且投标报价相同的并列。投标文件满足采购文件全部实质性要求，</w:t>
      </w:r>
      <w:r>
        <w:rPr>
          <w:rFonts w:hint="eastAsia" w:cs="仿宋" w:asciiTheme="minorEastAsia" w:hAnsiTheme="minorEastAsia" w:eastAsiaTheme="minorEastAsia"/>
          <w:color w:val="000000" w:themeColor="text1"/>
          <w14:textFill>
            <w14:solidFill>
              <w14:schemeClr w14:val="tx1"/>
            </w14:solidFill>
          </w14:textFill>
        </w:rPr>
        <w:t>且按照评审因素的量化指标评审得分最高的投标人为中标候选人。中标候选人并列的，采用随机抽取的方式确定。</w:t>
      </w:r>
    </w:p>
    <w:p>
      <w:pPr>
        <w:spacing w:line="400" w:lineRule="exact"/>
        <w:ind w:firstLine="472" w:firstLineChars="196"/>
        <w:rPr>
          <w:rFonts w:cs="仿宋" w:asciiTheme="minorEastAsia" w:hAnsiTheme="minorEastAsia" w:eastAsiaTheme="minorEastAsia"/>
          <w:b/>
          <w:color w:val="000000" w:themeColor="text1"/>
          <w14:textFill>
            <w14:solidFill>
              <w14:schemeClr w14:val="tx1"/>
            </w14:solidFill>
          </w14:textFill>
        </w:rPr>
      </w:pPr>
      <w:r>
        <w:rPr>
          <w:rFonts w:cs="仿宋" w:asciiTheme="minorEastAsia" w:hAnsiTheme="minorEastAsia" w:eastAsiaTheme="minorEastAsia"/>
          <w:b/>
          <w:color w:val="000000" w:themeColor="text1"/>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p>
      <w:pPr>
        <w:spacing w:line="400" w:lineRule="exact"/>
        <w:ind w:firstLine="482" w:firstLineChars="200"/>
        <w:rPr>
          <w:rFonts w:cs="仿宋" w:asciiTheme="minorEastAsia" w:hAnsiTheme="minorEastAsia" w:eastAsiaTheme="minorEastAsia"/>
          <w:bCs/>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非单一产品采购项目，采购人应当根据采购项目技术构成、产品价格比重等合理确定核心产品，并在采购文件中载明。多家投标人提供的核心产品品牌相同的，按前款规定处理。</w:t>
      </w:r>
    </w:p>
    <w:p>
      <w:pPr>
        <w:spacing w:line="440" w:lineRule="exact"/>
        <w:outlineLvl w:val="1"/>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2.评分标准：</w:t>
      </w:r>
    </w:p>
    <w:p>
      <w:pPr>
        <w:snapToGrid w:val="0"/>
        <w:spacing w:line="40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总分</w:t>
      </w:r>
      <w:r>
        <w:rPr>
          <w:rFonts w:asciiTheme="minorEastAsia" w:hAnsiTheme="minorEastAsia" w:eastAsiaTheme="minorEastAsia"/>
          <w:color w:val="000000" w:themeColor="text1"/>
          <w14:textFill>
            <w14:solidFill>
              <w14:schemeClr w14:val="tx1"/>
            </w14:solidFill>
          </w14:textFill>
        </w:rPr>
        <w:t>100分，其中商务</w:t>
      </w:r>
      <w:r>
        <w:rPr>
          <w:rFonts w:hint="eastAsia" w:asciiTheme="minorEastAsia" w:hAnsiTheme="minorEastAsia" w:eastAsiaTheme="minorEastAsia"/>
          <w:color w:val="000000" w:themeColor="text1"/>
          <w14:textFill>
            <w14:solidFill>
              <w14:schemeClr w14:val="tx1"/>
            </w14:solidFill>
          </w14:textFill>
        </w:rPr>
        <w:t>技术分8</w:t>
      </w:r>
      <w:r>
        <w:rPr>
          <w:rFonts w:asciiTheme="minorEastAsia" w:hAnsiTheme="minorEastAsia" w:eastAsiaTheme="minorEastAsia"/>
          <w:color w:val="000000" w:themeColor="text1"/>
          <w14:textFill>
            <w14:solidFill>
              <w14:schemeClr w14:val="tx1"/>
            </w14:solidFill>
          </w14:textFill>
        </w:rPr>
        <w:t>0分，价格</w:t>
      </w:r>
      <w:r>
        <w:rPr>
          <w:rFonts w:hint="eastAsia" w:asciiTheme="minorEastAsia" w:hAnsiTheme="minorEastAsia" w:eastAsiaTheme="minorEastAsia"/>
          <w:color w:val="000000" w:themeColor="text1"/>
          <w14:textFill>
            <w14:solidFill>
              <w14:schemeClr w14:val="tx1"/>
            </w14:solidFill>
          </w14:textFill>
        </w:rPr>
        <w:t>分2</w:t>
      </w:r>
      <w:r>
        <w:rPr>
          <w:rFonts w:asciiTheme="minorEastAsia" w:hAnsiTheme="minorEastAsia" w:eastAsiaTheme="minorEastAsia"/>
          <w:color w:val="000000" w:themeColor="text1"/>
          <w14:textFill>
            <w14:solidFill>
              <w14:schemeClr w14:val="tx1"/>
            </w14:solidFill>
          </w14:textFill>
        </w:rPr>
        <w:t>0分。评分依下述所列为评标打分依据，分值如下（计算分值时，按其算术平均值保留小数2位）。</w:t>
      </w:r>
    </w:p>
    <w:p>
      <w:pPr>
        <w:spacing w:line="440" w:lineRule="exact"/>
        <w:rPr>
          <w:rFonts w:asciiTheme="minorEastAsia" w:hAnsiTheme="minorEastAsia" w:eastAsiaTheme="minorEastAsia"/>
          <w:b/>
          <w:bCs/>
          <w:iCs/>
          <w:color w:val="000000" w:themeColor="text1"/>
          <w14:textFill>
            <w14:solidFill>
              <w14:schemeClr w14:val="tx1"/>
            </w14:solidFill>
          </w14:textFill>
        </w:rPr>
      </w:pPr>
      <w:r>
        <w:rPr>
          <w:rFonts w:asciiTheme="minorEastAsia" w:hAnsiTheme="minorEastAsia" w:eastAsiaTheme="minorEastAsia"/>
          <w:b/>
          <w:bCs/>
          <w:iCs/>
          <w:color w:val="000000" w:themeColor="text1"/>
          <w14:textFill>
            <w14:solidFill>
              <w14:schemeClr w14:val="tx1"/>
            </w14:solidFill>
          </w14:textFill>
        </w:rPr>
        <w:t>2.1.商务技术分（</w:t>
      </w:r>
      <w:r>
        <w:rPr>
          <w:rFonts w:hint="eastAsia" w:asciiTheme="minorEastAsia" w:hAnsiTheme="minorEastAsia" w:eastAsiaTheme="minorEastAsia"/>
          <w:b/>
          <w:bCs/>
          <w:iCs/>
          <w:color w:val="000000" w:themeColor="text1"/>
          <w14:textFill>
            <w14:solidFill>
              <w14:schemeClr w14:val="tx1"/>
            </w14:solidFill>
          </w14:textFill>
        </w:rPr>
        <w:t>80</w:t>
      </w:r>
      <w:r>
        <w:rPr>
          <w:rFonts w:asciiTheme="minorEastAsia" w:hAnsiTheme="minorEastAsia" w:eastAsiaTheme="minorEastAsia"/>
          <w:b/>
          <w:bCs/>
          <w:iCs/>
          <w:color w:val="000000" w:themeColor="text1"/>
          <w14:textFill>
            <w14:solidFill>
              <w14:schemeClr w14:val="tx1"/>
            </w14:solidFill>
          </w14:textFill>
        </w:rPr>
        <w:t>分）</w:t>
      </w:r>
    </w:p>
    <w:tbl>
      <w:tblPr>
        <w:tblStyle w:val="43"/>
        <w:tblW w:w="8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88"/>
        <w:gridCol w:w="566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5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评标内容</w:t>
            </w: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评分项目</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0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w:t>
            </w:r>
          </w:p>
        </w:tc>
        <w:tc>
          <w:tcPr>
            <w:tcW w:w="15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类似业绩</w:t>
            </w: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lang w:val="en-US" w:eastAsia="zh-CN"/>
              </w:rPr>
              <w:t>供应商自</w:t>
            </w:r>
            <w:r>
              <w:rPr>
                <w:rFonts w:hint="eastAsia" w:ascii="宋体" w:hAnsi="宋体" w:eastAsia="宋体" w:cs="宋体"/>
                <w:color w:val="000000"/>
                <w:szCs w:val="21"/>
              </w:rPr>
              <w:t>201</w:t>
            </w:r>
            <w:r>
              <w:rPr>
                <w:rFonts w:hint="eastAsia" w:ascii="宋体" w:hAnsi="宋体" w:eastAsia="宋体" w:cs="宋体"/>
                <w:color w:val="000000"/>
                <w:szCs w:val="21"/>
                <w:lang w:val="en-US" w:eastAsia="zh-CN"/>
              </w:rPr>
              <w:t>8</w:t>
            </w:r>
            <w:r>
              <w:rPr>
                <w:rFonts w:hint="eastAsia" w:ascii="宋体" w:hAnsi="宋体" w:eastAsia="宋体" w:cs="宋体"/>
                <w:color w:val="000000"/>
                <w:szCs w:val="21"/>
              </w:rPr>
              <w:t>年</w:t>
            </w:r>
            <w:r>
              <w:rPr>
                <w:rFonts w:hint="eastAsia" w:ascii="宋体" w:hAnsi="宋体" w:eastAsia="宋体" w:cs="宋体"/>
                <w:color w:val="000000"/>
                <w:szCs w:val="21"/>
                <w:lang w:val="en-US" w:eastAsia="zh-CN"/>
              </w:rPr>
              <w:t>1</w:t>
            </w:r>
            <w:r>
              <w:rPr>
                <w:rFonts w:hint="eastAsia" w:ascii="宋体" w:hAnsi="宋体" w:eastAsia="宋体" w:cs="宋体"/>
                <w:color w:val="000000"/>
                <w:szCs w:val="21"/>
              </w:rPr>
              <w:t>月</w:t>
            </w:r>
            <w:r>
              <w:rPr>
                <w:rFonts w:hint="eastAsia" w:ascii="宋体" w:hAnsi="宋体" w:eastAsia="宋体" w:cs="宋体"/>
                <w:color w:val="000000"/>
                <w:szCs w:val="21"/>
                <w:lang w:val="en-US" w:eastAsia="zh-CN"/>
              </w:rPr>
              <w:t>1日</w:t>
            </w:r>
            <w:r>
              <w:rPr>
                <w:rFonts w:hint="eastAsia" w:ascii="宋体" w:hAnsi="宋体" w:eastAsia="宋体" w:cs="宋体"/>
                <w:color w:val="000000"/>
                <w:szCs w:val="21"/>
              </w:rPr>
              <w:t>至投标截止日（以合同签订时间为准），承接过类似</w:t>
            </w:r>
            <w:r>
              <w:rPr>
                <w:rFonts w:hint="eastAsia" w:ascii="宋体" w:hAnsi="宋体" w:eastAsia="宋体" w:cs="宋体"/>
                <w:color w:val="000000"/>
                <w:szCs w:val="21"/>
                <w:lang w:eastAsia="zh-CN"/>
              </w:rPr>
              <w:t>项目</w:t>
            </w:r>
            <w:r>
              <w:rPr>
                <w:rFonts w:hint="eastAsia" w:ascii="宋体" w:hAnsi="宋体" w:eastAsia="宋体" w:cs="宋体"/>
                <w:color w:val="000000"/>
                <w:szCs w:val="21"/>
              </w:rPr>
              <w:t>维保业绩。每提供1个得0.5分，最高得1.5分。</w:t>
            </w:r>
          </w:p>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注：提供合同复印件，加盖</w:t>
            </w:r>
            <w:r>
              <w:rPr>
                <w:rFonts w:hint="eastAsia" w:ascii="宋体" w:hAnsi="宋体" w:eastAsia="宋体" w:cs="宋体"/>
                <w:color w:val="000000"/>
                <w:szCs w:val="21"/>
                <w:lang w:eastAsia="zh-CN"/>
              </w:rPr>
              <w:t>供应商</w:t>
            </w:r>
            <w:r>
              <w:rPr>
                <w:rFonts w:hint="eastAsia" w:ascii="宋体" w:hAnsi="宋体" w:eastAsia="宋体" w:cs="宋体"/>
                <w:color w:val="000000"/>
                <w:szCs w:val="21"/>
              </w:rPr>
              <w:t>公章</w:t>
            </w:r>
            <w:r>
              <w:rPr>
                <w:rFonts w:hint="eastAsia" w:ascii="宋体" w:hAnsi="宋体" w:eastAsia="宋体" w:cs="宋体"/>
                <w:color w:val="000000"/>
                <w:szCs w:val="21"/>
                <w:lang w:eastAsia="zh-CN"/>
              </w:rPr>
              <w:t>，不提供不得分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0-1.5分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08" w:type="dxa"/>
            <w:vMerge w:val="restart"/>
            <w:tcBorders>
              <w:top w:val="single" w:color="auto" w:sz="4" w:space="0"/>
              <w:left w:val="single" w:color="auto" w:sz="4" w:space="0"/>
              <w:right w:val="single" w:color="auto" w:sz="4" w:space="0"/>
            </w:tcBorders>
            <w:vAlign w:val="center"/>
          </w:tcPr>
          <w:p>
            <w:pPr>
              <w:spacing w:line="36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w:t>
            </w:r>
          </w:p>
        </w:tc>
        <w:tc>
          <w:tcPr>
            <w:tcW w:w="1588" w:type="dxa"/>
            <w:vMerge w:val="restart"/>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eastAsia="宋体" w:cs="宋体"/>
                <w:lang w:val="en-US" w:eastAsia="zh-CN"/>
              </w:rPr>
            </w:pPr>
            <w:r>
              <w:rPr>
                <w:rFonts w:hint="eastAsia" w:ascii="宋体" w:hAnsi="宋体" w:eastAsia="宋体" w:cs="宋体"/>
                <w:color w:val="auto"/>
                <w:szCs w:val="22"/>
              </w:rPr>
              <w:t>项目</w:t>
            </w:r>
            <w:r>
              <w:rPr>
                <w:rFonts w:hint="eastAsia" w:ascii="宋体" w:hAnsi="宋体" w:eastAsia="宋体" w:cs="宋体"/>
                <w:color w:val="auto"/>
                <w:szCs w:val="22"/>
                <w:lang w:eastAsia="zh-CN"/>
              </w:rPr>
              <w:t>人员情况</w:t>
            </w: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rPr>
            </w:pPr>
            <w:r>
              <w:rPr>
                <w:rFonts w:hint="eastAsia" w:ascii="宋体" w:hAnsi="宋体" w:eastAsia="宋体" w:cs="宋体"/>
              </w:rPr>
              <w:t>项目负责人具有</w:t>
            </w:r>
            <w:r>
              <w:rPr>
                <w:rFonts w:hint="eastAsia" w:ascii="宋体" w:hAnsi="宋体" w:eastAsia="宋体" w:cs="宋体"/>
                <w:lang w:eastAsia="zh-CN"/>
              </w:rPr>
              <w:t>高级工程师及</w:t>
            </w:r>
            <w:r>
              <w:rPr>
                <w:rFonts w:hint="eastAsia" w:ascii="宋体" w:hAnsi="宋体" w:eastAsia="宋体" w:cs="宋体"/>
              </w:rPr>
              <w:t>以上技术职称。得3分</w:t>
            </w:r>
          </w:p>
          <w:p>
            <w:pPr>
              <w:spacing w:line="360" w:lineRule="exact"/>
              <w:rPr>
                <w:rFonts w:hint="eastAsia" w:ascii="宋体" w:hAnsi="宋体" w:eastAsia="宋体" w:cs="宋体"/>
                <w:lang w:val="en-US" w:eastAsia="zh-CN"/>
              </w:rPr>
            </w:pPr>
            <w:r>
              <w:rPr>
                <w:rFonts w:hint="eastAsia" w:ascii="宋体" w:hAnsi="宋体" w:eastAsia="宋体" w:cs="宋体"/>
                <w:lang w:val="en-US" w:eastAsia="zh-CN"/>
              </w:rPr>
              <w:t>项目负责人</w:t>
            </w:r>
            <w:r>
              <w:rPr>
                <w:rFonts w:hint="eastAsia" w:ascii="宋体" w:hAnsi="宋体" w:eastAsia="宋体" w:cs="宋体"/>
              </w:rPr>
              <w:t>具有注册在</w:t>
            </w:r>
            <w:r>
              <w:rPr>
                <w:rFonts w:hint="eastAsia" w:ascii="宋体" w:hAnsi="宋体" w:eastAsia="宋体" w:cs="宋体"/>
                <w:lang w:eastAsia="zh-CN"/>
              </w:rPr>
              <w:t>供应商</w:t>
            </w:r>
            <w:r>
              <w:rPr>
                <w:rFonts w:hint="eastAsia" w:ascii="宋体" w:hAnsi="宋体" w:eastAsia="宋体" w:cs="宋体"/>
              </w:rPr>
              <w:t>单位的市政公用工程</w:t>
            </w:r>
            <w:r>
              <w:rPr>
                <w:rFonts w:hint="eastAsia" w:ascii="宋体" w:hAnsi="宋体" w:eastAsia="宋体" w:cs="宋体"/>
                <w:lang w:val="en-US" w:eastAsia="zh-CN"/>
              </w:rPr>
              <w:t>或</w:t>
            </w:r>
            <w:r>
              <w:rPr>
                <w:rFonts w:hint="eastAsia" w:ascii="宋体" w:hAnsi="宋体" w:eastAsia="宋体" w:cs="宋体"/>
              </w:rPr>
              <w:t>铁路工程专业</w:t>
            </w:r>
            <w:r>
              <w:rPr>
                <w:rFonts w:hint="eastAsia" w:ascii="宋体" w:hAnsi="宋体" w:eastAsia="宋体" w:cs="宋体"/>
                <w:lang w:val="en-US" w:eastAsia="zh-CN"/>
              </w:rPr>
              <w:t>二</w:t>
            </w:r>
            <w:r>
              <w:rPr>
                <w:rFonts w:hint="eastAsia" w:ascii="宋体" w:hAnsi="宋体" w:eastAsia="宋体" w:cs="宋体"/>
              </w:rPr>
              <w:t>级建造师执业资格</w:t>
            </w:r>
            <w:r>
              <w:rPr>
                <w:rFonts w:hint="eastAsia" w:ascii="宋体" w:hAnsi="宋体" w:eastAsia="宋体" w:cs="宋体"/>
                <w:lang w:val="en-US" w:eastAsia="zh-CN"/>
              </w:rPr>
              <w:t>，得2分，项目负责人</w:t>
            </w:r>
            <w:r>
              <w:rPr>
                <w:rFonts w:hint="eastAsia" w:ascii="宋体" w:hAnsi="宋体" w:eastAsia="宋体" w:cs="宋体"/>
              </w:rPr>
              <w:t>具有注册在</w:t>
            </w:r>
            <w:r>
              <w:rPr>
                <w:rFonts w:hint="eastAsia" w:ascii="宋体" w:hAnsi="宋体" w:eastAsia="宋体" w:cs="宋体"/>
                <w:lang w:eastAsia="zh-CN"/>
              </w:rPr>
              <w:t>供应商</w:t>
            </w:r>
            <w:r>
              <w:rPr>
                <w:rFonts w:hint="eastAsia" w:ascii="宋体" w:hAnsi="宋体" w:eastAsia="宋体" w:cs="宋体"/>
              </w:rPr>
              <w:t>单位的市政公用工程</w:t>
            </w:r>
            <w:r>
              <w:rPr>
                <w:rFonts w:hint="eastAsia" w:ascii="宋体" w:hAnsi="宋体" w:eastAsia="宋体" w:cs="宋体"/>
                <w:lang w:val="en-US" w:eastAsia="zh-CN"/>
              </w:rPr>
              <w:t>或</w:t>
            </w:r>
            <w:r>
              <w:rPr>
                <w:rFonts w:hint="eastAsia" w:ascii="宋体" w:hAnsi="宋体" w:eastAsia="宋体" w:cs="宋体"/>
              </w:rPr>
              <w:t>铁路工程专业</w:t>
            </w:r>
            <w:r>
              <w:rPr>
                <w:rFonts w:hint="eastAsia" w:ascii="宋体" w:hAnsi="宋体" w:eastAsia="宋体" w:cs="宋体"/>
                <w:lang w:val="en-US" w:eastAsia="zh-CN"/>
              </w:rPr>
              <w:t>一级建造师</w:t>
            </w:r>
            <w:r>
              <w:rPr>
                <w:rFonts w:hint="eastAsia" w:ascii="宋体" w:hAnsi="宋体" w:eastAsia="宋体" w:cs="宋体"/>
              </w:rPr>
              <w:t>执业资格</w:t>
            </w:r>
            <w:r>
              <w:rPr>
                <w:rFonts w:hint="eastAsia" w:ascii="宋体" w:hAnsi="宋体" w:eastAsia="宋体" w:cs="宋体"/>
                <w:lang w:val="en-US" w:eastAsia="zh-CN"/>
              </w:rPr>
              <w:t>得4分；</w:t>
            </w:r>
          </w:p>
          <w:p>
            <w:pPr>
              <w:spacing w:line="360" w:lineRule="exact"/>
              <w:rPr>
                <w:rFonts w:hint="eastAsia" w:ascii="宋体" w:hAnsi="宋体" w:eastAsia="宋体" w:cs="宋体"/>
                <w:lang w:val="en-US" w:eastAsia="zh-CN"/>
              </w:rPr>
            </w:pPr>
            <w:r>
              <w:rPr>
                <w:rFonts w:hint="eastAsia" w:ascii="宋体" w:hAnsi="宋体" w:eastAsia="宋体" w:cs="宋体"/>
                <w:lang w:eastAsia="zh-CN"/>
              </w:rPr>
              <w:t>本项</w:t>
            </w:r>
            <w:r>
              <w:rPr>
                <w:rFonts w:hint="eastAsia" w:ascii="宋体" w:hAnsi="宋体" w:eastAsia="宋体" w:cs="宋体"/>
              </w:rPr>
              <w:t>最高得</w:t>
            </w:r>
            <w:r>
              <w:rPr>
                <w:rFonts w:hint="eastAsia" w:ascii="宋体" w:hAnsi="宋体" w:eastAsia="宋体" w:cs="宋体"/>
                <w:lang w:val="en-US" w:eastAsia="zh-CN"/>
              </w:rPr>
              <w:t>7</w:t>
            </w:r>
            <w:r>
              <w:rPr>
                <w:rFonts w:hint="eastAsia" w:ascii="宋体" w:hAnsi="宋体" w:eastAsia="宋体" w:cs="宋体"/>
              </w:rPr>
              <w:t>分。</w:t>
            </w:r>
          </w:p>
          <w:p>
            <w:pPr>
              <w:spacing w:line="360" w:lineRule="exact"/>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注：需提供证书复印件及本单位社保证明复印件加盖供应商公章，不提供不得分。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lang w:val="en-US" w:eastAsia="zh-CN"/>
              </w:rPr>
              <w:t>0-</w:t>
            </w:r>
            <w:r>
              <w:rPr>
                <w:rFonts w:hint="eastAsia" w:ascii="宋体" w:hAnsi="宋体" w:eastAsia="宋体" w:cs="宋体"/>
                <w:color w:val="000000"/>
                <w:szCs w:val="21"/>
              </w:rPr>
              <w:t>7</w:t>
            </w:r>
            <w:r>
              <w:rPr>
                <w:rFonts w:hint="eastAsia" w:ascii="宋体" w:hAnsi="宋体" w:eastAsia="宋体" w:cs="宋体"/>
                <w:color w:val="000000"/>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08" w:type="dxa"/>
            <w:vMerge w:val="continue"/>
            <w:tcBorders>
              <w:left w:val="single" w:color="auto" w:sz="4" w:space="0"/>
              <w:right w:val="single" w:color="auto" w:sz="4" w:space="0"/>
            </w:tcBorders>
            <w:vAlign w:val="center"/>
          </w:tcPr>
          <w:p>
            <w:pPr>
              <w:spacing w:line="360" w:lineRule="exact"/>
              <w:rPr>
                <w:rFonts w:hint="eastAsia" w:ascii="宋体" w:hAnsi="宋体" w:eastAsia="宋体" w:cs="宋体"/>
                <w:color w:val="000000"/>
                <w:szCs w:val="21"/>
                <w:lang w:val="en-US" w:eastAsia="zh-CN"/>
              </w:rPr>
            </w:pPr>
          </w:p>
        </w:tc>
        <w:tc>
          <w:tcPr>
            <w:tcW w:w="15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lang w:val="en-US" w:eastAsia="zh-CN"/>
              </w:rPr>
            </w:pP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lang w:val="en-US" w:eastAsia="zh-CN"/>
              </w:rPr>
            </w:pPr>
            <w:r>
              <w:rPr>
                <w:rFonts w:hint="eastAsia" w:ascii="宋体" w:hAnsi="宋体" w:eastAsia="宋体" w:cs="宋体"/>
                <w:lang w:val="en-US" w:eastAsia="zh-CN"/>
              </w:rPr>
              <w:t>项目负责人自2018年1月1日至投标截止日（以合同签订时间为准）以项目负责人身份承接过类似项目维保业绩。每提供1个得0.5分，最高得0.5分。</w:t>
            </w:r>
          </w:p>
          <w:p>
            <w:pPr>
              <w:spacing w:line="360" w:lineRule="exact"/>
              <w:rPr>
                <w:rFonts w:hint="eastAsia" w:ascii="宋体" w:hAnsi="宋体" w:eastAsia="宋体" w:cs="宋体"/>
                <w:lang w:val="en-US" w:eastAsia="zh-CN"/>
              </w:rPr>
            </w:pPr>
            <w:r>
              <w:rPr>
                <w:rFonts w:hint="eastAsia" w:ascii="宋体" w:hAnsi="宋体" w:eastAsia="宋体" w:cs="宋体"/>
                <w:lang w:val="en-US" w:eastAsia="zh-CN"/>
              </w:rPr>
              <w:t>注：提供合同复印件，加盖供应商公章，如合同内容无法体现项目负责人身份的，还须提供业主证明（须加盖业主单位公章），不提供不得分。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lang w:val="en-US" w:eastAsia="zh-CN"/>
              </w:rPr>
              <w:t>0-0.5分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08" w:type="dxa"/>
            <w:vMerge w:val="continue"/>
            <w:tcBorders>
              <w:left w:val="single" w:color="auto" w:sz="4" w:space="0"/>
              <w:right w:val="single" w:color="auto" w:sz="4" w:space="0"/>
            </w:tcBorders>
            <w:vAlign w:val="center"/>
          </w:tcPr>
          <w:p>
            <w:pPr>
              <w:spacing w:line="360" w:lineRule="exact"/>
              <w:rPr>
                <w:rFonts w:hint="eastAsia" w:ascii="宋体" w:hAnsi="宋体" w:eastAsia="宋体" w:cs="宋体"/>
                <w:color w:val="000000"/>
                <w:szCs w:val="21"/>
                <w:lang w:val="en-US" w:eastAsia="zh-CN"/>
              </w:rPr>
            </w:pPr>
          </w:p>
        </w:tc>
        <w:tc>
          <w:tcPr>
            <w:tcW w:w="15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lang w:val="en-US" w:eastAsia="zh-CN"/>
              </w:rPr>
            </w:pP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lang w:val="en-US" w:eastAsia="zh-CN"/>
              </w:rPr>
            </w:pPr>
            <w:r>
              <w:rPr>
                <w:rFonts w:hint="eastAsia" w:ascii="宋体" w:hAnsi="宋体" w:eastAsia="宋体" w:cs="宋体"/>
                <w:lang w:val="en-US" w:eastAsia="zh-CN"/>
              </w:rPr>
              <w:t>专业技术负责人具有工程师及以上技术职称的，每加1人，得1分。最高得2分。</w:t>
            </w:r>
          </w:p>
          <w:p>
            <w:pPr>
              <w:spacing w:line="360" w:lineRule="exact"/>
              <w:rPr>
                <w:rFonts w:hint="eastAsia" w:ascii="宋体" w:hAnsi="宋体" w:eastAsia="宋体" w:cs="宋体"/>
                <w:lang w:val="en-US" w:eastAsia="zh-CN"/>
              </w:rPr>
            </w:pPr>
            <w:r>
              <w:rPr>
                <w:rFonts w:hint="eastAsia" w:ascii="宋体" w:hAnsi="宋体" w:eastAsia="宋体" w:cs="宋体"/>
                <w:lang w:val="en-US" w:eastAsia="zh-CN"/>
              </w:rPr>
              <w:t>注：需提供证书复印件及本单位社保证明复印件加盖供应商公章，不提供不得分。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lang w:val="en-US" w:eastAsia="zh-CN"/>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08" w:type="dxa"/>
            <w:vMerge w:val="continue"/>
            <w:tcBorders>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lang w:val="en-US" w:eastAsia="zh-CN"/>
              </w:rPr>
            </w:pPr>
          </w:p>
        </w:tc>
        <w:tc>
          <w:tcPr>
            <w:tcW w:w="1588" w:type="dxa"/>
            <w:vMerge w:val="continue"/>
            <w:tcBorders>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lang w:val="en-US" w:eastAsia="zh-CN"/>
              </w:rPr>
            </w:pP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lang w:val="en-US" w:eastAsia="zh-CN"/>
              </w:rPr>
            </w:pPr>
            <w:r>
              <w:rPr>
                <w:rFonts w:hint="eastAsia" w:ascii="宋体" w:hAnsi="宋体" w:eastAsia="宋体" w:cs="宋体"/>
                <w:lang w:val="en-US" w:eastAsia="zh-CN"/>
              </w:rPr>
              <w:t>在满足用户需求书的基础上，拟派技术员、巡检/维保人员以及地铁巡查保护人员的年龄结构、人员资历（职称、专业、岗位证书）等情况。横向比较人员配置情况，优得4（不含）-6分，良好得2（不含）-4（含）分，一般得0-2（含）分。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dxa"/>
            <w:vMerge w:val="restart"/>
            <w:tcBorders>
              <w:top w:val="single" w:color="auto" w:sz="4" w:space="0"/>
              <w:left w:val="single" w:color="auto" w:sz="4" w:space="0"/>
              <w:right w:val="single" w:color="auto" w:sz="4" w:space="0"/>
            </w:tcBorders>
            <w:vAlign w:val="center"/>
          </w:tcPr>
          <w:p>
            <w:pPr>
              <w:spacing w:line="360" w:lineRule="exact"/>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3</w:t>
            </w:r>
          </w:p>
        </w:tc>
        <w:tc>
          <w:tcPr>
            <w:tcW w:w="1588" w:type="dxa"/>
            <w:vMerge w:val="restart"/>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维保方案</w:t>
            </w: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检修、巡视等过程的组织管理方案完善。</w:t>
            </w:r>
            <w:r>
              <w:rPr>
                <w:rFonts w:hint="eastAsia" w:ascii="宋体" w:hAnsi="宋体" w:eastAsia="宋体" w:cs="宋体"/>
                <w:szCs w:val="21"/>
              </w:rPr>
              <w:t>横向比较</w:t>
            </w:r>
            <w:r>
              <w:rPr>
                <w:rFonts w:hint="eastAsia" w:ascii="宋体" w:hAnsi="宋体" w:eastAsia="宋体" w:cs="宋体"/>
                <w:szCs w:val="21"/>
                <w:lang w:eastAsia="zh-CN"/>
              </w:rPr>
              <w:t>检修、巡视</w:t>
            </w:r>
            <w:r>
              <w:rPr>
                <w:rFonts w:hint="eastAsia" w:ascii="宋体" w:hAnsi="宋体" w:eastAsia="宋体" w:cs="宋体"/>
                <w:szCs w:val="21"/>
              </w:rPr>
              <w:t>方案，优得7-10分，良好得4-</w:t>
            </w:r>
            <w:r>
              <w:rPr>
                <w:rFonts w:hint="eastAsia" w:ascii="宋体" w:hAnsi="宋体" w:eastAsia="宋体" w:cs="宋体"/>
                <w:szCs w:val="21"/>
                <w:lang w:val="en-US" w:eastAsia="zh-CN"/>
              </w:rPr>
              <w:t>7</w:t>
            </w:r>
            <w:r>
              <w:rPr>
                <w:rFonts w:hint="eastAsia" w:ascii="宋体" w:hAnsi="宋体" w:eastAsia="宋体" w:cs="宋体"/>
                <w:szCs w:val="21"/>
              </w:rPr>
              <w:t>分，一般得</w:t>
            </w:r>
            <w:r>
              <w:rPr>
                <w:rFonts w:hint="eastAsia" w:ascii="宋体" w:hAnsi="宋体" w:eastAsia="宋体" w:cs="宋体"/>
                <w:szCs w:val="21"/>
                <w:lang w:val="en-US" w:eastAsia="zh-CN"/>
              </w:rPr>
              <w:t>0</w:t>
            </w: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分。不提供不得分。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0-</w:t>
            </w:r>
            <w:r>
              <w:rPr>
                <w:rFonts w:hint="eastAsia" w:ascii="宋体" w:hAnsi="宋体" w:eastAsia="宋体" w:cs="宋体"/>
                <w:color w:val="000000"/>
                <w:szCs w:val="21"/>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08" w:type="dxa"/>
            <w:vMerge w:val="continue"/>
            <w:tcBorders>
              <w:left w:val="single" w:color="auto" w:sz="4" w:space="0"/>
              <w:right w:val="single" w:color="auto" w:sz="4" w:space="0"/>
            </w:tcBorders>
            <w:vAlign w:val="center"/>
          </w:tcPr>
          <w:p>
            <w:pPr>
              <w:spacing w:line="360" w:lineRule="exact"/>
              <w:rPr>
                <w:rFonts w:hint="eastAsia" w:ascii="宋体" w:hAnsi="宋体" w:eastAsia="宋体" w:cs="宋体"/>
                <w:color w:val="000000"/>
                <w:szCs w:val="21"/>
              </w:rPr>
            </w:pPr>
          </w:p>
        </w:tc>
        <w:tc>
          <w:tcPr>
            <w:tcW w:w="15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规章及管理制度具体、完整</w:t>
            </w:r>
            <w:r>
              <w:rPr>
                <w:rFonts w:hint="eastAsia" w:ascii="宋体" w:hAnsi="宋体" w:eastAsia="宋体" w:cs="宋体"/>
                <w:color w:val="000000"/>
                <w:szCs w:val="21"/>
                <w:lang w:val="en-US" w:eastAsia="zh-CN"/>
              </w:rPr>
              <w:t>，</w:t>
            </w:r>
            <w:r>
              <w:rPr>
                <w:rFonts w:hint="eastAsia" w:ascii="宋体" w:hAnsi="宋体" w:eastAsia="宋体" w:cs="宋体"/>
                <w:color w:val="000000"/>
                <w:szCs w:val="21"/>
              </w:rPr>
              <w:t>维保资源供应情况描述详尽。</w:t>
            </w:r>
            <w:r>
              <w:rPr>
                <w:rFonts w:hint="eastAsia" w:ascii="宋体" w:hAnsi="宋体" w:eastAsia="宋体" w:cs="宋体"/>
                <w:szCs w:val="21"/>
              </w:rPr>
              <w:t>横向比较</w:t>
            </w:r>
            <w:r>
              <w:rPr>
                <w:rFonts w:hint="eastAsia" w:ascii="宋体" w:hAnsi="宋体" w:eastAsia="宋体" w:cs="宋体"/>
                <w:szCs w:val="21"/>
                <w:lang w:eastAsia="zh-CN"/>
              </w:rPr>
              <w:t>规章及管理制度</w:t>
            </w:r>
            <w:r>
              <w:rPr>
                <w:rFonts w:hint="eastAsia" w:ascii="宋体" w:hAnsi="宋体" w:eastAsia="宋体" w:cs="宋体"/>
                <w:szCs w:val="21"/>
              </w:rPr>
              <w:t>方案，优得7-10分，良好得4-</w:t>
            </w:r>
            <w:r>
              <w:rPr>
                <w:rFonts w:hint="eastAsia" w:ascii="宋体" w:hAnsi="宋体" w:eastAsia="宋体" w:cs="宋体"/>
                <w:szCs w:val="21"/>
                <w:lang w:val="en-US" w:eastAsia="zh-CN"/>
              </w:rPr>
              <w:t>7</w:t>
            </w:r>
            <w:r>
              <w:rPr>
                <w:rFonts w:hint="eastAsia" w:ascii="宋体" w:hAnsi="宋体" w:eastAsia="宋体" w:cs="宋体"/>
                <w:szCs w:val="21"/>
              </w:rPr>
              <w:t>分，一般得</w:t>
            </w:r>
            <w:r>
              <w:rPr>
                <w:rFonts w:hint="eastAsia" w:ascii="宋体" w:hAnsi="宋体" w:eastAsia="宋体" w:cs="宋体"/>
                <w:szCs w:val="21"/>
                <w:lang w:val="en-US" w:eastAsia="zh-CN"/>
              </w:rPr>
              <w:t>0</w:t>
            </w: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分。不提供不得分。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0-</w:t>
            </w:r>
            <w:r>
              <w:rPr>
                <w:rFonts w:hint="eastAsia" w:ascii="宋体" w:hAnsi="宋体" w:eastAsia="宋体" w:cs="宋体"/>
                <w:color w:val="000000"/>
                <w:szCs w:val="21"/>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08" w:type="dxa"/>
            <w:vMerge w:val="continue"/>
            <w:tcBorders>
              <w:left w:val="single" w:color="auto" w:sz="4" w:space="0"/>
              <w:right w:val="single" w:color="auto" w:sz="4" w:space="0"/>
            </w:tcBorders>
            <w:vAlign w:val="center"/>
          </w:tcPr>
          <w:p>
            <w:pPr>
              <w:spacing w:line="360" w:lineRule="exact"/>
              <w:rPr>
                <w:rFonts w:hint="eastAsia" w:ascii="宋体" w:hAnsi="宋体" w:eastAsia="宋体" w:cs="宋体"/>
                <w:color w:val="000000"/>
                <w:szCs w:val="21"/>
              </w:rPr>
            </w:pPr>
          </w:p>
        </w:tc>
        <w:tc>
          <w:tcPr>
            <w:tcW w:w="15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对运营安全所采取的保障措施方案准确、完整、详尽。</w:t>
            </w:r>
            <w:r>
              <w:rPr>
                <w:rFonts w:hint="eastAsia" w:ascii="宋体" w:hAnsi="宋体" w:eastAsia="宋体" w:cs="宋体"/>
                <w:szCs w:val="21"/>
              </w:rPr>
              <w:t>横向比较</w:t>
            </w:r>
            <w:r>
              <w:rPr>
                <w:rFonts w:hint="eastAsia" w:ascii="宋体" w:hAnsi="宋体" w:eastAsia="宋体" w:cs="宋体"/>
                <w:color w:val="000000"/>
                <w:szCs w:val="21"/>
              </w:rPr>
              <w:t>保障措施方案</w:t>
            </w:r>
            <w:r>
              <w:rPr>
                <w:rFonts w:hint="eastAsia" w:ascii="宋体" w:hAnsi="宋体" w:eastAsia="宋体" w:cs="宋体"/>
                <w:szCs w:val="21"/>
              </w:rPr>
              <w:t>，优得7-10分，良好得4-</w:t>
            </w:r>
            <w:r>
              <w:rPr>
                <w:rFonts w:hint="eastAsia" w:ascii="宋体" w:hAnsi="宋体" w:eastAsia="宋体" w:cs="宋体"/>
                <w:szCs w:val="21"/>
                <w:lang w:val="en-US" w:eastAsia="zh-CN"/>
              </w:rPr>
              <w:t>7</w:t>
            </w:r>
            <w:r>
              <w:rPr>
                <w:rFonts w:hint="eastAsia" w:ascii="宋体" w:hAnsi="宋体" w:eastAsia="宋体" w:cs="宋体"/>
                <w:szCs w:val="21"/>
              </w:rPr>
              <w:t>分，一般得</w:t>
            </w:r>
            <w:r>
              <w:rPr>
                <w:rFonts w:hint="eastAsia" w:ascii="宋体" w:hAnsi="宋体" w:eastAsia="宋体" w:cs="宋体"/>
                <w:szCs w:val="21"/>
                <w:lang w:val="en-US" w:eastAsia="zh-CN"/>
              </w:rPr>
              <w:t>0</w:t>
            </w: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分。不提供不得分。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0-</w:t>
            </w:r>
            <w:r>
              <w:rPr>
                <w:rFonts w:hint="eastAsia" w:ascii="宋体" w:hAnsi="宋体" w:eastAsia="宋体" w:cs="宋体"/>
                <w:color w:val="000000"/>
                <w:szCs w:val="21"/>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8" w:type="dxa"/>
            <w:vMerge w:val="continue"/>
            <w:tcBorders>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p>
        </w:tc>
        <w:tc>
          <w:tcPr>
            <w:tcW w:w="1588" w:type="dxa"/>
            <w:vMerge w:val="continue"/>
            <w:tcBorders>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维保质量管理描述全面、详尽。</w:t>
            </w:r>
            <w:r>
              <w:rPr>
                <w:rFonts w:hint="eastAsia" w:ascii="宋体" w:hAnsi="宋体" w:eastAsia="宋体" w:cs="宋体"/>
                <w:szCs w:val="21"/>
              </w:rPr>
              <w:t>横向比较</w:t>
            </w:r>
            <w:r>
              <w:rPr>
                <w:rFonts w:hint="eastAsia" w:ascii="宋体" w:hAnsi="宋体" w:eastAsia="宋体" w:cs="宋体"/>
                <w:szCs w:val="21"/>
                <w:lang w:eastAsia="zh-CN"/>
              </w:rPr>
              <w:t>维保质量管理</w:t>
            </w:r>
            <w:r>
              <w:rPr>
                <w:rFonts w:hint="eastAsia" w:ascii="宋体" w:hAnsi="宋体" w:eastAsia="宋体" w:cs="宋体"/>
                <w:szCs w:val="21"/>
              </w:rPr>
              <w:t>方案，优得</w:t>
            </w:r>
            <w:r>
              <w:rPr>
                <w:rFonts w:hint="eastAsia" w:ascii="宋体" w:hAnsi="宋体" w:eastAsia="宋体" w:cs="宋体"/>
                <w:szCs w:val="21"/>
                <w:lang w:val="en-US" w:eastAsia="zh-CN"/>
              </w:rPr>
              <w:t>6</w:t>
            </w:r>
            <w:r>
              <w:rPr>
                <w:rFonts w:hint="eastAsia" w:ascii="宋体" w:hAnsi="宋体" w:eastAsia="宋体" w:cs="宋体"/>
                <w:szCs w:val="21"/>
              </w:rPr>
              <w:t>-</w:t>
            </w:r>
            <w:r>
              <w:rPr>
                <w:rFonts w:hint="eastAsia" w:ascii="宋体" w:hAnsi="宋体" w:eastAsia="宋体" w:cs="宋体"/>
                <w:szCs w:val="21"/>
                <w:lang w:val="en-US" w:eastAsia="zh-CN"/>
              </w:rPr>
              <w:t>9</w:t>
            </w:r>
            <w:r>
              <w:rPr>
                <w:rFonts w:hint="eastAsia" w:ascii="宋体" w:hAnsi="宋体" w:eastAsia="宋体" w:cs="宋体"/>
                <w:szCs w:val="21"/>
              </w:rPr>
              <w:t>分，良好得</w:t>
            </w: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6</w:t>
            </w:r>
            <w:r>
              <w:rPr>
                <w:rFonts w:hint="eastAsia" w:ascii="宋体" w:hAnsi="宋体" w:eastAsia="宋体" w:cs="宋体"/>
                <w:szCs w:val="21"/>
              </w:rPr>
              <w:t>分，一般得</w:t>
            </w:r>
            <w:r>
              <w:rPr>
                <w:rFonts w:hint="eastAsia" w:ascii="宋体" w:hAnsi="宋体" w:eastAsia="宋体" w:cs="宋体"/>
                <w:szCs w:val="21"/>
                <w:lang w:val="en-US" w:eastAsia="zh-CN"/>
              </w:rPr>
              <w:t>0</w:t>
            </w:r>
            <w:r>
              <w:rPr>
                <w:rFonts w:hint="eastAsia" w:ascii="宋体" w:hAnsi="宋体" w:eastAsia="宋体" w:cs="宋体"/>
                <w:szCs w:val="21"/>
              </w:rPr>
              <w:t>-</w:t>
            </w:r>
            <w:r>
              <w:rPr>
                <w:rFonts w:hint="eastAsia" w:ascii="宋体" w:hAnsi="宋体" w:eastAsia="宋体" w:cs="宋体"/>
                <w:szCs w:val="21"/>
                <w:lang w:val="en-US" w:eastAsia="zh-CN"/>
              </w:rPr>
              <w:t>3</w:t>
            </w:r>
            <w:r>
              <w:rPr>
                <w:rFonts w:hint="eastAsia" w:ascii="宋体" w:hAnsi="宋体" w:eastAsia="宋体" w:cs="宋体"/>
                <w:szCs w:val="21"/>
              </w:rPr>
              <w:t>分。不提供不得分。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0-</w:t>
            </w:r>
            <w:r>
              <w:rPr>
                <w:rFonts w:hint="eastAsia" w:ascii="宋体" w:hAnsi="宋体" w:eastAsia="宋体" w:cs="宋体"/>
                <w:color w:val="000000"/>
                <w:szCs w:val="21"/>
                <w:lang w:val="en-US" w:eastAsia="zh-CN"/>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508" w:type="dxa"/>
            <w:tcBorders>
              <w:top w:val="single" w:color="auto" w:sz="4" w:space="0"/>
              <w:left w:val="single" w:color="auto" w:sz="4" w:space="0"/>
              <w:right w:val="single" w:color="auto" w:sz="4" w:space="0"/>
            </w:tcBorders>
            <w:vAlign w:val="center"/>
          </w:tcPr>
          <w:p>
            <w:pPr>
              <w:spacing w:line="360" w:lineRule="exact"/>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4</w:t>
            </w:r>
          </w:p>
        </w:tc>
        <w:tc>
          <w:tcPr>
            <w:tcW w:w="1588"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项目组织</w:t>
            </w: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项目组织管理方案（包括项目部设置、组织架构、班组设置、值班点设置、人员分工、物资管理、员工培训等）描述全面、详尽。</w:t>
            </w:r>
            <w:r>
              <w:rPr>
                <w:rFonts w:hint="eastAsia" w:ascii="宋体" w:hAnsi="宋体" w:eastAsia="宋体" w:cs="宋体"/>
                <w:szCs w:val="21"/>
              </w:rPr>
              <w:t>横向比较</w:t>
            </w:r>
            <w:r>
              <w:rPr>
                <w:rFonts w:hint="eastAsia" w:ascii="宋体" w:hAnsi="宋体" w:eastAsia="宋体" w:cs="宋体"/>
                <w:color w:val="000000"/>
                <w:szCs w:val="21"/>
                <w:lang w:eastAsia="zh-CN"/>
              </w:rPr>
              <w:t>项目组织</w:t>
            </w:r>
            <w:r>
              <w:rPr>
                <w:rFonts w:hint="eastAsia" w:ascii="宋体" w:hAnsi="宋体" w:eastAsia="宋体" w:cs="宋体"/>
                <w:color w:val="000000"/>
                <w:szCs w:val="21"/>
              </w:rPr>
              <w:t>方案</w:t>
            </w:r>
            <w:r>
              <w:rPr>
                <w:rFonts w:hint="eastAsia" w:ascii="宋体" w:hAnsi="宋体" w:eastAsia="宋体" w:cs="宋体"/>
                <w:szCs w:val="21"/>
              </w:rPr>
              <w:t>，优得</w:t>
            </w:r>
            <w:r>
              <w:rPr>
                <w:rFonts w:hint="eastAsia" w:ascii="宋体" w:hAnsi="宋体" w:eastAsia="宋体" w:cs="宋体"/>
                <w:szCs w:val="21"/>
                <w:lang w:val="en-US" w:eastAsia="zh-CN"/>
              </w:rPr>
              <w:t>6</w:t>
            </w:r>
            <w:r>
              <w:rPr>
                <w:rFonts w:hint="eastAsia" w:ascii="宋体" w:hAnsi="宋体" w:eastAsia="宋体" w:cs="宋体"/>
                <w:szCs w:val="21"/>
              </w:rPr>
              <w:t>-</w:t>
            </w:r>
            <w:r>
              <w:rPr>
                <w:rFonts w:hint="eastAsia" w:ascii="宋体" w:hAnsi="宋体" w:eastAsia="宋体" w:cs="宋体"/>
                <w:szCs w:val="21"/>
                <w:lang w:val="en-US" w:eastAsia="zh-CN"/>
              </w:rPr>
              <w:t>8</w:t>
            </w:r>
            <w:r>
              <w:rPr>
                <w:rFonts w:hint="eastAsia" w:ascii="宋体" w:hAnsi="宋体" w:eastAsia="宋体" w:cs="宋体"/>
                <w:szCs w:val="21"/>
              </w:rPr>
              <w:t>分，良好得</w:t>
            </w: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6</w:t>
            </w:r>
            <w:r>
              <w:rPr>
                <w:rFonts w:hint="eastAsia" w:ascii="宋体" w:hAnsi="宋体" w:eastAsia="宋体" w:cs="宋体"/>
                <w:szCs w:val="21"/>
              </w:rPr>
              <w:t>分，一般得</w:t>
            </w:r>
            <w:r>
              <w:rPr>
                <w:rFonts w:hint="eastAsia" w:ascii="宋体" w:hAnsi="宋体" w:eastAsia="宋体" w:cs="宋体"/>
                <w:szCs w:val="21"/>
                <w:lang w:val="en-US" w:eastAsia="zh-CN"/>
              </w:rPr>
              <w:t>0</w:t>
            </w:r>
            <w:r>
              <w:rPr>
                <w:rFonts w:hint="eastAsia" w:ascii="宋体" w:hAnsi="宋体" w:eastAsia="宋体" w:cs="宋体"/>
                <w:szCs w:val="21"/>
              </w:rPr>
              <w:t>-</w:t>
            </w:r>
            <w:r>
              <w:rPr>
                <w:rFonts w:hint="eastAsia" w:ascii="宋体" w:hAnsi="宋体" w:eastAsia="宋体" w:cs="宋体"/>
                <w:szCs w:val="21"/>
                <w:lang w:val="en-US" w:eastAsia="zh-CN"/>
              </w:rPr>
              <w:t>3</w:t>
            </w:r>
            <w:r>
              <w:rPr>
                <w:rFonts w:hint="eastAsia" w:ascii="宋体" w:hAnsi="宋体" w:eastAsia="宋体" w:cs="宋体"/>
                <w:szCs w:val="21"/>
              </w:rPr>
              <w:t>分。不提供不得分。</w:t>
            </w:r>
          </w:p>
        </w:tc>
        <w:tc>
          <w:tcPr>
            <w:tcW w:w="11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0-8</w:t>
            </w:r>
            <w:r>
              <w:rPr>
                <w:rFonts w:hint="eastAsia" w:ascii="宋体" w:hAnsi="宋体" w:eastAsia="宋体" w:cs="宋体"/>
                <w:color w:val="000000"/>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508" w:type="dxa"/>
            <w:vMerge w:val="restart"/>
            <w:tcBorders>
              <w:top w:val="single" w:color="auto" w:sz="4" w:space="0"/>
              <w:left w:val="single" w:color="auto" w:sz="4" w:space="0"/>
              <w:right w:val="single" w:color="auto" w:sz="4" w:space="0"/>
            </w:tcBorders>
            <w:vAlign w:val="center"/>
          </w:tcPr>
          <w:p>
            <w:pPr>
              <w:spacing w:line="36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w:t>
            </w:r>
          </w:p>
        </w:tc>
        <w:tc>
          <w:tcPr>
            <w:tcW w:w="1588" w:type="dxa"/>
            <w:vMerge w:val="restart"/>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故障抢修方案</w:t>
            </w: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人员组织安排合理，值班制度详细。</w:t>
            </w:r>
            <w:r>
              <w:rPr>
                <w:rFonts w:hint="eastAsia" w:ascii="宋体" w:hAnsi="宋体" w:eastAsia="宋体" w:cs="宋体"/>
                <w:szCs w:val="21"/>
              </w:rPr>
              <w:t>横向比较</w:t>
            </w:r>
            <w:r>
              <w:rPr>
                <w:rFonts w:hint="eastAsia" w:ascii="宋体" w:hAnsi="宋体" w:eastAsia="宋体" w:cs="宋体"/>
                <w:szCs w:val="21"/>
                <w:lang w:eastAsia="zh-CN"/>
              </w:rPr>
              <w:t>各供应商情况</w:t>
            </w:r>
            <w:r>
              <w:rPr>
                <w:rFonts w:hint="eastAsia" w:ascii="宋体" w:hAnsi="宋体" w:eastAsia="宋体" w:cs="宋体"/>
                <w:szCs w:val="21"/>
              </w:rPr>
              <w:t>，优得</w:t>
            </w: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分，良好得</w:t>
            </w:r>
            <w:r>
              <w:rPr>
                <w:rFonts w:hint="eastAsia" w:ascii="宋体" w:hAnsi="宋体" w:eastAsia="宋体" w:cs="宋体"/>
                <w:szCs w:val="21"/>
                <w:lang w:val="en-US" w:eastAsia="zh-CN"/>
              </w:rPr>
              <w:t>1.5</w:t>
            </w:r>
            <w:r>
              <w:rPr>
                <w:rFonts w:hint="eastAsia" w:ascii="宋体" w:hAnsi="宋体" w:eastAsia="宋体" w:cs="宋体"/>
                <w:szCs w:val="21"/>
              </w:rPr>
              <w:t>-</w:t>
            </w:r>
            <w:r>
              <w:rPr>
                <w:rFonts w:hint="eastAsia" w:ascii="宋体" w:hAnsi="宋体" w:eastAsia="宋体" w:cs="宋体"/>
                <w:szCs w:val="21"/>
                <w:lang w:val="en-US" w:eastAsia="zh-CN"/>
              </w:rPr>
              <w:t>3</w:t>
            </w:r>
            <w:r>
              <w:rPr>
                <w:rFonts w:hint="eastAsia" w:ascii="宋体" w:hAnsi="宋体" w:eastAsia="宋体" w:cs="宋体"/>
                <w:szCs w:val="21"/>
              </w:rPr>
              <w:t>分，一般得</w:t>
            </w:r>
            <w:r>
              <w:rPr>
                <w:rFonts w:hint="eastAsia" w:ascii="宋体" w:hAnsi="宋体" w:eastAsia="宋体" w:cs="宋体"/>
                <w:szCs w:val="21"/>
                <w:lang w:val="en-US" w:eastAsia="zh-CN"/>
              </w:rPr>
              <w:t>0</w:t>
            </w:r>
            <w:r>
              <w:rPr>
                <w:rFonts w:hint="eastAsia" w:ascii="宋体" w:hAnsi="宋体" w:eastAsia="宋体" w:cs="宋体"/>
                <w:szCs w:val="21"/>
              </w:rPr>
              <w:t>-</w:t>
            </w:r>
            <w:r>
              <w:rPr>
                <w:rFonts w:hint="eastAsia" w:ascii="宋体" w:hAnsi="宋体" w:eastAsia="宋体" w:cs="宋体"/>
                <w:szCs w:val="21"/>
                <w:lang w:val="en-US" w:eastAsia="zh-CN"/>
              </w:rPr>
              <w:t>1.5</w:t>
            </w:r>
            <w:r>
              <w:rPr>
                <w:rFonts w:hint="eastAsia" w:ascii="宋体" w:hAnsi="宋体" w:eastAsia="宋体" w:cs="宋体"/>
                <w:szCs w:val="21"/>
              </w:rPr>
              <w:t>分。不提供不得分。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0-4</w:t>
            </w:r>
            <w:r>
              <w:rPr>
                <w:rFonts w:hint="eastAsia" w:ascii="宋体" w:hAnsi="宋体" w:eastAsia="宋体" w:cs="宋体"/>
                <w:color w:val="000000"/>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08" w:type="dxa"/>
            <w:vMerge w:val="continue"/>
            <w:tcBorders>
              <w:left w:val="single" w:color="auto" w:sz="4" w:space="0"/>
              <w:right w:val="single" w:color="auto" w:sz="4" w:space="0"/>
            </w:tcBorders>
            <w:vAlign w:val="center"/>
          </w:tcPr>
          <w:p>
            <w:pPr>
              <w:spacing w:line="360" w:lineRule="exact"/>
              <w:rPr>
                <w:rFonts w:hint="eastAsia" w:ascii="宋体" w:hAnsi="宋体" w:eastAsia="宋体" w:cs="宋体"/>
                <w:color w:val="000000"/>
                <w:szCs w:val="21"/>
              </w:rPr>
            </w:pPr>
          </w:p>
        </w:tc>
        <w:tc>
          <w:tcPr>
            <w:tcW w:w="1588" w:type="dxa"/>
            <w:vMerge w:val="continue"/>
            <w:tcBorders>
              <w:left w:val="single" w:color="auto" w:sz="4" w:space="0"/>
              <w:right w:val="single" w:color="auto" w:sz="4" w:space="0"/>
            </w:tcBorders>
            <w:vAlign w:val="center"/>
          </w:tcPr>
          <w:p>
            <w:pPr>
              <w:spacing w:line="360" w:lineRule="exact"/>
              <w:rPr>
                <w:rFonts w:hint="eastAsia" w:ascii="宋体" w:hAnsi="宋体" w:eastAsia="宋体" w:cs="宋体"/>
                <w:color w:val="000000"/>
                <w:szCs w:val="21"/>
              </w:rPr>
            </w:pP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指挥体系和职责明确，处置流程及时。</w:t>
            </w:r>
            <w:r>
              <w:rPr>
                <w:rFonts w:hint="eastAsia" w:ascii="宋体" w:hAnsi="宋体" w:eastAsia="宋体" w:cs="宋体"/>
                <w:szCs w:val="21"/>
              </w:rPr>
              <w:t>横向比较</w:t>
            </w:r>
            <w:r>
              <w:rPr>
                <w:rFonts w:hint="eastAsia" w:ascii="宋体" w:hAnsi="宋体" w:eastAsia="宋体" w:cs="宋体"/>
                <w:szCs w:val="21"/>
                <w:lang w:eastAsia="zh-CN"/>
              </w:rPr>
              <w:t>各供应商情况</w:t>
            </w:r>
            <w:r>
              <w:rPr>
                <w:rFonts w:hint="eastAsia" w:ascii="宋体" w:hAnsi="宋体" w:eastAsia="宋体" w:cs="宋体"/>
                <w:szCs w:val="21"/>
              </w:rPr>
              <w:t>，优得</w:t>
            </w: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分，良好得</w:t>
            </w:r>
            <w:r>
              <w:rPr>
                <w:rFonts w:hint="eastAsia" w:ascii="宋体" w:hAnsi="宋体" w:eastAsia="宋体" w:cs="宋体"/>
                <w:szCs w:val="21"/>
                <w:lang w:val="en-US" w:eastAsia="zh-CN"/>
              </w:rPr>
              <w:t>1.5</w:t>
            </w:r>
            <w:r>
              <w:rPr>
                <w:rFonts w:hint="eastAsia" w:ascii="宋体" w:hAnsi="宋体" w:eastAsia="宋体" w:cs="宋体"/>
                <w:szCs w:val="21"/>
              </w:rPr>
              <w:t>-</w:t>
            </w:r>
            <w:r>
              <w:rPr>
                <w:rFonts w:hint="eastAsia" w:ascii="宋体" w:hAnsi="宋体" w:eastAsia="宋体" w:cs="宋体"/>
                <w:szCs w:val="21"/>
                <w:lang w:val="en-US" w:eastAsia="zh-CN"/>
              </w:rPr>
              <w:t>3</w:t>
            </w:r>
            <w:r>
              <w:rPr>
                <w:rFonts w:hint="eastAsia" w:ascii="宋体" w:hAnsi="宋体" w:eastAsia="宋体" w:cs="宋体"/>
                <w:szCs w:val="21"/>
              </w:rPr>
              <w:t>分，一般得</w:t>
            </w:r>
            <w:r>
              <w:rPr>
                <w:rFonts w:hint="eastAsia" w:ascii="宋体" w:hAnsi="宋体" w:eastAsia="宋体" w:cs="宋体"/>
                <w:szCs w:val="21"/>
                <w:lang w:val="en-US" w:eastAsia="zh-CN"/>
              </w:rPr>
              <w:t>0</w:t>
            </w:r>
            <w:r>
              <w:rPr>
                <w:rFonts w:hint="eastAsia" w:ascii="宋体" w:hAnsi="宋体" w:eastAsia="宋体" w:cs="宋体"/>
                <w:szCs w:val="21"/>
              </w:rPr>
              <w:t>-</w:t>
            </w:r>
            <w:r>
              <w:rPr>
                <w:rFonts w:hint="eastAsia" w:ascii="宋体" w:hAnsi="宋体" w:eastAsia="宋体" w:cs="宋体"/>
                <w:szCs w:val="21"/>
                <w:lang w:val="en-US" w:eastAsia="zh-CN"/>
              </w:rPr>
              <w:t>1.5</w:t>
            </w:r>
            <w:r>
              <w:rPr>
                <w:rFonts w:hint="eastAsia" w:ascii="宋体" w:hAnsi="宋体" w:eastAsia="宋体" w:cs="宋体"/>
                <w:szCs w:val="21"/>
              </w:rPr>
              <w:t>分。不提供不得分。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0-4</w:t>
            </w:r>
            <w:r>
              <w:rPr>
                <w:rFonts w:hint="eastAsia" w:ascii="宋体" w:hAnsi="宋体" w:eastAsia="宋体" w:cs="宋体"/>
                <w:color w:val="000000"/>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08" w:type="dxa"/>
            <w:vMerge w:val="continue"/>
            <w:tcBorders>
              <w:left w:val="single" w:color="auto" w:sz="4" w:space="0"/>
              <w:right w:val="single" w:color="auto" w:sz="4" w:space="0"/>
            </w:tcBorders>
            <w:vAlign w:val="center"/>
          </w:tcPr>
          <w:p>
            <w:pPr>
              <w:spacing w:line="360" w:lineRule="exact"/>
              <w:rPr>
                <w:rFonts w:hint="eastAsia" w:ascii="宋体" w:hAnsi="宋体" w:eastAsia="宋体" w:cs="宋体"/>
                <w:color w:val="000000"/>
                <w:szCs w:val="21"/>
              </w:rPr>
            </w:pPr>
          </w:p>
        </w:tc>
        <w:tc>
          <w:tcPr>
            <w:tcW w:w="1588" w:type="dxa"/>
            <w:vMerge w:val="continue"/>
            <w:tcBorders>
              <w:left w:val="single" w:color="auto" w:sz="4" w:space="0"/>
              <w:right w:val="single" w:color="auto" w:sz="4" w:space="0"/>
            </w:tcBorders>
            <w:vAlign w:val="center"/>
          </w:tcPr>
          <w:p>
            <w:pPr>
              <w:spacing w:line="360" w:lineRule="exact"/>
              <w:rPr>
                <w:rFonts w:hint="eastAsia" w:ascii="宋体" w:hAnsi="宋体" w:eastAsia="宋体" w:cs="宋体"/>
                <w:color w:val="000000"/>
                <w:szCs w:val="21"/>
              </w:rPr>
            </w:pP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响应及处置时限在满足招标文件要求基础上，安排</w:t>
            </w:r>
            <w:r>
              <w:rPr>
                <w:rFonts w:hint="eastAsia" w:ascii="宋体" w:hAnsi="宋体" w:eastAsia="宋体" w:cs="宋体"/>
                <w:color w:val="000000"/>
                <w:szCs w:val="21"/>
                <w:lang w:eastAsia="zh-CN"/>
              </w:rPr>
              <w:t>得</w:t>
            </w:r>
            <w:r>
              <w:rPr>
                <w:rFonts w:hint="eastAsia" w:ascii="宋体" w:hAnsi="宋体" w:eastAsia="宋体" w:cs="宋体"/>
                <w:color w:val="000000"/>
                <w:szCs w:val="21"/>
              </w:rPr>
              <w:t>更加合理、可行。</w:t>
            </w:r>
            <w:r>
              <w:rPr>
                <w:rFonts w:hint="eastAsia" w:ascii="宋体" w:hAnsi="宋体" w:eastAsia="宋体" w:cs="宋体"/>
                <w:szCs w:val="21"/>
              </w:rPr>
              <w:t>横向比较</w:t>
            </w:r>
            <w:r>
              <w:rPr>
                <w:rFonts w:hint="eastAsia" w:ascii="宋体" w:hAnsi="宋体" w:eastAsia="宋体" w:cs="宋体"/>
                <w:szCs w:val="21"/>
                <w:lang w:eastAsia="zh-CN"/>
              </w:rPr>
              <w:t>各供应商情况</w:t>
            </w:r>
            <w:r>
              <w:rPr>
                <w:rFonts w:hint="eastAsia" w:ascii="宋体" w:hAnsi="宋体" w:eastAsia="宋体" w:cs="宋体"/>
                <w:szCs w:val="21"/>
              </w:rPr>
              <w:t>，优得</w:t>
            </w: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分，良好得</w:t>
            </w:r>
            <w:r>
              <w:rPr>
                <w:rFonts w:hint="eastAsia" w:ascii="宋体" w:hAnsi="宋体" w:eastAsia="宋体" w:cs="宋体"/>
                <w:szCs w:val="21"/>
                <w:lang w:val="en-US" w:eastAsia="zh-CN"/>
              </w:rPr>
              <w:t>1.5</w:t>
            </w:r>
            <w:r>
              <w:rPr>
                <w:rFonts w:hint="eastAsia" w:ascii="宋体" w:hAnsi="宋体" w:eastAsia="宋体" w:cs="宋体"/>
                <w:szCs w:val="21"/>
              </w:rPr>
              <w:t>-</w:t>
            </w:r>
            <w:r>
              <w:rPr>
                <w:rFonts w:hint="eastAsia" w:ascii="宋体" w:hAnsi="宋体" w:eastAsia="宋体" w:cs="宋体"/>
                <w:szCs w:val="21"/>
                <w:lang w:val="en-US" w:eastAsia="zh-CN"/>
              </w:rPr>
              <w:t>3</w:t>
            </w:r>
            <w:r>
              <w:rPr>
                <w:rFonts w:hint="eastAsia" w:ascii="宋体" w:hAnsi="宋体" w:eastAsia="宋体" w:cs="宋体"/>
                <w:szCs w:val="21"/>
              </w:rPr>
              <w:t>分，一般得</w:t>
            </w:r>
            <w:r>
              <w:rPr>
                <w:rFonts w:hint="eastAsia" w:ascii="宋体" w:hAnsi="宋体" w:eastAsia="宋体" w:cs="宋体"/>
                <w:szCs w:val="21"/>
                <w:lang w:val="en-US" w:eastAsia="zh-CN"/>
              </w:rPr>
              <w:t>0</w:t>
            </w:r>
            <w:r>
              <w:rPr>
                <w:rFonts w:hint="eastAsia" w:ascii="宋体" w:hAnsi="宋体" w:eastAsia="宋体" w:cs="宋体"/>
                <w:szCs w:val="21"/>
              </w:rPr>
              <w:t>-</w:t>
            </w:r>
            <w:r>
              <w:rPr>
                <w:rFonts w:hint="eastAsia" w:ascii="宋体" w:hAnsi="宋体" w:eastAsia="宋体" w:cs="宋体"/>
                <w:szCs w:val="21"/>
                <w:lang w:val="en-US" w:eastAsia="zh-CN"/>
              </w:rPr>
              <w:t>1.5</w:t>
            </w:r>
            <w:r>
              <w:rPr>
                <w:rFonts w:hint="eastAsia" w:ascii="宋体" w:hAnsi="宋体" w:eastAsia="宋体" w:cs="宋体"/>
                <w:szCs w:val="21"/>
              </w:rPr>
              <w:t>分。不提供不得分。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0-4</w:t>
            </w:r>
            <w:r>
              <w:rPr>
                <w:rFonts w:hint="eastAsia" w:ascii="宋体" w:hAnsi="宋体" w:eastAsia="宋体" w:cs="宋体"/>
                <w:color w:val="000000"/>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08" w:type="dxa"/>
            <w:vMerge w:val="continue"/>
            <w:tcBorders>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p>
        </w:tc>
        <w:tc>
          <w:tcPr>
            <w:tcW w:w="1588" w:type="dxa"/>
            <w:vMerge w:val="continue"/>
            <w:tcBorders>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p>
        </w:tc>
        <w:tc>
          <w:tcPr>
            <w:tcW w:w="566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000000"/>
                <w:szCs w:val="21"/>
              </w:rPr>
            </w:pPr>
            <w:r>
              <w:rPr>
                <w:rFonts w:hint="eastAsia" w:ascii="宋体" w:hAnsi="宋体" w:eastAsia="宋体" w:cs="宋体"/>
                <w:color w:val="000000"/>
                <w:szCs w:val="21"/>
              </w:rPr>
              <w:t>物资存放（通讯和抢修工器具、材料等）合理，具有可操作性。</w:t>
            </w:r>
            <w:r>
              <w:rPr>
                <w:rFonts w:hint="eastAsia" w:ascii="宋体" w:hAnsi="宋体" w:eastAsia="宋体" w:cs="宋体"/>
                <w:szCs w:val="21"/>
              </w:rPr>
              <w:t>横向比较</w:t>
            </w:r>
            <w:r>
              <w:rPr>
                <w:rFonts w:hint="eastAsia" w:ascii="宋体" w:hAnsi="宋体" w:eastAsia="宋体" w:cs="宋体"/>
                <w:szCs w:val="21"/>
                <w:lang w:eastAsia="zh-CN"/>
              </w:rPr>
              <w:t>各供应商情况</w:t>
            </w:r>
            <w:r>
              <w:rPr>
                <w:rFonts w:hint="eastAsia" w:ascii="宋体" w:hAnsi="宋体" w:eastAsia="宋体" w:cs="宋体"/>
                <w:szCs w:val="21"/>
              </w:rPr>
              <w:t>，优得</w:t>
            </w: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分，良好得</w:t>
            </w:r>
            <w:r>
              <w:rPr>
                <w:rFonts w:hint="eastAsia" w:ascii="宋体" w:hAnsi="宋体" w:eastAsia="宋体" w:cs="宋体"/>
                <w:szCs w:val="21"/>
                <w:lang w:val="en-US" w:eastAsia="zh-CN"/>
              </w:rPr>
              <w:t>1.5</w:t>
            </w:r>
            <w:r>
              <w:rPr>
                <w:rFonts w:hint="eastAsia" w:ascii="宋体" w:hAnsi="宋体" w:eastAsia="宋体" w:cs="宋体"/>
                <w:szCs w:val="21"/>
              </w:rPr>
              <w:t>-</w:t>
            </w:r>
            <w:r>
              <w:rPr>
                <w:rFonts w:hint="eastAsia" w:ascii="宋体" w:hAnsi="宋体" w:eastAsia="宋体" w:cs="宋体"/>
                <w:szCs w:val="21"/>
                <w:lang w:val="en-US" w:eastAsia="zh-CN"/>
              </w:rPr>
              <w:t>3</w:t>
            </w:r>
            <w:r>
              <w:rPr>
                <w:rFonts w:hint="eastAsia" w:ascii="宋体" w:hAnsi="宋体" w:eastAsia="宋体" w:cs="宋体"/>
                <w:szCs w:val="21"/>
              </w:rPr>
              <w:t>分，一般得</w:t>
            </w:r>
            <w:r>
              <w:rPr>
                <w:rFonts w:hint="eastAsia" w:ascii="宋体" w:hAnsi="宋体" w:eastAsia="宋体" w:cs="宋体"/>
                <w:szCs w:val="21"/>
                <w:lang w:val="en-US" w:eastAsia="zh-CN"/>
              </w:rPr>
              <w:t>0</w:t>
            </w:r>
            <w:r>
              <w:rPr>
                <w:rFonts w:hint="eastAsia" w:ascii="宋体" w:hAnsi="宋体" w:eastAsia="宋体" w:cs="宋体"/>
                <w:szCs w:val="21"/>
              </w:rPr>
              <w:t>-</w:t>
            </w:r>
            <w:r>
              <w:rPr>
                <w:rFonts w:hint="eastAsia" w:ascii="宋体" w:hAnsi="宋体" w:eastAsia="宋体" w:cs="宋体"/>
                <w:szCs w:val="21"/>
                <w:lang w:val="en-US" w:eastAsia="zh-CN"/>
              </w:rPr>
              <w:t>1.5</w:t>
            </w:r>
            <w:r>
              <w:rPr>
                <w:rFonts w:hint="eastAsia" w:ascii="宋体" w:hAnsi="宋体" w:eastAsia="宋体" w:cs="宋体"/>
                <w:szCs w:val="21"/>
              </w:rPr>
              <w:t>分。不提供不得分。</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0-4</w:t>
            </w:r>
            <w:r>
              <w:rPr>
                <w:rFonts w:hint="eastAsia" w:ascii="宋体" w:hAnsi="宋体" w:eastAsia="宋体" w:cs="宋体"/>
                <w:color w:val="000000"/>
                <w:szCs w:val="21"/>
                <w:lang w:val="en-US" w:eastAsia="zh-CN"/>
              </w:rPr>
              <w:t>分</w:t>
            </w:r>
          </w:p>
        </w:tc>
      </w:tr>
    </w:tbl>
    <w:p>
      <w:pPr>
        <w:spacing w:line="360" w:lineRule="auto"/>
        <w:rPr>
          <w:rFonts w:hint="eastAsia" w:ascii="仿宋_GB2312" w:eastAsia="仿宋_GB2312"/>
          <w:b/>
          <w:bCs/>
          <w:iCs/>
          <w:color w:val="000000" w:themeColor="text1"/>
          <w14:textFill>
            <w14:solidFill>
              <w14:schemeClr w14:val="tx1"/>
            </w14:solidFill>
          </w14:textFill>
        </w:rPr>
      </w:pPr>
    </w:p>
    <w:p>
      <w:pPr>
        <w:spacing w:line="360" w:lineRule="auto"/>
        <w:rPr>
          <w:rFonts w:cs="仿宋" w:asciiTheme="minorEastAsia" w:hAnsiTheme="minorEastAsia" w:eastAsiaTheme="minorEastAsia"/>
          <w:b/>
          <w:bCs/>
          <w:color w:val="000000" w:themeColor="text1"/>
          <w14:textFill>
            <w14:solidFill>
              <w14:schemeClr w14:val="tx1"/>
            </w14:solidFill>
          </w14:textFill>
        </w:rPr>
      </w:pPr>
      <w:r>
        <w:rPr>
          <w:rFonts w:hint="eastAsia" w:ascii="仿宋_GB2312" w:eastAsia="仿宋_GB2312"/>
          <w:b/>
          <w:bCs/>
          <w:iCs/>
          <w:color w:val="000000" w:themeColor="text1"/>
          <w14:textFill>
            <w14:solidFill>
              <w14:schemeClr w14:val="tx1"/>
            </w14:solidFill>
          </w14:textFill>
        </w:rPr>
        <w:t>注：对省级以上主管部门认定的首台套产品，自纳入《省推广应用指导目录》起三年内参加政府采购活动，视同已具备相应销售业绩，业绩分为满分。</w:t>
      </w:r>
    </w:p>
    <w:p>
      <w:pPr>
        <w:spacing w:line="360" w:lineRule="auto"/>
        <w:rPr>
          <w:rFonts w:cs="仿宋" w:asciiTheme="minorEastAsia" w:hAnsiTheme="minorEastAsia" w:eastAsiaTheme="minorEastAsia"/>
          <w:b/>
          <w:bCs/>
          <w:color w:val="000000" w:themeColor="text1"/>
          <w14:textFill>
            <w14:solidFill>
              <w14:schemeClr w14:val="tx1"/>
            </w14:solidFill>
          </w14:textFill>
        </w:rPr>
      </w:pPr>
      <w:r>
        <w:rPr>
          <w:rFonts w:cs="仿宋" w:asciiTheme="minorEastAsia" w:hAnsiTheme="minorEastAsia" w:eastAsiaTheme="minorEastAsia"/>
          <w:b/>
          <w:bCs/>
          <w:color w:val="000000" w:themeColor="text1"/>
          <w14:textFill>
            <w14:solidFill>
              <w14:schemeClr w14:val="tx1"/>
            </w14:solidFill>
          </w14:textFill>
        </w:rPr>
        <w:t>2.2价格分（</w:t>
      </w:r>
      <w:r>
        <w:rPr>
          <w:rFonts w:hint="eastAsia" w:cs="仿宋" w:asciiTheme="minorEastAsia" w:hAnsiTheme="minorEastAsia" w:eastAsiaTheme="minorEastAsia"/>
          <w:b/>
          <w:bCs/>
          <w:color w:val="000000" w:themeColor="text1"/>
          <w14:textFill>
            <w14:solidFill>
              <w14:schemeClr w14:val="tx1"/>
            </w14:solidFill>
          </w14:textFill>
        </w:rPr>
        <w:t>20</w:t>
      </w:r>
      <w:r>
        <w:rPr>
          <w:rFonts w:cs="仿宋" w:asciiTheme="minorEastAsia" w:hAnsiTheme="minorEastAsia" w:eastAsiaTheme="minorEastAsia"/>
          <w:b/>
          <w:bCs/>
          <w:color w:val="000000" w:themeColor="text1"/>
          <w14:textFill>
            <w14:solidFill>
              <w14:schemeClr w14:val="tx1"/>
            </w14:solidFill>
          </w14:textFill>
        </w:rPr>
        <w:t>分）</w:t>
      </w:r>
    </w:p>
    <w:p>
      <w:pPr>
        <w:spacing w:line="360" w:lineRule="auto"/>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2.2.1评标基准价：即满足招标文件要求且投标价格最低的投标报价为评标基准价，其价格分为满分。</w:t>
      </w:r>
    </w:p>
    <w:p>
      <w:pPr>
        <w:spacing w:line="360" w:lineRule="auto"/>
        <w:rPr>
          <w:rFonts w:cs="仿宋" w:asciiTheme="minorEastAsia" w:hAnsiTheme="minorEastAsia" w:eastAsiaTheme="minorEastAsia"/>
          <w:color w:val="000000" w:themeColor="text1"/>
          <w14:textFill>
            <w14:solidFill>
              <w14:schemeClr w14:val="tx1"/>
            </w14:solidFill>
          </w14:textFill>
        </w:rPr>
      </w:pPr>
      <w:r>
        <w:rPr>
          <w:rFonts w:cs="仿宋" w:asciiTheme="minorEastAsia" w:hAnsiTheme="minorEastAsia" w:eastAsiaTheme="minorEastAsia"/>
          <w:color w:val="000000" w:themeColor="text1"/>
          <w14:textFill>
            <w14:solidFill>
              <w14:schemeClr w14:val="tx1"/>
            </w14:solidFill>
          </w14:textFill>
        </w:rPr>
        <w:t>2.2.2其他投标人的价格</w:t>
      </w:r>
      <w:r>
        <w:rPr>
          <w:rFonts w:hint="eastAsia" w:cs="仿宋" w:asciiTheme="minorEastAsia" w:hAnsiTheme="minorEastAsia" w:eastAsiaTheme="minorEastAsia"/>
          <w:color w:val="000000" w:themeColor="text1"/>
          <w14:textFill>
            <w14:solidFill>
              <w14:schemeClr w14:val="tx1"/>
            </w14:solidFill>
          </w14:textFill>
        </w:rPr>
        <w:t>分统一按照下列公式计算：</w:t>
      </w:r>
    </w:p>
    <w:p>
      <w:pPr>
        <w:spacing w:line="360" w:lineRule="auto"/>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投标报价得分</w:t>
      </w:r>
      <w:r>
        <w:rPr>
          <w:rFonts w:cs="仿宋" w:asciiTheme="minorEastAsia" w:hAnsiTheme="minorEastAsia" w:eastAsiaTheme="minorEastAsia"/>
          <w:color w:val="000000" w:themeColor="text1"/>
          <w14:textFill>
            <w14:solidFill>
              <w14:schemeClr w14:val="tx1"/>
            </w14:solidFill>
          </w14:textFill>
        </w:rPr>
        <w:t>=(评标基准价／投标报价)×</w:t>
      </w:r>
      <w:r>
        <w:rPr>
          <w:rFonts w:hint="eastAsia" w:cs="仿宋" w:asciiTheme="minorEastAsia" w:hAnsiTheme="minorEastAsia" w:eastAsiaTheme="minorEastAsia"/>
          <w:color w:val="000000" w:themeColor="text1"/>
          <w14:textFill>
            <w14:solidFill>
              <w14:schemeClr w14:val="tx1"/>
            </w14:solidFill>
          </w14:textFill>
        </w:rPr>
        <w:t>价格权值×</w:t>
      </w:r>
      <w:r>
        <w:rPr>
          <w:rFonts w:cs="仿宋" w:asciiTheme="minorEastAsia" w:hAnsiTheme="minorEastAsia" w:eastAsiaTheme="minorEastAsia"/>
          <w:color w:val="000000" w:themeColor="text1"/>
          <w14:textFill>
            <w14:solidFill>
              <w14:schemeClr w14:val="tx1"/>
            </w14:solidFill>
          </w14:textFill>
        </w:rPr>
        <w:t>100</w:t>
      </w:r>
    </w:p>
    <w:p>
      <w:pPr>
        <w:spacing w:line="360" w:lineRule="auto"/>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即：投标报价得分</w:t>
      </w:r>
      <w:r>
        <w:rPr>
          <w:rFonts w:cs="仿宋" w:asciiTheme="minorEastAsia" w:hAnsiTheme="minorEastAsia" w:eastAsiaTheme="minorEastAsia"/>
          <w:color w:val="000000" w:themeColor="text1"/>
          <w14:textFill>
            <w14:solidFill>
              <w14:schemeClr w14:val="tx1"/>
            </w14:solidFill>
          </w14:textFill>
        </w:rPr>
        <w:t>=(评标基准价／投标报价)×</w:t>
      </w:r>
      <w:r>
        <w:rPr>
          <w:rFonts w:hint="eastAsia" w:cs="仿宋" w:asciiTheme="minorEastAsia" w:hAnsiTheme="minorEastAsia" w:eastAsiaTheme="minorEastAsia"/>
          <w:color w:val="000000" w:themeColor="text1"/>
          <w14:textFill>
            <w14:solidFill>
              <w14:schemeClr w14:val="tx1"/>
            </w14:solidFill>
          </w14:textFill>
        </w:rPr>
        <w:t>20</w:t>
      </w:r>
    </w:p>
    <w:p>
      <w:pPr>
        <w:jc w:val="center"/>
        <w:rPr>
          <w:rFonts w:cs="仿宋_GB2312" w:asciiTheme="minorEastAsia" w:hAnsiTheme="minorEastAsia" w:eastAsiaTheme="minorEastAsia"/>
          <w:b/>
          <w:color w:val="000000" w:themeColor="text1"/>
          <w:sz w:val="36"/>
          <w:szCs w:val="20"/>
          <w14:textFill>
            <w14:solidFill>
              <w14:schemeClr w14:val="tx1"/>
            </w14:solidFill>
          </w14:textFill>
        </w:rPr>
      </w:pPr>
    </w:p>
    <w:p>
      <w:pPr>
        <w:rPr>
          <w:rFonts w:cs="仿宋_GB2312" w:asciiTheme="minorEastAsia" w:hAnsiTheme="minorEastAsia" w:eastAsiaTheme="minorEastAsia"/>
          <w:b/>
          <w:color w:val="000000" w:themeColor="text1"/>
          <w:sz w:val="36"/>
          <w:szCs w:val="20"/>
          <w14:textFill>
            <w14:solidFill>
              <w14:schemeClr w14:val="tx1"/>
            </w14:solidFill>
          </w14:textFill>
        </w:rPr>
      </w:pPr>
      <w:r>
        <w:rPr>
          <w:rFonts w:cs="仿宋_GB2312" w:asciiTheme="minorEastAsia" w:hAnsiTheme="minorEastAsia" w:eastAsiaTheme="minorEastAsia"/>
          <w:b/>
          <w:color w:val="000000" w:themeColor="text1"/>
          <w:sz w:val="36"/>
          <w:szCs w:val="20"/>
          <w14:textFill>
            <w14:solidFill>
              <w14:schemeClr w14:val="tx1"/>
            </w14:solidFill>
          </w14:textFill>
        </w:rPr>
        <w:br w:type="page"/>
      </w:r>
    </w:p>
    <w:p>
      <w:pPr>
        <w:snapToGrid w:val="0"/>
        <w:spacing w:line="800" w:lineRule="exact"/>
        <w:jc w:val="center"/>
        <w:outlineLvl w:val="0"/>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第六部分</w:t>
      </w:r>
      <w:r>
        <w:rPr>
          <w:rFonts w:asciiTheme="minorEastAsia" w:hAnsiTheme="minorEastAsia" w:eastAsiaTheme="minorEastAsia"/>
          <w:b/>
          <w:color w:val="000000" w:themeColor="text1"/>
          <w:sz w:val="36"/>
          <w:szCs w:val="36"/>
          <w14:textFill>
            <w14:solidFill>
              <w14:schemeClr w14:val="tx1"/>
            </w14:solidFill>
          </w14:textFill>
        </w:rPr>
        <w:t xml:space="preserve"> </w:t>
      </w:r>
      <w:r>
        <w:rPr>
          <w:rFonts w:hint="eastAsia" w:asciiTheme="minorEastAsia" w:hAnsiTheme="minorEastAsia" w:eastAsiaTheme="minorEastAsia"/>
          <w:b/>
          <w:color w:val="000000" w:themeColor="text1"/>
          <w:sz w:val="36"/>
          <w:szCs w:val="36"/>
          <w14:textFill>
            <w14:solidFill>
              <w14:schemeClr w14:val="tx1"/>
            </w14:solidFill>
          </w14:textFill>
        </w:rPr>
        <w:t>投标文件应提交的有关格式范例</w:t>
      </w:r>
    </w:p>
    <w:p>
      <w:pPr>
        <w:spacing w:line="360" w:lineRule="auto"/>
        <w:rPr>
          <w:rFonts w:cs="仿宋" w:asciiTheme="minorEastAsia" w:hAnsiTheme="minorEastAsia" w:eastAsiaTheme="minorEastAsia"/>
          <w:color w:val="000000" w:themeColor="text1"/>
          <w14:textFill>
            <w14:solidFill>
              <w14:schemeClr w14:val="tx1"/>
            </w14:solidFill>
          </w14:textFill>
        </w:rPr>
      </w:pPr>
      <w:r>
        <w:rPr>
          <w:rFonts w:hint="eastAsia" w:cs="仿宋" w:asciiTheme="minorEastAsia" w:hAnsiTheme="minorEastAsia" w:eastAsiaTheme="minorEastAsia"/>
          <w:color w:val="000000" w:themeColor="text1"/>
          <w14:textFill>
            <w14:solidFill>
              <w14:schemeClr w14:val="tx1"/>
            </w14:solidFill>
          </w14:textFill>
        </w:rPr>
        <w:t>投标人按照以下格式编制投标文件，并将报价文件、商务技术（资信）文件分别装订成册。</w:t>
      </w:r>
    </w:p>
    <w:p>
      <w:pPr>
        <w:spacing w:line="360" w:lineRule="auto"/>
        <w:rPr>
          <w:rFonts w:cs="仿宋" w:asciiTheme="minorEastAsia" w:hAnsiTheme="minorEastAsia" w:eastAsiaTheme="minorEastAsia"/>
          <w:color w:val="000000" w:themeColor="text1"/>
          <w14:textFill>
            <w14:solidFill>
              <w14:schemeClr w14:val="tx1"/>
            </w14:solidFill>
          </w14:textFill>
        </w:rPr>
      </w:pPr>
    </w:p>
    <w:p>
      <w:pPr>
        <w:spacing w:line="360" w:lineRule="auto"/>
        <w:rPr>
          <w:rFonts w:cs="仿宋_GB2312" w:asciiTheme="minorEastAsia" w:hAnsiTheme="minorEastAsia" w:eastAsiaTheme="minorEastAsia"/>
          <w:color w:val="000000" w:themeColor="text1"/>
          <w14:textFill>
            <w14:solidFill>
              <w14:schemeClr w14:val="tx1"/>
            </w14:solidFill>
          </w14:textFill>
        </w:rPr>
      </w:pPr>
    </w:p>
    <w:p>
      <w:pPr>
        <w:snapToGrid w:val="0"/>
        <w:spacing w:line="360" w:lineRule="auto"/>
        <w:jc w:val="center"/>
        <w:outlineLvl w:val="1"/>
        <w:rPr>
          <w:rFonts w:cs="仿宋" w:asciiTheme="majorEastAsia" w:hAnsiTheme="majorEastAsia" w:eastAsiaTheme="majorEastAsia"/>
          <w:b/>
          <w:color w:val="000000" w:themeColor="text1"/>
          <w:sz w:val="36"/>
          <w:szCs w:val="36"/>
          <w14:textFill>
            <w14:solidFill>
              <w14:schemeClr w14:val="tx1"/>
            </w14:solidFill>
          </w14:textFill>
        </w:rPr>
      </w:pPr>
      <w:r>
        <w:rPr>
          <w:rFonts w:hint="eastAsia" w:cs="仿宋" w:asciiTheme="majorEastAsia" w:hAnsiTheme="majorEastAsia" w:eastAsiaTheme="majorEastAsia"/>
          <w:b/>
          <w:color w:val="000000" w:themeColor="text1"/>
          <w:sz w:val="36"/>
          <w:szCs w:val="36"/>
          <w14:textFill>
            <w14:solidFill>
              <w14:schemeClr w14:val="tx1"/>
            </w14:solidFill>
          </w14:textFill>
        </w:rPr>
        <w:t>报价文件部分</w:t>
      </w:r>
    </w:p>
    <w:p>
      <w:pPr>
        <w:spacing w:line="360" w:lineRule="auto"/>
        <w:jc w:val="center"/>
        <w:outlineLvl w:val="9"/>
        <w:rPr>
          <w:rFonts w:cs="仿宋" w:asciiTheme="majorEastAsia" w:hAnsiTheme="majorEastAsia" w:eastAsiaTheme="majorEastAsia"/>
          <w:b/>
          <w:color w:val="000000" w:themeColor="text1"/>
          <w:sz w:val="36"/>
          <w:szCs w:val="36"/>
          <w14:textFill>
            <w14:solidFill>
              <w14:schemeClr w14:val="tx1"/>
            </w14:solidFill>
          </w14:textFill>
        </w:rPr>
      </w:pPr>
      <w:r>
        <w:rPr>
          <w:rFonts w:hint="eastAsia" w:cs="仿宋" w:asciiTheme="majorEastAsia" w:hAnsiTheme="majorEastAsia" w:eastAsiaTheme="majorEastAsia"/>
          <w:b/>
          <w:color w:val="000000" w:themeColor="text1"/>
          <w:sz w:val="36"/>
          <w:szCs w:val="36"/>
          <w14:textFill>
            <w14:solidFill>
              <w14:schemeClr w14:val="tx1"/>
            </w14:solidFill>
          </w14:textFill>
        </w:rPr>
        <w:t>目录</w:t>
      </w:r>
    </w:p>
    <w:p>
      <w:pPr>
        <w:spacing w:line="360" w:lineRule="auto"/>
        <w:outlineLvl w:val="9"/>
        <w:rPr>
          <w:rFonts w:cs="仿宋" w:asciiTheme="majorEastAsia" w:hAnsiTheme="majorEastAsia" w:eastAsiaTheme="majorEastAsia"/>
          <w:color w:val="000000" w:themeColor="text1"/>
          <w14:textFill>
            <w14:solidFill>
              <w14:schemeClr w14:val="tx1"/>
            </w14:solidFill>
          </w14:textFill>
        </w:rPr>
      </w:pPr>
      <w:r>
        <w:rPr>
          <w:rFonts w:hint="eastAsia" w:cs="仿宋" w:asciiTheme="majorEastAsia" w:hAnsiTheme="majorEastAsia" w:eastAsiaTheme="majorEastAsia"/>
          <w:color w:val="000000" w:themeColor="text1"/>
          <w14:textFill>
            <w14:solidFill>
              <w14:schemeClr w14:val="tx1"/>
            </w14:solidFill>
          </w14:textFill>
        </w:rPr>
        <w:t>（1）投标响应函……………………………………………………（页码）</w:t>
      </w:r>
    </w:p>
    <w:p>
      <w:pPr>
        <w:spacing w:line="360" w:lineRule="auto"/>
        <w:outlineLvl w:val="9"/>
        <w:rPr>
          <w:rFonts w:cs="仿宋" w:asciiTheme="majorEastAsia" w:hAnsiTheme="majorEastAsia" w:eastAsiaTheme="majorEastAsia"/>
          <w:color w:val="000000" w:themeColor="text1"/>
          <w14:textFill>
            <w14:solidFill>
              <w14:schemeClr w14:val="tx1"/>
            </w14:solidFill>
          </w14:textFill>
        </w:rPr>
      </w:pPr>
      <w:r>
        <w:rPr>
          <w:rFonts w:hint="eastAsia" w:cs="仿宋" w:asciiTheme="majorEastAsia" w:hAnsiTheme="majorEastAsia" w:eastAsiaTheme="majorEastAsia"/>
          <w:color w:val="000000" w:themeColor="text1"/>
          <w14:textFill>
            <w14:solidFill>
              <w14:schemeClr w14:val="tx1"/>
            </w14:solidFill>
          </w14:textFill>
        </w:rPr>
        <w:t>（2）开标一览表……………………………………………………（页码）</w:t>
      </w:r>
    </w:p>
    <w:p>
      <w:pPr>
        <w:spacing w:line="360" w:lineRule="auto"/>
        <w:outlineLvl w:val="9"/>
        <w:rPr>
          <w:rFonts w:cs="仿宋" w:asciiTheme="majorEastAsia" w:hAnsiTheme="majorEastAsia" w:eastAsiaTheme="majorEastAsia"/>
          <w:color w:val="000000" w:themeColor="text1"/>
          <w14:textFill>
            <w14:solidFill>
              <w14:schemeClr w14:val="tx1"/>
            </w14:solidFill>
          </w14:textFill>
        </w:rPr>
      </w:pPr>
      <w:r>
        <w:rPr>
          <w:rFonts w:hint="eastAsia" w:cs="仿宋" w:asciiTheme="majorEastAsia" w:hAnsiTheme="majorEastAsia" w:eastAsiaTheme="majorEastAsia"/>
          <w:color w:val="000000" w:themeColor="text1"/>
          <w14:textFill>
            <w14:solidFill>
              <w14:schemeClr w14:val="tx1"/>
            </w14:solidFill>
          </w14:textFill>
        </w:rPr>
        <w:t>（3）日常维保费用（质保期）综合单价明细表…………………（页码）</w:t>
      </w:r>
    </w:p>
    <w:p>
      <w:pPr>
        <w:spacing w:line="360" w:lineRule="auto"/>
        <w:outlineLvl w:val="9"/>
        <w:rPr>
          <w:rFonts w:cs="仿宋" w:asciiTheme="majorEastAsia" w:hAnsiTheme="majorEastAsia" w:eastAsiaTheme="majorEastAsia"/>
          <w:color w:val="000000" w:themeColor="text1"/>
          <w14:textFill>
            <w14:solidFill>
              <w14:schemeClr w14:val="tx1"/>
            </w14:solidFill>
          </w14:textFill>
        </w:rPr>
      </w:pPr>
      <w:r>
        <w:rPr>
          <w:rFonts w:hint="eastAsia" w:cs="仿宋" w:asciiTheme="majorEastAsia" w:hAnsiTheme="majorEastAsia" w:eastAsiaTheme="majorEastAsia"/>
          <w:color w:val="000000" w:themeColor="text1"/>
          <w14:textFill>
            <w14:solidFill>
              <w14:schemeClr w14:val="tx1"/>
            </w14:solidFill>
          </w14:textFill>
        </w:rPr>
        <w:t>（4）日常维保费用（质保期外）综合单价明细表………………（页码）</w:t>
      </w:r>
    </w:p>
    <w:p>
      <w:pPr>
        <w:spacing w:line="360" w:lineRule="auto"/>
        <w:outlineLvl w:val="9"/>
        <w:rPr>
          <w:rFonts w:cs="仿宋" w:asciiTheme="majorEastAsia" w:hAnsiTheme="majorEastAsia" w:eastAsiaTheme="majorEastAsia"/>
          <w:color w:val="000000" w:themeColor="text1"/>
          <w14:textFill>
            <w14:solidFill>
              <w14:schemeClr w14:val="tx1"/>
            </w14:solidFill>
          </w14:textFill>
        </w:rPr>
      </w:pPr>
      <w:r>
        <w:rPr>
          <w:rFonts w:hint="eastAsia" w:cs="仿宋" w:asciiTheme="majorEastAsia" w:hAnsiTheme="majorEastAsia" w:eastAsiaTheme="majorEastAsia"/>
          <w:color w:val="000000" w:themeColor="text1"/>
          <w14:textFill>
            <w14:solidFill>
              <w14:schemeClr w14:val="tx1"/>
            </w14:solidFill>
          </w14:textFill>
        </w:rPr>
        <w:t>（5）零星工程整改费用……………………………………………（页码）</w:t>
      </w:r>
    </w:p>
    <w:p>
      <w:pPr>
        <w:spacing w:line="360" w:lineRule="auto"/>
        <w:outlineLvl w:val="9"/>
        <w:rPr>
          <w:rFonts w:cs="仿宋" w:asciiTheme="majorEastAsia" w:hAnsiTheme="majorEastAsia" w:eastAsiaTheme="majorEastAsia"/>
          <w:color w:val="000000" w:themeColor="text1"/>
          <w14:textFill>
            <w14:solidFill>
              <w14:schemeClr w14:val="tx1"/>
            </w14:solidFill>
          </w14:textFill>
        </w:rPr>
      </w:pPr>
      <w:r>
        <w:rPr>
          <w:rFonts w:hint="eastAsia" w:cs="仿宋" w:asciiTheme="majorEastAsia" w:hAnsiTheme="majorEastAsia" w:eastAsiaTheme="majorEastAsia"/>
          <w:color w:val="000000" w:themeColor="text1"/>
          <w14:textFill>
            <w14:solidFill>
              <w14:schemeClr w14:val="tx1"/>
            </w14:solidFill>
          </w14:textFill>
        </w:rPr>
        <w:t>（</w:t>
      </w:r>
      <w:r>
        <w:rPr>
          <w:rFonts w:hint="eastAsia" w:cs="仿宋" w:asciiTheme="majorEastAsia" w:hAnsiTheme="majorEastAsia" w:eastAsiaTheme="majorEastAsia"/>
          <w:color w:val="000000" w:themeColor="text1"/>
          <w:lang w:val="en-US" w:eastAsia="zh-CN"/>
          <w14:textFill>
            <w14:solidFill>
              <w14:schemeClr w14:val="tx1"/>
            </w14:solidFill>
          </w14:textFill>
        </w:rPr>
        <w:t>6</w:t>
      </w:r>
      <w:r>
        <w:rPr>
          <w:rFonts w:hint="eastAsia" w:cs="仿宋" w:asciiTheme="majorEastAsia" w:hAnsiTheme="majorEastAsia" w:eastAsiaTheme="majorEastAsia"/>
          <w:color w:val="000000" w:themeColor="text1"/>
          <w14:textFill>
            <w14:solidFill>
              <w14:schemeClr w14:val="tx1"/>
            </w14:solidFill>
          </w14:textFill>
        </w:rPr>
        <w:t>）中小企业声明函………………………………………………（页码）</w:t>
      </w:r>
    </w:p>
    <w:p>
      <w:pPr>
        <w:spacing w:line="360" w:lineRule="auto"/>
        <w:outlineLvl w:val="9"/>
        <w:rPr>
          <w:rFonts w:cs="仿宋" w:asciiTheme="majorEastAsia" w:hAnsiTheme="majorEastAsia" w:eastAsiaTheme="majorEastAsia"/>
          <w:b/>
          <w:color w:val="000000" w:themeColor="text1"/>
          <w:sz w:val="36"/>
          <w:szCs w:val="36"/>
          <w14:textFill>
            <w14:solidFill>
              <w14:schemeClr w14:val="tx1"/>
            </w14:solidFill>
          </w14:textFill>
        </w:rPr>
      </w:pPr>
      <w:r>
        <w:rPr>
          <w:rFonts w:hint="eastAsia" w:cs="仿宋" w:asciiTheme="majorEastAsia" w:hAnsiTheme="majorEastAsia" w:eastAsiaTheme="majorEastAsia"/>
          <w:color w:val="000000" w:themeColor="text1"/>
          <w14:textFill>
            <w14:solidFill>
              <w14:schemeClr w14:val="tx1"/>
            </w14:solidFill>
          </w14:textFill>
        </w:rPr>
        <w:t>（</w:t>
      </w:r>
      <w:r>
        <w:rPr>
          <w:rFonts w:hint="eastAsia" w:cs="仿宋" w:asciiTheme="majorEastAsia" w:hAnsiTheme="majorEastAsia" w:eastAsiaTheme="majorEastAsia"/>
          <w:color w:val="000000" w:themeColor="text1"/>
          <w:lang w:val="en-US" w:eastAsia="zh-CN"/>
          <w14:textFill>
            <w14:solidFill>
              <w14:schemeClr w14:val="tx1"/>
            </w14:solidFill>
          </w14:textFill>
        </w:rPr>
        <w:t>7</w:t>
      </w:r>
      <w:r>
        <w:rPr>
          <w:rFonts w:hint="eastAsia" w:cs="仿宋" w:asciiTheme="majorEastAsia" w:hAnsiTheme="majorEastAsia" w:eastAsiaTheme="majorEastAsia"/>
          <w:color w:val="000000" w:themeColor="text1"/>
          <w14:textFill>
            <w14:solidFill>
              <w14:schemeClr w14:val="tx1"/>
            </w14:solidFill>
          </w14:textFill>
        </w:rPr>
        <w:t>）残疾人福利性单位声明函……………………………………（页码）</w:t>
      </w:r>
    </w:p>
    <w:p>
      <w:pPr>
        <w:adjustRightInd w:val="0"/>
        <w:spacing w:line="360" w:lineRule="auto"/>
        <w:outlineLvl w:val="3"/>
        <w:rPr>
          <w:rFonts w:cs="仿宋_GB2312" w:asciiTheme="minorEastAsia" w:hAnsiTheme="minorEastAsia" w:eastAsiaTheme="minorEastAsia"/>
          <w:b/>
          <w:color w:val="000000" w:themeColor="text1"/>
          <w:sz w:val="30"/>
          <w:szCs w:val="30"/>
          <w14:textFill>
            <w14:solidFill>
              <w14:schemeClr w14:val="tx1"/>
            </w14:solidFill>
          </w14:textFill>
        </w:rPr>
      </w:pPr>
      <w:r>
        <w:rPr>
          <w:rFonts w:cs="仿宋_GB2312" w:asciiTheme="minorEastAsia" w:hAnsiTheme="minorEastAsia" w:eastAsiaTheme="minorEastAsia"/>
          <w:b/>
          <w:color w:val="000000" w:themeColor="text1"/>
          <w:sz w:val="30"/>
          <w:szCs w:val="30"/>
          <w14:textFill>
            <w14:solidFill>
              <w14:schemeClr w14:val="tx1"/>
            </w14:solidFill>
          </w14:textFill>
        </w:rPr>
        <w:br w:type="page"/>
      </w:r>
      <w:r>
        <w:rPr>
          <w:rFonts w:cs="仿宋_GB2312" w:asciiTheme="minorEastAsia" w:hAnsiTheme="minorEastAsia" w:eastAsiaTheme="minorEastAsia"/>
          <w:b/>
          <w:color w:val="000000" w:themeColor="text1"/>
          <w:sz w:val="30"/>
          <w:szCs w:val="30"/>
          <w14:textFill>
            <w14:solidFill>
              <w14:schemeClr w14:val="tx1"/>
            </w14:solidFill>
          </w14:textFill>
        </w:rPr>
        <w:t>1、投标响应函（格式）</w:t>
      </w:r>
    </w:p>
    <w:p>
      <w:pPr>
        <w:pStyle w:val="83"/>
        <w:spacing w:afterLines="0" w:line="440" w:lineRule="exact"/>
        <w:ind w:firstLine="0" w:firstLineChars="0"/>
        <w:rPr>
          <w:rFonts w:asciiTheme="minorEastAsia" w:hAnsiTheme="minorEastAsia" w:eastAsiaTheme="minorEastAsia"/>
          <w:color w:val="000000" w:themeColor="text1"/>
          <w14:textFill>
            <w14:solidFill>
              <w14:schemeClr w14:val="tx1"/>
            </w14:solidFill>
          </w14:textFill>
        </w:rPr>
      </w:pP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致：</w:t>
      </w:r>
      <w:r>
        <w:rPr>
          <w:rFonts w:hint="eastAsia" w:asciiTheme="minorEastAsia" w:hAnsiTheme="minorEastAsia" w:eastAsiaTheme="minorEastAsia"/>
          <w:color w:val="000000" w:themeColor="text1"/>
          <w:u w:val="single"/>
          <w14:textFill>
            <w14:solidFill>
              <w14:schemeClr w14:val="tx1"/>
            </w14:solidFill>
          </w14:textFill>
        </w:rPr>
        <w:t>绍兴市轨道交通集团有限公司、融华工程管理有限公司</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根据贵方采购文件（</w:t>
      </w:r>
      <w:r>
        <w:rPr>
          <w:rFonts w:hint="eastAsia" w:asciiTheme="minorEastAsia" w:hAnsiTheme="minorEastAsia" w:eastAsiaTheme="minorEastAsia"/>
          <w:b/>
          <w:color w:val="000000" w:themeColor="text1"/>
          <w:u w:val="single"/>
          <w14:textFill>
            <w14:solidFill>
              <w14:schemeClr w14:val="tx1"/>
            </w14:solidFill>
          </w14:textFill>
        </w:rPr>
        <w:t>填写招标编号：</w:t>
      </w:r>
      <w:r>
        <w:rPr>
          <w:rFonts w:hint="eastAsia" w:asciiTheme="minorEastAsia" w:hAnsiTheme="minorEastAsia" w:eastAsiaTheme="minorEastAsia"/>
          <w:color w:val="000000" w:themeColor="text1"/>
          <w14:textFill>
            <w14:solidFill>
              <w14:schemeClr w14:val="tx1"/>
            </w14:solidFill>
          </w14:textFill>
        </w:rPr>
        <w:t>）的要求，正式授权</w:t>
      </w:r>
      <w:r>
        <w:rPr>
          <w:rFonts w:hint="eastAsia" w:asciiTheme="minorEastAsia" w:hAnsiTheme="minorEastAsia" w:eastAsiaTheme="minorEastAsia"/>
          <w:b/>
          <w:color w:val="000000" w:themeColor="text1"/>
          <w:u w:val="single"/>
          <w14:textFill>
            <w14:solidFill>
              <w14:schemeClr w14:val="tx1"/>
            </w14:solidFill>
          </w14:textFill>
        </w:rPr>
        <w:t>（全权代表姓名</w:t>
      </w:r>
      <w:r>
        <w:rPr>
          <w:rFonts w:asciiTheme="minorEastAsia" w:hAnsiTheme="minorEastAsia" w:eastAsiaTheme="minorEastAsia"/>
          <w:b/>
          <w:color w:val="000000" w:themeColor="text1"/>
          <w:u w:val="single"/>
          <w14:textFill>
            <w14:solidFill>
              <w14:schemeClr w14:val="tx1"/>
            </w14:solidFill>
          </w14:textFill>
        </w:rPr>
        <w:t xml:space="preserve">    </w:t>
      </w:r>
      <w:r>
        <w:rPr>
          <w:rFonts w:hint="eastAsia" w:asciiTheme="minorEastAsia" w:hAnsiTheme="minorEastAsia" w:eastAsiaTheme="minorEastAsia"/>
          <w:b/>
          <w:color w:val="000000" w:themeColor="text1"/>
          <w:u w:val="single"/>
          <w14:textFill>
            <w14:solidFill>
              <w14:schemeClr w14:val="tx1"/>
            </w14:solidFill>
          </w14:textFill>
        </w:rPr>
        <w:t>、单位</w:t>
      </w:r>
      <w:r>
        <w:rPr>
          <w:rFonts w:asciiTheme="minorEastAsia" w:hAnsiTheme="minorEastAsia" w:eastAsiaTheme="minorEastAsia"/>
          <w:b/>
          <w:color w:val="000000" w:themeColor="text1"/>
          <w:u w:val="single"/>
          <w14:textFill>
            <w14:solidFill>
              <w14:schemeClr w14:val="tx1"/>
            </w14:solidFill>
          </w14:textFill>
        </w:rPr>
        <w:t xml:space="preserve">    </w:t>
      </w:r>
      <w:r>
        <w:rPr>
          <w:rFonts w:hint="eastAsia" w:asciiTheme="minorEastAsia" w:hAnsiTheme="minorEastAsia" w:eastAsiaTheme="minorEastAsia"/>
          <w:b/>
          <w:color w:val="000000" w:themeColor="text1"/>
          <w:u w:val="single"/>
          <w14:textFill>
            <w14:solidFill>
              <w14:schemeClr w14:val="tx1"/>
            </w14:solidFill>
          </w14:textFill>
        </w:rPr>
        <w:t>、职务</w:t>
      </w:r>
      <w:r>
        <w:rPr>
          <w:rFonts w:asciiTheme="minorEastAsia" w:hAnsiTheme="minorEastAsia" w:eastAsiaTheme="minorEastAsia"/>
          <w:b/>
          <w:color w:val="000000" w:themeColor="text1"/>
          <w:u w:val="single"/>
          <w14:textFill>
            <w14:solidFill>
              <w14:schemeClr w14:val="tx1"/>
            </w14:solidFill>
          </w14:textFill>
        </w:rPr>
        <w:t xml:space="preserve">   </w:t>
      </w:r>
      <w:r>
        <w:rPr>
          <w:rFonts w:hint="eastAsia" w:asciiTheme="minorEastAsia" w:hAnsiTheme="minorEastAsia" w:eastAsiaTheme="minorEastAsia"/>
          <w:b/>
          <w:color w:val="000000" w:themeColor="text1"/>
          <w:u w:val="single"/>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代表投标人</w:t>
      </w:r>
      <w:r>
        <w:rPr>
          <w:rFonts w:hint="eastAsia" w:asciiTheme="minorEastAsia" w:hAnsiTheme="minorEastAsia" w:eastAsiaTheme="minorEastAsia"/>
          <w:color w:val="000000" w:themeColor="text1"/>
          <w:u w:val="single"/>
          <w14:textFill>
            <w14:solidFill>
              <w14:schemeClr w14:val="tx1"/>
            </w14:solidFill>
          </w14:textFill>
        </w:rPr>
        <w:t>（</w:t>
      </w:r>
      <w:r>
        <w:rPr>
          <w:rFonts w:hint="eastAsia" w:asciiTheme="minorEastAsia" w:hAnsiTheme="minorEastAsia" w:eastAsiaTheme="minorEastAsia"/>
          <w:b/>
          <w:color w:val="000000" w:themeColor="text1"/>
          <w:u w:val="single"/>
          <w14:textFill>
            <w14:solidFill>
              <w14:schemeClr w14:val="tx1"/>
            </w14:solidFill>
          </w14:textFill>
        </w:rPr>
        <w:t>填写单位</w:t>
      </w:r>
      <w:r>
        <w:rPr>
          <w:rFonts w:asciiTheme="minorEastAsia" w:hAnsiTheme="minorEastAsia" w:eastAsiaTheme="minorEastAsia"/>
          <w:b/>
          <w:color w:val="000000" w:themeColor="text1"/>
          <w:u w:val="single"/>
          <w14:textFill>
            <w14:solidFill>
              <w14:schemeClr w14:val="tx1"/>
            </w14:solidFill>
          </w14:textFill>
        </w:rPr>
        <w:t xml:space="preserve">    、地址   </w:t>
      </w:r>
      <w:r>
        <w:rPr>
          <w:rFonts w:hint="eastAsia" w:asciiTheme="minorEastAsia" w:hAnsiTheme="minorEastAsia" w:eastAsiaTheme="minorEastAsia"/>
          <w:color w:val="000000" w:themeColor="text1"/>
          <w:u w:val="single"/>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提交投标文件。</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我方已完全明白采购文件的所有条款要求，兹声明同意如下：</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1.我方同意在投标人须知规定的开标日期起遵守本投标文件中的承诺且在投标有效期满之前均具有约束力。</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我方承诺已经具备《中华人民共和国政府采购法》中规定的参加政府采购活动的供应商应当具备的条件</w:t>
      </w:r>
      <w:r>
        <w:rPr>
          <w:rFonts w:asciiTheme="minorEastAsia" w:hAnsiTheme="minorEastAsia" w:eastAsiaTheme="minorEastAsia"/>
          <w:color w:val="000000" w:themeColor="text1"/>
          <w14:textFill>
            <w14:solidFill>
              <w14:schemeClr w14:val="tx1"/>
            </w14:solidFill>
          </w14:textFill>
        </w:rPr>
        <w:t>。</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3.我方投标文件中填列的技术参数、配置、服务、数量等相关内容都是真实、准确的。保证在本次项目中所提供的资料全部真实和合法。同意向</w:t>
      </w:r>
      <w:r>
        <w:rPr>
          <w:rFonts w:hint="eastAsia" w:asciiTheme="minorEastAsia" w:hAnsiTheme="minorEastAsia" w:eastAsiaTheme="minorEastAsia"/>
          <w:color w:val="000000" w:themeColor="text1"/>
          <w14:textFill>
            <w14:solidFill>
              <w14:schemeClr w14:val="tx1"/>
            </w14:solidFill>
          </w14:textFill>
        </w:rPr>
        <w:t>融华工程管理有限公司</w:t>
      </w:r>
      <w:r>
        <w:rPr>
          <w:rFonts w:asciiTheme="minorEastAsia" w:hAnsiTheme="minorEastAsia" w:eastAsiaTheme="minorEastAsia"/>
          <w:color w:val="000000" w:themeColor="text1"/>
          <w14:textFill>
            <w14:solidFill>
              <w14:schemeClr w14:val="tx1"/>
            </w14:solidFill>
          </w14:textFill>
        </w:rPr>
        <w:t>提供可能另外要求的与投标有关的任何数据或资料。</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4.我方理解贵方将不受你们所收到的最低报价的约束。</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5.本投标自开标之日（投标截止之日）起90天内有效。</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a)提供虚假材料谋取中标、成交的；</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b)采取不正当手段诋毁、排挤其他供应商的；</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c)与采购人、其它供应商或者招标代理机构恶意串通的；</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d)向采购人、招标代理机构行贿或者提供其他不正当利益的；</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e)在招标采购过程中与采购人进行协商谈判的；</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f)拒绝有关部门监督检查或提供虚假情况的。</w:t>
      </w:r>
    </w:p>
    <w:p>
      <w:pPr>
        <w:spacing w:line="44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供应商有前款第a)至e)项情形之一的，中标、成交无效。</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地址： </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邮政编码：</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电话：</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传真：</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开户银行：</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帐号：</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w:t>
      </w:r>
      <w:r>
        <w:rPr>
          <w:rFonts w:asciiTheme="minorEastAsia" w:hAnsiTheme="minorEastAsia" w:eastAsiaTheme="minorEastAsia"/>
          <w:color w:val="000000" w:themeColor="text1"/>
          <w14:textFill>
            <w14:solidFill>
              <w14:schemeClr w14:val="tx1"/>
            </w14:solidFill>
          </w14:textFill>
        </w:rPr>
        <w:t>(签字或盖章)：</w:t>
      </w:r>
    </w:p>
    <w:p>
      <w:pPr>
        <w:spacing w:line="440" w:lineRule="exact"/>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asciiTheme="minorEastAsia" w:hAnsiTheme="minorEastAsia" w:eastAsiaTheme="minorEastAsia"/>
          <w:color w:val="000000" w:themeColor="text1"/>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 xml:space="preserve">                     日期：   </w:t>
      </w:r>
    </w:p>
    <w:p>
      <w:pPr>
        <w:rPr>
          <w:rFonts w:asciiTheme="minorEastAsia" w:hAnsiTheme="minorEastAsia" w:eastAsiaTheme="minorEastAsia"/>
          <w:b/>
          <w:color w:val="000000" w:themeColor="text1"/>
          <w14:textFill>
            <w14:solidFill>
              <w14:schemeClr w14:val="tx1"/>
            </w14:solidFill>
          </w14:textFill>
        </w:rPr>
        <w:sectPr>
          <w:headerReference r:id="rId13" w:type="first"/>
          <w:footerReference r:id="rId15" w:type="first"/>
          <w:headerReference r:id="rId12" w:type="default"/>
          <w:footerReference r:id="rId14" w:type="default"/>
          <w:pgSz w:w="11907" w:h="16839"/>
          <w:pgMar w:top="1304" w:right="1361" w:bottom="1361" w:left="1588" w:header="1135" w:footer="992" w:gutter="0"/>
          <w:pgNumType w:fmt="decimal"/>
          <w:cols w:space="720" w:num="1"/>
          <w:titlePg/>
          <w:docGrid w:linePitch="326" w:charSpace="0"/>
        </w:sectPr>
      </w:pPr>
    </w:p>
    <w:p>
      <w:pPr>
        <w:adjustRightInd w:val="0"/>
        <w:spacing w:line="360" w:lineRule="auto"/>
        <w:outlineLvl w:val="3"/>
        <w:rPr>
          <w:rFonts w:cs="仿宋_GB2312" w:asciiTheme="minorEastAsia" w:hAnsiTheme="minorEastAsia" w:eastAsiaTheme="minorEastAsia"/>
          <w:b/>
          <w:color w:val="000000" w:themeColor="text1"/>
          <w:sz w:val="30"/>
          <w:szCs w:val="30"/>
          <w14:textFill>
            <w14:solidFill>
              <w14:schemeClr w14:val="tx1"/>
            </w14:solidFill>
          </w14:textFill>
        </w:rPr>
      </w:pPr>
      <w:r>
        <w:rPr>
          <w:rFonts w:cs="仿宋_GB2312" w:asciiTheme="minorEastAsia" w:hAnsiTheme="minorEastAsia" w:eastAsiaTheme="minorEastAsia"/>
          <w:b/>
          <w:color w:val="000000" w:themeColor="text1"/>
          <w:sz w:val="30"/>
          <w:szCs w:val="30"/>
          <w14:textFill>
            <w14:solidFill>
              <w14:schemeClr w14:val="tx1"/>
            </w14:solidFill>
          </w14:textFill>
        </w:rPr>
        <w:t>2、开标一览表（格式）</w:t>
      </w:r>
    </w:p>
    <w:p>
      <w:pPr>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投标人名称：</w:t>
      </w:r>
    </w:p>
    <w:p>
      <w:pPr>
        <w:snapToGrid w:val="0"/>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标</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项：</w:t>
      </w:r>
    </w:p>
    <w:p>
      <w:pPr>
        <w:snapToGrid w:val="0"/>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招标编号：</w:t>
      </w:r>
    </w:p>
    <w:p>
      <w:pPr>
        <w:pStyle w:val="18"/>
        <w:jc w:val="center"/>
        <w:outlineLvl w:val="3"/>
        <w:rPr>
          <w:rFonts w:hint="eastAsia" w:ascii="宋体" w:hAnsi="宋体" w:cs="宋体"/>
          <w:b/>
          <w:sz w:val="30"/>
          <w:szCs w:val="30"/>
          <w:lang w:val="en-US" w:eastAsia="zh-CN"/>
        </w:rPr>
      </w:pPr>
      <w:r>
        <w:rPr>
          <w:rFonts w:hint="eastAsia" w:ascii="宋体" w:hAnsi="宋体" w:cs="宋体"/>
          <w:b/>
          <w:sz w:val="30"/>
          <w:szCs w:val="30"/>
          <w:lang w:val="en-US" w:eastAsia="zh-CN"/>
        </w:rPr>
        <w:t>（1）投标报价汇总表</w:t>
      </w:r>
    </w:p>
    <w:p>
      <w:pPr>
        <w:tabs>
          <w:tab w:val="left" w:pos="2694"/>
          <w:tab w:val="left" w:pos="4648"/>
        </w:tabs>
        <w:ind w:right="241" w:firstLine="241" w:firstLineChars="100"/>
        <w:jc w:val="right"/>
        <w:rPr>
          <w:rFonts w:hint="eastAsia"/>
          <w:b/>
          <w:szCs w:val="21"/>
        </w:rPr>
      </w:pPr>
      <w:r>
        <w:rPr>
          <w:rFonts w:hint="eastAsia"/>
          <w:b/>
          <w:szCs w:val="21"/>
        </w:rPr>
        <w:t>单位：元</w:t>
      </w:r>
    </w:p>
    <w:tbl>
      <w:tblPr>
        <w:tblStyle w:val="43"/>
        <w:tblpPr w:leftFromText="180" w:rightFromText="180" w:vertAnchor="text" w:horzAnchor="page" w:tblpX="1068" w:tblpY="56"/>
        <w:tblOverlap w:val="never"/>
        <w:tblW w:w="57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1"/>
        <w:gridCol w:w="1003"/>
        <w:gridCol w:w="1210"/>
        <w:gridCol w:w="1380"/>
        <w:gridCol w:w="1131"/>
        <w:gridCol w:w="4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43" w:type="pct"/>
            <w:gridSpan w:val="2"/>
            <w:shd w:val="clear" w:color="auto" w:fill="FFFFFF"/>
            <w:noWrap w:val="0"/>
            <w:vAlign w:val="center"/>
          </w:tcPr>
          <w:p>
            <w:pPr>
              <w:spacing w:line="400" w:lineRule="exact"/>
              <w:jc w:val="center"/>
              <w:rPr>
                <w:rFonts w:hint="eastAsia"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类别</w:t>
            </w:r>
          </w:p>
        </w:tc>
        <w:tc>
          <w:tcPr>
            <w:tcW w:w="584" w:type="pct"/>
            <w:shd w:val="clear" w:color="auto" w:fill="FFFFFF"/>
            <w:noWrap w:val="0"/>
            <w:vAlign w:val="center"/>
          </w:tcPr>
          <w:p>
            <w:pPr>
              <w:spacing w:line="400" w:lineRule="exact"/>
              <w:jc w:val="center"/>
              <w:rPr>
                <w:rFonts w:hint="default" w:asciiTheme="minorEastAsia" w:hAnsiTheme="minorEastAsia" w:eastAsiaTheme="minorEastAsia"/>
                <w:b/>
                <w:bCs/>
                <w:color w:val="000000" w:themeColor="text1"/>
                <w:lang w:eastAsia="zh-CN"/>
                <w14:textFill>
                  <w14:solidFill>
                    <w14:schemeClr w14:val="tx1"/>
                  </w14:solidFill>
                </w14:textFill>
              </w:rPr>
            </w:pPr>
            <w:r>
              <w:rPr>
                <w:rFonts w:hint="default" w:asciiTheme="minorEastAsia" w:hAnsiTheme="minorEastAsia" w:eastAsiaTheme="minorEastAsia"/>
                <w:b/>
                <w:bCs/>
                <w:color w:val="000000" w:themeColor="text1"/>
                <w:lang w:eastAsia="zh-CN"/>
                <w14:textFill>
                  <w14:solidFill>
                    <w14:schemeClr w14:val="tx1"/>
                  </w14:solidFill>
                </w14:textFill>
              </w:rPr>
              <w:t>服务期限</w:t>
            </w:r>
          </w:p>
          <w:p>
            <w:pPr>
              <w:spacing w:line="400" w:lineRule="exact"/>
              <w:jc w:val="center"/>
              <w:rPr>
                <w:rFonts w:hint="default" w:asciiTheme="minorEastAsia" w:hAnsiTheme="minorEastAsia" w:eastAsiaTheme="minorEastAsia"/>
                <w:b/>
                <w:bCs/>
                <w:color w:val="000000" w:themeColor="text1"/>
                <w:lang w:eastAsia="zh-CN"/>
                <w14:textFill>
                  <w14:solidFill>
                    <w14:schemeClr w14:val="tx1"/>
                  </w14:solidFill>
                </w14:textFill>
              </w:rPr>
            </w:pPr>
            <w:r>
              <w:rPr>
                <w:rFonts w:hint="default" w:asciiTheme="minorEastAsia" w:hAnsiTheme="minorEastAsia" w:eastAsiaTheme="minorEastAsia"/>
                <w:b/>
                <w:bCs/>
                <w:color w:val="000000" w:themeColor="text1"/>
                <w:lang w:eastAsia="zh-CN"/>
                <w14:textFill>
                  <w14:solidFill>
                    <w14:schemeClr w14:val="tx1"/>
                  </w14:solidFill>
                </w14:textFill>
              </w:rPr>
              <w:t>（月）</w:t>
            </w:r>
          </w:p>
        </w:tc>
        <w:tc>
          <w:tcPr>
            <w:tcW w:w="666" w:type="pct"/>
            <w:shd w:val="clear" w:color="auto" w:fill="FFFFFF"/>
            <w:noWrap w:val="0"/>
            <w:vAlign w:val="center"/>
          </w:tcPr>
          <w:p>
            <w:pPr>
              <w:spacing w:line="400" w:lineRule="exact"/>
              <w:jc w:val="center"/>
              <w:rPr>
                <w:rFonts w:hint="default" w:asciiTheme="minorEastAsia" w:hAnsiTheme="minorEastAsia" w:eastAsiaTheme="minorEastAsia"/>
                <w:b/>
                <w:bCs/>
                <w:color w:val="000000" w:themeColor="text1"/>
                <w14:textFill>
                  <w14:solidFill>
                    <w14:schemeClr w14:val="tx1"/>
                  </w14:solidFill>
                </w14:textFill>
              </w:rPr>
            </w:pPr>
            <w:r>
              <w:rPr>
                <w:rFonts w:hint="default" w:asciiTheme="minorEastAsia" w:hAnsiTheme="minorEastAsia" w:eastAsiaTheme="minorEastAsia"/>
                <w:b/>
                <w:bCs/>
                <w:color w:val="000000" w:themeColor="text1"/>
                <w14:textFill>
                  <w14:solidFill>
                    <w14:schemeClr w14:val="tx1"/>
                  </w14:solidFill>
                </w14:textFill>
              </w:rPr>
              <w:t>综合单价</w:t>
            </w:r>
          </w:p>
          <w:p>
            <w:pPr>
              <w:spacing w:line="400" w:lineRule="exact"/>
              <w:jc w:val="center"/>
              <w:rPr>
                <w:rFonts w:hint="eastAsia" w:asciiTheme="minorEastAsia" w:hAnsiTheme="minorEastAsia" w:eastAsiaTheme="minorEastAsia"/>
                <w:b/>
                <w:bCs/>
                <w:color w:val="000000" w:themeColor="text1"/>
                <w:lang w:eastAsia="zh-CN"/>
                <w14:textFill>
                  <w14:solidFill>
                    <w14:schemeClr w14:val="tx1"/>
                  </w14:solidFill>
                </w14:textFill>
              </w:rPr>
            </w:pPr>
            <w:r>
              <w:rPr>
                <w:rFonts w:hint="default" w:asciiTheme="minorEastAsia" w:hAnsiTheme="minorEastAsia" w:eastAsiaTheme="minorEastAsia"/>
                <w:b/>
                <w:bCs/>
                <w:color w:val="000000" w:themeColor="text1"/>
                <w:lang w:eastAsia="zh-CN"/>
                <w14:textFill>
                  <w14:solidFill>
                    <w14:schemeClr w14:val="tx1"/>
                  </w14:solidFill>
                </w14:textFill>
              </w:rPr>
              <w:t>（元</w:t>
            </w:r>
            <w:r>
              <w:rPr>
                <w:rFonts w:hint="eastAsia" w:asciiTheme="minorEastAsia" w:hAnsiTheme="minorEastAsia" w:eastAsiaTheme="minorEastAsia"/>
                <w:b/>
                <w:bCs/>
                <w:color w:val="000000" w:themeColor="text1"/>
                <w:lang w:val="en-US" w:eastAsia="zh-CN"/>
                <w14:textFill>
                  <w14:solidFill>
                    <w14:schemeClr w14:val="tx1"/>
                  </w14:solidFill>
                </w14:textFill>
              </w:rPr>
              <w:t>/月</w:t>
            </w:r>
            <w:r>
              <w:rPr>
                <w:rFonts w:hint="default" w:asciiTheme="minorEastAsia" w:hAnsiTheme="minorEastAsia" w:eastAsiaTheme="minorEastAsia"/>
                <w:b/>
                <w:bCs/>
                <w:color w:val="000000" w:themeColor="text1"/>
                <w:lang w:eastAsia="zh-CN"/>
                <w14:textFill>
                  <w14:solidFill>
                    <w14:schemeClr w14:val="tx1"/>
                  </w14:solidFill>
                </w14:textFill>
              </w:rPr>
              <w:t>）</w:t>
            </w:r>
          </w:p>
        </w:tc>
        <w:tc>
          <w:tcPr>
            <w:tcW w:w="545" w:type="pct"/>
            <w:shd w:val="clear" w:color="auto" w:fill="FFFFFF"/>
            <w:noWrap w:val="0"/>
            <w:vAlign w:val="center"/>
          </w:tcPr>
          <w:p>
            <w:pPr>
              <w:spacing w:line="400" w:lineRule="exact"/>
              <w:jc w:val="center"/>
              <w:rPr>
                <w:rFonts w:hint="default" w:asciiTheme="minorEastAsia" w:hAnsiTheme="minorEastAsia" w:eastAsiaTheme="minorEastAsia"/>
                <w:b/>
                <w:bCs/>
                <w:color w:val="000000" w:themeColor="text1"/>
                <w14:textFill>
                  <w14:solidFill>
                    <w14:schemeClr w14:val="tx1"/>
                  </w14:solidFill>
                </w14:textFill>
              </w:rPr>
            </w:pPr>
            <w:r>
              <w:rPr>
                <w:rFonts w:hint="default" w:asciiTheme="minorEastAsia" w:hAnsiTheme="minorEastAsia" w:eastAsiaTheme="minorEastAsia"/>
                <w:b/>
                <w:bCs/>
                <w:color w:val="000000" w:themeColor="text1"/>
                <w14:textFill>
                  <w14:solidFill>
                    <w14:schemeClr w14:val="tx1"/>
                  </w14:solidFill>
                </w14:textFill>
              </w:rPr>
              <w:t>合计</w:t>
            </w:r>
          </w:p>
          <w:p>
            <w:pPr>
              <w:spacing w:line="400" w:lineRule="exact"/>
              <w:jc w:val="center"/>
              <w:rPr>
                <w:rFonts w:hint="eastAsia" w:asciiTheme="minorEastAsia" w:hAnsiTheme="minorEastAsia" w:eastAsiaTheme="minorEastAsia"/>
                <w:b/>
                <w:bCs/>
                <w:color w:val="000000" w:themeColor="text1"/>
                <w14:textFill>
                  <w14:solidFill>
                    <w14:schemeClr w14:val="tx1"/>
                  </w14:solidFill>
                </w14:textFill>
              </w:rPr>
            </w:pPr>
            <w:r>
              <w:rPr>
                <w:rFonts w:hint="default" w:asciiTheme="minorEastAsia" w:hAnsiTheme="minorEastAsia" w:eastAsiaTheme="minorEastAsia"/>
                <w:b/>
                <w:bCs/>
                <w:color w:val="000000" w:themeColor="text1"/>
                <w14:textFill>
                  <w14:solidFill>
                    <w14:schemeClr w14:val="tx1"/>
                  </w14:solidFill>
                </w14:textFill>
              </w:rPr>
              <w:t>（元）</w:t>
            </w:r>
          </w:p>
        </w:tc>
        <w:tc>
          <w:tcPr>
            <w:tcW w:w="2260" w:type="pct"/>
            <w:shd w:val="clear" w:color="auto" w:fill="FFFFFF"/>
            <w:noWrap w:val="0"/>
            <w:vAlign w:val="center"/>
          </w:tcPr>
          <w:p>
            <w:pPr>
              <w:spacing w:line="400" w:lineRule="exact"/>
              <w:jc w:val="center"/>
              <w:rPr>
                <w:rFonts w:hint="eastAsia" w:asciiTheme="minorEastAsia" w:hAnsiTheme="minorEastAsia" w:eastAsiaTheme="minorEastAsia"/>
                <w:b/>
                <w:bCs/>
                <w:color w:val="000000" w:themeColor="text1"/>
                <w:lang w:eastAsia="zh-CN"/>
                <w14:textFill>
                  <w14:solidFill>
                    <w14:schemeClr w14:val="tx1"/>
                  </w14:solidFill>
                </w14:textFill>
              </w:rPr>
            </w:pPr>
            <w:r>
              <w:rPr>
                <w:rFonts w:hint="eastAsia" w:asciiTheme="minorEastAsia" w:hAnsiTheme="minorEastAsia" w:eastAsiaTheme="minorEastAsia"/>
                <w:b/>
                <w:bCs/>
                <w:color w:val="000000" w:themeColor="text1"/>
                <w:lang w:eastAsia="zh-CN"/>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459" w:type="pct"/>
            <w:vMerge w:val="restart"/>
            <w:shd w:val="clear" w:color="auto" w:fill="FFFFFF"/>
            <w:noWrap w:val="0"/>
            <w:tcMar>
              <w:top w:w="15" w:type="dxa"/>
              <w:left w:w="15" w:type="dxa"/>
              <w:right w:w="15" w:type="dxa"/>
            </w:tcMar>
            <w:vAlign w:val="center"/>
          </w:tcPr>
          <w:p>
            <w:pPr>
              <w:spacing w:line="400" w:lineRule="exact"/>
              <w:jc w:val="center"/>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日常维保费用</w:t>
            </w:r>
          </w:p>
        </w:tc>
        <w:tc>
          <w:tcPr>
            <w:tcW w:w="484" w:type="pct"/>
            <w:shd w:val="clear" w:color="auto" w:fill="FFFFFF"/>
            <w:noWrap w:val="0"/>
            <w:tcMar>
              <w:top w:w="15" w:type="dxa"/>
              <w:left w:w="15" w:type="dxa"/>
              <w:right w:w="15" w:type="dxa"/>
            </w:tcMar>
            <w:vAlign w:val="center"/>
          </w:tcPr>
          <w:p>
            <w:pPr>
              <w:spacing w:line="400" w:lineRule="exact"/>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筹备期</w:t>
            </w:r>
          </w:p>
        </w:tc>
        <w:tc>
          <w:tcPr>
            <w:tcW w:w="584" w:type="pct"/>
            <w:shd w:val="clear" w:color="auto" w:fill="FFFFFF"/>
            <w:noWrap w:val="0"/>
            <w:vAlign w:val="center"/>
          </w:tcPr>
          <w:p>
            <w:pPr>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w:t>
            </w:r>
          </w:p>
        </w:tc>
        <w:tc>
          <w:tcPr>
            <w:tcW w:w="666" w:type="pct"/>
            <w:shd w:val="clear" w:color="auto" w:fill="FFFFFF"/>
            <w:noWrap w:val="0"/>
            <w:vAlign w:val="center"/>
          </w:tcPr>
          <w:p>
            <w:pPr>
              <w:spacing w:line="400" w:lineRule="exact"/>
              <w:jc w:val="center"/>
              <w:rPr>
                <w:rFonts w:hint="eastAsia" w:asciiTheme="minorEastAsia" w:hAnsiTheme="minorEastAsia" w:eastAsiaTheme="minorEastAsia"/>
                <w:color w:val="000000" w:themeColor="text1"/>
                <w14:textFill>
                  <w14:solidFill>
                    <w14:schemeClr w14:val="tx1"/>
                  </w14:solidFill>
                </w14:textFill>
              </w:rPr>
            </w:pPr>
          </w:p>
        </w:tc>
        <w:tc>
          <w:tcPr>
            <w:tcW w:w="545" w:type="pct"/>
            <w:shd w:val="clear" w:color="auto" w:fill="FFFFFF"/>
            <w:noWrap w:val="0"/>
            <w:vAlign w:val="center"/>
          </w:tcPr>
          <w:p>
            <w:pPr>
              <w:spacing w:line="400" w:lineRule="exact"/>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2260" w:type="pct"/>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lang w:val="en-US" w:eastAsia="zh-CN"/>
              </w:rPr>
            </w:pPr>
            <w:r>
              <w:rPr>
                <w:rFonts w:hint="eastAsia"/>
                <w:lang w:val="en-US" w:eastAsia="zh-CN"/>
              </w:rPr>
              <w:t>1、维保单位负责所有相关工作所需的人工、备品备件及材料、工器具及机械设备等，相关费用包含在总价内。</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lang w:val="en-US" w:eastAsia="zh-CN"/>
              </w:rPr>
            </w:pPr>
            <w:r>
              <w:rPr>
                <w:rFonts w:hint="eastAsia"/>
                <w:lang w:val="en-US" w:eastAsia="zh-CN"/>
              </w:rPr>
              <w:t>2、维保单位需考虑《招标项目范围及要求》中所列所有人员需求，需在前期和日常维保费用中综合考虑，并在（2）、（3）、（4）、（5）明细单中列明。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59" w:type="pct"/>
            <w:vMerge w:val="continue"/>
            <w:shd w:val="clear" w:color="auto" w:fill="FFFFFF"/>
            <w:noWrap w:val="0"/>
            <w:tcMar>
              <w:top w:w="15" w:type="dxa"/>
              <w:left w:w="15" w:type="dxa"/>
              <w:right w:w="15" w:type="dxa"/>
            </w:tcMar>
            <w:vAlign w:val="center"/>
          </w:tcPr>
          <w:p>
            <w:pPr>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p>
        </w:tc>
        <w:tc>
          <w:tcPr>
            <w:tcW w:w="484" w:type="pct"/>
            <w:tcBorders>
              <w:bottom w:val="single" w:color="auto" w:sz="4" w:space="0"/>
            </w:tcBorders>
            <w:shd w:val="clear" w:color="auto" w:fill="FFFFFF"/>
            <w:noWrap w:val="0"/>
            <w:tcMar>
              <w:top w:w="15" w:type="dxa"/>
              <w:left w:w="15" w:type="dxa"/>
              <w:right w:w="15" w:type="dxa"/>
            </w:tcMar>
            <w:vAlign w:val="center"/>
          </w:tcPr>
          <w:p>
            <w:pPr>
              <w:spacing w:line="400" w:lineRule="exact"/>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试运行期</w:t>
            </w:r>
          </w:p>
        </w:tc>
        <w:tc>
          <w:tcPr>
            <w:tcW w:w="584" w:type="pct"/>
            <w:shd w:val="clear" w:color="auto" w:fill="FFFFFF"/>
            <w:noWrap w:val="0"/>
            <w:vAlign w:val="center"/>
          </w:tcPr>
          <w:p>
            <w:pPr>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3</w:t>
            </w:r>
          </w:p>
        </w:tc>
        <w:tc>
          <w:tcPr>
            <w:tcW w:w="666" w:type="pct"/>
            <w:shd w:val="clear" w:color="auto" w:fill="FFFFFF"/>
            <w:noWrap w:val="0"/>
            <w:vAlign w:val="center"/>
          </w:tcPr>
          <w:p>
            <w:pPr>
              <w:spacing w:line="400" w:lineRule="exact"/>
              <w:jc w:val="center"/>
              <w:rPr>
                <w:rFonts w:hint="eastAsia" w:asciiTheme="minorEastAsia" w:hAnsiTheme="minorEastAsia" w:eastAsiaTheme="minorEastAsia"/>
                <w:color w:val="000000" w:themeColor="text1"/>
                <w14:textFill>
                  <w14:solidFill>
                    <w14:schemeClr w14:val="tx1"/>
                  </w14:solidFill>
                </w14:textFill>
              </w:rPr>
            </w:pPr>
          </w:p>
        </w:tc>
        <w:tc>
          <w:tcPr>
            <w:tcW w:w="545" w:type="pct"/>
            <w:shd w:val="clear" w:color="auto" w:fill="FFFFFF"/>
            <w:noWrap w:val="0"/>
            <w:vAlign w:val="center"/>
          </w:tcPr>
          <w:p>
            <w:pPr>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p>
        </w:tc>
        <w:tc>
          <w:tcPr>
            <w:tcW w:w="2260" w:type="pct"/>
            <w:vMerge w:val="continue"/>
            <w:shd w:val="clear" w:color="auto" w:fill="FFFFFF"/>
            <w:noWrap w:val="0"/>
            <w:vAlign w:val="top"/>
          </w:tcPr>
          <w:p>
            <w:pPr>
              <w:rPr>
                <w:rFonts w:hint="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459" w:type="pct"/>
            <w:vMerge w:val="continue"/>
            <w:shd w:val="clear" w:color="auto" w:fill="FFFFFF"/>
            <w:noWrap w:val="0"/>
            <w:tcMar>
              <w:top w:w="15" w:type="dxa"/>
              <w:left w:w="15" w:type="dxa"/>
              <w:right w:w="15" w:type="dxa"/>
            </w:tcMar>
            <w:vAlign w:val="center"/>
          </w:tcPr>
          <w:p>
            <w:pPr>
              <w:spacing w:line="400" w:lineRule="exact"/>
              <w:jc w:val="center"/>
              <w:rPr>
                <w:rFonts w:hint="eastAsia" w:asciiTheme="minorEastAsia" w:hAnsiTheme="minorEastAsia" w:eastAsiaTheme="minorEastAsia"/>
                <w:color w:val="000000" w:themeColor="text1"/>
                <w14:textFill>
                  <w14:solidFill>
                    <w14:schemeClr w14:val="tx1"/>
                  </w14:solidFill>
                </w14:textFill>
              </w:rPr>
            </w:pPr>
          </w:p>
        </w:tc>
        <w:tc>
          <w:tcPr>
            <w:tcW w:w="484" w:type="pct"/>
            <w:shd w:val="clear" w:color="auto" w:fill="FFFFFF"/>
            <w:noWrap w:val="0"/>
            <w:tcMar>
              <w:top w:w="15" w:type="dxa"/>
              <w:left w:w="15" w:type="dxa"/>
              <w:right w:w="15" w:type="dxa"/>
            </w:tcMar>
            <w:vAlign w:val="center"/>
          </w:tcPr>
          <w:p>
            <w:pPr>
              <w:spacing w:line="400" w:lineRule="exact"/>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质保期</w:t>
            </w:r>
            <w:r>
              <w:rPr>
                <w:rFonts w:hint="eastAsia" w:asciiTheme="minorEastAsia" w:hAnsiTheme="minorEastAsia" w:eastAsiaTheme="minorEastAsia"/>
                <w:color w:val="000000" w:themeColor="text1"/>
                <w:lang w:val="en-US" w:eastAsia="zh-CN"/>
                <w14:textFill>
                  <w14:solidFill>
                    <w14:schemeClr w14:val="tx1"/>
                  </w14:solidFill>
                </w14:textFill>
              </w:rPr>
              <w:t>内</w:t>
            </w:r>
          </w:p>
        </w:tc>
        <w:tc>
          <w:tcPr>
            <w:tcW w:w="584" w:type="pct"/>
            <w:shd w:val="clear" w:color="auto" w:fill="FFFFFF"/>
            <w:noWrap w:val="0"/>
            <w:vAlign w:val="center"/>
          </w:tcPr>
          <w:p>
            <w:pPr>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24</w:t>
            </w:r>
          </w:p>
        </w:tc>
        <w:tc>
          <w:tcPr>
            <w:tcW w:w="666" w:type="pct"/>
            <w:shd w:val="clear" w:color="auto" w:fill="FFFFFF"/>
            <w:noWrap w:val="0"/>
            <w:vAlign w:val="center"/>
          </w:tcPr>
          <w:p>
            <w:pPr>
              <w:spacing w:line="400" w:lineRule="exact"/>
              <w:jc w:val="center"/>
              <w:rPr>
                <w:rFonts w:hint="eastAsia" w:asciiTheme="minorEastAsia" w:hAnsiTheme="minorEastAsia" w:eastAsiaTheme="minorEastAsia"/>
                <w:color w:val="000000" w:themeColor="text1"/>
                <w14:textFill>
                  <w14:solidFill>
                    <w14:schemeClr w14:val="tx1"/>
                  </w14:solidFill>
                </w14:textFill>
              </w:rPr>
            </w:pPr>
          </w:p>
        </w:tc>
        <w:tc>
          <w:tcPr>
            <w:tcW w:w="545" w:type="pct"/>
            <w:shd w:val="clear" w:color="auto" w:fill="FFFFFF"/>
            <w:noWrap w:val="0"/>
            <w:vAlign w:val="center"/>
          </w:tcPr>
          <w:p>
            <w:pPr>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p>
        </w:tc>
        <w:tc>
          <w:tcPr>
            <w:tcW w:w="2260" w:type="pct"/>
            <w:vMerge w:val="continue"/>
            <w:shd w:val="clear" w:color="auto" w:fill="FFFFFF"/>
            <w:noWrap w:val="0"/>
            <w:vAlign w:val="top"/>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459" w:type="pct"/>
            <w:vMerge w:val="continue"/>
            <w:shd w:val="clear" w:color="auto" w:fill="FFFFFF"/>
            <w:noWrap w:val="0"/>
            <w:tcMar>
              <w:top w:w="15" w:type="dxa"/>
              <w:left w:w="15" w:type="dxa"/>
              <w:right w:w="15" w:type="dxa"/>
            </w:tcMar>
            <w:vAlign w:val="center"/>
          </w:tcPr>
          <w:p>
            <w:pPr>
              <w:spacing w:line="400" w:lineRule="exact"/>
              <w:jc w:val="center"/>
              <w:rPr>
                <w:rFonts w:hint="eastAsia" w:asciiTheme="minorEastAsia" w:hAnsiTheme="minorEastAsia" w:eastAsiaTheme="minorEastAsia"/>
                <w:color w:val="000000" w:themeColor="text1"/>
                <w14:textFill>
                  <w14:solidFill>
                    <w14:schemeClr w14:val="tx1"/>
                  </w14:solidFill>
                </w14:textFill>
              </w:rPr>
            </w:pPr>
          </w:p>
        </w:tc>
        <w:tc>
          <w:tcPr>
            <w:tcW w:w="484" w:type="pct"/>
            <w:shd w:val="clear" w:color="auto" w:fill="FFFFFF"/>
            <w:noWrap w:val="0"/>
            <w:vAlign w:val="center"/>
          </w:tcPr>
          <w:p>
            <w:pPr>
              <w:spacing w:line="400" w:lineRule="exact"/>
              <w:jc w:val="center"/>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质保期外</w:t>
            </w:r>
          </w:p>
        </w:tc>
        <w:tc>
          <w:tcPr>
            <w:tcW w:w="584" w:type="pct"/>
            <w:shd w:val="clear" w:color="auto" w:fill="FFFFFF"/>
            <w:noWrap w:val="0"/>
            <w:vAlign w:val="center"/>
          </w:tcPr>
          <w:p>
            <w:pPr>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12</w:t>
            </w:r>
          </w:p>
        </w:tc>
        <w:tc>
          <w:tcPr>
            <w:tcW w:w="666" w:type="pct"/>
            <w:shd w:val="clear" w:color="auto" w:fill="FFFFFF"/>
            <w:noWrap w:val="0"/>
            <w:vAlign w:val="center"/>
          </w:tcPr>
          <w:p>
            <w:pPr>
              <w:spacing w:line="400" w:lineRule="exact"/>
              <w:jc w:val="center"/>
              <w:rPr>
                <w:rFonts w:hint="eastAsia" w:asciiTheme="minorEastAsia" w:hAnsiTheme="minorEastAsia" w:eastAsiaTheme="minorEastAsia"/>
                <w:color w:val="000000" w:themeColor="text1"/>
                <w14:textFill>
                  <w14:solidFill>
                    <w14:schemeClr w14:val="tx1"/>
                  </w14:solidFill>
                </w14:textFill>
              </w:rPr>
            </w:pPr>
          </w:p>
        </w:tc>
        <w:tc>
          <w:tcPr>
            <w:tcW w:w="545" w:type="pct"/>
            <w:shd w:val="clear" w:color="auto" w:fill="FFFFFF"/>
            <w:noWrap w:val="0"/>
            <w:vAlign w:val="center"/>
          </w:tcPr>
          <w:p>
            <w:pPr>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p>
        </w:tc>
        <w:tc>
          <w:tcPr>
            <w:tcW w:w="2260" w:type="pct"/>
            <w:vMerge w:val="continue"/>
            <w:shd w:val="clear" w:color="auto" w:fill="FFFFFF"/>
            <w:noWrap w:val="0"/>
            <w:vAlign w:val="top"/>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4" w:hRule="atLeast"/>
        </w:trPr>
        <w:tc>
          <w:tcPr>
            <w:tcW w:w="943" w:type="pct"/>
            <w:gridSpan w:val="2"/>
            <w:shd w:val="clear" w:color="auto" w:fill="FFFFFF"/>
            <w:noWrap w:val="0"/>
            <w:tcMar>
              <w:top w:w="15" w:type="dxa"/>
              <w:left w:w="15" w:type="dxa"/>
              <w:right w:w="15" w:type="dxa"/>
            </w:tcMar>
            <w:vAlign w:val="center"/>
          </w:tcPr>
          <w:p>
            <w:pPr>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零星工程整改</w:t>
            </w:r>
          </w:p>
        </w:tc>
        <w:tc>
          <w:tcPr>
            <w:tcW w:w="584" w:type="pct"/>
            <w:tcBorders>
              <w:left w:val="single" w:color="auto" w:sz="4" w:space="0"/>
            </w:tcBorders>
            <w:shd w:val="clear" w:color="auto" w:fill="FFFFFF"/>
            <w:noWrap w:val="0"/>
            <w:vAlign w:val="center"/>
          </w:tcPr>
          <w:p>
            <w:pPr>
              <w:spacing w:line="400" w:lineRule="exact"/>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w:t>
            </w:r>
          </w:p>
        </w:tc>
        <w:tc>
          <w:tcPr>
            <w:tcW w:w="666" w:type="pct"/>
            <w:tcBorders>
              <w:left w:val="single" w:color="auto" w:sz="4" w:space="0"/>
            </w:tcBorders>
            <w:shd w:val="clear" w:color="auto" w:fill="FFFFFF"/>
            <w:noWrap w:val="0"/>
            <w:vAlign w:val="center"/>
          </w:tcPr>
          <w:p>
            <w:pPr>
              <w:spacing w:line="400" w:lineRule="exact"/>
              <w:jc w:val="center"/>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545" w:type="pct"/>
            <w:shd w:val="clear" w:color="auto" w:fill="FFFFFF"/>
            <w:noWrap w:val="0"/>
            <w:vAlign w:val="center"/>
          </w:tcPr>
          <w:p>
            <w:pPr>
              <w:spacing w:line="400" w:lineRule="exact"/>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2260" w:type="pct"/>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lang w:val="en-US" w:eastAsia="zh-CN"/>
              </w:rPr>
            </w:pPr>
            <w:r>
              <w:rPr>
                <w:rFonts w:hint="eastAsia"/>
                <w:lang w:val="en-US" w:eastAsia="zh-CN"/>
              </w:rPr>
              <w:t>1、维保单位负责所有相关工作所需的人工、备品备件及材料、工器具及机械设备等。</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lang w:val="en-US" w:eastAsia="zh-CN"/>
              </w:rPr>
            </w:pPr>
            <w:r>
              <w:rPr>
                <w:rFonts w:hint="eastAsia"/>
                <w:lang w:val="en-US" w:eastAsia="zh-CN"/>
              </w:rPr>
              <w:t>2、零星工程根据实际工程量据实结算，并在报价单6中列明清单。</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lang w:val="en-US" w:eastAsia="zh-CN"/>
              </w:rPr>
            </w:pPr>
            <w:r>
              <w:rPr>
                <w:rFonts w:hint="eastAsia"/>
                <w:lang w:val="en-US" w:eastAsia="zh-CN"/>
              </w:rPr>
              <w:t>3、《零星工程预估工程量清单》以外的故障病害修复，且单项单次材料费及税金在10000元及以上的工作内容列入零星工程整改费用。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943" w:type="pct"/>
            <w:gridSpan w:val="2"/>
            <w:shd w:val="clear" w:color="auto" w:fill="FFFFFF"/>
            <w:noWrap w:val="0"/>
            <w:tcMar>
              <w:top w:w="15" w:type="dxa"/>
              <w:left w:w="15" w:type="dxa"/>
              <w:right w:w="15" w:type="dxa"/>
            </w:tcMar>
            <w:vAlign w:val="center"/>
          </w:tcPr>
          <w:p>
            <w:pPr>
              <w:spacing w:line="400" w:lineRule="exact"/>
              <w:jc w:val="center"/>
              <w:rPr>
                <w:rFonts w:hint="eastAsia" w:asciiTheme="minorEastAsia" w:hAnsiTheme="minorEastAsia" w:eastAsiaTheme="minorEastAsia"/>
                <w:color w:val="000000" w:themeColor="text1"/>
                <w:lang w:eastAsia="zh-CN"/>
                <w14:textFill>
                  <w14:solidFill>
                    <w14:schemeClr w14:val="tx1"/>
                  </w14:solidFill>
                </w14:textFill>
              </w:rPr>
            </w:pPr>
            <w:r>
              <w:rPr>
                <w:rFonts w:hint="eastAsia" w:asciiTheme="minorEastAsia" w:hAnsiTheme="minorEastAsia" w:eastAsiaTheme="minorEastAsia"/>
                <w:color w:val="000000" w:themeColor="text1"/>
                <w:lang w:eastAsia="zh-CN"/>
                <w14:textFill>
                  <w14:solidFill>
                    <w14:schemeClr w14:val="tx1"/>
                  </w14:solidFill>
                </w14:textFill>
              </w:rPr>
              <w:t>总报价</w:t>
            </w:r>
          </w:p>
        </w:tc>
        <w:tc>
          <w:tcPr>
            <w:tcW w:w="1796" w:type="pct"/>
            <w:gridSpan w:val="3"/>
            <w:tcBorders>
              <w:left w:val="single" w:color="auto" w:sz="4" w:space="0"/>
            </w:tcBorders>
            <w:shd w:val="clear" w:color="auto" w:fill="FFFFFF"/>
            <w:noWrap w:val="0"/>
            <w:vAlign w:val="center"/>
          </w:tcPr>
          <w:p>
            <w:pPr>
              <w:spacing w:line="400" w:lineRule="exact"/>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大写：        小写：</w:t>
            </w:r>
          </w:p>
        </w:tc>
        <w:tc>
          <w:tcPr>
            <w:tcW w:w="2260" w:type="pct"/>
            <w:tcBorders>
              <w:left w:val="single" w:color="auto" w:sz="4" w:space="0"/>
            </w:tcBorders>
            <w:shd w:val="clear" w:color="auto" w:fill="FFFFFF"/>
            <w:noWrap w:val="0"/>
            <w:vAlign w:val="center"/>
          </w:tcPr>
          <w:p>
            <w:pPr>
              <w:spacing w:line="400" w:lineRule="exact"/>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报价为含税价，增值税率为：</w:t>
            </w:r>
            <w:r>
              <w:rPr>
                <w:rFonts w:hint="eastAsia" w:asciiTheme="minorEastAsia" w:hAnsiTheme="minorEastAsia" w:eastAsiaTheme="minorEastAsia"/>
                <w:color w:val="000000" w:themeColor="text1"/>
                <w:u w:val="single"/>
                <w:lang w:val="en-US" w:eastAsia="zh-CN"/>
                <w14:textFill>
                  <w14:solidFill>
                    <w14:schemeClr w14:val="tx1"/>
                  </w14:solidFill>
                </w14:textFill>
              </w:rPr>
              <w:t xml:space="preserve">   </w:t>
            </w:r>
            <w:r>
              <w:rPr>
                <w:rFonts w:hint="eastAsia" w:asciiTheme="minorEastAsia" w:hAnsiTheme="minorEastAsia" w:eastAsiaTheme="minorEastAsia"/>
                <w:color w:val="000000" w:themeColor="text1"/>
                <w:lang w:val="en-US" w:eastAsia="zh-CN"/>
                <w14:textFill>
                  <w14:solidFill>
                    <w14:schemeClr w14:val="tx1"/>
                  </w14:solidFill>
                </w14:textFill>
              </w:rPr>
              <w:t>%。</w:t>
            </w:r>
          </w:p>
        </w:tc>
      </w:tr>
    </w:tbl>
    <w:p>
      <w:pPr>
        <w:rPr>
          <w:rFonts w:hint="eastAsia"/>
          <w:lang w:val="en-US" w:eastAsia="zh-CN"/>
        </w:rPr>
      </w:pPr>
      <w:r>
        <w:rPr>
          <w:rFonts w:hint="eastAsia"/>
          <w:lang w:val="en-US" w:eastAsia="zh-CN"/>
        </w:rPr>
        <w:t>注:1、报价一经涂改，应在涂改处加盖单位公章或者由法定代表人或其授权代表签字或盖章，否则其投标作无效投标处理。</w:t>
      </w:r>
    </w:p>
    <w:p>
      <w:pPr>
        <w:rPr>
          <w:rFonts w:hint="eastAsia"/>
          <w:lang w:val="en-US" w:eastAsia="zh-CN"/>
        </w:rPr>
      </w:pPr>
      <w:r>
        <w:rPr>
          <w:rFonts w:hint="eastAsia"/>
          <w:lang w:val="en-US" w:eastAsia="zh-CN"/>
        </w:rPr>
        <w:t>2、招标人不接受某一标项中有2个(含)以上的报价或方案，若投标人在此表中有2个（含）以上的报价或方案，其投标作无效投标处理。</w:t>
      </w:r>
    </w:p>
    <w:p>
      <w:pPr>
        <w:rPr>
          <w:rFonts w:hint="eastAsia"/>
          <w:lang w:val="en-US" w:eastAsia="zh-CN"/>
        </w:rPr>
      </w:pPr>
      <w:r>
        <w:rPr>
          <w:rFonts w:hint="eastAsia"/>
          <w:lang w:val="en-US" w:eastAsia="zh-CN"/>
        </w:rPr>
        <w:t>3、投标人需按本表格式填写，如无对应内容，则填写：“无或/”。</w:t>
      </w:r>
    </w:p>
    <w:p>
      <w:pPr>
        <w:rPr>
          <w:rFonts w:hint="eastAsia"/>
          <w:highlight w:val="none"/>
          <w:lang w:val="en-US" w:eastAsia="zh-CN"/>
        </w:rPr>
      </w:pPr>
      <w:r>
        <w:rPr>
          <w:rFonts w:hint="eastAsia"/>
          <w:lang w:val="en-US" w:eastAsia="zh-CN"/>
        </w:rPr>
        <w:t>4、报价包括但不限于完成全部服务内容所涉及的费用，上述报价包含但不限于人工、材料及备品备件、仪器仪表及</w:t>
      </w:r>
      <w:r>
        <w:rPr>
          <w:rFonts w:hint="eastAsia"/>
          <w:highlight w:val="none"/>
          <w:lang w:val="en-US" w:eastAsia="zh-CN"/>
        </w:rPr>
        <w:t>机械使用、文本资料、工器具及劳保用品、项目管理及办公、安全措施、职业病防治、交通运输、检验检测、规费、利润及税金等所有一切相关费用及采购文件明示或暗示的所有责任、义务和风险等。未列项目的费用，由投标人综合考虑在已列项目投标报价中。</w:t>
      </w:r>
    </w:p>
    <w:p>
      <w:pPr>
        <w:rPr>
          <w:rFonts w:hint="eastAsia" w:eastAsiaTheme="minorEastAsia"/>
          <w:highlight w:val="none"/>
          <w:lang w:eastAsia="zh-CN"/>
        </w:rPr>
      </w:pPr>
      <w:r>
        <w:rPr>
          <w:rFonts w:hint="eastAsia"/>
          <w:highlight w:val="none"/>
          <w:lang w:val="en-US" w:eastAsia="zh-CN"/>
        </w:rPr>
        <w:t>5、</w:t>
      </w:r>
      <w:r>
        <w:rPr>
          <w:rFonts w:hint="eastAsia" w:asciiTheme="minorEastAsia" w:hAnsiTheme="minorEastAsia" w:eastAsiaTheme="minorEastAsia"/>
          <w:color w:val="000000" w:themeColor="text1"/>
          <w:highlight w:val="none"/>
          <w14:textFill>
            <w14:solidFill>
              <w14:schemeClr w14:val="tx1"/>
            </w14:solidFill>
          </w14:textFill>
        </w:rPr>
        <w:t>最高限价：</w:t>
      </w:r>
      <w:r>
        <w:rPr>
          <w:rFonts w:hint="eastAsia" w:asciiTheme="minorEastAsia" w:hAnsiTheme="minorEastAsia" w:eastAsiaTheme="minorEastAsia"/>
          <w:color w:val="000000" w:themeColor="text1"/>
          <w:highlight w:val="none"/>
          <w:lang w:val="en-US" w:eastAsia="zh-CN"/>
          <w14:textFill>
            <w14:solidFill>
              <w14:schemeClr w14:val="tx1"/>
            </w14:solidFill>
          </w14:textFill>
        </w:rPr>
        <w:t>16870000元</w:t>
      </w:r>
      <w:r>
        <w:rPr>
          <w:rFonts w:hint="eastAsia" w:asciiTheme="minorEastAsia" w:hAnsiTheme="minorEastAsia" w:eastAsiaTheme="minorEastAsia"/>
          <w:color w:val="000000" w:themeColor="text1"/>
          <w:highlight w:val="none"/>
          <w14:textFill>
            <w14:solidFill>
              <w14:schemeClr w14:val="tx1"/>
            </w14:solidFill>
          </w14:textFill>
        </w:rPr>
        <w:t>(其中日常维保费用最高限价为</w:t>
      </w:r>
      <w:r>
        <w:rPr>
          <w:rFonts w:hint="eastAsia" w:asciiTheme="minorEastAsia" w:hAnsiTheme="minorEastAsia" w:eastAsiaTheme="minorEastAsia"/>
          <w:color w:val="000000" w:themeColor="text1"/>
          <w:highlight w:val="none"/>
          <w:lang w:val="en-US" w:eastAsia="zh-CN"/>
          <w14:textFill>
            <w14:solidFill>
              <w14:schemeClr w14:val="tx1"/>
            </w14:solidFill>
          </w14:textFill>
        </w:rPr>
        <w:t>12900000</w:t>
      </w:r>
      <w:r>
        <w:rPr>
          <w:rFonts w:hint="eastAsia" w:asciiTheme="minorEastAsia" w:hAnsiTheme="minorEastAsia" w:eastAsiaTheme="minorEastAsia"/>
          <w:color w:val="000000" w:themeColor="text1"/>
          <w:highlight w:val="none"/>
          <w14:textFill>
            <w14:solidFill>
              <w14:schemeClr w14:val="tx1"/>
            </w14:solidFill>
          </w14:textFill>
        </w:rPr>
        <w:t>元）</w:t>
      </w:r>
      <w:r>
        <w:rPr>
          <w:rFonts w:hint="eastAsia" w:asciiTheme="minorEastAsia" w:hAnsiTheme="minorEastAsia" w:eastAsiaTheme="minorEastAsia"/>
          <w:color w:val="000000" w:themeColor="text1"/>
          <w:highlight w:val="none"/>
          <w:lang w:eastAsia="zh-CN"/>
          <w14:textFill>
            <w14:solidFill>
              <w14:schemeClr w14:val="tx1"/>
            </w14:solidFill>
          </w14:textFill>
        </w:rPr>
        <w:t>。</w:t>
      </w:r>
    </w:p>
    <w:p>
      <w:r>
        <w:rPr>
          <w:rFonts w:hint="eastAsia"/>
        </w:rPr>
        <w:t>投标人（盖章）：</w:t>
      </w:r>
    </w:p>
    <w:p>
      <w:r>
        <w:rPr>
          <w:rFonts w:hint="eastAsia"/>
        </w:rPr>
        <w:t>法定代表人或其授权代表（签字或盖章）：</w:t>
      </w:r>
    </w:p>
    <w:p>
      <w:r>
        <w:rPr>
          <w:rFonts w:hint="eastAsia"/>
        </w:rPr>
        <w:t>日期：</w:t>
      </w:r>
      <w:r>
        <w:t xml:space="preserve">    年   月   日</w:t>
      </w:r>
    </w:p>
    <w:p>
      <w:pPr>
        <w:pStyle w:val="18"/>
        <w:jc w:val="center"/>
        <w:outlineLvl w:val="3"/>
        <w:rPr>
          <w:rFonts w:hint="eastAsia" w:ascii="宋体" w:hAnsi="宋体" w:cs="宋体"/>
          <w:b/>
          <w:sz w:val="30"/>
          <w:szCs w:val="30"/>
          <w:lang w:val="en-US" w:eastAsia="zh-CN"/>
        </w:rPr>
      </w:pPr>
      <w:r>
        <w:rPr>
          <w:rFonts w:hint="eastAsia" w:ascii="宋体" w:hAnsi="宋体" w:cs="宋体"/>
          <w:b/>
          <w:sz w:val="30"/>
          <w:szCs w:val="30"/>
          <w:lang w:val="en-US" w:eastAsia="zh-CN"/>
        </w:rPr>
        <w:t>（2）筹备期维保管理人员进场综合单价明细单</w:t>
      </w:r>
    </w:p>
    <w:tbl>
      <w:tblPr>
        <w:tblStyle w:val="43"/>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545"/>
        <w:gridCol w:w="683"/>
        <w:gridCol w:w="1046"/>
        <w:gridCol w:w="948"/>
        <w:gridCol w:w="1585"/>
        <w:gridCol w:w="1670"/>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序号</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项目</w:t>
            </w:r>
          </w:p>
        </w:tc>
        <w:tc>
          <w:tcPr>
            <w:tcW w:w="104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数量</w:t>
            </w:r>
          </w:p>
        </w:tc>
        <w:tc>
          <w:tcPr>
            <w:tcW w:w="94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sz w:val="22"/>
                <w:szCs w:val="22"/>
                <w:lang w:eastAsia="zh-CN"/>
              </w:rPr>
            </w:pPr>
            <w:r>
              <w:rPr>
                <w:rFonts w:hint="eastAsia" w:ascii="宋体" w:hAnsi="宋体" w:cs="宋体"/>
                <w:b/>
                <w:sz w:val="22"/>
                <w:szCs w:val="22"/>
                <w:lang w:eastAsia="zh-CN"/>
              </w:rPr>
              <w:t>单位</w:t>
            </w:r>
          </w:p>
        </w:tc>
        <w:tc>
          <w:tcPr>
            <w:tcW w:w="158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单价</w:t>
            </w:r>
          </w:p>
          <w:p>
            <w:pPr>
              <w:snapToGrid w:val="0"/>
              <w:spacing w:before="50" w:after="50"/>
              <w:jc w:val="center"/>
              <w:rPr>
                <w:rFonts w:ascii="宋体" w:hAnsi="宋体" w:cs="宋体"/>
                <w:b/>
                <w:sz w:val="22"/>
                <w:szCs w:val="22"/>
              </w:rPr>
            </w:pPr>
            <w:r>
              <w:rPr>
                <w:rFonts w:hint="eastAsia" w:ascii="宋体" w:hAnsi="宋体" w:cs="宋体"/>
                <w:b/>
                <w:sz w:val="22"/>
                <w:szCs w:val="22"/>
              </w:rPr>
              <w:t>（元</w:t>
            </w:r>
            <w:r>
              <w:rPr>
                <w:rFonts w:hint="eastAsia" w:ascii="宋体" w:hAnsi="宋体" w:cs="宋体"/>
                <w:b/>
                <w:sz w:val="22"/>
                <w:szCs w:val="22"/>
                <w:lang w:val="en-US" w:eastAsia="zh-CN"/>
              </w:rPr>
              <w:t>/月</w:t>
            </w:r>
            <w:r>
              <w:rPr>
                <w:rFonts w:hint="eastAsia" w:ascii="宋体" w:hAnsi="宋体" w:cs="宋体"/>
                <w:b/>
                <w:sz w:val="22"/>
                <w:szCs w:val="22"/>
              </w:rPr>
              <w:t>）</w:t>
            </w:r>
          </w:p>
        </w:tc>
        <w:tc>
          <w:tcPr>
            <w:tcW w:w="167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lang w:eastAsia="zh-CN"/>
              </w:rPr>
              <w:t>合计</w:t>
            </w:r>
            <w:r>
              <w:rPr>
                <w:rFonts w:hint="eastAsia" w:ascii="宋体" w:hAnsi="宋体" w:cs="宋体"/>
                <w:b/>
                <w:sz w:val="22"/>
                <w:szCs w:val="22"/>
              </w:rPr>
              <w:t>（元）</w:t>
            </w: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rPr>
              <w:t>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r>
              <w:rPr>
                <w:rFonts w:hint="eastAsia" w:ascii="宋体" w:hAnsi="宋体" w:eastAsia="宋体" w:cs="宋体"/>
                <w:i w:val="0"/>
                <w:iCs w:val="0"/>
                <w:color w:val="000000"/>
                <w:kern w:val="0"/>
                <w:sz w:val="22"/>
                <w:szCs w:val="22"/>
                <w:u w:val="none"/>
                <w:lang w:val="en-US" w:eastAsia="zh-CN" w:bidi="ar"/>
              </w:rPr>
              <w:t>人工费</w:t>
            </w:r>
          </w:p>
        </w:tc>
        <w:tc>
          <w:tcPr>
            <w:tcW w:w="104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eastAsia="zh-CN"/>
              </w:rPr>
              <w:t>项目负责人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p>
        </w:tc>
        <w:tc>
          <w:tcPr>
            <w:tcW w:w="15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hint="eastAsia" w:ascii="宋体" w:hAnsi="宋体" w:eastAsia="宋体" w:cs="宋体"/>
                <w:bCs/>
                <w:color w:val="000000"/>
                <w:kern w:val="0"/>
                <w:sz w:val="22"/>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lang w:val="en-US" w:eastAsia="zh-CN"/>
              </w:rPr>
              <w:t>1.2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房建专业技术负责人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1.3</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eastAsia="zh-CN"/>
              </w:rPr>
              <w:t>结构专业技术负责人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1.4</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eastAsia="zh-CN"/>
              </w:rPr>
            </w:pPr>
            <w:r>
              <w:rPr>
                <w:rFonts w:hint="eastAsia" w:ascii="宋体" w:hAnsi="宋体" w:eastAsia="宋体" w:cs="宋体"/>
                <w:b w:val="0"/>
                <w:bCs/>
                <w:sz w:val="22"/>
                <w:szCs w:val="22"/>
                <w:lang w:val="en-US" w:eastAsia="zh-CN"/>
              </w:rPr>
              <w:t>技术员</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rPr>
              <w:t>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材料费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r>
              <w:rPr>
                <w:rFonts w:hint="eastAsia" w:ascii="宋体" w:hAnsi="宋体" w:eastAsia="宋体" w:cs="宋体"/>
                <w:i w:val="0"/>
                <w:iCs w:val="0"/>
                <w:color w:val="000000"/>
                <w:kern w:val="0"/>
                <w:sz w:val="22"/>
                <w:szCs w:val="22"/>
                <w:u w:val="none"/>
                <w:lang w:val="en-US" w:eastAsia="zh-CN" w:bidi="ar"/>
              </w:rPr>
              <w:t>项</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ascii="宋体" w:hAnsi="宋体" w:eastAsia="宋体" w:cs="宋体"/>
                <w:b w:val="0"/>
                <w:bCs/>
                <w:sz w:val="22"/>
                <w:szCs w:val="22"/>
                <w:lang w:eastAsia="zh-CN"/>
              </w:rPr>
              <w:t>报价单位综合考虑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3</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机械费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项</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lang w:eastAsia="zh-CN"/>
              </w:rPr>
              <w:t>报价单位综合考虑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4</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管理费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kern w:val="2"/>
                <w:sz w:val="22"/>
                <w:szCs w:val="22"/>
                <w:lang w:val="en-US" w:eastAsia="zh-CN" w:bidi="ar-SA"/>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5</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利润</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6</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其他费用</w:t>
            </w:r>
          </w:p>
        </w:tc>
        <w:tc>
          <w:tcPr>
            <w:tcW w:w="104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restart"/>
            <w:tcBorders>
              <w:top w:val="single" w:color="auto" w:sz="4" w:space="0"/>
              <w:left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ascii="宋体" w:hAnsi="宋体" w:eastAsia="宋体" w:cs="宋体"/>
                <w:b w:val="0"/>
                <w:bCs/>
                <w:sz w:val="22"/>
                <w:szCs w:val="22"/>
                <w:lang w:eastAsia="zh-CN"/>
              </w:rPr>
              <w:t>报价单位根据工作需要自行填报，并列明细。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6.1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continue"/>
            <w:tcBorders>
              <w:left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6.2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continue"/>
            <w:tcBorders>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Cs/>
                <w:sz w:val="22"/>
                <w:szCs w:val="22"/>
                <w:lang w:val="en-US" w:eastAsia="zh-CN"/>
              </w:rPr>
              <w:t>7</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r>
              <w:rPr>
                <w:rFonts w:hint="eastAsia" w:ascii="宋体" w:hAnsi="宋体" w:eastAsia="宋体" w:cs="宋体"/>
                <w:i w:val="0"/>
                <w:iCs w:val="0"/>
                <w:color w:val="000000"/>
                <w:kern w:val="0"/>
                <w:sz w:val="22"/>
                <w:szCs w:val="22"/>
                <w:u w:val="none"/>
                <w:lang w:val="en-US" w:eastAsia="zh-CN" w:bidi="ar"/>
              </w:rPr>
              <w:t>税金</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2260"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cs="宋体"/>
                <w:b w:val="0"/>
                <w:bCs/>
                <w:sz w:val="22"/>
                <w:szCs w:val="22"/>
                <w:lang w:val="en-US" w:eastAsia="zh-CN"/>
              </w:rPr>
              <w:t>综合单价（元/月）</w:t>
            </w:r>
          </w:p>
        </w:tc>
        <w:tc>
          <w:tcPr>
            <w:tcW w:w="7460" w:type="dxa"/>
            <w:gridSpan w:val="6"/>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both"/>
              <w:textAlignment w:val="top"/>
              <w:rPr>
                <w:rFonts w:hint="eastAsia" w:ascii="宋体" w:hAnsi="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9720" w:type="dxa"/>
            <w:gridSpan w:val="8"/>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left"/>
              <w:rPr>
                <w:rFonts w:hint="eastAsia" w:ascii="宋体" w:hAnsi="宋体" w:cs="宋体"/>
                <w:b w:val="0"/>
                <w:bCs/>
                <w:sz w:val="22"/>
                <w:szCs w:val="22"/>
              </w:rPr>
            </w:pPr>
            <w:r>
              <w:rPr>
                <w:rFonts w:hint="eastAsia" w:ascii="宋体" w:hAnsi="宋体" w:cs="宋体"/>
                <w:b w:val="0"/>
                <w:bCs/>
                <w:sz w:val="22"/>
                <w:szCs w:val="22"/>
              </w:rPr>
              <w:t>注：本表合计报价须与</w:t>
            </w:r>
            <w:r>
              <w:rPr>
                <w:rFonts w:hint="eastAsia" w:cs="宋体"/>
                <w:b w:val="0"/>
                <w:bCs/>
                <w:sz w:val="22"/>
                <w:szCs w:val="22"/>
                <w:lang w:val="en-US" w:eastAsia="zh-CN"/>
              </w:rPr>
              <w:t>汇总表</w:t>
            </w:r>
            <w:r>
              <w:rPr>
                <w:rFonts w:hint="eastAsia" w:ascii="宋体" w:hAnsi="宋体" w:cs="宋体"/>
                <w:b w:val="0"/>
                <w:bCs/>
                <w:sz w:val="22"/>
                <w:szCs w:val="22"/>
              </w:rPr>
              <w:t>中的相应报价一致。</w:t>
            </w:r>
          </w:p>
        </w:tc>
      </w:tr>
    </w:tbl>
    <w:p>
      <w:pPr>
        <w:pStyle w:val="18"/>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cs="宋体"/>
          <w:b/>
          <w:bCs/>
          <w:szCs w:val="24"/>
          <w:lang w:bidi="ar"/>
        </w:rPr>
      </w:pPr>
      <w:r>
        <w:rPr>
          <w:rFonts w:hint="eastAsia" w:ascii="宋体" w:hAnsi="宋体" w:cs="宋体"/>
          <w:b w:val="0"/>
          <w:bCs/>
          <w:szCs w:val="24"/>
          <w:lang w:eastAsia="zh-CN" w:bidi="ar"/>
        </w:rPr>
        <w:t>注：</w:t>
      </w:r>
      <w:r>
        <w:rPr>
          <w:rFonts w:hint="eastAsia" w:ascii="宋体" w:hAnsi="宋体" w:cs="宋体"/>
          <w:b w:val="0"/>
          <w:bCs/>
          <w:szCs w:val="24"/>
        </w:rPr>
        <w:t>报价须包含完成用户需求中</w:t>
      </w:r>
      <w:r>
        <w:rPr>
          <w:rFonts w:hint="eastAsia" w:ascii="宋体" w:hAnsi="宋体" w:cs="宋体"/>
          <w:b w:val="0"/>
          <w:bCs/>
          <w:szCs w:val="24"/>
          <w:lang w:val="en-US" w:eastAsia="zh-CN"/>
        </w:rPr>
        <w:t>的</w:t>
      </w:r>
      <w:r>
        <w:rPr>
          <w:rFonts w:hint="eastAsia" w:ascii="宋体" w:hAnsi="宋体" w:cs="宋体"/>
          <w:b w:val="0"/>
          <w:bCs/>
          <w:szCs w:val="24"/>
        </w:rPr>
        <w:t>人工、材料及备品备件、仪器仪表及机械使用、文本资料、工器具及劳保用品、项目管理及办公、安全措施、职业病防治、交通运输、检验检测、规费、利润及税金等所有一切相关费用。</w:t>
      </w:r>
    </w:p>
    <w:p>
      <w:r>
        <w:rPr>
          <w:rFonts w:hint="eastAsia"/>
        </w:rPr>
        <w:t>投标人（盖章）：</w:t>
      </w:r>
    </w:p>
    <w:p>
      <w:pPr>
        <w:rPr>
          <w:rFonts w:hint="eastAsia"/>
        </w:rPr>
      </w:pPr>
    </w:p>
    <w:p>
      <w:r>
        <w:rPr>
          <w:rFonts w:hint="eastAsia"/>
        </w:rPr>
        <w:t>法定代表人或其授权代表（签字或盖章）：</w:t>
      </w:r>
    </w:p>
    <w:p>
      <w:r>
        <w:rPr>
          <w:rFonts w:hint="eastAsia"/>
        </w:rPr>
        <w:t>日期：</w:t>
      </w:r>
      <w:r>
        <w:t xml:space="preserve">    年   月   日</w:t>
      </w:r>
    </w:p>
    <w:p>
      <w:pPr>
        <w:pStyle w:val="18"/>
        <w:jc w:val="center"/>
        <w:outlineLvl w:val="3"/>
        <w:rPr>
          <w:rFonts w:hint="eastAsia" w:ascii="宋体" w:hAnsi="宋体" w:cs="宋体"/>
          <w:b/>
          <w:sz w:val="30"/>
          <w:szCs w:val="30"/>
          <w:lang w:val="en-US" w:eastAsia="zh-CN"/>
        </w:rPr>
      </w:pPr>
      <w:r>
        <w:rPr>
          <w:rFonts w:hint="eastAsia" w:ascii="宋体" w:hAnsi="宋体" w:cs="宋体"/>
          <w:b/>
          <w:sz w:val="30"/>
          <w:szCs w:val="30"/>
          <w:lang w:val="en-US" w:eastAsia="zh-CN"/>
        </w:rPr>
        <w:br w:type="page"/>
      </w:r>
      <w:r>
        <w:rPr>
          <w:rFonts w:hint="eastAsia" w:ascii="宋体" w:hAnsi="宋体" w:cs="宋体"/>
          <w:b/>
          <w:sz w:val="30"/>
          <w:szCs w:val="30"/>
          <w:lang w:val="en-US" w:eastAsia="zh-CN"/>
        </w:rPr>
        <w:t>（3）试运行维保费用综合单价明细单</w:t>
      </w:r>
    </w:p>
    <w:tbl>
      <w:tblPr>
        <w:tblStyle w:val="43"/>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545"/>
        <w:gridCol w:w="683"/>
        <w:gridCol w:w="1046"/>
        <w:gridCol w:w="948"/>
        <w:gridCol w:w="1585"/>
        <w:gridCol w:w="1670"/>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序号</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项目</w:t>
            </w:r>
          </w:p>
        </w:tc>
        <w:tc>
          <w:tcPr>
            <w:tcW w:w="104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数量</w:t>
            </w:r>
          </w:p>
        </w:tc>
        <w:tc>
          <w:tcPr>
            <w:tcW w:w="94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sz w:val="22"/>
                <w:szCs w:val="22"/>
                <w:lang w:eastAsia="zh-CN"/>
              </w:rPr>
            </w:pPr>
            <w:r>
              <w:rPr>
                <w:rFonts w:hint="eastAsia" w:ascii="宋体" w:hAnsi="宋体" w:cs="宋体"/>
                <w:b/>
                <w:sz w:val="22"/>
                <w:szCs w:val="22"/>
                <w:lang w:eastAsia="zh-CN"/>
              </w:rPr>
              <w:t>单位</w:t>
            </w:r>
          </w:p>
        </w:tc>
        <w:tc>
          <w:tcPr>
            <w:tcW w:w="158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单价</w:t>
            </w:r>
          </w:p>
          <w:p>
            <w:pPr>
              <w:snapToGrid w:val="0"/>
              <w:spacing w:before="50" w:after="50"/>
              <w:jc w:val="center"/>
              <w:rPr>
                <w:rFonts w:ascii="宋体" w:hAnsi="宋体" w:cs="宋体"/>
                <w:b/>
                <w:sz w:val="22"/>
                <w:szCs w:val="22"/>
              </w:rPr>
            </w:pPr>
            <w:r>
              <w:rPr>
                <w:rFonts w:hint="eastAsia" w:ascii="宋体" w:hAnsi="宋体" w:cs="宋体"/>
                <w:b/>
                <w:sz w:val="22"/>
                <w:szCs w:val="22"/>
              </w:rPr>
              <w:t>（元</w:t>
            </w:r>
            <w:r>
              <w:rPr>
                <w:rFonts w:hint="eastAsia" w:ascii="宋体" w:hAnsi="宋体" w:cs="宋体"/>
                <w:b/>
                <w:sz w:val="22"/>
                <w:szCs w:val="22"/>
                <w:lang w:val="en-US" w:eastAsia="zh-CN"/>
              </w:rPr>
              <w:t>/月</w:t>
            </w:r>
            <w:r>
              <w:rPr>
                <w:rFonts w:hint="eastAsia" w:ascii="宋体" w:hAnsi="宋体" w:cs="宋体"/>
                <w:b/>
                <w:sz w:val="22"/>
                <w:szCs w:val="22"/>
              </w:rPr>
              <w:t>）</w:t>
            </w:r>
          </w:p>
        </w:tc>
        <w:tc>
          <w:tcPr>
            <w:tcW w:w="167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lang w:eastAsia="zh-CN"/>
              </w:rPr>
              <w:t>合计</w:t>
            </w:r>
            <w:r>
              <w:rPr>
                <w:rFonts w:hint="eastAsia" w:ascii="宋体" w:hAnsi="宋体" w:cs="宋体"/>
                <w:b/>
                <w:sz w:val="22"/>
                <w:szCs w:val="22"/>
              </w:rPr>
              <w:t>（元）</w:t>
            </w: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rPr>
              <w:t>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r>
              <w:rPr>
                <w:rFonts w:hint="eastAsia" w:ascii="宋体" w:hAnsi="宋体" w:eastAsia="宋体" w:cs="宋体"/>
                <w:i w:val="0"/>
                <w:iCs w:val="0"/>
                <w:color w:val="000000"/>
                <w:kern w:val="0"/>
                <w:sz w:val="22"/>
                <w:szCs w:val="22"/>
                <w:u w:val="none"/>
                <w:lang w:val="en-US" w:eastAsia="zh-CN" w:bidi="ar"/>
              </w:rPr>
              <w:t>人工费</w:t>
            </w:r>
          </w:p>
        </w:tc>
        <w:tc>
          <w:tcPr>
            <w:tcW w:w="104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项目负责人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p>
        </w:tc>
        <w:tc>
          <w:tcPr>
            <w:tcW w:w="15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hint="eastAsia" w:ascii="宋体" w:hAnsi="宋体" w:eastAsia="宋体" w:cs="宋体"/>
                <w:bCs/>
                <w:color w:val="000000"/>
                <w:kern w:val="0"/>
                <w:sz w:val="22"/>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lang w:val="en-US" w:eastAsia="zh-CN"/>
              </w:rPr>
              <w:t>1.2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房建专业技术负责人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1.3</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结构专业技术负责人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1.4</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技术员</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rPr>
              <w:t>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材料费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r>
              <w:rPr>
                <w:rFonts w:hint="eastAsia" w:ascii="宋体" w:hAnsi="宋体" w:eastAsia="宋体" w:cs="宋体"/>
                <w:i w:val="0"/>
                <w:iCs w:val="0"/>
                <w:color w:val="000000"/>
                <w:kern w:val="0"/>
                <w:sz w:val="22"/>
                <w:szCs w:val="22"/>
                <w:u w:val="none"/>
                <w:lang w:val="en-US" w:eastAsia="zh-CN" w:bidi="ar"/>
              </w:rPr>
              <w:t>项</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ascii="宋体" w:hAnsi="宋体" w:eastAsia="宋体" w:cs="宋体"/>
                <w:b w:val="0"/>
                <w:bCs/>
                <w:sz w:val="22"/>
                <w:szCs w:val="22"/>
                <w:lang w:eastAsia="zh-CN"/>
              </w:rPr>
              <w:t>报价单位综合考虑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3</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机械费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项</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lang w:eastAsia="zh-CN"/>
              </w:rPr>
              <w:t>报价单位综合考虑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4</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管理费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kern w:val="2"/>
                <w:sz w:val="22"/>
                <w:szCs w:val="22"/>
                <w:lang w:val="en-US" w:eastAsia="zh-CN" w:bidi="ar-SA"/>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5</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利润</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6</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其他费用</w:t>
            </w:r>
          </w:p>
        </w:tc>
        <w:tc>
          <w:tcPr>
            <w:tcW w:w="104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restart"/>
            <w:tcBorders>
              <w:top w:val="single" w:color="auto" w:sz="4" w:space="0"/>
              <w:left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ascii="宋体" w:hAnsi="宋体" w:eastAsia="宋体" w:cs="宋体"/>
                <w:b w:val="0"/>
                <w:bCs/>
                <w:sz w:val="22"/>
                <w:szCs w:val="22"/>
                <w:lang w:eastAsia="zh-CN"/>
              </w:rPr>
              <w:t>报价单位根据工作需要自行填报，并列明细。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6.1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continue"/>
            <w:tcBorders>
              <w:left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6.2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continue"/>
            <w:tcBorders>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Cs/>
                <w:sz w:val="22"/>
                <w:szCs w:val="22"/>
                <w:lang w:val="en-US" w:eastAsia="zh-CN"/>
              </w:rPr>
              <w:t>7</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r>
              <w:rPr>
                <w:rFonts w:hint="eastAsia" w:ascii="宋体" w:hAnsi="宋体" w:eastAsia="宋体" w:cs="宋体"/>
                <w:i w:val="0"/>
                <w:iCs w:val="0"/>
                <w:color w:val="000000"/>
                <w:kern w:val="0"/>
                <w:sz w:val="22"/>
                <w:szCs w:val="22"/>
                <w:u w:val="none"/>
                <w:lang w:val="en-US" w:eastAsia="zh-CN" w:bidi="ar"/>
              </w:rPr>
              <w:t>税金</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260"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cs="宋体"/>
                <w:b w:val="0"/>
                <w:bCs/>
                <w:sz w:val="22"/>
                <w:szCs w:val="22"/>
                <w:lang w:val="en-US" w:eastAsia="zh-CN"/>
              </w:rPr>
              <w:t>综合单价（元/月）</w:t>
            </w:r>
          </w:p>
        </w:tc>
        <w:tc>
          <w:tcPr>
            <w:tcW w:w="7460" w:type="dxa"/>
            <w:gridSpan w:val="6"/>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both"/>
              <w:textAlignment w:val="top"/>
              <w:rPr>
                <w:rFonts w:hint="eastAsia" w:ascii="宋体" w:hAnsi="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720" w:type="dxa"/>
            <w:gridSpan w:val="8"/>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left"/>
              <w:rPr>
                <w:rFonts w:hint="eastAsia" w:ascii="宋体" w:hAnsi="宋体" w:cs="宋体"/>
                <w:b w:val="0"/>
                <w:bCs/>
                <w:sz w:val="22"/>
                <w:szCs w:val="22"/>
              </w:rPr>
            </w:pPr>
            <w:r>
              <w:rPr>
                <w:rFonts w:hint="eastAsia" w:ascii="宋体" w:hAnsi="宋体" w:cs="宋体"/>
                <w:b w:val="0"/>
                <w:bCs/>
                <w:sz w:val="22"/>
                <w:szCs w:val="22"/>
              </w:rPr>
              <w:t>注：本表合计报价须与</w:t>
            </w:r>
            <w:r>
              <w:rPr>
                <w:rFonts w:hint="eastAsia" w:cs="宋体"/>
                <w:b w:val="0"/>
                <w:bCs/>
                <w:sz w:val="22"/>
                <w:szCs w:val="22"/>
                <w:lang w:val="en-US" w:eastAsia="zh-CN"/>
              </w:rPr>
              <w:t>汇总表</w:t>
            </w:r>
            <w:r>
              <w:rPr>
                <w:rFonts w:hint="eastAsia" w:ascii="宋体" w:hAnsi="宋体" w:cs="宋体"/>
                <w:b w:val="0"/>
                <w:bCs/>
                <w:sz w:val="22"/>
                <w:szCs w:val="22"/>
              </w:rPr>
              <w:t>中的相应报价一致。</w:t>
            </w:r>
          </w:p>
        </w:tc>
      </w:tr>
    </w:tbl>
    <w:p>
      <w:pPr>
        <w:pStyle w:val="18"/>
        <w:jc w:val="left"/>
        <w:rPr>
          <w:rFonts w:hint="eastAsia" w:ascii="宋体" w:hAnsi="宋体" w:cs="宋体"/>
          <w:b w:val="0"/>
          <w:bCs/>
          <w:szCs w:val="24"/>
          <w:lang w:eastAsia="zh-CN"/>
        </w:rPr>
      </w:pPr>
      <w:r>
        <w:rPr>
          <w:rFonts w:hint="eastAsia" w:ascii="宋体" w:hAnsi="宋体" w:cs="宋体"/>
          <w:b w:val="0"/>
          <w:bCs/>
          <w:szCs w:val="24"/>
          <w:lang w:eastAsia="zh-CN" w:bidi="ar"/>
        </w:rPr>
        <w:t>注：</w:t>
      </w:r>
      <w:r>
        <w:rPr>
          <w:rFonts w:hint="eastAsia" w:ascii="宋体" w:hAnsi="宋体" w:cs="宋体"/>
          <w:b w:val="0"/>
          <w:bCs/>
          <w:szCs w:val="24"/>
        </w:rPr>
        <w:t>报价须包含完成用户需求中</w:t>
      </w:r>
      <w:r>
        <w:rPr>
          <w:rFonts w:hint="eastAsia" w:ascii="宋体" w:hAnsi="宋体" w:cs="宋体"/>
          <w:b w:val="0"/>
          <w:bCs/>
          <w:szCs w:val="24"/>
          <w:lang w:val="en-US" w:eastAsia="zh-CN"/>
        </w:rPr>
        <w:t>的</w:t>
      </w:r>
      <w:r>
        <w:rPr>
          <w:rFonts w:hint="eastAsia" w:ascii="宋体" w:hAnsi="宋体" w:cs="宋体"/>
          <w:b w:val="0"/>
          <w:bCs/>
          <w:szCs w:val="24"/>
        </w:rPr>
        <w:t>人工、材料及备品备件、仪器仪表及机械使用、文本资料、工器具及劳保用品、项目管理及办公、安全措施、职业病防治、交通运输、检验检测、规费、利润及税金等所有一切相关费用。</w:t>
      </w:r>
    </w:p>
    <w:p>
      <w:pPr>
        <w:pStyle w:val="18"/>
        <w:jc w:val="left"/>
        <w:rPr>
          <w:b w:val="0"/>
          <w:bCs/>
        </w:rPr>
      </w:pPr>
      <w:r>
        <w:rPr>
          <w:rFonts w:hint="eastAsia"/>
          <w:b w:val="0"/>
          <w:bCs/>
        </w:rPr>
        <w:t>投标人（盖章）：</w:t>
      </w:r>
    </w:p>
    <w:p>
      <w:pPr>
        <w:rPr>
          <w:b w:val="0"/>
          <w:bCs/>
        </w:rPr>
      </w:pPr>
      <w:r>
        <w:rPr>
          <w:rFonts w:hint="eastAsia"/>
          <w:b w:val="0"/>
          <w:bCs/>
        </w:rPr>
        <w:t>法定代表人或其授权代表（签字或盖章）：</w:t>
      </w:r>
    </w:p>
    <w:p>
      <w:pPr>
        <w:pStyle w:val="18"/>
        <w:jc w:val="left"/>
        <w:rPr>
          <w:rFonts w:hint="eastAsia" w:ascii="宋体" w:hAnsi="宋体" w:cs="宋体"/>
          <w:b w:val="0"/>
          <w:bCs/>
          <w:szCs w:val="24"/>
        </w:rPr>
        <w:sectPr>
          <w:pgSz w:w="11906" w:h="16838"/>
          <w:pgMar w:top="1134" w:right="1417" w:bottom="1134" w:left="1417" w:header="851" w:footer="992" w:gutter="0"/>
          <w:pgNumType w:fmt="decimal"/>
          <w:cols w:space="720" w:num="1"/>
          <w:rtlGutter w:val="0"/>
          <w:docGrid w:type="lines" w:linePitch="312" w:charSpace="0"/>
        </w:sectPr>
      </w:pPr>
      <w:r>
        <w:rPr>
          <w:rFonts w:hint="eastAsia"/>
          <w:b w:val="0"/>
          <w:bCs/>
        </w:rPr>
        <w:t>日期：</w:t>
      </w:r>
      <w:r>
        <w:rPr>
          <w:b w:val="0"/>
          <w:bCs/>
        </w:rPr>
        <w:t xml:space="preserve">    年   月   日</w:t>
      </w:r>
    </w:p>
    <w:p>
      <w:pPr>
        <w:pStyle w:val="18"/>
        <w:jc w:val="center"/>
        <w:outlineLvl w:val="3"/>
        <w:rPr>
          <w:rFonts w:hint="eastAsia" w:ascii="宋体" w:hAnsi="宋体" w:cs="宋体"/>
          <w:b/>
          <w:sz w:val="30"/>
          <w:szCs w:val="30"/>
          <w:lang w:val="en-US" w:eastAsia="zh-CN"/>
        </w:rPr>
      </w:pPr>
      <w:r>
        <w:rPr>
          <w:rFonts w:hint="eastAsia" w:ascii="宋体" w:hAnsi="宋体" w:cs="宋体"/>
          <w:b/>
          <w:sz w:val="30"/>
          <w:szCs w:val="30"/>
          <w:lang w:val="en-US" w:eastAsia="zh-CN"/>
        </w:rPr>
        <w:t>（4）日常维保费用（质保期内）综合单价明细单</w:t>
      </w:r>
    </w:p>
    <w:tbl>
      <w:tblPr>
        <w:tblStyle w:val="43"/>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545"/>
        <w:gridCol w:w="683"/>
        <w:gridCol w:w="1046"/>
        <w:gridCol w:w="948"/>
        <w:gridCol w:w="1585"/>
        <w:gridCol w:w="1670"/>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序号</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项目</w:t>
            </w:r>
          </w:p>
        </w:tc>
        <w:tc>
          <w:tcPr>
            <w:tcW w:w="104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数量</w:t>
            </w:r>
          </w:p>
        </w:tc>
        <w:tc>
          <w:tcPr>
            <w:tcW w:w="94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sz w:val="22"/>
                <w:szCs w:val="22"/>
                <w:lang w:eastAsia="zh-CN"/>
              </w:rPr>
            </w:pPr>
            <w:r>
              <w:rPr>
                <w:rFonts w:hint="eastAsia" w:ascii="宋体" w:hAnsi="宋体" w:cs="宋体"/>
                <w:b/>
                <w:sz w:val="22"/>
                <w:szCs w:val="22"/>
                <w:lang w:eastAsia="zh-CN"/>
              </w:rPr>
              <w:t>单位</w:t>
            </w:r>
          </w:p>
        </w:tc>
        <w:tc>
          <w:tcPr>
            <w:tcW w:w="158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单价</w:t>
            </w:r>
          </w:p>
          <w:p>
            <w:pPr>
              <w:snapToGrid w:val="0"/>
              <w:spacing w:before="50" w:after="50"/>
              <w:jc w:val="center"/>
              <w:rPr>
                <w:rFonts w:ascii="宋体" w:hAnsi="宋体" w:cs="宋体"/>
                <w:b/>
                <w:sz w:val="22"/>
                <w:szCs w:val="22"/>
              </w:rPr>
            </w:pPr>
            <w:r>
              <w:rPr>
                <w:rFonts w:hint="eastAsia" w:ascii="宋体" w:hAnsi="宋体" w:cs="宋体"/>
                <w:b/>
                <w:sz w:val="22"/>
                <w:szCs w:val="22"/>
              </w:rPr>
              <w:t>（元</w:t>
            </w:r>
            <w:r>
              <w:rPr>
                <w:rFonts w:hint="eastAsia" w:ascii="宋体" w:hAnsi="宋体" w:cs="宋体"/>
                <w:b/>
                <w:sz w:val="22"/>
                <w:szCs w:val="22"/>
                <w:lang w:val="en-US" w:eastAsia="zh-CN"/>
              </w:rPr>
              <w:t>/月</w:t>
            </w:r>
            <w:r>
              <w:rPr>
                <w:rFonts w:hint="eastAsia" w:ascii="宋体" w:hAnsi="宋体" w:cs="宋体"/>
                <w:b/>
                <w:sz w:val="22"/>
                <w:szCs w:val="22"/>
              </w:rPr>
              <w:t>）</w:t>
            </w:r>
          </w:p>
        </w:tc>
        <w:tc>
          <w:tcPr>
            <w:tcW w:w="167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lang w:eastAsia="zh-CN"/>
              </w:rPr>
              <w:t>合计</w:t>
            </w:r>
            <w:r>
              <w:rPr>
                <w:rFonts w:hint="eastAsia" w:ascii="宋体" w:hAnsi="宋体" w:cs="宋体"/>
                <w:b/>
                <w:sz w:val="22"/>
                <w:szCs w:val="22"/>
              </w:rPr>
              <w:t>（元）</w:t>
            </w: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rPr>
              <w:t>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r>
              <w:rPr>
                <w:rFonts w:hint="eastAsia" w:ascii="宋体" w:hAnsi="宋体" w:eastAsia="宋体" w:cs="宋体"/>
                <w:i w:val="0"/>
                <w:iCs w:val="0"/>
                <w:color w:val="000000"/>
                <w:kern w:val="0"/>
                <w:sz w:val="22"/>
                <w:szCs w:val="22"/>
                <w:u w:val="none"/>
                <w:lang w:val="en-US" w:eastAsia="zh-CN" w:bidi="ar"/>
              </w:rPr>
              <w:t>人工费</w:t>
            </w:r>
          </w:p>
        </w:tc>
        <w:tc>
          <w:tcPr>
            <w:tcW w:w="104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项目负责人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p>
        </w:tc>
        <w:tc>
          <w:tcPr>
            <w:tcW w:w="15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hint="eastAsia" w:ascii="宋体" w:hAnsi="宋体" w:eastAsia="宋体" w:cs="宋体"/>
                <w:bCs/>
                <w:color w:val="000000"/>
                <w:kern w:val="0"/>
                <w:sz w:val="22"/>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lang w:val="en-US" w:eastAsia="zh-CN"/>
              </w:rPr>
              <w:t>1.2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房建专业技术负责人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1.3</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结构专业技术负责人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1.4</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技术员</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1.5</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巡检/维保人员</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1.6</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地铁保护巡查人员</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rPr>
              <w:t>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材料费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（含备品备件）</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r>
              <w:rPr>
                <w:rFonts w:hint="eastAsia" w:ascii="宋体" w:hAnsi="宋体" w:eastAsia="宋体" w:cs="宋体"/>
                <w:i w:val="0"/>
                <w:iCs w:val="0"/>
                <w:color w:val="000000"/>
                <w:kern w:val="0"/>
                <w:sz w:val="22"/>
                <w:szCs w:val="22"/>
                <w:u w:val="none"/>
                <w:lang w:val="en-US" w:eastAsia="zh-CN" w:bidi="ar"/>
              </w:rPr>
              <w:t>项</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ascii="宋体" w:hAnsi="宋体" w:eastAsia="宋体" w:cs="宋体"/>
                <w:b w:val="0"/>
                <w:bCs/>
                <w:sz w:val="22"/>
                <w:szCs w:val="22"/>
                <w:lang w:eastAsia="zh-CN"/>
              </w:rPr>
              <w:t>报价单位综合考虑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3</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机械费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项</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lang w:eastAsia="zh-CN"/>
              </w:rPr>
              <w:t>报价单位综合考虑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4</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管理费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kern w:val="2"/>
                <w:sz w:val="22"/>
                <w:szCs w:val="22"/>
                <w:lang w:val="en-US" w:eastAsia="zh-CN" w:bidi="ar-SA"/>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5</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利润</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6</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其他费用</w:t>
            </w:r>
          </w:p>
        </w:tc>
        <w:tc>
          <w:tcPr>
            <w:tcW w:w="104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restart"/>
            <w:tcBorders>
              <w:top w:val="single" w:color="auto" w:sz="4" w:space="0"/>
              <w:left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ascii="宋体" w:hAnsi="宋体" w:eastAsia="宋体" w:cs="宋体"/>
                <w:b w:val="0"/>
                <w:bCs/>
                <w:sz w:val="22"/>
                <w:szCs w:val="22"/>
                <w:lang w:eastAsia="zh-CN"/>
              </w:rPr>
              <w:t>报价单位根据工作需要自行填报，并列明细。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6.1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continue"/>
            <w:tcBorders>
              <w:left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6.2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continue"/>
            <w:tcBorders>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Cs/>
                <w:sz w:val="22"/>
                <w:szCs w:val="22"/>
                <w:lang w:val="en-US" w:eastAsia="zh-CN"/>
              </w:rPr>
              <w:t>7</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r>
              <w:rPr>
                <w:rFonts w:hint="eastAsia" w:ascii="宋体" w:hAnsi="宋体" w:eastAsia="宋体" w:cs="宋体"/>
                <w:i w:val="0"/>
                <w:iCs w:val="0"/>
                <w:color w:val="000000"/>
                <w:kern w:val="0"/>
                <w:sz w:val="22"/>
                <w:szCs w:val="22"/>
                <w:u w:val="none"/>
                <w:lang w:val="en-US" w:eastAsia="zh-CN" w:bidi="ar"/>
              </w:rPr>
              <w:t>税金</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260"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cs="宋体"/>
                <w:b w:val="0"/>
                <w:bCs/>
                <w:sz w:val="22"/>
                <w:szCs w:val="22"/>
                <w:lang w:val="en-US" w:eastAsia="zh-CN"/>
              </w:rPr>
              <w:t>综合单价（元/月）</w:t>
            </w:r>
          </w:p>
        </w:tc>
        <w:tc>
          <w:tcPr>
            <w:tcW w:w="7460" w:type="dxa"/>
            <w:gridSpan w:val="6"/>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both"/>
              <w:textAlignment w:val="top"/>
              <w:rPr>
                <w:rFonts w:hint="eastAsia" w:ascii="宋体" w:hAnsi="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720" w:type="dxa"/>
            <w:gridSpan w:val="8"/>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left"/>
              <w:rPr>
                <w:rFonts w:hint="eastAsia" w:ascii="宋体" w:hAnsi="宋体" w:cs="宋体"/>
                <w:b w:val="0"/>
                <w:bCs/>
                <w:sz w:val="22"/>
                <w:szCs w:val="22"/>
              </w:rPr>
            </w:pPr>
            <w:r>
              <w:rPr>
                <w:rFonts w:hint="eastAsia" w:ascii="宋体" w:hAnsi="宋体" w:cs="宋体"/>
                <w:b w:val="0"/>
                <w:bCs/>
                <w:sz w:val="22"/>
                <w:szCs w:val="22"/>
              </w:rPr>
              <w:t>注：本表合计报价须与</w:t>
            </w:r>
            <w:r>
              <w:rPr>
                <w:rFonts w:hint="eastAsia" w:cs="宋体"/>
                <w:b w:val="0"/>
                <w:bCs/>
                <w:sz w:val="22"/>
                <w:szCs w:val="22"/>
                <w:lang w:val="en-US" w:eastAsia="zh-CN"/>
              </w:rPr>
              <w:t>汇总表</w:t>
            </w:r>
            <w:r>
              <w:rPr>
                <w:rFonts w:hint="eastAsia" w:ascii="宋体" w:hAnsi="宋体" w:cs="宋体"/>
                <w:b w:val="0"/>
                <w:bCs/>
                <w:sz w:val="22"/>
                <w:szCs w:val="22"/>
              </w:rPr>
              <w:t>中的相应报价一致。</w:t>
            </w:r>
          </w:p>
        </w:tc>
      </w:tr>
    </w:tbl>
    <w:p>
      <w:pPr>
        <w:pStyle w:val="18"/>
        <w:jc w:val="left"/>
        <w:rPr>
          <w:rFonts w:hint="eastAsia" w:ascii="宋体" w:hAnsi="宋体" w:cs="宋体"/>
          <w:b w:val="0"/>
          <w:bCs/>
          <w:szCs w:val="24"/>
          <w:lang w:eastAsia="zh-CN"/>
        </w:rPr>
      </w:pPr>
      <w:r>
        <w:rPr>
          <w:rFonts w:hint="eastAsia" w:ascii="宋体" w:hAnsi="宋体" w:cs="宋体"/>
          <w:b w:val="0"/>
          <w:bCs/>
          <w:szCs w:val="24"/>
          <w:lang w:eastAsia="zh-CN" w:bidi="ar"/>
        </w:rPr>
        <w:t>注：</w:t>
      </w:r>
      <w:r>
        <w:rPr>
          <w:rFonts w:hint="eastAsia" w:ascii="宋体" w:hAnsi="宋体" w:cs="宋体"/>
          <w:b w:val="0"/>
          <w:bCs/>
          <w:szCs w:val="24"/>
        </w:rPr>
        <w:t>报价须包含完成用户需求中</w:t>
      </w:r>
      <w:r>
        <w:rPr>
          <w:rFonts w:hint="eastAsia" w:ascii="宋体" w:hAnsi="宋体" w:cs="宋体"/>
          <w:b w:val="0"/>
          <w:bCs/>
          <w:szCs w:val="24"/>
          <w:lang w:val="en-US" w:eastAsia="zh-CN"/>
        </w:rPr>
        <w:t>的</w:t>
      </w:r>
      <w:r>
        <w:rPr>
          <w:rFonts w:hint="eastAsia" w:ascii="宋体" w:hAnsi="宋体" w:cs="宋体"/>
          <w:b w:val="0"/>
          <w:bCs/>
          <w:szCs w:val="24"/>
        </w:rPr>
        <w:t>人工、材料及备品备件、仪器仪表及机械使用、文本资料、工器具及劳保用品、项目管理及办公、安全措施、职业病防治、交通运输、检验检测、规费、利润及税金等所有一切相关费用。</w:t>
      </w:r>
    </w:p>
    <w:p>
      <w:pPr>
        <w:pStyle w:val="18"/>
        <w:jc w:val="left"/>
        <w:rPr>
          <w:b w:val="0"/>
          <w:bCs/>
        </w:rPr>
      </w:pPr>
      <w:r>
        <w:rPr>
          <w:rFonts w:hint="eastAsia"/>
          <w:b w:val="0"/>
          <w:bCs/>
        </w:rPr>
        <w:t>投标人（盖章）：</w:t>
      </w:r>
    </w:p>
    <w:p>
      <w:r>
        <w:rPr>
          <w:rFonts w:hint="eastAsia"/>
          <w:b w:val="0"/>
          <w:bCs/>
        </w:rPr>
        <w:t>法定代表人或其授权代表（签字或盖章）：</w:t>
      </w:r>
    </w:p>
    <w:p>
      <w:r>
        <w:rPr>
          <w:rFonts w:hint="eastAsia"/>
        </w:rPr>
        <w:t>日期：</w:t>
      </w:r>
      <w:r>
        <w:t xml:space="preserve">    年   月   日</w:t>
      </w:r>
    </w:p>
    <w:p>
      <w:r>
        <w:br w:type="page"/>
      </w:r>
    </w:p>
    <w:p>
      <w:pPr>
        <w:pStyle w:val="18"/>
        <w:jc w:val="center"/>
        <w:outlineLvl w:val="3"/>
        <w:rPr>
          <w:rFonts w:hint="eastAsia" w:ascii="宋体" w:hAnsi="宋体" w:cs="宋体"/>
          <w:b/>
          <w:sz w:val="30"/>
          <w:szCs w:val="30"/>
          <w:lang w:val="en-US" w:eastAsia="zh-CN"/>
        </w:rPr>
      </w:pPr>
      <w:r>
        <w:rPr>
          <w:rFonts w:hint="eastAsia" w:ascii="宋体" w:hAnsi="宋体" w:cs="宋体"/>
          <w:b/>
          <w:sz w:val="30"/>
          <w:szCs w:val="30"/>
          <w:lang w:val="en-US" w:eastAsia="zh-CN"/>
        </w:rPr>
        <w:t>（5）日常维保费用（质保期外）综合单价明细单</w:t>
      </w:r>
    </w:p>
    <w:tbl>
      <w:tblPr>
        <w:tblStyle w:val="43"/>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545"/>
        <w:gridCol w:w="683"/>
        <w:gridCol w:w="1046"/>
        <w:gridCol w:w="948"/>
        <w:gridCol w:w="1585"/>
        <w:gridCol w:w="1670"/>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序号</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项目</w:t>
            </w:r>
          </w:p>
        </w:tc>
        <w:tc>
          <w:tcPr>
            <w:tcW w:w="104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数量</w:t>
            </w:r>
          </w:p>
        </w:tc>
        <w:tc>
          <w:tcPr>
            <w:tcW w:w="94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sz w:val="22"/>
                <w:szCs w:val="22"/>
                <w:lang w:eastAsia="zh-CN"/>
              </w:rPr>
            </w:pPr>
            <w:r>
              <w:rPr>
                <w:rFonts w:hint="eastAsia" w:ascii="宋体" w:hAnsi="宋体" w:cs="宋体"/>
                <w:b/>
                <w:sz w:val="22"/>
                <w:szCs w:val="22"/>
                <w:lang w:eastAsia="zh-CN"/>
              </w:rPr>
              <w:t>单位</w:t>
            </w:r>
          </w:p>
        </w:tc>
        <w:tc>
          <w:tcPr>
            <w:tcW w:w="158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单价</w:t>
            </w:r>
          </w:p>
          <w:p>
            <w:pPr>
              <w:snapToGrid w:val="0"/>
              <w:spacing w:before="50" w:after="50"/>
              <w:jc w:val="center"/>
              <w:rPr>
                <w:rFonts w:ascii="宋体" w:hAnsi="宋体" w:cs="宋体"/>
                <w:b/>
                <w:sz w:val="22"/>
                <w:szCs w:val="22"/>
              </w:rPr>
            </w:pPr>
            <w:r>
              <w:rPr>
                <w:rFonts w:hint="eastAsia" w:ascii="宋体" w:hAnsi="宋体" w:cs="宋体"/>
                <w:b/>
                <w:sz w:val="22"/>
                <w:szCs w:val="22"/>
              </w:rPr>
              <w:t>（元</w:t>
            </w:r>
            <w:r>
              <w:rPr>
                <w:rFonts w:hint="eastAsia" w:ascii="宋体" w:hAnsi="宋体" w:cs="宋体"/>
                <w:b/>
                <w:sz w:val="22"/>
                <w:szCs w:val="22"/>
                <w:lang w:val="en-US" w:eastAsia="zh-CN"/>
              </w:rPr>
              <w:t>/月</w:t>
            </w:r>
            <w:r>
              <w:rPr>
                <w:rFonts w:hint="eastAsia" w:ascii="宋体" w:hAnsi="宋体" w:cs="宋体"/>
                <w:b/>
                <w:sz w:val="22"/>
                <w:szCs w:val="22"/>
              </w:rPr>
              <w:t>）</w:t>
            </w:r>
          </w:p>
        </w:tc>
        <w:tc>
          <w:tcPr>
            <w:tcW w:w="167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lang w:eastAsia="zh-CN"/>
              </w:rPr>
              <w:t>合计</w:t>
            </w:r>
            <w:r>
              <w:rPr>
                <w:rFonts w:hint="eastAsia" w:ascii="宋体" w:hAnsi="宋体" w:cs="宋体"/>
                <w:b/>
                <w:sz w:val="22"/>
                <w:szCs w:val="22"/>
              </w:rPr>
              <w:t>（元）</w:t>
            </w: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ascii="宋体" w:hAnsi="宋体" w:cs="宋体"/>
                <w:b/>
                <w:sz w:val="22"/>
                <w:szCs w:val="22"/>
              </w:rPr>
            </w:pPr>
            <w:r>
              <w:rPr>
                <w:rFonts w:hint="eastAsia" w:ascii="宋体" w:hAnsi="宋体" w:cs="宋体"/>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rPr>
              <w:t>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r>
              <w:rPr>
                <w:rFonts w:hint="eastAsia" w:ascii="宋体" w:hAnsi="宋体" w:eastAsia="宋体" w:cs="宋体"/>
                <w:i w:val="0"/>
                <w:iCs w:val="0"/>
                <w:color w:val="000000"/>
                <w:kern w:val="0"/>
                <w:sz w:val="22"/>
                <w:szCs w:val="22"/>
                <w:u w:val="none"/>
                <w:lang w:val="en-US" w:eastAsia="zh-CN" w:bidi="ar"/>
              </w:rPr>
              <w:t>人工费</w:t>
            </w:r>
          </w:p>
        </w:tc>
        <w:tc>
          <w:tcPr>
            <w:tcW w:w="104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项目负责人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p>
        </w:tc>
        <w:tc>
          <w:tcPr>
            <w:tcW w:w="15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hint="eastAsia" w:ascii="宋体" w:hAnsi="宋体" w:eastAsia="宋体" w:cs="宋体"/>
                <w:bCs/>
                <w:color w:val="000000"/>
                <w:kern w:val="0"/>
                <w:sz w:val="22"/>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lang w:val="en-US" w:eastAsia="zh-CN"/>
              </w:rPr>
              <w:t>1.2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房建专业技术负责人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1.3</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结构专业技术负责人</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1.4</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技术员</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1.5</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巡检/维保人员</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1.6</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b w:val="0"/>
                <w:bCs/>
                <w:sz w:val="22"/>
                <w:szCs w:val="22"/>
                <w:lang w:eastAsia="zh-CN"/>
              </w:rPr>
              <w:t>地铁保护巡查人员</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人</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rPr>
              <w:t>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材料费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（含备品备件）</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r>
              <w:rPr>
                <w:rFonts w:hint="eastAsia" w:ascii="宋体" w:hAnsi="宋体" w:eastAsia="宋体" w:cs="宋体"/>
                <w:i w:val="0"/>
                <w:iCs w:val="0"/>
                <w:color w:val="000000"/>
                <w:kern w:val="0"/>
                <w:sz w:val="22"/>
                <w:szCs w:val="22"/>
                <w:u w:val="none"/>
                <w:lang w:val="en-US" w:eastAsia="zh-CN" w:bidi="ar"/>
              </w:rPr>
              <w:t>项</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ascii="宋体" w:hAnsi="宋体" w:eastAsia="宋体" w:cs="宋体"/>
                <w:b w:val="0"/>
                <w:bCs/>
                <w:sz w:val="22"/>
                <w:szCs w:val="22"/>
                <w:lang w:eastAsia="zh-CN"/>
              </w:rPr>
              <w:t>报价单位综合考虑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3</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机械费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项</w:t>
            </w:r>
          </w:p>
        </w:tc>
        <w:tc>
          <w:tcPr>
            <w:tcW w:w="15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b w:val="0"/>
                <w:bCs/>
                <w:sz w:val="22"/>
                <w:szCs w:val="22"/>
                <w:lang w:val="en-US" w:eastAsia="zh-CN"/>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 w:val="0"/>
                <w:bCs/>
                <w:sz w:val="22"/>
                <w:szCs w:val="22"/>
                <w:lang w:eastAsia="zh-CN"/>
              </w:rPr>
              <w:t>报价单位综合考虑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4</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管理费</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kern w:val="2"/>
                <w:sz w:val="22"/>
                <w:szCs w:val="22"/>
                <w:lang w:val="en-US" w:eastAsia="zh-CN" w:bidi="ar-SA"/>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5</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利润</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kern w:val="2"/>
                <w:sz w:val="22"/>
                <w:szCs w:val="22"/>
                <w:lang w:val="en-US" w:eastAsia="zh-CN" w:bidi="ar-SA"/>
              </w:rPr>
            </w:pPr>
            <w:r>
              <w:rPr>
                <w:rFonts w:hint="eastAsia" w:ascii="宋体" w:hAnsi="宋体" w:eastAsia="宋体" w:cs="宋体"/>
                <w:b w:val="0"/>
                <w:bCs/>
                <w:sz w:val="22"/>
                <w:szCs w:val="22"/>
                <w:lang w:val="en-US" w:eastAsia="zh-CN"/>
              </w:rPr>
              <w:t>6</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其他费用</w:t>
            </w:r>
          </w:p>
        </w:tc>
        <w:tc>
          <w:tcPr>
            <w:tcW w:w="1046"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restart"/>
            <w:tcBorders>
              <w:top w:val="single" w:color="auto" w:sz="4" w:space="0"/>
              <w:left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r>
              <w:rPr>
                <w:rFonts w:hint="eastAsia" w:ascii="宋体" w:hAnsi="宋体" w:eastAsia="宋体" w:cs="宋体"/>
                <w:b w:val="0"/>
                <w:bCs/>
                <w:sz w:val="22"/>
                <w:szCs w:val="22"/>
                <w:lang w:eastAsia="zh-CN"/>
              </w:rPr>
              <w:t>报价单位根据工作需要自行填报，并列明细。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6.1</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val="en-US" w:eastAsia="zh-CN"/>
              </w:rPr>
            </w:pP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continue"/>
            <w:tcBorders>
              <w:left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6.2</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lang w:eastAsia="zh-CN"/>
              </w:rPr>
            </w:pP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vMerge w:val="continue"/>
            <w:tcBorders>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r>
              <w:rPr>
                <w:rFonts w:hint="eastAsia" w:ascii="宋体" w:hAnsi="宋体" w:eastAsia="宋体" w:cs="宋体"/>
                <w:bCs/>
                <w:sz w:val="22"/>
                <w:szCs w:val="22"/>
                <w:lang w:val="en-US" w:eastAsia="zh-CN"/>
              </w:rPr>
              <w:t>7</w:t>
            </w:r>
          </w:p>
        </w:tc>
        <w:tc>
          <w:tcPr>
            <w:tcW w:w="222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r>
              <w:rPr>
                <w:rFonts w:hint="eastAsia" w:ascii="宋体" w:hAnsi="宋体" w:eastAsia="宋体" w:cs="宋体"/>
                <w:i w:val="0"/>
                <w:iCs w:val="0"/>
                <w:color w:val="000000"/>
                <w:kern w:val="0"/>
                <w:sz w:val="22"/>
                <w:szCs w:val="22"/>
                <w:u w:val="none"/>
                <w:lang w:val="en-US" w:eastAsia="zh-CN" w:bidi="ar"/>
              </w:rPr>
              <w:t>税金</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94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5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 w:val="0"/>
                <w:bCs/>
                <w:sz w:val="22"/>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val="0"/>
                <w:bCs/>
                <w:sz w:val="22"/>
                <w:szCs w:val="22"/>
              </w:rPr>
            </w:pPr>
          </w:p>
        </w:tc>
        <w:tc>
          <w:tcPr>
            <w:tcW w:w="1528"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宋体" w:hAnsi="宋体" w:eastAsia="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226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val="0"/>
              <w:spacing w:before="50" w:after="50" w:line="320" w:lineRule="exact"/>
              <w:jc w:val="center"/>
              <w:rPr>
                <w:rFonts w:hint="eastAsia" w:ascii="宋体" w:hAnsi="宋体" w:eastAsia="宋体" w:cs="宋体"/>
                <w:b w:val="0"/>
                <w:bCs/>
                <w:sz w:val="22"/>
                <w:szCs w:val="22"/>
                <w:lang w:eastAsia="zh-CN"/>
              </w:rPr>
            </w:pPr>
            <w:r>
              <w:rPr>
                <w:rFonts w:hint="eastAsia" w:cs="宋体"/>
                <w:b w:val="0"/>
                <w:bCs/>
                <w:sz w:val="22"/>
                <w:szCs w:val="22"/>
                <w:lang w:val="en-US" w:eastAsia="zh-CN"/>
              </w:rPr>
              <w:t>综合单价（元/月）</w:t>
            </w:r>
          </w:p>
        </w:tc>
        <w:tc>
          <w:tcPr>
            <w:tcW w:w="7460" w:type="dxa"/>
            <w:gridSpan w:val="6"/>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both"/>
              <w:textAlignment w:val="top"/>
              <w:rPr>
                <w:rFonts w:hint="eastAsia" w:ascii="宋体" w:hAnsi="宋体" w:cs="宋体"/>
                <w:b w:val="0"/>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72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val="0"/>
              <w:spacing w:before="50" w:after="50" w:line="320" w:lineRule="exact"/>
              <w:jc w:val="left"/>
              <w:rPr>
                <w:rFonts w:hint="eastAsia" w:ascii="宋体" w:hAnsi="宋体" w:cs="宋体"/>
                <w:b w:val="0"/>
                <w:bCs/>
                <w:sz w:val="22"/>
                <w:szCs w:val="22"/>
              </w:rPr>
            </w:pPr>
            <w:r>
              <w:rPr>
                <w:rFonts w:hint="eastAsia" w:ascii="宋体" w:hAnsi="宋体" w:cs="宋体"/>
                <w:b w:val="0"/>
                <w:bCs/>
                <w:sz w:val="22"/>
                <w:szCs w:val="22"/>
              </w:rPr>
              <w:t>注：本表合计报价须与</w:t>
            </w:r>
            <w:r>
              <w:rPr>
                <w:rFonts w:hint="eastAsia" w:cs="宋体"/>
                <w:b w:val="0"/>
                <w:bCs/>
                <w:sz w:val="22"/>
                <w:szCs w:val="22"/>
                <w:lang w:val="en-US" w:eastAsia="zh-CN"/>
              </w:rPr>
              <w:t>汇总表</w:t>
            </w:r>
            <w:r>
              <w:rPr>
                <w:rFonts w:hint="eastAsia" w:ascii="宋体" w:hAnsi="宋体" w:cs="宋体"/>
                <w:b w:val="0"/>
                <w:bCs/>
                <w:sz w:val="22"/>
                <w:szCs w:val="22"/>
              </w:rPr>
              <w:t>中的相应报价一致。</w:t>
            </w:r>
          </w:p>
        </w:tc>
      </w:tr>
    </w:tbl>
    <w:p>
      <w:pPr>
        <w:pStyle w:val="18"/>
        <w:keepNext w:val="0"/>
        <w:keepLines w:val="0"/>
        <w:pageBreakBefore w:val="0"/>
        <w:kinsoku/>
        <w:wordWrap/>
        <w:overflowPunct/>
        <w:topLinePunct w:val="0"/>
        <w:autoSpaceDE/>
        <w:autoSpaceDN/>
        <w:bidi w:val="0"/>
        <w:adjustRightInd/>
        <w:spacing w:line="320" w:lineRule="exact"/>
        <w:jc w:val="left"/>
        <w:rPr>
          <w:rFonts w:hint="eastAsia" w:ascii="宋体" w:hAnsi="宋体" w:cs="宋体"/>
          <w:b w:val="0"/>
          <w:bCs/>
          <w:szCs w:val="24"/>
          <w:lang w:eastAsia="zh-CN"/>
        </w:rPr>
      </w:pPr>
      <w:r>
        <w:rPr>
          <w:rFonts w:hint="eastAsia" w:ascii="宋体" w:hAnsi="宋体" w:cs="宋体"/>
          <w:b w:val="0"/>
          <w:bCs/>
          <w:szCs w:val="24"/>
          <w:lang w:eastAsia="zh-CN" w:bidi="ar"/>
        </w:rPr>
        <w:t>注：</w:t>
      </w:r>
      <w:r>
        <w:rPr>
          <w:rFonts w:hint="eastAsia" w:ascii="宋体" w:hAnsi="宋体" w:cs="宋体"/>
          <w:b w:val="0"/>
          <w:bCs/>
          <w:szCs w:val="24"/>
        </w:rPr>
        <w:t>报价须包含完成用户需求中</w:t>
      </w:r>
      <w:r>
        <w:rPr>
          <w:rFonts w:hint="eastAsia" w:ascii="宋体" w:hAnsi="宋体" w:cs="宋体"/>
          <w:b w:val="0"/>
          <w:bCs/>
          <w:szCs w:val="24"/>
          <w:lang w:val="en-US" w:eastAsia="zh-CN"/>
        </w:rPr>
        <w:t>的</w:t>
      </w:r>
      <w:r>
        <w:rPr>
          <w:rFonts w:hint="eastAsia" w:ascii="宋体" w:hAnsi="宋体" w:cs="宋体"/>
          <w:b w:val="0"/>
          <w:bCs/>
          <w:szCs w:val="24"/>
        </w:rPr>
        <w:t>人工、材料及备品备件、仪器仪表及机械使用、文本资料、工器具及劳保用品、项目管理及办公、安全措施、职业病防治、交通运输、检验检测、规费、利润及税金等所有一切相关费用。</w:t>
      </w:r>
    </w:p>
    <w:p>
      <w:pPr>
        <w:pStyle w:val="18"/>
        <w:jc w:val="left"/>
      </w:pPr>
      <w:r>
        <w:rPr>
          <w:rFonts w:hint="eastAsia"/>
        </w:rPr>
        <w:t>投标人（盖章）：</w:t>
      </w:r>
    </w:p>
    <w:p>
      <w:r>
        <w:rPr>
          <w:rFonts w:hint="eastAsia"/>
        </w:rPr>
        <w:t>法定代表人或其授权代表（签字或盖章）：</w:t>
      </w:r>
    </w:p>
    <w:p>
      <w:r>
        <w:rPr>
          <w:rFonts w:hint="eastAsia"/>
        </w:rPr>
        <w:t>日期：</w:t>
      </w:r>
      <w:r>
        <w:t xml:space="preserve">    年   月   日</w:t>
      </w:r>
      <w:r>
        <w:br w:type="page"/>
      </w:r>
    </w:p>
    <w:p>
      <w:pPr>
        <w:pStyle w:val="18"/>
        <w:jc w:val="center"/>
        <w:outlineLvl w:val="3"/>
        <w:rPr>
          <w:rFonts w:hint="default" w:ascii="宋体" w:hAnsi="宋体" w:cs="宋体"/>
          <w:b/>
          <w:sz w:val="30"/>
          <w:szCs w:val="30"/>
          <w:lang w:val="en-US" w:eastAsia="zh-CN"/>
        </w:rPr>
      </w:pPr>
      <w:r>
        <w:rPr>
          <w:rFonts w:hint="eastAsia" w:ascii="宋体" w:hAnsi="宋体" w:cs="宋体"/>
          <w:b/>
          <w:sz w:val="30"/>
          <w:szCs w:val="30"/>
          <w:lang w:val="en-US" w:eastAsia="zh-CN"/>
        </w:rPr>
        <w:t>（6）零星工程整改费用</w:t>
      </w:r>
    </w:p>
    <w:tbl>
      <w:tblPr>
        <w:tblStyle w:val="43"/>
        <w:tblW w:w="5811" w:type="pct"/>
        <w:tblInd w:w="-684" w:type="dxa"/>
        <w:tblLayout w:type="fixed"/>
        <w:tblCellMar>
          <w:top w:w="0" w:type="dxa"/>
          <w:left w:w="0" w:type="dxa"/>
          <w:bottom w:w="0" w:type="dxa"/>
          <w:right w:w="0" w:type="dxa"/>
        </w:tblCellMar>
      </w:tblPr>
      <w:tblGrid>
        <w:gridCol w:w="825"/>
        <w:gridCol w:w="1342"/>
        <w:gridCol w:w="3558"/>
        <w:gridCol w:w="712"/>
        <w:gridCol w:w="744"/>
        <w:gridCol w:w="1132"/>
        <w:gridCol w:w="1164"/>
        <w:gridCol w:w="970"/>
      </w:tblGrid>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sz w:val="22"/>
                <w:szCs w:val="22"/>
                <w:highlight w:val="none"/>
              </w:rPr>
            </w:pPr>
            <w:r>
              <w:rPr>
                <w:rFonts w:hint="eastAsia" w:ascii="宋体" w:hAnsi="宋体" w:cs="宋体"/>
                <w:b/>
                <w:kern w:val="0"/>
                <w:sz w:val="22"/>
                <w:szCs w:val="22"/>
                <w:highlight w:val="none"/>
                <w:lang w:bidi="ar"/>
              </w:rPr>
              <w:t>序号</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sz w:val="22"/>
                <w:szCs w:val="22"/>
                <w:highlight w:val="none"/>
              </w:rPr>
            </w:pPr>
            <w:r>
              <w:rPr>
                <w:rFonts w:hint="eastAsia" w:ascii="宋体" w:hAnsi="宋体" w:cs="宋体"/>
                <w:b/>
                <w:kern w:val="0"/>
                <w:sz w:val="22"/>
                <w:szCs w:val="22"/>
                <w:highlight w:val="none"/>
                <w:lang w:bidi="ar"/>
              </w:rPr>
              <w:t>项目名称</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sz w:val="22"/>
                <w:szCs w:val="22"/>
                <w:highlight w:val="none"/>
              </w:rPr>
            </w:pPr>
            <w:r>
              <w:rPr>
                <w:rFonts w:hint="eastAsia" w:ascii="宋体" w:hAnsi="宋体" w:cs="宋体"/>
                <w:b/>
                <w:kern w:val="0"/>
                <w:sz w:val="22"/>
                <w:szCs w:val="22"/>
                <w:highlight w:val="none"/>
                <w:lang w:bidi="ar"/>
              </w:rPr>
              <w:t>施工内容</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sz w:val="22"/>
                <w:szCs w:val="22"/>
                <w:highlight w:val="none"/>
              </w:rPr>
            </w:pPr>
            <w:r>
              <w:rPr>
                <w:rFonts w:hint="eastAsia" w:ascii="宋体" w:hAnsi="宋体" w:cs="宋体"/>
                <w:b/>
                <w:kern w:val="0"/>
                <w:sz w:val="22"/>
                <w:szCs w:val="22"/>
                <w:highlight w:val="none"/>
                <w:lang w:bidi="ar"/>
              </w:rPr>
              <w:t>单位</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sz w:val="22"/>
                <w:szCs w:val="22"/>
                <w:highlight w:val="none"/>
              </w:rPr>
            </w:pPr>
            <w:r>
              <w:rPr>
                <w:rFonts w:hint="eastAsia" w:ascii="宋体" w:hAnsi="宋体" w:cs="宋体"/>
                <w:b/>
                <w:kern w:val="0"/>
                <w:sz w:val="22"/>
                <w:szCs w:val="22"/>
                <w:highlight w:val="none"/>
                <w:lang w:bidi="ar"/>
              </w:rPr>
              <w:t>工程量</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kern w:val="0"/>
                <w:sz w:val="22"/>
                <w:szCs w:val="22"/>
                <w:highlight w:val="none"/>
                <w:lang w:bidi="ar"/>
              </w:rPr>
            </w:pPr>
            <w:r>
              <w:rPr>
                <w:rFonts w:hint="eastAsia" w:ascii="宋体" w:hAnsi="宋体" w:cs="宋体"/>
                <w:b/>
                <w:kern w:val="0"/>
                <w:sz w:val="22"/>
                <w:szCs w:val="22"/>
                <w:highlight w:val="none"/>
                <w:lang w:bidi="ar"/>
              </w:rPr>
              <w:t>综合单价（元）</w:t>
            </w: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kern w:val="0"/>
                <w:sz w:val="22"/>
                <w:szCs w:val="22"/>
                <w:highlight w:val="none"/>
                <w:lang w:bidi="ar"/>
              </w:rPr>
            </w:pPr>
            <w:r>
              <w:rPr>
                <w:rFonts w:hint="eastAsia" w:ascii="宋体" w:hAnsi="宋体" w:cs="宋体"/>
                <w:b/>
                <w:kern w:val="0"/>
                <w:sz w:val="22"/>
                <w:szCs w:val="22"/>
                <w:highlight w:val="none"/>
                <w:lang w:bidi="ar"/>
              </w:rPr>
              <w:t>合</w:t>
            </w:r>
            <w:r>
              <w:rPr>
                <w:rFonts w:hint="eastAsia" w:ascii="宋体" w:hAnsi="宋体" w:cs="宋体"/>
                <w:b/>
                <w:kern w:val="0"/>
                <w:sz w:val="22"/>
                <w:szCs w:val="22"/>
                <w:highlight w:val="none"/>
                <w:lang w:val="en-US" w:eastAsia="zh-CN" w:bidi="ar"/>
              </w:rPr>
              <w:t>价</w:t>
            </w:r>
            <w:r>
              <w:rPr>
                <w:rFonts w:hint="eastAsia" w:ascii="宋体" w:hAnsi="宋体" w:cs="宋体"/>
                <w:b/>
                <w:kern w:val="0"/>
                <w:sz w:val="22"/>
                <w:szCs w:val="22"/>
                <w:highlight w:val="none"/>
                <w:lang w:bidi="ar"/>
              </w:rPr>
              <w:t>（元）</w:t>
            </w: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sz w:val="22"/>
                <w:szCs w:val="22"/>
                <w:highlight w:val="none"/>
              </w:rPr>
            </w:pPr>
            <w:r>
              <w:rPr>
                <w:rFonts w:hint="eastAsia" w:ascii="宋体" w:hAnsi="宋体" w:cs="宋体"/>
                <w:b/>
                <w:kern w:val="0"/>
                <w:sz w:val="22"/>
                <w:szCs w:val="22"/>
                <w:highlight w:val="none"/>
                <w:lang w:bidi="ar"/>
              </w:rPr>
              <w:t>备注</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w:t>
            </w:r>
          </w:p>
        </w:tc>
        <w:tc>
          <w:tcPr>
            <w:tcW w:w="6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隧内混凝土裂缝/施工缝注浆堵漏</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只针对非结构缝处，以及严重淌水、喷水渗漏水处的控水，一般采用高压注浆方式。查找渗漏点，埋设注浆嘴，注浆堵漏，观察效果，表面清理恢复。</w:t>
            </w:r>
          </w:p>
        </w:tc>
        <w:tc>
          <w:tcPr>
            <w:tcW w:w="340"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sz w:val="22"/>
                <w:szCs w:val="22"/>
                <w:highlight w:val="none"/>
                <w:lang w:val="en-US" w:eastAsia="zh-CN"/>
              </w:rPr>
              <w:t>200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聚氨酯堵漏</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2</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结构缝渗漏水应采用改性环氧注浆材料灌注，以满足补强要求。查找渗漏点，埋设注浆嘴，注浆堵漏，观察效果，表面清理恢复。</w:t>
            </w:r>
          </w:p>
        </w:tc>
        <w:tc>
          <w:tcPr>
            <w:tcW w:w="340"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val="en-US" w:eastAsia="zh-CN" w:bidi="ar"/>
              </w:rPr>
              <w:t>800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环氧堵漏</w:t>
            </w:r>
          </w:p>
        </w:tc>
      </w:tr>
      <w:tr>
        <w:tblPrEx>
          <w:tblCellMar>
            <w:top w:w="0" w:type="dxa"/>
            <w:left w:w="0" w:type="dxa"/>
            <w:bottom w:w="0" w:type="dxa"/>
            <w:right w:w="0" w:type="dxa"/>
          </w:tblCellMar>
        </w:tblPrEx>
        <w:trPr>
          <w:trHeight w:val="28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3</w:t>
            </w:r>
          </w:p>
        </w:tc>
        <w:tc>
          <w:tcPr>
            <w:tcW w:w="6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非隧道混凝土裂缝/施工缝注浆堵漏</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只针对非结构缝处，以及严重淌水、喷水渗漏水处的控水，一般采用高压注浆方式。查找渗漏点，埋设注浆嘴，注浆堵漏，观察效果，表面清理恢复。</w:t>
            </w:r>
          </w:p>
        </w:tc>
        <w:tc>
          <w:tcPr>
            <w:tcW w:w="340"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val="en-US" w:eastAsia="zh-CN" w:bidi="ar"/>
              </w:rPr>
              <w:t>200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聚氨酯堵漏</w:t>
            </w:r>
          </w:p>
        </w:tc>
      </w:tr>
      <w:tr>
        <w:tblPrEx>
          <w:tblCellMar>
            <w:top w:w="0" w:type="dxa"/>
            <w:left w:w="0" w:type="dxa"/>
            <w:bottom w:w="0" w:type="dxa"/>
            <w:right w:w="0" w:type="dxa"/>
          </w:tblCellMar>
        </w:tblPrEx>
        <w:trPr>
          <w:trHeight w:val="28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4</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结构缝渗漏水应采用改性环氧注浆材料灌注，以满足补强要求。查找渗漏点，埋设注浆嘴，注浆堵漏，观察效果，表面清理恢复。</w:t>
            </w:r>
          </w:p>
        </w:tc>
        <w:tc>
          <w:tcPr>
            <w:tcW w:w="340"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val="en-US" w:eastAsia="zh-CN" w:bidi="ar"/>
              </w:rPr>
              <w:t>800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环氧堵漏</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5</w:t>
            </w:r>
          </w:p>
        </w:tc>
        <w:tc>
          <w:tcPr>
            <w:tcW w:w="6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隧道变形缝渗漏封堵</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确认维修位置，拆除旧止水胶条，缝内聚氨酯等注浆填充，更换新止水胶条，固定密封，修整缝口混凝土，检查。</w:t>
            </w:r>
          </w:p>
        </w:tc>
        <w:tc>
          <w:tcPr>
            <w:tcW w:w="340"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val="en-US" w:eastAsia="zh-CN" w:bidi="ar"/>
              </w:rPr>
              <w:t>1</w:t>
            </w:r>
            <w:r>
              <w:rPr>
                <w:rFonts w:hint="eastAsia" w:ascii="宋体" w:hAnsi="宋体" w:cs="宋体"/>
                <w:color w:val="000000"/>
                <w:kern w:val="0"/>
                <w:sz w:val="22"/>
                <w:szCs w:val="22"/>
                <w:highlight w:val="none"/>
                <w:lang w:bidi="ar"/>
              </w:rPr>
              <w:t>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含止水胶条</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6</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确认维修位置，缝内聚氨酯等注浆填充，修整缝口混凝土，检查。</w:t>
            </w:r>
          </w:p>
        </w:tc>
        <w:tc>
          <w:tcPr>
            <w:tcW w:w="340"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val="en-US" w:eastAsia="zh-CN" w:bidi="ar"/>
              </w:rPr>
              <w:t>1</w:t>
            </w:r>
            <w:r>
              <w:rPr>
                <w:rFonts w:hint="eastAsia" w:ascii="宋体" w:hAnsi="宋体" w:cs="宋体"/>
                <w:color w:val="000000"/>
                <w:kern w:val="0"/>
                <w:sz w:val="22"/>
                <w:szCs w:val="22"/>
                <w:highlight w:val="none"/>
                <w:lang w:bidi="ar"/>
              </w:rPr>
              <w:t>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不含止水胶条</w:t>
            </w:r>
          </w:p>
        </w:tc>
      </w:tr>
      <w:tr>
        <w:tblPrEx>
          <w:tblCellMar>
            <w:top w:w="0" w:type="dxa"/>
            <w:left w:w="0" w:type="dxa"/>
            <w:bottom w:w="0" w:type="dxa"/>
            <w:right w:w="0" w:type="dxa"/>
          </w:tblCellMar>
        </w:tblPrEx>
        <w:trPr>
          <w:trHeight w:val="28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7</w:t>
            </w:r>
          </w:p>
        </w:tc>
        <w:tc>
          <w:tcPr>
            <w:tcW w:w="6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非隧道变形缝渗漏封堵</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施工内容同上含止水胶条封堵</w:t>
            </w:r>
          </w:p>
        </w:tc>
        <w:tc>
          <w:tcPr>
            <w:tcW w:w="340"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eastAsia="zh-CN" w:bidi="ar"/>
              </w:rPr>
              <w:t>2</w:t>
            </w:r>
            <w:r>
              <w:rPr>
                <w:rFonts w:hint="eastAsia" w:ascii="宋体" w:hAnsi="宋体" w:cs="宋体"/>
                <w:color w:val="000000"/>
                <w:kern w:val="0"/>
                <w:sz w:val="22"/>
                <w:szCs w:val="22"/>
                <w:highlight w:val="none"/>
                <w:lang w:bidi="ar"/>
              </w:rPr>
              <w:t>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含止水胶条</w:t>
            </w:r>
          </w:p>
        </w:tc>
      </w:tr>
      <w:tr>
        <w:tblPrEx>
          <w:tblCellMar>
            <w:top w:w="0" w:type="dxa"/>
            <w:left w:w="0" w:type="dxa"/>
            <w:bottom w:w="0" w:type="dxa"/>
            <w:right w:w="0" w:type="dxa"/>
          </w:tblCellMar>
        </w:tblPrEx>
        <w:trPr>
          <w:trHeight w:val="28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8</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施工内容同上不含止水胶条封堵</w:t>
            </w:r>
          </w:p>
        </w:tc>
        <w:tc>
          <w:tcPr>
            <w:tcW w:w="340"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val="en-US" w:eastAsia="zh-CN" w:bidi="ar"/>
              </w:rPr>
              <w:t>2</w:t>
            </w:r>
            <w:r>
              <w:rPr>
                <w:rFonts w:hint="eastAsia" w:ascii="宋体" w:hAnsi="宋体" w:cs="宋体"/>
                <w:color w:val="000000"/>
                <w:kern w:val="0"/>
                <w:sz w:val="22"/>
                <w:szCs w:val="22"/>
                <w:highlight w:val="none"/>
                <w:lang w:bidi="ar"/>
              </w:rPr>
              <w:t>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不含止水胶条</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9</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盾构管片环、纵缝渗漏封堵</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检查清理渗漏缝，设置阻断点，封缝，注入弹性环氧灌浆材料。</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宋体" w:hAnsi="宋体" w:cs="宋体"/>
                <w:sz w:val="22"/>
                <w:szCs w:val="22"/>
                <w:highlight w:val="none"/>
              </w:rPr>
            </w:pPr>
            <w:r>
              <w:rPr>
                <w:rFonts w:hint="eastAsia" w:ascii="宋体" w:hAnsi="宋体" w:cs="宋体"/>
                <w:color w:val="000000"/>
                <w:kern w:val="0"/>
                <w:sz w:val="22"/>
                <w:szCs w:val="22"/>
                <w:highlight w:val="none"/>
                <w:lang w:val="en-US" w:eastAsia="zh-CN" w:bidi="ar"/>
              </w:rPr>
              <w:t>400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环氧封堵</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10</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盾构螺栓孔渗漏封堵</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检查清理螺栓孔，松开螺栓设灌浆口，在孔内灌注聚氨酯浆液等，更换螺栓防水垫片，紧固螺栓，检查清理。</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个</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聚氨酯封堵</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11</w:t>
            </w:r>
          </w:p>
        </w:tc>
        <w:tc>
          <w:tcPr>
            <w:tcW w:w="6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防水砂浆堵漏</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清理基面，抹填堵漏砂浆，表面修整恢复。</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处</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聚合物防水砂浆，单处面积≤1平方</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12</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清理基面，抹填堵漏砂浆，表面修整恢复。</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平方米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聚合物防水砂浆，单处面积＞1平方</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13</w:t>
            </w:r>
          </w:p>
        </w:tc>
        <w:tc>
          <w:tcPr>
            <w:tcW w:w="6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预留孔(穿墙管件)等堵孔</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清理孔洞，聚氨酯填塞料，发泡堵孔，不漏水，表层水泥封填，洞口修整。</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孔</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阻燃型聚氨脂封堵，孔径≤10cm</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14</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清理孔洞，嵌填防火泥，聚氨酯填塞料，发泡堵孔，不漏水，表层水泥封填，洞口修整。</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立方</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阻燃型聚氨脂封堵，孔径＞10cm</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15</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隧内孔洞封堵</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清理孔洞，聚合砂浆、聚氨酯填塞料，注浆封闭，不漏水，表层水泥封填，洞口修整。</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孔</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聚氨酯封堵</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16</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干裂缝修复加固</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清理，埋设胶座，封缝处理，灌注灌缝胶，表观清理恢复。</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混凝土裂缝修补胶</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17</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砼轨枕松动破损环氧注浆补强</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轨枕边清缝剔槽，埋置注浆管，封缝，灌注环氧树脂浆液，清理注浆口，修面。</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根</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color w:val="000000"/>
                <w:kern w:val="0"/>
                <w:sz w:val="22"/>
                <w:szCs w:val="22"/>
                <w:highlight w:val="none"/>
                <w:lang w:eastAsia="zh-CN" w:bidi="ar"/>
              </w:rPr>
              <w:t>5</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18</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r>
              <w:rPr>
                <w:rFonts w:hint="eastAsia" w:ascii="宋体" w:hAnsi="宋体" w:cs="宋体"/>
                <w:kern w:val="0"/>
                <w:sz w:val="22"/>
                <w:szCs w:val="22"/>
                <w:highlight w:val="none"/>
                <w:lang w:bidi="ar"/>
              </w:rPr>
              <w:t>道床离缝、脱空、翻浆冒泥注浆</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灌浆处理：</w:t>
            </w:r>
          </w:p>
          <w:p>
            <w:pPr>
              <w:widowControl/>
              <w:jc w:val="left"/>
              <w:textAlignment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采用环氧树脂对管片与道床之间的缝隙灌浆处理，在施工前需对缝内杂物及积水等进行清理。</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eastAsia="zh-CN" w:bidi="ar"/>
              </w:rPr>
              <w:t>5</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r>
              <w:rPr>
                <w:rFonts w:hint="eastAsia" w:ascii="宋体" w:hAnsi="宋体" w:cs="宋体"/>
                <w:sz w:val="22"/>
                <w:szCs w:val="22"/>
                <w:highlight w:val="none"/>
              </w:rPr>
              <w:t>以处理道床的中心线长度m计算</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19</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渗漏处理（壁后单液浆填充注浆）</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注浆前应查明待注区域衬砌外回填土的现状；</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应根据隧道外部土体的性质选择注浆材料（水泥浆）；</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水胶比（W/C）宜为0.6~1.0；</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注浆结束后对砼表面进行清理；</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待注浆达到堵水效果后，须在后期对砼表面进行清理，保证外观无色差。</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吨</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eastAsia="zh-CN" w:bidi="ar"/>
              </w:rPr>
              <w:t>5</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单液浆</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20</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渗漏处理（壁后双液浆填充注浆）</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1、注浆前应查明待注区域衬砌外回填土的现状；</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2、应根据隧道外部土体的性质选择注浆材料（水泥-水玻璃双液浆）；</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3、水胶比（W/C）宜为0.6~1.0，水泥浆与水玻璃溶液的体积比可在1:0.1~1:1；</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4、注浆结束后对砼表面进行清理；</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5、待注浆达到堵水效果后，须在后期对砼表面进行清理，保证外观无色差。</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吨</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val="en-US" w:eastAsia="zh-CN" w:bidi="ar"/>
              </w:rPr>
              <w:t>5</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双液浆</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21</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钢环加固（宽度550mm）</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1、清理结构表面灰尘、析出物表面杂质；</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2、根据现场管片弧度定制钢环片，钢环采用Q345B（Q355）钢板，钢环宽度为550mm，厚度为20mm；</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3、钢环根据现场情况采用管片牛腿或道床牛腿+拉杆形式；</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4、现场螺栓采用M16化学锚栓，螺杆宜采用A4-80材质，且须确保锚栓抗拔力不小于40KN；</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5、钢环拼缝应满焊，并对其进行磁粉探伤检验，确保焊缝质量等级不低于二级；</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6、钢环与管片之间应进行环氧树脂的压注填充工作，压住压力宜控制在0.2-0.4MPa；</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7、施工结束后需对钢环表面进行除锈处理，并喷涂SPUR（聚脲弹性体），涂层厚度均匀，分多次多层喷涂，总厚度不小于1.2mm。</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环</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val="en-US" w:eastAsia="zh-CN" w:bidi="ar"/>
              </w:rPr>
              <w:t>2</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22</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钢环加固（宽度850mm）</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1、清理结构表面灰尘、析出物表面杂质；</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2、根据现场管片弧度定制钢环片，钢环采用Q345B（Q355）钢板，钢环宽度为850mm，厚度为20mm；</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3、钢环根据现场情况采用管片牛腿或道床牛腿+拉杆形式；</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4、现场螺栓采用M16化学锚栓，螺杆宜采用A4-80材质，且须确保锚栓抗拔力不小于40KN；</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5、钢环拼缝应满焊，并对其进行磁粉探伤检验，确保焊缝质量等级不低于二级；</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6、钢环与管片之间应进行环氧树脂的压注填充工作，压住压力宜控制在0.2-0.4MPa；</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7、施工结束后需对钢环表面进行除锈处理，并喷涂SPUR（聚脲弹性体），涂层厚度均匀，分多次多层喷涂，总厚度不小于1.2mm。</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环</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2</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23</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洞内微扰动注浆</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1、结合图纸及现场情况判断隧道区间或车站结构边线；</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2、管片开孔至引水面保护层，安装放喷球阀；</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3、在放喷球阀内二次开孔，安装注浆管；</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4、试喷后根据要求进行微扰动注浆；</w:t>
            </w:r>
          </w:p>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5、施工结束后对孔位进行封堵，拔除放喷球阀，恢复结构面。</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孔</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eastAsia="zh-CN" w:bidi="ar"/>
              </w:rPr>
              <w:t>5</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p>
        </w:tc>
      </w:tr>
      <w:tr>
        <w:tblPrEx>
          <w:tblCellMar>
            <w:top w:w="0" w:type="dxa"/>
            <w:left w:w="0" w:type="dxa"/>
            <w:bottom w:w="0" w:type="dxa"/>
            <w:right w:w="0" w:type="dxa"/>
          </w:tblCellMar>
        </w:tblPrEx>
        <w:trPr>
          <w:trHeight w:val="102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24</w:t>
            </w:r>
          </w:p>
        </w:tc>
        <w:tc>
          <w:tcPr>
            <w:tcW w:w="6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安装玻璃纤维接水槽</w:t>
            </w:r>
          </w:p>
        </w:tc>
        <w:tc>
          <w:tcPr>
            <w:tcW w:w="1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接水槽制作，密贴安装衬砌表壁，304不锈钢膨胀螺栓固定，拼接时留有承插口，密封胶封边，检查不渗水。</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隧内定型玻璃纤维板25cm*3cm*0.2cm</w:t>
            </w:r>
          </w:p>
        </w:tc>
      </w:tr>
      <w:tr>
        <w:tblPrEx>
          <w:tblCellMar>
            <w:top w:w="0" w:type="dxa"/>
            <w:left w:w="0" w:type="dxa"/>
            <w:bottom w:w="0" w:type="dxa"/>
            <w:right w:w="0" w:type="dxa"/>
          </w:tblCellMar>
        </w:tblPrEx>
        <w:trPr>
          <w:trHeight w:val="102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25</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p>
        </w:tc>
        <w:tc>
          <w:tcPr>
            <w:tcW w:w="1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kern w:val="0"/>
                <w:sz w:val="22"/>
                <w:szCs w:val="22"/>
                <w:highlight w:val="none"/>
                <w:lang w:bidi="ar"/>
              </w:rPr>
            </w:pP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30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kern w:val="0"/>
                <w:sz w:val="22"/>
                <w:szCs w:val="22"/>
                <w:highlight w:val="none"/>
                <w:lang w:bidi="ar"/>
              </w:rPr>
            </w:pPr>
            <w:r>
              <w:rPr>
                <w:rFonts w:hint="eastAsia" w:ascii="宋体" w:hAnsi="宋体" w:cs="宋体"/>
                <w:kern w:val="0"/>
                <w:sz w:val="22"/>
                <w:szCs w:val="22"/>
                <w:highlight w:val="none"/>
                <w:lang w:bidi="ar"/>
              </w:rPr>
              <w:t>非隧内玻璃纤维板15cm~40cm*3cm*0.2cm</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26</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安装不锈钢接水槽</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接水槽制作，304不锈钢膨胀螺栓固定，拼接时留有承插口，密封胶封边，检查不渗水。</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平方米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bidi="ar"/>
              </w:rPr>
              <w:t>30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304不锈钢接水槽，壁厚0.8</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27</w:t>
            </w:r>
          </w:p>
        </w:tc>
        <w:tc>
          <w:tcPr>
            <w:tcW w:w="6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安装PVC引水管</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PVC引水管布设，固定安装。</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eastAsia="zh-CN" w:bidi="ar"/>
              </w:rPr>
              <w:t>5</w:t>
            </w:r>
            <w:r>
              <w:rPr>
                <w:rFonts w:hint="eastAsia" w:ascii="宋体" w:hAnsi="宋体" w:cs="宋体"/>
                <w:color w:val="000000"/>
                <w:kern w:val="0"/>
                <w:sz w:val="22"/>
                <w:szCs w:val="22"/>
                <w:highlight w:val="none"/>
                <w:lang w:bidi="ar"/>
              </w:rPr>
              <w:t>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阻燃型PVC，φ40以内</w:t>
            </w:r>
          </w:p>
        </w:tc>
      </w:tr>
      <w:tr>
        <w:tblPrEx>
          <w:tblCellMar>
            <w:top w:w="0" w:type="dxa"/>
            <w:left w:w="0" w:type="dxa"/>
            <w:bottom w:w="0" w:type="dxa"/>
            <w:right w:w="0" w:type="dxa"/>
          </w:tblCellMar>
        </w:tblPrEx>
        <w:trPr>
          <w:trHeight w:val="102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28</w:t>
            </w:r>
          </w:p>
        </w:tc>
        <w:tc>
          <w:tcPr>
            <w:tcW w:w="6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修筑引、排水浅沟</w:t>
            </w: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sz w:val="22"/>
                <w:szCs w:val="22"/>
                <w:highlight w:val="none"/>
              </w:rPr>
            </w:pPr>
            <w:r>
              <w:rPr>
                <w:rFonts w:hint="eastAsia" w:ascii="宋体" w:hAnsi="宋体" w:cs="宋体"/>
                <w:kern w:val="0"/>
                <w:sz w:val="22"/>
                <w:szCs w:val="22"/>
                <w:highlight w:val="none"/>
                <w:lang w:bidi="ar"/>
              </w:rPr>
              <w:t>切割地面，凿除清理，形成沟槽，内壁修整，防水处理，制作不锈钢盖板。</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宋体" w:hAnsi="宋体" w:cs="宋体"/>
                <w:sz w:val="22"/>
                <w:szCs w:val="22"/>
                <w:highlight w:val="none"/>
              </w:rPr>
            </w:pPr>
            <w:r>
              <w:rPr>
                <w:rFonts w:hint="eastAsia" w:ascii="宋体" w:hAnsi="宋体" w:cs="宋体"/>
                <w:color w:val="000000"/>
                <w:kern w:val="0"/>
                <w:sz w:val="22"/>
                <w:szCs w:val="22"/>
                <w:highlight w:val="none"/>
                <w:lang w:eastAsia="zh-CN" w:bidi="ar"/>
              </w:rPr>
              <w:t>2</w:t>
            </w:r>
            <w:r>
              <w:rPr>
                <w:rFonts w:hint="eastAsia" w:ascii="宋体" w:hAnsi="宋体" w:cs="宋体"/>
                <w:color w:val="000000"/>
                <w:kern w:val="0"/>
                <w:sz w:val="22"/>
                <w:szCs w:val="22"/>
                <w:highlight w:val="none"/>
                <w:lang w:val="en-US" w:eastAsia="zh-CN" w:bidi="ar"/>
              </w:rPr>
              <w:t>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≤15cm深，地面切割（含1.2厚不锈钢盖板）</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29</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切割地面，凿除清理，形成沟槽，内壁修整，防水处理。</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color w:val="000000"/>
                <w:kern w:val="0"/>
                <w:sz w:val="22"/>
                <w:szCs w:val="22"/>
                <w:highlight w:val="none"/>
                <w:lang w:val="en-US" w:eastAsia="zh-CN"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≤15cm深，地面切割（不含盖板）</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30</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17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砌筑排水沟，抹面防水处理，修整，清理。</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color w:val="000000"/>
                <w:kern w:val="0"/>
                <w:sz w:val="22"/>
                <w:szCs w:val="22"/>
                <w:highlight w:val="none"/>
                <w:lang w:val="en-US" w:eastAsia="zh-CN" w:bidi="ar"/>
              </w:rPr>
              <w:t>20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≤15cm深，地面砌筑（不含盖板）</w:t>
            </w:r>
          </w:p>
        </w:tc>
      </w:tr>
      <w:tr>
        <w:tblPrEx>
          <w:tblCellMar>
            <w:top w:w="0" w:type="dxa"/>
            <w:left w:w="0" w:type="dxa"/>
            <w:bottom w:w="0" w:type="dxa"/>
            <w:right w:w="0" w:type="dxa"/>
          </w:tblCellMar>
        </w:tblPrEx>
        <w:trPr>
          <w:trHeight w:val="285"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31</w:t>
            </w:r>
          </w:p>
        </w:tc>
        <w:tc>
          <w:tcPr>
            <w:tcW w:w="64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开洞（水钻）</w:t>
            </w:r>
          </w:p>
        </w:tc>
        <w:tc>
          <w:tcPr>
            <w:tcW w:w="170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水钻钻孔</w:t>
            </w: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孔</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color w:val="000000"/>
                <w:kern w:val="0"/>
                <w:sz w:val="22"/>
                <w:szCs w:val="22"/>
                <w:highlight w:val="none"/>
                <w:lang w:bidi="ar"/>
              </w:rPr>
              <w:t>10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洞直径≤75mm</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32</w:t>
            </w:r>
          </w:p>
        </w:tc>
        <w:tc>
          <w:tcPr>
            <w:tcW w:w="64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 w:val="22"/>
                <w:szCs w:val="22"/>
                <w:highlight w:val="none"/>
              </w:rPr>
            </w:pPr>
          </w:p>
        </w:tc>
        <w:tc>
          <w:tcPr>
            <w:tcW w:w="170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sz w:val="22"/>
                <w:szCs w:val="22"/>
                <w:highlight w:val="none"/>
              </w:rPr>
            </w:pPr>
          </w:p>
        </w:tc>
        <w:tc>
          <w:tcPr>
            <w:tcW w:w="34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孔</w:t>
            </w:r>
          </w:p>
        </w:tc>
        <w:tc>
          <w:tcPr>
            <w:tcW w:w="3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color w:val="000000"/>
                <w:kern w:val="0"/>
                <w:sz w:val="22"/>
                <w:szCs w:val="22"/>
                <w:highlight w:val="none"/>
                <w:lang w:bidi="ar"/>
              </w:rPr>
              <w:t>10</w:t>
            </w:r>
          </w:p>
        </w:tc>
        <w:tc>
          <w:tcPr>
            <w:tcW w:w="5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200mm≥洞直径＞75mm</w:t>
            </w:r>
          </w:p>
        </w:tc>
      </w:tr>
      <w:tr>
        <w:tblPrEx>
          <w:tblCellMar>
            <w:top w:w="0" w:type="dxa"/>
            <w:left w:w="0" w:type="dxa"/>
            <w:bottom w:w="0" w:type="dxa"/>
            <w:right w:w="0" w:type="dxa"/>
          </w:tblCellMar>
        </w:tblPrEx>
        <w:trPr>
          <w:trHeight w:val="52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33</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复合材料井沟盖板制作安装</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复合盖板，厚度</w:t>
            </w:r>
            <w:r>
              <w:rPr>
                <w:kern w:val="0"/>
                <w:sz w:val="22"/>
                <w:szCs w:val="22"/>
                <w:highlight w:val="none"/>
                <w:lang w:bidi="ar"/>
              </w:rPr>
              <w:t>30~50mm</w:t>
            </w:r>
            <w:r>
              <w:rPr>
                <w:rFonts w:ascii="宋体" w:hAnsi="宋体" w:cs="宋体"/>
                <w:sz w:val="22"/>
                <w:szCs w:val="22"/>
                <w:highlight w:val="none"/>
                <w:lang w:bidi="ar"/>
              </w:rPr>
              <w:t>，具体尺寸现场制作。施工内容：基座处理，盖板（格栅）加工制作、安装。</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color w:val="000000"/>
                <w:kern w:val="0"/>
                <w:sz w:val="22"/>
                <w:szCs w:val="22"/>
                <w:highlight w:val="none"/>
                <w:lang w:val="en-US" w:eastAsia="zh-CN" w:bidi="ar"/>
              </w:rPr>
              <w:t>5</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更换或新增</w:t>
            </w:r>
          </w:p>
        </w:tc>
      </w:tr>
      <w:tr>
        <w:tblPrEx>
          <w:tblCellMar>
            <w:top w:w="0" w:type="dxa"/>
            <w:left w:w="0" w:type="dxa"/>
            <w:bottom w:w="0" w:type="dxa"/>
            <w:right w:w="0" w:type="dxa"/>
          </w:tblCellMar>
        </w:tblPrEx>
        <w:trPr>
          <w:trHeight w:val="27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34</w:t>
            </w:r>
          </w:p>
        </w:tc>
        <w:tc>
          <w:tcPr>
            <w:tcW w:w="64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出入口玻璃更换</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材料：安全玻璃，具有</w:t>
            </w:r>
            <w:r>
              <w:rPr>
                <w:kern w:val="0"/>
                <w:sz w:val="22"/>
                <w:szCs w:val="22"/>
                <w:highlight w:val="none"/>
                <w:lang w:bidi="ar"/>
              </w:rPr>
              <w:t>3C</w:t>
            </w:r>
            <w:r>
              <w:rPr>
                <w:rFonts w:ascii="宋体" w:hAnsi="宋体" w:cs="宋体"/>
                <w:sz w:val="22"/>
                <w:szCs w:val="22"/>
                <w:highlight w:val="none"/>
                <w:lang w:bidi="ar"/>
              </w:rPr>
              <w:t>认证或</w:t>
            </w:r>
            <w:r>
              <w:rPr>
                <w:kern w:val="0"/>
                <w:sz w:val="22"/>
                <w:szCs w:val="22"/>
                <w:highlight w:val="none"/>
                <w:lang w:bidi="ar"/>
              </w:rPr>
              <w:t>CE</w:t>
            </w:r>
            <w:r>
              <w:rPr>
                <w:rFonts w:ascii="宋体" w:hAnsi="宋体" w:cs="宋体"/>
                <w:sz w:val="22"/>
                <w:szCs w:val="22"/>
                <w:highlight w:val="none"/>
                <w:lang w:bidi="ar"/>
              </w:rPr>
              <w:t>认证，原样玻璃尺寸。施工内容：碎玻璃拆卸、安全防护，新玻璃制作、运输、安装等。</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color w:val="000000"/>
                <w:kern w:val="0"/>
                <w:sz w:val="22"/>
                <w:szCs w:val="22"/>
                <w:highlight w:val="none"/>
                <w:lang w:bidi="ar"/>
              </w:rPr>
              <w:t>25</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更换，适用位置：地面出入口及地下站采光顶</w:t>
            </w:r>
          </w:p>
        </w:tc>
      </w:tr>
      <w:tr>
        <w:tblPrEx>
          <w:tblCellMar>
            <w:top w:w="0" w:type="dxa"/>
            <w:left w:w="0" w:type="dxa"/>
            <w:bottom w:w="0" w:type="dxa"/>
            <w:right w:w="0" w:type="dxa"/>
          </w:tblCellMar>
        </w:tblPrEx>
        <w:trPr>
          <w:trHeight w:val="1020"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35</w:t>
            </w:r>
          </w:p>
        </w:tc>
        <w:tc>
          <w:tcPr>
            <w:tcW w:w="64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一般位置安全玻璃更换</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材料：安全玻璃，具有</w:t>
            </w:r>
            <w:r>
              <w:rPr>
                <w:kern w:val="0"/>
                <w:sz w:val="22"/>
                <w:szCs w:val="22"/>
                <w:highlight w:val="none"/>
                <w:lang w:bidi="ar"/>
              </w:rPr>
              <w:t>3C</w:t>
            </w:r>
            <w:r>
              <w:rPr>
                <w:rFonts w:ascii="宋体" w:hAnsi="宋体" w:cs="宋体"/>
                <w:sz w:val="22"/>
                <w:szCs w:val="22"/>
                <w:highlight w:val="none"/>
                <w:lang w:bidi="ar"/>
              </w:rPr>
              <w:t>认证或</w:t>
            </w:r>
            <w:r>
              <w:rPr>
                <w:kern w:val="0"/>
                <w:sz w:val="22"/>
                <w:szCs w:val="22"/>
                <w:highlight w:val="none"/>
                <w:lang w:bidi="ar"/>
              </w:rPr>
              <w:t>CE</w:t>
            </w:r>
            <w:r>
              <w:rPr>
                <w:rFonts w:ascii="宋体" w:hAnsi="宋体" w:cs="宋体"/>
                <w:sz w:val="22"/>
                <w:szCs w:val="22"/>
                <w:highlight w:val="none"/>
                <w:lang w:bidi="ar"/>
              </w:rPr>
              <w:t>认证，原样玻璃尺寸。施工内容：碎玻璃拆卸、安全防护，新玻璃制作、运输、安装等。</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color w:val="000000"/>
                <w:kern w:val="0"/>
                <w:sz w:val="22"/>
                <w:szCs w:val="22"/>
                <w:highlight w:val="none"/>
                <w:lang w:bidi="ar"/>
              </w:rPr>
              <w:t>25</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更换，适用位置：除上述位置以外其它位置</w:t>
            </w:r>
          </w:p>
        </w:tc>
      </w:tr>
      <w:tr>
        <w:tblPrEx>
          <w:tblCellMar>
            <w:top w:w="0" w:type="dxa"/>
            <w:left w:w="0" w:type="dxa"/>
            <w:bottom w:w="0" w:type="dxa"/>
            <w:right w:w="0" w:type="dxa"/>
          </w:tblCellMar>
        </w:tblPrEx>
        <w:trPr>
          <w:trHeight w:val="510"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36</w:t>
            </w:r>
          </w:p>
        </w:tc>
        <w:tc>
          <w:tcPr>
            <w:tcW w:w="64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普通玻璃安装</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sz w:val="22"/>
                <w:szCs w:val="22"/>
                <w:highlight w:val="none"/>
              </w:rPr>
            </w:pPr>
            <w:r>
              <w:rPr>
                <w:rFonts w:hint="eastAsia" w:ascii="宋体" w:hAnsi="宋体" w:cs="宋体"/>
                <w:kern w:val="0"/>
                <w:sz w:val="22"/>
                <w:szCs w:val="22"/>
                <w:highlight w:val="none"/>
                <w:lang w:bidi="ar"/>
              </w:rPr>
              <w:t>材料：玻璃使用原有型号规格玻璃；施工内容：碎玻璃拆卸、安全防护，新玻璃制作、运输、安装等。</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color w:val="000000"/>
                <w:kern w:val="0"/>
                <w:sz w:val="22"/>
                <w:szCs w:val="22"/>
                <w:highlight w:val="none"/>
                <w:lang w:bidi="ar"/>
              </w:rPr>
              <w:t>10</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更换</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37</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卫生间地面防水更换重做</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sz w:val="22"/>
                <w:szCs w:val="22"/>
                <w:highlight w:val="none"/>
              </w:rPr>
            </w:pPr>
            <w:r>
              <w:rPr>
                <w:kern w:val="0"/>
                <w:sz w:val="22"/>
                <w:szCs w:val="22"/>
                <w:highlight w:val="none"/>
                <w:lang w:bidi="ar"/>
              </w:rPr>
              <w:t>施工内容：原有地面拆除清理；地面找平；两遍防水涂料涂刷；保护层施工，闭水试验；地面瓷砖恢复。</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sz w:val="22"/>
                <w:szCs w:val="22"/>
                <w:highlight w:val="none"/>
              </w:rPr>
            </w:pPr>
            <w:r>
              <w:rPr>
                <w:rFonts w:hint="eastAsia" w:ascii="宋体" w:hAnsi="宋体" w:cs="宋体"/>
                <w:color w:val="000000"/>
                <w:kern w:val="0"/>
                <w:sz w:val="22"/>
                <w:szCs w:val="22"/>
                <w:highlight w:val="none"/>
                <w:lang w:bidi="ar"/>
              </w:rPr>
              <w:t>15</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kern w:val="0"/>
                <w:sz w:val="22"/>
                <w:szCs w:val="22"/>
                <w:highlight w:val="none"/>
                <w:lang w:bidi="ar"/>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kern w:val="0"/>
                <w:sz w:val="22"/>
                <w:szCs w:val="22"/>
                <w:highlight w:val="none"/>
                <w:lang w:bidi="ar"/>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sz w:val="22"/>
                <w:szCs w:val="22"/>
                <w:highlight w:val="none"/>
              </w:rPr>
            </w:pPr>
            <w:r>
              <w:rPr>
                <w:kern w:val="0"/>
                <w:sz w:val="22"/>
                <w:szCs w:val="22"/>
                <w:highlight w:val="none"/>
                <w:lang w:bidi="ar"/>
              </w:rPr>
              <w:t>渗漏水重做（不与地砖铺贴重复计价）</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38</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安装吊顶</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施工内容：吊筋、龙骨制作安装（含旧顶拆除清运）、顶板安装</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lang w:bidi="ar"/>
              </w:rPr>
            </w:pPr>
            <w:r>
              <w:rPr>
                <w:rFonts w:hint="eastAsia" w:ascii="宋体" w:hAnsi="宋体" w:cs="宋体"/>
                <w:kern w:val="0"/>
                <w:sz w:val="22"/>
                <w:szCs w:val="22"/>
                <w:highlight w:val="none"/>
              </w:rPr>
              <w:t>新增</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ascii="宋体" w:hAnsi="宋体" w:cs="宋体"/>
                <w:kern w:val="0"/>
                <w:sz w:val="22"/>
                <w:szCs w:val="22"/>
                <w:highlight w:val="none"/>
              </w:rPr>
            </w:pPr>
            <w:r>
              <w:rPr>
                <w:rFonts w:hint="eastAsia" w:ascii="宋体" w:hAnsi="宋体" w:cs="宋体"/>
                <w:kern w:val="0"/>
                <w:sz w:val="22"/>
                <w:szCs w:val="22"/>
                <w:highlight w:val="none"/>
              </w:rPr>
              <w:t>39</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轻钢龙骨隔断</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施工内容：龙骨安装固定；石膏板安装固定；面层腻子及乳胶漆粉刷；金属面防腐防锈。</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新增</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ascii="宋体" w:hAnsi="宋体" w:cs="宋体"/>
                <w:kern w:val="0"/>
                <w:sz w:val="22"/>
                <w:szCs w:val="22"/>
                <w:highlight w:val="none"/>
              </w:rPr>
            </w:pPr>
            <w:r>
              <w:rPr>
                <w:rFonts w:hint="eastAsia" w:ascii="宋体" w:hAnsi="宋体" w:cs="宋体"/>
                <w:kern w:val="0"/>
                <w:sz w:val="22"/>
                <w:szCs w:val="22"/>
                <w:highlight w:val="none"/>
              </w:rPr>
              <w:t>40</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铝塑板安装</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施工内容：龙骨制作安装；金属防锈防腐处理；铝塑板制作安装（颜色由招标人确认）。</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新增</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ascii="宋体" w:hAnsi="宋体" w:cs="宋体"/>
                <w:kern w:val="0"/>
                <w:sz w:val="22"/>
                <w:szCs w:val="22"/>
                <w:highlight w:val="none"/>
              </w:rPr>
            </w:pPr>
            <w:r>
              <w:rPr>
                <w:rFonts w:hint="eastAsia" w:ascii="宋体" w:hAnsi="宋体" w:cs="宋体"/>
                <w:kern w:val="0"/>
                <w:sz w:val="22"/>
                <w:szCs w:val="22"/>
                <w:highlight w:val="none"/>
              </w:rPr>
              <w:t>41</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hint="eastAsia" w:ascii="宋体" w:hAnsi="宋体" w:cs="宋体"/>
                <w:kern w:val="0"/>
                <w:sz w:val="22"/>
                <w:szCs w:val="22"/>
                <w:highlight w:val="none"/>
              </w:rPr>
            </w:pP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施工内容：金属骨架防锈防腐处理；铝塑板制作安装（颜色由招标人确认）。</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新增</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ascii="宋体" w:hAnsi="宋体" w:cs="宋体"/>
                <w:kern w:val="0"/>
                <w:sz w:val="22"/>
                <w:szCs w:val="22"/>
                <w:highlight w:val="none"/>
              </w:rPr>
            </w:pPr>
            <w:r>
              <w:rPr>
                <w:rFonts w:hint="eastAsia" w:ascii="宋体" w:hAnsi="宋体" w:cs="宋体"/>
                <w:kern w:val="0"/>
                <w:sz w:val="22"/>
                <w:szCs w:val="22"/>
                <w:highlight w:val="none"/>
              </w:rPr>
              <w:t>42</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砌体墙砌筑</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施工内容：200mm厚砌块墙（含墙筋）；砌筑水泥砂浆不低于M7.5；一般抹灰层、腻子两遍、白色乳胶漆两遍面层。</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立方米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宋体" w:hAnsi="宋体" w:cs="宋体"/>
                <w:kern w:val="0"/>
                <w:sz w:val="22"/>
                <w:szCs w:val="22"/>
                <w:highlight w:val="none"/>
              </w:rPr>
            </w:pPr>
            <w:r>
              <w:rPr>
                <w:rFonts w:hint="eastAsia" w:ascii="宋体" w:hAnsi="宋体" w:cs="宋体"/>
                <w:kern w:val="0"/>
                <w:sz w:val="22"/>
                <w:szCs w:val="22"/>
                <w:highlight w:val="none"/>
              </w:rPr>
              <w:t>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新增或重新砌筑整片墙</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ascii="宋体" w:hAnsi="宋体" w:cs="宋体"/>
                <w:kern w:val="0"/>
                <w:sz w:val="22"/>
                <w:szCs w:val="22"/>
                <w:highlight w:val="none"/>
              </w:rPr>
            </w:pPr>
            <w:r>
              <w:rPr>
                <w:rFonts w:hint="eastAsia" w:ascii="宋体" w:hAnsi="宋体" w:cs="宋体"/>
                <w:kern w:val="0"/>
                <w:sz w:val="22"/>
                <w:szCs w:val="22"/>
                <w:highlight w:val="none"/>
              </w:rPr>
              <w:t>43</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静电地板安装</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施工内容：龙骨，辅材、安装；原静电地板拆除，垃圾外运等。</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新增</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ascii="宋体" w:hAnsi="宋体" w:cs="宋体"/>
                <w:kern w:val="0"/>
                <w:sz w:val="22"/>
                <w:szCs w:val="22"/>
                <w:highlight w:val="none"/>
              </w:rPr>
            </w:pPr>
            <w:r>
              <w:rPr>
                <w:rFonts w:hint="eastAsia" w:ascii="宋体" w:hAnsi="宋体" w:cs="宋体"/>
                <w:kern w:val="0"/>
                <w:sz w:val="22"/>
                <w:szCs w:val="22"/>
                <w:highlight w:val="none"/>
              </w:rPr>
              <w:t>44</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地砖铺贴</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施工内容：地砖底部场地硬化处理，原地面的处理和垃圾清运；新砖铺贴。</w:t>
            </w:r>
          </w:p>
          <w:p>
            <w:pPr>
              <w:widowControl/>
              <w:jc w:val="left"/>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标准：铺贴平整，无空鼓</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r>
              <w:rPr>
                <w:rFonts w:hint="eastAsia" w:ascii="宋体" w:hAnsi="宋体" w:cs="宋体"/>
                <w:kern w:val="0"/>
                <w:sz w:val="22"/>
                <w:szCs w:val="22"/>
                <w:highlight w:val="none"/>
              </w:rPr>
              <w:t>新增</w:t>
            </w:r>
          </w:p>
        </w:tc>
      </w:tr>
      <w:tr>
        <w:tblPrEx>
          <w:tblCellMar>
            <w:top w:w="0" w:type="dxa"/>
            <w:left w:w="0" w:type="dxa"/>
            <w:bottom w:w="0" w:type="dxa"/>
            <w:right w:w="0" w:type="dxa"/>
          </w:tblCellMar>
        </w:tblPrEx>
        <w:trPr>
          <w:trHeight w:val="765"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45</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hint="eastAsia" w:ascii="宋体" w:hAnsi="宋体" w:eastAsia="宋体" w:cs="宋体"/>
                <w:kern w:val="0"/>
                <w:sz w:val="22"/>
                <w:szCs w:val="22"/>
                <w:highlight w:val="none"/>
                <w:lang w:eastAsia="zh-CN"/>
              </w:rPr>
            </w:pPr>
            <w:r>
              <w:rPr>
                <w:rFonts w:hint="eastAsia" w:ascii="宋体" w:hAnsi="宋体" w:cs="宋体"/>
                <w:kern w:val="0"/>
                <w:sz w:val="22"/>
                <w:szCs w:val="22"/>
                <w:highlight w:val="none"/>
                <w:lang w:eastAsia="zh-CN"/>
              </w:rPr>
              <w:t>门锁</w:t>
            </w:r>
          </w:p>
        </w:tc>
        <w:tc>
          <w:tcPr>
            <w:tcW w:w="1702"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eastAsia="宋体" w:cs="宋体"/>
                <w:kern w:val="0"/>
                <w:sz w:val="22"/>
                <w:szCs w:val="22"/>
                <w:highlight w:val="none"/>
                <w:lang w:eastAsia="zh-CN"/>
              </w:rPr>
            </w:pPr>
            <w:r>
              <w:rPr>
                <w:rFonts w:hint="eastAsia" w:ascii="宋体" w:hAnsi="宋体" w:cs="宋体"/>
                <w:kern w:val="0"/>
                <w:sz w:val="22"/>
                <w:szCs w:val="22"/>
                <w:highlight w:val="none"/>
              </w:rPr>
              <w:t>施工内容：</w:t>
            </w:r>
            <w:r>
              <w:rPr>
                <w:rFonts w:hint="eastAsia" w:ascii="宋体" w:hAnsi="宋体" w:cs="宋体"/>
                <w:kern w:val="0"/>
                <w:sz w:val="22"/>
                <w:szCs w:val="22"/>
                <w:highlight w:val="none"/>
                <w:lang w:eastAsia="zh-CN"/>
              </w:rPr>
              <w:t>维修及更换破损的门锁；要求：与原件一致</w:t>
            </w:r>
          </w:p>
        </w:tc>
        <w:tc>
          <w:tcPr>
            <w:tcW w:w="340"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kern w:val="0"/>
                <w:sz w:val="22"/>
                <w:szCs w:val="22"/>
                <w:highlight w:val="none"/>
                <w:lang w:eastAsia="zh-CN"/>
              </w:rPr>
            </w:pPr>
            <w:r>
              <w:rPr>
                <w:rFonts w:hint="eastAsia" w:ascii="宋体" w:hAnsi="宋体" w:cs="宋体"/>
                <w:kern w:val="0"/>
                <w:sz w:val="22"/>
                <w:szCs w:val="22"/>
                <w:highlight w:val="none"/>
                <w:lang w:eastAsia="zh-CN"/>
              </w:rPr>
              <w:t>把</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r>
      <w:tr>
        <w:tblPrEx>
          <w:tblCellMar>
            <w:top w:w="0" w:type="dxa"/>
            <w:left w:w="0" w:type="dxa"/>
            <w:bottom w:w="0" w:type="dxa"/>
            <w:right w:w="0" w:type="dxa"/>
          </w:tblCellMar>
        </w:tblPrEx>
        <w:trPr>
          <w:trHeight w:val="765" w:hRule="atLeast"/>
        </w:trPr>
        <w:tc>
          <w:tcPr>
            <w:tcW w:w="3978" w:type="pct"/>
            <w:gridSpan w:val="6"/>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eastAsia="宋体" w:cs="宋体"/>
                <w:kern w:val="0"/>
                <w:sz w:val="22"/>
                <w:szCs w:val="22"/>
                <w:highlight w:val="none"/>
                <w:lang w:val="en-US" w:eastAsia="zh-CN"/>
              </w:rPr>
            </w:pPr>
            <w:r>
              <w:rPr>
                <w:rFonts w:hint="eastAsia" w:cs="宋体"/>
                <w:kern w:val="0"/>
                <w:sz w:val="22"/>
                <w:szCs w:val="22"/>
                <w:highlight w:val="none"/>
                <w:lang w:val="en-US" w:eastAsia="zh-CN"/>
              </w:rPr>
              <w:t>合计</w:t>
            </w:r>
          </w:p>
        </w:tc>
        <w:tc>
          <w:tcPr>
            <w:tcW w:w="557"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kern w:val="0"/>
                <w:sz w:val="22"/>
                <w:szCs w:val="22"/>
                <w:highlight w:val="none"/>
              </w:rPr>
            </w:pPr>
          </w:p>
        </w:tc>
      </w:tr>
    </w:tbl>
    <w:p>
      <w:pPr>
        <w:rPr>
          <w:rFonts w:hint="eastAsia" w:ascii="宋体" w:hAnsi="宋体" w:cs="宋体"/>
          <w:b/>
          <w:bCs/>
          <w:szCs w:val="24"/>
          <w:lang w:eastAsia="zh-CN" w:bidi="ar"/>
        </w:rPr>
      </w:pPr>
    </w:p>
    <w:p>
      <w:pPr>
        <w:rPr>
          <w:rFonts w:hint="eastAsia"/>
        </w:rPr>
      </w:pPr>
    </w:p>
    <w:p>
      <w:r>
        <w:rPr>
          <w:rFonts w:hint="eastAsia"/>
        </w:rPr>
        <w:t>投标人（盖章）：</w:t>
      </w:r>
    </w:p>
    <w:p>
      <w:pPr>
        <w:rPr>
          <w:rFonts w:hint="eastAsia"/>
        </w:rPr>
      </w:pPr>
    </w:p>
    <w:p>
      <w:r>
        <w:rPr>
          <w:rFonts w:hint="eastAsia"/>
        </w:rPr>
        <w:t>法定代表人或其授权代表（签字或盖章）：</w:t>
      </w:r>
    </w:p>
    <w:p>
      <w:r>
        <w:rPr>
          <w:rFonts w:hint="eastAsia"/>
        </w:rPr>
        <w:t>日期：</w:t>
      </w:r>
      <w:r>
        <w:t xml:space="preserve">    年   月   日</w:t>
      </w:r>
    </w:p>
    <w:p>
      <w:pP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br w:type="page"/>
      </w:r>
    </w:p>
    <w:p>
      <w:pPr>
        <w:pStyle w:val="18"/>
        <w:jc w:val="center"/>
        <w:outlineLvl w:val="3"/>
        <w:rPr>
          <w:rFonts w:hint="eastAsia" w:ascii="宋体" w:hAnsi="宋体" w:cs="宋体"/>
          <w:b/>
          <w:sz w:val="30"/>
          <w:szCs w:val="30"/>
          <w:lang w:val="en-US" w:eastAsia="zh-CN"/>
        </w:rPr>
      </w:pPr>
      <w:r>
        <w:rPr>
          <w:rFonts w:hint="eastAsia" w:ascii="宋体" w:hAnsi="宋体" w:cs="宋体"/>
          <w:b/>
          <w:sz w:val="30"/>
          <w:szCs w:val="30"/>
          <w:lang w:val="en-US" w:eastAsia="zh-CN"/>
        </w:rPr>
        <w:t>（7）袍江两湖站、海南路站、越兴路站日常维保装修费用报价表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1212"/>
        <w:gridCol w:w="2002"/>
        <w:gridCol w:w="1443"/>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napToGrid w:val="0"/>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eastAsia="zh-CN"/>
                <w14:textFill>
                  <w14:solidFill>
                    <w14:schemeClr w14:val="tx1"/>
                  </w14:solidFill>
                </w14:textFill>
              </w:rPr>
              <w:t>项目</w:t>
            </w:r>
          </w:p>
        </w:tc>
        <w:tc>
          <w:tcPr>
            <w:tcW w:w="1212" w:type="dxa"/>
            <w:vAlign w:val="center"/>
          </w:tcPr>
          <w:p>
            <w:pPr>
              <w:snapToGrid w:val="0"/>
              <w:spacing w:line="400" w:lineRule="exact"/>
              <w:jc w:val="center"/>
              <w:rPr>
                <w:rFonts w:hint="default" w:asciiTheme="minorEastAsia" w:hAnsiTheme="minorEastAsia" w:eastAsiaTheme="minorEastAsia"/>
                <w:color w:val="000000" w:themeColor="text1"/>
                <w:lang w:eastAsia="zh-CN"/>
                <w14:textFill>
                  <w14:solidFill>
                    <w14:schemeClr w14:val="tx1"/>
                  </w14:solidFill>
                </w14:textFill>
              </w:rPr>
            </w:pPr>
            <w:r>
              <w:rPr>
                <w:rFonts w:hint="default" w:asciiTheme="minorEastAsia" w:hAnsiTheme="minorEastAsia" w:eastAsiaTheme="minorEastAsia"/>
                <w:color w:val="000000" w:themeColor="text1"/>
                <w:lang w:eastAsia="zh-CN"/>
                <w14:textFill>
                  <w14:solidFill>
                    <w14:schemeClr w14:val="tx1"/>
                  </w14:solidFill>
                </w14:textFill>
              </w:rPr>
              <w:t>服务期限</w:t>
            </w:r>
          </w:p>
          <w:p>
            <w:pPr>
              <w:snapToGrid w:val="0"/>
              <w:spacing w:line="400" w:lineRule="exact"/>
              <w:jc w:val="center"/>
              <w:rPr>
                <w:rFonts w:hint="default"/>
                <w:vertAlign w:val="baseline"/>
                <w:lang w:val="en-US" w:eastAsia="zh-CN"/>
              </w:rPr>
            </w:pPr>
            <w:r>
              <w:rPr>
                <w:rFonts w:hint="default" w:asciiTheme="minorEastAsia" w:hAnsiTheme="minorEastAsia" w:eastAsiaTheme="minorEastAsia"/>
                <w:color w:val="000000" w:themeColor="text1"/>
                <w:lang w:eastAsia="zh-CN"/>
                <w14:textFill>
                  <w14:solidFill>
                    <w14:schemeClr w14:val="tx1"/>
                  </w14:solidFill>
                </w14:textFill>
              </w:rPr>
              <w:t>（月）</w:t>
            </w:r>
          </w:p>
        </w:tc>
        <w:tc>
          <w:tcPr>
            <w:tcW w:w="2002" w:type="dxa"/>
            <w:vAlign w:val="center"/>
          </w:tcPr>
          <w:p>
            <w:pPr>
              <w:snapToGrid w:val="0"/>
              <w:spacing w:line="400" w:lineRule="exact"/>
              <w:jc w:val="center"/>
              <w:rPr>
                <w:rFonts w:hint="default" w:asciiTheme="minorEastAsia" w:hAnsiTheme="minorEastAsia" w:eastAsiaTheme="minorEastAsia"/>
                <w:color w:val="000000" w:themeColor="text1"/>
                <w14:textFill>
                  <w14:solidFill>
                    <w14:schemeClr w14:val="tx1"/>
                  </w14:solidFill>
                </w14:textFill>
              </w:rPr>
            </w:pPr>
            <w:r>
              <w:rPr>
                <w:rFonts w:hint="default" w:asciiTheme="minorEastAsia" w:hAnsiTheme="minorEastAsia" w:eastAsiaTheme="minorEastAsia"/>
                <w:color w:val="000000" w:themeColor="text1"/>
                <w14:textFill>
                  <w14:solidFill>
                    <w14:schemeClr w14:val="tx1"/>
                  </w14:solidFill>
                </w14:textFill>
              </w:rPr>
              <w:t>综合单价</w:t>
            </w:r>
          </w:p>
          <w:p>
            <w:pPr>
              <w:snapToGrid w:val="0"/>
              <w:spacing w:line="400" w:lineRule="exact"/>
              <w:jc w:val="center"/>
              <w:rPr>
                <w:rFonts w:hint="default"/>
                <w:vertAlign w:val="baseline"/>
                <w:lang w:val="en-US" w:eastAsia="zh-CN"/>
              </w:rPr>
            </w:pPr>
            <w:r>
              <w:rPr>
                <w:rFonts w:hint="default" w:asciiTheme="minorEastAsia" w:hAnsiTheme="minorEastAsia" w:eastAsiaTheme="minorEastAsia"/>
                <w:color w:val="000000" w:themeColor="text1"/>
                <w:lang w:eastAsia="zh-CN"/>
                <w14:textFill>
                  <w14:solidFill>
                    <w14:schemeClr w14:val="tx1"/>
                  </w14:solidFill>
                </w14:textFill>
              </w:rPr>
              <w:t>（元）</w:t>
            </w:r>
          </w:p>
        </w:tc>
        <w:tc>
          <w:tcPr>
            <w:tcW w:w="1443" w:type="dxa"/>
            <w:vAlign w:val="center"/>
          </w:tcPr>
          <w:p>
            <w:pPr>
              <w:snapToGrid w:val="0"/>
              <w:spacing w:line="400" w:lineRule="exact"/>
              <w:jc w:val="center"/>
              <w:rPr>
                <w:rFonts w:hint="default" w:asciiTheme="minorEastAsia" w:hAnsiTheme="minorEastAsia" w:eastAsiaTheme="minorEastAsia"/>
                <w:color w:val="000000" w:themeColor="text1"/>
                <w14:textFill>
                  <w14:solidFill>
                    <w14:schemeClr w14:val="tx1"/>
                  </w14:solidFill>
                </w14:textFill>
              </w:rPr>
            </w:pPr>
            <w:r>
              <w:rPr>
                <w:rFonts w:hint="default" w:asciiTheme="minorEastAsia" w:hAnsiTheme="minorEastAsia" w:eastAsiaTheme="minorEastAsia"/>
                <w:color w:val="000000" w:themeColor="text1"/>
                <w14:textFill>
                  <w14:solidFill>
                    <w14:schemeClr w14:val="tx1"/>
                  </w14:solidFill>
                </w14:textFill>
              </w:rPr>
              <w:t>合计</w:t>
            </w:r>
          </w:p>
          <w:p>
            <w:pPr>
              <w:snapToGrid w:val="0"/>
              <w:spacing w:line="400" w:lineRule="exact"/>
              <w:jc w:val="center"/>
              <w:rPr>
                <w:rFonts w:hint="default"/>
                <w:vertAlign w:val="baseline"/>
                <w:lang w:val="en-US" w:eastAsia="zh-CN"/>
              </w:rPr>
            </w:pPr>
            <w:r>
              <w:rPr>
                <w:rFonts w:hint="default" w:asciiTheme="minorEastAsia" w:hAnsiTheme="minorEastAsia" w:eastAsiaTheme="minorEastAsia"/>
                <w:color w:val="000000" w:themeColor="text1"/>
                <w14:textFill>
                  <w14:solidFill>
                    <w14:schemeClr w14:val="tx1"/>
                  </w14:solidFill>
                </w14:textFill>
              </w:rPr>
              <w:t>（元）</w:t>
            </w:r>
          </w:p>
        </w:tc>
        <w:tc>
          <w:tcPr>
            <w:tcW w:w="2398" w:type="dxa"/>
            <w:vAlign w:val="center"/>
          </w:tcPr>
          <w:p>
            <w:pPr>
              <w:snapToGrid w:val="0"/>
              <w:spacing w:line="400" w:lineRule="exact"/>
              <w:jc w:val="center"/>
              <w:rPr>
                <w:rFonts w:hint="default"/>
                <w:vertAlign w:val="baseline"/>
                <w:lang w:val="en-US" w:eastAsia="zh-CN"/>
              </w:rPr>
            </w:pPr>
            <w:r>
              <w:rPr>
                <w:rFonts w:hint="eastAsia" w:asciiTheme="minorEastAsia" w:hAnsiTheme="minorEastAsia" w:eastAsiaTheme="minorEastAsia"/>
                <w:color w:val="000000" w:themeColor="text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snapToGrid w:val="0"/>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袍江两湖站、海南路站、越兴路站日常维保装修费用</w:t>
            </w:r>
          </w:p>
        </w:tc>
        <w:tc>
          <w:tcPr>
            <w:tcW w:w="1212" w:type="dxa"/>
            <w:vAlign w:val="center"/>
          </w:tcPr>
          <w:p>
            <w:pPr>
              <w:snapToGrid w:val="0"/>
              <w:spacing w:line="400" w:lineRule="exact"/>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12</w:t>
            </w:r>
          </w:p>
        </w:tc>
        <w:tc>
          <w:tcPr>
            <w:tcW w:w="2002" w:type="dxa"/>
          </w:tcPr>
          <w:p>
            <w:pPr>
              <w:pStyle w:val="2"/>
              <w:outlineLvl w:val="9"/>
              <w:rPr>
                <w:rFonts w:hint="default"/>
                <w:vertAlign w:val="baseline"/>
                <w:lang w:val="en-US" w:eastAsia="zh-CN"/>
              </w:rPr>
            </w:pPr>
          </w:p>
        </w:tc>
        <w:tc>
          <w:tcPr>
            <w:tcW w:w="1443" w:type="dxa"/>
          </w:tcPr>
          <w:p>
            <w:pPr>
              <w:pStyle w:val="2"/>
              <w:outlineLvl w:val="9"/>
              <w:rPr>
                <w:rFonts w:hint="default"/>
                <w:vertAlign w:val="baseline"/>
                <w:lang w:val="en-US" w:eastAsia="zh-CN"/>
              </w:rPr>
            </w:pPr>
          </w:p>
        </w:tc>
        <w:tc>
          <w:tcPr>
            <w:tcW w:w="2398" w:type="dxa"/>
          </w:tcPr>
          <w:p>
            <w:pPr>
              <w:pStyle w:val="2"/>
              <w:outlineLvl w:val="9"/>
              <w:rPr>
                <w:rFonts w:hint="default"/>
                <w:vertAlign w:val="baseline"/>
                <w:lang w:val="en-US" w:eastAsia="zh-CN"/>
              </w:rPr>
            </w:pPr>
          </w:p>
        </w:tc>
      </w:tr>
    </w:tbl>
    <w:p>
      <w:pPr>
        <w:rPr>
          <w:rFonts w:hint="eastAsia"/>
          <w:lang w:val="en-US" w:eastAsia="zh-CN"/>
        </w:rPr>
      </w:pPr>
      <w:r>
        <w:rPr>
          <w:rFonts w:hint="eastAsia"/>
          <w:lang w:val="en-US" w:eastAsia="zh-CN"/>
        </w:rPr>
        <w:t>注：1、报价须包含完成用户需求中的人工、材料及备品备件、仪器仪表及机械使用、文本资料、工器具及劳保用品、项目管理及办公、安全措施、职业病防治、交通运输、检验检测、规费、利润及税金等所有一切相关费用。</w:t>
      </w:r>
    </w:p>
    <w:p>
      <w:pPr>
        <w:rPr>
          <w:rFonts w:hint="eastAsia"/>
          <w:lang w:val="en-US" w:eastAsia="zh-CN"/>
        </w:rPr>
      </w:pPr>
      <w:r>
        <w:rPr>
          <w:rFonts w:hint="eastAsia"/>
          <w:lang w:val="en-US" w:eastAsia="zh-CN"/>
        </w:rPr>
        <w:t>2、本报价表中包含袍江两湖站、海南路站、越兴路站及各站相邻半程区间（线路里程：SK27+667.045~SK30+726.015）在</w:t>
      </w:r>
      <w:r>
        <w:rPr>
          <w:rFonts w:hint="eastAsia"/>
        </w:rPr>
        <w:t>从试运营正式开始之日起至试运营后一年为止</w:t>
      </w:r>
      <w:r>
        <w:rPr>
          <w:rFonts w:hint="eastAsia"/>
          <w:lang w:val="en-US" w:eastAsia="zh-CN"/>
        </w:rPr>
        <w:t>的维保服务装修费用，维保服务装修费用包括车站及区间房建装修的巡检、值守、保养维护整改以及事故抢修等工作及其所需的人力、材料、机械、车站及区间房建装修专业与其他相关专业之间配合和协调等工作相关费用。</w:t>
      </w:r>
    </w:p>
    <w:p>
      <w:pPr>
        <w:rPr>
          <w:rFonts w:hint="default"/>
          <w:lang w:val="en-US" w:eastAsia="zh-CN"/>
        </w:rPr>
      </w:pPr>
      <w:r>
        <w:rPr>
          <w:rFonts w:hint="eastAsia"/>
          <w:lang w:val="en-US" w:eastAsia="zh-CN"/>
        </w:rPr>
        <w:t>3、本报价表价格包含在质保期内日常维保费用中，不重复计算在投标总价内。</w:t>
      </w:r>
    </w:p>
    <w:p>
      <w:pPr>
        <w:rPr>
          <w:rFonts w:hint="eastAsia"/>
          <w:lang w:eastAsia="zh-CN"/>
        </w:rPr>
      </w:pPr>
    </w:p>
    <w:p>
      <w:r>
        <w:rPr>
          <w:rFonts w:hint="eastAsia"/>
          <w:lang w:eastAsia="zh-CN"/>
        </w:rPr>
        <w:t>投标人（盖章）：</w:t>
      </w:r>
    </w:p>
    <w:p>
      <w:pPr>
        <w:rPr>
          <w:rFonts w:hint="eastAsia"/>
        </w:rPr>
      </w:pPr>
    </w:p>
    <w:p>
      <w:pPr>
        <w:rPr>
          <w:rFonts w:hint="eastAsia"/>
        </w:rPr>
      </w:pPr>
      <w:r>
        <w:rPr>
          <w:rFonts w:hint="eastAsia"/>
        </w:rPr>
        <w:t>法定代表人或其授权代表（签字或盖章）：</w:t>
      </w:r>
    </w:p>
    <w:p>
      <w:pPr>
        <w:rPr>
          <w:rFonts w:hint="eastAsia"/>
        </w:rPr>
      </w:pPr>
    </w:p>
    <w:p>
      <w:pPr>
        <w:rPr>
          <w:rFonts w:hint="eastAsia"/>
        </w:rPr>
      </w:pPr>
      <w:r>
        <w:rPr>
          <w:rFonts w:hint="eastAsia"/>
        </w:rPr>
        <w:t>日期：    年   月   日</w:t>
      </w:r>
    </w:p>
    <w:p>
      <w:pPr>
        <w:pageBreakBefore/>
        <w:widowControl w:val="0"/>
        <w:spacing w:line="360" w:lineRule="auto"/>
        <w:jc w:val="center"/>
        <w:outlineLvl w:val="1"/>
        <w:rPr>
          <w:rFonts w:ascii="仿宋_GB2312" w:hAnsi="仿宋_GB2312" w:eastAsia="仿宋_GB2312" w:cs="仿宋_GB2312"/>
          <w:b/>
          <w:sz w:val="36"/>
          <w:szCs w:val="36"/>
        </w:rPr>
      </w:pPr>
      <w:r>
        <w:rPr>
          <w:rFonts w:hint="eastAsia" w:ascii="仿宋_GB2312" w:hAnsi="仿宋_GB2312" w:eastAsia="仿宋_GB2312" w:cs="仿宋_GB2312"/>
          <w:b/>
          <w:sz w:val="36"/>
          <w:szCs w:val="36"/>
        </w:rPr>
        <w:t>商务技术（资信）文件部分</w:t>
      </w:r>
    </w:p>
    <w:p>
      <w:pPr>
        <w:spacing w:line="360" w:lineRule="auto"/>
        <w:jc w:val="center"/>
        <w:outlineLvl w:val="9"/>
        <w:rPr>
          <w:rFonts w:cs="仿宋_GB2312" w:asciiTheme="minorEastAsia" w:hAnsiTheme="minorEastAsia" w:eastAsiaTheme="minorEastAsia"/>
          <w:b/>
          <w:color w:val="000000" w:themeColor="text1"/>
          <w:sz w:val="28"/>
          <w:szCs w:val="28"/>
          <w14:textFill>
            <w14:solidFill>
              <w14:schemeClr w14:val="tx1"/>
            </w14:solidFill>
          </w14:textFill>
        </w:rPr>
      </w:pPr>
      <w:r>
        <w:rPr>
          <w:rFonts w:hint="eastAsia" w:cs="仿宋_GB2312" w:asciiTheme="minorEastAsia" w:hAnsiTheme="minorEastAsia" w:eastAsiaTheme="minorEastAsia"/>
          <w:b/>
          <w:color w:val="000000" w:themeColor="text1"/>
          <w:sz w:val="28"/>
          <w:szCs w:val="28"/>
          <w14:textFill>
            <w14:solidFill>
              <w14:schemeClr w14:val="tx1"/>
            </w14:solidFill>
          </w14:textFill>
        </w:rPr>
        <w:t>目录</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（1）法定代表人授权书 …………………………………………………………（页码）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（2）授权代表社保证明（复印件）………………………………………………（页码）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（3）法定代表人及其授权代表的身份证（复印件）……………………………（页码）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（4）法定代表人身份证明书………………………………………………………（页码）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（5）资格审查有关的书面承诺函</w:t>
      </w:r>
      <w:r>
        <w:rPr>
          <w:rFonts w:hint="eastAsia" w:cs="仿宋_GB2312" w:asciiTheme="minorEastAsia" w:hAnsiTheme="minorEastAsia" w:eastAsiaTheme="minorEastAsia"/>
          <w:color w:val="000000" w:themeColor="text1"/>
          <w:lang w:val="zh-CN"/>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（6）符合特定资格条件（如果项目要求）的有关证明材料（复印件）………（页码）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（7）投标人售后服务证明材料……………………………………………………（页码）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（8）主要业绩证明…………………………………………………………………（页码）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（9）廉政承诺书 …………………………………………………………………（页码）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（10）技术解决方案………………………………………………………………（页码）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（11）技术偏离说明表……………………………………………………………（页码）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（12）组织实施方案………………………………………………………………（页码）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（13）售后服务方案………………………………………………………………（页码）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（14）项目小组人员名单…………………………………………………………（页码）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（15）优惠条件及特殊承诺………………………………………………………（页码）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（16）备品备件及供选择的配套零部件清单……………………………………（页码）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（17）培训计划……………………………………………………………………（页码）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（18）验收方案……………………………………………………………………（页码）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（19）认为需要的其他商务技术（资信）文件或说明…………………………（页码）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（20）联合协议（如有）…………………………………………………………（页码）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（21）分包意向协议（如有）……………………………………………………（页码）</w:t>
      </w:r>
    </w:p>
    <w:p>
      <w:pPr>
        <w:spacing w:line="360" w:lineRule="auto"/>
        <w:outlineLvl w:val="9"/>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（22）中小企业声明函（如有）…………………………………………………（页码）</w:t>
      </w:r>
    </w:p>
    <w:p>
      <w:pPr>
        <w:spacing w:line="360" w:lineRule="auto"/>
        <w:outlineLvl w:val="9"/>
        <w:rPr>
          <w:rFonts w:cs="仿宋_GB2312" w:asciiTheme="minorEastAsia" w:hAnsiTheme="minorEastAsia" w:eastAsiaTheme="minorEastAsia"/>
          <w:b/>
          <w:bCs/>
          <w:color w:val="000000" w:themeColor="text1"/>
          <w14:textFill>
            <w14:solidFill>
              <w14:schemeClr w14:val="tx1"/>
            </w14:solidFill>
          </w14:textFill>
        </w:rPr>
      </w:pPr>
      <w:r>
        <w:rPr>
          <w:rFonts w:hint="eastAsia" w:cs="仿宋_GB2312" w:asciiTheme="minorEastAsia" w:hAnsiTheme="minorEastAsia" w:eastAsiaTheme="minorEastAsia"/>
          <w:b/>
          <w:bCs/>
          <w:color w:val="000000" w:themeColor="text1"/>
          <w14:textFill>
            <w14:solidFill>
              <w14:schemeClr w14:val="tx1"/>
            </w14:solidFill>
          </w14:textFill>
        </w:rPr>
        <w:t>注：以上目录是基本格式要求，各投标人可根据自身情况和评分标准进一步细化。</w:t>
      </w:r>
    </w:p>
    <w:p>
      <w:pPr>
        <w:pageBreakBefore/>
        <w:spacing w:line="800" w:lineRule="exact"/>
        <w:outlineLvl w:val="2"/>
        <w:rPr>
          <w:rFonts w:asciiTheme="minorEastAsia" w:hAnsiTheme="minorEastAsia" w:eastAsiaTheme="minorEastAsia"/>
          <w:b/>
          <w:color w:val="000000" w:themeColor="text1"/>
          <w:sz w:val="30"/>
          <w:szCs w:val="30"/>
          <w14:textFill>
            <w14:solidFill>
              <w14:schemeClr w14:val="tx1"/>
            </w14:solidFill>
          </w14:textFill>
        </w:rPr>
      </w:pPr>
      <w:r>
        <w:rPr>
          <w:rFonts w:hint="eastAsia" w:asciiTheme="minorEastAsia" w:hAnsiTheme="minorEastAsia" w:eastAsiaTheme="minorEastAsia"/>
          <w:b/>
          <w:color w:val="000000" w:themeColor="text1"/>
          <w:sz w:val="30"/>
          <w:szCs w:val="30"/>
          <w14:textFill>
            <w14:solidFill>
              <w14:schemeClr w14:val="tx1"/>
            </w14:solidFill>
          </w14:textFill>
        </w:rPr>
        <w:t>1、法定代表人授权委托书（格式）</w:t>
      </w:r>
      <w:r>
        <w:rPr>
          <w:rFonts w:hint="eastAsia" w:cs="仿宋_GB2312" w:asciiTheme="minorEastAsia" w:hAnsiTheme="minorEastAsia" w:eastAsiaTheme="minorEastAsia"/>
          <w:b/>
          <w:color w:val="000000" w:themeColor="text1"/>
          <w:sz w:val="32"/>
          <w:szCs w:val="32"/>
          <w:lang w:val="zh-CN"/>
          <w14:textFill>
            <w14:solidFill>
              <w14:schemeClr w14:val="tx1"/>
            </w14:solidFill>
          </w14:textFill>
        </w:rPr>
        <w:t>（适用于非联合体投标）</w:t>
      </w:r>
    </w:p>
    <w:p>
      <w:pPr>
        <w:jc w:val="center"/>
        <w:rPr>
          <w:rFonts w:asciiTheme="minorEastAsia" w:hAnsiTheme="minorEastAsia" w:eastAsiaTheme="minorEastAsia"/>
          <w:b/>
          <w:color w:val="000000" w:themeColor="text1"/>
          <w14:textFill>
            <w14:solidFill>
              <w14:schemeClr w14:val="tx1"/>
            </w14:solidFill>
          </w14:textFill>
        </w:rPr>
      </w:pPr>
    </w:p>
    <w:p>
      <w:pPr>
        <w:snapToGrid w:val="0"/>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本授权委托书声明：我</w:t>
      </w:r>
      <w:r>
        <w:rPr>
          <w:rFonts w:hint="eastAsia" w:asciiTheme="minorEastAsia" w:hAnsiTheme="minorEastAsia" w:eastAsiaTheme="minorEastAsia"/>
          <w:color w:val="000000" w:themeColor="text1"/>
          <w:u w:val="single"/>
          <w14:textFill>
            <w14:solidFill>
              <w14:schemeClr w14:val="tx1"/>
            </w14:solidFill>
          </w14:textFill>
        </w:rPr>
        <w:t xml:space="preserve">         (填写姓名)</w:t>
      </w:r>
      <w:r>
        <w:rPr>
          <w:rFonts w:hint="eastAsia" w:asciiTheme="minorEastAsia" w:hAnsiTheme="minorEastAsia" w:eastAsiaTheme="minorEastAsia"/>
          <w:color w:val="000000" w:themeColor="text1"/>
          <w14:textFill>
            <w14:solidFill>
              <w14:schemeClr w14:val="tx1"/>
            </w14:solidFill>
          </w14:textFill>
        </w:rPr>
        <w:t>系</w:t>
      </w:r>
      <w:r>
        <w:rPr>
          <w:rFonts w:hint="eastAsia" w:asciiTheme="minorEastAsia" w:hAnsiTheme="minorEastAsia" w:eastAsiaTheme="minorEastAsia"/>
          <w:color w:val="000000" w:themeColor="text1"/>
          <w:u w:val="single"/>
          <w14:textFill>
            <w14:solidFill>
              <w14:schemeClr w14:val="tx1"/>
            </w14:solidFill>
          </w14:textFill>
        </w:rPr>
        <w:t xml:space="preserve">        （填写投标人单位全称）</w:t>
      </w:r>
      <w:r>
        <w:rPr>
          <w:rFonts w:hint="eastAsia" w:asciiTheme="minorEastAsia" w:hAnsiTheme="minorEastAsia" w:eastAsiaTheme="minorEastAsia"/>
          <w:color w:val="000000" w:themeColor="text1"/>
          <w14:textFill>
            <w14:solidFill>
              <w14:schemeClr w14:val="tx1"/>
            </w14:solidFill>
          </w14:textFill>
        </w:rPr>
        <w:t>的法定代表人，现授权委托</w:t>
      </w:r>
      <w:r>
        <w:rPr>
          <w:rFonts w:hint="eastAsia" w:asciiTheme="minorEastAsia" w:hAnsiTheme="minorEastAsia" w:eastAsiaTheme="minorEastAsia"/>
          <w:color w:val="000000" w:themeColor="text1"/>
          <w:u w:val="single"/>
          <w14:textFill>
            <w14:solidFill>
              <w14:schemeClr w14:val="tx1"/>
            </w14:solidFill>
          </w14:textFill>
        </w:rPr>
        <w:t xml:space="preserve">            （填写单位全称）</w:t>
      </w:r>
      <w:r>
        <w:rPr>
          <w:rFonts w:hint="eastAsia" w:asciiTheme="minorEastAsia" w:hAnsiTheme="minorEastAsia" w:eastAsiaTheme="minorEastAsia"/>
          <w:color w:val="000000" w:themeColor="text1"/>
          <w14:textFill>
            <w14:solidFill>
              <w14:schemeClr w14:val="tx1"/>
            </w14:solidFill>
          </w14:textFill>
        </w:rPr>
        <w:t>的（填写姓名）为我公司授权代表，</w:t>
      </w:r>
      <w:r>
        <w:rPr>
          <w:rFonts w:hint="eastAsia" w:asciiTheme="minorEastAsia" w:hAnsiTheme="minorEastAsia" w:eastAsiaTheme="minorEastAsia"/>
          <w:color w:val="000000" w:themeColor="text1"/>
          <w:u w:val="single"/>
          <w14:textFill>
            <w14:solidFill>
              <w14:schemeClr w14:val="tx1"/>
            </w14:solidFill>
          </w14:textFill>
        </w:rPr>
        <w:t>（填写身份证号码：            ）</w:t>
      </w:r>
      <w:r>
        <w:rPr>
          <w:rFonts w:hint="eastAsia" w:asciiTheme="minorEastAsia" w:hAnsiTheme="minorEastAsia" w:eastAsiaTheme="minorEastAsia"/>
          <w:color w:val="000000" w:themeColor="text1"/>
          <w14:textFill>
            <w14:solidFill>
              <w14:schemeClr w14:val="tx1"/>
            </w14:solidFill>
          </w14:textFill>
        </w:rPr>
        <w:t>。以本公司的名义参加</w:t>
      </w:r>
      <w:r>
        <w:rPr>
          <w:rFonts w:hint="eastAsia" w:asciiTheme="minorEastAsia" w:hAnsiTheme="minorEastAsia" w:eastAsiaTheme="minorEastAsia"/>
          <w:color w:val="000000" w:themeColor="text1"/>
          <w:u w:val="single"/>
          <w14:textFill>
            <w14:solidFill>
              <w14:schemeClr w14:val="tx1"/>
            </w14:solidFill>
          </w14:textFill>
        </w:rPr>
        <w:t>绍兴市轨道交通集团有限公司、融华工程管理有限公司</w:t>
      </w:r>
      <w:r>
        <w:rPr>
          <w:rFonts w:hint="eastAsia" w:asciiTheme="minorEastAsia" w:hAnsiTheme="minorEastAsia" w:eastAsiaTheme="minorEastAsia"/>
          <w:color w:val="000000" w:themeColor="text1"/>
          <w14:textFill>
            <w14:solidFill>
              <w14:schemeClr w14:val="tx1"/>
            </w14:solidFill>
          </w14:textFill>
        </w:rPr>
        <w:t>组织的</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授权代表无转委托权。特此委托。</w:t>
      </w:r>
    </w:p>
    <w:p>
      <w:pPr>
        <w:snapToGrid w:val="0"/>
        <w:spacing w:line="600" w:lineRule="exact"/>
        <w:rPr>
          <w:rFonts w:asciiTheme="minorEastAsia" w:hAnsiTheme="minorEastAsia" w:eastAsiaTheme="minorEastAsia"/>
          <w:color w:val="000000" w:themeColor="text1"/>
          <w14:textFill>
            <w14:solidFill>
              <w14:schemeClr w14:val="tx1"/>
            </w14:solidFill>
          </w14:textFill>
        </w:rPr>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授权代表姓名：              性别：               年龄：</w:t>
      </w:r>
    </w:p>
    <w:p>
      <w:pPr>
        <w:spacing w:line="360" w:lineRule="exact"/>
        <w:rPr>
          <w:rFonts w:asciiTheme="minorEastAsia" w:hAnsiTheme="minorEastAsia" w:eastAsiaTheme="minorEastAsia"/>
          <w:color w:val="000000" w:themeColor="text1"/>
          <w14:textFill>
            <w14:solidFill>
              <w14:schemeClr w14:val="tx1"/>
            </w14:solidFill>
          </w14:textFill>
        </w:rPr>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单位：                      部门：               职务：</w:t>
      </w:r>
    </w:p>
    <w:p>
      <w:pPr>
        <w:spacing w:line="360" w:lineRule="exact"/>
        <w:rPr>
          <w:rFonts w:asciiTheme="minorEastAsia" w:hAnsiTheme="minorEastAsia" w:eastAsiaTheme="minorEastAsia"/>
          <w:color w:val="000000" w:themeColor="text1"/>
          <w14:textFill>
            <w14:solidFill>
              <w14:schemeClr w14:val="tx1"/>
            </w14:solidFill>
          </w14:textFill>
        </w:rPr>
      </w:pP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办公地址：                  联系电话：           传真：</w:t>
      </w:r>
    </w:p>
    <w:p>
      <w:pPr>
        <w:spacing w:line="360" w:lineRule="exact"/>
        <w:rPr>
          <w:rFonts w:asciiTheme="minorEastAsia" w:hAnsiTheme="minorEastAsia" w:eastAsiaTheme="minorEastAsia"/>
          <w:color w:val="000000" w:themeColor="text1"/>
          <w14:textFill>
            <w14:solidFill>
              <w14:schemeClr w14:val="tx1"/>
            </w14:solidFill>
          </w14:textFill>
        </w:rPr>
      </w:pPr>
    </w:p>
    <w:p>
      <w:pPr>
        <w:spacing w:line="360" w:lineRule="exact"/>
        <w:rPr>
          <w:rFonts w:asciiTheme="minorEastAsia" w:hAnsiTheme="minorEastAsia" w:eastAsiaTheme="minorEastAsia"/>
          <w:color w:val="000000" w:themeColor="text1"/>
          <w14:textFill>
            <w14:solidFill>
              <w14:schemeClr w14:val="tx1"/>
            </w14:solidFill>
          </w14:textFill>
        </w:rPr>
      </w:pPr>
    </w:p>
    <w:p>
      <w:pPr>
        <w:spacing w:line="360" w:lineRule="exact"/>
        <w:ind w:firstLine="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pacing w:line="360" w:lineRule="exact"/>
        <w:ind w:firstLine="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法定代表人（签字或盖章）：</w:t>
      </w:r>
    </w:p>
    <w:p>
      <w:pPr>
        <w:spacing w:line="360" w:lineRule="auto"/>
        <w:ind w:firstLine="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日期：</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年</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月</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日</w:t>
      </w:r>
    </w:p>
    <w:p>
      <w:pPr>
        <w:spacing w:line="360" w:lineRule="exact"/>
        <w:rPr>
          <w:rFonts w:asciiTheme="minorEastAsia" w:hAnsiTheme="minorEastAsia" w:eastAsiaTheme="minorEastAsia"/>
          <w:color w:val="000000" w:themeColor="text1"/>
          <w14:textFill>
            <w14:solidFill>
              <w14:schemeClr w14:val="tx1"/>
            </w14:solidFill>
          </w14:textFill>
        </w:rPr>
      </w:pPr>
    </w:p>
    <w:p>
      <w:pPr>
        <w:ind w:firstLine="4920" w:firstLineChars="2050"/>
        <w:rPr>
          <w:rFonts w:asciiTheme="minorEastAsia" w:hAnsiTheme="minorEastAsia" w:eastAsiaTheme="minorEastAsia"/>
          <w:color w:val="000000" w:themeColor="text1"/>
          <w14:textFill>
            <w14:solidFill>
              <w14:schemeClr w14:val="tx1"/>
            </w14:solidFill>
          </w14:textFill>
        </w:rPr>
      </w:pPr>
    </w:p>
    <w:p>
      <w:pPr>
        <w:spacing w:line="800" w:lineRule="exact"/>
        <w:rPr>
          <w:rFonts w:asciiTheme="minorEastAsia" w:hAnsiTheme="minorEastAsia" w:eastAsiaTheme="minorEastAsia"/>
          <w:b/>
          <w:color w:val="000000" w:themeColor="text1"/>
          <w14:textFill>
            <w14:solidFill>
              <w14:schemeClr w14:val="tx1"/>
            </w14:solidFill>
          </w14:textFill>
        </w:rPr>
      </w:pPr>
    </w:p>
    <w:p>
      <w:pPr>
        <w:spacing w:line="800" w:lineRule="exact"/>
        <w:rPr>
          <w:rFonts w:asciiTheme="minorEastAsia" w:hAnsiTheme="minorEastAsia" w:eastAsiaTheme="minorEastAsia"/>
          <w:b/>
          <w:color w:val="000000" w:themeColor="text1"/>
          <w14:textFill>
            <w14:solidFill>
              <w14:schemeClr w14:val="tx1"/>
            </w14:solidFill>
          </w14:textFill>
        </w:rPr>
      </w:pPr>
    </w:p>
    <w:p>
      <w:pPr>
        <w:pageBreakBefore/>
        <w:spacing w:line="800" w:lineRule="exact"/>
        <w:outlineLvl w:val="2"/>
        <w:rPr>
          <w:rFonts w:asciiTheme="minorEastAsia" w:hAnsiTheme="minorEastAsia" w:eastAsiaTheme="minorEastAsia"/>
          <w:b/>
          <w:color w:val="000000" w:themeColor="text1"/>
          <w:sz w:val="30"/>
          <w:szCs w:val="30"/>
          <w14:textFill>
            <w14:solidFill>
              <w14:schemeClr w14:val="tx1"/>
            </w14:solidFill>
          </w14:textFill>
        </w:rPr>
      </w:pPr>
      <w:r>
        <w:rPr>
          <w:rFonts w:hint="eastAsia" w:asciiTheme="minorEastAsia" w:hAnsiTheme="minorEastAsia" w:eastAsiaTheme="minorEastAsia"/>
          <w:b/>
          <w:color w:val="000000" w:themeColor="text1"/>
          <w:sz w:val="30"/>
          <w:szCs w:val="30"/>
          <w14:textFill>
            <w14:solidFill>
              <w14:schemeClr w14:val="tx1"/>
            </w14:solidFill>
          </w14:textFill>
        </w:rPr>
        <w:t>2、法定代表人授权委托书（格式） （适用于联合体投标）</w:t>
      </w:r>
    </w:p>
    <w:p>
      <w:pPr>
        <w:jc w:val="center"/>
        <w:rPr>
          <w:rFonts w:asciiTheme="minorEastAsia" w:hAnsiTheme="minorEastAsia" w:eastAsiaTheme="minorEastAsia"/>
          <w:b/>
          <w:color w:val="000000" w:themeColor="text1"/>
          <w14:textFill>
            <w14:solidFill>
              <w14:schemeClr w14:val="tx1"/>
            </w14:solidFill>
          </w14:textFill>
        </w:rPr>
      </w:pPr>
    </w:p>
    <w:p>
      <w:pPr>
        <w:snapToGrid w:val="0"/>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本授权委托书声明：</w:t>
      </w:r>
    </w:p>
    <w:p>
      <w:pPr>
        <w:snapToGrid w:val="0"/>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现授权委托</w:t>
      </w:r>
      <w:r>
        <w:rPr>
          <w:rFonts w:hint="eastAsia" w:asciiTheme="minorEastAsia" w:hAnsiTheme="minorEastAsia" w:eastAsiaTheme="minorEastAsia"/>
          <w:color w:val="000000" w:themeColor="text1"/>
          <w:u w:val="single"/>
          <w14:textFill>
            <w14:solidFill>
              <w14:schemeClr w14:val="tx1"/>
            </w14:solidFill>
          </w14:textFill>
        </w:rPr>
        <w:t xml:space="preserve">                  （填写单位全称）</w:t>
      </w:r>
      <w:r>
        <w:rPr>
          <w:rFonts w:hint="eastAsia" w:asciiTheme="minorEastAsia" w:hAnsiTheme="minorEastAsia" w:eastAsiaTheme="minorEastAsia"/>
          <w:color w:val="000000" w:themeColor="text1"/>
          <w14:textFill>
            <w14:solidFill>
              <w14:schemeClr w14:val="tx1"/>
            </w14:solidFill>
          </w14:textFill>
        </w:rPr>
        <w:t>的（填写姓名）为我方授权代表，</w:t>
      </w:r>
      <w:r>
        <w:rPr>
          <w:rFonts w:hint="eastAsia" w:asciiTheme="minorEastAsia" w:hAnsiTheme="minorEastAsia" w:eastAsiaTheme="minorEastAsia"/>
          <w:color w:val="000000" w:themeColor="text1"/>
          <w:u w:val="single"/>
          <w14:textFill>
            <w14:solidFill>
              <w14:schemeClr w14:val="tx1"/>
            </w14:solidFill>
          </w14:textFill>
        </w:rPr>
        <w:t>（填写身份证号码：                       ）</w:t>
      </w:r>
      <w:r>
        <w:rPr>
          <w:rFonts w:hint="eastAsia" w:asciiTheme="minorEastAsia" w:hAnsiTheme="minorEastAsia" w:eastAsiaTheme="minorEastAsia"/>
          <w:color w:val="000000" w:themeColor="text1"/>
          <w14:textFill>
            <w14:solidFill>
              <w14:schemeClr w14:val="tx1"/>
            </w14:solidFill>
          </w14:textFill>
        </w:rPr>
        <w:t>。以我方的名义参加</w:t>
      </w:r>
      <w:r>
        <w:rPr>
          <w:rFonts w:hint="eastAsia" w:asciiTheme="minorEastAsia" w:hAnsiTheme="minorEastAsia" w:eastAsiaTheme="minorEastAsia"/>
          <w:color w:val="000000" w:themeColor="text1"/>
          <w:u w:val="single"/>
          <w14:textFill>
            <w14:solidFill>
              <w14:schemeClr w14:val="tx1"/>
            </w14:solidFill>
          </w14:textFill>
        </w:rPr>
        <w:t>绍兴市轨道交通集团有限公司、融华工程管理有限公司</w:t>
      </w:r>
      <w:r>
        <w:rPr>
          <w:rFonts w:hint="eastAsia" w:asciiTheme="minorEastAsia" w:hAnsiTheme="minorEastAsia" w:eastAsiaTheme="minorEastAsia"/>
          <w:color w:val="000000" w:themeColor="text1"/>
          <w14:textFill>
            <w14:solidFill>
              <w14:schemeClr w14:val="tx1"/>
            </w14:solidFill>
          </w14:textFill>
        </w:rPr>
        <w:t>组织的</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授权代表无转委托权。特此委托。</w:t>
      </w:r>
    </w:p>
    <w:p>
      <w:pPr>
        <w:snapToGrid w:val="0"/>
        <w:spacing w:line="600" w:lineRule="exact"/>
        <w:rPr>
          <w:rFonts w:asciiTheme="minorEastAsia" w:hAnsiTheme="minorEastAsia" w:eastAsiaTheme="minorEastAsia"/>
          <w:color w:val="000000" w:themeColor="text1"/>
          <w14:textFill>
            <w14:solidFill>
              <w14:schemeClr w14:val="tx1"/>
            </w14:solidFill>
          </w14:textFill>
        </w:rPr>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授权代表姓名：              性别：               年龄：</w:t>
      </w:r>
    </w:p>
    <w:p>
      <w:pPr>
        <w:spacing w:line="360" w:lineRule="exact"/>
        <w:rPr>
          <w:rFonts w:asciiTheme="minorEastAsia" w:hAnsiTheme="minorEastAsia" w:eastAsiaTheme="minorEastAsia"/>
          <w:color w:val="000000" w:themeColor="text1"/>
          <w14:textFill>
            <w14:solidFill>
              <w14:schemeClr w14:val="tx1"/>
            </w14:solidFill>
          </w14:textFill>
        </w:rPr>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单位：                      部门：               职务：</w:t>
      </w:r>
    </w:p>
    <w:p>
      <w:pPr>
        <w:spacing w:line="360" w:lineRule="exact"/>
        <w:rPr>
          <w:rFonts w:asciiTheme="minorEastAsia" w:hAnsiTheme="minorEastAsia" w:eastAsiaTheme="minorEastAsia"/>
          <w:color w:val="000000" w:themeColor="text1"/>
          <w14:textFill>
            <w14:solidFill>
              <w14:schemeClr w14:val="tx1"/>
            </w14:solidFill>
          </w14:textFill>
        </w:rPr>
      </w:pPr>
    </w:p>
    <w:p>
      <w:pPr>
        <w:snapToGrid w:val="0"/>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办公地址：                  联系电话：           传真：</w:t>
      </w:r>
    </w:p>
    <w:p>
      <w:pPr>
        <w:spacing w:line="360" w:lineRule="exact"/>
        <w:rPr>
          <w:rFonts w:asciiTheme="minorEastAsia" w:hAnsiTheme="minorEastAsia" w:eastAsiaTheme="minorEastAsia"/>
          <w:color w:val="000000" w:themeColor="text1"/>
          <w14:textFill>
            <w14:solidFill>
              <w14:schemeClr w14:val="tx1"/>
            </w14:solidFill>
          </w14:textFill>
        </w:rPr>
      </w:pPr>
    </w:p>
    <w:p>
      <w:pPr>
        <w:spacing w:line="360" w:lineRule="exact"/>
        <w:rPr>
          <w:rFonts w:asciiTheme="minorEastAsia" w:hAnsiTheme="minorEastAsia" w:eastAsiaTheme="minorEastAsia"/>
          <w:color w:val="000000" w:themeColor="text1"/>
          <w14:textFill>
            <w14:solidFill>
              <w14:schemeClr w14:val="tx1"/>
            </w14:solidFill>
          </w14:textFill>
        </w:rPr>
      </w:pPr>
    </w:p>
    <w:p>
      <w:pPr>
        <w:jc w:val="center"/>
        <w:rPr>
          <w:rFonts w:cs="仿宋_GB2312" w:asciiTheme="minorEastAsia" w:hAnsiTheme="minorEastAsia" w:eastAsiaTheme="minorEastAsia"/>
          <w:b/>
          <w:color w:val="000000" w:themeColor="text1"/>
          <w:sz w:val="32"/>
          <w:szCs w:val="32"/>
          <w14:textFill>
            <w14:solidFill>
              <w14:schemeClr w14:val="tx1"/>
            </w14:solidFill>
          </w14:textFill>
        </w:rPr>
      </w:pPr>
    </w:p>
    <w:p>
      <w:pPr>
        <w:rPr>
          <w:rFonts w:asciiTheme="minorEastAsia" w:hAnsiTheme="minorEastAsia" w:eastAsiaTheme="minorEastAsia"/>
          <w:color w:val="000000" w:themeColor="text1"/>
          <w14:textFill>
            <w14:solidFill>
              <w14:schemeClr w14:val="tx1"/>
            </w14:solidFill>
          </w14:textFill>
        </w:rPr>
      </w:pPr>
    </w:p>
    <w:p>
      <w:pPr>
        <w:snapToGrid w:val="0"/>
        <w:spacing w:line="360" w:lineRule="auto"/>
        <w:ind w:firstLine="5040" w:firstLineChars="21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联合体成员名称(盖章)：</w:t>
      </w:r>
    </w:p>
    <w:p>
      <w:pPr>
        <w:snapToGrid w:val="0"/>
        <w:spacing w:line="360" w:lineRule="auto"/>
        <w:ind w:firstLine="5040" w:firstLineChars="21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联合体成员名称(盖章)：</w:t>
      </w:r>
    </w:p>
    <w:p>
      <w:pPr>
        <w:snapToGrid w:val="0"/>
        <w:spacing w:line="360" w:lineRule="auto"/>
        <w:ind w:firstLine="5760" w:firstLineChars="2400"/>
        <w:rPr>
          <w:rFonts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 xml:space="preserve">                                               日期：   年   月   日</w:t>
      </w:r>
    </w:p>
    <w:p>
      <w:pPr>
        <w:spacing w:line="800" w:lineRule="exact"/>
        <w:rPr>
          <w:rFonts w:asciiTheme="minorEastAsia" w:hAnsiTheme="minorEastAsia" w:eastAsiaTheme="minorEastAsia"/>
          <w:b/>
          <w:color w:val="000000" w:themeColor="text1"/>
          <w14:textFill>
            <w14:solidFill>
              <w14:schemeClr w14:val="tx1"/>
            </w14:solidFill>
          </w14:textFill>
        </w:rPr>
      </w:pPr>
    </w:p>
    <w:p>
      <w:pPr>
        <w:pageBreakBefore/>
        <w:spacing w:line="800" w:lineRule="exact"/>
        <w:outlineLvl w:val="2"/>
        <w:rPr>
          <w:rFonts w:asciiTheme="minorEastAsia" w:hAnsiTheme="minorEastAsia" w:eastAsiaTheme="minorEastAsia"/>
          <w:b/>
          <w:color w:val="000000" w:themeColor="text1"/>
          <w:sz w:val="30"/>
          <w:szCs w:val="30"/>
          <w14:textFill>
            <w14:solidFill>
              <w14:schemeClr w14:val="tx1"/>
            </w14:solidFill>
          </w14:textFill>
        </w:rPr>
      </w:pPr>
      <w:r>
        <w:rPr>
          <w:rFonts w:hint="eastAsia" w:asciiTheme="minorEastAsia" w:hAnsiTheme="minorEastAsia" w:eastAsiaTheme="minorEastAsia"/>
          <w:b/>
          <w:color w:val="000000" w:themeColor="text1"/>
          <w:sz w:val="30"/>
          <w:szCs w:val="30"/>
          <w14:textFill>
            <w14:solidFill>
              <w14:schemeClr w14:val="tx1"/>
            </w14:solidFill>
          </w14:textFill>
        </w:rPr>
        <w:t>3、授权代表社保证明（复印件）</w:t>
      </w:r>
    </w:p>
    <w:p>
      <w:pPr>
        <w:spacing w:line="800" w:lineRule="exact"/>
        <w:ind w:firstLine="480" w:firstLineChars="200"/>
        <w:rPr>
          <w:rFonts w:asciiTheme="minorEastAsia" w:hAnsiTheme="minorEastAsia" w:eastAsiaTheme="minorEastAsia"/>
          <w:color w:val="000000" w:themeColor="text1"/>
          <w:u w:val="wave"/>
          <w14:textFill>
            <w14:solidFill>
              <w14:schemeClr w14:val="tx1"/>
            </w14:solidFill>
          </w14:textFill>
        </w:rPr>
      </w:pPr>
      <w:r>
        <w:rPr>
          <w:rFonts w:hint="eastAsia" w:asciiTheme="minorEastAsia" w:hAnsiTheme="minorEastAsia" w:eastAsiaTheme="minorEastAsia"/>
          <w:color w:val="000000" w:themeColor="text1"/>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Theme="minorEastAsia" w:hAnsiTheme="minorEastAsia" w:eastAsiaTheme="minorEastAsia"/>
          <w:b/>
          <w:color w:val="000000" w:themeColor="text1"/>
          <w14:textFill>
            <w14:solidFill>
              <w14:schemeClr w14:val="tx1"/>
            </w14:solidFill>
          </w14:textFill>
        </w:rPr>
        <w:t>未提供上述证明的投标做无效投标处理。</w:t>
      </w:r>
    </w:p>
    <w:p>
      <w:pPr>
        <w:spacing w:line="800" w:lineRule="exact"/>
        <w:ind w:firstLine="4320" w:firstLineChars="1800"/>
        <w:rPr>
          <w:rFonts w:asciiTheme="minorEastAsia" w:hAnsiTheme="minorEastAsia" w:eastAsiaTheme="minorEastAsia"/>
          <w:color w:val="000000" w:themeColor="text1"/>
          <w14:textFill>
            <w14:solidFill>
              <w14:schemeClr w14:val="tx1"/>
            </w14:solidFill>
          </w14:textFill>
        </w:rPr>
      </w:pPr>
    </w:p>
    <w:p>
      <w:pPr>
        <w:spacing w:line="800" w:lineRule="exact"/>
        <w:ind w:firstLine="4337" w:firstLineChars="1800"/>
        <w:rPr>
          <w:rFonts w:asciiTheme="minorEastAsia" w:hAnsiTheme="minorEastAsia" w:eastAsiaTheme="minorEastAsia"/>
          <w:b/>
          <w:color w:val="000000" w:themeColor="text1"/>
          <w14:textFill>
            <w14:solidFill>
              <w14:schemeClr w14:val="tx1"/>
            </w14:solidFill>
          </w14:textFill>
        </w:rPr>
      </w:pPr>
    </w:p>
    <w:p>
      <w:pPr>
        <w:spacing w:line="800" w:lineRule="exact"/>
        <w:outlineLvl w:val="2"/>
        <w:rPr>
          <w:rFonts w:asciiTheme="minorEastAsia" w:hAnsiTheme="minorEastAsia" w:eastAsiaTheme="minorEastAsia"/>
          <w:b/>
          <w:color w:val="000000" w:themeColor="text1"/>
          <w:sz w:val="30"/>
          <w:szCs w:val="30"/>
          <w14:textFill>
            <w14:solidFill>
              <w14:schemeClr w14:val="tx1"/>
            </w14:solidFill>
          </w14:textFill>
        </w:rPr>
      </w:pPr>
      <w:r>
        <w:rPr>
          <w:rFonts w:hint="eastAsia" w:asciiTheme="minorEastAsia" w:hAnsiTheme="minorEastAsia" w:eastAsiaTheme="minorEastAsia"/>
          <w:b/>
          <w:color w:val="000000" w:themeColor="text1"/>
          <w:sz w:val="30"/>
          <w:szCs w:val="30"/>
          <w14:textFill>
            <w14:solidFill>
              <w14:schemeClr w14:val="tx1"/>
            </w14:solidFill>
          </w14:textFill>
        </w:rPr>
        <w:t>4、法定代表人及其授权代表身份证复印件（正反面）</w:t>
      </w:r>
    </w:p>
    <w:p>
      <w:pPr>
        <w:spacing w:line="800" w:lineRule="exact"/>
        <w:rPr>
          <w:rFonts w:asciiTheme="minorEastAsia" w:hAnsiTheme="minorEastAsia" w:eastAsiaTheme="minorEastAsia"/>
          <w:b/>
          <w:color w:val="000000" w:themeColor="text1"/>
          <w14:textFill>
            <w14:solidFill>
              <w14:schemeClr w14:val="tx1"/>
            </w14:solidFill>
          </w14:textFill>
        </w:rPr>
      </w:pPr>
    </w:p>
    <w:p>
      <w:pPr>
        <w:spacing w:line="800" w:lineRule="exact"/>
        <w:rPr>
          <w:rFonts w:asciiTheme="minorEastAsia" w:hAnsiTheme="minorEastAsia" w:eastAsiaTheme="minorEastAsia"/>
          <w:b/>
          <w:color w:val="000000" w:themeColor="text1"/>
          <w14:textFill>
            <w14:solidFill>
              <w14:schemeClr w14:val="tx1"/>
            </w14:solidFill>
          </w14:textFill>
        </w:rPr>
      </w:pPr>
    </w:p>
    <w:p>
      <w:pPr>
        <w:spacing w:line="800" w:lineRule="exact"/>
        <w:outlineLvl w:val="2"/>
        <w:rPr>
          <w:rFonts w:asciiTheme="minorEastAsia" w:hAnsiTheme="minorEastAsia" w:eastAsiaTheme="minorEastAsia"/>
          <w:b/>
          <w:color w:val="000000" w:themeColor="text1"/>
          <w:sz w:val="30"/>
          <w:szCs w:val="30"/>
          <w14:textFill>
            <w14:solidFill>
              <w14:schemeClr w14:val="tx1"/>
            </w14:solidFill>
          </w14:textFill>
        </w:rPr>
      </w:pPr>
      <w:r>
        <w:rPr>
          <w:rFonts w:hint="eastAsia" w:asciiTheme="minorEastAsia" w:hAnsiTheme="minorEastAsia" w:eastAsiaTheme="minorEastAsia"/>
          <w:b/>
          <w:color w:val="000000" w:themeColor="text1"/>
          <w:sz w:val="30"/>
          <w:szCs w:val="30"/>
          <w14:textFill>
            <w14:solidFill>
              <w14:schemeClr w14:val="tx1"/>
            </w14:solidFill>
          </w14:textFill>
        </w:rPr>
        <w:t>5、法定代表人身份证明书(格式)</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 标 人：</w:t>
      </w:r>
      <w:r>
        <w:rPr>
          <w:rFonts w:hint="eastAsia" w:asciiTheme="minorEastAsia" w:hAnsiTheme="minorEastAsia" w:eastAsiaTheme="minorEastAsia"/>
          <w:color w:val="000000" w:themeColor="text1"/>
          <w:u w:val="single"/>
          <w14:textFill>
            <w14:solidFill>
              <w14:schemeClr w14:val="tx1"/>
            </w14:solidFill>
          </w14:textFill>
        </w:rPr>
        <w:t xml:space="preserve">                          </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地    址：</w:t>
      </w:r>
      <w:r>
        <w:rPr>
          <w:rFonts w:hint="eastAsia" w:asciiTheme="minorEastAsia" w:hAnsiTheme="minorEastAsia" w:eastAsiaTheme="minorEastAsia"/>
          <w:color w:val="000000" w:themeColor="text1"/>
          <w:u w:val="single"/>
          <w14:textFill>
            <w14:solidFill>
              <w14:schemeClr w14:val="tx1"/>
            </w14:solidFill>
          </w14:textFill>
        </w:rPr>
        <w:t xml:space="preserve">                          </w:t>
      </w:r>
    </w:p>
    <w:p>
      <w:pPr>
        <w:spacing w:line="440" w:lineRule="exact"/>
        <w:rPr>
          <w:rFonts w:asciiTheme="minorEastAsia" w:hAnsiTheme="minorEastAsia" w:eastAsiaTheme="minorEastAsia"/>
          <w:color w:val="000000" w:themeColor="text1"/>
          <w:u w:val="single"/>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姓    名：</w:t>
      </w:r>
      <w:r>
        <w:rPr>
          <w:rFonts w:hint="eastAsia" w:asciiTheme="minorEastAsia" w:hAnsiTheme="minorEastAsia" w:eastAsiaTheme="minorEastAsia"/>
          <w:color w:val="000000" w:themeColor="text1"/>
          <w:u w:val="single"/>
          <w14:textFill>
            <w14:solidFill>
              <w14:schemeClr w14:val="tx1"/>
            </w14:solidFill>
          </w14:textFill>
        </w:rPr>
        <w:t xml:space="preserve">                          </w:t>
      </w:r>
    </w:p>
    <w:p>
      <w:pPr>
        <w:spacing w:line="440" w:lineRule="exact"/>
        <w:rPr>
          <w:rFonts w:asciiTheme="minorEastAsia" w:hAnsiTheme="minorEastAsia" w:eastAsiaTheme="minorEastAsia"/>
          <w:color w:val="000000" w:themeColor="text1"/>
          <w:u w:val="single"/>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身份证号码：</w:t>
      </w:r>
      <w:r>
        <w:rPr>
          <w:rFonts w:hint="eastAsia" w:asciiTheme="minorEastAsia" w:hAnsiTheme="minorEastAsia" w:eastAsiaTheme="minorEastAsia"/>
          <w:color w:val="000000" w:themeColor="text1"/>
          <w:u w:val="single"/>
          <w14:textFill>
            <w14:solidFill>
              <w14:schemeClr w14:val="tx1"/>
            </w14:solidFill>
          </w14:textFill>
        </w:rPr>
        <w:t xml:space="preserve">                        </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职   务：</w:t>
      </w:r>
      <w:r>
        <w:rPr>
          <w:rFonts w:hint="eastAsia" w:asciiTheme="minorEastAsia" w:hAnsiTheme="minorEastAsia" w:eastAsiaTheme="minorEastAsia"/>
          <w:color w:val="000000" w:themeColor="text1"/>
          <w:u w:val="single"/>
          <w14:textFill>
            <w14:solidFill>
              <w14:schemeClr w14:val="tx1"/>
            </w14:solidFill>
          </w14:textFill>
        </w:rPr>
        <w:t xml:space="preserve">                           </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系</w:t>
      </w:r>
      <w:r>
        <w:rPr>
          <w:rFonts w:hint="eastAsia" w:asciiTheme="minorEastAsia" w:hAnsiTheme="minorEastAsia" w:eastAsiaTheme="minorEastAsia"/>
          <w:color w:val="000000" w:themeColor="text1"/>
          <w:u w:val="single"/>
          <w14:textFill>
            <w14:solidFill>
              <w14:schemeClr w14:val="tx1"/>
            </w14:solidFill>
          </w14:textFill>
        </w:rPr>
        <w:t xml:space="preserve">                           （填写投标人名称）</w:t>
      </w:r>
      <w:r>
        <w:rPr>
          <w:rFonts w:hint="eastAsia" w:asciiTheme="minorEastAsia" w:hAnsiTheme="minorEastAsia" w:eastAsiaTheme="minorEastAsia"/>
          <w:color w:val="000000" w:themeColor="text1"/>
          <w14:textFill>
            <w14:solidFill>
              <w14:schemeClr w14:val="tx1"/>
            </w14:solidFill>
          </w14:textFill>
        </w:rPr>
        <w:t>的法定代表人。</w:t>
      </w: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特此证明。</w:t>
      </w:r>
    </w:p>
    <w:p>
      <w:pPr>
        <w:spacing w:line="440" w:lineRule="exact"/>
        <w:rPr>
          <w:rFonts w:asciiTheme="minorEastAsia" w:hAnsiTheme="minorEastAsia" w:eastAsiaTheme="minorEastAsia"/>
          <w:color w:val="000000" w:themeColor="text1"/>
          <w14:textFill>
            <w14:solidFill>
              <w14:schemeClr w14:val="tx1"/>
            </w14:solidFill>
          </w14:textFill>
        </w:rPr>
      </w:pPr>
    </w:p>
    <w:p>
      <w:pPr>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                             （</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pacing w:line="440" w:lineRule="exact"/>
        <w:rPr>
          <w:rFonts w:asciiTheme="minorEastAsia" w:hAnsiTheme="minorEastAsia" w:eastAsiaTheme="minorEastAsia"/>
          <w:color w:val="000000" w:themeColor="text1"/>
          <w14:textFill>
            <w14:solidFill>
              <w14:schemeClr w14:val="tx1"/>
            </w14:solidFill>
          </w14:textFill>
        </w:rPr>
      </w:pPr>
    </w:p>
    <w:p>
      <w:pPr>
        <w:spacing w:line="440" w:lineRule="exact"/>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年   月   日</w:t>
      </w:r>
    </w:p>
    <w:p>
      <w:pPr>
        <w:pageBreakBefore/>
        <w:spacing w:after="240" w:afterLines="100"/>
        <w:outlineLvl w:val="2"/>
        <w:rPr>
          <w:rFonts w:cs="仿宋_GB2312" w:asciiTheme="minorEastAsia" w:hAnsiTheme="minorEastAsia" w:eastAsiaTheme="minorEastAsia"/>
          <w:b/>
          <w:color w:val="000000" w:themeColor="text1"/>
          <w:sz w:val="32"/>
          <w:szCs w:val="32"/>
          <w14:textFill>
            <w14:solidFill>
              <w14:schemeClr w14:val="tx1"/>
            </w14:solidFill>
          </w14:textFill>
        </w:rPr>
      </w:pPr>
      <w:r>
        <w:rPr>
          <w:rFonts w:hint="eastAsia" w:asciiTheme="minorEastAsia" w:hAnsiTheme="minorEastAsia" w:eastAsiaTheme="minorEastAsia"/>
          <w:b/>
          <w:color w:val="000000" w:themeColor="text1"/>
          <w:sz w:val="30"/>
          <w:szCs w:val="30"/>
          <w14:textFill>
            <w14:solidFill>
              <w14:schemeClr w14:val="tx1"/>
            </w14:solidFill>
          </w14:textFill>
        </w:rPr>
        <w:t>6、</w:t>
      </w:r>
      <w:r>
        <w:rPr>
          <w:rFonts w:hint="eastAsia" w:cs="Times New Roman" w:asciiTheme="minorEastAsia" w:hAnsiTheme="minorEastAsia" w:eastAsiaTheme="minorEastAsia"/>
          <w:b/>
          <w:color w:val="000000" w:themeColor="text1"/>
          <w:kern w:val="2"/>
          <w:sz w:val="30"/>
          <w:szCs w:val="30"/>
          <w14:textFill>
            <w14:solidFill>
              <w14:schemeClr w14:val="tx1"/>
            </w14:solidFill>
          </w14:textFill>
        </w:rPr>
        <w:t>资格审查有关的书面承诺函</w:t>
      </w:r>
    </w:p>
    <w:p>
      <w:pPr>
        <w:widowControl w:val="0"/>
        <w:snapToGrid w:val="0"/>
        <w:spacing w:line="440" w:lineRule="exact"/>
        <w:jc w:val="both"/>
        <w:rPr>
          <w:rFonts w:cs="仿宋_GB2312" w:asciiTheme="minorEastAsia" w:hAnsiTheme="minorEastAsia" w:eastAsiaTheme="minorEastAsia"/>
          <w:color w:val="000000" w:themeColor="text1"/>
          <w:kern w:val="2"/>
          <w14:textFill>
            <w14:solidFill>
              <w14:schemeClr w14:val="tx1"/>
            </w14:solidFill>
          </w14:textFill>
        </w:rPr>
      </w:pPr>
      <w:r>
        <w:rPr>
          <w:rFonts w:hint="eastAsia" w:cs="仿宋_GB2312" w:asciiTheme="minorEastAsia" w:hAnsiTheme="minorEastAsia" w:eastAsiaTheme="minorEastAsia"/>
          <w:color w:val="000000" w:themeColor="text1"/>
          <w:kern w:val="2"/>
          <w14:textFill>
            <w14:solidFill>
              <w14:schemeClr w14:val="tx1"/>
            </w14:solidFill>
          </w14:textFill>
        </w:rPr>
        <w:t>绍兴市轨道交通集团有限公司、融华工程管理有限公司</w:t>
      </w:r>
      <w:r>
        <w:rPr>
          <w:rFonts w:hint="eastAsia" w:cs="仿宋_GB2312" w:asciiTheme="minorEastAsia" w:hAnsiTheme="minorEastAsia" w:eastAsiaTheme="minorEastAsia"/>
          <w:color w:val="000000" w:themeColor="text1"/>
          <w:lang w:val="zh-CN"/>
          <w14:textFill>
            <w14:solidFill>
              <w14:schemeClr w14:val="tx1"/>
            </w14:solidFill>
          </w14:textFill>
        </w:rPr>
        <w:t>：</w:t>
      </w:r>
    </w:p>
    <w:p>
      <w:pPr>
        <w:widowControl w:val="0"/>
        <w:snapToGrid w:val="0"/>
        <w:spacing w:line="440" w:lineRule="exact"/>
        <w:ind w:firstLine="480" w:firstLineChars="200"/>
        <w:jc w:val="both"/>
        <w:rPr>
          <w:rFonts w:cs="仿宋_GB2312" w:asciiTheme="minorEastAsia" w:hAnsiTheme="minorEastAsia" w:eastAsiaTheme="minorEastAsia"/>
          <w:color w:val="000000" w:themeColor="text1"/>
          <w:kern w:val="2"/>
          <w14:textFill>
            <w14:solidFill>
              <w14:schemeClr w14:val="tx1"/>
            </w14:solidFill>
          </w14:textFill>
        </w:rPr>
      </w:pPr>
      <w:r>
        <w:rPr>
          <w:rFonts w:hint="eastAsia" w:cs="仿宋_GB2312" w:asciiTheme="minorEastAsia" w:hAnsiTheme="minorEastAsia" w:eastAsiaTheme="minorEastAsia"/>
          <w:color w:val="000000" w:themeColor="text1"/>
          <w:kern w:val="2"/>
          <w14:textFill>
            <w14:solidFill>
              <w14:schemeClr w14:val="tx1"/>
            </w14:solidFill>
          </w14:textFill>
        </w:rPr>
        <w:t>我方郑重承诺，已具有</w:t>
      </w:r>
      <w:r>
        <w:rPr>
          <w:rFonts w:hint="eastAsia" w:cs="仿宋_GB2312" w:asciiTheme="minorEastAsia" w:hAnsiTheme="minorEastAsia" w:eastAsiaTheme="minorEastAsia"/>
          <w:color w:val="000000" w:themeColor="text1"/>
          <w:kern w:val="2"/>
          <w:lang w:eastAsia="zh-CN"/>
          <w14:textFill>
            <w14:solidFill>
              <w14:schemeClr w14:val="tx1"/>
            </w14:solidFill>
          </w14:textFill>
        </w:rPr>
        <w:t>绍兴市轨道交通2号线一期房建及结构维保服务项目（2023-2026年）</w:t>
      </w:r>
      <w:r>
        <w:rPr>
          <w:rFonts w:hint="eastAsia" w:cs="仿宋_GB2312" w:asciiTheme="minorEastAsia" w:hAnsiTheme="minorEastAsia" w:eastAsiaTheme="minorEastAsia"/>
          <w:color w:val="000000" w:themeColor="text1"/>
          <w:kern w:val="2"/>
          <w14:textFill>
            <w14:solidFill>
              <w14:schemeClr w14:val="tx1"/>
            </w14:solidFill>
          </w14:textFill>
        </w:rPr>
        <w:t xml:space="preserve">（招标编号: </w:t>
      </w:r>
      <w:r>
        <w:rPr>
          <w:rFonts w:hint="eastAsia" w:cs="仿宋_GB2312" w:asciiTheme="minorEastAsia" w:hAnsiTheme="minorEastAsia" w:eastAsiaTheme="minorEastAsia"/>
          <w:color w:val="000000" w:themeColor="text1"/>
          <w:kern w:val="2"/>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2"/>
          <w14:textFill>
            <w14:solidFill>
              <w14:schemeClr w14:val="tx1"/>
            </w14:solidFill>
          </w14:textFill>
        </w:rPr>
        <w:t>）招标文件中关于申请人资格要求的下列条件：</w:t>
      </w:r>
    </w:p>
    <w:p>
      <w:pPr>
        <w:widowControl w:val="0"/>
        <w:snapToGrid w:val="0"/>
        <w:spacing w:line="440" w:lineRule="exact"/>
        <w:ind w:firstLine="480" w:firstLineChars="200"/>
        <w:rPr>
          <w:rFonts w:cs="仿宋_GB2312" w:asciiTheme="minorEastAsia" w:hAnsiTheme="minorEastAsia" w:eastAsiaTheme="minorEastAsia"/>
          <w:color w:val="000000" w:themeColor="text1"/>
          <w:szCs w:val="20"/>
          <w14:textFill>
            <w14:solidFill>
              <w14:schemeClr w14:val="tx1"/>
            </w14:solidFill>
          </w14:textFill>
        </w:rPr>
      </w:pPr>
      <w:r>
        <w:rPr>
          <w:rFonts w:hint="eastAsia" w:cs="仿宋_GB2312" w:asciiTheme="minorEastAsia" w:hAnsiTheme="minorEastAsia" w:eastAsiaTheme="minorEastAsia"/>
          <w:color w:val="000000" w:themeColor="text1"/>
          <w:szCs w:val="20"/>
          <w14:textFill>
            <w14:solidFill>
              <w14:schemeClr w14:val="tx1"/>
            </w14:solidFill>
          </w14:textFill>
        </w:rPr>
        <w:t>1、</w:t>
      </w:r>
      <w:r>
        <w:rPr>
          <w:rFonts w:hint="eastAsia" w:cs="Times New Roman" w:asciiTheme="minorEastAsia" w:hAnsiTheme="minorEastAsia" w:eastAsiaTheme="minorEastAsia"/>
          <w:color w:val="000000" w:themeColor="text1"/>
          <w14:textFill>
            <w14:solidFill>
              <w14:schemeClr w14:val="tx1"/>
            </w14:solidFill>
          </w14:textFill>
        </w:rPr>
        <w:t>符合《中华人民共和国政府采购法》第二十二条的规定：</w:t>
      </w:r>
    </w:p>
    <w:p>
      <w:pPr>
        <w:widowControl w:val="0"/>
        <w:spacing w:line="440" w:lineRule="exact"/>
        <w:ind w:firstLine="480" w:firstLineChars="200"/>
        <w:jc w:val="both"/>
        <w:rPr>
          <w:rFonts w:cs="仿宋_GB2312" w:asciiTheme="minorEastAsia" w:hAnsiTheme="minorEastAsia" w:eastAsiaTheme="minorEastAsia"/>
          <w:color w:val="000000" w:themeColor="text1"/>
          <w:kern w:val="2"/>
          <w:szCs w:val="20"/>
          <w14:textFill>
            <w14:solidFill>
              <w14:schemeClr w14:val="tx1"/>
            </w14:solidFill>
          </w14:textFill>
        </w:rPr>
      </w:pPr>
      <w:r>
        <w:rPr>
          <w:rFonts w:hint="eastAsia" w:cs="仿宋_GB2312" w:asciiTheme="minorEastAsia" w:hAnsiTheme="minorEastAsia" w:eastAsiaTheme="minorEastAsia"/>
          <w:color w:val="000000" w:themeColor="text1"/>
          <w:kern w:val="2"/>
          <w:szCs w:val="20"/>
          <w14:textFill>
            <w14:solidFill>
              <w14:schemeClr w14:val="tx1"/>
            </w14:solidFill>
          </w14:textFill>
        </w:rPr>
        <w:t>(一）具有独立承担民事责任的能力（</w:t>
      </w:r>
      <w:r>
        <w:rPr>
          <w:rFonts w:hint="eastAsia" w:cs="Times New Roman" w:asciiTheme="minorEastAsia" w:hAnsiTheme="minorEastAsia" w:eastAsiaTheme="minorEastAsia"/>
          <w:color w:val="000000" w:themeColor="text1"/>
          <w:kern w:val="2"/>
          <w:szCs w:val="20"/>
          <w14:textFill>
            <w14:solidFill>
              <w14:schemeClr w14:val="tx1"/>
            </w14:solidFill>
          </w14:textFill>
        </w:rPr>
        <w:t>如投标人为</w:t>
      </w:r>
      <w:r>
        <w:rPr>
          <w:rFonts w:hint="eastAsia" w:cs="仿宋_GB2312" w:asciiTheme="minorEastAsia" w:hAnsiTheme="minorEastAsia" w:eastAsiaTheme="minorEastAsia"/>
          <w:color w:val="000000" w:themeColor="text1"/>
          <w:kern w:val="2"/>
          <w:szCs w:val="20"/>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widowControl w:val="0"/>
        <w:snapToGrid w:val="0"/>
        <w:spacing w:line="440" w:lineRule="exact"/>
        <w:ind w:firstLine="480" w:firstLineChars="200"/>
        <w:jc w:val="both"/>
        <w:rPr>
          <w:rFonts w:cs="仿宋_GB2312" w:asciiTheme="minorEastAsia" w:hAnsiTheme="minorEastAsia" w:eastAsiaTheme="minorEastAsia"/>
          <w:color w:val="000000" w:themeColor="text1"/>
          <w:kern w:val="2"/>
          <w14:textFill>
            <w14:solidFill>
              <w14:schemeClr w14:val="tx1"/>
            </w14:solidFill>
          </w14:textFill>
        </w:rPr>
      </w:pPr>
      <w:r>
        <w:rPr>
          <w:rFonts w:hint="eastAsia" w:cs="仿宋_GB2312" w:asciiTheme="minorEastAsia" w:hAnsiTheme="minorEastAsia" w:eastAsiaTheme="minorEastAsia"/>
          <w:color w:val="000000" w:themeColor="text1"/>
          <w:kern w:val="2"/>
          <w14:textFill>
            <w14:solidFill>
              <w14:schemeClr w14:val="tx1"/>
            </w14:solidFill>
          </w14:textFill>
        </w:rPr>
        <w:t>(二）具有良好的商业信誉和健全的财务会计制度；</w:t>
      </w:r>
    </w:p>
    <w:p>
      <w:pPr>
        <w:widowControl w:val="0"/>
        <w:snapToGrid w:val="0"/>
        <w:spacing w:line="440" w:lineRule="exact"/>
        <w:ind w:firstLine="480" w:firstLineChars="200"/>
        <w:jc w:val="both"/>
        <w:rPr>
          <w:rFonts w:cs="仿宋_GB2312" w:asciiTheme="minorEastAsia" w:hAnsiTheme="minorEastAsia" w:eastAsiaTheme="minorEastAsia"/>
          <w:color w:val="000000" w:themeColor="text1"/>
          <w:kern w:val="2"/>
          <w14:textFill>
            <w14:solidFill>
              <w14:schemeClr w14:val="tx1"/>
            </w14:solidFill>
          </w14:textFill>
        </w:rPr>
      </w:pPr>
      <w:r>
        <w:rPr>
          <w:rFonts w:hint="eastAsia" w:cs="仿宋_GB2312" w:asciiTheme="minorEastAsia" w:hAnsiTheme="minorEastAsia" w:eastAsiaTheme="minorEastAsia"/>
          <w:color w:val="000000" w:themeColor="text1"/>
          <w:kern w:val="2"/>
          <w14:textFill>
            <w14:solidFill>
              <w14:schemeClr w14:val="tx1"/>
            </w14:solidFill>
          </w14:textFill>
        </w:rPr>
        <w:t>(三）具有履行合同所必需的设备和专业技术能力；</w:t>
      </w:r>
    </w:p>
    <w:p>
      <w:pPr>
        <w:widowControl w:val="0"/>
        <w:snapToGrid w:val="0"/>
        <w:spacing w:line="440" w:lineRule="exact"/>
        <w:ind w:firstLine="480" w:firstLineChars="200"/>
        <w:jc w:val="both"/>
        <w:rPr>
          <w:rFonts w:cs="仿宋_GB2312" w:asciiTheme="minorEastAsia" w:hAnsiTheme="minorEastAsia" w:eastAsiaTheme="minorEastAsia"/>
          <w:color w:val="000000" w:themeColor="text1"/>
          <w:kern w:val="2"/>
          <w14:textFill>
            <w14:solidFill>
              <w14:schemeClr w14:val="tx1"/>
            </w14:solidFill>
          </w14:textFill>
        </w:rPr>
      </w:pPr>
      <w:r>
        <w:rPr>
          <w:rFonts w:hint="eastAsia" w:cs="仿宋_GB2312" w:asciiTheme="minorEastAsia" w:hAnsiTheme="minorEastAsia" w:eastAsiaTheme="minorEastAsia"/>
          <w:color w:val="000000" w:themeColor="text1"/>
          <w:kern w:val="2"/>
          <w14:textFill>
            <w14:solidFill>
              <w14:schemeClr w14:val="tx1"/>
            </w14:solidFill>
          </w14:textFill>
        </w:rPr>
        <w:t>(四）有依法缴纳税收和社会保障资金的良好记录；</w:t>
      </w:r>
    </w:p>
    <w:p>
      <w:pPr>
        <w:widowControl w:val="0"/>
        <w:snapToGrid w:val="0"/>
        <w:spacing w:line="440" w:lineRule="exact"/>
        <w:ind w:firstLine="480" w:firstLineChars="200"/>
        <w:jc w:val="both"/>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kern w:val="2"/>
          <w14:textFill>
            <w14:solidFill>
              <w14:schemeClr w14:val="tx1"/>
            </w14:solidFill>
          </w14:textFill>
        </w:rPr>
        <w:t>(五）参加政府采购活动前三年内，在经营活动中没有重大违法记录。</w:t>
      </w:r>
    </w:p>
    <w:p>
      <w:pPr>
        <w:widowControl w:val="0"/>
        <w:spacing w:line="440" w:lineRule="exact"/>
        <w:ind w:firstLine="480" w:firstLineChars="200"/>
        <w:jc w:val="both"/>
        <w:rPr>
          <w:rFonts w:cs="仿宋_GB2312" w:asciiTheme="minorEastAsia" w:hAnsiTheme="minorEastAsia" w:eastAsiaTheme="minorEastAsia"/>
          <w:color w:val="000000" w:themeColor="text1"/>
          <w:kern w:val="2"/>
          <w:szCs w:val="20"/>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w:t>
      </w:r>
      <w:r>
        <w:rPr>
          <w:rFonts w:hint="eastAsia" w:cs="仿宋_GB2312" w:asciiTheme="minorEastAsia" w:hAnsiTheme="minorEastAsia" w:eastAsiaTheme="minorEastAsia"/>
          <w:color w:val="000000" w:themeColor="text1"/>
          <w:lang w:val="zh-CN"/>
          <w14:textFill>
            <w14:solidFill>
              <w14:schemeClr w14:val="tx1"/>
            </w14:solidFill>
          </w14:textFill>
        </w:rPr>
        <w:t>我公司</w:t>
      </w:r>
      <w:r>
        <w:rPr>
          <w:rFonts w:hint="eastAsia" w:cs="仿宋_GB2312" w:asciiTheme="minorEastAsia" w:hAnsiTheme="minorEastAsia" w:eastAsiaTheme="minorEastAsia"/>
          <w:color w:val="000000" w:themeColor="text1"/>
          <w:kern w:val="2"/>
          <w14:textFill>
            <w14:solidFill>
              <w14:schemeClr w14:val="tx1"/>
            </w14:solidFill>
          </w14:textFill>
        </w:rPr>
        <w:t>声明参加本次政府采购活动前三年内未</w:t>
      </w:r>
      <w:r>
        <w:rPr>
          <w:rFonts w:hint="eastAsia" w:cs="仿宋_GB2312" w:asciiTheme="minorEastAsia" w:hAnsiTheme="minorEastAsia" w:eastAsiaTheme="minorEastAsia"/>
          <w:color w:val="000000" w:themeColor="text1"/>
          <w:kern w:val="2"/>
          <w:szCs w:val="20"/>
          <w14:textFill>
            <w14:solidFill>
              <w14:schemeClr w14:val="tx1"/>
            </w14:solidFill>
          </w14:textFill>
        </w:rPr>
        <w:t>被列入“黑名单”</w:t>
      </w:r>
      <w:r>
        <w:rPr>
          <w:rFonts w:hint="eastAsia" w:cs="仿宋_GB2312" w:asciiTheme="minorEastAsia" w:hAnsiTheme="minorEastAsia" w:eastAsiaTheme="minorEastAsia"/>
          <w:color w:val="000000" w:themeColor="text1"/>
          <w:kern w:val="2"/>
          <w14:textFill>
            <w14:solidFill>
              <w14:schemeClr w14:val="tx1"/>
            </w14:solidFill>
          </w14:textFill>
        </w:rPr>
        <w:t>，</w:t>
      </w:r>
      <w:r>
        <w:rPr>
          <w:rFonts w:hint="eastAsia" w:cs="仿宋_GB2312" w:asciiTheme="minorEastAsia" w:hAnsiTheme="minorEastAsia" w:eastAsiaTheme="minorEastAsia"/>
          <w:color w:val="000000" w:themeColor="text1"/>
          <w:kern w:val="2"/>
          <w:szCs w:val="20"/>
          <w14:textFill>
            <w14:solidFill>
              <w14:schemeClr w14:val="tx1"/>
            </w14:solidFill>
          </w14:textFill>
        </w:rPr>
        <w:t>我方通过“信用中国”网站（www.creditchina.gov.cn）、中国政府采购网（www.ccgp.gov.cn）查询，未被列入失信被执行人、重大税收违法案件当事人名单、政府采购严重违法失信行为记录名单。</w:t>
      </w:r>
    </w:p>
    <w:p>
      <w:pPr>
        <w:widowControl w:val="0"/>
        <w:spacing w:line="360" w:lineRule="auto"/>
        <w:ind w:firstLine="480" w:firstLineChars="200"/>
        <w:jc w:val="both"/>
        <w:rPr>
          <w:rFonts w:cs="仿宋_GB2312" w:asciiTheme="minorEastAsia" w:hAnsiTheme="minorEastAsia" w:eastAsiaTheme="minorEastAsia"/>
          <w:color w:val="000000" w:themeColor="text1"/>
          <w:kern w:val="2"/>
          <w:szCs w:val="20"/>
          <w14:textFill>
            <w14:solidFill>
              <w14:schemeClr w14:val="tx1"/>
            </w14:solidFill>
          </w14:textFill>
        </w:rPr>
      </w:pPr>
    </w:p>
    <w:p>
      <w:pPr>
        <w:widowControl w:val="0"/>
        <w:spacing w:line="360" w:lineRule="auto"/>
        <w:ind w:firstLine="480" w:firstLineChars="200"/>
        <w:jc w:val="both"/>
        <w:rPr>
          <w:rFonts w:cs="仿宋_GB2312" w:asciiTheme="minorEastAsia" w:hAnsiTheme="minorEastAsia" w:eastAsiaTheme="minorEastAsia"/>
          <w:color w:val="000000" w:themeColor="text1"/>
          <w:kern w:val="2"/>
          <w:szCs w:val="20"/>
          <w14:textFill>
            <w14:solidFill>
              <w14:schemeClr w14:val="tx1"/>
            </w14:solidFill>
          </w14:textFill>
        </w:rPr>
      </w:pPr>
    </w:p>
    <w:p>
      <w:pPr>
        <w:widowControl w:val="0"/>
        <w:spacing w:line="360" w:lineRule="auto"/>
        <w:ind w:firstLine="480" w:firstLineChars="200"/>
        <w:jc w:val="both"/>
        <w:rPr>
          <w:rFonts w:cs="仿宋_GB2312" w:asciiTheme="minorEastAsia" w:hAnsiTheme="minorEastAsia" w:eastAsiaTheme="minorEastAsia"/>
          <w:color w:val="000000" w:themeColor="text1"/>
          <w:kern w:val="2"/>
          <w:szCs w:val="20"/>
          <w14:textFill>
            <w14:solidFill>
              <w14:schemeClr w14:val="tx1"/>
            </w14:solidFill>
          </w14:textFill>
        </w:rPr>
      </w:pPr>
    </w:p>
    <w:p>
      <w:pPr>
        <w:widowControl w:val="0"/>
        <w:spacing w:line="360" w:lineRule="auto"/>
        <w:ind w:firstLine="480" w:firstLineChars="200"/>
        <w:jc w:val="both"/>
        <w:rPr>
          <w:rFonts w:cs="仿宋_GB2312" w:asciiTheme="minorEastAsia" w:hAnsiTheme="minorEastAsia" w:eastAsiaTheme="minorEastAsia"/>
          <w:color w:val="000000" w:themeColor="text1"/>
          <w:kern w:val="2"/>
          <w:szCs w:val="20"/>
          <w14:textFill>
            <w14:solidFill>
              <w14:schemeClr w14:val="tx1"/>
            </w14:solidFill>
          </w14:textFill>
        </w:rPr>
      </w:pPr>
    </w:p>
    <w:p>
      <w:pPr>
        <w:widowControl w:val="0"/>
        <w:spacing w:line="360" w:lineRule="auto"/>
        <w:ind w:firstLine="480" w:firstLineChars="200"/>
        <w:jc w:val="both"/>
        <w:rPr>
          <w:rFonts w:cs="仿宋_GB2312" w:asciiTheme="minorEastAsia" w:hAnsiTheme="minorEastAsia" w:eastAsiaTheme="minorEastAsia"/>
          <w:color w:val="000000" w:themeColor="text1"/>
          <w:kern w:val="2"/>
          <w:szCs w:val="20"/>
          <w14:textFill>
            <w14:solidFill>
              <w14:schemeClr w14:val="tx1"/>
            </w14:solidFill>
          </w14:textFill>
        </w:rPr>
      </w:pPr>
    </w:p>
    <w:p>
      <w:pPr>
        <w:widowControl w:val="0"/>
        <w:spacing w:line="360" w:lineRule="auto"/>
        <w:ind w:firstLine="480" w:firstLineChars="200"/>
        <w:jc w:val="both"/>
        <w:rPr>
          <w:rFonts w:cs="仿宋_GB2312" w:asciiTheme="minorEastAsia" w:hAnsiTheme="minorEastAsia" w:eastAsiaTheme="minorEastAsia"/>
          <w:color w:val="000000" w:themeColor="text1"/>
          <w:kern w:val="2"/>
          <w:szCs w:val="20"/>
          <w14:textFill>
            <w14:solidFill>
              <w14:schemeClr w14:val="tx1"/>
            </w14:solidFill>
          </w14:textFill>
        </w:rPr>
      </w:pPr>
    </w:p>
    <w:p>
      <w:pPr>
        <w:widowControl w:val="0"/>
        <w:spacing w:line="360" w:lineRule="auto"/>
        <w:ind w:firstLine="480" w:firstLineChars="200"/>
        <w:jc w:val="both"/>
        <w:rPr>
          <w:rFonts w:cs="仿宋_GB2312" w:asciiTheme="minorEastAsia" w:hAnsiTheme="minorEastAsia" w:eastAsiaTheme="minorEastAsia"/>
          <w:color w:val="000000" w:themeColor="text1"/>
          <w:kern w:val="2"/>
          <w:szCs w:val="20"/>
          <w14:textFill>
            <w14:solidFill>
              <w14:schemeClr w14:val="tx1"/>
            </w14:solidFill>
          </w14:textFill>
        </w:rPr>
      </w:pPr>
    </w:p>
    <w:p>
      <w:pPr>
        <w:widowControl w:val="0"/>
        <w:snapToGrid w:val="0"/>
        <w:spacing w:line="360" w:lineRule="auto"/>
        <w:ind w:firstLine="4080" w:firstLineChars="1700"/>
        <w:jc w:val="both"/>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投标人(盖章)：</w:t>
      </w:r>
    </w:p>
    <w:p>
      <w:pPr>
        <w:widowControl w:val="0"/>
        <w:snapToGrid w:val="0"/>
        <w:spacing w:line="360" w:lineRule="auto"/>
        <w:ind w:firstLine="4080" w:firstLineChars="1700"/>
        <w:jc w:val="both"/>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法定代表人或其授权代表(签字或盖章)：</w:t>
      </w:r>
    </w:p>
    <w:p>
      <w:pPr>
        <w:widowControl w:val="0"/>
        <w:snapToGrid w:val="0"/>
        <w:spacing w:line="360" w:lineRule="auto"/>
        <w:ind w:firstLine="4080" w:firstLineChars="1700"/>
        <w:jc w:val="both"/>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月   日</w:t>
      </w:r>
    </w:p>
    <w:p>
      <w:pPr>
        <w:pageBreakBefore/>
        <w:spacing w:line="800" w:lineRule="exact"/>
        <w:outlineLvl w:val="2"/>
        <w:rPr>
          <w:rFonts w:hint="eastAsia" w:asciiTheme="minorEastAsia" w:hAnsiTheme="minorEastAsia" w:eastAsiaTheme="minorEastAsia"/>
          <w:b/>
          <w:color w:val="000000" w:themeColor="text1"/>
          <w:sz w:val="30"/>
          <w:szCs w:val="30"/>
          <w14:textFill>
            <w14:solidFill>
              <w14:schemeClr w14:val="tx1"/>
            </w14:solidFill>
          </w14:textFill>
        </w:rPr>
      </w:pPr>
      <w:r>
        <w:rPr>
          <w:rFonts w:hint="eastAsia" w:asciiTheme="minorEastAsia" w:hAnsiTheme="minorEastAsia" w:eastAsiaTheme="minorEastAsia"/>
          <w:b/>
          <w:color w:val="000000" w:themeColor="text1"/>
          <w:sz w:val="30"/>
          <w:szCs w:val="30"/>
          <w14:textFill>
            <w14:solidFill>
              <w14:schemeClr w14:val="tx1"/>
            </w14:solidFill>
          </w14:textFill>
        </w:rPr>
        <w:t>7、特定资格条件要求的资质文件（复印件）</w:t>
      </w:r>
    </w:p>
    <w:p>
      <w:pPr>
        <w:snapToGrid w:val="0"/>
        <w:spacing w:line="360" w:lineRule="auto"/>
        <w:rPr>
          <w:rFonts w:hint="eastAsia" w:cs="仿宋_GB2312" w:asciiTheme="minorEastAsia" w:hAnsiTheme="minorEastAsia" w:eastAsiaTheme="minorEastAsia"/>
          <w:color w:val="000000" w:themeColor="text1"/>
          <w:kern w:val="2"/>
          <w14:textFill>
            <w14:solidFill>
              <w14:schemeClr w14:val="tx1"/>
            </w14:solidFill>
          </w14:textFill>
        </w:rPr>
      </w:pPr>
      <w:r>
        <w:rPr>
          <w:rFonts w:hint="eastAsia" w:cs="仿宋_GB2312" w:asciiTheme="minorEastAsia" w:hAnsiTheme="minorEastAsia" w:eastAsiaTheme="minorEastAsia"/>
          <w:color w:val="000000" w:themeColor="text1"/>
          <w:kern w:val="2"/>
          <w14:textFill>
            <w14:solidFill>
              <w14:schemeClr w14:val="tx1"/>
            </w14:solidFill>
          </w14:textFill>
        </w:rPr>
        <w:t>（由投标人根据招标公告合格的投标人应具备的特定资格条件要求编制）</w:t>
      </w:r>
    </w:p>
    <w:p>
      <w:pPr>
        <w:snapToGrid w:val="0"/>
        <w:spacing w:line="360" w:lineRule="auto"/>
        <w:rPr>
          <w:rFonts w:hint="eastAsia" w:cs="仿宋_GB2312" w:asciiTheme="minorEastAsia" w:hAnsiTheme="minorEastAsia" w:eastAsiaTheme="minorEastAsia"/>
          <w:color w:val="000000" w:themeColor="text1"/>
          <w:kern w:val="2"/>
          <w14:textFill>
            <w14:solidFill>
              <w14:schemeClr w14:val="tx1"/>
            </w14:solidFill>
          </w14:textFill>
        </w:rPr>
      </w:pPr>
    </w:p>
    <w:p>
      <w:pPr>
        <w:snapToGrid w:val="0"/>
        <w:spacing w:line="360" w:lineRule="auto"/>
        <w:rPr>
          <w:rFonts w:hint="eastAsia" w:cs="仿宋_GB2312" w:asciiTheme="minorEastAsia" w:hAnsiTheme="minorEastAsia" w:eastAsiaTheme="minorEastAsia"/>
          <w:color w:val="000000" w:themeColor="text1"/>
          <w:kern w:val="2"/>
          <w14:textFill>
            <w14:solidFill>
              <w14:schemeClr w14:val="tx1"/>
            </w14:solidFill>
          </w14:textFill>
        </w:rPr>
      </w:pPr>
    </w:p>
    <w:p>
      <w:pPr>
        <w:snapToGrid w:val="0"/>
        <w:spacing w:line="360" w:lineRule="auto"/>
        <w:outlineLvl w:val="2"/>
        <w:rPr>
          <w:rFonts w:hint="eastAsia" w:asciiTheme="minorEastAsia" w:hAnsiTheme="minorEastAsia" w:eastAsiaTheme="minorEastAsia"/>
          <w:b/>
          <w:color w:val="000000" w:themeColor="text1"/>
          <w:sz w:val="30"/>
          <w:szCs w:val="30"/>
          <w14:textFill>
            <w14:solidFill>
              <w14:schemeClr w14:val="tx1"/>
            </w14:solidFill>
          </w14:textFill>
        </w:rPr>
      </w:pPr>
      <w:r>
        <w:rPr>
          <w:rFonts w:hint="eastAsia" w:asciiTheme="minorEastAsia" w:hAnsiTheme="minorEastAsia" w:eastAsiaTheme="minorEastAsia"/>
          <w:b/>
          <w:color w:val="000000" w:themeColor="text1"/>
          <w:sz w:val="30"/>
          <w:szCs w:val="30"/>
          <w14:textFill>
            <w14:solidFill>
              <w14:schemeClr w14:val="tx1"/>
            </w14:solidFill>
          </w14:textFill>
        </w:rPr>
        <w:t>8、投标人售后服务能力证明材料</w:t>
      </w:r>
    </w:p>
    <w:p>
      <w:pPr>
        <w:snapToGrid w:val="0"/>
        <w:spacing w:line="360" w:lineRule="auto"/>
        <w:jc w:val="center"/>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kern w:val="2"/>
          <w14:textFill>
            <w14:solidFill>
              <w14:schemeClr w14:val="tx1"/>
            </w14:solidFill>
          </w14:textFill>
        </w:rPr>
        <w:t>（由投标人根据采购需求及招标文件要求编制）</w:t>
      </w:r>
    </w:p>
    <w:p>
      <w:pPr>
        <w:snapToGrid w:val="0"/>
        <w:spacing w:line="360" w:lineRule="auto"/>
        <w:rPr>
          <w:rFonts w:cs="仿宋_GB2312" w:asciiTheme="minorEastAsia" w:hAnsiTheme="minorEastAsia" w:eastAsiaTheme="minorEastAsia"/>
          <w:b/>
          <w:color w:val="000000" w:themeColor="text1"/>
          <w:sz w:val="30"/>
          <w:szCs w:val="30"/>
          <w14:textFill>
            <w14:solidFill>
              <w14:schemeClr w14:val="tx1"/>
            </w14:solidFill>
          </w14:textFill>
        </w:rPr>
      </w:pPr>
    </w:p>
    <w:p>
      <w:pPr>
        <w:snapToGrid w:val="0"/>
        <w:spacing w:line="360" w:lineRule="auto"/>
        <w:rPr>
          <w:rFonts w:cs="仿宋_GB2312" w:asciiTheme="minorEastAsia" w:hAnsiTheme="minorEastAsia" w:eastAsiaTheme="minorEastAsia"/>
          <w:b/>
          <w:color w:val="000000" w:themeColor="text1"/>
          <w:sz w:val="30"/>
          <w:szCs w:val="30"/>
          <w14:textFill>
            <w14:solidFill>
              <w14:schemeClr w14:val="tx1"/>
            </w14:solidFill>
          </w14:textFill>
        </w:rPr>
      </w:pPr>
    </w:p>
    <w:p>
      <w:pPr>
        <w:snapToGrid w:val="0"/>
        <w:spacing w:line="360" w:lineRule="auto"/>
        <w:rPr>
          <w:rFonts w:cs="仿宋_GB2312" w:asciiTheme="minorEastAsia" w:hAnsiTheme="minorEastAsia" w:eastAsiaTheme="minorEastAsia"/>
          <w:b/>
          <w:color w:val="000000" w:themeColor="text1"/>
          <w:sz w:val="30"/>
          <w:szCs w:val="30"/>
          <w14:textFill>
            <w14:solidFill>
              <w14:schemeClr w14:val="tx1"/>
            </w14:solidFill>
          </w14:textFill>
        </w:rPr>
      </w:pPr>
    </w:p>
    <w:p>
      <w:pPr>
        <w:spacing w:line="360" w:lineRule="auto"/>
        <w:rPr>
          <w:rFonts w:cs="仿宋_GB2312" w:asciiTheme="minorEastAsia" w:hAnsiTheme="minorEastAsia" w:eastAsiaTheme="minorEastAsia"/>
          <w:b/>
          <w:color w:val="000000" w:themeColor="text1"/>
          <w:sz w:val="32"/>
          <w:szCs w:val="32"/>
          <w14:textFill>
            <w14:solidFill>
              <w14:schemeClr w14:val="tx1"/>
            </w14:solidFill>
          </w14:textFill>
        </w:rPr>
      </w:pPr>
    </w:p>
    <w:p>
      <w:pPr>
        <w:spacing w:line="360" w:lineRule="auto"/>
        <w:outlineLvl w:val="2"/>
        <w:rPr>
          <w:rFonts w:cs="仿宋_GB2312" w:asciiTheme="minorEastAsia" w:hAnsiTheme="minorEastAsia" w:eastAsiaTheme="minorEastAsia"/>
          <w:b/>
          <w:bCs/>
          <w:color w:val="000000" w:themeColor="text1"/>
          <w:sz w:val="30"/>
          <w:szCs w:val="30"/>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9、</w:t>
      </w:r>
      <w:r>
        <w:rPr>
          <w:rFonts w:hint="eastAsia" w:cs="仿宋_GB2312" w:asciiTheme="minorEastAsia" w:hAnsiTheme="minorEastAsia" w:eastAsiaTheme="minorEastAsia"/>
          <w:b/>
          <w:color w:val="000000" w:themeColor="text1"/>
          <w:sz w:val="30"/>
          <w:szCs w:val="30"/>
          <w:lang w:val="zh-CN"/>
          <w14:textFill>
            <w14:solidFill>
              <w14:schemeClr w14:val="tx1"/>
            </w14:solidFill>
          </w14:textFill>
        </w:rPr>
        <w:t>主要业绩证明</w:t>
      </w:r>
    </w:p>
    <w:p>
      <w:pPr>
        <w:autoSpaceDE w:val="0"/>
        <w:autoSpaceDN w:val="0"/>
        <w:spacing w:line="360" w:lineRule="auto"/>
        <w:ind w:firstLine="120"/>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附表：相关项目建设业绩一览表</w:t>
      </w:r>
    </w:p>
    <w:tbl>
      <w:tblPr>
        <w:tblStyle w:val="43"/>
        <w:tblW w:w="9132" w:type="dxa"/>
        <w:tblInd w:w="108" w:type="dxa"/>
        <w:tblLayout w:type="fixed"/>
        <w:tblCellMar>
          <w:top w:w="0" w:type="dxa"/>
          <w:left w:w="108" w:type="dxa"/>
          <w:bottom w:w="0" w:type="dxa"/>
          <w:right w:w="108" w:type="dxa"/>
        </w:tblCellMar>
      </w:tblPr>
      <w:tblGrid>
        <w:gridCol w:w="1798"/>
        <w:gridCol w:w="951"/>
        <w:gridCol w:w="1356"/>
        <w:gridCol w:w="1143"/>
        <w:gridCol w:w="1155"/>
        <w:gridCol w:w="1514"/>
        <w:gridCol w:w="1215"/>
      </w:tblGrid>
      <w:tr>
        <w:tblPrEx>
          <w:tblCellMar>
            <w:top w:w="0" w:type="dxa"/>
            <w:left w:w="108" w:type="dxa"/>
            <w:bottom w:w="0" w:type="dxa"/>
            <w:right w:w="108" w:type="dxa"/>
          </w:tblCellMar>
        </w:tblPrEx>
        <w:trPr>
          <w:trHeight w:val="1177" w:hRule="atLeast"/>
        </w:trPr>
        <w:tc>
          <w:tcPr>
            <w:tcW w:w="17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项目</w:t>
            </w:r>
          </w:p>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合同</w:t>
            </w:r>
          </w:p>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金额</w:t>
            </w:r>
          </w:p>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开竣工日期</w:t>
            </w:r>
          </w:p>
        </w:tc>
        <w:tc>
          <w:tcPr>
            <w:tcW w:w="151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所在页码</w:t>
            </w:r>
          </w:p>
        </w:tc>
      </w:tr>
      <w:tr>
        <w:trPr>
          <w:trHeight w:val="659" w:hRule="atLeast"/>
        </w:trPr>
        <w:tc>
          <w:tcPr>
            <w:tcW w:w="179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51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79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51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r>
      <w:tr>
        <w:trPr>
          <w:trHeight w:val="693" w:hRule="atLeast"/>
        </w:trPr>
        <w:tc>
          <w:tcPr>
            <w:tcW w:w="179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51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r>
    </w:tbl>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注：投标人可按上述的格式自行编制，须随表提交相应的合同复印件和用户单位验收证明并注明页码。</w:t>
      </w:r>
    </w:p>
    <w:p>
      <w:pPr>
        <w:spacing w:line="360" w:lineRule="auto"/>
        <w:ind w:firstLine="480" w:firstLineChars="200"/>
        <w:rPr>
          <w:rFonts w:cs="仿宋_GB2312" w:asciiTheme="minorEastAsia" w:hAnsiTheme="minorEastAsia" w:eastAsiaTheme="minorEastAsia"/>
          <w:color w:val="000000" w:themeColor="text1"/>
          <w:szCs w:val="20"/>
          <w14:textFill>
            <w14:solidFill>
              <w14:schemeClr w14:val="tx1"/>
            </w14:solidFill>
          </w14:textFill>
        </w:rPr>
      </w:pPr>
    </w:p>
    <w:p>
      <w:pPr>
        <w:spacing w:line="360" w:lineRule="exact"/>
        <w:ind w:firstLine="3600" w:firstLineChars="15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ind w:firstLine="3600" w:firstLineChars="15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ind w:firstLine="3600" w:firstLineChars="15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outlineLvl w:val="2"/>
        <w:rPr>
          <w:rFonts w:cs="仿宋_GB2312" w:asciiTheme="minorEastAsia" w:hAnsiTheme="minorEastAsia" w:eastAsiaTheme="minorEastAsia"/>
          <w:b/>
          <w:bCs/>
          <w:color w:val="000000" w:themeColor="text1"/>
          <w:sz w:val="30"/>
          <w:szCs w:val="30"/>
          <w14:textFill>
            <w14:solidFill>
              <w14:schemeClr w14:val="tx1"/>
            </w14:solidFill>
          </w14:textFill>
        </w:rPr>
      </w:pPr>
      <w:r>
        <w:rPr>
          <w:rFonts w:cs="仿宋_GB2312" w:asciiTheme="minorEastAsia" w:hAnsiTheme="minorEastAsia" w:eastAsiaTheme="minorEastAsia"/>
          <w:color w:val="000000" w:themeColor="text1"/>
          <w:sz w:val="30"/>
          <w:szCs w:val="30"/>
          <w14:textFill>
            <w14:solidFill>
              <w14:schemeClr w14:val="tx1"/>
            </w14:solidFill>
          </w14:textFill>
        </w:rPr>
        <w:br w:type="page"/>
      </w:r>
      <w:r>
        <w:rPr>
          <w:rFonts w:hint="eastAsia" w:cs="仿宋_GB2312" w:asciiTheme="minorEastAsia" w:hAnsiTheme="minorEastAsia" w:eastAsiaTheme="minorEastAsia"/>
          <w:b/>
          <w:bCs/>
          <w:color w:val="000000" w:themeColor="text1"/>
          <w:sz w:val="30"/>
          <w:szCs w:val="30"/>
          <w14:textFill>
            <w14:solidFill>
              <w14:schemeClr w14:val="tx1"/>
            </w14:solidFill>
          </w14:textFill>
        </w:rPr>
        <w:t>10、廉政承诺书</w:t>
      </w:r>
    </w:p>
    <w:p>
      <w:pPr>
        <w:autoSpaceDE w:val="0"/>
        <w:autoSpaceDN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绍兴市轨道交通集团有限公司、融华工程管理有限公司</w:t>
      </w:r>
      <w:r>
        <w:rPr>
          <w:rFonts w:hint="eastAsia" w:cs="仿宋_GB2312" w:asciiTheme="minorEastAsia" w:hAnsiTheme="minorEastAsia" w:eastAsiaTheme="minorEastAsia"/>
          <w:color w:val="000000" w:themeColor="text1"/>
          <w:lang w:val="zh-CN"/>
          <w14:textFill>
            <w14:solidFill>
              <w14:schemeClr w14:val="tx1"/>
            </w14:solidFill>
          </w14:textFill>
        </w:rPr>
        <w:t>：</w:t>
      </w:r>
    </w:p>
    <w:p>
      <w:pPr>
        <w:autoSpaceDE w:val="0"/>
        <w:autoSpaceDN w:val="0"/>
        <w:spacing w:line="360" w:lineRule="auto"/>
        <w:ind w:firstLine="480" w:firstLineChars="2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我单位响应你</w:t>
      </w:r>
      <w:r>
        <w:rPr>
          <w:rFonts w:hint="eastAsia" w:cs="仿宋_GB2312" w:asciiTheme="minorEastAsia" w:hAnsiTheme="minorEastAsia" w:eastAsiaTheme="minorEastAsia"/>
          <w:color w:val="000000" w:themeColor="text1"/>
          <w14:textFill>
            <w14:solidFill>
              <w14:schemeClr w14:val="tx1"/>
            </w14:solidFill>
          </w14:textFill>
        </w:rPr>
        <w:t>单位</w:t>
      </w:r>
      <w:r>
        <w:rPr>
          <w:rFonts w:hint="eastAsia" w:cs="仿宋_GB2312" w:asciiTheme="minorEastAsia" w:hAnsiTheme="minorEastAsia" w:eastAsiaTheme="minorEastAsia"/>
          <w:color w:val="000000" w:themeColor="text1"/>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firstLine="480" w:firstLineChars="2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一、不向项目有关人员及部门赠送礼金礼物、有价证券、回扣以及中介费、介绍费、咨询费等好处费；</w:t>
      </w:r>
    </w:p>
    <w:p>
      <w:pPr>
        <w:autoSpaceDE w:val="0"/>
        <w:autoSpaceDN w:val="0"/>
        <w:spacing w:line="360" w:lineRule="auto"/>
        <w:ind w:firstLine="480" w:firstLineChars="2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二、不为项目有关人员及部门报销应由你方单位或个人支付的费用；</w:t>
      </w:r>
    </w:p>
    <w:p>
      <w:pPr>
        <w:autoSpaceDE w:val="0"/>
        <w:autoSpaceDN w:val="0"/>
        <w:spacing w:line="360" w:lineRule="auto"/>
        <w:ind w:firstLine="480" w:firstLineChars="2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三、不向项目有关人员及部门提供有可能影响公正的宴请和健身娱乐等活动；</w:t>
      </w:r>
    </w:p>
    <w:p>
      <w:pPr>
        <w:autoSpaceDE w:val="0"/>
        <w:autoSpaceDN w:val="0"/>
        <w:spacing w:line="360" w:lineRule="auto"/>
        <w:ind w:firstLine="480" w:firstLineChars="2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四、不为项目有关人员及部门出国（境）、旅游等提供方便；</w:t>
      </w:r>
    </w:p>
    <w:p>
      <w:pPr>
        <w:autoSpaceDE w:val="0"/>
        <w:autoSpaceDN w:val="0"/>
        <w:spacing w:line="360" w:lineRule="auto"/>
        <w:ind w:firstLine="480" w:firstLineChars="2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五、不为项目有关人员个人装修住房、婚丧嫁娶、配偶子女工作安排等提供好处；</w:t>
      </w:r>
    </w:p>
    <w:p>
      <w:pPr>
        <w:autoSpaceDE w:val="0"/>
        <w:autoSpaceDN w:val="0"/>
        <w:spacing w:line="360" w:lineRule="auto"/>
        <w:ind w:firstLine="480" w:firstLineChars="2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六、严格遵守政府采购法等法律法规，诚实守信，合法经营，坚决抵制各种违法违纪行为。</w:t>
      </w:r>
    </w:p>
    <w:p>
      <w:pPr>
        <w:autoSpaceDE w:val="0"/>
        <w:autoSpaceDN w:val="0"/>
        <w:spacing w:line="360" w:lineRule="auto"/>
        <w:ind w:firstLine="480" w:firstLineChars="2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如违反上述承诺，你</w:t>
      </w:r>
      <w:r>
        <w:rPr>
          <w:rFonts w:hint="eastAsia" w:cs="仿宋_GB2312" w:asciiTheme="minorEastAsia" w:hAnsiTheme="minorEastAsia" w:eastAsiaTheme="minorEastAsia"/>
          <w:color w:val="000000" w:themeColor="text1"/>
          <w14:textFill>
            <w14:solidFill>
              <w14:schemeClr w14:val="tx1"/>
            </w14:solidFill>
          </w14:textFill>
        </w:rPr>
        <w:t>单位</w:t>
      </w:r>
      <w:r>
        <w:rPr>
          <w:rFonts w:hint="eastAsia" w:cs="仿宋_GB2312" w:asciiTheme="minorEastAsia" w:hAnsiTheme="minorEastAsia" w:eastAsiaTheme="minorEastAsia"/>
          <w:color w:val="000000" w:themeColor="text1"/>
          <w:lang w:val="zh-CN"/>
          <w14:textFill>
            <w14:solidFill>
              <w14:schemeClr w14:val="tx1"/>
            </w14:solidFill>
          </w14:textFill>
        </w:rPr>
        <w:t>有权立即取消我单位投标、中标或在建项目的建设资格，有权拒绝我单位在一定时期内进入你</w:t>
      </w:r>
      <w:r>
        <w:rPr>
          <w:rFonts w:hint="eastAsia" w:cs="仿宋_GB2312" w:asciiTheme="minorEastAsia" w:hAnsiTheme="minorEastAsia" w:eastAsiaTheme="minorEastAsia"/>
          <w:color w:val="000000" w:themeColor="text1"/>
          <w14:textFill>
            <w14:solidFill>
              <w14:schemeClr w14:val="tx1"/>
            </w14:solidFill>
          </w14:textFill>
        </w:rPr>
        <w:t>单位</w:t>
      </w:r>
      <w:r>
        <w:rPr>
          <w:rFonts w:hint="eastAsia" w:cs="仿宋_GB2312" w:asciiTheme="minorEastAsia" w:hAnsiTheme="minorEastAsia" w:eastAsiaTheme="minorEastAsia"/>
          <w:color w:val="000000" w:themeColor="text1"/>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autoSpaceDE w:val="0"/>
        <w:autoSpaceDN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autoSpaceDE w:val="0"/>
        <w:autoSpaceDN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ind w:firstLine="480" w:firstLineChars="200"/>
        <w:rPr>
          <w:rFonts w:cs="仿宋_GB2312" w:asciiTheme="minorEastAsia" w:hAnsiTheme="minorEastAsia" w:eastAsiaTheme="minorEastAsia"/>
          <w:color w:val="000000" w:themeColor="text1"/>
          <w:szCs w:val="20"/>
          <w14:textFill>
            <w14:solidFill>
              <w14:schemeClr w14:val="tx1"/>
            </w14:solidFill>
          </w14:textFill>
        </w:rPr>
      </w:pPr>
    </w:p>
    <w:p>
      <w:pPr>
        <w:spacing w:line="360" w:lineRule="exact"/>
        <w:ind w:firstLine="3600" w:firstLineChars="15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ind w:firstLine="3600" w:firstLineChars="15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ind w:firstLine="3600" w:firstLineChars="1500"/>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pageBreakBefore/>
        <w:spacing w:line="360" w:lineRule="auto"/>
        <w:outlineLvl w:val="2"/>
        <w:rPr>
          <w:rFonts w:cs="仿宋_GB2312" w:asciiTheme="minorEastAsia" w:hAnsiTheme="minorEastAsia" w:eastAsiaTheme="minorEastAsia"/>
          <w:b/>
          <w:bCs/>
          <w:color w:val="000000" w:themeColor="text1"/>
          <w:sz w:val="30"/>
          <w:szCs w:val="30"/>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11、技术解决方案</w:t>
      </w:r>
    </w:p>
    <w:p>
      <w:pPr>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（由投标人根据采购需求及招标文件要求编制）</w:t>
      </w:r>
    </w:p>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p>
      <w:pPr>
        <w:snapToGrid w:val="0"/>
        <w:spacing w:line="360" w:lineRule="auto"/>
        <w:jc w:val="center"/>
        <w:rPr>
          <w:rFonts w:cs="仿宋_GB2312"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sz w:val="32"/>
          <w:szCs w:val="32"/>
          <w14:textFill>
            <w14:solidFill>
              <w14:schemeClr w14:val="tx1"/>
            </w14:solidFill>
          </w14:textFill>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序号</w:t>
            </w:r>
          </w:p>
        </w:tc>
        <w:tc>
          <w:tcPr>
            <w:tcW w:w="15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设备名称</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投标品牌及型号</w:t>
            </w:r>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规格配置详细说明</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数量</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w:t>
            </w:r>
          </w:p>
        </w:tc>
        <w:tc>
          <w:tcPr>
            <w:tcW w:w="15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w:t>
            </w:r>
          </w:p>
        </w:tc>
        <w:tc>
          <w:tcPr>
            <w:tcW w:w="15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3</w:t>
            </w:r>
          </w:p>
        </w:tc>
        <w:tc>
          <w:tcPr>
            <w:tcW w:w="15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4</w:t>
            </w:r>
          </w:p>
        </w:tc>
        <w:tc>
          <w:tcPr>
            <w:tcW w:w="15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5</w:t>
            </w:r>
          </w:p>
        </w:tc>
        <w:tc>
          <w:tcPr>
            <w:tcW w:w="15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r>
    </w:tbl>
    <w:p>
      <w:pPr>
        <w:autoSpaceDE w:val="0"/>
        <w:autoSpaceDN w:val="0"/>
        <w:spacing w:line="360" w:lineRule="auto"/>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注：1.如果本项目涉及硬件设备采购，须在技术文件中提供此配置清单，提供主要投标产品的技术参数证明材料（如官网截图、产品彩页、原厂技术说明等）。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Theme="minorEastAsia" w:hAnsiTheme="minorEastAsia" w:eastAsiaTheme="minorEastAsia"/>
          <w:b/>
          <w:color w:val="000000" w:themeColor="text1"/>
          <w:spacing w:val="6"/>
          <w14:textFill>
            <w14:solidFill>
              <w14:schemeClr w14:val="tx1"/>
            </w14:solidFill>
          </w14:textFill>
        </w:rPr>
      </w:pPr>
      <w:r>
        <w:rPr>
          <w:rFonts w:hint="eastAsia" w:asciiTheme="minorEastAsia" w:hAnsiTheme="minorEastAsia" w:eastAsiaTheme="minorEastAsia"/>
          <w:b/>
          <w:color w:val="000000" w:themeColor="text1"/>
          <w:spacing w:val="6"/>
          <w14:textFill>
            <w14:solidFill>
              <w14:schemeClr w14:val="tx1"/>
            </w14:solidFill>
          </w14:textFill>
        </w:rPr>
        <w:t>2.</w:t>
      </w:r>
      <w:r>
        <w:rPr>
          <w:rFonts w:hint="eastAsia" w:cs="仿宋_GB2312" w:asciiTheme="minorEastAsia" w:hAnsiTheme="minorEastAsia" w:eastAsiaTheme="minorEastAsia"/>
          <w:b/>
          <w:color w:val="000000" w:themeColor="text1"/>
          <w14:textFill>
            <w14:solidFill>
              <w14:schemeClr w14:val="tx1"/>
            </w14:solidFill>
          </w14:textFill>
        </w:rPr>
        <w:t>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rPr>
          <w:rFonts w:cs="仿宋_GB2312" w:asciiTheme="minorEastAsia" w:hAnsiTheme="minorEastAsia" w:eastAsiaTheme="minorEastAsia"/>
          <w:b/>
          <w:color w:val="000000" w:themeColor="text1"/>
          <w:sz w:val="28"/>
          <w:szCs w:val="28"/>
          <w14:textFill>
            <w14:solidFill>
              <w14:schemeClr w14:val="tx1"/>
            </w14:solidFill>
          </w14:textFill>
        </w:rPr>
      </w:pPr>
      <w:r>
        <w:rPr>
          <w:rFonts w:hint="eastAsia" w:cs="仿宋_GB2312" w:asciiTheme="minorEastAsia" w:hAnsiTheme="minorEastAsia" w:eastAsiaTheme="minorEastAsia"/>
          <w:b/>
          <w:color w:val="000000" w:themeColor="text1"/>
          <w:sz w:val="28"/>
          <w:szCs w:val="28"/>
          <w14:textFill>
            <w14:solidFill>
              <w14:schemeClr w14:val="tx1"/>
            </w14:solidFill>
          </w14:textFill>
        </w:rPr>
        <w:t>附：</w:t>
      </w:r>
      <w:r>
        <w:rPr>
          <w:rFonts w:hint="eastAsia" w:cs="仿宋_GB2312" w:asciiTheme="minorEastAsia" w:hAnsiTheme="minorEastAsia" w:eastAsiaTheme="minorEastAsia"/>
          <w:b/>
          <w:color w:val="000000" w:themeColor="text1"/>
          <w:sz w:val="28"/>
          <w:szCs w:val="28"/>
          <w14:textFill>
            <w14:solidFill>
              <w14:schemeClr w14:val="tx1"/>
            </w14:solidFill>
          </w14:textFill>
        </w:rPr>
        <w:object>
          <v:shape id="_x0000_i1025" o:spt="75" type="#_x0000_t75" style="height:44.5pt;width:445.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hint="eastAsia" w:cs="仿宋_GB2312" w:asciiTheme="minorEastAsia" w:hAnsiTheme="minorEastAsia" w:eastAsiaTheme="minorEastAsia"/>
          <w:b/>
          <w:color w:val="000000" w:themeColor="text1"/>
          <w:sz w:val="28"/>
          <w:szCs w:val="28"/>
          <w14:textFill>
            <w14:solidFill>
              <w14:schemeClr w14:val="tx1"/>
            </w14:solidFill>
          </w14:textFill>
        </w:rPr>
        <w:object>
          <v:shape id="_x0000_i1026" o:spt="75" type="#_x0000_t75" style="height:44.5pt;width:437.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pPr>
        <w:spacing w:line="360" w:lineRule="auto"/>
        <w:ind w:firstLine="480" w:firstLineChars="200"/>
        <w:rPr>
          <w:rFonts w:cs="仿宋_GB2312" w:asciiTheme="minorEastAsia" w:hAnsiTheme="minorEastAsia" w:eastAsiaTheme="minorEastAsia"/>
          <w:color w:val="000000" w:themeColor="text1"/>
          <w:szCs w:val="20"/>
          <w14:textFill>
            <w14:solidFill>
              <w14:schemeClr w14:val="tx1"/>
            </w14:solidFill>
          </w14:textFill>
        </w:rPr>
      </w:pPr>
    </w:p>
    <w:p>
      <w:pPr>
        <w:pStyle w:val="15"/>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pageBreakBefore/>
        <w:spacing w:line="360" w:lineRule="auto"/>
        <w:outlineLvl w:val="2"/>
        <w:rPr>
          <w:rFonts w:cs="仿宋_GB2312" w:asciiTheme="minorEastAsia" w:hAnsiTheme="minorEastAsia" w:eastAsiaTheme="minorEastAsia"/>
          <w:b/>
          <w:bCs/>
          <w:color w:val="000000" w:themeColor="text1"/>
          <w:sz w:val="30"/>
          <w:szCs w:val="30"/>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12、技术偏离说明表</w:t>
      </w:r>
    </w:p>
    <w:p>
      <w:pPr>
        <w:spacing w:line="360" w:lineRule="auto"/>
        <w:rPr>
          <w:rFonts w:cs="仿宋_GB2312" w:asciiTheme="minorEastAsia" w:hAnsiTheme="minorEastAsia" w:eastAsiaTheme="minorEastAsia"/>
          <w:b/>
          <w:bCs/>
          <w:color w:val="000000" w:themeColor="text1"/>
          <w:sz w:val="32"/>
          <w:szCs w:val="32"/>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（由投标人根据采购需求及招标文件要求编制）</w:t>
      </w:r>
    </w:p>
    <w:tbl>
      <w:tblPr>
        <w:tblStyle w:val="43"/>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4"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招标文件技术要求</w:t>
            </w:r>
          </w:p>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Theme="minorEastAsia" w:hAnsiTheme="minorEastAsia" w:eastAsiaTheme="minorEastAsia"/>
                <w:color w:val="000000" w:themeColor="text1"/>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Theme="minorEastAsia" w:hAnsiTheme="minorEastAsia" w:eastAsiaTheme="minorEastAsia"/>
                <w:color w:val="000000" w:themeColor="text1"/>
                <w14:textFill>
                  <w14:solidFill>
                    <w14:schemeClr w14:val="tx1"/>
                  </w14:solidFill>
                </w14:textFill>
              </w:rPr>
            </w:pPr>
          </w:p>
        </w:tc>
      </w:tr>
    </w:tbl>
    <w:p>
      <w:pPr>
        <w:tabs>
          <w:tab w:val="left" w:pos="570"/>
        </w:tabs>
        <w:spacing w:line="440" w:lineRule="exact"/>
        <w:ind w:firstLine="120" w:firstLineChars="5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注：1.此表须与招标文件“招标项目说明及要求”相应标项内的所有技术规格相比较且一一对应真实逐条填列。</w:t>
      </w:r>
    </w:p>
    <w:p>
      <w:pPr>
        <w:tabs>
          <w:tab w:val="left" w:pos="570"/>
        </w:tabs>
        <w:spacing w:line="44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2、投标人递交的技术规格书中必须真实逐条列明，否则由投标人自行承担相关风险。</w:t>
      </w:r>
    </w:p>
    <w:p>
      <w:pPr>
        <w:autoSpaceDE w:val="0"/>
        <w:autoSpaceDN w:val="0"/>
        <w:spacing w:line="360" w:lineRule="auto"/>
        <w:ind w:firstLine="5040" w:firstLineChars="2100"/>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ind w:firstLine="480" w:firstLineChars="200"/>
        <w:rPr>
          <w:rFonts w:cs="仿宋_GB2312" w:asciiTheme="minorEastAsia" w:hAnsiTheme="minorEastAsia" w:eastAsiaTheme="minorEastAsia"/>
          <w:color w:val="000000" w:themeColor="text1"/>
          <w:szCs w:val="20"/>
          <w14:textFill>
            <w14:solidFill>
              <w14:schemeClr w14:val="tx1"/>
            </w14:solidFill>
          </w14:textFill>
        </w:rPr>
      </w:pPr>
    </w:p>
    <w:p>
      <w:pPr>
        <w:pStyle w:val="15"/>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rPr>
          <w:rFonts w:cs="仿宋_GB2312" w:asciiTheme="minorEastAsia" w:hAnsiTheme="minorEastAsia" w:eastAsiaTheme="minorEastAsia"/>
          <w:b/>
          <w:bCs/>
          <w:color w:val="000000" w:themeColor="text1"/>
          <w:sz w:val="36"/>
          <w:szCs w:val="36"/>
          <w:lang w:val="zh-CN"/>
          <w14:textFill>
            <w14:solidFill>
              <w14:schemeClr w14:val="tx1"/>
            </w14:solidFill>
          </w14:textFill>
        </w:rPr>
      </w:pPr>
      <w:r>
        <w:rPr>
          <w:rFonts w:cs="仿宋_GB2312" w:asciiTheme="minorEastAsia" w:hAnsiTheme="minorEastAsia" w:eastAsiaTheme="minorEastAsia"/>
          <w:b/>
          <w:bCs/>
          <w:color w:val="000000" w:themeColor="text1"/>
          <w:sz w:val="36"/>
          <w:szCs w:val="36"/>
          <w:lang w:val="zh-CN"/>
          <w14:textFill>
            <w14:solidFill>
              <w14:schemeClr w14:val="tx1"/>
            </w14:solidFill>
          </w14:textFill>
        </w:rPr>
        <w:br w:type="page"/>
      </w:r>
    </w:p>
    <w:p>
      <w:pPr>
        <w:spacing w:line="360" w:lineRule="auto"/>
        <w:outlineLvl w:val="2"/>
        <w:rPr>
          <w:rFonts w:cs="仿宋_GB2312" w:asciiTheme="minorEastAsia" w:hAnsiTheme="minorEastAsia" w:eastAsiaTheme="minorEastAsia"/>
          <w:b/>
          <w:bCs/>
          <w:color w:val="000000" w:themeColor="text1"/>
          <w:sz w:val="30"/>
          <w:szCs w:val="30"/>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13、组织实施方案</w:t>
      </w:r>
    </w:p>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（由投标人根据采购需求及招标文件要求编制）</w:t>
      </w:r>
    </w:p>
    <w:p>
      <w:pPr>
        <w:tabs>
          <w:tab w:val="left" w:pos="2790"/>
          <w:tab w:val="left" w:pos="4230"/>
        </w:tabs>
        <w:autoSpaceDE w:val="0"/>
        <w:autoSpaceDN w:val="0"/>
        <w:spacing w:line="360" w:lineRule="auto"/>
        <w:rPr>
          <w:rFonts w:cs="仿宋_GB2312" w:asciiTheme="minorEastAsia" w:hAnsiTheme="minorEastAsia" w:eastAsiaTheme="minorEastAsia"/>
          <w:b/>
          <w:bCs/>
          <w:color w:val="000000" w:themeColor="text1"/>
          <w:lang w:val="zh-CN"/>
          <w14:textFill>
            <w14:solidFill>
              <w14:schemeClr w14:val="tx1"/>
            </w14:solidFill>
          </w14:textFill>
        </w:rPr>
      </w:pPr>
      <w:r>
        <w:rPr>
          <w:rFonts w:hint="eastAsia" w:cs="仿宋_GB2312" w:asciiTheme="minorEastAsia" w:hAnsiTheme="minorEastAsia" w:eastAsiaTheme="minorEastAsia"/>
          <w:b/>
          <w:bCs/>
          <w:color w:val="000000" w:themeColor="text1"/>
          <w:lang w:val="zh-CN"/>
          <w14:textFill>
            <w14:solidFill>
              <w14:schemeClr w14:val="tx1"/>
            </w14:solidFill>
          </w14:textFill>
        </w:rPr>
        <w:t>附表:项目实施进度计划表</w:t>
      </w:r>
      <w:r>
        <w:rPr>
          <w:rFonts w:hint="eastAsia" w:cs="仿宋_GB2312" w:asciiTheme="minorEastAsia" w:hAnsiTheme="minorEastAsia" w:eastAsiaTheme="minorEastAsia"/>
          <w:b/>
          <w:color w:val="000000" w:themeColor="text1"/>
          <w14:textFill>
            <w14:solidFill>
              <w14:schemeClr w14:val="tx1"/>
            </w14:solidFill>
          </w14:textFill>
        </w:rPr>
        <w:t>(以生效日算起)</w:t>
      </w:r>
    </w:p>
    <w:tbl>
      <w:tblPr>
        <w:tblStyle w:val="43"/>
        <w:tblW w:w="10032"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553"/>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9" w:type="dxa"/>
            <w:tcBorders>
              <w:top w:val="single" w:color="auto" w:sz="4" w:space="0"/>
              <w:left w:val="single" w:color="auto" w:sz="4" w:space="0"/>
              <w:bottom w:val="single" w:color="auto" w:sz="4" w:space="0"/>
              <w:right w:val="single" w:color="auto" w:sz="4" w:space="0"/>
              <w:tl2br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 xml:space="preserve">  工作日</w:t>
            </w:r>
          </w:p>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内容</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Borders>
              <w:top w:val="single" w:color="auto" w:sz="4" w:space="0"/>
              <w:left w:val="single" w:color="auto" w:sz="4" w:space="0"/>
              <w:bottom w:val="single" w:color="auto" w:sz="4" w:space="0"/>
              <w:right w:val="single" w:color="auto" w:sz="4" w:space="0"/>
            </w:tcBorders>
            <w:vAlign w:val="center"/>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Borders>
              <w:top w:val="single" w:color="auto" w:sz="4" w:space="0"/>
              <w:left w:val="single" w:color="auto" w:sz="4" w:space="0"/>
              <w:bottom w:val="single" w:color="auto" w:sz="4" w:space="0"/>
              <w:right w:val="single" w:color="auto" w:sz="4" w:space="0"/>
            </w:tcBorders>
            <w:vAlign w:val="center"/>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Borders>
              <w:top w:val="single" w:color="auto" w:sz="4" w:space="0"/>
              <w:left w:val="single" w:color="auto" w:sz="4" w:space="0"/>
              <w:bottom w:val="single" w:color="auto" w:sz="4" w:space="0"/>
              <w:right w:val="single" w:color="auto" w:sz="4" w:space="0"/>
            </w:tcBorders>
            <w:vAlign w:val="center"/>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pPr>
              <w:spacing w:line="360" w:lineRule="auto"/>
              <w:rPr>
                <w:rFonts w:cs="仿宋_GB2312" w:asciiTheme="minorEastAsia" w:hAnsiTheme="minorEastAsia" w:eastAsiaTheme="minorEastAsia"/>
                <w:color w:val="000000" w:themeColor="text1"/>
                <w14:textFill>
                  <w14:solidFill>
                    <w14:schemeClr w14:val="tx1"/>
                  </w14:solidFill>
                </w14:textFill>
              </w:rPr>
            </w:pPr>
          </w:p>
        </w:tc>
      </w:tr>
    </w:tbl>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注：投标人可按上述时间表的格式自行编制切合实际的具体时间表。</w:t>
      </w:r>
    </w:p>
    <w:p>
      <w:pPr>
        <w:spacing w:line="360" w:lineRule="exact"/>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exact"/>
        <w:rPr>
          <w:rFonts w:cs="仿宋_GB2312"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pageBreakBefore/>
        <w:spacing w:line="360" w:lineRule="auto"/>
        <w:outlineLvl w:val="2"/>
        <w:rPr>
          <w:rFonts w:cs="仿宋_GB2312" w:asciiTheme="minorEastAsia" w:hAnsiTheme="minorEastAsia" w:eastAsiaTheme="minorEastAsia"/>
          <w:b/>
          <w:bCs/>
          <w:color w:val="000000" w:themeColor="text1"/>
          <w:sz w:val="30"/>
          <w:szCs w:val="30"/>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14、售后服务方案</w:t>
      </w:r>
    </w:p>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（由投标人根据采购需求及招标文件要求编制）</w:t>
      </w:r>
    </w:p>
    <w:p>
      <w:pPr>
        <w:autoSpaceDE w:val="0"/>
        <w:autoSpaceDN w:val="0"/>
        <w:spacing w:line="360" w:lineRule="auto"/>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附表A:售后服务机构情况表</w:t>
      </w:r>
      <w:r>
        <w:rPr>
          <w:rFonts w:hint="eastAsia" w:cs="仿宋_GB2312" w:asciiTheme="minorEastAsia" w:hAnsiTheme="minorEastAsia" w:eastAsiaTheme="minorEastAsia"/>
          <w:color w:val="000000" w:themeColor="text1"/>
          <w14:textFill>
            <w14:solidFill>
              <w14:schemeClr w14:val="tx1"/>
            </w14:solidFill>
          </w14:textFill>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序号</w:t>
            </w:r>
          </w:p>
        </w:tc>
        <w:tc>
          <w:tcPr>
            <w:tcW w:w="21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机构名称</w:t>
            </w: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注册地址</w:t>
            </w:r>
          </w:p>
        </w:tc>
        <w:tc>
          <w:tcPr>
            <w:tcW w:w="217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服务技术人员数量</w:t>
            </w: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7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7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217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r>
    </w:tbl>
    <w:p>
      <w:pPr>
        <w:autoSpaceDE w:val="0"/>
        <w:autoSpaceDN w:val="0"/>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注：关于项目涉及的所有售后服务机构均在本表注明，包括投标人本单位和符合条件的第三方服务机构；</w:t>
      </w:r>
    </w:p>
    <w:p>
      <w:pPr>
        <w:autoSpaceDE w:val="0"/>
        <w:autoSpaceDN w:val="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附表B：售后服务人员情况表</w:t>
      </w:r>
      <w:r>
        <w:rPr>
          <w:rFonts w:hint="eastAsia" w:cs="仿宋_GB2312" w:asciiTheme="minorEastAsia" w:hAnsiTheme="minorEastAsia" w:eastAsiaTheme="minorEastAsia"/>
          <w:color w:val="000000" w:themeColor="text1"/>
          <w14:textFill>
            <w14:solidFill>
              <w14:schemeClr w14:val="tx1"/>
            </w14:solidFill>
          </w14:textFill>
        </w:rPr>
        <w:t>（按此格式自制）</w:t>
      </w:r>
    </w:p>
    <w:tbl>
      <w:tblPr>
        <w:tblStyle w:val="43"/>
        <w:tblW w:w="9504" w:type="dxa"/>
        <w:jc w:val="center"/>
        <w:tblLayout w:type="fixed"/>
        <w:tblCellMar>
          <w:top w:w="0" w:type="dxa"/>
          <w:left w:w="108" w:type="dxa"/>
          <w:bottom w:w="0" w:type="dxa"/>
          <w:right w:w="108" w:type="dxa"/>
        </w:tblCellMar>
      </w:tblPr>
      <w:tblGrid>
        <w:gridCol w:w="361"/>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1"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1"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1"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仿宋_GB2312" w:asciiTheme="minorEastAsia" w:hAnsiTheme="minorEastAsia" w:eastAsiaTheme="minorEastAsia"/>
                <w:color w:val="000000" w:themeColor="text1"/>
                <w14:textFill>
                  <w14:solidFill>
                    <w14:schemeClr w14:val="tx1"/>
                  </w14:solidFill>
                </w14:textFill>
              </w:rPr>
            </w:pPr>
          </w:p>
        </w:tc>
      </w:tr>
    </w:tbl>
    <w:p>
      <w:pPr>
        <w:spacing w:line="360" w:lineRule="auto"/>
        <w:ind w:firstLine="480" w:firstLineChars="200"/>
        <w:rPr>
          <w:rFonts w:cs="仿宋_GB2312" w:asciiTheme="minorEastAsia" w:hAnsiTheme="minorEastAsia" w:eastAsiaTheme="minorEastAsia"/>
          <w:color w:val="000000" w:themeColor="text1"/>
          <w:szCs w:val="20"/>
          <w14:textFill>
            <w14:solidFill>
              <w14:schemeClr w14:val="tx1"/>
            </w14:solidFill>
          </w14:textFill>
        </w:rPr>
      </w:pPr>
    </w:p>
    <w:p>
      <w:pPr>
        <w:pStyle w:val="15"/>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r>
        <w:rPr>
          <w:rFonts w:asciiTheme="minorEastAsia" w:hAnsiTheme="minorEastAsia" w:eastAsiaTheme="minorEastAsia"/>
          <w:color w:val="000000" w:themeColor="text1"/>
          <w14:textFill>
            <w14:solidFill>
              <w14:schemeClr w14:val="tx1"/>
            </w14:solidFill>
          </w14:textFill>
        </w:rPr>
        <w:t xml:space="preserve"> </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rPr>
          <w:rFonts w:cs="仿宋_GB2312" w:asciiTheme="minorEastAsia" w:hAnsiTheme="minorEastAsia" w:eastAsiaTheme="minorEastAsia"/>
          <w:b/>
          <w:bCs/>
          <w:color w:val="000000" w:themeColor="text1"/>
          <w:sz w:val="32"/>
          <w:szCs w:val="32"/>
          <w14:textFill>
            <w14:solidFill>
              <w14:schemeClr w14:val="tx1"/>
            </w14:solidFill>
          </w14:textFill>
        </w:rPr>
      </w:pPr>
      <w:r>
        <w:rPr>
          <w:rFonts w:cs="仿宋_GB2312" w:asciiTheme="minorEastAsia" w:hAnsiTheme="minorEastAsia" w:eastAsiaTheme="minorEastAsia"/>
          <w:b/>
          <w:bCs/>
          <w:color w:val="000000" w:themeColor="text1"/>
          <w:sz w:val="32"/>
          <w:szCs w:val="32"/>
          <w14:textFill>
            <w14:solidFill>
              <w14:schemeClr w14:val="tx1"/>
            </w14:solidFill>
          </w14:textFill>
        </w:rPr>
        <w:br w:type="page"/>
      </w:r>
    </w:p>
    <w:p>
      <w:pPr>
        <w:snapToGrid w:val="0"/>
        <w:spacing w:line="360" w:lineRule="auto"/>
        <w:outlineLvl w:val="2"/>
        <w:rPr>
          <w:rFonts w:cs="仿宋_GB2312" w:asciiTheme="minorEastAsia" w:hAnsiTheme="minorEastAsia" w:eastAsiaTheme="minorEastAsia"/>
          <w:b/>
          <w:bCs/>
          <w:color w:val="000000" w:themeColor="text1"/>
          <w:sz w:val="30"/>
          <w:szCs w:val="30"/>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15、项目小组人员名单</w:t>
      </w:r>
    </w:p>
    <w:p>
      <w:pPr>
        <w:spacing w:line="360" w:lineRule="auto"/>
        <w:rPr>
          <w:rFonts w:cs="仿宋_GB2312" w:asciiTheme="minorEastAsia" w:hAnsiTheme="minorEastAsia" w:eastAsiaTheme="minorEastAsia"/>
          <w:b/>
          <w:bCs/>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（由投标人根据采购需求及招标文件要求编制）</w:t>
      </w:r>
    </w:p>
    <w:p>
      <w:pPr>
        <w:keepNext/>
        <w:autoSpaceDE w:val="0"/>
        <w:autoSpaceDN w:val="0"/>
        <w:spacing w:line="360" w:lineRule="auto"/>
        <w:ind w:firstLine="477"/>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附表A:本项目的项目经理情况表</w:t>
      </w:r>
    </w:p>
    <w:tbl>
      <w:tblPr>
        <w:tblStyle w:val="43"/>
        <w:tblW w:w="8760" w:type="dxa"/>
        <w:tblInd w:w="0" w:type="dxa"/>
        <w:tblLayout w:type="fixed"/>
        <w:tblCellMar>
          <w:top w:w="0" w:type="dxa"/>
          <w:left w:w="108" w:type="dxa"/>
          <w:bottom w:w="0" w:type="dxa"/>
          <w:right w:w="108" w:type="dxa"/>
        </w:tblCellMar>
      </w:tblPr>
      <w:tblGrid>
        <w:gridCol w:w="2062"/>
        <w:gridCol w:w="1288"/>
        <w:gridCol w:w="1261"/>
        <w:gridCol w:w="4149"/>
      </w:tblGrid>
      <w:tr>
        <w:tblPrEx>
          <w:tblCellMar>
            <w:top w:w="0" w:type="dxa"/>
            <w:left w:w="108" w:type="dxa"/>
            <w:bottom w:w="0" w:type="dxa"/>
            <w:right w:w="108" w:type="dxa"/>
          </w:tblCellMar>
        </w:tblPrEx>
        <w:trPr>
          <w:trHeight w:val="604"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姓名</w:t>
            </w:r>
          </w:p>
        </w:tc>
        <w:tc>
          <w:tcPr>
            <w:tcW w:w="1288"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页码</w:t>
            </w:r>
          </w:p>
        </w:tc>
        <w:tc>
          <w:tcPr>
            <w:tcW w:w="41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性别</w:t>
            </w:r>
          </w:p>
        </w:tc>
        <w:tc>
          <w:tcPr>
            <w:tcW w:w="1288"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4149"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年龄</w:t>
            </w:r>
          </w:p>
        </w:tc>
        <w:tc>
          <w:tcPr>
            <w:tcW w:w="1288"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4149" w:type="dxa"/>
            <w:vMerge w:val="continue"/>
            <w:tcBorders>
              <w:top w:val="single" w:color="auto" w:sz="6" w:space="0"/>
              <w:left w:val="single" w:color="auto" w:sz="6" w:space="0"/>
              <w:bottom w:val="single" w:color="auto" w:sz="6" w:space="0"/>
              <w:right w:val="single" w:color="auto" w:sz="6"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职称</w:t>
            </w:r>
          </w:p>
        </w:tc>
        <w:tc>
          <w:tcPr>
            <w:tcW w:w="1288"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4149" w:type="dxa"/>
            <w:vMerge w:val="continue"/>
            <w:tcBorders>
              <w:top w:val="single" w:color="auto" w:sz="6" w:space="0"/>
              <w:left w:val="single" w:color="auto" w:sz="6" w:space="0"/>
              <w:bottom w:val="single" w:color="auto" w:sz="6" w:space="0"/>
              <w:right w:val="single" w:color="auto" w:sz="6"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毕业时间</w:t>
            </w:r>
          </w:p>
        </w:tc>
        <w:tc>
          <w:tcPr>
            <w:tcW w:w="1288"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4149" w:type="dxa"/>
            <w:vMerge w:val="continue"/>
            <w:tcBorders>
              <w:top w:val="single" w:color="auto" w:sz="6" w:space="0"/>
              <w:left w:val="single" w:color="auto" w:sz="6" w:space="0"/>
              <w:bottom w:val="single" w:color="auto" w:sz="6" w:space="0"/>
              <w:right w:val="single" w:color="auto" w:sz="6"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所学专业</w:t>
            </w:r>
          </w:p>
        </w:tc>
        <w:tc>
          <w:tcPr>
            <w:tcW w:w="1288"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4149" w:type="dxa"/>
            <w:vMerge w:val="continue"/>
            <w:tcBorders>
              <w:top w:val="single" w:color="auto" w:sz="6" w:space="0"/>
              <w:left w:val="single" w:color="auto" w:sz="6" w:space="0"/>
              <w:bottom w:val="single" w:color="auto" w:sz="6" w:space="0"/>
              <w:right w:val="single" w:color="auto" w:sz="6"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学历</w:t>
            </w:r>
          </w:p>
        </w:tc>
        <w:tc>
          <w:tcPr>
            <w:tcW w:w="1288"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4149" w:type="dxa"/>
            <w:vMerge w:val="continue"/>
            <w:tcBorders>
              <w:top w:val="single" w:color="auto" w:sz="6" w:space="0"/>
              <w:left w:val="single" w:color="auto" w:sz="6" w:space="0"/>
              <w:bottom w:val="single" w:color="auto" w:sz="6" w:space="0"/>
              <w:right w:val="single" w:color="auto" w:sz="6"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资质证书编号</w:t>
            </w:r>
          </w:p>
        </w:tc>
        <w:tc>
          <w:tcPr>
            <w:tcW w:w="1288"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4149" w:type="dxa"/>
            <w:vMerge w:val="continue"/>
            <w:tcBorders>
              <w:top w:val="single" w:color="auto" w:sz="6" w:space="0"/>
              <w:left w:val="single" w:color="auto" w:sz="6" w:space="0"/>
              <w:bottom w:val="single" w:color="auto" w:sz="6" w:space="0"/>
              <w:right w:val="single" w:color="auto" w:sz="6"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其他资质情况</w:t>
            </w:r>
          </w:p>
        </w:tc>
        <w:tc>
          <w:tcPr>
            <w:tcW w:w="1288"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4149" w:type="dxa"/>
            <w:vMerge w:val="continue"/>
            <w:tcBorders>
              <w:top w:val="single" w:color="auto" w:sz="6" w:space="0"/>
              <w:left w:val="single" w:color="auto" w:sz="6" w:space="0"/>
              <w:bottom w:val="single" w:color="auto" w:sz="6" w:space="0"/>
              <w:right w:val="single" w:color="auto" w:sz="6"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联系电话</w:t>
            </w:r>
          </w:p>
        </w:tc>
        <w:tc>
          <w:tcPr>
            <w:tcW w:w="1288"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4149" w:type="dxa"/>
            <w:vMerge w:val="continue"/>
            <w:tcBorders>
              <w:top w:val="single" w:color="auto" w:sz="6" w:space="0"/>
              <w:left w:val="single" w:color="auto" w:sz="6" w:space="0"/>
              <w:bottom w:val="single" w:color="auto" w:sz="6" w:space="0"/>
              <w:right w:val="single" w:color="auto" w:sz="6" w:space="0"/>
            </w:tcBorders>
            <w:vAlign w:val="center"/>
          </w:tcPr>
          <w:p>
            <w:pPr>
              <w:rPr>
                <w:rFonts w:cs="仿宋_GB2312" w:asciiTheme="minorEastAsia" w:hAnsiTheme="minorEastAsia" w:eastAsiaTheme="minorEastAsia"/>
                <w:color w:val="000000" w:themeColor="text1"/>
                <w14:textFill>
                  <w14:solidFill>
                    <w14:schemeClr w14:val="tx1"/>
                  </w14:solidFill>
                </w14:textFill>
              </w:rPr>
            </w:pPr>
          </w:p>
        </w:tc>
      </w:tr>
    </w:tbl>
    <w:p>
      <w:pPr>
        <w:autoSpaceDE w:val="0"/>
        <w:autoSpaceDN w:val="0"/>
        <w:spacing w:line="360" w:lineRule="auto"/>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注：须随表提交相应的证书复印件并注明所在投标技术文件页码。</w:t>
      </w:r>
    </w:p>
    <w:p>
      <w:pPr>
        <w:autoSpaceDE w:val="0"/>
        <w:autoSpaceDN w:val="0"/>
        <w:spacing w:line="360" w:lineRule="auto"/>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附表B:本项目的项目小组人员情况表</w:t>
      </w:r>
      <w:r>
        <w:rPr>
          <w:rFonts w:hint="eastAsia" w:cs="仿宋_GB2312" w:asciiTheme="minorEastAsia" w:hAnsiTheme="minorEastAsia" w:eastAsiaTheme="minorEastAsia"/>
          <w:color w:val="000000" w:themeColor="text1"/>
          <w14:textFill>
            <w14:solidFill>
              <w14:schemeClr w14:val="tx1"/>
            </w14:solidFill>
          </w14:textFill>
        </w:rPr>
        <w:t>（按此格式自制）</w:t>
      </w:r>
    </w:p>
    <w:tbl>
      <w:tblPr>
        <w:tblStyle w:val="43"/>
        <w:tblW w:w="9036" w:type="dxa"/>
        <w:tblInd w:w="108" w:type="dxa"/>
        <w:tblLayout w:type="fixed"/>
        <w:tblCellMar>
          <w:top w:w="0" w:type="dxa"/>
          <w:left w:w="108" w:type="dxa"/>
          <w:bottom w:w="0" w:type="dxa"/>
          <w:right w:w="108" w:type="dxa"/>
        </w:tblCellMar>
      </w:tblPr>
      <w:tblGrid>
        <w:gridCol w:w="419"/>
        <w:gridCol w:w="788"/>
        <w:gridCol w:w="412"/>
        <w:gridCol w:w="586"/>
        <w:gridCol w:w="1036"/>
        <w:gridCol w:w="1081"/>
        <w:gridCol w:w="1081"/>
        <w:gridCol w:w="1261"/>
        <w:gridCol w:w="901"/>
        <w:gridCol w:w="1471"/>
      </w:tblGrid>
      <w:tr>
        <w:tblPrEx>
          <w:tblCellMar>
            <w:top w:w="0" w:type="dxa"/>
            <w:left w:w="108" w:type="dxa"/>
            <w:bottom w:w="0" w:type="dxa"/>
            <w:right w:w="108" w:type="dxa"/>
          </w:tblCellMar>
        </w:tblPrEx>
        <w:tc>
          <w:tcPr>
            <w:tcW w:w="41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序号</w:t>
            </w:r>
          </w:p>
        </w:tc>
        <w:tc>
          <w:tcPr>
            <w:tcW w:w="78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年龄</w:t>
            </w:r>
          </w:p>
        </w:tc>
        <w:tc>
          <w:tcPr>
            <w:tcW w:w="103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学历</w:t>
            </w:r>
          </w:p>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(页码)</w:t>
            </w:r>
          </w:p>
        </w:tc>
        <w:tc>
          <w:tcPr>
            <w:tcW w:w="108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专业</w:t>
            </w:r>
          </w:p>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(页码)</w:t>
            </w:r>
          </w:p>
        </w:tc>
        <w:tc>
          <w:tcPr>
            <w:tcW w:w="108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职称</w:t>
            </w:r>
          </w:p>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(页码)</w:t>
            </w:r>
          </w:p>
        </w:tc>
        <w:tc>
          <w:tcPr>
            <w:tcW w:w="12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本项目中的职责</w:t>
            </w:r>
          </w:p>
        </w:tc>
        <w:tc>
          <w:tcPr>
            <w:tcW w:w="9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项目经历</w:t>
            </w:r>
          </w:p>
        </w:tc>
        <w:tc>
          <w:tcPr>
            <w:tcW w:w="147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78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03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08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08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0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47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p>
        </w:tc>
        <w:tc>
          <w:tcPr>
            <w:tcW w:w="78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03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08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08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26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0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47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r>
    </w:tbl>
    <w:p>
      <w:pPr>
        <w:spacing w:line="360" w:lineRule="auto"/>
        <w:rPr>
          <w:rFonts w:cs="仿宋_GB2312" w:asciiTheme="minorEastAsia" w:hAnsiTheme="minorEastAsia" w:eastAsiaTheme="minorEastAsia"/>
          <w:b/>
          <w:bCs/>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注：投标人可按上述的格式自行编制，须随表提交相应的证书复印件并注明所在投标技术文件页码。</w:t>
      </w:r>
    </w:p>
    <w:p>
      <w:pPr>
        <w:spacing w:line="360" w:lineRule="auto"/>
        <w:rPr>
          <w:rFonts w:cs="仿宋_GB2312" w:asciiTheme="minorEastAsia" w:hAnsiTheme="minorEastAsia" w:eastAsiaTheme="minorEastAsia"/>
          <w:b/>
          <w:bCs/>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附表C:本项目的项目负责人和小组人员社会保障资金记录情况表</w:t>
      </w:r>
      <w:r>
        <w:rPr>
          <w:rFonts w:hint="eastAsia" w:cs="仿宋_GB2312" w:asciiTheme="minorEastAsia" w:hAnsiTheme="minorEastAsia" w:eastAsiaTheme="minorEastAsia"/>
          <w:color w:val="000000" w:themeColor="text1"/>
          <w14:textFill>
            <w14:solidFill>
              <w14:schemeClr w14:val="tx1"/>
            </w14:solidFill>
          </w14:textFill>
        </w:rPr>
        <w:t>（以社保部门出具缴纳凭证作附件）</w:t>
      </w: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pageBreakBefore/>
        <w:spacing w:line="360" w:lineRule="auto"/>
        <w:outlineLvl w:val="2"/>
        <w:rPr>
          <w:rFonts w:cs="仿宋_GB2312" w:asciiTheme="minorEastAsia" w:hAnsiTheme="minorEastAsia" w:eastAsiaTheme="minorEastAsia"/>
          <w:b/>
          <w:color w:val="000000" w:themeColor="text1"/>
          <w:sz w:val="30"/>
          <w:szCs w:val="30"/>
          <w:lang w:val="zh-CN"/>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16、</w:t>
      </w:r>
      <w:r>
        <w:rPr>
          <w:rFonts w:hint="eastAsia" w:cs="仿宋_GB2312" w:asciiTheme="minorEastAsia" w:hAnsiTheme="minorEastAsia" w:eastAsiaTheme="minorEastAsia"/>
          <w:b/>
          <w:color w:val="000000" w:themeColor="text1"/>
          <w:sz w:val="30"/>
          <w:szCs w:val="30"/>
          <w:lang w:val="zh-CN"/>
          <w14:textFill>
            <w14:solidFill>
              <w14:schemeClr w14:val="tx1"/>
            </w14:solidFill>
          </w14:textFill>
        </w:rPr>
        <w:t>优惠条件及特殊承诺</w:t>
      </w:r>
    </w:p>
    <w:p>
      <w:pPr>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（由投标人根据采购需求自行编制）</w:t>
      </w:r>
    </w:p>
    <w:p>
      <w:pPr>
        <w:spacing w:line="360" w:lineRule="auto"/>
        <w:rPr>
          <w:rFonts w:cs="仿宋_GB2312" w:asciiTheme="minorEastAsia" w:hAnsiTheme="minorEastAsia" w:eastAsiaTheme="minorEastAsia"/>
          <w:color w:val="000000" w:themeColor="text1"/>
          <w:sz w:val="18"/>
          <w:szCs w:val="18"/>
          <w14:textFill>
            <w14:solidFill>
              <w14:schemeClr w14:val="tx1"/>
            </w14:solidFill>
          </w14:textFill>
        </w:rPr>
      </w:pPr>
    </w:p>
    <w:p>
      <w:pPr>
        <w:pStyle w:val="15"/>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pacing w:line="360" w:lineRule="auto"/>
        <w:outlineLvl w:val="2"/>
        <w:rPr>
          <w:rFonts w:cs="仿宋_GB2312" w:asciiTheme="minorEastAsia" w:hAnsiTheme="minorEastAsia" w:eastAsiaTheme="minorEastAsia"/>
          <w:b/>
          <w:color w:val="000000" w:themeColor="text1"/>
          <w:sz w:val="30"/>
          <w:szCs w:val="30"/>
          <w:lang w:val="zh-CN"/>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17、</w:t>
      </w:r>
      <w:r>
        <w:rPr>
          <w:rFonts w:hint="eastAsia" w:cs="仿宋_GB2312" w:asciiTheme="minorEastAsia" w:hAnsiTheme="minorEastAsia" w:eastAsiaTheme="minorEastAsia"/>
          <w:b/>
          <w:color w:val="000000" w:themeColor="text1"/>
          <w:sz w:val="30"/>
          <w:szCs w:val="30"/>
          <w:lang w:val="zh-CN"/>
          <w14:textFill>
            <w14:solidFill>
              <w14:schemeClr w14:val="tx1"/>
            </w14:solidFill>
          </w14:textFill>
        </w:rPr>
        <w:t>备品备件及供选择的配套零部件清单</w:t>
      </w:r>
    </w:p>
    <w:p>
      <w:pPr>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（由投标人根据采购需求自行编制）</w:t>
      </w: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napToGrid w:val="0"/>
        <w:spacing w:line="360" w:lineRule="auto"/>
        <w:rPr>
          <w:rFonts w:cs="仿宋_GB2312" w:asciiTheme="minorEastAsia" w:hAnsiTheme="minorEastAsia" w:eastAsiaTheme="minorEastAsia"/>
          <w:b/>
          <w:bCs/>
          <w:color w:val="000000" w:themeColor="text1"/>
          <w:sz w:val="18"/>
          <w:szCs w:val="18"/>
          <w14:textFill>
            <w14:solidFill>
              <w14:schemeClr w14:val="tx1"/>
            </w14:solidFill>
          </w14:textFill>
        </w:rPr>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pageBreakBefore/>
        <w:spacing w:line="360" w:lineRule="auto"/>
        <w:outlineLvl w:val="1"/>
        <w:rPr>
          <w:rFonts w:cs="仿宋_GB2312" w:asciiTheme="minorEastAsia" w:hAnsiTheme="minorEastAsia" w:eastAsiaTheme="minorEastAsia"/>
          <w:b/>
          <w:color w:val="000000" w:themeColor="text1"/>
          <w:sz w:val="30"/>
          <w:szCs w:val="30"/>
          <w:lang w:val="zh-CN"/>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18、</w:t>
      </w:r>
      <w:r>
        <w:rPr>
          <w:rFonts w:hint="eastAsia" w:cs="仿宋_GB2312" w:asciiTheme="minorEastAsia" w:hAnsiTheme="minorEastAsia" w:eastAsiaTheme="minorEastAsia"/>
          <w:b/>
          <w:color w:val="000000" w:themeColor="text1"/>
          <w:sz w:val="30"/>
          <w:szCs w:val="30"/>
          <w:lang w:val="zh-CN"/>
          <w14:textFill>
            <w14:solidFill>
              <w14:schemeClr w14:val="tx1"/>
            </w14:solidFill>
          </w14:textFill>
        </w:rPr>
        <w:t>培训计划</w:t>
      </w:r>
    </w:p>
    <w:p>
      <w:pPr>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（由投标人根据采购需求自行编制）</w:t>
      </w:r>
    </w:p>
    <w:p>
      <w:pPr>
        <w:keepNext/>
        <w:autoSpaceDE w:val="0"/>
        <w:autoSpaceDN w:val="0"/>
        <w:spacing w:line="360" w:lineRule="auto"/>
        <w:ind w:firstLine="477"/>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附表:培训日程及费用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注解:A</w:t>
      </w:r>
      <w:r>
        <w:rPr>
          <w:rFonts w:hint="eastAsia" w:cs="仿宋_GB2312" w:asciiTheme="minorEastAsia" w:hAnsiTheme="minorEastAsia" w:eastAsiaTheme="minorEastAsia"/>
          <w:color w:val="000000" w:themeColor="text1"/>
          <w14:textFill>
            <w14:solidFill>
              <w14:schemeClr w14:val="tx1"/>
            </w14:solidFill>
          </w14:textFill>
        </w:rPr>
        <w:tab/>
      </w:r>
      <w:r>
        <w:rPr>
          <w:rFonts w:hint="eastAsia" w:cs="仿宋_GB2312" w:asciiTheme="minorEastAsia" w:hAnsiTheme="minorEastAsia" w:eastAsiaTheme="minorEastAsia"/>
          <w:color w:val="000000" w:themeColor="text1"/>
          <w14:textFill>
            <w14:solidFill>
              <w14:schemeClr w14:val="tx1"/>
            </w14:solidFill>
          </w14:textFill>
        </w:rPr>
        <w:t>课程清单按时间顺序排列，并提供以下详细资料：</w:t>
      </w:r>
    </w:p>
    <w:p>
      <w:pPr>
        <w:autoSpaceDE w:val="0"/>
        <w:autoSpaceDN w:val="0"/>
        <w:spacing w:line="360" w:lineRule="auto"/>
        <w:rPr>
          <w:rFonts w:hint="eastAsia"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lang w:val="en-US" w:eastAsia="zh-CN"/>
          <w14:textFill>
            <w14:solidFill>
              <w14:schemeClr w14:val="tx1"/>
            </w14:solidFill>
          </w14:textFill>
        </w:rPr>
        <w:t>1.</w:t>
      </w:r>
      <w:r>
        <w:rPr>
          <w:rFonts w:hint="eastAsia" w:cs="仿宋_GB2312" w:asciiTheme="minorEastAsia" w:hAnsiTheme="minorEastAsia" w:eastAsiaTheme="minorEastAsia"/>
          <w:color w:val="000000" w:themeColor="text1"/>
          <w14:textFill>
            <w14:solidFill>
              <w14:schemeClr w14:val="tx1"/>
            </w14:solidFill>
          </w14:textFill>
        </w:rPr>
        <w:t>课程概要</w:t>
      </w:r>
    </w:p>
    <w:p>
      <w:pPr>
        <w:autoSpaceDE w:val="0"/>
        <w:autoSpaceDN w:val="0"/>
        <w:spacing w:line="360" w:lineRule="auto"/>
        <w:rPr>
          <w:rFonts w:hint="eastAsia"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lang w:val="en-US" w:eastAsia="zh-CN"/>
          <w14:textFill>
            <w14:solidFill>
              <w14:schemeClr w14:val="tx1"/>
            </w14:solidFill>
          </w14:textFill>
        </w:rPr>
        <w:t>2.</w:t>
      </w:r>
      <w:r>
        <w:rPr>
          <w:rFonts w:hint="eastAsia" w:cs="仿宋_GB2312" w:asciiTheme="minorEastAsia" w:hAnsiTheme="minorEastAsia" w:eastAsiaTheme="minorEastAsia"/>
          <w:color w:val="000000" w:themeColor="text1"/>
          <w14:textFill>
            <w14:solidFill>
              <w14:schemeClr w14:val="tx1"/>
            </w14:solidFill>
          </w14:textFill>
        </w:rPr>
        <w:t>课程目的</w:t>
      </w:r>
    </w:p>
    <w:p>
      <w:pPr>
        <w:autoSpaceDE w:val="0"/>
        <w:autoSpaceDN w:val="0"/>
        <w:spacing w:line="360" w:lineRule="auto"/>
        <w:rPr>
          <w:rFonts w:hint="eastAsia"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lang w:val="en-US" w:eastAsia="zh-CN"/>
          <w14:textFill>
            <w14:solidFill>
              <w14:schemeClr w14:val="tx1"/>
            </w14:solidFill>
          </w14:textFill>
        </w:rPr>
        <w:t>3.</w:t>
      </w:r>
      <w:r>
        <w:rPr>
          <w:rFonts w:hint="eastAsia" w:cs="仿宋_GB2312" w:asciiTheme="minorEastAsia" w:hAnsiTheme="minorEastAsia" w:eastAsiaTheme="minorEastAsia"/>
          <w:color w:val="000000" w:themeColor="text1"/>
          <w14:textFill>
            <w14:solidFill>
              <w14:schemeClr w14:val="tx1"/>
            </w14:solidFill>
          </w14:textFill>
        </w:rPr>
        <w:t>教学方式</w:t>
      </w:r>
    </w:p>
    <w:p>
      <w:pPr>
        <w:autoSpaceDE w:val="0"/>
        <w:autoSpaceDN w:val="0"/>
        <w:spacing w:line="360" w:lineRule="auto"/>
        <w:rPr>
          <w:rFonts w:hint="eastAsia"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lang w:val="en-US" w:eastAsia="zh-CN"/>
          <w14:textFill>
            <w14:solidFill>
              <w14:schemeClr w14:val="tx1"/>
            </w14:solidFill>
          </w14:textFill>
        </w:rPr>
        <w:t>4.</w:t>
      </w:r>
      <w:r>
        <w:rPr>
          <w:rFonts w:hint="eastAsia" w:cs="仿宋_GB2312" w:asciiTheme="minorEastAsia" w:hAnsiTheme="minorEastAsia" w:eastAsiaTheme="minorEastAsia"/>
          <w:color w:val="000000" w:themeColor="text1"/>
          <w14:textFill>
            <w14:solidFill>
              <w14:schemeClr w14:val="tx1"/>
            </w14:solidFill>
          </w14:textFill>
        </w:rPr>
        <w:t>先决条件</w:t>
      </w:r>
    </w:p>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lang w:val="en-US" w:eastAsia="zh-CN"/>
          <w14:textFill>
            <w14:solidFill>
              <w14:schemeClr w14:val="tx1"/>
            </w14:solidFill>
          </w14:textFill>
        </w:rPr>
        <w:t>5.</w:t>
      </w:r>
      <w:r>
        <w:rPr>
          <w:rFonts w:hint="eastAsia" w:cs="仿宋_GB2312" w:asciiTheme="minorEastAsia" w:hAnsiTheme="minorEastAsia" w:eastAsiaTheme="minorEastAsia"/>
          <w:color w:val="000000" w:themeColor="text1"/>
          <w14:textFill>
            <w14:solidFill>
              <w14:schemeClr w14:val="tx1"/>
            </w14:solidFill>
          </w14:textFill>
        </w:rPr>
        <w:t>教材目录</w:t>
      </w:r>
    </w:p>
    <w:p>
      <w:pPr>
        <w:autoSpaceDE w:val="0"/>
        <w:autoSpaceDN w:val="0"/>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B  按照附表A提供授课教师的简历</w:t>
      </w:r>
    </w:p>
    <w:p>
      <w:pPr>
        <w:autoSpaceDE w:val="0"/>
        <w:autoSpaceDN w:val="0"/>
        <w:spacing w:line="360" w:lineRule="auto"/>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注：须随表提交相应的证书复印件并注明所在投标技术文件页码。</w:t>
      </w:r>
    </w:p>
    <w:p>
      <w:pPr>
        <w:spacing w:line="360" w:lineRule="auto"/>
        <w:ind w:firstLine="480" w:firstLineChars="200"/>
        <w:rPr>
          <w:rFonts w:cs="仿宋_GB2312" w:asciiTheme="minorEastAsia" w:hAnsiTheme="minorEastAsia" w:eastAsiaTheme="minorEastAsia"/>
          <w:color w:val="000000" w:themeColor="text1"/>
          <w:szCs w:val="20"/>
          <w14:textFill>
            <w14:solidFill>
              <w14:schemeClr w14:val="tx1"/>
            </w14:solidFill>
          </w14:textFill>
        </w:rPr>
      </w:pPr>
    </w:p>
    <w:p>
      <w:pPr>
        <w:pStyle w:val="15"/>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rPr>
          <w:rFonts w:cs="仿宋_GB2312" w:asciiTheme="minorEastAsia" w:hAnsiTheme="minorEastAsia" w:eastAsiaTheme="minorEastAsia"/>
          <w:b/>
          <w:bCs/>
          <w:color w:val="000000" w:themeColor="text1"/>
          <w:sz w:val="32"/>
          <w:szCs w:val="32"/>
          <w14:textFill>
            <w14:solidFill>
              <w14:schemeClr w14:val="tx1"/>
            </w14:solidFill>
          </w14:textFill>
        </w:rPr>
      </w:pPr>
      <w:r>
        <w:rPr>
          <w:rFonts w:cs="仿宋_GB2312" w:asciiTheme="minorEastAsia" w:hAnsiTheme="minorEastAsia" w:eastAsiaTheme="minorEastAsia"/>
          <w:b/>
          <w:bCs/>
          <w:color w:val="000000" w:themeColor="text1"/>
          <w:sz w:val="32"/>
          <w:szCs w:val="32"/>
          <w14:textFill>
            <w14:solidFill>
              <w14:schemeClr w14:val="tx1"/>
            </w14:solidFill>
          </w14:textFill>
        </w:rPr>
        <w:br w:type="page"/>
      </w:r>
    </w:p>
    <w:p>
      <w:pPr>
        <w:snapToGrid w:val="0"/>
        <w:spacing w:line="360" w:lineRule="auto"/>
        <w:outlineLvl w:val="1"/>
        <w:rPr>
          <w:rFonts w:cs="仿宋_GB2312" w:asciiTheme="minorEastAsia" w:hAnsiTheme="minorEastAsia" w:eastAsiaTheme="minorEastAsia"/>
          <w:b/>
          <w:bCs/>
          <w:color w:val="000000" w:themeColor="text1"/>
          <w:sz w:val="30"/>
          <w:szCs w:val="30"/>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19、验收方案</w:t>
      </w:r>
    </w:p>
    <w:p>
      <w:pPr>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（由投标人根据采购需求自行编制）</w:t>
      </w:r>
    </w:p>
    <w:p>
      <w:pPr>
        <w:spacing w:line="360" w:lineRule="auto"/>
        <w:jc w:val="center"/>
        <w:rPr>
          <w:rFonts w:cs="仿宋_GB2312" w:asciiTheme="minorEastAsia" w:hAnsiTheme="minorEastAsia" w:eastAsiaTheme="minorEastAsia"/>
          <w:color w:val="000000" w:themeColor="text1"/>
          <w14:textFill>
            <w14:solidFill>
              <w14:schemeClr w14:val="tx1"/>
            </w14:solidFill>
          </w14:textFill>
        </w:rPr>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spacing w:line="360" w:lineRule="auto"/>
        <w:jc w:val="center"/>
        <w:rPr>
          <w:rFonts w:cs="仿宋_GB2312" w:asciiTheme="minorEastAsia" w:hAnsiTheme="minorEastAsia" w:eastAsiaTheme="minorEastAsia"/>
          <w:b/>
          <w:bCs/>
          <w:color w:val="000000" w:themeColor="text1"/>
          <w:sz w:val="30"/>
          <w:szCs w:val="30"/>
          <w14:textFill>
            <w14:solidFill>
              <w14:schemeClr w14:val="tx1"/>
            </w14:solidFill>
          </w14:textFill>
        </w:rPr>
      </w:pPr>
    </w:p>
    <w:p>
      <w:pPr>
        <w:spacing w:line="360" w:lineRule="auto"/>
        <w:jc w:val="center"/>
        <w:rPr>
          <w:rFonts w:cs="仿宋_GB2312" w:asciiTheme="minorEastAsia" w:hAnsiTheme="minorEastAsia" w:eastAsiaTheme="minorEastAsia"/>
          <w:b/>
          <w:bCs/>
          <w:color w:val="000000" w:themeColor="text1"/>
          <w:sz w:val="30"/>
          <w:szCs w:val="30"/>
          <w14:textFill>
            <w14:solidFill>
              <w14:schemeClr w14:val="tx1"/>
            </w14:solidFill>
          </w14:textFill>
        </w:rPr>
      </w:pPr>
    </w:p>
    <w:p>
      <w:pPr>
        <w:spacing w:line="360" w:lineRule="auto"/>
        <w:jc w:val="center"/>
        <w:rPr>
          <w:rFonts w:cs="仿宋_GB2312" w:asciiTheme="minorEastAsia" w:hAnsiTheme="minorEastAsia" w:eastAsiaTheme="minorEastAsia"/>
          <w:b/>
          <w:bCs/>
          <w:color w:val="000000" w:themeColor="text1"/>
          <w14:textFill>
            <w14:solidFill>
              <w14:schemeClr w14:val="tx1"/>
            </w14:solidFill>
          </w14:textFill>
        </w:rPr>
      </w:pPr>
    </w:p>
    <w:p>
      <w:pPr>
        <w:spacing w:line="360" w:lineRule="auto"/>
        <w:jc w:val="center"/>
        <w:rPr>
          <w:rFonts w:cs="仿宋_GB2312" w:asciiTheme="minorEastAsia" w:hAnsiTheme="minorEastAsia" w:eastAsiaTheme="minorEastAsia"/>
          <w:b/>
          <w:bCs/>
          <w:color w:val="000000" w:themeColor="text1"/>
          <w14:textFill>
            <w14:solidFill>
              <w14:schemeClr w14:val="tx1"/>
            </w14:solidFill>
          </w14:textFill>
        </w:rPr>
      </w:pPr>
    </w:p>
    <w:p>
      <w:pPr>
        <w:spacing w:line="360" w:lineRule="auto"/>
        <w:outlineLvl w:val="1"/>
        <w:rPr>
          <w:rFonts w:cs="仿宋_GB2312" w:asciiTheme="minorEastAsia" w:hAnsiTheme="minorEastAsia" w:eastAsiaTheme="minorEastAsia"/>
          <w:b/>
          <w:color w:val="000000" w:themeColor="text1"/>
          <w:sz w:val="30"/>
          <w:szCs w:val="30"/>
          <w:lang w:val="zh-CN"/>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20、认为需要的</w:t>
      </w:r>
      <w:r>
        <w:rPr>
          <w:rFonts w:hint="eastAsia" w:cs="仿宋_GB2312" w:asciiTheme="minorEastAsia" w:hAnsiTheme="minorEastAsia" w:eastAsiaTheme="minorEastAsia"/>
          <w:b/>
          <w:color w:val="000000" w:themeColor="text1"/>
          <w:sz w:val="30"/>
          <w:szCs w:val="30"/>
          <w:lang w:val="zh-CN"/>
          <w14:textFill>
            <w14:solidFill>
              <w14:schemeClr w14:val="tx1"/>
            </w14:solidFill>
          </w14:textFill>
        </w:rPr>
        <w:t>其他商务技术（资信）文件或说明</w:t>
      </w:r>
    </w:p>
    <w:p>
      <w:pPr>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（由投标人根据采购需求自行编制）</w:t>
      </w:r>
    </w:p>
    <w:p>
      <w:pPr>
        <w:spacing w:line="360" w:lineRule="auto"/>
        <w:rPr>
          <w:rFonts w:cs="仿宋_GB2312" w:asciiTheme="minorEastAsia" w:hAnsiTheme="minorEastAsia" w:eastAsiaTheme="minorEastAsia"/>
          <w:color w:val="000000" w:themeColor="text1"/>
          <w14:textFill>
            <w14:solidFill>
              <w14:schemeClr w14:val="tx1"/>
            </w14:solidFill>
          </w14:textFill>
        </w:rPr>
      </w:pPr>
    </w:p>
    <w:p>
      <w:pPr>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w:t>
      </w:r>
      <w:r>
        <w:rPr>
          <w:rFonts w:hint="eastAsia" w:cs="仿宋_GB2312" w:asciiTheme="minorEastAsia" w:hAnsiTheme="minorEastAsia" w:eastAsiaTheme="minorEastAsia"/>
          <w:color w:val="000000" w:themeColor="text1"/>
          <w:lang w:val="zh-CN"/>
          <w14:textFill>
            <w14:solidFill>
              <w14:schemeClr w14:val="tx1"/>
            </w14:solidFill>
          </w14:textFill>
        </w:rPr>
        <w:t>盖章</w:t>
      </w:r>
      <w:r>
        <w:rPr>
          <w:rFonts w:hint="eastAsia" w:asciiTheme="minorEastAsia" w:hAnsiTheme="minorEastAsia" w:eastAsiaTheme="minorEastAsia"/>
          <w:color w:val="000000" w:themeColor="text1"/>
          <w14:textFill>
            <w14:solidFill>
              <w14:schemeClr w14:val="tx1"/>
            </w14:solidFill>
          </w14:textFill>
        </w:rPr>
        <w:t>）：</w:t>
      </w:r>
    </w:p>
    <w:p>
      <w:pPr>
        <w:snapToGrid w:val="0"/>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法定代表人或其授权代表（签字或盖章）：</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日期</w:t>
      </w:r>
      <w:r>
        <w:rPr>
          <w:rFonts w:hint="eastAsia" w:cs="仿宋_GB2312" w:asciiTheme="minorEastAsia" w:hAnsiTheme="minorEastAsia" w:eastAsiaTheme="minorEastAsia"/>
          <w:color w:val="000000" w:themeColor="text1"/>
          <w14:textFill>
            <w14:solidFill>
              <w14:schemeClr w14:val="tx1"/>
            </w14:solidFill>
          </w14:textFill>
        </w:rPr>
        <w:t xml:space="preserve">：  年  </w:t>
      </w:r>
      <w:r>
        <w:rPr>
          <w:rFonts w:hint="eastAsia" w:cs="仿宋_GB2312" w:asciiTheme="minorEastAsia" w:hAnsiTheme="minorEastAsia" w:eastAsiaTheme="minorEastAsia"/>
          <w:color w:val="000000" w:themeColor="text1"/>
          <w:lang w:val="zh-CN"/>
          <w14:textFill>
            <w14:solidFill>
              <w14:schemeClr w14:val="tx1"/>
            </w14:solidFill>
          </w14:textFill>
        </w:rPr>
        <w:t xml:space="preserve">月 </w:t>
      </w:r>
      <w:r>
        <w:rPr>
          <w:rFonts w:cs="仿宋_GB2312" w:asciiTheme="minorEastAsia" w:hAnsiTheme="minorEastAsia" w:eastAsiaTheme="minorEastAsia"/>
          <w:color w:val="000000" w:themeColor="text1"/>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lang w:val="zh-CN"/>
          <w14:textFill>
            <w14:solidFill>
              <w14:schemeClr w14:val="tx1"/>
            </w14:solidFill>
          </w14:textFill>
        </w:rPr>
        <w:t>日</w:t>
      </w: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lang w:val="zh-CN"/>
          <w14:textFill>
            <w14:solidFill>
              <w14:schemeClr w14:val="tx1"/>
            </w14:solidFill>
          </w14:textFill>
        </w:rPr>
      </w:pPr>
    </w:p>
    <w:p>
      <w:pPr>
        <w:rPr>
          <w:rFonts w:cs="仿宋_GB2312" w:asciiTheme="minorEastAsia" w:hAnsiTheme="minorEastAsia" w:eastAsiaTheme="minorEastAsia"/>
          <w:b/>
          <w:color w:val="000000" w:themeColor="text1"/>
          <w:sz w:val="32"/>
          <w:szCs w:val="32"/>
          <w:lang w:val="zh-CN"/>
          <w14:textFill>
            <w14:solidFill>
              <w14:schemeClr w14:val="tx1"/>
            </w14:solidFill>
          </w14:textFill>
        </w:rPr>
      </w:pPr>
      <w:r>
        <w:rPr>
          <w:rFonts w:cs="仿宋_GB2312" w:asciiTheme="minorEastAsia" w:hAnsiTheme="minorEastAsia" w:eastAsiaTheme="minorEastAsia"/>
          <w:b/>
          <w:color w:val="000000" w:themeColor="text1"/>
          <w:sz w:val="32"/>
          <w:szCs w:val="32"/>
          <w:lang w:val="zh-CN"/>
          <w14:textFill>
            <w14:solidFill>
              <w14:schemeClr w14:val="tx1"/>
            </w14:solidFill>
          </w14:textFill>
        </w:rPr>
        <w:br w:type="page"/>
      </w:r>
    </w:p>
    <w:p>
      <w:pPr>
        <w:spacing w:line="360" w:lineRule="auto"/>
        <w:outlineLvl w:val="1"/>
        <w:rPr>
          <w:rFonts w:cs="仿宋_GB2312" w:asciiTheme="minorEastAsia" w:hAnsiTheme="minorEastAsia" w:eastAsiaTheme="minorEastAsia"/>
          <w:b/>
          <w:color w:val="000000" w:themeColor="text1"/>
          <w:sz w:val="30"/>
          <w:szCs w:val="30"/>
          <w:lang w:val="zh-CN"/>
          <w14:textFill>
            <w14:solidFill>
              <w14:schemeClr w14:val="tx1"/>
            </w14:solidFill>
          </w14:textFill>
        </w:rPr>
      </w:pPr>
      <w:r>
        <w:rPr>
          <w:rFonts w:hint="eastAsia" w:cs="仿宋_GB2312" w:asciiTheme="minorEastAsia" w:hAnsiTheme="minorEastAsia" w:eastAsiaTheme="minorEastAsia"/>
          <w:b/>
          <w:color w:val="000000" w:themeColor="text1"/>
          <w:sz w:val="30"/>
          <w:szCs w:val="30"/>
          <w:lang w:val="zh-CN"/>
          <w14:textFill>
            <w14:solidFill>
              <w14:schemeClr w14:val="tx1"/>
            </w14:solidFill>
          </w14:textFill>
        </w:rPr>
        <w:t>21、联合协议</w:t>
      </w:r>
    </w:p>
    <w:p>
      <w:pPr>
        <w:spacing w:line="360" w:lineRule="auto"/>
        <w:ind w:firstLine="482" w:firstLineChars="200"/>
        <w:rPr>
          <w:rFonts w:cs="仿宋_GB2312" w:asciiTheme="minorEastAsia" w:hAnsiTheme="minorEastAsia" w:eastAsiaTheme="minorEastAsia"/>
          <w:b/>
          <w:strike/>
          <w:dstrike w:val="0"/>
          <w:color w:val="000000" w:themeColor="text1"/>
          <w:u w:val="none"/>
          <w14:textFill>
            <w14:solidFill>
              <w14:schemeClr w14:val="tx1"/>
            </w14:solidFill>
          </w14:textFill>
        </w:rPr>
      </w:pPr>
      <w:r>
        <w:rPr>
          <w:rFonts w:hint="eastAsia" w:cs="仿宋_GB2312" w:asciiTheme="minorEastAsia" w:hAnsiTheme="minorEastAsia" w:eastAsiaTheme="minorEastAsia"/>
          <w:b/>
          <w:strike/>
          <w:dstrike w:val="0"/>
          <w:color w:val="000000" w:themeColor="text1"/>
          <w:u w:val="none"/>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14:textFill>
            <w14:solidFill>
              <w14:schemeClr w14:val="tx1"/>
            </w14:solidFill>
          </w14:textFill>
        </w:rPr>
        <w:t>（联合体所有成员名称）自愿</w:t>
      </w: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组成一个联合体，以一个投标人的身份</w:t>
      </w:r>
      <w:r>
        <w:rPr>
          <w:rFonts w:hint="eastAsia" w:cs="仿宋_GB2312" w:asciiTheme="minorEastAsia" w:hAnsiTheme="minorEastAsia" w:eastAsiaTheme="minorEastAsia"/>
          <w:strike/>
          <w:dstrike w:val="0"/>
          <w:color w:val="000000" w:themeColor="text1"/>
          <w:u w:val="none"/>
          <w14:textFill>
            <w14:solidFill>
              <w14:schemeClr w14:val="tx1"/>
            </w14:solidFill>
          </w14:textFill>
        </w:rPr>
        <w:t>参加（项目名称）【招标编号：</w:t>
      </w:r>
      <w:r>
        <w:rPr>
          <w:rFonts w:hint="eastAsia" w:asciiTheme="minorEastAsia" w:hAnsiTheme="minorEastAsia" w:eastAsiaTheme="minorEastAsia"/>
          <w:strike/>
          <w:dstrike w:val="0"/>
          <w:color w:val="000000" w:themeColor="text1"/>
          <w:u w:val="none"/>
          <w14:textFill>
            <w14:solidFill>
              <w14:schemeClr w14:val="tx1"/>
            </w14:solidFill>
          </w14:textFill>
        </w:rPr>
        <w:t>（采购编号）</w:t>
      </w:r>
      <w:r>
        <w:rPr>
          <w:rFonts w:hint="eastAsia" w:cs="仿宋_GB2312" w:asciiTheme="minorEastAsia" w:hAnsiTheme="minorEastAsia" w:eastAsiaTheme="minorEastAsia"/>
          <w:strike/>
          <w:dstrike w:val="0"/>
          <w:color w:val="000000" w:themeColor="text1"/>
          <w:u w:val="none"/>
          <w14:textFill>
            <w14:solidFill>
              <w14:schemeClr w14:val="tx1"/>
            </w14:solidFill>
          </w14:textFill>
        </w:rPr>
        <w:t>】</w:t>
      </w: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 xml:space="preserve">投标。 </w:t>
      </w:r>
    </w:p>
    <w:p>
      <w:pPr>
        <w:snapToGrid w:val="0"/>
        <w:spacing w:line="360" w:lineRule="auto"/>
        <w:ind w:firstLine="576"/>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一、各方一致决定，</w:t>
      </w:r>
      <w:r>
        <w:rPr>
          <w:rFonts w:hint="eastAsia" w:cs="仿宋_GB2312" w:asciiTheme="minorEastAsia" w:hAnsiTheme="minorEastAsia" w:eastAsiaTheme="minorEastAsia"/>
          <w:strike/>
          <w:dstrike w:val="0"/>
          <w:color w:val="000000" w:themeColor="text1"/>
          <w:u w:val="none"/>
          <w14:textFill>
            <w14:solidFill>
              <w14:schemeClr w14:val="tx1"/>
            </w14:solidFill>
          </w14:textFill>
        </w:rPr>
        <w:t>（某联合体成员名称）为联合体</w:t>
      </w: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牵头人</w:t>
      </w:r>
      <w:r>
        <w:rPr>
          <w:rFonts w:hint="eastAsia" w:cs="Arial" w:asciiTheme="minorEastAsia" w:hAnsiTheme="minorEastAsia" w:eastAsiaTheme="minorEastAsia"/>
          <w:strike/>
          <w:dstrike w:val="0"/>
          <w:color w:val="000000" w:themeColor="text1"/>
          <w:u w:val="none"/>
          <w14:textFill>
            <w14:solidFill>
              <w14:schemeClr w14:val="tx1"/>
            </w14:solidFill>
          </w14:textFill>
        </w:rPr>
        <w:t>，代表所有联合体成员负责投标和合同实施阶段的主办、协调工作</w:t>
      </w: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w:t>
      </w:r>
    </w:p>
    <w:p>
      <w:pPr>
        <w:snapToGrid w:val="0"/>
        <w:spacing w:line="360" w:lineRule="auto"/>
        <w:ind w:firstLine="576"/>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二、</w:t>
      </w:r>
      <w:r>
        <w:rPr>
          <w:rFonts w:hint="eastAsia" w:cs="Arial" w:asciiTheme="minorEastAsia" w:hAnsiTheme="minorEastAsia" w:eastAsiaTheme="minorEastAsia"/>
          <w:strike/>
          <w:dstrike w:val="0"/>
          <w:color w:val="000000" w:themeColor="text1"/>
          <w:u w:val="none"/>
          <w14:textFill>
            <w14:solidFill>
              <w14:schemeClr w14:val="tx1"/>
            </w14:solidFill>
          </w14:textFill>
        </w:rPr>
        <w:t>所有联合体成员各方签署授权书，授权书载明的</w:t>
      </w: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三、本次联合投标中，分工如下：</w:t>
      </w:r>
      <w:r>
        <w:rPr>
          <w:rFonts w:hint="eastAsia" w:cs="仿宋_GB2312" w:asciiTheme="minorEastAsia" w:hAnsiTheme="minorEastAsia" w:eastAsiaTheme="minorEastAsia"/>
          <w:strike/>
          <w:dstrike w:val="0"/>
          <w:color w:val="000000" w:themeColor="text1"/>
          <w:u w:val="none"/>
          <w14:textFill>
            <w14:solidFill>
              <w14:schemeClr w14:val="tx1"/>
            </w14:solidFill>
          </w14:textFill>
        </w:rPr>
        <w:t>（联合体其中一方成员名称）</w:t>
      </w: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承担的工作和义务为：</w:t>
      </w:r>
      <w:r>
        <w:rPr>
          <w:rFonts w:hint="eastAsia" w:asciiTheme="minorEastAsia" w:hAnsiTheme="minorEastAsia" w:eastAsiaTheme="minorEastAsia"/>
          <w:strike/>
          <w:dstrike w:val="0"/>
          <w:color w:val="000000" w:themeColor="text1"/>
          <w:u w:val="none"/>
          <w14:textFill>
            <w14:solidFill>
              <w14:schemeClr w14:val="tx1"/>
            </w14:solidFill>
          </w14:textFill>
        </w:rPr>
        <w:t xml:space="preserve">             </w:t>
      </w: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w:t>
      </w:r>
    </w:p>
    <w:p>
      <w:pPr>
        <w:snapToGrid w:val="0"/>
        <w:spacing w:line="360" w:lineRule="auto"/>
        <w:ind w:firstLine="576"/>
        <w:rPr>
          <w:rFonts w:cs="仿宋_GB2312" w:asciiTheme="minorEastAsia" w:hAnsiTheme="minorEastAsia" w:eastAsiaTheme="minorEastAsia"/>
          <w:b/>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四、</w:t>
      </w:r>
      <w:r>
        <w:rPr>
          <w:rFonts w:hint="eastAsia" w:cs="仿宋_GB2312" w:asciiTheme="minorEastAsia" w:hAnsiTheme="minorEastAsia" w:eastAsiaTheme="minorEastAsia"/>
          <w:strike/>
          <w:dstrike w:val="0"/>
          <w:color w:val="000000" w:themeColor="text1"/>
          <w:u w:val="none"/>
          <w14:textFill>
            <w14:solidFill>
              <w14:schemeClr w14:val="tx1"/>
            </w14:solidFill>
          </w14:textFill>
        </w:rPr>
        <w:t>（联合体其中一方成员名称）提供的全部货物由小微企业制造，其合同份额占到合同总金额     %以上；</w:t>
      </w: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w:t>
      </w:r>
      <w:r>
        <w:rPr>
          <w:rFonts w:hint="eastAsia" w:cs="仿宋_GB2312" w:asciiTheme="minorEastAsia" w:hAnsiTheme="minorEastAsia" w:eastAsiaTheme="minorEastAsia"/>
          <w:b/>
          <w:strike/>
          <w:dstrike w:val="0"/>
          <w:color w:val="000000" w:themeColor="text1"/>
          <w:u w:val="none"/>
          <w:lang w:val="zh-CN"/>
          <w14:textFill>
            <w14:solidFill>
              <w14:schemeClr w14:val="tx1"/>
            </w14:solidFill>
          </w14:textFill>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五、如果中标，</w:t>
      </w:r>
      <w:r>
        <w:rPr>
          <w:rFonts w:hint="eastAsia" w:asciiTheme="minorEastAsia" w:hAnsiTheme="minorEastAsia" w:eastAsiaTheme="minorEastAsia"/>
          <w:strike/>
          <w:dstrike w:val="0"/>
          <w:color w:val="000000" w:themeColor="text1"/>
          <w:u w:val="none"/>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六、有关本次联合投标的其他事宜：</w:t>
      </w:r>
    </w:p>
    <w:p>
      <w:pPr>
        <w:snapToGrid w:val="0"/>
        <w:spacing w:line="360" w:lineRule="auto"/>
        <w:ind w:firstLine="576"/>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3、本协议提交采购人、采购机构后，联合体各方不得以任何形式对上述内容进行修改或撤销。</w:t>
      </w:r>
    </w:p>
    <w:p>
      <w:pPr>
        <w:snapToGrid w:val="0"/>
        <w:spacing w:line="360" w:lineRule="auto"/>
        <w:ind w:firstLine="5040" w:firstLineChars="2100"/>
        <w:rPr>
          <w:rFonts w:cs="仿宋_GB2312" w:asciiTheme="minorEastAsia" w:hAnsiTheme="minorEastAsia" w:eastAsiaTheme="minorEastAsia"/>
          <w:strike/>
          <w:dstrike w:val="0"/>
          <w:color w:val="000000" w:themeColor="text1"/>
          <w:u w:val="none"/>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联合体成员名称(盖章)：</w:t>
      </w:r>
    </w:p>
    <w:p>
      <w:pPr>
        <w:snapToGrid w:val="0"/>
        <w:spacing w:line="360" w:lineRule="auto"/>
        <w:ind w:firstLine="5760" w:firstLineChars="2400"/>
        <w:rPr>
          <w:rFonts w:asciiTheme="minorEastAsia" w:hAnsiTheme="minorEastAsia" w:eastAsiaTheme="minorEastAsia"/>
          <w:strike/>
          <w:dstrike w:val="0"/>
          <w:color w:val="000000" w:themeColor="text1"/>
          <w:u w:val="none"/>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w:t>
      </w:r>
    </w:p>
    <w:p>
      <w:pPr>
        <w:snapToGrid w:val="0"/>
        <w:spacing w:line="360" w:lineRule="auto"/>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none"/>
          <w:lang w:val="zh-CN"/>
          <w14:textFill>
            <w14:solidFill>
              <w14:schemeClr w14:val="tx1"/>
            </w14:solidFill>
          </w14:textFill>
        </w:rPr>
        <w:t xml:space="preserve">                                               日期：  年  月   日</w:t>
      </w:r>
    </w:p>
    <w:p>
      <w:pPr>
        <w:spacing w:line="360" w:lineRule="auto"/>
        <w:rPr>
          <w:rFonts w:cs="仿宋_GB2312" w:asciiTheme="minorEastAsia" w:hAnsiTheme="minorEastAsia" w:eastAsiaTheme="minorEastAsia"/>
          <w:b/>
          <w:color w:val="000000" w:themeColor="text1"/>
          <w:sz w:val="32"/>
          <w:szCs w:val="32"/>
          <w:lang w:val="zh-CN"/>
          <w14:textFill>
            <w14:solidFill>
              <w14:schemeClr w14:val="tx1"/>
            </w14:solidFill>
          </w14:textFill>
        </w:rPr>
        <w:sectPr>
          <w:pgSz w:w="11907" w:h="16839"/>
          <w:pgMar w:top="1304" w:right="1361" w:bottom="1361" w:left="1588" w:header="851" w:footer="992" w:gutter="0"/>
          <w:pgNumType w:fmt="decimal"/>
          <w:cols w:space="720" w:num="1"/>
          <w:docGrid w:linePitch="326" w:charSpace="0"/>
        </w:sectPr>
      </w:pPr>
    </w:p>
    <w:p>
      <w:pPr>
        <w:spacing w:line="360" w:lineRule="auto"/>
        <w:outlineLvl w:val="1"/>
        <w:rPr>
          <w:rFonts w:cs="仿宋_GB2312" w:asciiTheme="minorEastAsia" w:hAnsiTheme="minorEastAsia" w:eastAsiaTheme="minorEastAsia"/>
          <w:b/>
          <w:strike/>
          <w:dstrike w:val="0"/>
          <w:color w:val="000000" w:themeColor="text1"/>
          <w:sz w:val="30"/>
          <w:szCs w:val="30"/>
          <w:lang w:val="zh-CN"/>
          <w14:textFill>
            <w14:solidFill>
              <w14:schemeClr w14:val="tx1"/>
            </w14:solidFill>
          </w14:textFill>
        </w:rPr>
      </w:pPr>
      <w:r>
        <w:rPr>
          <w:rFonts w:hint="eastAsia" w:cs="仿宋_GB2312" w:asciiTheme="minorEastAsia" w:hAnsiTheme="minorEastAsia" w:eastAsiaTheme="minorEastAsia"/>
          <w:b/>
          <w:strike/>
          <w:dstrike w:val="0"/>
          <w:color w:val="000000" w:themeColor="text1"/>
          <w:sz w:val="30"/>
          <w:szCs w:val="30"/>
          <w:lang w:val="zh-CN"/>
          <w14:textFill>
            <w14:solidFill>
              <w14:schemeClr w14:val="tx1"/>
            </w14:solidFill>
          </w14:textFill>
        </w:rPr>
        <w:t>22、分包意向协议</w:t>
      </w:r>
    </w:p>
    <w:p>
      <w:pPr>
        <w:spacing w:line="360" w:lineRule="auto"/>
        <w:ind w:firstLine="120" w:firstLineChars="50"/>
        <w:rPr>
          <w:rFonts w:cs="仿宋_GB2312" w:asciiTheme="minorEastAsia" w:hAnsiTheme="minorEastAsia" w:eastAsiaTheme="minorEastAsia"/>
          <w:strike/>
          <w:dstrike w:val="0"/>
          <w:color w:val="000000" w:themeColor="text1"/>
          <w14:textFill>
            <w14:solidFill>
              <w14:schemeClr w14:val="tx1"/>
            </w14:solidFill>
          </w14:textFill>
        </w:rPr>
      </w:pPr>
      <w:r>
        <w:rPr>
          <w:rFonts w:hint="eastAsia" w:cs="仿宋_GB2312" w:asciiTheme="minorEastAsia" w:hAnsiTheme="minorEastAsia" w:eastAsiaTheme="minorEastAsia"/>
          <w:strike/>
          <w:dstrike w:val="0"/>
          <w:color w:val="000000" w:themeColor="text1"/>
          <w14:textFill>
            <w14:solidFill>
              <w14:schemeClr w14:val="tx1"/>
            </w14:solidFill>
          </w14:textFill>
        </w:rPr>
        <w:t>（</w:t>
      </w:r>
      <w:r>
        <w:rPr>
          <w:rFonts w:hint="eastAsia" w:cs="仿宋_GB2312" w:asciiTheme="minorEastAsia" w:hAnsiTheme="minorEastAsia" w:eastAsiaTheme="minorEastAsia"/>
          <w:b/>
          <w:strike/>
          <w:dstrike w:val="0"/>
          <w:color w:val="000000" w:themeColor="text1"/>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cs="仿宋_GB2312" w:asciiTheme="minorEastAsia" w:hAnsiTheme="minorEastAsia" w:eastAsiaTheme="minorEastAsia"/>
          <w:strike/>
          <w:dstrike w:val="0"/>
          <w:color w:val="000000" w:themeColor="text1"/>
          <w14:textFill>
            <w14:solidFill>
              <w14:schemeClr w14:val="tx1"/>
            </w14:solidFill>
          </w14:textFill>
        </w:rPr>
        <w:t>）</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（投标人名称）</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若成为</w:t>
      </w:r>
      <w:r>
        <w:rPr>
          <w:rFonts w:hint="eastAsia" w:cs="仿宋_GB2312" w:asciiTheme="minorEastAsia" w:hAnsiTheme="minorEastAsia" w:eastAsiaTheme="minorEastAsia"/>
          <w:strike/>
          <w:dstrike w:val="0"/>
          <w:color w:val="000000" w:themeColor="text1"/>
          <w14:textFill>
            <w14:solidFill>
              <w14:schemeClr w14:val="tx1"/>
            </w14:solidFill>
          </w14:textFill>
        </w:rPr>
        <w:t>（项目名称）【招标编号：</w:t>
      </w:r>
      <w:r>
        <w:rPr>
          <w:rFonts w:hint="eastAsia" w:asciiTheme="minorEastAsia" w:hAnsiTheme="minorEastAsia" w:eastAsiaTheme="minorEastAsia"/>
          <w:strike/>
          <w:dstrike w:val="0"/>
          <w:color w:val="000000" w:themeColor="text1"/>
          <w14:textFill>
            <w14:solidFill>
              <w14:schemeClr w14:val="tx1"/>
            </w14:solidFill>
          </w14:textFill>
        </w:rPr>
        <w:t>（采购编号）</w:t>
      </w:r>
      <w:r>
        <w:rPr>
          <w:rFonts w:hint="eastAsia" w:cs="仿宋_GB2312" w:asciiTheme="minorEastAsia" w:hAnsiTheme="minorEastAsia" w:eastAsiaTheme="minorEastAsia"/>
          <w:strike/>
          <w:dstrike w:val="0"/>
          <w:color w:val="000000" w:themeColor="text1"/>
          <w14:textFill>
            <w14:solidFill>
              <w14:schemeClr w14:val="tx1"/>
            </w14:solidFill>
          </w14:textFill>
        </w:rPr>
        <w:t>】</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的中标供应商，将依法采取分包方式履行合同。</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（投标人名称）</w:t>
      </w:r>
      <w:r>
        <w:rPr>
          <w:rFonts w:hint="eastAsia" w:cs="仿宋_GB2312" w:asciiTheme="minorEastAsia" w:hAnsiTheme="minorEastAsia" w:eastAsiaTheme="minorEastAsia"/>
          <w:strike/>
          <w:dstrike w:val="0"/>
          <w:color w:val="000000" w:themeColor="text1"/>
          <w14:textFill>
            <w14:solidFill>
              <w14:schemeClr w14:val="tx1"/>
            </w14:solidFill>
          </w14:textFill>
        </w:rPr>
        <w:t>与</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（所有分包供应商名称）</w:t>
      </w:r>
      <w:r>
        <w:rPr>
          <w:rFonts w:hint="eastAsia" w:cs="仿宋_GB2312" w:asciiTheme="minorEastAsia" w:hAnsiTheme="minorEastAsia" w:eastAsiaTheme="minorEastAsia"/>
          <w:strike/>
          <w:dstrike w:val="0"/>
          <w:color w:val="000000" w:themeColor="text1"/>
          <w14:textFill>
            <w14:solidFill>
              <w14:schemeClr w14:val="tx1"/>
            </w14:solidFill>
          </w14:textFill>
        </w:rPr>
        <w:t>达成分包意向协议</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一、分包标的及数量</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（投标人名称）</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将</w:t>
      </w: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XX工作内容   </w:t>
      </w:r>
      <w:r>
        <w:rPr>
          <w:rFonts w:hint="eastAsia" w:cs="Arial" w:asciiTheme="minorEastAsia" w:hAnsiTheme="minorEastAsia" w:eastAsiaTheme="minorEastAsia"/>
          <w:strike/>
          <w:dstrike w:val="0"/>
          <w:color w:val="000000" w:themeColor="text1"/>
          <w14:textFill>
            <w14:solidFill>
              <w14:schemeClr w14:val="tx1"/>
            </w14:solidFill>
          </w14:textFill>
        </w:rPr>
        <w:t>分包给</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（某分包供应商名称）</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（某分包供应商名称），</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具备承</w:t>
      </w:r>
      <w:r>
        <w:rPr>
          <w:rFonts w:hint="eastAsia" w:cs="仿宋_GB2312" w:asciiTheme="minorEastAsia" w:hAnsiTheme="minorEastAsia" w:eastAsiaTheme="minorEastAsia"/>
          <w:strike/>
          <w:dstrike w:val="0"/>
          <w:color w:val="000000" w:themeColor="text1"/>
          <w14:textFill>
            <w14:solidFill>
              <w14:schemeClr w14:val="tx1"/>
            </w14:solidFill>
          </w14:textFill>
        </w:rPr>
        <w:t>担</w:t>
      </w:r>
      <w:r>
        <w:rPr>
          <w:rFonts w:hint="eastAsia" w:cs="仿宋_GB2312" w:asciiTheme="minorEastAsia" w:hAnsiTheme="minorEastAsia" w:eastAsiaTheme="minorEastAsia"/>
          <w:strike/>
          <w:dstrike w:val="0"/>
          <w:color w:val="000000" w:themeColor="text1"/>
          <w:u w:val="single"/>
          <w:lang w:val="zh-CN"/>
          <w14:textFill>
            <w14:solidFill>
              <w14:schemeClr w14:val="tx1"/>
            </w14:solidFill>
          </w14:textFill>
        </w:rPr>
        <w:t>XX工作内容</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相应资质条件且不得再次分包；</w:t>
      </w:r>
    </w:p>
    <w:p>
      <w:pPr>
        <w:snapToGrid w:val="0"/>
        <w:spacing w:line="360" w:lineRule="auto"/>
        <w:ind w:firstLine="576"/>
        <w:rPr>
          <w:rFonts w:asciiTheme="minorEastAsia" w:hAnsiTheme="minorEastAsia" w:eastAsiaTheme="minorEastAsia"/>
          <w:strike/>
          <w:dstrike w:val="0"/>
          <w:color w:val="000000" w:themeColor="text1"/>
          <w14:textFill>
            <w14:solidFill>
              <w14:schemeClr w14:val="tx1"/>
            </w14:solidFill>
          </w14:textFill>
        </w:rPr>
      </w:pPr>
      <w:r>
        <w:rPr>
          <w:rFonts w:hint="eastAsia" w:cs="仿宋_GB2312" w:asciiTheme="minorEastAsia" w:hAnsiTheme="minorEastAsia" w:eastAsiaTheme="minorEastAsia"/>
          <w:strike/>
          <w:dstrike w:val="0"/>
          <w:color w:val="000000" w:themeColor="text1"/>
          <w14:textFill>
            <w14:solidFill>
              <w14:schemeClr w14:val="tx1"/>
            </w14:solidFill>
          </w14:textFill>
        </w:rPr>
        <w:t>……</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二、分包工作履行期限、地点、方式</w:t>
      </w:r>
    </w:p>
    <w:p>
      <w:pPr>
        <w:snapToGrid w:val="0"/>
        <w:spacing w:line="360" w:lineRule="auto"/>
        <w:ind w:firstLine="576"/>
        <w:rPr>
          <w:rFonts w:asciiTheme="minorEastAsia" w:hAnsiTheme="minorEastAsia" w:eastAsiaTheme="minorEastAsia"/>
          <w:strike/>
          <w:dstrike w:val="0"/>
          <w:color w:val="000000" w:themeColor="text1"/>
          <w:u w:val="single"/>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三、质量</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四、价款或者报酬</w:t>
      </w:r>
    </w:p>
    <w:p>
      <w:pPr>
        <w:snapToGrid w:val="0"/>
        <w:spacing w:line="360" w:lineRule="auto"/>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五、违约责任</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六、争议解决的办法</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七、其他</w:t>
      </w:r>
    </w:p>
    <w:p>
      <w:pPr>
        <w:snapToGrid w:val="0"/>
        <w:spacing w:line="360" w:lineRule="auto"/>
        <w:ind w:firstLine="576"/>
        <w:rPr>
          <w:rFonts w:cs="仿宋_GB2312" w:asciiTheme="minorEastAsia" w:hAnsiTheme="minorEastAsia" w:eastAsiaTheme="minorEastAsia"/>
          <w:b/>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single"/>
          <w14:textFill>
            <w14:solidFill>
              <w14:schemeClr w14:val="tx1"/>
            </w14:solidFill>
          </w14:textFill>
        </w:rPr>
        <w:t>（分包供应商名称）提供的货物全部由小微企业制造，</w:t>
      </w:r>
      <w:r>
        <w:rPr>
          <w:rFonts w:hint="eastAsia" w:cs="仿宋_GB2312" w:asciiTheme="minorEastAsia" w:hAnsiTheme="minorEastAsia" w:eastAsiaTheme="minorEastAsia"/>
          <w:strike/>
          <w:dstrike w:val="0"/>
          <w:color w:val="000000" w:themeColor="text1"/>
          <w14:textFill>
            <w14:solidFill>
              <w14:schemeClr w14:val="tx1"/>
            </w14:solidFill>
          </w14:textFill>
        </w:rPr>
        <w:t>其合同份额占到合同总金额</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strike/>
          <w:dstrike w:val="0"/>
          <w:color w:val="000000" w:themeColor="text1"/>
          <w14:textFill>
            <w14:solidFill>
              <w14:schemeClr w14:val="tx1"/>
            </w14:solidFill>
          </w14:textFill>
        </w:rPr>
        <w:t>%以上</w:t>
      </w:r>
      <w:r>
        <w:rPr>
          <w:rFonts w:hint="eastAsia" w:asciiTheme="minorEastAsia" w:hAnsiTheme="minorEastAsia" w:eastAsiaTheme="minorEastAsia"/>
          <w:strike/>
          <w:dstrike w:val="0"/>
          <w:color w:val="000000" w:themeColor="text1"/>
          <w14:textFill>
            <w14:solidFill>
              <w14:schemeClr w14:val="tx1"/>
            </w14:solidFill>
          </w14:textFill>
        </w:rPr>
        <w:t>。</w:t>
      </w:r>
      <w:r>
        <w:rPr>
          <w:rFonts w:hint="eastAsia" w:cs="仿宋_GB2312" w:asciiTheme="minorEastAsia" w:hAnsiTheme="minorEastAsia" w:eastAsiaTheme="minorEastAsia"/>
          <w:b/>
          <w:strike/>
          <w:dstrike w:val="0"/>
          <w:color w:val="000000" w:themeColor="text1"/>
          <w:lang w:val="zh-CN"/>
          <w14:textFill>
            <w14:solidFill>
              <w14:schemeClr w14:val="tx1"/>
            </w14:solidFill>
          </w14:textFill>
        </w:rPr>
        <w:t>（未预留份额专门面向中小企业采购的的采购项目，以及预留份额中的非预留部分采购包，允许分包的，分包供应商提供的货物全部由小微企业制造，且其合同份额占到合同总金额 30%以上的，对大中型企业的报价给予6%的扣除）</w:t>
      </w:r>
    </w:p>
    <w:p>
      <w:pPr>
        <w:snapToGrid w:val="0"/>
        <w:spacing w:line="360" w:lineRule="auto"/>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 xml:space="preserve">                                               投标人名称(盖章)：</w:t>
      </w:r>
    </w:p>
    <w:p>
      <w:pPr>
        <w:snapToGrid w:val="0"/>
        <w:spacing w:line="360" w:lineRule="auto"/>
        <w:ind w:firstLine="5640" w:firstLineChars="2350"/>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分包供应商名称：</w:t>
      </w:r>
    </w:p>
    <w:p>
      <w:pPr>
        <w:snapToGrid w:val="0"/>
        <w:spacing w:line="360" w:lineRule="auto"/>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 xml:space="preserve">                                               日期：  年  月   日</w:t>
      </w:r>
    </w:p>
    <w:p>
      <w:pPr>
        <w:pageBreakBefore/>
        <w:spacing w:line="360" w:lineRule="auto"/>
        <w:outlineLvl w:val="1"/>
        <w:rPr>
          <w:rFonts w:cs="仿宋_GB2312" w:asciiTheme="minorEastAsia" w:hAnsiTheme="minorEastAsia" w:eastAsiaTheme="minorEastAsia"/>
          <w:b/>
          <w:color w:val="000000" w:themeColor="text1"/>
          <w:sz w:val="30"/>
          <w:szCs w:val="30"/>
          <w:lang w:val="zh-CN"/>
          <w14:textFill>
            <w14:solidFill>
              <w14:schemeClr w14:val="tx1"/>
            </w14:solidFill>
          </w14:textFill>
        </w:rPr>
      </w:pPr>
      <w:r>
        <w:rPr>
          <w:rFonts w:hint="eastAsia" w:cs="仿宋_GB2312" w:asciiTheme="minorEastAsia" w:hAnsiTheme="minorEastAsia" w:eastAsiaTheme="minorEastAsia"/>
          <w:b/>
          <w:color w:val="000000" w:themeColor="text1"/>
          <w:sz w:val="30"/>
          <w:szCs w:val="30"/>
          <w:lang w:val="zh-CN"/>
          <w14:textFill>
            <w14:solidFill>
              <w14:schemeClr w14:val="tx1"/>
            </w14:solidFill>
          </w14:textFill>
        </w:rPr>
        <w:t>23、落实政府采购政策需满足的资格要求</w:t>
      </w:r>
    </w:p>
    <w:p>
      <w:pPr>
        <w:spacing w:line="440" w:lineRule="exact"/>
        <w:rPr>
          <w:rFonts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（根据招标公告</w:t>
      </w:r>
      <w:r>
        <w:rPr>
          <w:rFonts w:hint="eastAsia" w:asciiTheme="minorEastAsia" w:hAnsiTheme="minorEastAsia" w:eastAsiaTheme="minorEastAsia"/>
          <w:b/>
          <w:color w:val="000000" w:themeColor="text1"/>
          <w14:textFill>
            <w14:solidFill>
              <w14:schemeClr w14:val="tx1"/>
            </w14:solidFill>
          </w14:textFill>
        </w:rPr>
        <w:t>落实政府采购政策需满足的资格要求选择提供相应的材料；未要求的，无需提供</w:t>
      </w:r>
      <w:r>
        <w:rPr>
          <w:rFonts w:hint="eastAsia" w:cs="仿宋_GB2312" w:asciiTheme="minorEastAsia" w:hAnsiTheme="minorEastAsia" w:eastAsiaTheme="minorEastAsia"/>
          <w:b/>
          <w:color w:val="000000" w:themeColor="text1"/>
          <w14:textFill>
            <w14:solidFill>
              <w14:schemeClr w14:val="tx1"/>
            </w14:solidFill>
          </w14:textFill>
        </w:rPr>
        <w:t>）</w:t>
      </w:r>
    </w:p>
    <w:p>
      <w:pPr>
        <w:snapToGrid w:val="0"/>
        <w:spacing w:line="440" w:lineRule="exact"/>
        <w:ind w:firstLine="472" w:firstLineChars="196"/>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A</w:t>
      </w:r>
      <w:r>
        <w:rPr>
          <w:rFonts w:hint="eastAsia" w:cs="仿宋_GB2312" w:asciiTheme="minorEastAsia" w:hAnsiTheme="minorEastAsia" w:eastAsiaTheme="minorEastAsia"/>
          <w:color w:val="000000" w:themeColor="text1"/>
          <w14:textFill>
            <w14:solidFill>
              <w14:schemeClr w14:val="tx1"/>
            </w14:solidFill>
          </w14:textFill>
        </w:rPr>
        <w:t>.专门面向中小企业，货物全部由符合政策要求的中小企业（或小微企业）制造或者服务全部由符合政策要求的中小企业（或小微企业）承接的，提供相应的</w:t>
      </w:r>
      <w:r>
        <w:rPr>
          <w:rFonts w:hint="eastAsia" w:cs="仿宋_GB2312" w:asciiTheme="minorEastAsia" w:hAnsiTheme="minorEastAsia" w:eastAsiaTheme="minorEastAsia"/>
          <w:b/>
          <w:color w:val="000000" w:themeColor="text1"/>
          <w14:textFill>
            <w14:solidFill>
              <w14:schemeClr w14:val="tx1"/>
            </w14:solidFill>
          </w14:textFill>
        </w:rPr>
        <w:t>中小企业声明函</w:t>
      </w:r>
      <w:r>
        <w:rPr>
          <w:rFonts w:hint="eastAsia" w:cs="仿宋_GB2312" w:asciiTheme="minorEastAsia" w:hAnsiTheme="minorEastAsia" w:eastAsiaTheme="minorEastAsia"/>
          <w:color w:val="000000" w:themeColor="text1"/>
          <w14:textFill>
            <w14:solidFill>
              <w14:schemeClr w14:val="tx1"/>
            </w14:solidFill>
          </w14:textFill>
        </w:rPr>
        <w:t xml:space="preserve">（附件）。 </w:t>
      </w:r>
    </w:p>
    <w:p>
      <w:pPr>
        <w:spacing w:line="440" w:lineRule="exact"/>
        <w:ind w:firstLine="472" w:firstLineChars="196"/>
        <w:rPr>
          <w:rFonts w:cs="仿宋_GB2312" w:asciiTheme="minorEastAsia" w:hAnsiTheme="minorEastAsia" w:eastAsiaTheme="minorEastAsia"/>
          <w:b/>
          <w:color w:val="000000" w:themeColor="text1"/>
          <w:sz w:val="32"/>
          <w:szCs w:val="32"/>
          <w:lang w:val="zh-CN"/>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B.</w:t>
      </w:r>
      <w:r>
        <w:rPr>
          <w:rFonts w:hint="eastAsia" w:cs="仿宋_GB2312" w:asciiTheme="minorEastAsia" w:hAnsiTheme="minorEastAsia" w:eastAsiaTheme="minorEastAsia"/>
          <w:color w:val="000000" w:themeColor="text1"/>
          <w14:textFill>
            <w14:solidFill>
              <w14:schemeClr w14:val="tx1"/>
            </w14:solidFill>
          </w14:textFill>
        </w:rPr>
        <w:t>要求以联合体形式参加的，提供联合协议和</w:t>
      </w:r>
      <w:r>
        <w:rPr>
          <w:rFonts w:hint="eastAsia" w:cs="仿宋_GB2312" w:asciiTheme="minorEastAsia" w:hAnsiTheme="minorEastAsia" w:eastAsiaTheme="minorEastAsia"/>
          <w:b/>
          <w:color w:val="000000" w:themeColor="text1"/>
          <w14:textFill>
            <w14:solidFill>
              <w14:schemeClr w14:val="tx1"/>
            </w14:solidFill>
          </w14:textFill>
        </w:rPr>
        <w:t>中小企业声明函</w:t>
      </w:r>
      <w:r>
        <w:rPr>
          <w:rFonts w:hint="eastAsia" w:cs="仿宋_GB2312" w:asciiTheme="minorEastAsia" w:hAnsiTheme="minorEastAsia" w:eastAsiaTheme="minorEastAsia"/>
          <w:color w:val="000000" w:themeColor="text1"/>
          <w14:textFill>
            <w14:solidFill>
              <w14:schemeClr w14:val="tx1"/>
            </w14:solidFill>
          </w14:textFill>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cs="仿宋_GB2312" w:asciiTheme="minorEastAsia" w:hAnsiTheme="minorEastAsia" w:eastAsiaTheme="minorEastAsia"/>
          <w:b/>
          <w:strike/>
          <w:dstrike w:val="0"/>
          <w:color w:val="000000" w:themeColor="text1"/>
          <w:sz w:val="32"/>
          <w:szCs w:val="32"/>
          <w:lang w:val="zh-CN"/>
          <w14:textFill>
            <w14:solidFill>
              <w14:schemeClr w14:val="tx1"/>
            </w14:solidFill>
          </w14:textFill>
        </w:rPr>
      </w:pPr>
      <w:r>
        <w:rPr>
          <w:rFonts w:hint="eastAsia" w:cs="仿宋_GB2312" w:asciiTheme="minorEastAsia" w:hAnsiTheme="minorEastAsia" w:eastAsiaTheme="minorEastAsia"/>
          <w:b/>
          <w:strike/>
          <w:dstrike w:val="0"/>
          <w:color w:val="000000" w:themeColor="text1"/>
          <w:sz w:val="32"/>
          <w:szCs w:val="32"/>
          <w:lang w:val="zh-CN"/>
          <w14:textFill>
            <w14:solidFill>
              <w14:schemeClr w14:val="tx1"/>
            </w14:solidFill>
          </w14:textFill>
        </w:rPr>
        <w:t>联合协议</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single"/>
          <w14:textFill>
            <w14:solidFill>
              <w14:schemeClr w14:val="tx1"/>
            </w14:solidFill>
          </w14:textFill>
        </w:rPr>
        <w:t>（联合体所有成员名称）</w:t>
      </w:r>
      <w:r>
        <w:rPr>
          <w:rFonts w:hint="eastAsia" w:cs="仿宋_GB2312" w:asciiTheme="minorEastAsia" w:hAnsiTheme="minorEastAsia" w:eastAsiaTheme="minorEastAsia"/>
          <w:strike/>
          <w:dstrike w:val="0"/>
          <w:color w:val="000000" w:themeColor="text1"/>
          <w14:textFill>
            <w14:solidFill>
              <w14:schemeClr w14:val="tx1"/>
            </w14:solidFill>
          </w14:textFill>
        </w:rPr>
        <w:t>自愿</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组成一个联合体，以一个投标人的身份</w:t>
      </w:r>
      <w:r>
        <w:rPr>
          <w:rFonts w:hint="eastAsia" w:cs="仿宋_GB2312" w:asciiTheme="minorEastAsia" w:hAnsiTheme="minorEastAsia" w:eastAsiaTheme="minorEastAsia"/>
          <w:strike/>
          <w:dstrike w:val="0"/>
          <w:color w:val="000000" w:themeColor="text1"/>
          <w14:textFill>
            <w14:solidFill>
              <w14:schemeClr w14:val="tx1"/>
            </w14:solidFill>
          </w14:textFill>
        </w:rPr>
        <w:t>参加（项目名称）【招标编号：</w:t>
      </w:r>
      <w:r>
        <w:rPr>
          <w:rFonts w:hint="eastAsia" w:asciiTheme="minorEastAsia" w:hAnsiTheme="minorEastAsia" w:eastAsiaTheme="minorEastAsia"/>
          <w:strike/>
          <w:dstrike w:val="0"/>
          <w:color w:val="000000" w:themeColor="text1"/>
          <w14:textFill>
            <w14:solidFill>
              <w14:schemeClr w14:val="tx1"/>
            </w14:solidFill>
          </w14:textFill>
        </w:rPr>
        <w:t>（采购编号）</w:t>
      </w:r>
      <w:r>
        <w:rPr>
          <w:rFonts w:hint="eastAsia" w:cs="仿宋_GB2312" w:asciiTheme="minorEastAsia" w:hAnsiTheme="minorEastAsia" w:eastAsiaTheme="minorEastAsia"/>
          <w:strike/>
          <w:dstrike w:val="0"/>
          <w:color w:val="000000" w:themeColor="text1"/>
          <w14:textFill>
            <w14:solidFill>
              <w14:schemeClr w14:val="tx1"/>
            </w14:solidFill>
          </w14:textFill>
        </w:rPr>
        <w:t>】</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 xml:space="preserve">投标。 </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一、各方一致决定，</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（某联合体成员名称）</w:t>
      </w:r>
      <w:r>
        <w:rPr>
          <w:rFonts w:hint="eastAsia" w:cs="仿宋_GB2312" w:asciiTheme="minorEastAsia" w:hAnsiTheme="minorEastAsia" w:eastAsiaTheme="minorEastAsia"/>
          <w:strike/>
          <w:dstrike w:val="0"/>
          <w:color w:val="000000" w:themeColor="text1"/>
          <w14:textFill>
            <w14:solidFill>
              <w14:schemeClr w14:val="tx1"/>
            </w14:solidFill>
          </w14:textFill>
        </w:rPr>
        <w:t>为联合体</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牵头人</w:t>
      </w:r>
      <w:r>
        <w:rPr>
          <w:rFonts w:hint="eastAsia" w:cs="Arial" w:asciiTheme="minorEastAsia" w:hAnsiTheme="minorEastAsia" w:eastAsiaTheme="minorEastAsia"/>
          <w:strike/>
          <w:dstrike w:val="0"/>
          <w:color w:val="000000" w:themeColor="text1"/>
          <w14:textFill>
            <w14:solidFill>
              <w14:schemeClr w14:val="tx1"/>
            </w14:solidFill>
          </w14:textFill>
        </w:rPr>
        <w:t>，代表所有联合体成员负责投标和合同实施阶段的主办、协调工作</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二、</w:t>
      </w:r>
      <w:r>
        <w:rPr>
          <w:rFonts w:hint="eastAsia" w:cs="Arial" w:asciiTheme="minorEastAsia" w:hAnsiTheme="minorEastAsia" w:eastAsiaTheme="minorEastAsia"/>
          <w:strike/>
          <w:dstrike w:val="0"/>
          <w:color w:val="000000" w:themeColor="text1"/>
          <w14:textFill>
            <w14:solidFill>
              <w14:schemeClr w14:val="tx1"/>
            </w14:solidFill>
          </w14:textFill>
        </w:rPr>
        <w:t>所有联合体成员各方签署授权书，授权书载明的</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三、本次联合投标中，分工如下：</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（联合体其中一方成员名称）</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承担的工作和义务为：</w:t>
      </w: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（联合体其中一方成员名称）</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承担的工作和义务为：</w:t>
      </w: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 xml:space="preserve"> ；……。</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四、</w:t>
      </w:r>
      <w:r>
        <w:rPr>
          <w:rFonts w:hint="eastAsia" w:asciiTheme="minorEastAsia" w:hAnsiTheme="minorEastAsia" w:eastAsiaTheme="minorEastAsia"/>
          <w:strike/>
          <w:dstrike w:val="0"/>
          <w:color w:val="000000" w:themeColor="text1"/>
          <w14:textFill>
            <w14:solidFill>
              <w14:schemeClr w14:val="tx1"/>
            </w14:solidFill>
          </w14:textFill>
        </w:rPr>
        <w:t>中小企业合同金额达到</w:t>
      </w: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r>
        <w:rPr>
          <w:rFonts w:hint="eastAsia" w:asciiTheme="minorEastAsia" w:hAnsiTheme="minorEastAsia" w:eastAsiaTheme="minorEastAsia"/>
          <w:strike/>
          <w:dstrike w:val="0"/>
          <w:color w:val="000000" w:themeColor="text1"/>
          <w14:textFill>
            <w14:solidFill>
              <w14:schemeClr w14:val="tx1"/>
            </w14:solidFill>
          </w14:textFill>
        </w:rPr>
        <w:t>%，小微企业合同金额达到</w:t>
      </w: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r>
        <w:rPr>
          <w:rFonts w:hint="eastAsia" w:asciiTheme="minorEastAsia" w:hAnsiTheme="minorEastAsia" w:eastAsiaTheme="minorEastAsia"/>
          <w:strike/>
          <w:dstrike w:val="0"/>
          <w:color w:val="000000" w:themeColor="text1"/>
          <w14:textFill>
            <w14:solidFill>
              <w14:schemeClr w14:val="tx1"/>
            </w14:solidFill>
          </w14:textFill>
        </w:rPr>
        <w:t>%</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五、如果中标，</w:t>
      </w:r>
      <w:r>
        <w:rPr>
          <w:rFonts w:hint="eastAsia" w:asciiTheme="minorEastAsia" w:hAnsiTheme="minorEastAsia" w:eastAsiaTheme="minorEastAsia"/>
          <w:strike/>
          <w:dstrike w:val="0"/>
          <w:color w:val="000000" w:themeColor="text1"/>
          <w14:textFill>
            <w14:solidFill>
              <w14:schemeClr w14:val="tx1"/>
            </w14:solidFill>
          </w14:textFill>
        </w:rPr>
        <w:t>联合体各成员方共同与采购人签订合同，并就采购合同约定的事项对采购人承担连带责任。</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六、有关本次联合投标的其他事宜：</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exact"/>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3、本协议提交采购人、采购机构后，联合体各方不得以任何形式对上述内容进行修改或撤销。</w:t>
      </w:r>
    </w:p>
    <w:p>
      <w:pPr>
        <w:snapToGrid w:val="0"/>
        <w:spacing w:line="360" w:lineRule="exact"/>
        <w:ind w:firstLine="5040" w:firstLineChars="2100"/>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联合体成员名称(盖章)：</w:t>
      </w:r>
    </w:p>
    <w:p>
      <w:pPr>
        <w:snapToGrid w:val="0"/>
        <w:spacing w:line="360" w:lineRule="exact"/>
        <w:ind w:firstLine="5040" w:firstLineChars="2100"/>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联合体成员名称(盖章)：</w:t>
      </w:r>
    </w:p>
    <w:p>
      <w:pPr>
        <w:snapToGrid w:val="0"/>
        <w:spacing w:line="360" w:lineRule="exact"/>
        <w:ind w:firstLine="5760" w:firstLineChars="2400"/>
        <w:jc w:val="center"/>
        <w:rPr>
          <w:rFonts w:asciiTheme="minorEastAsia" w:hAnsiTheme="minorEastAsia" w:eastAsiaTheme="minorEastAsia"/>
          <w:strike/>
          <w:dstrike w:val="0"/>
          <w:color w:val="000000" w:themeColor="text1"/>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w:t>
      </w:r>
    </w:p>
    <w:p>
      <w:pPr>
        <w:snapToGrid w:val="0"/>
        <w:spacing w:line="360" w:lineRule="exact"/>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 xml:space="preserve">                                               日期：   年   月    日</w:t>
      </w:r>
    </w:p>
    <w:p>
      <w:pPr>
        <w:pageBreakBefore/>
        <w:spacing w:line="360" w:lineRule="auto"/>
        <w:ind w:firstLine="482" w:firstLineChars="200"/>
        <w:rPr>
          <w:rFonts w:cs="仿宋_GB2312" w:asciiTheme="minorEastAsia" w:hAnsiTheme="minorEastAsia" w:eastAsiaTheme="minorEastAsia"/>
          <w:b/>
          <w:strike/>
          <w:dstrike w:val="0"/>
          <w:color w:val="000000" w:themeColor="text1"/>
          <w:sz w:val="32"/>
          <w:szCs w:val="32"/>
          <w14:textFill>
            <w14:solidFill>
              <w14:schemeClr w14:val="tx1"/>
            </w14:solidFill>
          </w14:textFill>
        </w:rPr>
      </w:pPr>
      <w:r>
        <w:rPr>
          <w:rFonts w:hint="eastAsia" w:cs="仿宋_GB2312" w:asciiTheme="minorEastAsia" w:hAnsiTheme="minorEastAsia" w:eastAsiaTheme="minorEastAsia"/>
          <w:b/>
          <w:strike/>
          <w:dstrike w:val="0"/>
          <w:color w:val="000000" w:themeColor="text1"/>
          <w14:textFill>
            <w14:solidFill>
              <w14:schemeClr w14:val="tx1"/>
            </w14:solidFill>
          </w14:textFill>
        </w:rPr>
        <w:t>C、</w:t>
      </w:r>
      <w:r>
        <w:rPr>
          <w:rFonts w:hint="eastAsia" w:cs="仿宋_GB2312" w:asciiTheme="minorEastAsia" w:hAnsiTheme="minorEastAsia" w:eastAsiaTheme="minorEastAsia"/>
          <w:strike/>
          <w:dstrike w:val="0"/>
          <w:color w:val="000000" w:themeColor="text1"/>
          <w14:textFill>
            <w14:solidFill>
              <w14:schemeClr w14:val="tx1"/>
            </w14:solidFill>
          </w14:textFill>
        </w:rPr>
        <w:t>要求合同分包的，提供分包意向协议和</w:t>
      </w:r>
      <w:r>
        <w:rPr>
          <w:rFonts w:hint="eastAsia" w:cs="仿宋_GB2312" w:asciiTheme="minorEastAsia" w:hAnsiTheme="minorEastAsia" w:eastAsiaTheme="minorEastAsia"/>
          <w:b/>
          <w:strike/>
          <w:dstrike w:val="0"/>
          <w:color w:val="000000" w:themeColor="text1"/>
          <w14:textFill>
            <w14:solidFill>
              <w14:schemeClr w14:val="tx1"/>
            </w14:solidFill>
          </w14:textFill>
        </w:rPr>
        <w:t>中小企业声明函（附件）</w:t>
      </w:r>
      <w:r>
        <w:rPr>
          <w:rFonts w:hint="eastAsia" w:cs="仿宋_GB2312" w:asciiTheme="minorEastAsia" w:hAnsiTheme="minorEastAsia" w:eastAsiaTheme="minorEastAsia"/>
          <w:strike/>
          <w:dstrike w:val="0"/>
          <w:color w:val="000000" w:themeColor="text1"/>
          <w14:textFill>
            <w14:solidFill>
              <w14:schemeClr w14:val="tx1"/>
            </w14:solidFill>
          </w14:textFill>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cs="仿宋_GB2312" w:asciiTheme="minorEastAsia" w:hAnsiTheme="minorEastAsia" w:eastAsiaTheme="minorEastAsia"/>
          <w:b/>
          <w:strike/>
          <w:dstrike w:val="0"/>
          <w:color w:val="000000" w:themeColor="text1"/>
          <w:sz w:val="32"/>
          <w:szCs w:val="32"/>
          <w14:textFill>
            <w14:solidFill>
              <w14:schemeClr w14:val="tx1"/>
            </w14:solidFill>
          </w14:textFill>
        </w:rPr>
      </w:pPr>
      <w:r>
        <w:rPr>
          <w:rFonts w:hint="eastAsia" w:cs="仿宋_GB2312" w:asciiTheme="minorEastAsia" w:hAnsiTheme="minorEastAsia" w:eastAsiaTheme="minorEastAsia"/>
          <w:b/>
          <w:strike/>
          <w:dstrike w:val="0"/>
          <w:color w:val="000000" w:themeColor="text1"/>
          <w:sz w:val="32"/>
          <w:szCs w:val="32"/>
          <w14:textFill>
            <w14:solidFill>
              <w14:schemeClr w14:val="tx1"/>
            </w14:solidFill>
          </w14:textFill>
        </w:rPr>
        <w:t>分包意向协议</w:t>
      </w:r>
    </w:p>
    <w:p>
      <w:pPr>
        <w:spacing w:line="360" w:lineRule="auto"/>
        <w:ind w:firstLine="120" w:firstLineChars="50"/>
        <w:rPr>
          <w:rFonts w:cs="仿宋_GB2312" w:asciiTheme="minorEastAsia" w:hAnsiTheme="minorEastAsia" w:eastAsiaTheme="minorEastAsia"/>
          <w:strike/>
          <w:dstrike w:val="0"/>
          <w:color w:val="000000" w:themeColor="text1"/>
          <w14:textFill>
            <w14:solidFill>
              <w14:schemeClr w14:val="tx1"/>
            </w14:solidFill>
          </w14:textFill>
        </w:rPr>
      </w:pPr>
      <w:r>
        <w:rPr>
          <w:rFonts w:hint="eastAsia" w:cs="仿宋_GB2312" w:asciiTheme="minorEastAsia" w:hAnsiTheme="minorEastAsia" w:eastAsiaTheme="minorEastAsia"/>
          <w:strike/>
          <w:dstrike w:val="0"/>
          <w:color w:val="000000" w:themeColor="text1"/>
          <w14:textFill>
            <w14:solidFill>
              <w14:schemeClr w14:val="tx1"/>
            </w14:solidFill>
          </w14:textFill>
        </w:rPr>
        <w:t>（</w:t>
      </w:r>
      <w:r>
        <w:rPr>
          <w:rFonts w:hint="eastAsia" w:cs="仿宋_GB2312" w:asciiTheme="minorEastAsia" w:hAnsiTheme="minorEastAsia" w:eastAsiaTheme="minorEastAsia"/>
          <w:b/>
          <w:strike/>
          <w:dstrike w:val="0"/>
          <w:color w:val="000000" w:themeColor="text1"/>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cs="仿宋_GB2312" w:asciiTheme="minorEastAsia" w:hAnsiTheme="minorEastAsia" w:eastAsiaTheme="minorEastAsia"/>
          <w:strike/>
          <w:dstrike w:val="0"/>
          <w:color w:val="000000" w:themeColor="text1"/>
          <w14:textFill>
            <w14:solidFill>
              <w14:schemeClr w14:val="tx1"/>
            </w14:solidFill>
          </w14:textFill>
        </w:rPr>
        <w:t>）</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（投标人名称）</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若成为</w:t>
      </w:r>
      <w:r>
        <w:rPr>
          <w:rFonts w:hint="eastAsia" w:cs="仿宋_GB2312" w:asciiTheme="minorEastAsia" w:hAnsiTheme="minorEastAsia" w:eastAsiaTheme="minorEastAsia"/>
          <w:strike/>
          <w:dstrike w:val="0"/>
          <w:color w:val="000000" w:themeColor="text1"/>
          <w14:textFill>
            <w14:solidFill>
              <w14:schemeClr w14:val="tx1"/>
            </w14:solidFill>
          </w14:textFill>
        </w:rPr>
        <w:t>（项目名称）【招标编号：</w:t>
      </w:r>
      <w:r>
        <w:rPr>
          <w:rFonts w:hint="eastAsia" w:asciiTheme="minorEastAsia" w:hAnsiTheme="minorEastAsia" w:eastAsiaTheme="minorEastAsia"/>
          <w:strike/>
          <w:dstrike w:val="0"/>
          <w:color w:val="000000" w:themeColor="text1"/>
          <w14:textFill>
            <w14:solidFill>
              <w14:schemeClr w14:val="tx1"/>
            </w14:solidFill>
          </w14:textFill>
        </w:rPr>
        <w:t>（采购编号）</w:t>
      </w:r>
      <w:r>
        <w:rPr>
          <w:rFonts w:hint="eastAsia" w:cs="仿宋_GB2312" w:asciiTheme="minorEastAsia" w:hAnsiTheme="minorEastAsia" w:eastAsiaTheme="minorEastAsia"/>
          <w:strike/>
          <w:dstrike w:val="0"/>
          <w:color w:val="000000" w:themeColor="text1"/>
          <w14:textFill>
            <w14:solidFill>
              <w14:schemeClr w14:val="tx1"/>
            </w14:solidFill>
          </w14:textFill>
        </w:rPr>
        <w:t>】</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的中标供应商，将依法采取分包方式履行合同。</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（投标人名称）</w:t>
      </w:r>
      <w:r>
        <w:rPr>
          <w:rFonts w:hint="eastAsia" w:cs="仿宋_GB2312" w:asciiTheme="minorEastAsia" w:hAnsiTheme="minorEastAsia" w:eastAsiaTheme="minorEastAsia"/>
          <w:strike/>
          <w:dstrike w:val="0"/>
          <w:color w:val="000000" w:themeColor="text1"/>
          <w14:textFill>
            <w14:solidFill>
              <w14:schemeClr w14:val="tx1"/>
            </w14:solidFill>
          </w14:textFill>
        </w:rPr>
        <w:t>与</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（所有分包供应商名称）</w:t>
      </w:r>
      <w:r>
        <w:rPr>
          <w:rFonts w:hint="eastAsia" w:cs="仿宋_GB2312" w:asciiTheme="minorEastAsia" w:hAnsiTheme="minorEastAsia" w:eastAsiaTheme="minorEastAsia"/>
          <w:strike/>
          <w:dstrike w:val="0"/>
          <w:color w:val="000000" w:themeColor="text1"/>
          <w14:textFill>
            <w14:solidFill>
              <w14:schemeClr w14:val="tx1"/>
            </w14:solidFill>
          </w14:textFill>
        </w:rPr>
        <w:t>达成分包意向协议</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一、分包标的及数量</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（投标人名称）</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将</w:t>
      </w: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XX工作内容   </w:t>
      </w:r>
      <w:r>
        <w:rPr>
          <w:rFonts w:hint="eastAsia" w:cs="Arial" w:asciiTheme="minorEastAsia" w:hAnsiTheme="minorEastAsia" w:eastAsiaTheme="minorEastAsia"/>
          <w:strike/>
          <w:dstrike w:val="0"/>
          <w:color w:val="000000" w:themeColor="text1"/>
          <w14:textFill>
            <w14:solidFill>
              <w14:schemeClr w14:val="tx1"/>
            </w14:solidFill>
          </w14:textFill>
        </w:rPr>
        <w:t>分包给</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（某分包供应商名称）</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w:t>
      </w:r>
      <w:r>
        <w:rPr>
          <w:rFonts w:hint="eastAsia" w:cs="仿宋_GB2312" w:asciiTheme="minorEastAsia" w:hAnsiTheme="minorEastAsia" w:eastAsiaTheme="minorEastAsia"/>
          <w:strike/>
          <w:dstrike w:val="0"/>
          <w:color w:val="000000" w:themeColor="text1"/>
          <w:u w:val="single"/>
          <w14:textFill>
            <w14:solidFill>
              <w14:schemeClr w14:val="tx1"/>
            </w14:solidFill>
          </w14:textFill>
        </w:rPr>
        <w:t>（某分包供</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应商名称），具备承担XX工作内容相应资质条件且不得再次分包；</w:t>
      </w:r>
    </w:p>
    <w:p>
      <w:pPr>
        <w:snapToGrid w:val="0"/>
        <w:spacing w:line="360" w:lineRule="auto"/>
        <w:ind w:firstLine="964" w:firstLineChars="400"/>
        <w:rPr>
          <w:rFonts w:cs="仿宋_GB2312" w:asciiTheme="minorEastAsia" w:hAnsiTheme="minorEastAsia" w:eastAsiaTheme="minorEastAsia"/>
          <w:b/>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b/>
          <w:strike/>
          <w:dstrike w:val="0"/>
          <w:color w:val="000000" w:themeColor="text1"/>
          <w:lang w:val="zh-CN"/>
          <w14:textFill>
            <w14:solidFill>
              <w14:schemeClr w14:val="tx1"/>
            </w14:solidFill>
          </w14:textFill>
        </w:rPr>
        <w:t>……</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二、分包工作履行期限、地点、方式</w:t>
      </w:r>
    </w:p>
    <w:p>
      <w:pPr>
        <w:snapToGrid w:val="0"/>
        <w:spacing w:line="360" w:lineRule="auto"/>
        <w:ind w:firstLine="576"/>
        <w:rPr>
          <w:rFonts w:asciiTheme="minorEastAsia" w:hAnsiTheme="minorEastAsia" w:eastAsiaTheme="minorEastAsia"/>
          <w:strike/>
          <w:dstrike w:val="0"/>
          <w:color w:val="000000" w:themeColor="text1"/>
          <w:u w:val="single"/>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三、质量</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四、价款或者报酬</w:t>
      </w:r>
    </w:p>
    <w:p>
      <w:pPr>
        <w:snapToGrid w:val="0"/>
        <w:spacing w:line="360" w:lineRule="auto"/>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五、违约责任</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六、争议解决的办法</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p>
    <w:p>
      <w:pPr>
        <w:snapToGrid w:val="0"/>
        <w:spacing w:line="360" w:lineRule="auto"/>
        <w:ind w:firstLine="576"/>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七、其他</w:t>
      </w:r>
    </w:p>
    <w:p>
      <w:pPr>
        <w:snapToGrid w:val="0"/>
        <w:spacing w:line="360" w:lineRule="auto"/>
        <w:ind w:left="5040" w:hanging="5040" w:hangingChars="2100"/>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asciiTheme="minorEastAsia" w:hAnsiTheme="minorEastAsia" w:eastAsiaTheme="minorEastAsia"/>
          <w:strike/>
          <w:dstrike w:val="0"/>
          <w:color w:val="000000" w:themeColor="text1"/>
          <w14:textFill>
            <w14:solidFill>
              <w14:schemeClr w14:val="tx1"/>
            </w14:solidFill>
          </w14:textFill>
        </w:rPr>
        <w:t>中小企业合同金额达到</w:t>
      </w: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r>
        <w:rPr>
          <w:rFonts w:hint="eastAsia" w:asciiTheme="minorEastAsia" w:hAnsiTheme="minorEastAsia" w:eastAsiaTheme="minorEastAsia"/>
          <w:strike/>
          <w:dstrike w:val="0"/>
          <w:color w:val="000000" w:themeColor="text1"/>
          <w14:textFill>
            <w14:solidFill>
              <w14:schemeClr w14:val="tx1"/>
            </w14:solidFill>
          </w14:textFill>
        </w:rPr>
        <w:t>%，小微企业合同金额达到</w:t>
      </w:r>
      <w:r>
        <w:rPr>
          <w:rFonts w:hint="eastAsia" w:asciiTheme="minorEastAsia" w:hAnsiTheme="minorEastAsia" w:eastAsiaTheme="minorEastAsia"/>
          <w:strike/>
          <w:dstrike w:val="0"/>
          <w:color w:val="000000" w:themeColor="text1"/>
          <w:u w:val="single"/>
          <w14:textFill>
            <w14:solidFill>
              <w14:schemeClr w14:val="tx1"/>
            </w14:solidFill>
          </w14:textFill>
        </w:rPr>
        <w:t xml:space="preserve">   </w:t>
      </w:r>
      <w:r>
        <w:rPr>
          <w:rFonts w:hint="eastAsia" w:asciiTheme="minorEastAsia" w:hAnsiTheme="minorEastAsia" w:eastAsiaTheme="minorEastAsia"/>
          <w:strike/>
          <w:dstrike w:val="0"/>
          <w:color w:val="000000" w:themeColor="text1"/>
          <w14:textFill>
            <w14:solidFill>
              <w14:schemeClr w14:val="tx1"/>
            </w14:solidFill>
          </w14:textFill>
        </w:rPr>
        <w:t>%</w:t>
      </w: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w:t>
      </w:r>
    </w:p>
    <w:p>
      <w:pPr>
        <w:snapToGrid w:val="0"/>
        <w:spacing w:line="360" w:lineRule="auto"/>
        <w:ind w:left="5040" w:leftChars="2100" w:firstLine="720" w:firstLineChars="300"/>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投标人名称(盖章)：</w:t>
      </w:r>
    </w:p>
    <w:p>
      <w:pPr>
        <w:snapToGrid w:val="0"/>
        <w:spacing w:line="360" w:lineRule="auto"/>
        <w:ind w:firstLine="5880" w:firstLineChars="2450"/>
        <w:rPr>
          <w:rFonts w:cs="仿宋_GB2312" w:asciiTheme="minorEastAsia" w:hAnsiTheme="minorEastAsia" w:eastAsiaTheme="minorEastAsia"/>
          <w:strike/>
          <w:dstrike w:val="0"/>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分包供应商名称：</w:t>
      </w:r>
    </w:p>
    <w:p>
      <w:pPr>
        <w:snapToGrid w:val="0"/>
        <w:spacing w:line="360" w:lineRule="auto"/>
        <w:ind w:firstLine="6000" w:firstLineChars="2500"/>
        <w:rPr>
          <w:rFonts w:asciiTheme="minorEastAsia" w:hAnsiTheme="minorEastAsia" w:eastAsiaTheme="minorEastAsia"/>
          <w:strike/>
          <w:dstrike w:val="0"/>
          <w:color w:val="000000" w:themeColor="text1"/>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w:t>
      </w:r>
    </w:p>
    <w:p>
      <w:pPr>
        <w:spacing w:line="360" w:lineRule="auto"/>
        <w:ind w:right="720"/>
        <w:jc w:val="right"/>
        <w:rPr>
          <w:rFonts w:cs="仿宋_GB2312" w:asciiTheme="minorEastAsia" w:hAnsiTheme="minorEastAsia" w:eastAsiaTheme="minorEastAsia"/>
          <w:color w:val="000000" w:themeColor="text1"/>
          <w:lang w:val="zh-CN"/>
          <w14:textFill>
            <w14:solidFill>
              <w14:schemeClr w14:val="tx1"/>
            </w14:solidFill>
          </w14:textFill>
        </w:rPr>
      </w:pPr>
      <w:r>
        <w:rPr>
          <w:rFonts w:hint="eastAsia" w:cs="仿宋_GB2312" w:asciiTheme="minorEastAsia" w:hAnsiTheme="minorEastAsia" w:eastAsiaTheme="minorEastAsia"/>
          <w:strike/>
          <w:dstrike w:val="0"/>
          <w:color w:val="000000" w:themeColor="text1"/>
          <w:lang w:val="zh-CN"/>
          <w14:textFill>
            <w14:solidFill>
              <w14:schemeClr w14:val="tx1"/>
            </w14:solidFill>
          </w14:textFill>
        </w:rPr>
        <w:t>日期：  年   月   日</w:t>
      </w:r>
    </w:p>
    <w:p>
      <w:pPr>
        <w:pageBreakBefore/>
        <w:jc w:val="center"/>
        <w:outlineLvl w:val="2"/>
        <w:rPr>
          <w:rFonts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业务专用章使用说明函</w:t>
      </w:r>
    </w:p>
    <w:p>
      <w:pPr>
        <w:spacing w:line="360" w:lineRule="auto"/>
        <w:rPr>
          <w:rFonts w:cs="仿宋_GB2312" w:asciiTheme="minorEastAsia" w:hAnsiTheme="minorEastAsia" w:eastAsiaTheme="minorEastAsia"/>
          <w:color w:val="000000" w:themeColor="text1"/>
          <w:u w:val="single"/>
          <w14:textFill>
            <w14:solidFill>
              <w14:schemeClr w14:val="tx1"/>
            </w14:solidFill>
          </w14:textFill>
        </w:rPr>
      </w:pPr>
    </w:p>
    <w:p>
      <w:pPr>
        <w:spacing w:line="360" w:lineRule="auto"/>
        <w:rPr>
          <w:rFonts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u w:val="single"/>
          <w14:textFill>
            <w14:solidFill>
              <w14:schemeClr w14:val="tx1"/>
            </w14:solidFill>
          </w14:textFill>
        </w:rPr>
        <w:t>（采购人）、（采购代理机构）</w:t>
      </w:r>
    </w:p>
    <w:p>
      <w:pPr>
        <w:spacing w:line="360" w:lineRule="auto"/>
        <w:ind w:firstLine="480" w:firstLineChars="200"/>
        <w:rPr>
          <w:rFonts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lang w:val="zh-CN"/>
          <w14:textFill>
            <w14:solidFill>
              <w14:schemeClr w14:val="tx1"/>
            </w14:solidFill>
          </w14:textFill>
        </w:rPr>
        <w:t>我方</w:t>
      </w:r>
      <w:r>
        <w:rPr>
          <w:rFonts w:hint="eastAsia" w:cs="仿宋_GB2312" w:asciiTheme="minorEastAsia" w:hAnsiTheme="minorEastAsia" w:eastAsiaTheme="minorEastAsia"/>
          <w:color w:val="000000" w:themeColor="text1"/>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(投标人全称)</w:t>
      </w:r>
      <w:r>
        <w:rPr>
          <w:rFonts w:hint="eastAsia" w:asciiTheme="minorEastAsia" w:hAnsiTheme="minorEastAsia" w:eastAsiaTheme="minorEastAsia"/>
          <w:color w:val="000000" w:themeColor="text1"/>
          <w14:textFill>
            <w14:solidFill>
              <w14:schemeClr w14:val="tx1"/>
            </w14:solidFill>
          </w14:textFill>
        </w:rPr>
        <w:t>是中华人民共和国依法登记注册的合法企业，</w:t>
      </w:r>
      <w:r>
        <w:rPr>
          <w:rFonts w:hint="eastAsia" w:asciiTheme="minorEastAsia" w:hAnsiTheme="minorEastAsia" w:eastAsiaTheme="minorEastAsia"/>
          <w:bCs/>
          <w:color w:val="000000" w:themeColor="text1"/>
          <w14:textFill>
            <w14:solidFill>
              <w14:schemeClr w14:val="tx1"/>
            </w14:solidFill>
          </w14:textFill>
        </w:rPr>
        <w:t>在参加</w:t>
      </w:r>
      <w:r>
        <w:rPr>
          <w:rFonts w:hint="eastAsia" w:cs="仿宋_GB2312" w:asciiTheme="minorEastAsia" w:hAnsiTheme="minorEastAsia" w:eastAsiaTheme="minorEastAsia"/>
          <w:color w:val="000000" w:themeColor="text1"/>
          <w14:textFill>
            <w14:solidFill>
              <w14:schemeClr w14:val="tx1"/>
            </w14:solidFill>
          </w14:textFill>
        </w:rPr>
        <w:t>你方组织的（项目名称）项目【招标编号：（采购编号）】</w:t>
      </w:r>
      <w:r>
        <w:rPr>
          <w:rFonts w:hint="eastAsia" w:asciiTheme="minorEastAsia" w:hAnsiTheme="minorEastAsia" w:eastAsiaTheme="minorEastAsia"/>
          <w:bCs/>
          <w:color w:val="000000" w:themeColor="text1"/>
          <w14:textFill>
            <w14:solidFill>
              <w14:schemeClr w14:val="tx1"/>
            </w14:solidFill>
          </w14:textFill>
        </w:rPr>
        <w:t>投标活动中作如下说明：</w:t>
      </w:r>
      <w:r>
        <w:rPr>
          <w:rFonts w:hint="eastAsia" w:asciiTheme="minorEastAsia" w:hAnsiTheme="minorEastAsia" w:eastAsiaTheme="minorEastAsia"/>
          <w:color w:val="000000" w:themeColor="text1"/>
          <w14:textFill>
            <w14:solidFill>
              <w14:schemeClr w14:val="tx1"/>
            </w14:solidFill>
          </w14:textFill>
        </w:rPr>
        <w:t>我方所使用的“</w:t>
      </w:r>
      <w:r>
        <w:rPr>
          <w:rFonts w:hint="eastAsia" w:cs="仿宋_GB2312" w:asciiTheme="minorEastAsia" w:hAnsiTheme="minorEastAsia" w:eastAsiaTheme="minorEastAsia"/>
          <w:color w:val="000000" w:themeColor="text1"/>
          <w14:textFill>
            <w14:solidFill>
              <w14:schemeClr w14:val="tx1"/>
            </w14:solidFill>
          </w14:textFill>
        </w:rPr>
        <w:t>XX</w:t>
      </w:r>
      <w:r>
        <w:rPr>
          <w:rFonts w:hint="eastAsia" w:asciiTheme="minorEastAsia" w:hAnsiTheme="minorEastAsia" w:eastAsiaTheme="minorEastAsia"/>
          <w:color w:val="000000" w:themeColor="text1"/>
          <w14:textFill>
            <w14:solidFill>
              <w14:schemeClr w14:val="tx1"/>
            </w14:solidFill>
          </w14:textFill>
        </w:rPr>
        <w:t>专用章”与法定名称章具有同等的法律效力，对使用“</w:t>
      </w:r>
      <w:r>
        <w:rPr>
          <w:rFonts w:hint="eastAsia" w:cs="仿宋_GB2312" w:asciiTheme="minorEastAsia" w:hAnsiTheme="minorEastAsia" w:eastAsiaTheme="minorEastAsia"/>
          <w:color w:val="000000" w:themeColor="text1"/>
          <w14:textFill>
            <w14:solidFill>
              <w14:schemeClr w14:val="tx1"/>
            </w14:solidFill>
          </w14:textFill>
        </w:rPr>
        <w:t>XX</w:t>
      </w:r>
      <w:r>
        <w:rPr>
          <w:rFonts w:hint="eastAsia" w:asciiTheme="minorEastAsia" w:hAnsiTheme="minorEastAsia" w:eastAsiaTheme="minorEastAsia"/>
          <w:color w:val="000000" w:themeColor="text1"/>
          <w14:textFill>
            <w14:solidFill>
              <w14:schemeClr w14:val="tx1"/>
            </w14:solidFill>
          </w14:textFill>
        </w:rPr>
        <w:t>专用章”的行为予以完全承认，并愿意承担相应责任。</w:t>
      </w:r>
    </w:p>
    <w:p>
      <w:pPr>
        <w:spacing w:line="360" w:lineRule="auto"/>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特此说明。</w:t>
      </w:r>
    </w:p>
    <w:p>
      <w:pPr>
        <w:spacing w:line="360" w:lineRule="auto"/>
        <w:ind w:firstLine="494"/>
        <w:rPr>
          <w:rFonts w:asciiTheme="minorEastAsia" w:hAnsiTheme="minorEastAsia" w:eastAsiaTheme="minorEastAsia"/>
          <w:color w:val="000000" w:themeColor="text1"/>
          <w14:textFill>
            <w14:solidFill>
              <w14:schemeClr w14:val="tx1"/>
            </w14:solidFill>
          </w14:textFill>
        </w:rPr>
      </w:pPr>
    </w:p>
    <w:p>
      <w:pPr>
        <w:spacing w:line="360" w:lineRule="auto"/>
        <w:ind w:firstLine="494"/>
        <w:rPr>
          <w:rFonts w:asciiTheme="minorEastAsia" w:hAnsiTheme="minorEastAsia" w:eastAsiaTheme="minorEastAsia"/>
          <w:color w:val="000000" w:themeColor="text1"/>
          <w14:textFill>
            <w14:solidFill>
              <w14:schemeClr w14:val="tx1"/>
            </w14:solidFill>
          </w14:textFill>
        </w:rPr>
      </w:pPr>
    </w:p>
    <w:p>
      <w:pPr>
        <w:spacing w:line="360" w:lineRule="auto"/>
        <w:ind w:firstLine="494"/>
        <w:rPr>
          <w:rFonts w:asciiTheme="minorEastAsia" w:hAnsiTheme="minorEastAsia" w:eastAsiaTheme="minorEastAsia"/>
          <w:color w:val="000000" w:themeColor="text1"/>
          <w14:textFill>
            <w14:solidFill>
              <w14:schemeClr w14:val="tx1"/>
            </w14:solidFill>
          </w14:textFill>
        </w:rPr>
      </w:pPr>
    </w:p>
    <w:p>
      <w:pPr>
        <w:spacing w:line="360" w:lineRule="auto"/>
        <w:ind w:firstLine="494"/>
        <w:rPr>
          <w:rFonts w:asciiTheme="minorEastAsia" w:hAnsiTheme="minorEastAsia" w:eastAsiaTheme="minorEastAsia"/>
          <w:color w:val="000000" w:themeColor="text1"/>
          <w14:textFill>
            <w14:solidFill>
              <w14:schemeClr w14:val="tx1"/>
            </w14:solidFill>
          </w14:textFill>
        </w:rPr>
      </w:pPr>
    </w:p>
    <w:p>
      <w:pPr>
        <w:spacing w:line="360" w:lineRule="auto"/>
        <w:ind w:firstLine="4080" w:firstLineChars="17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投标人（盖章）：</w:t>
      </w:r>
    </w:p>
    <w:p>
      <w:pPr>
        <w:ind w:right="1680" w:firstLine="494"/>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日期：      年     月    日</w:t>
      </w:r>
    </w:p>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附：</w:t>
      </w:r>
    </w:p>
    <w:p>
      <w:pPr>
        <w:spacing w:line="360" w:lineRule="auto"/>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WQDz/YAAAACgEAAA8AAAAAAAAAAQAgAAAAIgAAAGRycy9kb3du&#10;cmV2LnhtbFBLAQIUABQAAAAIAIdO4kAwajeqOAIAAH4EAAAOAAAAAAAAAAEAIAAAACcBAABkcnMv&#10;ZTJvRG9jLnhtbFBLBQYAAAAABgAGAFkBAADRBQAAAAA=&#10;">
                <v:fill on="t" focussize="0,0"/>
                <v:stroke color="#000000" miterlimit="2" joinstyle="miter"/>
                <v:imagedata o:title=""/>
                <o:lock v:ext="edit" aspectratio="f"/>
              </v:rect>
            </w:pict>
          </mc:Fallback>
        </mc:AlternateContent>
      </w:r>
      <w:r>
        <w:rPr>
          <w:rFonts w:asciiTheme="minorEastAsia" w:hAnsiTheme="minorEastAsia" w:eastAsiaTheme="minorEastAsia"/>
          <w:color w:val="000000" w:themeColor="text1"/>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Mq0s6DcCAAB+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0P&#10;lab0yPfkWOf8GsoDuYfQjS1dWlrUgF84a2hkCx4+bwUqzswbRx2YDIbDdsZTMBxd5RTgZWZ9mRFO&#10;ElTBI2fdchG7e7H1qDc1nTRIih3cUNcqnfxs+XWsqA9tQGOZOnK8Qu3cX8ap6s9vY/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YxHptgAAAAKAQAADwAAAAAAAAABACAAAAAiAAAAZHJzL2Rvd25y&#10;ZXYueG1sUEsBAhQAFAAAAAgAh07iQDKtLOg3AgAAfgQAAA4AAAAAAAAAAQAgAAAAJwEAAGRycy9l&#10;Mm9Eb2MueG1sUEsFBgAAAAAGAAYAWQEAANAFAAAAAA==&#10;">
                <v:fill on="t" focussize="0,0"/>
                <v:stroke color="#000000" miterlimit="2" joinstyle="miter"/>
                <v:imagedata o:title=""/>
                <o:lock v:ext="edit" aspectratio="f"/>
              </v:rect>
            </w:pict>
          </mc:Fallback>
        </mc:AlternateContent>
      </w:r>
      <w:r>
        <w:rPr>
          <w:rFonts w:hint="eastAsia" w:asciiTheme="minorEastAsia" w:hAnsiTheme="minorEastAsia" w:eastAsiaTheme="minorEastAsia"/>
          <w:color w:val="000000" w:themeColor="text1"/>
          <w14:textFill>
            <w14:solidFill>
              <w14:schemeClr w14:val="tx1"/>
            </w14:solidFill>
          </w14:textFill>
        </w:rPr>
        <w:t>投标人法定名称章（印模）                投标人“</w:t>
      </w:r>
      <w:r>
        <w:rPr>
          <w:rFonts w:hint="eastAsia" w:cs="仿宋_GB2312" w:asciiTheme="minorEastAsia" w:hAnsiTheme="minorEastAsia" w:eastAsiaTheme="minorEastAsia"/>
          <w:color w:val="000000" w:themeColor="text1"/>
          <w14:textFill>
            <w14:solidFill>
              <w14:schemeClr w14:val="tx1"/>
            </w14:solidFill>
          </w14:textFill>
        </w:rPr>
        <w:t>XX</w:t>
      </w:r>
      <w:r>
        <w:rPr>
          <w:rFonts w:hint="eastAsia" w:asciiTheme="minorEastAsia" w:hAnsiTheme="minorEastAsia" w:eastAsiaTheme="minorEastAsia"/>
          <w:color w:val="000000" w:themeColor="text1"/>
          <w14:textFill>
            <w14:solidFill>
              <w14:schemeClr w14:val="tx1"/>
            </w14:solidFill>
          </w14:textFill>
        </w:rPr>
        <w:t>专用章”（印模）</w:t>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中小企业声明函</w:t>
      </w:r>
    </w:p>
    <w:p>
      <w:pPr>
        <w:rPr>
          <w:rFonts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中小企业声明函（货物）</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本公司（联合体）郑重声明，根据《政府采购促进中小企业发展管理办法》（财库</w:t>
      </w:r>
      <w:r>
        <w:rPr>
          <w:rFonts w:hint="eastAsia"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2020</w:t>
      </w:r>
      <w:r>
        <w:rPr>
          <w:rFonts w:hint="eastAsia"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46 号）的规定，本公司（联合体）参加</w:t>
      </w:r>
      <w:r>
        <w:rPr>
          <w:rFonts w:hint="eastAsia" w:cs="仿宋_GB2312" w:asciiTheme="minorEastAsia" w:hAnsiTheme="minorEastAsia" w:eastAsiaTheme="minorEastAsia"/>
          <w:color w:val="000000" w:themeColor="text1"/>
          <w:u w:val="single"/>
          <w14:textFill>
            <w14:solidFill>
              <w14:schemeClr w14:val="tx1"/>
            </w14:solidFill>
          </w14:textFill>
        </w:rPr>
        <w:t xml:space="preserve"> xxx </w:t>
      </w:r>
      <w:r>
        <w:rPr>
          <w:rFonts w:hint="eastAsia" w:cs="仿宋_GB2312" w:asciiTheme="minorEastAsia" w:hAnsiTheme="minorEastAsia" w:eastAsiaTheme="minorEastAsia"/>
          <w:color w:val="000000" w:themeColor="text1"/>
          <w14:textFill>
            <w14:solidFill>
              <w14:schemeClr w14:val="tx1"/>
            </w14:solidFill>
          </w14:textFill>
        </w:rPr>
        <w:t>的</w:t>
      </w:r>
      <w:r>
        <w:rPr>
          <w:rFonts w:hint="eastAsia" w:cs="仿宋_GB2312" w:asciiTheme="minorEastAsia" w:hAnsiTheme="minorEastAsia" w:eastAsiaTheme="minorEastAsia"/>
          <w:color w:val="000000" w:themeColor="text1"/>
          <w:u w:val="single"/>
          <w14:textFill>
            <w14:solidFill>
              <w14:schemeClr w14:val="tx1"/>
            </w14:solidFill>
          </w14:textFill>
        </w:rPr>
        <w:t>xxx项目</w:t>
      </w:r>
      <w:r>
        <w:rPr>
          <w:rFonts w:hint="eastAsia" w:cs="仿宋_GB2312" w:asciiTheme="minorEastAsia" w:hAnsiTheme="minorEastAsia" w:eastAsiaTheme="minorEastAsia"/>
          <w:color w:val="000000" w:themeColor="text1"/>
          <w14:textFill>
            <w14:solidFill>
              <w14:schemeClr w14:val="tx1"/>
            </w14:solidFill>
          </w14:textFill>
        </w:rPr>
        <w:t>采购活动，提供的货物全部由符合政策要求的中小企业制造。相关企业（含联合体中的中小企业、签订分包意向协议的中小企业）的具体情况如下：</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w:t>
      </w:r>
      <w:r>
        <w:rPr>
          <w:rFonts w:hint="eastAsia" w:cs="仿宋_GB2312" w:asciiTheme="minorEastAsia" w:hAnsiTheme="minorEastAsia" w:eastAsiaTheme="minorEastAsia"/>
          <w:color w:val="000000" w:themeColor="text1"/>
          <w:u w:val="single"/>
          <w14:textFill>
            <w14:solidFill>
              <w14:schemeClr w14:val="tx1"/>
            </w14:solidFill>
          </w14:textFill>
        </w:rPr>
        <w:t xml:space="preserve">        （标的名称）</w:t>
      </w:r>
      <w:r>
        <w:rPr>
          <w:rFonts w:hint="eastAsia" w:cs="仿宋_GB2312" w:asciiTheme="minorEastAsia" w:hAnsiTheme="minorEastAsia" w:eastAsiaTheme="minorEastAsia"/>
          <w:color w:val="000000" w:themeColor="text1"/>
          <w14:textFill>
            <w14:solidFill>
              <w14:schemeClr w14:val="tx1"/>
            </w14:solidFill>
          </w14:textFill>
        </w:rPr>
        <w:t>，属于</w:t>
      </w:r>
      <w:r>
        <w:rPr>
          <w:rFonts w:hint="eastAsia" w:cs="仿宋_GB2312" w:asciiTheme="minorEastAsia" w:hAnsiTheme="minorEastAsia" w:eastAsiaTheme="minorEastAsia"/>
          <w:color w:val="000000" w:themeColor="text1"/>
          <w:u w:val="single"/>
          <w14:textFill>
            <w14:solidFill>
              <w14:schemeClr w14:val="tx1"/>
            </w14:solidFill>
          </w14:textFill>
        </w:rPr>
        <w:t>（采购文件中明确的所属行业）</w:t>
      </w:r>
      <w:r>
        <w:rPr>
          <w:rFonts w:hint="eastAsia" w:cs="仿宋_GB2312" w:asciiTheme="minorEastAsia" w:hAnsiTheme="minorEastAsia" w:eastAsiaTheme="minorEastAsia"/>
          <w:color w:val="000000" w:themeColor="text1"/>
          <w14:textFill>
            <w14:solidFill>
              <w14:schemeClr w14:val="tx1"/>
            </w14:solidFill>
          </w14:textFill>
        </w:rPr>
        <w:t>行业 ；制造商为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（企业名称） </w:t>
      </w:r>
      <w:r>
        <w:rPr>
          <w:rFonts w:hint="eastAsia" w:cs="仿宋_GB2312" w:asciiTheme="minorEastAsia" w:hAnsiTheme="minorEastAsia" w:eastAsiaTheme="minorEastAsia"/>
          <w:color w:val="000000" w:themeColor="text1"/>
          <w14:textFill>
            <w14:solidFill>
              <w14:schemeClr w14:val="tx1"/>
            </w14:solidFill>
          </w14:textFill>
        </w:rPr>
        <w:t>，从业人员</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人，营业收入为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万元，资产总额为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万元，属于</w:t>
      </w:r>
      <w:r>
        <w:rPr>
          <w:rFonts w:hint="eastAsia" w:cs="仿宋_GB2312" w:asciiTheme="minorEastAsia" w:hAnsiTheme="minorEastAsia" w:eastAsiaTheme="minorEastAsia"/>
          <w:color w:val="000000" w:themeColor="text1"/>
          <w:u w:val="single"/>
          <w14:textFill>
            <w14:solidFill>
              <w14:schemeClr w14:val="tx1"/>
            </w14:solidFill>
          </w14:textFill>
        </w:rPr>
        <w:t xml:space="preserve">     （中型企业、小型企业、微型企业）</w:t>
      </w:r>
      <w:r>
        <w:rPr>
          <w:rFonts w:hint="eastAsia" w:cs="仿宋_GB2312" w:asciiTheme="minorEastAsia" w:hAnsiTheme="minorEastAsia" w:eastAsiaTheme="minorEastAsia"/>
          <w:color w:val="000000" w:themeColor="text1"/>
          <w14:textFill>
            <w14:solidFill>
              <w14:schemeClr w14:val="tx1"/>
            </w14:solidFill>
          </w14:textFill>
        </w:rPr>
        <w:t xml:space="preserve"> ；</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w:t>
      </w:r>
      <w:r>
        <w:rPr>
          <w:rFonts w:hint="eastAsia" w:cs="仿宋_GB2312" w:asciiTheme="minorEastAsia" w:hAnsiTheme="minorEastAsia" w:eastAsiaTheme="minorEastAsia"/>
          <w:color w:val="000000" w:themeColor="text1"/>
          <w:u w:val="single"/>
          <w14:textFill>
            <w14:solidFill>
              <w14:schemeClr w14:val="tx1"/>
            </w14:solidFill>
          </w14:textFill>
        </w:rPr>
        <w:t xml:space="preserve">        （标的名称）</w:t>
      </w:r>
      <w:r>
        <w:rPr>
          <w:rFonts w:hint="eastAsia" w:cs="仿宋_GB2312" w:asciiTheme="minorEastAsia" w:hAnsiTheme="minorEastAsia" w:eastAsiaTheme="minorEastAsia"/>
          <w:color w:val="000000" w:themeColor="text1"/>
          <w14:textFill>
            <w14:solidFill>
              <w14:schemeClr w14:val="tx1"/>
            </w14:solidFill>
          </w14:textFill>
        </w:rPr>
        <w:t>，属于</w:t>
      </w:r>
      <w:r>
        <w:rPr>
          <w:rFonts w:hint="eastAsia" w:cs="仿宋_GB2312" w:asciiTheme="minorEastAsia" w:hAnsiTheme="minorEastAsia" w:eastAsiaTheme="minorEastAsia"/>
          <w:color w:val="000000" w:themeColor="text1"/>
          <w:u w:val="single"/>
          <w14:textFill>
            <w14:solidFill>
              <w14:schemeClr w14:val="tx1"/>
            </w14:solidFill>
          </w14:textFill>
        </w:rPr>
        <w:t>（采购文件中明确的所属行业）</w:t>
      </w:r>
      <w:r>
        <w:rPr>
          <w:rFonts w:hint="eastAsia" w:cs="仿宋_GB2312" w:asciiTheme="minorEastAsia" w:hAnsiTheme="minorEastAsia" w:eastAsiaTheme="minorEastAsia"/>
          <w:color w:val="000000" w:themeColor="text1"/>
          <w14:textFill>
            <w14:solidFill>
              <w14:schemeClr w14:val="tx1"/>
            </w14:solidFill>
          </w14:textFill>
        </w:rPr>
        <w:t>行业 ；制造商为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（企业名称） </w:t>
      </w:r>
      <w:r>
        <w:rPr>
          <w:rFonts w:hint="eastAsia" w:cs="仿宋_GB2312" w:asciiTheme="minorEastAsia" w:hAnsiTheme="minorEastAsia" w:eastAsiaTheme="minorEastAsia"/>
          <w:color w:val="000000" w:themeColor="text1"/>
          <w14:textFill>
            <w14:solidFill>
              <w14:schemeClr w14:val="tx1"/>
            </w14:solidFill>
          </w14:textFill>
        </w:rPr>
        <w:t>，从业人员</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人，营业收入为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万元，资产总额为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万元，属于</w:t>
      </w:r>
      <w:r>
        <w:rPr>
          <w:rFonts w:hint="eastAsia" w:cs="仿宋_GB2312" w:asciiTheme="minorEastAsia" w:hAnsiTheme="minorEastAsia" w:eastAsiaTheme="minorEastAsia"/>
          <w:color w:val="000000" w:themeColor="text1"/>
          <w:u w:val="single"/>
          <w14:textFill>
            <w14:solidFill>
              <w14:schemeClr w14:val="tx1"/>
            </w14:solidFill>
          </w14:textFill>
        </w:rPr>
        <w:t xml:space="preserve">     （中型企业、小型企业、微型企业）</w:t>
      </w:r>
      <w:r>
        <w:rPr>
          <w:rFonts w:hint="eastAsia" w:cs="仿宋_GB2312" w:asciiTheme="minorEastAsia" w:hAnsiTheme="minorEastAsia" w:eastAsiaTheme="minorEastAsia"/>
          <w:color w:val="000000" w:themeColor="text1"/>
          <w14:textFill>
            <w14:solidFill>
              <w14:schemeClr w14:val="tx1"/>
            </w14:solidFill>
          </w14:textFill>
        </w:rPr>
        <w:t xml:space="preserve"> ；</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以上企业，不属于大企业的分支机构，不存在控股股东为大企业的情形，也不存在与大企业的负责人为同一人的情形。</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本企业对上述声明内容的真实性负责。如有虚假，将依法承担相应责任。</w:t>
      </w:r>
    </w:p>
    <w:p>
      <w:pPr>
        <w:ind w:firstLine="5880" w:firstLineChars="2450"/>
        <w:rPr>
          <w:rFonts w:cs="仿宋_GB2312" w:asciiTheme="minorEastAsia" w:hAnsiTheme="minorEastAsia" w:eastAsiaTheme="minorEastAsia"/>
          <w:color w:val="000000" w:themeColor="text1"/>
          <w14:textFill>
            <w14:solidFill>
              <w14:schemeClr w14:val="tx1"/>
            </w14:solidFill>
          </w14:textFill>
        </w:rPr>
      </w:pPr>
    </w:p>
    <w:p>
      <w:pPr>
        <w:ind w:right="960" w:firstLine="5520" w:firstLineChars="23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企业名称（盖章）：</w:t>
      </w:r>
    </w:p>
    <w:p>
      <w:pPr>
        <w:ind w:firstLine="5520" w:firstLineChars="2300"/>
        <w:rPr>
          <w:rFonts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 xml:space="preserve">日期：   年   月 </w:t>
      </w:r>
      <w:r>
        <w:rPr>
          <w:rFonts w:hint="eastAsia" w:asciiTheme="minorEastAsia" w:hAnsiTheme="minorEastAsia" w:eastAsiaTheme="minorEastAsia"/>
          <w:color w:val="000000" w:themeColor="text1"/>
          <w14:textFill>
            <w14:solidFill>
              <w14:schemeClr w14:val="tx1"/>
            </w14:solidFill>
          </w14:textFill>
        </w:rPr>
        <w:t xml:space="preserve">  日</w:t>
      </w:r>
    </w:p>
    <w:p>
      <w:pPr>
        <w:jc w:val="center"/>
        <w:rPr>
          <w:rFonts w:cs="仿宋_GB2312" w:asciiTheme="minorEastAsia" w:hAnsiTheme="minorEastAsia" w:eastAsiaTheme="minorEastAsia"/>
          <w:b/>
          <w:color w:val="000000" w:themeColor="text1"/>
          <w:sz w:val="18"/>
          <w14:textFill>
            <w14:solidFill>
              <w14:schemeClr w14:val="tx1"/>
            </w14:solidFill>
          </w14:textFill>
        </w:rPr>
      </w:pPr>
    </w:p>
    <w:p>
      <w:pPr>
        <w:jc w:val="center"/>
        <w:rPr>
          <w:rFonts w:cs="仿宋_GB2312" w:asciiTheme="minorEastAsia" w:hAnsiTheme="minorEastAsia" w:eastAsiaTheme="minorEastAsia"/>
          <w:b/>
          <w:color w:val="000000" w:themeColor="text1"/>
          <w:sz w:val="32"/>
          <w14:textFill>
            <w14:solidFill>
              <w14:schemeClr w14:val="tx1"/>
            </w14:solidFill>
          </w14:textFill>
        </w:rPr>
      </w:pPr>
    </w:p>
    <w:p>
      <w:pPr>
        <w:jc w:val="center"/>
        <w:rPr>
          <w:rFonts w:cs="仿宋_GB2312" w:asciiTheme="minorEastAsia" w:hAnsiTheme="minorEastAsia" w:eastAsiaTheme="minorEastAsia"/>
          <w:b/>
          <w:color w:val="000000" w:themeColor="text1"/>
          <w:sz w:val="32"/>
          <w14:textFill>
            <w14:solidFill>
              <w14:schemeClr w14:val="tx1"/>
            </w14:solidFill>
          </w14:textFill>
        </w:rPr>
      </w:pPr>
    </w:p>
    <w:p>
      <w:pP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w:t>
      </w:r>
    </w:p>
    <w:p>
      <w:pPr>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cs="仿宋_GB2312" w:asciiTheme="minorEastAsia" w:hAnsiTheme="minorEastAsia" w:eastAsiaTheme="minorEastAsia"/>
          <w:color w:val="000000" w:themeColor="text1"/>
          <w14:textFill>
            <w14:solidFill>
              <w14:schemeClr w14:val="tx1"/>
            </w14:solidFill>
          </w14:textFill>
        </w:rPr>
        <w:t>如国家颁布新的企业划型标准，则按最新标准执行。</w:t>
      </w:r>
      <w:r>
        <w:rPr>
          <w:rFonts w:hint="eastAsia" w:asciiTheme="minorEastAsia" w:hAnsiTheme="minorEastAsia" w:eastAsiaTheme="minorEastAsia"/>
          <w:b/>
          <w:color w:val="000000" w:themeColor="text1"/>
          <w14:textFill>
            <w14:solidFill>
              <w14:schemeClr w14:val="tx1"/>
            </w14:solidFill>
          </w14:textFill>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cs="仿宋_GB2312"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2.根据《政府采购促进中小企业发展管理办法》的通知（财库〔2020〕46号）规定，</w:t>
      </w:r>
      <w:r>
        <w:rPr>
          <w:rFonts w:hint="eastAsia" w:cs="仿宋_GB2312" w:asciiTheme="minorEastAsia" w:hAnsiTheme="minorEastAsia" w:eastAsiaTheme="minorEastAsia"/>
          <w:color w:val="000000" w:themeColor="text1"/>
          <w14:textFill>
            <w14:solidFill>
              <w14:schemeClr w14:val="tx1"/>
            </w14:solidFill>
          </w14:textFill>
        </w:rPr>
        <w:t>中标、成交供应商享受中小企业扶持政策的，采购代理机构将随中标、成交结果公开中标、成交供应商的《中小企业声明函》。</w:t>
      </w:r>
    </w:p>
    <w:p>
      <w:pPr>
        <w:rPr>
          <w:rFonts w:hint="eastAsia" w:cs="仿宋_GB2312" w:asciiTheme="minorEastAsia" w:hAnsiTheme="minorEastAsia" w:eastAsiaTheme="minorEastAsia"/>
          <w:b/>
          <w:color w:val="000000" w:themeColor="text1"/>
          <w:sz w:val="32"/>
          <w14:textFill>
            <w14:solidFill>
              <w14:schemeClr w14:val="tx1"/>
            </w14:solidFill>
          </w14:textFill>
        </w:rPr>
      </w:pPr>
      <w:r>
        <w:rPr>
          <w:rFonts w:hint="eastAsia" w:cs="仿宋_GB2312" w:asciiTheme="minorEastAsia" w:hAnsiTheme="minorEastAsia" w:eastAsiaTheme="minorEastAsia"/>
          <w:b/>
          <w:color w:val="000000" w:themeColor="text1"/>
          <w:sz w:val="32"/>
          <w14:textFill>
            <w14:solidFill>
              <w14:schemeClr w14:val="tx1"/>
            </w14:solidFill>
          </w14:textFill>
        </w:rPr>
        <w:br w:type="page"/>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中小企业声明函（工程、服务）</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本公司（联合体）郑重声明，根据《政府采购促进中小企业发展管理办法》 （财库</w:t>
      </w:r>
      <w:r>
        <w:rPr>
          <w:rFonts w:hint="eastAsia"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2020</w:t>
      </w:r>
      <w:r>
        <w:rPr>
          <w:rFonts w:hint="eastAsia"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46 号）的规定，本公司（联合体）参加</w:t>
      </w:r>
      <w:r>
        <w:rPr>
          <w:rFonts w:hint="eastAsia" w:cs="仿宋_GB2312" w:asciiTheme="minorEastAsia" w:hAnsiTheme="minorEastAsia" w:eastAsiaTheme="minorEastAsia"/>
          <w:color w:val="000000" w:themeColor="text1"/>
          <w:u w:val="single"/>
          <w14:textFill>
            <w14:solidFill>
              <w14:schemeClr w14:val="tx1"/>
            </w14:solidFill>
          </w14:textFill>
        </w:rPr>
        <w:t xml:space="preserve"> xxx </w:t>
      </w:r>
      <w:r>
        <w:rPr>
          <w:rFonts w:hint="eastAsia" w:cs="仿宋_GB2312" w:asciiTheme="minorEastAsia" w:hAnsiTheme="minorEastAsia" w:eastAsiaTheme="minorEastAsia"/>
          <w:color w:val="000000" w:themeColor="text1"/>
          <w14:textFill>
            <w14:solidFill>
              <w14:schemeClr w14:val="tx1"/>
            </w14:solidFill>
          </w14:textFill>
        </w:rPr>
        <w:t>的</w:t>
      </w:r>
      <w:r>
        <w:rPr>
          <w:rFonts w:hint="eastAsia" w:cs="仿宋_GB2312" w:asciiTheme="minorEastAsia" w:hAnsiTheme="minorEastAsia" w:eastAsiaTheme="minorEastAsia"/>
          <w:color w:val="000000" w:themeColor="text1"/>
          <w:u w:val="single"/>
          <w14:textFill>
            <w14:solidFill>
              <w14:schemeClr w14:val="tx1"/>
            </w14:solidFill>
          </w14:textFill>
        </w:rPr>
        <w:t>xxx项目</w:t>
      </w:r>
      <w:r>
        <w:rPr>
          <w:rFonts w:hint="eastAsia" w:cs="仿宋_GB2312" w:asciiTheme="minorEastAsia" w:hAnsiTheme="minorEastAsia" w:eastAsiaTheme="minorEastAsia"/>
          <w:color w:val="000000" w:themeColor="text1"/>
          <w14:textFill>
            <w14:solidFill>
              <w14:schemeClr w14:val="tx1"/>
            </w14:solidFill>
          </w14:textFill>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w:t>
      </w:r>
      <w:r>
        <w:rPr>
          <w:rFonts w:hint="eastAsia" w:cs="仿宋_GB2312" w:asciiTheme="minorEastAsia" w:hAnsiTheme="minorEastAsia" w:eastAsiaTheme="minorEastAsia"/>
          <w:color w:val="000000" w:themeColor="text1"/>
          <w:u w:val="single"/>
          <w14:textFill>
            <w14:solidFill>
              <w14:schemeClr w14:val="tx1"/>
            </w14:solidFill>
          </w14:textFill>
        </w:rPr>
        <w:t xml:space="preserve">        （标的名称）</w:t>
      </w:r>
      <w:r>
        <w:rPr>
          <w:rFonts w:hint="eastAsia" w:cs="仿宋_GB2312" w:asciiTheme="minorEastAsia" w:hAnsiTheme="minorEastAsia" w:eastAsiaTheme="minorEastAsia"/>
          <w:color w:val="000000" w:themeColor="text1"/>
          <w14:textFill>
            <w14:solidFill>
              <w14:schemeClr w14:val="tx1"/>
            </w14:solidFill>
          </w14:textFill>
        </w:rPr>
        <w:t>，属于</w:t>
      </w:r>
      <w:r>
        <w:rPr>
          <w:rFonts w:hint="eastAsia" w:cs="仿宋_GB2312" w:asciiTheme="minorEastAsia" w:hAnsiTheme="minorEastAsia" w:eastAsiaTheme="minorEastAsia"/>
          <w:color w:val="000000" w:themeColor="text1"/>
          <w:u w:val="single"/>
          <w14:textFill>
            <w14:solidFill>
              <w14:schemeClr w14:val="tx1"/>
            </w14:solidFill>
          </w14:textFill>
        </w:rPr>
        <w:t>（采购文件中明确的所属行业）行业</w:t>
      </w:r>
      <w:r>
        <w:rPr>
          <w:rFonts w:hint="eastAsia" w:cs="仿宋_GB2312" w:asciiTheme="minorEastAsia" w:hAnsiTheme="minorEastAsia" w:eastAsiaTheme="minorEastAsia"/>
          <w:color w:val="000000" w:themeColor="text1"/>
          <w14:textFill>
            <w14:solidFill>
              <w14:schemeClr w14:val="tx1"/>
            </w14:solidFill>
          </w14:textFill>
        </w:rPr>
        <w:t>；承建（承接）企业为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（企业名称） </w:t>
      </w:r>
      <w:r>
        <w:rPr>
          <w:rFonts w:hint="eastAsia" w:cs="仿宋_GB2312" w:asciiTheme="minorEastAsia" w:hAnsiTheme="minorEastAsia" w:eastAsiaTheme="minorEastAsia"/>
          <w:color w:val="000000" w:themeColor="text1"/>
          <w14:textFill>
            <w14:solidFill>
              <w14:schemeClr w14:val="tx1"/>
            </w14:solidFill>
          </w14:textFill>
        </w:rPr>
        <w:t>，从业人员</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人，营业收入为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万元，资产总额为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万元，属于</w:t>
      </w:r>
      <w:r>
        <w:rPr>
          <w:rFonts w:hint="eastAsia" w:cs="仿宋_GB2312" w:asciiTheme="minorEastAsia" w:hAnsiTheme="minorEastAsia" w:eastAsiaTheme="minorEastAsia"/>
          <w:color w:val="000000" w:themeColor="text1"/>
          <w:u w:val="single"/>
          <w14:textFill>
            <w14:solidFill>
              <w14:schemeClr w14:val="tx1"/>
            </w14:solidFill>
          </w14:textFill>
        </w:rPr>
        <w:t xml:space="preserve">          （中型企业、小型企业、微型企业）</w:t>
      </w:r>
      <w:r>
        <w:rPr>
          <w:rFonts w:hint="eastAsia" w:cs="仿宋_GB2312" w:asciiTheme="minorEastAsia" w:hAnsiTheme="minorEastAsia" w:eastAsiaTheme="minorEastAsia"/>
          <w:color w:val="000000" w:themeColor="text1"/>
          <w14:textFill>
            <w14:solidFill>
              <w14:schemeClr w14:val="tx1"/>
            </w14:solidFill>
          </w14:textFill>
        </w:rPr>
        <w:t xml:space="preserve"> ；</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w:t>
      </w:r>
      <w:r>
        <w:rPr>
          <w:rFonts w:hint="eastAsia" w:cs="仿宋_GB2312" w:asciiTheme="minorEastAsia" w:hAnsiTheme="minorEastAsia" w:eastAsiaTheme="minorEastAsia"/>
          <w:color w:val="000000" w:themeColor="text1"/>
          <w:u w:val="single"/>
          <w14:textFill>
            <w14:solidFill>
              <w14:schemeClr w14:val="tx1"/>
            </w14:solidFill>
          </w14:textFill>
        </w:rPr>
        <w:t xml:space="preserve">        （标的名称）</w:t>
      </w:r>
      <w:r>
        <w:rPr>
          <w:rFonts w:hint="eastAsia" w:cs="仿宋_GB2312" w:asciiTheme="minorEastAsia" w:hAnsiTheme="minorEastAsia" w:eastAsiaTheme="minorEastAsia"/>
          <w:color w:val="000000" w:themeColor="text1"/>
          <w14:textFill>
            <w14:solidFill>
              <w14:schemeClr w14:val="tx1"/>
            </w14:solidFill>
          </w14:textFill>
        </w:rPr>
        <w:t>，属于</w:t>
      </w:r>
      <w:r>
        <w:rPr>
          <w:rFonts w:hint="eastAsia" w:cs="仿宋_GB2312" w:asciiTheme="minorEastAsia" w:hAnsiTheme="minorEastAsia" w:eastAsiaTheme="minorEastAsia"/>
          <w:color w:val="000000" w:themeColor="text1"/>
          <w:u w:val="single"/>
          <w14:textFill>
            <w14:solidFill>
              <w14:schemeClr w14:val="tx1"/>
            </w14:solidFill>
          </w14:textFill>
        </w:rPr>
        <w:t>（采购文件中明确的所属行业）行业</w:t>
      </w:r>
      <w:r>
        <w:rPr>
          <w:rFonts w:hint="eastAsia" w:cs="仿宋_GB2312" w:asciiTheme="minorEastAsia" w:hAnsiTheme="minorEastAsia" w:eastAsiaTheme="minorEastAsia"/>
          <w:color w:val="000000" w:themeColor="text1"/>
          <w14:textFill>
            <w14:solidFill>
              <w14:schemeClr w14:val="tx1"/>
            </w14:solidFill>
          </w14:textFill>
        </w:rPr>
        <w:t>；承建（承接）企业为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（企业名称） </w:t>
      </w:r>
      <w:r>
        <w:rPr>
          <w:rFonts w:hint="eastAsia" w:cs="仿宋_GB2312" w:asciiTheme="minorEastAsia" w:hAnsiTheme="minorEastAsia" w:eastAsiaTheme="minorEastAsia"/>
          <w:color w:val="000000" w:themeColor="text1"/>
          <w14:textFill>
            <w14:solidFill>
              <w14:schemeClr w14:val="tx1"/>
            </w14:solidFill>
          </w14:textFill>
        </w:rPr>
        <w:t>，从业人员</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人，营业收入为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万元，资产总额为</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万元 ，属于</w:t>
      </w:r>
      <w:r>
        <w:rPr>
          <w:rFonts w:hint="eastAsia" w:cs="仿宋_GB2312" w:asciiTheme="minorEastAsia" w:hAnsiTheme="minorEastAsia" w:eastAsiaTheme="minorEastAsia"/>
          <w:color w:val="000000" w:themeColor="text1"/>
          <w:u w:val="single"/>
          <w14:textFill>
            <w14:solidFill>
              <w14:schemeClr w14:val="tx1"/>
            </w14:solidFill>
          </w14:textFill>
        </w:rPr>
        <w:t xml:space="preserve">       （中型企业、小型企业、微型企业）</w:t>
      </w:r>
      <w:r>
        <w:rPr>
          <w:rFonts w:hint="eastAsia" w:cs="仿宋_GB2312" w:asciiTheme="minorEastAsia" w:hAnsiTheme="minorEastAsia" w:eastAsiaTheme="minorEastAsia"/>
          <w:color w:val="000000" w:themeColor="text1"/>
          <w14:textFill>
            <w14:solidFill>
              <w14:schemeClr w14:val="tx1"/>
            </w14:solidFill>
          </w14:textFill>
        </w:rPr>
        <w:t>；</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以上企业，不属于大企业的分支机构，不存在控股股东为大企业的情形，也不存在与大企业的负责人为同一人的情形。</w:t>
      </w:r>
    </w:p>
    <w:p>
      <w:pPr>
        <w:spacing w:line="340"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本企业对上述声明内容的真实性负责。如有虚假，将依法承担相应责任。</w:t>
      </w:r>
    </w:p>
    <w:p>
      <w:pPr>
        <w:ind w:firstLine="5880" w:firstLineChars="2450"/>
        <w:rPr>
          <w:rFonts w:cs="仿宋_GB2312" w:asciiTheme="minorEastAsia" w:hAnsiTheme="minorEastAsia" w:eastAsiaTheme="minorEastAsia"/>
          <w:color w:val="000000" w:themeColor="text1"/>
          <w14:textFill>
            <w14:solidFill>
              <w14:schemeClr w14:val="tx1"/>
            </w14:solidFill>
          </w14:textFill>
        </w:rPr>
      </w:pPr>
    </w:p>
    <w:p>
      <w:pPr>
        <w:ind w:right="960" w:firstLine="5520" w:firstLineChars="23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企业名称（盖章）：</w:t>
      </w:r>
    </w:p>
    <w:p>
      <w:pPr>
        <w:ind w:firstLine="5520" w:firstLineChars="2300"/>
        <w:rPr>
          <w:rFonts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 xml:space="preserve">日期：   年   月 </w:t>
      </w:r>
      <w:r>
        <w:rPr>
          <w:rFonts w:hint="eastAsia" w:asciiTheme="minorEastAsia" w:hAnsiTheme="minorEastAsia" w:eastAsiaTheme="minorEastAsia"/>
          <w:color w:val="000000" w:themeColor="text1"/>
          <w14:textFill>
            <w14:solidFill>
              <w14:schemeClr w14:val="tx1"/>
            </w14:solidFill>
          </w14:textFill>
        </w:rPr>
        <w:t xml:space="preserve">  日</w:t>
      </w:r>
    </w:p>
    <w:p>
      <w:pPr>
        <w:rPr>
          <w:rFonts w:cs="仿宋_GB2312" w:asciiTheme="minorEastAsia" w:hAnsiTheme="minorEastAsia" w:eastAsiaTheme="minorEastAsia"/>
          <w:color w:val="000000" w:themeColor="text1"/>
          <w14:textFill>
            <w14:solidFill>
              <w14:schemeClr w14:val="tx1"/>
            </w14:solidFill>
          </w14:textFill>
        </w:rPr>
      </w:pPr>
    </w:p>
    <w:p>
      <w:pPr>
        <w:rPr>
          <w:rFonts w:cs="仿宋_GB2312" w:asciiTheme="minorEastAsia" w:hAnsiTheme="minorEastAsia" w:eastAsiaTheme="minorEastAsia"/>
          <w:color w:val="000000" w:themeColor="text1"/>
          <w14:textFill>
            <w14:solidFill>
              <w14:schemeClr w14:val="tx1"/>
            </w14:solidFill>
          </w14:textFill>
        </w:rPr>
      </w:pPr>
    </w:p>
    <w:p>
      <w:pPr>
        <w:rPr>
          <w:rFonts w:cs="仿宋_GB2312" w:asciiTheme="minorEastAsia" w:hAnsiTheme="minorEastAsia" w:eastAsiaTheme="minorEastAsia"/>
          <w:color w:val="000000" w:themeColor="text1"/>
          <w14:textFill>
            <w14:solidFill>
              <w14:schemeClr w14:val="tx1"/>
            </w14:solidFill>
          </w14:textFill>
        </w:rPr>
      </w:pPr>
    </w:p>
    <w:p>
      <w:pPr>
        <w:rPr>
          <w:rFonts w:cs="仿宋_GB2312" w:asciiTheme="minorEastAsia" w:hAnsiTheme="minorEastAsia" w:eastAsiaTheme="minorEastAsia"/>
          <w:color w:val="000000" w:themeColor="text1"/>
          <w14:textFill>
            <w14:solidFill>
              <w14:schemeClr w14:val="tx1"/>
            </w14:solidFill>
          </w14:textFill>
        </w:rPr>
      </w:pPr>
    </w:p>
    <w:p>
      <w:pPr>
        <w:rPr>
          <w:rFonts w:cs="仿宋_GB2312" w:asciiTheme="minorEastAsia" w:hAnsiTheme="minorEastAsia" w:eastAsiaTheme="minorEastAsia"/>
          <w:color w:val="000000" w:themeColor="text1"/>
          <w14:textFill>
            <w14:solidFill>
              <w14:schemeClr w14:val="tx1"/>
            </w14:solidFill>
          </w14:textFill>
        </w:rPr>
      </w:pPr>
    </w:p>
    <w:p>
      <w:pPr>
        <w:rPr>
          <w:rFonts w:cs="仿宋_GB2312" w:asciiTheme="minorEastAsia" w:hAnsiTheme="minorEastAsia" w:eastAsiaTheme="minorEastAsia"/>
          <w:color w:val="000000" w:themeColor="text1"/>
          <w14:textFill>
            <w14:solidFill>
              <w14:schemeClr w14:val="tx1"/>
            </w14:solidFill>
          </w14:textFill>
        </w:rPr>
      </w:pPr>
    </w:p>
    <w:p>
      <w:pPr>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注：</w:t>
      </w:r>
    </w:p>
    <w:p>
      <w:pPr>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cs="仿宋_GB2312" w:asciiTheme="minorEastAsia" w:hAnsiTheme="minorEastAsia" w:eastAsiaTheme="minorEastAsia"/>
          <w:color w:val="000000" w:themeColor="text1"/>
          <w14:textFill>
            <w14:solidFill>
              <w14:schemeClr w14:val="tx1"/>
            </w14:solidFill>
          </w14:textFill>
        </w:rPr>
        <w:t>如国家颁布新的企业划型标准，则按最新标准执行。</w:t>
      </w:r>
      <w:r>
        <w:rPr>
          <w:rFonts w:hint="eastAsia" w:asciiTheme="minorEastAsia" w:hAnsiTheme="minorEastAsia" w:eastAsiaTheme="minorEastAsia"/>
          <w:b/>
          <w:color w:val="000000" w:themeColor="text1"/>
          <w14:textFill>
            <w14:solidFill>
              <w14:schemeClr w14:val="tx1"/>
            </w14:solidFill>
          </w14:textFill>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cs="仿宋_GB2312"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2.根据《政府采购促进中小企业发展管理办法》的通知（财库〔2020〕46号）规定，</w:t>
      </w:r>
      <w:r>
        <w:rPr>
          <w:rFonts w:hint="eastAsia" w:cs="仿宋_GB2312" w:asciiTheme="minorEastAsia" w:hAnsiTheme="minorEastAsia" w:eastAsiaTheme="minorEastAsia"/>
          <w:color w:val="000000" w:themeColor="text1"/>
          <w14:textFill>
            <w14:solidFill>
              <w14:schemeClr w14:val="tx1"/>
            </w14:solidFill>
          </w14:textFill>
        </w:rPr>
        <w:t>中标、成交供应商享受中小企业扶持政策的，采购代理机构将随中标、成交结果公开中标、成交供应商的《中小企业声明函》。</w:t>
      </w:r>
    </w:p>
    <w:p>
      <w:pPr>
        <w:rPr>
          <w:rFonts w:cs="仿宋_GB2312" w:asciiTheme="minorEastAsia" w:hAnsiTheme="minorEastAsia" w:eastAsiaTheme="minorEastAsia"/>
          <w:color w:val="000000" w:themeColor="text1"/>
          <w14:textFill>
            <w14:solidFill>
              <w14:schemeClr w14:val="tx1"/>
            </w14:solidFill>
          </w14:textFill>
        </w:rPr>
      </w:pP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残疾人福利性单位声明函</w:t>
      </w:r>
    </w:p>
    <w:p>
      <w:pPr>
        <w:spacing w:line="588" w:lineRule="exact"/>
        <w:rPr>
          <w:rFonts w:asciiTheme="minorEastAsia" w:hAnsiTheme="minorEastAsia" w:eastAsiaTheme="minorEastAsia"/>
          <w:b/>
          <w:color w:val="000000" w:themeColor="text1"/>
          <w:spacing w:val="6"/>
          <w:sz w:val="30"/>
          <w:szCs w:val="30"/>
          <w14:textFill>
            <w14:solidFill>
              <w14:schemeClr w14:val="tx1"/>
            </w14:solidFill>
          </w14:textFill>
        </w:rPr>
      </w:pPr>
    </w:p>
    <w:p>
      <w:pPr>
        <w:spacing w:line="588"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的</w:t>
      </w:r>
      <w:r>
        <w:rPr>
          <w:rFonts w:hint="eastAsia" w:cs="仿宋_GB2312" w:asciiTheme="minorEastAsia" w:hAnsiTheme="minorEastAsia" w:eastAsiaTheme="minorEastAsia"/>
          <w:color w:val="000000" w:themeColor="text1"/>
          <w:u w:val="single"/>
          <w14:textFill>
            <w14:solidFill>
              <w14:schemeClr w14:val="tx1"/>
            </w14:solidFill>
          </w14:textFill>
        </w:rPr>
        <w:t xml:space="preserve">                 项目</w:t>
      </w:r>
      <w:r>
        <w:rPr>
          <w:rFonts w:hint="eastAsia" w:cs="仿宋_GB2312" w:asciiTheme="minorEastAsia" w:hAnsiTheme="minorEastAsia" w:eastAsiaTheme="minorEastAsia"/>
          <w:color w:val="000000" w:themeColor="text1"/>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本单位对上述声明的真实性负责。如有虚假，将依法承担相应责任。</w:t>
      </w:r>
    </w:p>
    <w:p>
      <w:pPr>
        <w:spacing w:line="588"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p>
    <w:p>
      <w:pPr>
        <w:spacing w:line="588" w:lineRule="exact"/>
        <w:ind w:firstLine="480" w:firstLineChars="200"/>
        <w:rPr>
          <w:rFonts w:cs="仿宋_GB2312" w:asciiTheme="minorEastAsia" w:hAnsiTheme="minorEastAsia" w:eastAsiaTheme="minorEastAsia"/>
          <w:color w:val="000000" w:themeColor="text1"/>
          <w14:textFill>
            <w14:solidFill>
              <w14:schemeClr w14:val="tx1"/>
            </w14:solidFill>
          </w14:textFill>
        </w:rPr>
      </w:pPr>
    </w:p>
    <w:p>
      <w:pPr>
        <w:ind w:firstLine="5880" w:firstLineChars="245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 xml:space="preserve">声明单位（盖章）： </w:t>
      </w:r>
    </w:p>
    <w:p>
      <w:pPr>
        <w:ind w:firstLine="5520" w:firstLineChars="2300"/>
        <w:rPr>
          <w:rFonts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 xml:space="preserve">日期：   年     月 </w:t>
      </w:r>
      <w:r>
        <w:rPr>
          <w:rFonts w:hint="eastAsia" w:asciiTheme="minorEastAsia" w:hAnsiTheme="minorEastAsia" w:eastAsiaTheme="minorEastAsia"/>
          <w:color w:val="000000" w:themeColor="text1"/>
          <w14:textFill>
            <w14:solidFill>
              <w14:schemeClr w14:val="tx1"/>
            </w14:solidFill>
          </w14:textFill>
        </w:rPr>
        <w:t xml:space="preserve">    日</w:t>
      </w:r>
    </w:p>
    <w:p>
      <w:pPr>
        <w:rPr>
          <w:rFonts w:cs="仿宋_GB2312" w:asciiTheme="minorEastAsia" w:hAnsiTheme="minorEastAsia" w:eastAsiaTheme="minorEastAsia"/>
          <w:color w:val="000000" w:themeColor="text1"/>
          <w14:textFill>
            <w14:solidFill>
              <w14:schemeClr w14:val="tx1"/>
            </w14:solidFill>
          </w14:textFill>
        </w:rPr>
      </w:pPr>
    </w:p>
    <w:p>
      <w:pPr>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注：</w:t>
      </w:r>
      <w:r>
        <w:rPr>
          <w:rFonts w:hint="eastAsia" w:asciiTheme="minorEastAsia" w:hAnsiTheme="minorEastAsia" w:eastAsiaTheme="minorEastAsia"/>
          <w:color w:val="000000" w:themeColor="text1"/>
          <w14:textFill>
            <w14:solidFill>
              <w14:schemeClr w14:val="tx1"/>
            </w14:solidFill>
          </w14:textFill>
        </w:rPr>
        <w:t>根据《财政部 民政部 中国残疾人联合会关于促进残疾人就业政府采购政策的通知》（财库〔2017〕141号）规定填报。</w:t>
      </w:r>
    </w:p>
    <w:p>
      <w:pPr>
        <w:rPr>
          <w:rFonts w:asciiTheme="minorEastAsia" w:hAnsiTheme="minorEastAsia" w:eastAsiaTheme="minorEastAsia"/>
          <w:color w:val="000000" w:themeColor="text1"/>
          <w14:textFill>
            <w14:solidFill>
              <w14:schemeClr w14:val="tx1"/>
            </w14:solidFill>
          </w14:textFill>
        </w:rPr>
      </w:pPr>
    </w:p>
    <w:p>
      <w:pPr>
        <w:tabs>
          <w:tab w:val="left" w:pos="4860"/>
        </w:tabs>
        <w:ind w:firstLine="480" w:firstLineChars="20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object>
          <v:shape id="_x0000_i1027" o:spt="75" type="#_x0000_t75" style="height:44.5pt;width:394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ind w:firstLine="480" w:firstLineChars="200"/>
        <w:rPr>
          <w:rFonts w:asciiTheme="minorEastAsia" w:hAnsiTheme="minorEastAsia" w:eastAsiaTheme="minorEastAsia"/>
          <w:color w:val="000000" w:themeColor="text1"/>
          <w14:textFill>
            <w14:solidFill>
              <w14:schemeClr w14:val="tx1"/>
            </w14:solidFill>
          </w14:textFill>
        </w:rPr>
      </w:pPr>
    </w:p>
    <w:p>
      <w:pPr>
        <w:ind w:firstLine="480" w:firstLineChars="200"/>
        <w:rPr>
          <w:rFonts w:asciiTheme="minorEastAsia" w:hAnsiTheme="minorEastAsia" w:eastAsiaTheme="minorEastAsia"/>
          <w:color w:val="000000" w:themeColor="text1"/>
          <w14:textFill>
            <w14:solidFill>
              <w14:schemeClr w14:val="tx1"/>
            </w14:solidFill>
          </w14:textFill>
        </w:rPr>
      </w:pPr>
    </w:p>
    <w:p>
      <w:pPr>
        <w:ind w:firstLine="480" w:firstLineChars="200"/>
        <w:rPr>
          <w:rFonts w:asciiTheme="minorEastAsia" w:hAnsiTheme="minorEastAsia" w:eastAsiaTheme="minorEastAsia"/>
          <w:color w:val="000000" w:themeColor="text1"/>
          <w14:textFill>
            <w14:solidFill>
              <w14:schemeClr w14:val="tx1"/>
            </w14:solidFill>
          </w14:textFill>
        </w:rPr>
      </w:pPr>
    </w:p>
    <w:p>
      <w:pPr>
        <w:ind w:firstLine="480" w:firstLineChars="200"/>
        <w:rPr>
          <w:rFonts w:asciiTheme="minorEastAsia" w:hAnsiTheme="minorEastAsia" w:eastAsiaTheme="minorEastAsia"/>
          <w:color w:val="000000" w:themeColor="text1"/>
          <w14:textFill>
            <w14:solidFill>
              <w14:schemeClr w14:val="tx1"/>
            </w14:solidFill>
          </w14:textFill>
        </w:rPr>
      </w:pPr>
    </w:p>
    <w:p>
      <w:pPr>
        <w:rPr>
          <w:rFonts w:cs="仿宋_GB2312" w:asciiTheme="minorEastAsia" w:hAnsiTheme="minorEastAsia" w:eastAsiaTheme="minorEastAsia"/>
          <w:b/>
          <w:color w:val="000000" w:themeColor="text1"/>
          <w14:textFill>
            <w14:solidFill>
              <w14:schemeClr w14:val="tx1"/>
            </w14:solidFill>
          </w14:textFill>
        </w:rPr>
      </w:pPr>
    </w:p>
    <w:p>
      <w:pPr>
        <w:spacing w:line="400" w:lineRule="exact"/>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注：</w:t>
      </w:r>
      <w:r>
        <w:rPr>
          <w:rFonts w:hint="eastAsia" w:cs="仿宋_GB2312" w:asciiTheme="minorEastAsia" w:hAnsiTheme="minorEastAsia" w:eastAsiaTheme="minorEastAsia"/>
          <w:color w:val="000000" w:themeColor="text1"/>
          <w14:textFill>
            <w14:solidFill>
              <w14:schemeClr w14:val="tx1"/>
            </w14:solidFill>
          </w14:textFill>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cs="仿宋" w:asciiTheme="minorEastAsia" w:hAnsiTheme="minorEastAsia" w:eastAsiaTheme="minorEastAsia"/>
          <w:b/>
          <w:bCs/>
          <w:color w:val="000000" w:themeColor="text1"/>
          <w:sz w:val="44"/>
          <w:szCs w:val="44"/>
          <w14:textFill>
            <w14:solidFill>
              <w14:schemeClr w14:val="tx1"/>
            </w14:solidFill>
          </w14:textFill>
        </w:rPr>
      </w:pP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质疑函范本</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bCs/>
          <w:color w:val="000000" w:themeColor="text1"/>
          <w:sz w:val="24"/>
          <w:szCs w:val="24"/>
          <w14:textFill>
            <w14:solidFill>
              <w14:schemeClr w14:val="tx1"/>
            </w14:solidFill>
          </w14:textFill>
        </w:rPr>
      </w:pPr>
      <w:r>
        <w:rPr>
          <w:rFonts w:hint="eastAsia" w:cs="仿宋" w:asciiTheme="minorEastAsia" w:hAnsiTheme="minorEastAsia" w:eastAsiaTheme="minorEastAsia"/>
          <w:bCs/>
          <w:color w:val="000000" w:themeColor="text1"/>
          <w:sz w:val="24"/>
          <w:szCs w:val="24"/>
          <w14:textFill>
            <w14:solidFill>
              <w14:schemeClr w14:val="tx1"/>
            </w14:solidFill>
          </w14:textFill>
        </w:rPr>
        <w:t>一、质疑供应商基本信息</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质疑供应商：</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地址：</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邮编：</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联系人：</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联系电话：</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授权代表：</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联系电话：</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 xml:space="preserve">地址： </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邮编：</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bCs/>
          <w:color w:val="000000" w:themeColor="text1"/>
          <w:sz w:val="24"/>
          <w:szCs w:val="24"/>
          <w14:textFill>
            <w14:solidFill>
              <w14:schemeClr w14:val="tx1"/>
            </w14:solidFill>
          </w14:textFill>
        </w:rPr>
      </w:pPr>
      <w:r>
        <w:rPr>
          <w:rFonts w:hint="eastAsia" w:cs="仿宋" w:asciiTheme="minorEastAsia" w:hAnsiTheme="minorEastAsia" w:eastAsiaTheme="minorEastAsia"/>
          <w:bCs/>
          <w:color w:val="000000" w:themeColor="text1"/>
          <w:sz w:val="24"/>
          <w:szCs w:val="24"/>
          <w14:textFill>
            <w14:solidFill>
              <w14:schemeClr w14:val="tx1"/>
            </w14:solidFill>
          </w14:textFill>
        </w:rPr>
        <w:t>二、质疑项目基本情况</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质疑项目的名称：</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质疑项目的编号：</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包号：</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采购人名称：</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采购文件获取日期：</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bCs/>
          <w:color w:val="000000" w:themeColor="text1"/>
          <w:sz w:val="24"/>
          <w:szCs w:val="24"/>
          <w14:textFill>
            <w14:solidFill>
              <w14:schemeClr w14:val="tx1"/>
            </w14:solidFill>
          </w14:textFill>
        </w:rPr>
      </w:pPr>
      <w:r>
        <w:rPr>
          <w:rFonts w:hint="eastAsia" w:cs="仿宋" w:asciiTheme="minorEastAsia" w:hAnsiTheme="minorEastAsia" w:eastAsiaTheme="minorEastAsia"/>
          <w:bCs/>
          <w:color w:val="000000" w:themeColor="text1"/>
          <w:sz w:val="24"/>
          <w:szCs w:val="24"/>
          <w14:textFill>
            <w14:solidFill>
              <w14:schemeClr w14:val="tx1"/>
            </w14:solidFill>
          </w14:textFill>
        </w:rPr>
        <w:t>三、质疑事项具体内容</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质疑事项1：</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事实依据：</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法律依据：</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质疑事项2</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bCs/>
          <w:color w:val="000000" w:themeColor="text1"/>
          <w:sz w:val="24"/>
          <w:szCs w:val="24"/>
          <w14:textFill>
            <w14:solidFill>
              <w14:schemeClr w14:val="tx1"/>
            </w14:solidFill>
          </w14:textFill>
        </w:rPr>
      </w:pPr>
      <w:r>
        <w:rPr>
          <w:rFonts w:hint="eastAsia" w:cs="仿宋" w:asciiTheme="minorEastAsia" w:hAnsiTheme="minorEastAsia" w:eastAsiaTheme="minorEastAsia"/>
          <w:bCs/>
          <w:color w:val="000000" w:themeColor="text1"/>
          <w:sz w:val="24"/>
          <w:szCs w:val="24"/>
          <w14:textFill>
            <w14:solidFill>
              <w14:schemeClr w14:val="tx1"/>
            </w14:solidFill>
          </w14:textFill>
        </w:rPr>
        <w:t>四、与质疑事项相关的质疑请求</w:t>
      </w:r>
    </w:p>
    <w:p>
      <w:pPr>
        <w:keepNext w:val="0"/>
        <w:keepLines w:val="0"/>
        <w:pageBreakBefore w:val="0"/>
        <w:widowControl/>
        <w:kinsoku/>
        <w:wordWrap/>
        <w:overflowPunct/>
        <w:topLinePunct w:val="0"/>
        <w:autoSpaceDE/>
        <w:autoSpaceDN/>
        <w:bidi w:val="0"/>
        <w:adjustRightInd w:val="0"/>
        <w:snapToGrid w:val="0"/>
        <w:spacing w:line="440" w:lineRule="exact"/>
        <w:textAlignment w:val="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请求：</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pPr>
        <w:keepNext w:val="0"/>
        <w:keepLines w:val="0"/>
        <w:pageBreakBefore w:val="0"/>
        <w:widowControl/>
        <w:kinsoku/>
        <w:wordWrap/>
        <w:overflowPunct/>
        <w:topLinePunct w:val="0"/>
        <w:autoSpaceDE/>
        <w:autoSpaceDN/>
        <w:bidi w:val="0"/>
        <w:spacing w:line="440" w:lineRule="exact"/>
        <w:textAlignment w:val="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签字(盖章)：                   公章：                      </w:t>
      </w:r>
    </w:p>
    <w:p>
      <w:pPr>
        <w:keepNext w:val="0"/>
        <w:keepLines w:val="0"/>
        <w:pageBreakBefore w:val="0"/>
        <w:widowControl/>
        <w:kinsoku/>
        <w:wordWrap/>
        <w:overflowPunct/>
        <w:topLinePunct w:val="0"/>
        <w:autoSpaceDE/>
        <w:autoSpaceDN/>
        <w:bidi w:val="0"/>
        <w:spacing w:line="440" w:lineRule="exact"/>
        <w:textAlignment w:val="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日期：    </w:t>
      </w:r>
    </w:p>
    <w:p>
      <w:pPr>
        <w:jc w:val="center"/>
        <w:rPr>
          <w:rFonts w:cs="仿宋" w:asciiTheme="minorEastAsia" w:hAnsiTheme="minorEastAsia" w:eastAsiaTheme="minorEastAsia"/>
          <w:b/>
          <w:bCs/>
          <w:color w:val="000000" w:themeColor="text1"/>
          <w:sz w:val="24"/>
          <w:szCs w:val="24"/>
          <w14:textFill>
            <w14:solidFill>
              <w14:schemeClr w14:val="tx1"/>
            </w14:solidFill>
          </w14:textFill>
        </w:rPr>
      </w:pPr>
    </w:p>
    <w:p>
      <w:pPr>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质疑函制作说明：</w:t>
      </w:r>
    </w:p>
    <w:p>
      <w:pPr>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1.供应商提出质疑时，应提交质疑函和必要的证明材料。</w:t>
      </w:r>
    </w:p>
    <w:p>
      <w:pPr>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3.质疑供应商若对项目的某一分包进行质疑，质疑函中应列明具体分包号。</w:t>
      </w:r>
    </w:p>
    <w:p>
      <w:pPr>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4.质疑函的质疑事项应具体、明确，并有必要的事实依据和法律依据。</w:t>
      </w:r>
    </w:p>
    <w:p>
      <w:pPr>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5.质疑函的质疑请求应与质疑事项相关。</w:t>
      </w:r>
    </w:p>
    <w:p>
      <w:pPr>
        <w:ind w:firstLine="480" w:firstLineChars="200"/>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国家统计局关于印发《统计上大中小微型企业划分办法（2017）》的通知</w:t>
      </w:r>
    </w:p>
    <w:p>
      <w:pPr>
        <w:shd w:val="clear" w:color="auto" w:fill="FFFFFF"/>
        <w:spacing w:before="150" w:line="420" w:lineRule="atLeast"/>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各省、自治区、直辖市统计局，新疆生产建设兵团统计局，国务院各有关部门，国家统计局各调查总队：</w:t>
      </w:r>
    </w:p>
    <w:p>
      <w:pPr>
        <w:shd w:val="clear" w:color="auto" w:fill="FFFFFF"/>
        <w:spacing w:before="150" w:line="420" w:lineRule="atLeast"/>
        <w:ind w:firstLine="480" w:firstLineChars="200"/>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附件：《统计上大中小微型企业划分办法（2017）》修订说明</w:t>
      </w:r>
    </w:p>
    <w:p>
      <w:pPr>
        <w:shd w:val="clear" w:color="auto" w:fill="FFFFFF"/>
        <w:spacing w:before="150" w:line="420" w:lineRule="atLeast"/>
        <w:jc w:val="right"/>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国家统计局  </w:t>
      </w:r>
    </w:p>
    <w:p>
      <w:pPr>
        <w:shd w:val="clear" w:color="auto" w:fill="FFFFFF"/>
        <w:spacing w:before="150" w:line="420" w:lineRule="atLeast"/>
        <w:jc w:val="right"/>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2017年12月28日</w:t>
      </w:r>
    </w:p>
    <w:p>
      <w:pPr>
        <w:shd w:val="clear" w:color="auto" w:fill="FFFFFF"/>
        <w:spacing w:before="150" w:line="420" w:lineRule="atLeast"/>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 </w:t>
      </w:r>
    </w:p>
    <w:p>
      <w:pPr>
        <w:rPr>
          <w:rFonts w:asciiTheme="minorEastAsia" w:hAnsiTheme="minorEastAsia" w:eastAsiaTheme="minorEastAsia"/>
          <w:b/>
          <w:bCs/>
          <w:color w:val="000000" w:themeColor="text1"/>
          <w:sz w:val="36"/>
          <w:szCs w:val="36"/>
          <w14:textFill>
            <w14:solidFill>
              <w14:schemeClr w14:val="tx1"/>
            </w14:solidFill>
          </w14:textFill>
        </w:rPr>
      </w:pPr>
      <w:r>
        <w:rPr>
          <w:rFonts w:asciiTheme="minorEastAsia" w:hAnsiTheme="minorEastAsia" w:eastAsiaTheme="minorEastAsia"/>
          <w:b/>
          <w:bCs/>
          <w:color w:val="000000" w:themeColor="text1"/>
          <w:sz w:val="36"/>
          <w:szCs w:val="36"/>
          <w14:textFill>
            <w14:solidFill>
              <w14:schemeClr w14:val="tx1"/>
            </w14:solidFill>
          </w14:textFill>
        </w:rPr>
        <w:br w:type="page"/>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统计上大中小微型企业划分办法（2017）</w:t>
      </w:r>
    </w:p>
    <w:p>
      <w:pPr>
        <w:shd w:val="clear" w:color="auto" w:fill="FFFFFF"/>
        <w:spacing w:before="150" w:line="420" w:lineRule="atLeast"/>
        <w:ind w:firstLine="480" w:firstLineChars="200"/>
        <w:textAlignment w:val="baseline"/>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shd w:val="clear" w:color="auto" w:fill="FFFFFF"/>
        <w:spacing w:before="150" w:line="420" w:lineRule="atLeast"/>
        <w:ind w:firstLine="480" w:firstLineChars="200"/>
        <w:textAlignment w:val="baseline"/>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二、本办法适用对象为在中华人民共和国境内依法设立的各种组织形式的法人企业或单位。个体工商户参照本办法进行划分。</w:t>
      </w:r>
    </w:p>
    <w:p>
      <w:pPr>
        <w:shd w:val="clear" w:color="auto" w:fill="FFFFFF"/>
        <w:spacing w:before="150" w:line="420" w:lineRule="atLeast"/>
        <w:ind w:firstLine="480" w:firstLineChars="200"/>
        <w:textAlignment w:val="baseline"/>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hd w:val="clear" w:color="auto" w:fill="FFFFFF"/>
        <w:spacing w:before="150" w:line="420" w:lineRule="atLeast"/>
        <w:ind w:firstLine="480" w:firstLineChars="200"/>
        <w:textAlignment w:val="baseline"/>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shd w:val="clear" w:color="auto" w:fill="FFFFFF"/>
        <w:spacing w:before="150" w:line="420" w:lineRule="atLeast"/>
        <w:ind w:firstLine="480" w:firstLineChars="200"/>
        <w:textAlignment w:val="baseline"/>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五、企业划分由政府综合统计部门根据统计年报每年确定一次，定报统计原则上不进行调整。</w:t>
      </w:r>
    </w:p>
    <w:p>
      <w:pPr>
        <w:shd w:val="clear" w:color="auto" w:fill="FFFFFF"/>
        <w:spacing w:before="150" w:line="420" w:lineRule="atLeast"/>
        <w:ind w:firstLine="480" w:firstLineChars="200"/>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六、本办法自印发之日起执行，国家统计局2011年印发的《统计上大中小微型企业划分办法》（国统字〔2011〕75号）同时废止。</w:t>
      </w:r>
    </w:p>
    <w:p>
      <w:pPr>
        <w:shd w:val="clear" w:color="auto" w:fill="FFFFFF"/>
        <w:spacing w:before="150" w:line="420" w:lineRule="atLeast"/>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附表：统计上大中小微型企业划分标准</w:t>
      </w:r>
    </w:p>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br w:type="textWrapping"/>
      </w:r>
    </w:p>
    <w:p>
      <w:pPr>
        <w:rPr>
          <w:rFonts w:asciiTheme="minorEastAsia" w:hAnsiTheme="minorEastAsia" w:eastAsiaTheme="minorEastAsia"/>
          <w:b/>
          <w:bCs/>
          <w:color w:val="000000" w:themeColor="text1"/>
          <w:sz w:val="36"/>
          <w:szCs w:val="36"/>
          <w14:textFill>
            <w14:solidFill>
              <w14:schemeClr w14:val="tx1"/>
            </w14:solidFill>
          </w14:textFill>
        </w:rPr>
      </w:pPr>
      <w:r>
        <w:rPr>
          <w:rFonts w:asciiTheme="minorEastAsia" w:hAnsiTheme="minorEastAsia" w:eastAsiaTheme="minorEastAsia"/>
          <w:b/>
          <w:bCs/>
          <w:color w:val="000000" w:themeColor="text1"/>
          <w:sz w:val="36"/>
          <w:szCs w:val="36"/>
          <w14:textFill>
            <w14:solidFill>
              <w14:schemeClr w14:val="tx1"/>
            </w14:solidFill>
          </w14:textFill>
        </w:rPr>
        <w:br w:type="page"/>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统计上大中小微型企业划分标准</w:t>
      </w:r>
    </w:p>
    <w:tbl>
      <w:tblPr>
        <w:tblStyle w:val="43"/>
        <w:tblW w:w="9744"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8"/>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行业名称</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指标名称</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计量单位</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大型</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中型</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小型</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农、林、牧、渔业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Y≥20000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500≤Y＜20000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50≤Y＜500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工业 *</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300≤X＜1000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20≤X＜300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Y≥40000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2000≤Y＜40000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300≤Y＜2000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建筑业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Y≥80000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6000≤Y＜80000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300≤Y＜6000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资产总额(Z)</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Z≥80000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5000≤Z＜80000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300≤Z＜5000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批发业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X≥200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20≤X＜200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5≤X＜20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Y≥40000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5000≤Y＜40000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1000≤Y＜5000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零售业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X≥300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50≤X＜300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10≤X＜50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Y≥20000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500≤Y＜20000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100≤Y＜500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交通运输业 *</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300≤X＜1000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20≤X＜300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Y≥30000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3000≤Y＜30000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200≤Y＜3000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仓储业*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X≥200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100≤X＜200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20≤X＜100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Y≥30000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1000≤Y＜30000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100≤Y＜1000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邮政业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300≤X＜1000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20≤X＜300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Y≥30000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2000≤Y＜30000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100≤Y＜2000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住宿业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X≥300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100≤X＜300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10≤X＜100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2000≤Y＜10000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100≤Y＜2000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餐饮业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X≥300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100≤X＜300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10≤X＜100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2000≤Y＜10000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100≤Y＜2000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信息传输业 *</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X≥2000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100≤X＜2000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10≤X＜100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1000≤Y＜100000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100≤Y＜1000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软件和信息技术服务业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X≥300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100≤X＜300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10≤X＜100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1000≤Y＜10000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50≤Y＜1000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房地产开发经营</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Y≥200000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1000≤Y＜200000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100≤Y＜1000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资产总额(Z)</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Z≥10000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5000≤Z＜10000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2000≤Z＜5000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物业管理</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300≤X＜1000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100≤X＜300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营业收入(Y)</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Y≥5000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1000≤Y＜5000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500≤Y＜1000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租赁和商务服务业</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X≥300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100≤X＜300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10≤X＜100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vMerge w:val="continue"/>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资产总额(Z)</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万元</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Z≥120000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8000≤Z＜120000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100≤Z＜8000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8"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其他未列明行业 *</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从业人员(X)</w:t>
            </w:r>
          </w:p>
        </w:tc>
        <w:tc>
          <w:tcPr>
            <w:tcW w:w="6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w:t>
            </w:r>
          </w:p>
        </w:tc>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X≥300</w:t>
            </w:r>
          </w:p>
        </w:tc>
        <w:tc>
          <w:tcPr>
            <w:tcW w:w="189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100≤X＜300</w:t>
            </w:r>
          </w:p>
        </w:tc>
        <w:tc>
          <w:tcPr>
            <w:tcW w:w="173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10≤X＜100</w:t>
            </w:r>
          </w:p>
        </w:tc>
        <w:tc>
          <w:tcPr>
            <w:tcW w:w="120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X＜10</w:t>
            </w:r>
          </w:p>
        </w:tc>
      </w:tr>
    </w:tbl>
    <w:p>
      <w:pPr>
        <w:shd w:val="clear" w:color="auto" w:fill="FFFFFF"/>
        <w:spacing w:line="420" w:lineRule="atLeast"/>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说明：</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14:textFill>
            <w14:solidFill>
              <w14:schemeClr w14:val="tx1"/>
            </w14:solidFill>
          </w14:textFill>
        </w:rPr>
        <w:t>  1.大型、中型和小型企业须同时满足所列指标的下限，否则下划一档；微型企业只须满足所列指标中的一项即可。</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14:textFill>
            <w14:solidFill>
              <w14:schemeClr w14:val="tx1"/>
            </w14:solidFill>
          </w14:textFill>
        </w:rPr>
        <w:t>  3.企业划分指标以现行统计制度为准。</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14:textFill>
            <w14:solidFill>
              <w14:schemeClr w14:val="tx1"/>
            </w14:solidFill>
          </w14:textFill>
        </w:rPr>
        <w:t>  （1）从业人员，是指期末从业人员数，没有期末从业人员数的，采用全年平均人员数代替。</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14:textFill>
            <w14:solidFill>
              <w14:schemeClr w14:val="tx1"/>
            </w14:solidFill>
          </w14:textFill>
        </w:rPr>
        <w:t>  （3）资产总额，采用资产总计代替。</w:t>
      </w:r>
    </w:p>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br w:type="textWrapping"/>
      </w:r>
    </w:p>
    <w:p>
      <w:pPr>
        <w:rPr>
          <w:rFonts w:asciiTheme="minorEastAsia" w:hAnsiTheme="minorEastAsia" w:eastAsiaTheme="minorEastAsia"/>
          <w:b/>
          <w:bCs/>
          <w:color w:val="000000" w:themeColor="text1"/>
          <w:sz w:val="36"/>
          <w:szCs w:val="36"/>
          <w14:textFill>
            <w14:solidFill>
              <w14:schemeClr w14:val="tx1"/>
            </w14:solidFill>
          </w14:textFill>
        </w:rPr>
      </w:pPr>
      <w:r>
        <w:rPr>
          <w:rFonts w:asciiTheme="minorEastAsia" w:hAnsiTheme="minorEastAsia" w:eastAsiaTheme="minorEastAsia"/>
          <w:b/>
          <w:bCs/>
          <w:color w:val="000000" w:themeColor="text1"/>
          <w:sz w:val="36"/>
          <w:szCs w:val="36"/>
          <w14:textFill>
            <w14:solidFill>
              <w14:schemeClr w14:val="tx1"/>
            </w14:solidFill>
          </w14:textFill>
        </w:rPr>
        <w:br w:type="page"/>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《统计上大中小微型企业划分办法（2017）》修订说明</w:t>
      </w:r>
    </w:p>
    <w:p>
      <w:pPr>
        <w:shd w:val="clear" w:color="auto" w:fill="FFFFFF"/>
        <w:spacing w:before="150" w:line="540" w:lineRule="atLeast"/>
        <w:textAlignment w:val="baseline"/>
        <w:rPr>
          <w:rFonts w:asciiTheme="minorEastAsia" w:hAnsiTheme="minorEastAsia" w:eastAsiaTheme="minorEastAsia"/>
          <w:b/>
          <w:bCs/>
          <w:color w:val="000000" w:themeColor="text1"/>
          <w:sz w:val="27"/>
          <w:szCs w:val="27"/>
          <w14:textFill>
            <w14:solidFill>
              <w14:schemeClr w14:val="tx1"/>
            </w14:solidFill>
          </w14:textFill>
        </w:rPr>
      </w:pPr>
      <w:r>
        <w:rPr>
          <w:rFonts w:hint="eastAsia" w:asciiTheme="minorEastAsia" w:hAnsiTheme="minorEastAsia" w:eastAsiaTheme="minorEastAsia"/>
          <w:b/>
          <w:bCs/>
          <w:color w:val="000000" w:themeColor="text1"/>
          <w:sz w:val="27"/>
          <w:szCs w:val="27"/>
          <w14:textFill>
            <w14:solidFill>
              <w14:schemeClr w14:val="tx1"/>
            </w14:solidFill>
          </w14:textFill>
        </w:rPr>
        <w:t>一、修订背景</w:t>
      </w:r>
    </w:p>
    <w:p>
      <w:pPr>
        <w:shd w:val="clear" w:color="auto" w:fill="FFFFFF"/>
        <w:spacing w:before="150" w:line="420" w:lineRule="atLeast"/>
        <w:ind w:firstLine="480" w:firstLineChars="200"/>
        <w:textAlignment w:val="baseline"/>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shd w:val="clear" w:color="auto" w:fill="FFFFFF"/>
        <w:spacing w:before="150" w:line="420" w:lineRule="atLeast"/>
        <w:ind w:firstLine="480" w:firstLineChars="200"/>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hd w:val="clear" w:color="auto" w:fill="FFFFFF"/>
        <w:spacing w:before="150" w:line="540" w:lineRule="atLeast"/>
        <w:textAlignment w:val="baseline"/>
        <w:rPr>
          <w:rFonts w:asciiTheme="minorEastAsia" w:hAnsiTheme="minorEastAsia" w:eastAsiaTheme="minorEastAsia"/>
          <w:b/>
          <w:bCs/>
          <w:color w:val="000000" w:themeColor="text1"/>
          <w:sz w:val="27"/>
          <w:szCs w:val="27"/>
          <w14:textFill>
            <w14:solidFill>
              <w14:schemeClr w14:val="tx1"/>
            </w14:solidFill>
          </w14:textFill>
        </w:rPr>
      </w:pPr>
      <w:r>
        <w:rPr>
          <w:rFonts w:hint="eastAsia" w:asciiTheme="minorEastAsia" w:hAnsiTheme="minorEastAsia" w:eastAsiaTheme="minorEastAsia"/>
          <w:b/>
          <w:bCs/>
          <w:color w:val="000000" w:themeColor="text1"/>
          <w:sz w:val="27"/>
          <w:szCs w:val="27"/>
          <w14:textFill>
            <w14:solidFill>
              <w14:schemeClr w14:val="tx1"/>
            </w14:solidFill>
          </w14:textFill>
        </w:rPr>
        <w:t>二、修订主要内容</w:t>
      </w:r>
    </w:p>
    <w:p>
      <w:pPr>
        <w:shd w:val="clear" w:color="auto" w:fill="FFFFFF"/>
        <w:spacing w:before="150" w:line="420" w:lineRule="atLeast"/>
        <w:ind w:firstLine="480" w:firstLineChars="200"/>
        <w:textAlignment w:val="baseline"/>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hd w:val="clear" w:color="auto" w:fill="FFFFFF"/>
        <w:spacing w:before="150" w:line="420" w:lineRule="atLeast"/>
        <w:ind w:firstLine="480" w:firstLineChars="200"/>
        <w:textAlignment w:val="baseline"/>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将交通运输业中包括的“装卸搬运和运输代理业”修改为“多式联运和运输代理业、装卸搬运”。</w:t>
      </w:r>
    </w:p>
    <w:p>
      <w:pPr>
        <w:shd w:val="clear" w:color="auto" w:fill="FFFFFF"/>
        <w:spacing w:before="150" w:line="420" w:lineRule="atLeast"/>
        <w:ind w:firstLine="480" w:firstLineChars="200"/>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仓储业所包括的行业中类，根据《国民经济行业分类》（GB/T4754—2017）调整为“通用仓储，低温仓储，危险品仓储，谷物、棉花等农产品仓储，中药材仓储和其他仓储业”。</w:t>
      </w:r>
    </w:p>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br w:type="textWrapping"/>
      </w:r>
      <w:r>
        <w:rPr>
          <w:rFonts w:hint="eastAsia" w:asciiTheme="minorEastAsia" w:hAnsiTheme="minorEastAsia" w:eastAsiaTheme="minorEastAsia"/>
          <w:color w:val="000000" w:themeColor="text1"/>
          <w:sz w:val="18"/>
          <w:szCs w:val="18"/>
          <w14:textFill>
            <w14:solidFill>
              <w14:schemeClr w14:val="tx1"/>
            </w14:solidFill>
          </w14:textFill>
        </w:rPr>
        <w:br w:type="textWrapping"/>
      </w:r>
    </w:p>
    <w:p>
      <w:pPr>
        <w:rPr>
          <w:rFonts w:asciiTheme="minorEastAsia" w:hAnsiTheme="minorEastAsia" w:eastAsiaTheme="minorEastAsia"/>
          <w:b/>
          <w:bCs/>
          <w:color w:val="000000" w:themeColor="text1"/>
          <w:sz w:val="36"/>
          <w:szCs w:val="36"/>
          <w14:textFill>
            <w14:solidFill>
              <w14:schemeClr w14:val="tx1"/>
            </w14:solidFill>
          </w14:textFill>
        </w:rPr>
      </w:pPr>
      <w:r>
        <w:rPr>
          <w:rFonts w:asciiTheme="minorEastAsia" w:hAnsiTheme="minorEastAsia" w:eastAsiaTheme="minorEastAsia"/>
          <w:b/>
          <w:bCs/>
          <w:color w:val="000000" w:themeColor="text1"/>
          <w:sz w:val="36"/>
          <w:szCs w:val="36"/>
          <w14:textFill>
            <w14:solidFill>
              <w14:schemeClr w14:val="tx1"/>
            </w14:solidFill>
          </w14:textFill>
        </w:rPr>
        <w:br w:type="page"/>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中国人民银行中国银行业监督管理委员会</w:t>
      </w:r>
      <w:r>
        <w:rPr>
          <w:rFonts w:hint="eastAsia" w:cs="仿宋" w:asciiTheme="minorEastAsia" w:hAnsiTheme="minorEastAsia" w:eastAsiaTheme="minorEastAsia"/>
          <w:b/>
          <w:bCs/>
          <w:color w:val="000000" w:themeColor="text1"/>
          <w:sz w:val="30"/>
          <w:szCs w:val="30"/>
          <w14:textFill>
            <w14:solidFill>
              <w14:schemeClr w14:val="tx1"/>
            </w14:solidFill>
          </w14:textFill>
        </w:rPr>
        <w:br w:type="textWrapping"/>
      </w:r>
      <w:r>
        <w:rPr>
          <w:rFonts w:hint="eastAsia" w:cs="仿宋" w:asciiTheme="minorEastAsia" w:hAnsiTheme="minorEastAsia" w:eastAsiaTheme="minorEastAsia"/>
          <w:b/>
          <w:bCs/>
          <w:color w:val="000000" w:themeColor="text1"/>
          <w:sz w:val="30"/>
          <w:szCs w:val="30"/>
          <w14:textFill>
            <w14:solidFill>
              <w14:schemeClr w14:val="tx1"/>
            </w14:solidFill>
          </w14:textFill>
        </w:rPr>
        <w:t>中国证券监督管理委员会中国保险监督管理委员会</w:t>
      </w:r>
      <w:r>
        <w:rPr>
          <w:rFonts w:hint="eastAsia" w:cs="仿宋" w:asciiTheme="minorEastAsia" w:hAnsiTheme="minorEastAsia" w:eastAsiaTheme="minorEastAsia"/>
          <w:b/>
          <w:bCs/>
          <w:color w:val="000000" w:themeColor="text1"/>
          <w:sz w:val="30"/>
          <w:szCs w:val="30"/>
          <w14:textFill>
            <w14:solidFill>
              <w14:schemeClr w14:val="tx1"/>
            </w14:solidFill>
          </w14:textFill>
        </w:rPr>
        <w:br w:type="textWrapping"/>
      </w:r>
      <w:r>
        <w:rPr>
          <w:rFonts w:hint="eastAsia" w:cs="仿宋" w:asciiTheme="minorEastAsia" w:hAnsiTheme="minorEastAsia" w:eastAsiaTheme="minorEastAsia"/>
          <w:b/>
          <w:bCs/>
          <w:color w:val="000000" w:themeColor="text1"/>
          <w:sz w:val="30"/>
          <w:szCs w:val="30"/>
          <w14:textFill>
            <w14:solidFill>
              <w14:schemeClr w14:val="tx1"/>
            </w14:solidFill>
          </w14:textFill>
        </w:rPr>
        <w:t>国家统计局关于印发《金融业企业划型标准规定》的通知</w:t>
      </w:r>
    </w:p>
    <w:p>
      <w:pPr>
        <w:shd w:val="clear" w:color="auto" w:fill="FFFFFF"/>
        <w:spacing w:before="150" w:line="420" w:lineRule="atLeast"/>
        <w:ind w:firstLine="480" w:firstLineChars="200"/>
        <w:textAlignment w:val="baseline"/>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pPr>
        <w:shd w:val="clear" w:color="auto" w:fill="FFFFFF"/>
        <w:spacing w:before="150" w:line="420" w:lineRule="atLeast"/>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附件：金融业企业划型标准规定</w:t>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金融业企业划型标准规定</w:t>
      </w:r>
    </w:p>
    <w:p>
      <w:pPr>
        <w:shd w:val="clear" w:color="auto" w:fill="FFFFFF"/>
        <w:spacing w:line="420" w:lineRule="atLeast"/>
        <w:ind w:firstLine="480" w:firstLineChars="200"/>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一、 根据《中华人民共和国中小企业促进法》、《国务院关于进一步促进中小企业发展的若干意见》（国发〔2009〕36号）和《国务院办公厅关于金融支持小微企业发展的实施意见》（国办发〔2013〕87号），制定本规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二、 适用范围。本规定适用于从事《国民经济行业分类》(GB/T4754-2011)中J门类（金融业）活动的企业。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14:textFill>
            <w14:solidFill>
              <w14:schemeClr w14:val="tx1"/>
            </w14:solidFill>
          </w14:textFill>
        </w:rPr>
        <w:t>五、指标标准值。依据指标标准值，将各类金融业企业划分为大、中、小、微四个规模类型，中型企业标准上限及以上的为大型企业。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(一) 银行业存款类金融机构。资产总额40000亿元以下的为中小微型企业。其中，资产总额5000亿元及以上的为中型企业，资产总额50亿元及以上的为小型企业，资产总额50亿元以下的为微型企业。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(二) 银行业非存款类金融机构。资产总额1000亿元以下的为中小微型企业。其中，资产总额200亿元及以上的为中型企业，资产总额50亿元及以上的为小型企业，资产总额50亿元以下的为微型企业。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(四) 证券业金融机构。资产总额1000亿元以下的为中小微型企业。其中，资产总额100亿元及以上的为中型企业，资产总额10亿元及以上的为小型企业，资产总额10亿元以下的为微型企业。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（六）</w:t>
      </w:r>
      <w:r>
        <w:rPr>
          <w:rFonts w:hint="eastAsia" w:asciiTheme="minorEastAsia" w:hAnsiTheme="minorEastAsia" w:eastAsiaTheme="minorEastAsia"/>
          <w:color w:val="000000" w:themeColor="text1"/>
          <w:szCs w:val="21"/>
          <w14:textFill>
            <w14:solidFill>
              <w14:schemeClr w14:val="tx1"/>
            </w14:solidFill>
          </w14:textFill>
        </w:rPr>
        <w:t>信托公司。信托资产1000亿元以下的为中小微型企业。其中，信托资产400亿元及以上的为中型企业，信托资产20亿元及以上的为小型企业，信托资产20亿元以下的为微型企业。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(七) 金融控股公司。资产总额40000亿元以下的为中小微型企业。其中，资产总额5000亿元及以上的为中型企业，资产总额50亿元及以上的为小型企业，资产总额50亿元以下的为微型企业。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七、 标准值的评估和调整。金融业企业划型标准工作组毎五年对划型标准值受经济发展与通货膨胀等因素的响程度进行评估和调整。</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八、 本规定的中型金融业企业标准上限即为大型金融业企业下限。国务院有关部门据此进行相关数据的统计分析，不得制定与本规定不一致的金融业企业划型标准。</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九、 融资担保公司参照本规定中“除贷款公司、小额贷款公司、典当行以外的其他金融机构”标准划型。</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十、本规定由人民银行会同银监会，证监会、保监会和统计局负责解释。</w:t>
      </w:r>
      <w:r>
        <w:rPr>
          <w:rFonts w:hint="eastAsia" w:asciiTheme="minorEastAsia" w:hAnsiTheme="minorEastAsia" w:eastAsia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十一、本规定自发布之日起实施。</w:t>
      </w:r>
    </w:p>
    <w:p>
      <w:pPr>
        <w:shd w:val="clear" w:color="auto" w:fill="FFFFFF"/>
        <w:spacing w:before="150" w:line="420" w:lineRule="atLeast"/>
        <w:textAlignment w:val="baseline"/>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附：金融业企业划型标准</w:t>
      </w:r>
    </w:p>
    <w:p>
      <w:pPr>
        <w:rPr>
          <w:rFonts w:asciiTheme="minorEastAsia" w:hAnsiTheme="minorEastAsia" w:eastAsiaTheme="minorEastAsia"/>
          <w:b/>
          <w:bCs/>
          <w:color w:val="000000" w:themeColor="text1"/>
          <w:sz w:val="36"/>
          <w:szCs w:val="36"/>
          <w14:textFill>
            <w14:solidFill>
              <w14:schemeClr w14:val="tx1"/>
            </w14:solidFill>
          </w14:textFill>
        </w:rPr>
      </w:pPr>
      <w:r>
        <w:rPr>
          <w:rFonts w:asciiTheme="minorEastAsia" w:hAnsiTheme="minorEastAsia" w:eastAsiaTheme="minorEastAsia"/>
          <w:b/>
          <w:bCs/>
          <w:color w:val="000000" w:themeColor="text1"/>
          <w:sz w:val="36"/>
          <w:szCs w:val="36"/>
          <w14:textFill>
            <w14:solidFill>
              <w14:schemeClr w14:val="tx1"/>
            </w14:solidFill>
          </w14:textFill>
        </w:rPr>
        <w:br w:type="page"/>
      </w:r>
    </w:p>
    <w:p>
      <w:pPr>
        <w:pageBreakBefore/>
        <w:jc w:val="center"/>
        <w:outlineLvl w:val="2"/>
        <w:rPr>
          <w:rFonts w:hint="eastAsia" w:cs="仿宋" w:asciiTheme="minorEastAsia" w:hAnsiTheme="minorEastAsia" w:eastAsiaTheme="minorEastAsia"/>
          <w:b/>
          <w:bCs/>
          <w:color w:val="000000" w:themeColor="text1"/>
          <w:sz w:val="30"/>
          <w:szCs w:val="30"/>
          <w14:textFill>
            <w14:solidFill>
              <w14:schemeClr w14:val="tx1"/>
            </w14:solidFill>
          </w14:textFill>
        </w:rPr>
      </w:pPr>
      <w:r>
        <w:rPr>
          <w:rFonts w:hint="eastAsia" w:cs="仿宋" w:asciiTheme="minorEastAsia" w:hAnsiTheme="minorEastAsia" w:eastAsiaTheme="minorEastAsia"/>
          <w:b/>
          <w:bCs/>
          <w:color w:val="000000" w:themeColor="text1"/>
          <w:sz w:val="30"/>
          <w:szCs w:val="30"/>
          <w14:textFill>
            <w14:solidFill>
              <w14:schemeClr w14:val="tx1"/>
            </w14:solidFill>
          </w14:textFill>
        </w:rPr>
        <w:t>金融业企业划型标准</w:t>
      </w:r>
    </w:p>
    <w:tbl>
      <w:tblPr>
        <w:tblStyle w:val="43"/>
        <w:tblW w:w="853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6"/>
        <w:gridCol w:w="1025"/>
        <w:gridCol w:w="2837"/>
        <w:gridCol w:w="606"/>
        <w:gridCol w:w="332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行业</w:t>
            </w:r>
          </w:p>
        </w:tc>
        <w:tc>
          <w:tcPr>
            <w:tcW w:w="28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类别</w:t>
            </w: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类型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75" w:type="dxa"/>
              <w:left w:w="75" w:type="dxa"/>
              <w:bottom w:w="75" w:type="dxa"/>
              <w:right w:w="75" w:type="dxa"/>
            </w:tcMar>
            <w:vAlign w:val="bottom"/>
          </w:tcPr>
          <w:p>
            <w:pPr>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货币金融服务</w:t>
            </w:r>
          </w:p>
        </w:tc>
        <w:tc>
          <w:tcPr>
            <w:tcW w:w="102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货币银行服务</w:t>
            </w:r>
          </w:p>
        </w:tc>
        <w:tc>
          <w:tcPr>
            <w:tcW w:w="283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银行业存款类金融机构</w:t>
            </w: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小型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微型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非货币银行服务</w:t>
            </w:r>
          </w:p>
        </w:tc>
        <w:tc>
          <w:tcPr>
            <w:tcW w:w="283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银行业非存款类金融机构</w:t>
            </w: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小型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微型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贷款公司、小额贷款公司及典当行</w:t>
            </w: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小型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微型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1" w:type="dxa"/>
            <w:gridSpan w:val="2"/>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资本市场服务</w:t>
            </w:r>
          </w:p>
        </w:tc>
        <w:tc>
          <w:tcPr>
            <w:tcW w:w="283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证券业金融机构</w:t>
            </w: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1" w:type="dxa"/>
            <w:gridSpan w:val="2"/>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小型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1" w:type="dxa"/>
            <w:gridSpan w:val="2"/>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微型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1" w:type="dxa"/>
            <w:gridSpan w:val="2"/>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保险业</w:t>
            </w:r>
          </w:p>
        </w:tc>
        <w:tc>
          <w:tcPr>
            <w:tcW w:w="283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保险业金融机构</w:t>
            </w: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1" w:type="dxa"/>
            <w:gridSpan w:val="2"/>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小型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1" w:type="dxa"/>
            <w:gridSpan w:val="2"/>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微型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其他金融业</w:t>
            </w:r>
          </w:p>
        </w:tc>
        <w:tc>
          <w:tcPr>
            <w:tcW w:w="102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金融信托与管理服务</w:t>
            </w:r>
          </w:p>
        </w:tc>
        <w:tc>
          <w:tcPr>
            <w:tcW w:w="283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信托公司</w:t>
            </w: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小型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微型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控股公司服务</w:t>
            </w:r>
          </w:p>
        </w:tc>
        <w:tc>
          <w:tcPr>
            <w:tcW w:w="283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金融控股公司</w:t>
            </w: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小型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微型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其他未包括的金融业</w:t>
            </w:r>
          </w:p>
        </w:tc>
        <w:tc>
          <w:tcPr>
            <w:tcW w:w="283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除贷款公司、小额贷款公司及典当行以外的其他金融机构</w:t>
            </w: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小型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102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283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p>
        </w:tc>
        <w:tc>
          <w:tcPr>
            <w:tcW w:w="6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微型</w:t>
            </w:r>
          </w:p>
        </w:tc>
        <w:tc>
          <w:tcPr>
            <w:tcW w:w="332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50亿元以下</w:t>
            </w:r>
          </w:p>
        </w:tc>
      </w:tr>
    </w:tbl>
    <w:p>
      <w:pPr>
        <w:rPr>
          <w:rFonts w:cs="仿宋_GB2312" w:asciiTheme="minorEastAsia" w:hAnsiTheme="minorEastAsia" w:eastAsiaTheme="minorEastAsia"/>
          <w:color w:val="000000" w:themeColor="text1"/>
          <w14:textFill>
            <w14:solidFill>
              <w14:schemeClr w14:val="tx1"/>
            </w14:solidFill>
          </w14:textFill>
        </w:rPr>
      </w:pPr>
    </w:p>
    <w:p>
      <w:pPr>
        <w:rPr>
          <w:rFonts w:cs="仿宋_GB2312" w:asciiTheme="minorEastAsia" w:hAnsiTheme="minorEastAsia" w:eastAsiaTheme="minorEastAsia"/>
          <w:b/>
          <w:color w:val="000000" w:themeColor="text1"/>
          <w:sz w:val="36"/>
          <w:szCs w:val="36"/>
          <w14:textFill>
            <w14:solidFill>
              <w14:schemeClr w14:val="tx1"/>
            </w14:solidFill>
          </w14:textFill>
        </w:rPr>
      </w:pPr>
    </w:p>
    <w:sectPr>
      <w:pgSz w:w="11907" w:h="16839"/>
      <w:pgMar w:top="1304" w:right="1361" w:bottom="1361" w:left="1588" w:header="851" w:footer="992" w:gutter="0"/>
      <w:pgNumType w:fmt="decimal"/>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阿里巴巴普惠体 L">
    <w:altName w:val="宋体"/>
    <w:panose1 w:val="00000000000000000000"/>
    <w:charset w:val="86"/>
    <w:family w:val="roman"/>
    <w:pitch w:val="default"/>
    <w:sig w:usb0="00000000" w:usb1="00000000" w:usb2="0000001E" w:usb3="00000000" w:csb0="0004009F" w:csb1="00000000"/>
  </w:font>
  <w:font w:name="Tahoma">
    <w:panose1 w:val="020B0604030504040204"/>
    <w:charset w:val="00"/>
    <w:family w:val="swiss"/>
    <w:pitch w:val="default"/>
    <w:sig w:usb0="E1002EFF" w:usb1="C000605B" w:usb2="00000029" w:usb3="00000000" w:csb0="200101FF" w:csb1="20280000"/>
  </w:font>
  <w:font w:name="Arial Unicode MS">
    <w:altName w:val="Times New Roman"/>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0000000000000000000"/>
    <w:charset w:val="00"/>
    <w:family w:val="swiss"/>
    <w:pitch w:val="default"/>
    <w:sig w:usb0="00000000" w:usb1="00000000" w:usb2="00000000" w:usb3="00000000" w:csb0="0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roma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5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85</w:t>
                    </w:r>
                    <w:r>
                      <w:fldChar w:fldCharType="end"/>
                    </w:r>
                  </w:p>
                </w:txbxContent>
              </v:textbox>
            </v:shape>
          </w:pict>
        </mc:Fallback>
      </mc:AlternateContent>
    </w:r>
    <w:r>
      <w:rPr>
        <w:rFonts w:hint="eastAsia"/>
        <w:sz w:val="18"/>
        <w:szCs w:val="18"/>
      </w:rPr>
      <w:t>128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jc w:val="right"/>
      <w:rPr>
        <w:rFonts w:asciiTheme="majorEastAsia" w:hAnsiTheme="majorEastAsia" w:eastAsiaTheme="majorEastAsia"/>
        <w:bCs/>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tabs>
        <w:tab w:val="left" w:pos="1855"/>
      </w:tabs>
      <w:jc w:val="left"/>
      <w:rPr>
        <w:rFonts w:hint="eastAsia" w:eastAsia="宋体"/>
        <w:lang w:eastAsia="zh-CN"/>
      </w:rPr>
    </w:pPr>
    <w:r>
      <w:rPr>
        <w:rFonts w:hint="eastAsia"/>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wordWrap w:val="0"/>
      <w:jc w:val="right"/>
      <w:rPr>
        <w:rFonts w:eastAsia="仿宋"/>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631EF"/>
    <w:multiLevelType w:val="singleLevel"/>
    <w:tmpl w:val="D16631EF"/>
    <w:lvl w:ilvl="0" w:tentative="0">
      <w:start w:val="1"/>
      <w:numFmt w:val="decimal"/>
      <w:suff w:val="nothing"/>
      <w:lvlText w:val="（%1）"/>
      <w:lvlJc w:val="left"/>
    </w:lvl>
  </w:abstractNum>
  <w:abstractNum w:abstractNumId="1">
    <w:nsid w:val="F0379B1B"/>
    <w:multiLevelType w:val="singleLevel"/>
    <w:tmpl w:val="F0379B1B"/>
    <w:lvl w:ilvl="0" w:tentative="0">
      <w:start w:val="1"/>
      <w:numFmt w:val="decimal"/>
      <w:pStyle w:val="14"/>
      <w:lvlText w:val="%1."/>
      <w:lvlJc w:val="left"/>
      <w:pPr>
        <w:tabs>
          <w:tab w:val="left" w:pos="360"/>
        </w:tabs>
        <w:ind w:left="360" w:hanging="360"/>
      </w:pPr>
    </w:lvl>
  </w:abstractNum>
  <w:abstractNum w:abstractNumId="2">
    <w:nsid w:val="FFFFFF7E"/>
    <w:multiLevelType w:val="singleLevel"/>
    <w:tmpl w:val="FFFFFF7E"/>
    <w:lvl w:ilvl="0" w:tentative="0">
      <w:start w:val="1"/>
      <w:numFmt w:val="decimal"/>
      <w:pStyle w:val="23"/>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3"/>
      <w:lvlText w:val="%1."/>
      <w:lvlJc w:val="left"/>
      <w:pPr>
        <w:tabs>
          <w:tab w:val="left" w:pos="780"/>
        </w:tabs>
        <w:ind w:left="780" w:leftChars="200" w:hanging="360" w:hangingChars="200"/>
      </w:pPr>
    </w:lvl>
  </w:abstractNum>
  <w:abstractNum w:abstractNumId="4">
    <w:nsid w:val="018A3267"/>
    <w:multiLevelType w:val="multilevel"/>
    <w:tmpl w:val="018A3267"/>
    <w:lvl w:ilvl="0" w:tentative="0">
      <w:start w:val="1"/>
      <w:numFmt w:val="decimal"/>
      <w:isLgl/>
      <w:lvlText w:val="%1"/>
      <w:lvlJc w:val="left"/>
      <w:pPr>
        <w:ind w:left="0" w:firstLine="0"/>
      </w:pPr>
      <w:rPr>
        <w:rFonts w:hint="eastAsia"/>
      </w:rPr>
    </w:lvl>
    <w:lvl w:ilvl="1" w:tentative="0">
      <w:start w:val="1"/>
      <w:numFmt w:val="decimal"/>
      <w:lvlRestart w:val="0"/>
      <w:isLgl/>
      <w:lvlText w:val="%1.%2"/>
      <w:lvlJc w:val="left"/>
      <w:pPr>
        <w:tabs>
          <w:tab w:val="left" w:pos="935"/>
        </w:tabs>
        <w:ind w:left="425" w:firstLine="0"/>
      </w:pPr>
      <w:rPr>
        <w:rFonts w:hint="default"/>
      </w:rPr>
    </w:lvl>
    <w:lvl w:ilvl="2" w:tentative="0">
      <w:start w:val="1"/>
      <w:numFmt w:val="decimal"/>
      <w:lvlRestart w:val="0"/>
      <w:isLgl/>
      <w:lvlText w:val="%1.%2.%3"/>
      <w:lvlJc w:val="left"/>
      <w:pPr>
        <w:ind w:left="0" w:firstLine="0"/>
      </w:pPr>
      <w:rPr>
        <w:rFonts w:hint="default" w:cs="Times New Roman"/>
        <w:i w:val="0"/>
        <w:iCs w:val="0"/>
        <w:caps w:val="0"/>
        <w:strike w:val="0"/>
        <w:dstrike w:val="0"/>
        <w:vanish w:val="0"/>
        <w:color w:val="000000"/>
        <w:spacing w:val="0"/>
        <w:position w:val="0"/>
        <w:u w:val="none"/>
        <w:vertAlign w:val="baseline"/>
      </w:rPr>
    </w:lvl>
    <w:lvl w:ilvl="3" w:tentative="0">
      <w:start w:val="1"/>
      <w:numFmt w:val="decimal"/>
      <w:lvlText w:val="3.4.2.%4"/>
      <w:lvlJc w:val="left"/>
      <w:pPr>
        <w:ind w:left="821" w:hanging="821"/>
      </w:pPr>
      <w:rPr>
        <w:rFonts w:hint="eastAsia"/>
        <w:i w:val="0"/>
        <w:iCs w:val="0"/>
        <w:caps w:val="0"/>
        <w:smallCaps w:val="0"/>
        <w:strike w:val="0"/>
        <w:dstrike w:val="0"/>
        <w:vanish w:val="0"/>
        <w:color w:val="000000"/>
        <w:spacing w:val="0"/>
        <w:position w:val="0"/>
        <w:u w:val="none"/>
        <w:vertAlign w:val="baseline"/>
      </w:rPr>
    </w:lvl>
    <w:lvl w:ilvl="4" w:tentative="0">
      <w:start w:val="1"/>
      <w:numFmt w:val="decimal"/>
      <w:lvlRestart w:val="0"/>
      <w:pStyle w:val="8"/>
      <w:isLgl/>
      <w:lvlText w:val="%1.%2.%3.%4.%5"/>
      <w:lvlJc w:val="left"/>
      <w:pPr>
        <w:ind w:left="0" w:firstLine="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5">
    <w:nsid w:val="03C70C06"/>
    <w:multiLevelType w:val="multilevel"/>
    <w:tmpl w:val="03C70C06"/>
    <w:lvl w:ilvl="0" w:tentative="0">
      <w:start w:val="1"/>
      <w:numFmt w:val="bullet"/>
      <w:pStyle w:val="68"/>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31320F13"/>
    <w:multiLevelType w:val="multilevel"/>
    <w:tmpl w:val="31320F13"/>
    <w:lvl w:ilvl="0" w:tentative="0">
      <w:start w:val="1"/>
      <w:numFmt w:val="decimal"/>
      <w:pStyle w:val="91"/>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19237F4"/>
    <w:multiLevelType w:val="multilevel"/>
    <w:tmpl w:val="719237F4"/>
    <w:lvl w:ilvl="0" w:tentative="0">
      <w:start w:val="1"/>
      <w:numFmt w:val="bullet"/>
      <w:pStyle w:val="89"/>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1"/>
  </w:num>
  <w:num w:numId="4">
    <w:abstractNumId w:val="2"/>
  </w:num>
  <w:num w:numId="5">
    <w:abstractNumId w:val="5"/>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8F76AD"/>
    <w:rsid w:val="00005002"/>
    <w:rsid w:val="00005362"/>
    <w:rsid w:val="00005627"/>
    <w:rsid w:val="00006309"/>
    <w:rsid w:val="00007836"/>
    <w:rsid w:val="000103A0"/>
    <w:rsid w:val="000122D0"/>
    <w:rsid w:val="00012719"/>
    <w:rsid w:val="00013A7C"/>
    <w:rsid w:val="00013AAF"/>
    <w:rsid w:val="0001786F"/>
    <w:rsid w:val="00021EA1"/>
    <w:rsid w:val="0002289C"/>
    <w:rsid w:val="0002317A"/>
    <w:rsid w:val="00024150"/>
    <w:rsid w:val="000247EF"/>
    <w:rsid w:val="000264E5"/>
    <w:rsid w:val="00027FC7"/>
    <w:rsid w:val="00031056"/>
    <w:rsid w:val="00033D44"/>
    <w:rsid w:val="00035969"/>
    <w:rsid w:val="00041EB2"/>
    <w:rsid w:val="00042165"/>
    <w:rsid w:val="000441E8"/>
    <w:rsid w:val="00044CFE"/>
    <w:rsid w:val="00044FB9"/>
    <w:rsid w:val="00045348"/>
    <w:rsid w:val="000459A3"/>
    <w:rsid w:val="00045B12"/>
    <w:rsid w:val="00046E6B"/>
    <w:rsid w:val="00047B69"/>
    <w:rsid w:val="00047F0A"/>
    <w:rsid w:val="00050B15"/>
    <w:rsid w:val="00051878"/>
    <w:rsid w:val="00052FA3"/>
    <w:rsid w:val="0005505D"/>
    <w:rsid w:val="00055699"/>
    <w:rsid w:val="00055F4C"/>
    <w:rsid w:val="00056359"/>
    <w:rsid w:val="0005652D"/>
    <w:rsid w:val="00057452"/>
    <w:rsid w:val="00060B00"/>
    <w:rsid w:val="000611EC"/>
    <w:rsid w:val="00066138"/>
    <w:rsid w:val="00067533"/>
    <w:rsid w:val="000677E0"/>
    <w:rsid w:val="000700C6"/>
    <w:rsid w:val="00072477"/>
    <w:rsid w:val="00072668"/>
    <w:rsid w:val="000733A8"/>
    <w:rsid w:val="000737F6"/>
    <w:rsid w:val="000744DF"/>
    <w:rsid w:val="0007523D"/>
    <w:rsid w:val="00075825"/>
    <w:rsid w:val="000765F0"/>
    <w:rsid w:val="000766B0"/>
    <w:rsid w:val="00076BC2"/>
    <w:rsid w:val="00077159"/>
    <w:rsid w:val="0007754B"/>
    <w:rsid w:val="00077805"/>
    <w:rsid w:val="00077888"/>
    <w:rsid w:val="000807B8"/>
    <w:rsid w:val="0008094E"/>
    <w:rsid w:val="00081A4A"/>
    <w:rsid w:val="00081C5B"/>
    <w:rsid w:val="000846EC"/>
    <w:rsid w:val="00084BD0"/>
    <w:rsid w:val="0008533F"/>
    <w:rsid w:val="00085828"/>
    <w:rsid w:val="000863E5"/>
    <w:rsid w:val="000864AC"/>
    <w:rsid w:val="000873C7"/>
    <w:rsid w:val="00090E60"/>
    <w:rsid w:val="00091B09"/>
    <w:rsid w:val="0009297B"/>
    <w:rsid w:val="00092ADD"/>
    <w:rsid w:val="00092B8F"/>
    <w:rsid w:val="00094013"/>
    <w:rsid w:val="00096E66"/>
    <w:rsid w:val="00097625"/>
    <w:rsid w:val="000A1E89"/>
    <w:rsid w:val="000A233F"/>
    <w:rsid w:val="000A28C3"/>
    <w:rsid w:val="000A2E0B"/>
    <w:rsid w:val="000A359B"/>
    <w:rsid w:val="000A3D8A"/>
    <w:rsid w:val="000A45A0"/>
    <w:rsid w:val="000A481F"/>
    <w:rsid w:val="000A4DFB"/>
    <w:rsid w:val="000B1810"/>
    <w:rsid w:val="000B2815"/>
    <w:rsid w:val="000B385C"/>
    <w:rsid w:val="000B4F83"/>
    <w:rsid w:val="000B61A8"/>
    <w:rsid w:val="000B6725"/>
    <w:rsid w:val="000B6B26"/>
    <w:rsid w:val="000B7BB0"/>
    <w:rsid w:val="000B7D2A"/>
    <w:rsid w:val="000C1230"/>
    <w:rsid w:val="000C1737"/>
    <w:rsid w:val="000C1BC8"/>
    <w:rsid w:val="000C25E8"/>
    <w:rsid w:val="000C2D5F"/>
    <w:rsid w:val="000C2F2F"/>
    <w:rsid w:val="000C4CD8"/>
    <w:rsid w:val="000C4FB0"/>
    <w:rsid w:val="000C546F"/>
    <w:rsid w:val="000C601C"/>
    <w:rsid w:val="000C6AB6"/>
    <w:rsid w:val="000C735A"/>
    <w:rsid w:val="000D05BF"/>
    <w:rsid w:val="000D1B1E"/>
    <w:rsid w:val="000D39AF"/>
    <w:rsid w:val="000D47B6"/>
    <w:rsid w:val="000D61C7"/>
    <w:rsid w:val="000D651A"/>
    <w:rsid w:val="000D66C2"/>
    <w:rsid w:val="000D77D2"/>
    <w:rsid w:val="000E05BF"/>
    <w:rsid w:val="000E06D1"/>
    <w:rsid w:val="000E0BDD"/>
    <w:rsid w:val="000E333E"/>
    <w:rsid w:val="000E3AB0"/>
    <w:rsid w:val="000E4B43"/>
    <w:rsid w:val="000E6563"/>
    <w:rsid w:val="000E7829"/>
    <w:rsid w:val="000E784E"/>
    <w:rsid w:val="000E79BD"/>
    <w:rsid w:val="000E7BE8"/>
    <w:rsid w:val="000E7BEB"/>
    <w:rsid w:val="000E7DD2"/>
    <w:rsid w:val="000F1AA0"/>
    <w:rsid w:val="000F3016"/>
    <w:rsid w:val="000F4EA2"/>
    <w:rsid w:val="000F60D0"/>
    <w:rsid w:val="000F667D"/>
    <w:rsid w:val="000F66FE"/>
    <w:rsid w:val="000F6E81"/>
    <w:rsid w:val="00103555"/>
    <w:rsid w:val="00104459"/>
    <w:rsid w:val="00104E19"/>
    <w:rsid w:val="001051A6"/>
    <w:rsid w:val="00105333"/>
    <w:rsid w:val="00107087"/>
    <w:rsid w:val="0011186E"/>
    <w:rsid w:val="00112389"/>
    <w:rsid w:val="001135B9"/>
    <w:rsid w:val="001136A8"/>
    <w:rsid w:val="001138C2"/>
    <w:rsid w:val="00114B0C"/>
    <w:rsid w:val="00114FFF"/>
    <w:rsid w:val="001155DD"/>
    <w:rsid w:val="001165DD"/>
    <w:rsid w:val="0011693C"/>
    <w:rsid w:val="00117926"/>
    <w:rsid w:val="0011797C"/>
    <w:rsid w:val="0012057C"/>
    <w:rsid w:val="00122111"/>
    <w:rsid w:val="00123FB9"/>
    <w:rsid w:val="00124242"/>
    <w:rsid w:val="0012432E"/>
    <w:rsid w:val="0012509A"/>
    <w:rsid w:val="0012599A"/>
    <w:rsid w:val="00125D4F"/>
    <w:rsid w:val="001264FC"/>
    <w:rsid w:val="001275F6"/>
    <w:rsid w:val="00127875"/>
    <w:rsid w:val="001305CB"/>
    <w:rsid w:val="0013063C"/>
    <w:rsid w:val="00131057"/>
    <w:rsid w:val="00131DA6"/>
    <w:rsid w:val="00131E31"/>
    <w:rsid w:val="00132854"/>
    <w:rsid w:val="001329F3"/>
    <w:rsid w:val="00133346"/>
    <w:rsid w:val="00137540"/>
    <w:rsid w:val="00137E38"/>
    <w:rsid w:val="001409BF"/>
    <w:rsid w:val="00140ADA"/>
    <w:rsid w:val="00140F33"/>
    <w:rsid w:val="00145497"/>
    <w:rsid w:val="00145E51"/>
    <w:rsid w:val="001460A8"/>
    <w:rsid w:val="00146FE2"/>
    <w:rsid w:val="00147549"/>
    <w:rsid w:val="001478F4"/>
    <w:rsid w:val="00147A9D"/>
    <w:rsid w:val="00150FFB"/>
    <w:rsid w:val="00151251"/>
    <w:rsid w:val="00151A54"/>
    <w:rsid w:val="00152034"/>
    <w:rsid w:val="0015246E"/>
    <w:rsid w:val="00152F67"/>
    <w:rsid w:val="001536E5"/>
    <w:rsid w:val="001553E1"/>
    <w:rsid w:val="0015602C"/>
    <w:rsid w:val="00160952"/>
    <w:rsid w:val="00160B4B"/>
    <w:rsid w:val="00160EFC"/>
    <w:rsid w:val="001639D1"/>
    <w:rsid w:val="00165C4C"/>
    <w:rsid w:val="00165CD3"/>
    <w:rsid w:val="001660E9"/>
    <w:rsid w:val="00167437"/>
    <w:rsid w:val="001676DA"/>
    <w:rsid w:val="00167AA4"/>
    <w:rsid w:val="0017054D"/>
    <w:rsid w:val="00170BFA"/>
    <w:rsid w:val="0017124B"/>
    <w:rsid w:val="00171A4D"/>
    <w:rsid w:val="0017376D"/>
    <w:rsid w:val="00173C10"/>
    <w:rsid w:val="00174A44"/>
    <w:rsid w:val="00175178"/>
    <w:rsid w:val="00175669"/>
    <w:rsid w:val="00175A9E"/>
    <w:rsid w:val="00176F28"/>
    <w:rsid w:val="00177070"/>
    <w:rsid w:val="00177C0F"/>
    <w:rsid w:val="00177FCF"/>
    <w:rsid w:val="00180C73"/>
    <w:rsid w:val="00181126"/>
    <w:rsid w:val="00181259"/>
    <w:rsid w:val="00182F0F"/>
    <w:rsid w:val="0018331E"/>
    <w:rsid w:val="00183327"/>
    <w:rsid w:val="0018344D"/>
    <w:rsid w:val="001834EF"/>
    <w:rsid w:val="001839A7"/>
    <w:rsid w:val="00184C69"/>
    <w:rsid w:val="00185670"/>
    <w:rsid w:val="00190483"/>
    <w:rsid w:val="001910D2"/>
    <w:rsid w:val="0019166F"/>
    <w:rsid w:val="00191B12"/>
    <w:rsid w:val="001922A2"/>
    <w:rsid w:val="00192587"/>
    <w:rsid w:val="00193DAE"/>
    <w:rsid w:val="00195CD8"/>
    <w:rsid w:val="00195D00"/>
    <w:rsid w:val="00196F9B"/>
    <w:rsid w:val="00197D0A"/>
    <w:rsid w:val="00197E7F"/>
    <w:rsid w:val="001A0BBE"/>
    <w:rsid w:val="001A0D54"/>
    <w:rsid w:val="001A112A"/>
    <w:rsid w:val="001A1573"/>
    <w:rsid w:val="001A1B3E"/>
    <w:rsid w:val="001A29B0"/>
    <w:rsid w:val="001A2D4A"/>
    <w:rsid w:val="001A2FEB"/>
    <w:rsid w:val="001A3981"/>
    <w:rsid w:val="001A3E87"/>
    <w:rsid w:val="001A4C70"/>
    <w:rsid w:val="001A4F28"/>
    <w:rsid w:val="001A5D9A"/>
    <w:rsid w:val="001A676F"/>
    <w:rsid w:val="001B0A56"/>
    <w:rsid w:val="001B110A"/>
    <w:rsid w:val="001B1F5B"/>
    <w:rsid w:val="001B24B5"/>
    <w:rsid w:val="001B25E3"/>
    <w:rsid w:val="001B3288"/>
    <w:rsid w:val="001B3D4B"/>
    <w:rsid w:val="001B530C"/>
    <w:rsid w:val="001B6428"/>
    <w:rsid w:val="001B6798"/>
    <w:rsid w:val="001B6CAC"/>
    <w:rsid w:val="001B6E50"/>
    <w:rsid w:val="001B78FE"/>
    <w:rsid w:val="001B7F67"/>
    <w:rsid w:val="001C0361"/>
    <w:rsid w:val="001C06E7"/>
    <w:rsid w:val="001C09FA"/>
    <w:rsid w:val="001C1006"/>
    <w:rsid w:val="001C14B4"/>
    <w:rsid w:val="001C22DB"/>
    <w:rsid w:val="001C2D1D"/>
    <w:rsid w:val="001C2F72"/>
    <w:rsid w:val="001C43CD"/>
    <w:rsid w:val="001C4B90"/>
    <w:rsid w:val="001C4D02"/>
    <w:rsid w:val="001C5222"/>
    <w:rsid w:val="001C5971"/>
    <w:rsid w:val="001C69C4"/>
    <w:rsid w:val="001C6C1D"/>
    <w:rsid w:val="001C71BD"/>
    <w:rsid w:val="001C7325"/>
    <w:rsid w:val="001C7D54"/>
    <w:rsid w:val="001D0945"/>
    <w:rsid w:val="001D0DBD"/>
    <w:rsid w:val="001D1304"/>
    <w:rsid w:val="001D1489"/>
    <w:rsid w:val="001D2FD3"/>
    <w:rsid w:val="001D320D"/>
    <w:rsid w:val="001D3492"/>
    <w:rsid w:val="001D477E"/>
    <w:rsid w:val="001D4ABD"/>
    <w:rsid w:val="001D5B55"/>
    <w:rsid w:val="001D5BF4"/>
    <w:rsid w:val="001D62D3"/>
    <w:rsid w:val="001D7824"/>
    <w:rsid w:val="001E044F"/>
    <w:rsid w:val="001E0889"/>
    <w:rsid w:val="001E22C6"/>
    <w:rsid w:val="001E2528"/>
    <w:rsid w:val="001E34D6"/>
    <w:rsid w:val="001E4619"/>
    <w:rsid w:val="001E4E93"/>
    <w:rsid w:val="001E57C0"/>
    <w:rsid w:val="001E59A7"/>
    <w:rsid w:val="001F3041"/>
    <w:rsid w:val="001F3B6D"/>
    <w:rsid w:val="001F3BA0"/>
    <w:rsid w:val="001F7388"/>
    <w:rsid w:val="001F745F"/>
    <w:rsid w:val="001F7D8E"/>
    <w:rsid w:val="001F7F92"/>
    <w:rsid w:val="002007C9"/>
    <w:rsid w:val="002011A1"/>
    <w:rsid w:val="00201FD5"/>
    <w:rsid w:val="0020227F"/>
    <w:rsid w:val="00202856"/>
    <w:rsid w:val="00202DD9"/>
    <w:rsid w:val="00203BF9"/>
    <w:rsid w:val="00203BFE"/>
    <w:rsid w:val="00206434"/>
    <w:rsid w:val="002103DB"/>
    <w:rsid w:val="00211CC2"/>
    <w:rsid w:val="00211FB2"/>
    <w:rsid w:val="002120A8"/>
    <w:rsid w:val="00213745"/>
    <w:rsid w:val="00215852"/>
    <w:rsid w:val="00216954"/>
    <w:rsid w:val="00216B1B"/>
    <w:rsid w:val="00220BFA"/>
    <w:rsid w:val="0022350A"/>
    <w:rsid w:val="00223AD1"/>
    <w:rsid w:val="00225164"/>
    <w:rsid w:val="00225549"/>
    <w:rsid w:val="00226427"/>
    <w:rsid w:val="002267BE"/>
    <w:rsid w:val="00227612"/>
    <w:rsid w:val="002277E0"/>
    <w:rsid w:val="00230D81"/>
    <w:rsid w:val="002310B9"/>
    <w:rsid w:val="00231544"/>
    <w:rsid w:val="0023279B"/>
    <w:rsid w:val="00233D3B"/>
    <w:rsid w:val="0023401B"/>
    <w:rsid w:val="00234938"/>
    <w:rsid w:val="00235A76"/>
    <w:rsid w:val="00236F41"/>
    <w:rsid w:val="002378AD"/>
    <w:rsid w:val="002379AF"/>
    <w:rsid w:val="00237DE3"/>
    <w:rsid w:val="002411BC"/>
    <w:rsid w:val="00241632"/>
    <w:rsid w:val="002424A3"/>
    <w:rsid w:val="002424C4"/>
    <w:rsid w:val="00244B5E"/>
    <w:rsid w:val="00246D19"/>
    <w:rsid w:val="0024724D"/>
    <w:rsid w:val="00247856"/>
    <w:rsid w:val="00247E9B"/>
    <w:rsid w:val="0025070A"/>
    <w:rsid w:val="00250B16"/>
    <w:rsid w:val="00250BAB"/>
    <w:rsid w:val="00250F0A"/>
    <w:rsid w:val="002520C7"/>
    <w:rsid w:val="002522D0"/>
    <w:rsid w:val="0025264D"/>
    <w:rsid w:val="00252D6F"/>
    <w:rsid w:val="00253A8F"/>
    <w:rsid w:val="00254310"/>
    <w:rsid w:val="0025443B"/>
    <w:rsid w:val="0025483E"/>
    <w:rsid w:val="0025511D"/>
    <w:rsid w:val="002559FA"/>
    <w:rsid w:val="002567F6"/>
    <w:rsid w:val="00257288"/>
    <w:rsid w:val="002572B8"/>
    <w:rsid w:val="002573B3"/>
    <w:rsid w:val="00260363"/>
    <w:rsid w:val="002606D4"/>
    <w:rsid w:val="00260B9C"/>
    <w:rsid w:val="00262136"/>
    <w:rsid w:val="00262AB4"/>
    <w:rsid w:val="00262ACE"/>
    <w:rsid w:val="0026300E"/>
    <w:rsid w:val="00263052"/>
    <w:rsid w:val="00263579"/>
    <w:rsid w:val="00264369"/>
    <w:rsid w:val="0026489E"/>
    <w:rsid w:val="00264D97"/>
    <w:rsid w:val="00265389"/>
    <w:rsid w:val="002658A4"/>
    <w:rsid w:val="0026663E"/>
    <w:rsid w:val="0026731B"/>
    <w:rsid w:val="00270D62"/>
    <w:rsid w:val="002716D7"/>
    <w:rsid w:val="002717C5"/>
    <w:rsid w:val="002718DA"/>
    <w:rsid w:val="00271C3A"/>
    <w:rsid w:val="0027203A"/>
    <w:rsid w:val="002732C3"/>
    <w:rsid w:val="00273D88"/>
    <w:rsid w:val="002748B0"/>
    <w:rsid w:val="0027526C"/>
    <w:rsid w:val="00275285"/>
    <w:rsid w:val="002755B0"/>
    <w:rsid w:val="002763E2"/>
    <w:rsid w:val="00277A83"/>
    <w:rsid w:val="00277E5B"/>
    <w:rsid w:val="00281DFC"/>
    <w:rsid w:val="00283A72"/>
    <w:rsid w:val="00283F84"/>
    <w:rsid w:val="002860EB"/>
    <w:rsid w:val="0028768D"/>
    <w:rsid w:val="002901BD"/>
    <w:rsid w:val="00292D9C"/>
    <w:rsid w:val="00292F53"/>
    <w:rsid w:val="00293333"/>
    <w:rsid w:val="0029383B"/>
    <w:rsid w:val="002942BE"/>
    <w:rsid w:val="00294656"/>
    <w:rsid w:val="0029591A"/>
    <w:rsid w:val="00295EAC"/>
    <w:rsid w:val="002969C3"/>
    <w:rsid w:val="00297053"/>
    <w:rsid w:val="0029717B"/>
    <w:rsid w:val="00297EEB"/>
    <w:rsid w:val="002A0397"/>
    <w:rsid w:val="002A0409"/>
    <w:rsid w:val="002A1B69"/>
    <w:rsid w:val="002A21F6"/>
    <w:rsid w:val="002A4AED"/>
    <w:rsid w:val="002A4E1B"/>
    <w:rsid w:val="002A5040"/>
    <w:rsid w:val="002A53C1"/>
    <w:rsid w:val="002A5E25"/>
    <w:rsid w:val="002B039B"/>
    <w:rsid w:val="002B12F3"/>
    <w:rsid w:val="002B21C9"/>
    <w:rsid w:val="002B224C"/>
    <w:rsid w:val="002B2EBB"/>
    <w:rsid w:val="002B4012"/>
    <w:rsid w:val="002B46EE"/>
    <w:rsid w:val="002B7085"/>
    <w:rsid w:val="002C09F4"/>
    <w:rsid w:val="002C1FCE"/>
    <w:rsid w:val="002C2964"/>
    <w:rsid w:val="002C2967"/>
    <w:rsid w:val="002C2CD8"/>
    <w:rsid w:val="002C30BE"/>
    <w:rsid w:val="002C3364"/>
    <w:rsid w:val="002C62F0"/>
    <w:rsid w:val="002C7BBD"/>
    <w:rsid w:val="002D043F"/>
    <w:rsid w:val="002D1478"/>
    <w:rsid w:val="002D164F"/>
    <w:rsid w:val="002D1F19"/>
    <w:rsid w:val="002D27D1"/>
    <w:rsid w:val="002D2A72"/>
    <w:rsid w:val="002D44A3"/>
    <w:rsid w:val="002D73CC"/>
    <w:rsid w:val="002D74C2"/>
    <w:rsid w:val="002E0331"/>
    <w:rsid w:val="002E077F"/>
    <w:rsid w:val="002E39F6"/>
    <w:rsid w:val="002E3DED"/>
    <w:rsid w:val="002E4CBB"/>
    <w:rsid w:val="002E6023"/>
    <w:rsid w:val="002E6116"/>
    <w:rsid w:val="002E63CA"/>
    <w:rsid w:val="002E7315"/>
    <w:rsid w:val="002F002E"/>
    <w:rsid w:val="002F1344"/>
    <w:rsid w:val="002F16ED"/>
    <w:rsid w:val="002F2B00"/>
    <w:rsid w:val="002F33E1"/>
    <w:rsid w:val="002F391D"/>
    <w:rsid w:val="002F47AF"/>
    <w:rsid w:val="002F61B6"/>
    <w:rsid w:val="00300BDF"/>
    <w:rsid w:val="00300D14"/>
    <w:rsid w:val="00300D55"/>
    <w:rsid w:val="00301232"/>
    <w:rsid w:val="003015E9"/>
    <w:rsid w:val="00301E11"/>
    <w:rsid w:val="00302B1C"/>
    <w:rsid w:val="0030351D"/>
    <w:rsid w:val="00304244"/>
    <w:rsid w:val="003044B5"/>
    <w:rsid w:val="00304E10"/>
    <w:rsid w:val="00305305"/>
    <w:rsid w:val="0030575F"/>
    <w:rsid w:val="003074F0"/>
    <w:rsid w:val="00307C73"/>
    <w:rsid w:val="00310A31"/>
    <w:rsid w:val="00312B22"/>
    <w:rsid w:val="00313313"/>
    <w:rsid w:val="00313640"/>
    <w:rsid w:val="00313B6F"/>
    <w:rsid w:val="0031411C"/>
    <w:rsid w:val="00314590"/>
    <w:rsid w:val="00314848"/>
    <w:rsid w:val="00314D1F"/>
    <w:rsid w:val="003163B8"/>
    <w:rsid w:val="003164FF"/>
    <w:rsid w:val="00316BBC"/>
    <w:rsid w:val="00316D51"/>
    <w:rsid w:val="00320C4B"/>
    <w:rsid w:val="00321464"/>
    <w:rsid w:val="003228B5"/>
    <w:rsid w:val="00322A4E"/>
    <w:rsid w:val="0032446E"/>
    <w:rsid w:val="00324867"/>
    <w:rsid w:val="0032519B"/>
    <w:rsid w:val="00325BAC"/>
    <w:rsid w:val="00326502"/>
    <w:rsid w:val="00326679"/>
    <w:rsid w:val="00326817"/>
    <w:rsid w:val="00327FE1"/>
    <w:rsid w:val="003306BB"/>
    <w:rsid w:val="00330AD7"/>
    <w:rsid w:val="00331177"/>
    <w:rsid w:val="0033221F"/>
    <w:rsid w:val="0033243D"/>
    <w:rsid w:val="003343E8"/>
    <w:rsid w:val="003344CC"/>
    <w:rsid w:val="00334B31"/>
    <w:rsid w:val="00335171"/>
    <w:rsid w:val="00335F80"/>
    <w:rsid w:val="00340CE1"/>
    <w:rsid w:val="00341AB9"/>
    <w:rsid w:val="00341FEB"/>
    <w:rsid w:val="00342D75"/>
    <w:rsid w:val="00343F20"/>
    <w:rsid w:val="0034512F"/>
    <w:rsid w:val="0034606D"/>
    <w:rsid w:val="00350355"/>
    <w:rsid w:val="00351B09"/>
    <w:rsid w:val="0035381E"/>
    <w:rsid w:val="00353AE5"/>
    <w:rsid w:val="0035433F"/>
    <w:rsid w:val="00354399"/>
    <w:rsid w:val="003543FC"/>
    <w:rsid w:val="00355C9D"/>
    <w:rsid w:val="00355ED0"/>
    <w:rsid w:val="00357412"/>
    <w:rsid w:val="00360E1F"/>
    <w:rsid w:val="00361A25"/>
    <w:rsid w:val="00361A4A"/>
    <w:rsid w:val="00361DDB"/>
    <w:rsid w:val="00361F91"/>
    <w:rsid w:val="00362A73"/>
    <w:rsid w:val="003631FD"/>
    <w:rsid w:val="003642F2"/>
    <w:rsid w:val="00364E8B"/>
    <w:rsid w:val="00365676"/>
    <w:rsid w:val="003658C5"/>
    <w:rsid w:val="00365B5B"/>
    <w:rsid w:val="003668B3"/>
    <w:rsid w:val="00366A88"/>
    <w:rsid w:val="00366CF5"/>
    <w:rsid w:val="00367D9A"/>
    <w:rsid w:val="0037041A"/>
    <w:rsid w:val="00371344"/>
    <w:rsid w:val="0037294E"/>
    <w:rsid w:val="00373B64"/>
    <w:rsid w:val="00375F3B"/>
    <w:rsid w:val="00380EE6"/>
    <w:rsid w:val="003812BD"/>
    <w:rsid w:val="00381A5F"/>
    <w:rsid w:val="003823A3"/>
    <w:rsid w:val="0038248B"/>
    <w:rsid w:val="00382C44"/>
    <w:rsid w:val="003839C1"/>
    <w:rsid w:val="00384E60"/>
    <w:rsid w:val="00386B63"/>
    <w:rsid w:val="0038749D"/>
    <w:rsid w:val="00392AAF"/>
    <w:rsid w:val="003937E8"/>
    <w:rsid w:val="00393A7E"/>
    <w:rsid w:val="00394183"/>
    <w:rsid w:val="00394315"/>
    <w:rsid w:val="00394AD2"/>
    <w:rsid w:val="00394E9F"/>
    <w:rsid w:val="0039772E"/>
    <w:rsid w:val="00397C04"/>
    <w:rsid w:val="00397FF9"/>
    <w:rsid w:val="003A0345"/>
    <w:rsid w:val="003A263B"/>
    <w:rsid w:val="003A2BC5"/>
    <w:rsid w:val="003A3729"/>
    <w:rsid w:val="003A4336"/>
    <w:rsid w:val="003A434A"/>
    <w:rsid w:val="003A67A9"/>
    <w:rsid w:val="003A72C9"/>
    <w:rsid w:val="003A755D"/>
    <w:rsid w:val="003A7DE8"/>
    <w:rsid w:val="003B1FF2"/>
    <w:rsid w:val="003B2A3C"/>
    <w:rsid w:val="003B3768"/>
    <w:rsid w:val="003B4B28"/>
    <w:rsid w:val="003B73F3"/>
    <w:rsid w:val="003C07D1"/>
    <w:rsid w:val="003C1E13"/>
    <w:rsid w:val="003C3AE8"/>
    <w:rsid w:val="003C3CAF"/>
    <w:rsid w:val="003C4590"/>
    <w:rsid w:val="003C49B6"/>
    <w:rsid w:val="003C4A51"/>
    <w:rsid w:val="003C5D01"/>
    <w:rsid w:val="003C5D98"/>
    <w:rsid w:val="003C5EEA"/>
    <w:rsid w:val="003C6E1A"/>
    <w:rsid w:val="003C71BE"/>
    <w:rsid w:val="003C7269"/>
    <w:rsid w:val="003C7288"/>
    <w:rsid w:val="003C754D"/>
    <w:rsid w:val="003D0E6C"/>
    <w:rsid w:val="003D1D26"/>
    <w:rsid w:val="003D3138"/>
    <w:rsid w:val="003D6863"/>
    <w:rsid w:val="003D7421"/>
    <w:rsid w:val="003D7654"/>
    <w:rsid w:val="003E0741"/>
    <w:rsid w:val="003E0CB7"/>
    <w:rsid w:val="003E0D75"/>
    <w:rsid w:val="003E245B"/>
    <w:rsid w:val="003E30BF"/>
    <w:rsid w:val="003E53A5"/>
    <w:rsid w:val="003E64B6"/>
    <w:rsid w:val="003E6E8F"/>
    <w:rsid w:val="003E7186"/>
    <w:rsid w:val="003E7D23"/>
    <w:rsid w:val="003F02D1"/>
    <w:rsid w:val="003F0669"/>
    <w:rsid w:val="003F2D3C"/>
    <w:rsid w:val="003F55B4"/>
    <w:rsid w:val="003F5CB9"/>
    <w:rsid w:val="003F6542"/>
    <w:rsid w:val="003F6982"/>
    <w:rsid w:val="003F70AF"/>
    <w:rsid w:val="00400C35"/>
    <w:rsid w:val="00401A8C"/>
    <w:rsid w:val="00401D61"/>
    <w:rsid w:val="0040215A"/>
    <w:rsid w:val="00402AEC"/>
    <w:rsid w:val="004043CF"/>
    <w:rsid w:val="00404FCC"/>
    <w:rsid w:val="0040603F"/>
    <w:rsid w:val="00406C4E"/>
    <w:rsid w:val="00410192"/>
    <w:rsid w:val="004106E4"/>
    <w:rsid w:val="004133BC"/>
    <w:rsid w:val="00413423"/>
    <w:rsid w:val="004150DF"/>
    <w:rsid w:val="0041559F"/>
    <w:rsid w:val="004157BC"/>
    <w:rsid w:val="004169EE"/>
    <w:rsid w:val="004200D1"/>
    <w:rsid w:val="004204E7"/>
    <w:rsid w:val="00421865"/>
    <w:rsid w:val="00421A2A"/>
    <w:rsid w:val="00422041"/>
    <w:rsid w:val="0042205F"/>
    <w:rsid w:val="0042279E"/>
    <w:rsid w:val="00423050"/>
    <w:rsid w:val="004235C0"/>
    <w:rsid w:val="004249EC"/>
    <w:rsid w:val="00425CFF"/>
    <w:rsid w:val="00427414"/>
    <w:rsid w:val="004276B0"/>
    <w:rsid w:val="00427AB0"/>
    <w:rsid w:val="00427F67"/>
    <w:rsid w:val="00430F16"/>
    <w:rsid w:val="004314F5"/>
    <w:rsid w:val="00432105"/>
    <w:rsid w:val="00432E91"/>
    <w:rsid w:val="00433517"/>
    <w:rsid w:val="0043353D"/>
    <w:rsid w:val="0043357F"/>
    <w:rsid w:val="00433F09"/>
    <w:rsid w:val="00434BAC"/>
    <w:rsid w:val="00435417"/>
    <w:rsid w:val="0043553C"/>
    <w:rsid w:val="00436547"/>
    <w:rsid w:val="00436F40"/>
    <w:rsid w:val="00437739"/>
    <w:rsid w:val="004400F7"/>
    <w:rsid w:val="00440D8F"/>
    <w:rsid w:val="004420E8"/>
    <w:rsid w:val="00442591"/>
    <w:rsid w:val="0044392F"/>
    <w:rsid w:val="00444ABB"/>
    <w:rsid w:val="00444B91"/>
    <w:rsid w:val="00444DC1"/>
    <w:rsid w:val="00445084"/>
    <w:rsid w:val="00445C1D"/>
    <w:rsid w:val="00446C45"/>
    <w:rsid w:val="00447EAF"/>
    <w:rsid w:val="004500DE"/>
    <w:rsid w:val="00451014"/>
    <w:rsid w:val="0045152E"/>
    <w:rsid w:val="004518AD"/>
    <w:rsid w:val="00451C36"/>
    <w:rsid w:val="00453525"/>
    <w:rsid w:val="004540F3"/>
    <w:rsid w:val="00454845"/>
    <w:rsid w:val="00456B98"/>
    <w:rsid w:val="00456D45"/>
    <w:rsid w:val="00456FBC"/>
    <w:rsid w:val="004575D4"/>
    <w:rsid w:val="00457F9F"/>
    <w:rsid w:val="00460724"/>
    <w:rsid w:val="00461A77"/>
    <w:rsid w:val="004626E7"/>
    <w:rsid w:val="00464BA5"/>
    <w:rsid w:val="00464EDE"/>
    <w:rsid w:val="00465C0E"/>
    <w:rsid w:val="00465CEC"/>
    <w:rsid w:val="004670DF"/>
    <w:rsid w:val="00467E1E"/>
    <w:rsid w:val="0047039F"/>
    <w:rsid w:val="00471A3E"/>
    <w:rsid w:val="00471AFF"/>
    <w:rsid w:val="00471E2E"/>
    <w:rsid w:val="00471E79"/>
    <w:rsid w:val="00473087"/>
    <w:rsid w:val="00473F53"/>
    <w:rsid w:val="00474C62"/>
    <w:rsid w:val="004768C6"/>
    <w:rsid w:val="00477224"/>
    <w:rsid w:val="0047793F"/>
    <w:rsid w:val="00480B27"/>
    <w:rsid w:val="00480EBC"/>
    <w:rsid w:val="00481072"/>
    <w:rsid w:val="004816CF"/>
    <w:rsid w:val="00481B8B"/>
    <w:rsid w:val="00481C5D"/>
    <w:rsid w:val="00484656"/>
    <w:rsid w:val="00484DFE"/>
    <w:rsid w:val="00486F62"/>
    <w:rsid w:val="004875B6"/>
    <w:rsid w:val="004906C0"/>
    <w:rsid w:val="00490F09"/>
    <w:rsid w:val="00491D65"/>
    <w:rsid w:val="004922A9"/>
    <w:rsid w:val="004932B6"/>
    <w:rsid w:val="00493707"/>
    <w:rsid w:val="00493F36"/>
    <w:rsid w:val="0049491D"/>
    <w:rsid w:val="00495667"/>
    <w:rsid w:val="00496401"/>
    <w:rsid w:val="00496549"/>
    <w:rsid w:val="00496D62"/>
    <w:rsid w:val="00497E63"/>
    <w:rsid w:val="004A0E23"/>
    <w:rsid w:val="004A2786"/>
    <w:rsid w:val="004A278F"/>
    <w:rsid w:val="004A2CA5"/>
    <w:rsid w:val="004A3044"/>
    <w:rsid w:val="004A3160"/>
    <w:rsid w:val="004A38B8"/>
    <w:rsid w:val="004A4679"/>
    <w:rsid w:val="004A485D"/>
    <w:rsid w:val="004A6338"/>
    <w:rsid w:val="004A7984"/>
    <w:rsid w:val="004B272F"/>
    <w:rsid w:val="004B38D8"/>
    <w:rsid w:val="004B48A5"/>
    <w:rsid w:val="004B566F"/>
    <w:rsid w:val="004B6020"/>
    <w:rsid w:val="004B6B5E"/>
    <w:rsid w:val="004B7C9B"/>
    <w:rsid w:val="004C1DF3"/>
    <w:rsid w:val="004C2032"/>
    <w:rsid w:val="004C2294"/>
    <w:rsid w:val="004C283D"/>
    <w:rsid w:val="004C32D1"/>
    <w:rsid w:val="004C34BC"/>
    <w:rsid w:val="004C358F"/>
    <w:rsid w:val="004C38C8"/>
    <w:rsid w:val="004C3C43"/>
    <w:rsid w:val="004C5525"/>
    <w:rsid w:val="004C6E91"/>
    <w:rsid w:val="004C7E25"/>
    <w:rsid w:val="004D09BC"/>
    <w:rsid w:val="004D12B2"/>
    <w:rsid w:val="004D16DC"/>
    <w:rsid w:val="004D1C75"/>
    <w:rsid w:val="004D23B4"/>
    <w:rsid w:val="004D2476"/>
    <w:rsid w:val="004D32F6"/>
    <w:rsid w:val="004D3F5A"/>
    <w:rsid w:val="004D5624"/>
    <w:rsid w:val="004D76C4"/>
    <w:rsid w:val="004E01A4"/>
    <w:rsid w:val="004E1021"/>
    <w:rsid w:val="004E1E79"/>
    <w:rsid w:val="004E374A"/>
    <w:rsid w:val="004E42FB"/>
    <w:rsid w:val="004E5499"/>
    <w:rsid w:val="004E6223"/>
    <w:rsid w:val="004E7572"/>
    <w:rsid w:val="004E7ADF"/>
    <w:rsid w:val="004E7E71"/>
    <w:rsid w:val="004F37EC"/>
    <w:rsid w:val="004F38C5"/>
    <w:rsid w:val="004F3A02"/>
    <w:rsid w:val="004F42B4"/>
    <w:rsid w:val="004F4E80"/>
    <w:rsid w:val="004F6671"/>
    <w:rsid w:val="004F66BF"/>
    <w:rsid w:val="004F7135"/>
    <w:rsid w:val="0050290F"/>
    <w:rsid w:val="005031CD"/>
    <w:rsid w:val="00504DA9"/>
    <w:rsid w:val="00504ED0"/>
    <w:rsid w:val="005051E5"/>
    <w:rsid w:val="00506355"/>
    <w:rsid w:val="00506507"/>
    <w:rsid w:val="005074F6"/>
    <w:rsid w:val="00510912"/>
    <w:rsid w:val="00511F7E"/>
    <w:rsid w:val="00512738"/>
    <w:rsid w:val="00512C18"/>
    <w:rsid w:val="0051351C"/>
    <w:rsid w:val="00515394"/>
    <w:rsid w:val="00516FA3"/>
    <w:rsid w:val="00517155"/>
    <w:rsid w:val="00517EBB"/>
    <w:rsid w:val="00520118"/>
    <w:rsid w:val="00520495"/>
    <w:rsid w:val="00522162"/>
    <w:rsid w:val="00522C06"/>
    <w:rsid w:val="00523211"/>
    <w:rsid w:val="00523944"/>
    <w:rsid w:val="00523947"/>
    <w:rsid w:val="005240DD"/>
    <w:rsid w:val="00524573"/>
    <w:rsid w:val="00524B2C"/>
    <w:rsid w:val="005250C5"/>
    <w:rsid w:val="005254D4"/>
    <w:rsid w:val="0052666D"/>
    <w:rsid w:val="00527ABB"/>
    <w:rsid w:val="0053063A"/>
    <w:rsid w:val="005311AB"/>
    <w:rsid w:val="005345AF"/>
    <w:rsid w:val="00534771"/>
    <w:rsid w:val="00535853"/>
    <w:rsid w:val="00541131"/>
    <w:rsid w:val="005413F3"/>
    <w:rsid w:val="00541BDB"/>
    <w:rsid w:val="00541F28"/>
    <w:rsid w:val="00542247"/>
    <w:rsid w:val="00543E88"/>
    <w:rsid w:val="00544683"/>
    <w:rsid w:val="00544AE2"/>
    <w:rsid w:val="00545BAA"/>
    <w:rsid w:val="005465E7"/>
    <w:rsid w:val="00546A76"/>
    <w:rsid w:val="00547178"/>
    <w:rsid w:val="0055054F"/>
    <w:rsid w:val="0055066C"/>
    <w:rsid w:val="00550FBA"/>
    <w:rsid w:val="00551F26"/>
    <w:rsid w:val="0055240F"/>
    <w:rsid w:val="00552796"/>
    <w:rsid w:val="00552F2D"/>
    <w:rsid w:val="0055334D"/>
    <w:rsid w:val="00553371"/>
    <w:rsid w:val="00553823"/>
    <w:rsid w:val="00554D7F"/>
    <w:rsid w:val="00555EDC"/>
    <w:rsid w:val="005569F0"/>
    <w:rsid w:val="005572E0"/>
    <w:rsid w:val="00557D3F"/>
    <w:rsid w:val="005600BD"/>
    <w:rsid w:val="00560184"/>
    <w:rsid w:val="0056071F"/>
    <w:rsid w:val="00560D64"/>
    <w:rsid w:val="00560F1C"/>
    <w:rsid w:val="00561960"/>
    <w:rsid w:val="0056348A"/>
    <w:rsid w:val="0056387F"/>
    <w:rsid w:val="005640BA"/>
    <w:rsid w:val="0056491B"/>
    <w:rsid w:val="00565027"/>
    <w:rsid w:val="005656A5"/>
    <w:rsid w:val="00565774"/>
    <w:rsid w:val="00566678"/>
    <w:rsid w:val="00566CFE"/>
    <w:rsid w:val="00567739"/>
    <w:rsid w:val="00572C2D"/>
    <w:rsid w:val="005733E6"/>
    <w:rsid w:val="00573A3F"/>
    <w:rsid w:val="00573BB3"/>
    <w:rsid w:val="00573E19"/>
    <w:rsid w:val="005769A8"/>
    <w:rsid w:val="00576C82"/>
    <w:rsid w:val="00583046"/>
    <w:rsid w:val="005836FD"/>
    <w:rsid w:val="0058389B"/>
    <w:rsid w:val="0058394E"/>
    <w:rsid w:val="005839DA"/>
    <w:rsid w:val="00583C3C"/>
    <w:rsid w:val="005843B3"/>
    <w:rsid w:val="0058558F"/>
    <w:rsid w:val="00585753"/>
    <w:rsid w:val="00585D6D"/>
    <w:rsid w:val="00586281"/>
    <w:rsid w:val="00590477"/>
    <w:rsid w:val="00590C8D"/>
    <w:rsid w:val="00590FEC"/>
    <w:rsid w:val="00592B61"/>
    <w:rsid w:val="00593B44"/>
    <w:rsid w:val="00593F0D"/>
    <w:rsid w:val="005954AD"/>
    <w:rsid w:val="0059588D"/>
    <w:rsid w:val="00596D77"/>
    <w:rsid w:val="005976B6"/>
    <w:rsid w:val="005A0043"/>
    <w:rsid w:val="005A009E"/>
    <w:rsid w:val="005A014F"/>
    <w:rsid w:val="005A16CB"/>
    <w:rsid w:val="005A2452"/>
    <w:rsid w:val="005A24A5"/>
    <w:rsid w:val="005A4A7F"/>
    <w:rsid w:val="005A50BF"/>
    <w:rsid w:val="005A51E4"/>
    <w:rsid w:val="005A5434"/>
    <w:rsid w:val="005A560F"/>
    <w:rsid w:val="005B1EAA"/>
    <w:rsid w:val="005B1F46"/>
    <w:rsid w:val="005B2A8E"/>
    <w:rsid w:val="005B3AEF"/>
    <w:rsid w:val="005B3BC2"/>
    <w:rsid w:val="005B3DC9"/>
    <w:rsid w:val="005C1111"/>
    <w:rsid w:val="005C1807"/>
    <w:rsid w:val="005C25A7"/>
    <w:rsid w:val="005C274D"/>
    <w:rsid w:val="005C2C0B"/>
    <w:rsid w:val="005C31A7"/>
    <w:rsid w:val="005C3763"/>
    <w:rsid w:val="005C3AF6"/>
    <w:rsid w:val="005C5160"/>
    <w:rsid w:val="005C52E7"/>
    <w:rsid w:val="005C5D6C"/>
    <w:rsid w:val="005C679D"/>
    <w:rsid w:val="005D2866"/>
    <w:rsid w:val="005D2C70"/>
    <w:rsid w:val="005D4692"/>
    <w:rsid w:val="005D4C02"/>
    <w:rsid w:val="005D4CC7"/>
    <w:rsid w:val="005D5DC6"/>
    <w:rsid w:val="005D6153"/>
    <w:rsid w:val="005D6DAB"/>
    <w:rsid w:val="005D7A7E"/>
    <w:rsid w:val="005E0F9A"/>
    <w:rsid w:val="005E15B1"/>
    <w:rsid w:val="005E1D8B"/>
    <w:rsid w:val="005E4AC7"/>
    <w:rsid w:val="005E4D6A"/>
    <w:rsid w:val="005E552F"/>
    <w:rsid w:val="005E6070"/>
    <w:rsid w:val="005E6918"/>
    <w:rsid w:val="005E77A7"/>
    <w:rsid w:val="005E7A8F"/>
    <w:rsid w:val="005E7B94"/>
    <w:rsid w:val="005E7BCA"/>
    <w:rsid w:val="005E7D42"/>
    <w:rsid w:val="005E7D6A"/>
    <w:rsid w:val="005F258E"/>
    <w:rsid w:val="005F29E1"/>
    <w:rsid w:val="005F2D68"/>
    <w:rsid w:val="005F3B09"/>
    <w:rsid w:val="005F4DFD"/>
    <w:rsid w:val="005F53D2"/>
    <w:rsid w:val="005F5FBB"/>
    <w:rsid w:val="005F65DF"/>
    <w:rsid w:val="005F6D2F"/>
    <w:rsid w:val="0060024C"/>
    <w:rsid w:val="0060040B"/>
    <w:rsid w:val="00600437"/>
    <w:rsid w:val="00600DAA"/>
    <w:rsid w:val="00601258"/>
    <w:rsid w:val="006016EE"/>
    <w:rsid w:val="00601B48"/>
    <w:rsid w:val="00601FDA"/>
    <w:rsid w:val="00602F7C"/>
    <w:rsid w:val="006037E6"/>
    <w:rsid w:val="00604234"/>
    <w:rsid w:val="00605BD2"/>
    <w:rsid w:val="00605D49"/>
    <w:rsid w:val="006072FE"/>
    <w:rsid w:val="0060777D"/>
    <w:rsid w:val="006102A6"/>
    <w:rsid w:val="00610B13"/>
    <w:rsid w:val="00613203"/>
    <w:rsid w:val="00614635"/>
    <w:rsid w:val="00614BBF"/>
    <w:rsid w:val="00614CE2"/>
    <w:rsid w:val="0061653F"/>
    <w:rsid w:val="00616C11"/>
    <w:rsid w:val="00616F97"/>
    <w:rsid w:val="00620661"/>
    <w:rsid w:val="00620F36"/>
    <w:rsid w:val="00621886"/>
    <w:rsid w:val="00622D71"/>
    <w:rsid w:val="00622EE5"/>
    <w:rsid w:val="006237C1"/>
    <w:rsid w:val="00623C18"/>
    <w:rsid w:val="00623DAF"/>
    <w:rsid w:val="00624129"/>
    <w:rsid w:val="006276D6"/>
    <w:rsid w:val="00627E90"/>
    <w:rsid w:val="00630081"/>
    <w:rsid w:val="00631A05"/>
    <w:rsid w:val="006325C2"/>
    <w:rsid w:val="006367EC"/>
    <w:rsid w:val="0063684C"/>
    <w:rsid w:val="0063703F"/>
    <w:rsid w:val="0063770F"/>
    <w:rsid w:val="00637EF3"/>
    <w:rsid w:val="00641B04"/>
    <w:rsid w:val="00641D66"/>
    <w:rsid w:val="00642A72"/>
    <w:rsid w:val="00643806"/>
    <w:rsid w:val="00645384"/>
    <w:rsid w:val="00645568"/>
    <w:rsid w:val="00647A7D"/>
    <w:rsid w:val="00650A15"/>
    <w:rsid w:val="00650ABE"/>
    <w:rsid w:val="00650BF9"/>
    <w:rsid w:val="00652106"/>
    <w:rsid w:val="0065245B"/>
    <w:rsid w:val="00654095"/>
    <w:rsid w:val="00654743"/>
    <w:rsid w:val="006547DE"/>
    <w:rsid w:val="0065498C"/>
    <w:rsid w:val="00654A9D"/>
    <w:rsid w:val="006573FD"/>
    <w:rsid w:val="00661318"/>
    <w:rsid w:val="00661995"/>
    <w:rsid w:val="00662B56"/>
    <w:rsid w:val="0066399F"/>
    <w:rsid w:val="00663C88"/>
    <w:rsid w:val="0066721F"/>
    <w:rsid w:val="00671970"/>
    <w:rsid w:val="00672062"/>
    <w:rsid w:val="00672390"/>
    <w:rsid w:val="0067286B"/>
    <w:rsid w:val="0067340B"/>
    <w:rsid w:val="0067402C"/>
    <w:rsid w:val="00675445"/>
    <w:rsid w:val="0067629E"/>
    <w:rsid w:val="006777DE"/>
    <w:rsid w:val="006802BB"/>
    <w:rsid w:val="0068042D"/>
    <w:rsid w:val="006808F8"/>
    <w:rsid w:val="00681507"/>
    <w:rsid w:val="00681A6D"/>
    <w:rsid w:val="0068211D"/>
    <w:rsid w:val="006836F2"/>
    <w:rsid w:val="00683991"/>
    <w:rsid w:val="0068451C"/>
    <w:rsid w:val="006845D5"/>
    <w:rsid w:val="0068533D"/>
    <w:rsid w:val="00685678"/>
    <w:rsid w:val="006856DA"/>
    <w:rsid w:val="00685AF1"/>
    <w:rsid w:val="00687467"/>
    <w:rsid w:val="00690827"/>
    <w:rsid w:val="00690CE8"/>
    <w:rsid w:val="006915C4"/>
    <w:rsid w:val="00692E53"/>
    <w:rsid w:val="006933DF"/>
    <w:rsid w:val="006934DC"/>
    <w:rsid w:val="00693A66"/>
    <w:rsid w:val="00693BA9"/>
    <w:rsid w:val="00695850"/>
    <w:rsid w:val="00696A10"/>
    <w:rsid w:val="00696F3F"/>
    <w:rsid w:val="006A0C41"/>
    <w:rsid w:val="006A1B73"/>
    <w:rsid w:val="006A2162"/>
    <w:rsid w:val="006A282B"/>
    <w:rsid w:val="006A372F"/>
    <w:rsid w:val="006A3EA6"/>
    <w:rsid w:val="006A4245"/>
    <w:rsid w:val="006A4DF2"/>
    <w:rsid w:val="006A5721"/>
    <w:rsid w:val="006A61C5"/>
    <w:rsid w:val="006B0E7C"/>
    <w:rsid w:val="006B10CD"/>
    <w:rsid w:val="006B1A97"/>
    <w:rsid w:val="006B23F5"/>
    <w:rsid w:val="006B3166"/>
    <w:rsid w:val="006B4A27"/>
    <w:rsid w:val="006B5491"/>
    <w:rsid w:val="006B6D97"/>
    <w:rsid w:val="006B7FA6"/>
    <w:rsid w:val="006C03E7"/>
    <w:rsid w:val="006C0436"/>
    <w:rsid w:val="006C163C"/>
    <w:rsid w:val="006C2EA3"/>
    <w:rsid w:val="006C3EEA"/>
    <w:rsid w:val="006C4973"/>
    <w:rsid w:val="006C4DD8"/>
    <w:rsid w:val="006C5C21"/>
    <w:rsid w:val="006C660B"/>
    <w:rsid w:val="006C6DED"/>
    <w:rsid w:val="006C7714"/>
    <w:rsid w:val="006C7AFC"/>
    <w:rsid w:val="006C7FEA"/>
    <w:rsid w:val="006D3337"/>
    <w:rsid w:val="006D37B1"/>
    <w:rsid w:val="006D39FD"/>
    <w:rsid w:val="006D3D34"/>
    <w:rsid w:val="006D4295"/>
    <w:rsid w:val="006D4522"/>
    <w:rsid w:val="006D4827"/>
    <w:rsid w:val="006D4E78"/>
    <w:rsid w:val="006D7596"/>
    <w:rsid w:val="006D78AE"/>
    <w:rsid w:val="006E024D"/>
    <w:rsid w:val="006E279D"/>
    <w:rsid w:val="006E2F70"/>
    <w:rsid w:val="006E31C5"/>
    <w:rsid w:val="006E38AF"/>
    <w:rsid w:val="006E3908"/>
    <w:rsid w:val="006E432A"/>
    <w:rsid w:val="006E44DF"/>
    <w:rsid w:val="006E5509"/>
    <w:rsid w:val="006E7DD9"/>
    <w:rsid w:val="006E7F4F"/>
    <w:rsid w:val="006F16B1"/>
    <w:rsid w:val="006F1CB6"/>
    <w:rsid w:val="006F2B1E"/>
    <w:rsid w:val="006F3197"/>
    <w:rsid w:val="006F35DD"/>
    <w:rsid w:val="006F55CF"/>
    <w:rsid w:val="006F5DF3"/>
    <w:rsid w:val="006F5FFD"/>
    <w:rsid w:val="006F613E"/>
    <w:rsid w:val="006F71F2"/>
    <w:rsid w:val="006F7C5E"/>
    <w:rsid w:val="00700C2E"/>
    <w:rsid w:val="0070208B"/>
    <w:rsid w:val="00703BF5"/>
    <w:rsid w:val="007046C1"/>
    <w:rsid w:val="00706D74"/>
    <w:rsid w:val="007073D3"/>
    <w:rsid w:val="007079C2"/>
    <w:rsid w:val="00711BB6"/>
    <w:rsid w:val="00713B0C"/>
    <w:rsid w:val="0071458B"/>
    <w:rsid w:val="007147E9"/>
    <w:rsid w:val="00714A8B"/>
    <w:rsid w:val="00717AB4"/>
    <w:rsid w:val="0072027E"/>
    <w:rsid w:val="00720893"/>
    <w:rsid w:val="00720E16"/>
    <w:rsid w:val="00721C6F"/>
    <w:rsid w:val="007229F9"/>
    <w:rsid w:val="0072312D"/>
    <w:rsid w:val="00723C63"/>
    <w:rsid w:val="007242BB"/>
    <w:rsid w:val="00724D6F"/>
    <w:rsid w:val="00724E66"/>
    <w:rsid w:val="00725133"/>
    <w:rsid w:val="007267FC"/>
    <w:rsid w:val="00726BD4"/>
    <w:rsid w:val="0073160A"/>
    <w:rsid w:val="00732898"/>
    <w:rsid w:val="00733861"/>
    <w:rsid w:val="00734273"/>
    <w:rsid w:val="00736A14"/>
    <w:rsid w:val="00736EE1"/>
    <w:rsid w:val="007419DA"/>
    <w:rsid w:val="00742D74"/>
    <w:rsid w:val="00745125"/>
    <w:rsid w:val="00745990"/>
    <w:rsid w:val="00746E46"/>
    <w:rsid w:val="00746F84"/>
    <w:rsid w:val="007507C9"/>
    <w:rsid w:val="00750E91"/>
    <w:rsid w:val="00750F5B"/>
    <w:rsid w:val="00751046"/>
    <w:rsid w:val="00752672"/>
    <w:rsid w:val="007540E9"/>
    <w:rsid w:val="00754696"/>
    <w:rsid w:val="00754CD5"/>
    <w:rsid w:val="007576F6"/>
    <w:rsid w:val="00761E24"/>
    <w:rsid w:val="00764083"/>
    <w:rsid w:val="00764852"/>
    <w:rsid w:val="00764CD5"/>
    <w:rsid w:val="00766D29"/>
    <w:rsid w:val="007702D7"/>
    <w:rsid w:val="00771176"/>
    <w:rsid w:val="007719B3"/>
    <w:rsid w:val="00772BFA"/>
    <w:rsid w:val="00772F48"/>
    <w:rsid w:val="00773903"/>
    <w:rsid w:val="00773E4E"/>
    <w:rsid w:val="00775AB4"/>
    <w:rsid w:val="00776698"/>
    <w:rsid w:val="00777675"/>
    <w:rsid w:val="00777D0D"/>
    <w:rsid w:val="0078047E"/>
    <w:rsid w:val="00780D72"/>
    <w:rsid w:val="00781EE8"/>
    <w:rsid w:val="007826F5"/>
    <w:rsid w:val="0078314F"/>
    <w:rsid w:val="00783E6C"/>
    <w:rsid w:val="007858B5"/>
    <w:rsid w:val="007871BD"/>
    <w:rsid w:val="00790101"/>
    <w:rsid w:val="00791745"/>
    <w:rsid w:val="0079251D"/>
    <w:rsid w:val="00793856"/>
    <w:rsid w:val="00794F6F"/>
    <w:rsid w:val="0079585F"/>
    <w:rsid w:val="00795871"/>
    <w:rsid w:val="00795E34"/>
    <w:rsid w:val="00797BC7"/>
    <w:rsid w:val="007A0805"/>
    <w:rsid w:val="007A0BFC"/>
    <w:rsid w:val="007A2B01"/>
    <w:rsid w:val="007A2D5C"/>
    <w:rsid w:val="007A36C1"/>
    <w:rsid w:val="007A3B36"/>
    <w:rsid w:val="007A49B5"/>
    <w:rsid w:val="007A5170"/>
    <w:rsid w:val="007A5A97"/>
    <w:rsid w:val="007A663F"/>
    <w:rsid w:val="007A69F4"/>
    <w:rsid w:val="007B0376"/>
    <w:rsid w:val="007B07DE"/>
    <w:rsid w:val="007B0A21"/>
    <w:rsid w:val="007B0D61"/>
    <w:rsid w:val="007B0F2F"/>
    <w:rsid w:val="007B1AA7"/>
    <w:rsid w:val="007B2F08"/>
    <w:rsid w:val="007B2F42"/>
    <w:rsid w:val="007B32E0"/>
    <w:rsid w:val="007B3585"/>
    <w:rsid w:val="007B3AFF"/>
    <w:rsid w:val="007B3F9A"/>
    <w:rsid w:val="007B4A79"/>
    <w:rsid w:val="007B4AC5"/>
    <w:rsid w:val="007B4EE4"/>
    <w:rsid w:val="007B5392"/>
    <w:rsid w:val="007B57E0"/>
    <w:rsid w:val="007B669C"/>
    <w:rsid w:val="007B6AD3"/>
    <w:rsid w:val="007B6C05"/>
    <w:rsid w:val="007B73B2"/>
    <w:rsid w:val="007B77EF"/>
    <w:rsid w:val="007B7D54"/>
    <w:rsid w:val="007B7EB0"/>
    <w:rsid w:val="007C05F0"/>
    <w:rsid w:val="007C149A"/>
    <w:rsid w:val="007C21E9"/>
    <w:rsid w:val="007C2938"/>
    <w:rsid w:val="007C2ECE"/>
    <w:rsid w:val="007C2F7F"/>
    <w:rsid w:val="007C52FA"/>
    <w:rsid w:val="007C5BA1"/>
    <w:rsid w:val="007C6649"/>
    <w:rsid w:val="007C724F"/>
    <w:rsid w:val="007D0696"/>
    <w:rsid w:val="007D07C9"/>
    <w:rsid w:val="007D139C"/>
    <w:rsid w:val="007D140B"/>
    <w:rsid w:val="007D1EEF"/>
    <w:rsid w:val="007D30A4"/>
    <w:rsid w:val="007D41C2"/>
    <w:rsid w:val="007D57FB"/>
    <w:rsid w:val="007D5800"/>
    <w:rsid w:val="007D589D"/>
    <w:rsid w:val="007D6F42"/>
    <w:rsid w:val="007D74DB"/>
    <w:rsid w:val="007D7DCA"/>
    <w:rsid w:val="007E540B"/>
    <w:rsid w:val="007E5B71"/>
    <w:rsid w:val="007F136E"/>
    <w:rsid w:val="007F2B85"/>
    <w:rsid w:val="007F5DA2"/>
    <w:rsid w:val="007F7933"/>
    <w:rsid w:val="007F7B2E"/>
    <w:rsid w:val="00800121"/>
    <w:rsid w:val="00800C24"/>
    <w:rsid w:val="00801915"/>
    <w:rsid w:val="00804046"/>
    <w:rsid w:val="00804146"/>
    <w:rsid w:val="00806105"/>
    <w:rsid w:val="00806A54"/>
    <w:rsid w:val="00806B5C"/>
    <w:rsid w:val="00806C7E"/>
    <w:rsid w:val="00811C34"/>
    <w:rsid w:val="00811FCD"/>
    <w:rsid w:val="0081205F"/>
    <w:rsid w:val="00812A4B"/>
    <w:rsid w:val="00812CFC"/>
    <w:rsid w:val="008139CC"/>
    <w:rsid w:val="00814021"/>
    <w:rsid w:val="008146D6"/>
    <w:rsid w:val="00814AD2"/>
    <w:rsid w:val="00816E3D"/>
    <w:rsid w:val="008175E0"/>
    <w:rsid w:val="00817C96"/>
    <w:rsid w:val="00821291"/>
    <w:rsid w:val="008215C9"/>
    <w:rsid w:val="0082166C"/>
    <w:rsid w:val="008225D2"/>
    <w:rsid w:val="00822CD2"/>
    <w:rsid w:val="00823518"/>
    <w:rsid w:val="00823616"/>
    <w:rsid w:val="00823A6E"/>
    <w:rsid w:val="00824FC3"/>
    <w:rsid w:val="008252A2"/>
    <w:rsid w:val="0083271A"/>
    <w:rsid w:val="008327B8"/>
    <w:rsid w:val="00833470"/>
    <w:rsid w:val="00833F7F"/>
    <w:rsid w:val="00834798"/>
    <w:rsid w:val="00834BBE"/>
    <w:rsid w:val="00834E03"/>
    <w:rsid w:val="0083655D"/>
    <w:rsid w:val="00836E17"/>
    <w:rsid w:val="00836E69"/>
    <w:rsid w:val="008372E4"/>
    <w:rsid w:val="00837F29"/>
    <w:rsid w:val="0084162F"/>
    <w:rsid w:val="00841DC6"/>
    <w:rsid w:val="00841F14"/>
    <w:rsid w:val="00842054"/>
    <w:rsid w:val="008427E1"/>
    <w:rsid w:val="008431C7"/>
    <w:rsid w:val="0084396A"/>
    <w:rsid w:val="0084414D"/>
    <w:rsid w:val="008451C3"/>
    <w:rsid w:val="00845775"/>
    <w:rsid w:val="0084594B"/>
    <w:rsid w:val="00845E6E"/>
    <w:rsid w:val="00846CC0"/>
    <w:rsid w:val="008474C6"/>
    <w:rsid w:val="00847B27"/>
    <w:rsid w:val="008538B9"/>
    <w:rsid w:val="00854250"/>
    <w:rsid w:val="008546F4"/>
    <w:rsid w:val="0085568D"/>
    <w:rsid w:val="00855F4E"/>
    <w:rsid w:val="00855FEF"/>
    <w:rsid w:val="0086161A"/>
    <w:rsid w:val="008641AC"/>
    <w:rsid w:val="00866864"/>
    <w:rsid w:val="00867606"/>
    <w:rsid w:val="0086790D"/>
    <w:rsid w:val="00871123"/>
    <w:rsid w:val="00871BA1"/>
    <w:rsid w:val="00871CAE"/>
    <w:rsid w:val="00871DF1"/>
    <w:rsid w:val="00872238"/>
    <w:rsid w:val="008728E9"/>
    <w:rsid w:val="00872994"/>
    <w:rsid w:val="008733DD"/>
    <w:rsid w:val="008737D6"/>
    <w:rsid w:val="00873CD7"/>
    <w:rsid w:val="0087433D"/>
    <w:rsid w:val="0087463D"/>
    <w:rsid w:val="00875E17"/>
    <w:rsid w:val="0087741D"/>
    <w:rsid w:val="00877593"/>
    <w:rsid w:val="00880829"/>
    <w:rsid w:val="00880F38"/>
    <w:rsid w:val="00883FCD"/>
    <w:rsid w:val="008848F2"/>
    <w:rsid w:val="00885267"/>
    <w:rsid w:val="00885F4E"/>
    <w:rsid w:val="00886C63"/>
    <w:rsid w:val="008870AD"/>
    <w:rsid w:val="00887115"/>
    <w:rsid w:val="0088745A"/>
    <w:rsid w:val="00887CA1"/>
    <w:rsid w:val="00891AE0"/>
    <w:rsid w:val="00892492"/>
    <w:rsid w:val="00893A47"/>
    <w:rsid w:val="00894C67"/>
    <w:rsid w:val="00894DB6"/>
    <w:rsid w:val="008950C9"/>
    <w:rsid w:val="008970C0"/>
    <w:rsid w:val="008A0B11"/>
    <w:rsid w:val="008A1972"/>
    <w:rsid w:val="008A1A67"/>
    <w:rsid w:val="008A1FE7"/>
    <w:rsid w:val="008A2AB2"/>
    <w:rsid w:val="008A39DF"/>
    <w:rsid w:val="008A3E04"/>
    <w:rsid w:val="008A4069"/>
    <w:rsid w:val="008A7823"/>
    <w:rsid w:val="008B037E"/>
    <w:rsid w:val="008B1E17"/>
    <w:rsid w:val="008B2856"/>
    <w:rsid w:val="008B2F37"/>
    <w:rsid w:val="008B37CC"/>
    <w:rsid w:val="008B389B"/>
    <w:rsid w:val="008B43C4"/>
    <w:rsid w:val="008B4876"/>
    <w:rsid w:val="008B49FE"/>
    <w:rsid w:val="008B4F8D"/>
    <w:rsid w:val="008B5632"/>
    <w:rsid w:val="008B6826"/>
    <w:rsid w:val="008B6C7C"/>
    <w:rsid w:val="008C03CA"/>
    <w:rsid w:val="008C417D"/>
    <w:rsid w:val="008C683D"/>
    <w:rsid w:val="008C69B6"/>
    <w:rsid w:val="008C7004"/>
    <w:rsid w:val="008D055F"/>
    <w:rsid w:val="008D0EEE"/>
    <w:rsid w:val="008D13AC"/>
    <w:rsid w:val="008D141F"/>
    <w:rsid w:val="008D1834"/>
    <w:rsid w:val="008D1950"/>
    <w:rsid w:val="008D3C3F"/>
    <w:rsid w:val="008D62BB"/>
    <w:rsid w:val="008D66AF"/>
    <w:rsid w:val="008D77D9"/>
    <w:rsid w:val="008E11AD"/>
    <w:rsid w:val="008E3A77"/>
    <w:rsid w:val="008E4CEC"/>
    <w:rsid w:val="008E56B0"/>
    <w:rsid w:val="008E5733"/>
    <w:rsid w:val="008E5DCF"/>
    <w:rsid w:val="008E64AB"/>
    <w:rsid w:val="008E6E6E"/>
    <w:rsid w:val="008E70E0"/>
    <w:rsid w:val="008E7BEF"/>
    <w:rsid w:val="008F1345"/>
    <w:rsid w:val="008F19AC"/>
    <w:rsid w:val="008F3065"/>
    <w:rsid w:val="008F393E"/>
    <w:rsid w:val="008F48D6"/>
    <w:rsid w:val="008F6764"/>
    <w:rsid w:val="008F68B6"/>
    <w:rsid w:val="008F6AD9"/>
    <w:rsid w:val="008F6CF5"/>
    <w:rsid w:val="008F6EF5"/>
    <w:rsid w:val="008F6FBF"/>
    <w:rsid w:val="008F6FC3"/>
    <w:rsid w:val="008F7236"/>
    <w:rsid w:val="008F7286"/>
    <w:rsid w:val="008F76AD"/>
    <w:rsid w:val="00900A9A"/>
    <w:rsid w:val="00902357"/>
    <w:rsid w:val="00902F67"/>
    <w:rsid w:val="00903244"/>
    <w:rsid w:val="00903DCE"/>
    <w:rsid w:val="00904C29"/>
    <w:rsid w:val="0090611B"/>
    <w:rsid w:val="00906401"/>
    <w:rsid w:val="0090700B"/>
    <w:rsid w:val="00907039"/>
    <w:rsid w:val="00911044"/>
    <w:rsid w:val="00911F90"/>
    <w:rsid w:val="009131C5"/>
    <w:rsid w:val="0091408A"/>
    <w:rsid w:val="00914CCE"/>
    <w:rsid w:val="00915363"/>
    <w:rsid w:val="0091621E"/>
    <w:rsid w:val="00916352"/>
    <w:rsid w:val="009165C2"/>
    <w:rsid w:val="009171D0"/>
    <w:rsid w:val="0091742D"/>
    <w:rsid w:val="009177A9"/>
    <w:rsid w:val="00917886"/>
    <w:rsid w:val="00917A4B"/>
    <w:rsid w:val="00917AAF"/>
    <w:rsid w:val="009200D3"/>
    <w:rsid w:val="00922608"/>
    <w:rsid w:val="00924029"/>
    <w:rsid w:val="009266D3"/>
    <w:rsid w:val="009312E0"/>
    <w:rsid w:val="0093199E"/>
    <w:rsid w:val="009354DD"/>
    <w:rsid w:val="0093780F"/>
    <w:rsid w:val="009403EB"/>
    <w:rsid w:val="009405D8"/>
    <w:rsid w:val="00940DE6"/>
    <w:rsid w:val="009415AF"/>
    <w:rsid w:val="00943C5B"/>
    <w:rsid w:val="009442B7"/>
    <w:rsid w:val="009447CE"/>
    <w:rsid w:val="009451EC"/>
    <w:rsid w:val="00945A7C"/>
    <w:rsid w:val="0094688C"/>
    <w:rsid w:val="00946CCE"/>
    <w:rsid w:val="009504DE"/>
    <w:rsid w:val="00950DC3"/>
    <w:rsid w:val="00950EB3"/>
    <w:rsid w:val="0095195E"/>
    <w:rsid w:val="00951A54"/>
    <w:rsid w:val="0095220F"/>
    <w:rsid w:val="00952A01"/>
    <w:rsid w:val="00953037"/>
    <w:rsid w:val="00953598"/>
    <w:rsid w:val="009540DE"/>
    <w:rsid w:val="00955FF9"/>
    <w:rsid w:val="00956CBE"/>
    <w:rsid w:val="009570B4"/>
    <w:rsid w:val="009572E9"/>
    <w:rsid w:val="00957949"/>
    <w:rsid w:val="00961100"/>
    <w:rsid w:val="009626CD"/>
    <w:rsid w:val="00963813"/>
    <w:rsid w:val="00963848"/>
    <w:rsid w:val="0096601F"/>
    <w:rsid w:val="009678EB"/>
    <w:rsid w:val="00971252"/>
    <w:rsid w:val="009714FD"/>
    <w:rsid w:val="0097190B"/>
    <w:rsid w:val="00971F88"/>
    <w:rsid w:val="009724E4"/>
    <w:rsid w:val="0097264D"/>
    <w:rsid w:val="00972793"/>
    <w:rsid w:val="00972DF7"/>
    <w:rsid w:val="00972E05"/>
    <w:rsid w:val="00973446"/>
    <w:rsid w:val="00973517"/>
    <w:rsid w:val="0097529C"/>
    <w:rsid w:val="0097696D"/>
    <w:rsid w:val="00977322"/>
    <w:rsid w:val="009779FE"/>
    <w:rsid w:val="00977F91"/>
    <w:rsid w:val="00981CC7"/>
    <w:rsid w:val="00981FFE"/>
    <w:rsid w:val="009835A9"/>
    <w:rsid w:val="009835AC"/>
    <w:rsid w:val="00983F01"/>
    <w:rsid w:val="009847EB"/>
    <w:rsid w:val="00984A47"/>
    <w:rsid w:val="00984ECB"/>
    <w:rsid w:val="00985707"/>
    <w:rsid w:val="00985D25"/>
    <w:rsid w:val="00986F15"/>
    <w:rsid w:val="009872BB"/>
    <w:rsid w:val="00987C9E"/>
    <w:rsid w:val="00990E7D"/>
    <w:rsid w:val="00992051"/>
    <w:rsid w:val="00992872"/>
    <w:rsid w:val="009930A7"/>
    <w:rsid w:val="009A05DD"/>
    <w:rsid w:val="009A1388"/>
    <w:rsid w:val="009A413D"/>
    <w:rsid w:val="009A4441"/>
    <w:rsid w:val="009A481B"/>
    <w:rsid w:val="009A4867"/>
    <w:rsid w:val="009A4C79"/>
    <w:rsid w:val="009A5609"/>
    <w:rsid w:val="009A61AF"/>
    <w:rsid w:val="009A6EAA"/>
    <w:rsid w:val="009A733D"/>
    <w:rsid w:val="009A7A4B"/>
    <w:rsid w:val="009B2475"/>
    <w:rsid w:val="009B4C2B"/>
    <w:rsid w:val="009B5A01"/>
    <w:rsid w:val="009B5BFA"/>
    <w:rsid w:val="009B6A19"/>
    <w:rsid w:val="009B7309"/>
    <w:rsid w:val="009B76A1"/>
    <w:rsid w:val="009B7A3B"/>
    <w:rsid w:val="009B7BC2"/>
    <w:rsid w:val="009C078C"/>
    <w:rsid w:val="009C0DA2"/>
    <w:rsid w:val="009C1D90"/>
    <w:rsid w:val="009C2C88"/>
    <w:rsid w:val="009C3931"/>
    <w:rsid w:val="009C4BCD"/>
    <w:rsid w:val="009C5641"/>
    <w:rsid w:val="009C59F8"/>
    <w:rsid w:val="009C6777"/>
    <w:rsid w:val="009C6FCA"/>
    <w:rsid w:val="009C7997"/>
    <w:rsid w:val="009D0316"/>
    <w:rsid w:val="009D0418"/>
    <w:rsid w:val="009D1291"/>
    <w:rsid w:val="009D13AB"/>
    <w:rsid w:val="009D22E1"/>
    <w:rsid w:val="009D26DB"/>
    <w:rsid w:val="009D33CF"/>
    <w:rsid w:val="009D3DFC"/>
    <w:rsid w:val="009D4945"/>
    <w:rsid w:val="009D499F"/>
    <w:rsid w:val="009D4EFC"/>
    <w:rsid w:val="009D50AB"/>
    <w:rsid w:val="009D6468"/>
    <w:rsid w:val="009D688E"/>
    <w:rsid w:val="009D778B"/>
    <w:rsid w:val="009E0340"/>
    <w:rsid w:val="009E03DE"/>
    <w:rsid w:val="009E122B"/>
    <w:rsid w:val="009E1CD4"/>
    <w:rsid w:val="009E1F52"/>
    <w:rsid w:val="009E2732"/>
    <w:rsid w:val="009E41D5"/>
    <w:rsid w:val="009E4BF2"/>
    <w:rsid w:val="009E5895"/>
    <w:rsid w:val="009E590B"/>
    <w:rsid w:val="009E76C4"/>
    <w:rsid w:val="009F03B7"/>
    <w:rsid w:val="009F1F8D"/>
    <w:rsid w:val="009F23B2"/>
    <w:rsid w:val="009F2A7B"/>
    <w:rsid w:val="009F6179"/>
    <w:rsid w:val="009F7184"/>
    <w:rsid w:val="009F7461"/>
    <w:rsid w:val="009F77DA"/>
    <w:rsid w:val="009F7FDE"/>
    <w:rsid w:val="00A00675"/>
    <w:rsid w:val="00A017AB"/>
    <w:rsid w:val="00A03B18"/>
    <w:rsid w:val="00A03C4B"/>
    <w:rsid w:val="00A0409F"/>
    <w:rsid w:val="00A04648"/>
    <w:rsid w:val="00A04685"/>
    <w:rsid w:val="00A053CF"/>
    <w:rsid w:val="00A06188"/>
    <w:rsid w:val="00A07C0F"/>
    <w:rsid w:val="00A10667"/>
    <w:rsid w:val="00A10CAA"/>
    <w:rsid w:val="00A11733"/>
    <w:rsid w:val="00A11A89"/>
    <w:rsid w:val="00A1419A"/>
    <w:rsid w:val="00A147A1"/>
    <w:rsid w:val="00A1620C"/>
    <w:rsid w:val="00A16F00"/>
    <w:rsid w:val="00A1712A"/>
    <w:rsid w:val="00A17D97"/>
    <w:rsid w:val="00A20386"/>
    <w:rsid w:val="00A20434"/>
    <w:rsid w:val="00A212D6"/>
    <w:rsid w:val="00A240C5"/>
    <w:rsid w:val="00A24BC1"/>
    <w:rsid w:val="00A24EC8"/>
    <w:rsid w:val="00A252FD"/>
    <w:rsid w:val="00A2583B"/>
    <w:rsid w:val="00A262F6"/>
    <w:rsid w:val="00A2774C"/>
    <w:rsid w:val="00A27A39"/>
    <w:rsid w:val="00A30503"/>
    <w:rsid w:val="00A314A6"/>
    <w:rsid w:val="00A31B37"/>
    <w:rsid w:val="00A31E47"/>
    <w:rsid w:val="00A338FF"/>
    <w:rsid w:val="00A342B9"/>
    <w:rsid w:val="00A349E4"/>
    <w:rsid w:val="00A36479"/>
    <w:rsid w:val="00A36540"/>
    <w:rsid w:val="00A36766"/>
    <w:rsid w:val="00A37275"/>
    <w:rsid w:val="00A378A7"/>
    <w:rsid w:val="00A40FCB"/>
    <w:rsid w:val="00A4184B"/>
    <w:rsid w:val="00A41C23"/>
    <w:rsid w:val="00A421DB"/>
    <w:rsid w:val="00A42761"/>
    <w:rsid w:val="00A43E2C"/>
    <w:rsid w:val="00A44404"/>
    <w:rsid w:val="00A444BB"/>
    <w:rsid w:val="00A5039F"/>
    <w:rsid w:val="00A51192"/>
    <w:rsid w:val="00A51D84"/>
    <w:rsid w:val="00A52C5A"/>
    <w:rsid w:val="00A53772"/>
    <w:rsid w:val="00A541FC"/>
    <w:rsid w:val="00A54BA7"/>
    <w:rsid w:val="00A54C57"/>
    <w:rsid w:val="00A5500A"/>
    <w:rsid w:val="00A557F4"/>
    <w:rsid w:val="00A57761"/>
    <w:rsid w:val="00A57B0D"/>
    <w:rsid w:val="00A57F22"/>
    <w:rsid w:val="00A63631"/>
    <w:rsid w:val="00A63B75"/>
    <w:rsid w:val="00A66225"/>
    <w:rsid w:val="00A70663"/>
    <w:rsid w:val="00A70A32"/>
    <w:rsid w:val="00A71A87"/>
    <w:rsid w:val="00A71B5E"/>
    <w:rsid w:val="00A71C44"/>
    <w:rsid w:val="00A72316"/>
    <w:rsid w:val="00A73431"/>
    <w:rsid w:val="00A74A32"/>
    <w:rsid w:val="00A76D65"/>
    <w:rsid w:val="00A77059"/>
    <w:rsid w:val="00A773AE"/>
    <w:rsid w:val="00A803F3"/>
    <w:rsid w:val="00A805BE"/>
    <w:rsid w:val="00A827F7"/>
    <w:rsid w:val="00A8308B"/>
    <w:rsid w:val="00A83EDF"/>
    <w:rsid w:val="00A8458E"/>
    <w:rsid w:val="00A846D0"/>
    <w:rsid w:val="00A85197"/>
    <w:rsid w:val="00A87505"/>
    <w:rsid w:val="00A90147"/>
    <w:rsid w:val="00A90BA1"/>
    <w:rsid w:val="00A91BF8"/>
    <w:rsid w:val="00A92C0A"/>
    <w:rsid w:val="00A92DC5"/>
    <w:rsid w:val="00A92EC7"/>
    <w:rsid w:val="00A9393B"/>
    <w:rsid w:val="00A93AB8"/>
    <w:rsid w:val="00A94ED0"/>
    <w:rsid w:val="00A9528A"/>
    <w:rsid w:val="00A95BE3"/>
    <w:rsid w:val="00AA0056"/>
    <w:rsid w:val="00AA02D9"/>
    <w:rsid w:val="00AA2C02"/>
    <w:rsid w:val="00AA4561"/>
    <w:rsid w:val="00AA4BE1"/>
    <w:rsid w:val="00AA4FCD"/>
    <w:rsid w:val="00AA6876"/>
    <w:rsid w:val="00AA6C03"/>
    <w:rsid w:val="00AA714B"/>
    <w:rsid w:val="00AA7B2C"/>
    <w:rsid w:val="00AB07D4"/>
    <w:rsid w:val="00AB1E89"/>
    <w:rsid w:val="00AB1F54"/>
    <w:rsid w:val="00AB209D"/>
    <w:rsid w:val="00AB2868"/>
    <w:rsid w:val="00AB29BF"/>
    <w:rsid w:val="00AB2D3E"/>
    <w:rsid w:val="00AB2E7B"/>
    <w:rsid w:val="00AB3515"/>
    <w:rsid w:val="00AB3C1C"/>
    <w:rsid w:val="00AB4659"/>
    <w:rsid w:val="00AB46A6"/>
    <w:rsid w:val="00AB4718"/>
    <w:rsid w:val="00AB58C9"/>
    <w:rsid w:val="00AB6141"/>
    <w:rsid w:val="00AB685B"/>
    <w:rsid w:val="00AB6A4E"/>
    <w:rsid w:val="00AB7345"/>
    <w:rsid w:val="00AB738A"/>
    <w:rsid w:val="00AC0152"/>
    <w:rsid w:val="00AC0AE5"/>
    <w:rsid w:val="00AC1253"/>
    <w:rsid w:val="00AC3900"/>
    <w:rsid w:val="00AC798D"/>
    <w:rsid w:val="00AD0124"/>
    <w:rsid w:val="00AD10E9"/>
    <w:rsid w:val="00AD2063"/>
    <w:rsid w:val="00AD267A"/>
    <w:rsid w:val="00AD47CA"/>
    <w:rsid w:val="00AD48AC"/>
    <w:rsid w:val="00AD6F7E"/>
    <w:rsid w:val="00AD76B8"/>
    <w:rsid w:val="00AE0343"/>
    <w:rsid w:val="00AE0ADA"/>
    <w:rsid w:val="00AE1783"/>
    <w:rsid w:val="00AE2A1D"/>
    <w:rsid w:val="00AE3986"/>
    <w:rsid w:val="00AE655A"/>
    <w:rsid w:val="00AE67E8"/>
    <w:rsid w:val="00AE6D8B"/>
    <w:rsid w:val="00AE7B1C"/>
    <w:rsid w:val="00AE7CBF"/>
    <w:rsid w:val="00AF054D"/>
    <w:rsid w:val="00AF13CC"/>
    <w:rsid w:val="00AF2086"/>
    <w:rsid w:val="00AF2EF5"/>
    <w:rsid w:val="00AF32F1"/>
    <w:rsid w:val="00AF3D9F"/>
    <w:rsid w:val="00AF46AB"/>
    <w:rsid w:val="00AF5A10"/>
    <w:rsid w:val="00AF5E27"/>
    <w:rsid w:val="00AF62F3"/>
    <w:rsid w:val="00AF6A00"/>
    <w:rsid w:val="00AF6C12"/>
    <w:rsid w:val="00B00DF7"/>
    <w:rsid w:val="00B02000"/>
    <w:rsid w:val="00B02266"/>
    <w:rsid w:val="00B0382D"/>
    <w:rsid w:val="00B05FB1"/>
    <w:rsid w:val="00B060D6"/>
    <w:rsid w:val="00B064C1"/>
    <w:rsid w:val="00B06C11"/>
    <w:rsid w:val="00B11C01"/>
    <w:rsid w:val="00B11CA3"/>
    <w:rsid w:val="00B120E5"/>
    <w:rsid w:val="00B13CAD"/>
    <w:rsid w:val="00B14803"/>
    <w:rsid w:val="00B1530B"/>
    <w:rsid w:val="00B161AF"/>
    <w:rsid w:val="00B162F0"/>
    <w:rsid w:val="00B16FDB"/>
    <w:rsid w:val="00B17E9C"/>
    <w:rsid w:val="00B2020E"/>
    <w:rsid w:val="00B2174B"/>
    <w:rsid w:val="00B2209E"/>
    <w:rsid w:val="00B22397"/>
    <w:rsid w:val="00B23B90"/>
    <w:rsid w:val="00B2572E"/>
    <w:rsid w:val="00B258E3"/>
    <w:rsid w:val="00B26F68"/>
    <w:rsid w:val="00B27107"/>
    <w:rsid w:val="00B27F71"/>
    <w:rsid w:val="00B302DE"/>
    <w:rsid w:val="00B3122A"/>
    <w:rsid w:val="00B32010"/>
    <w:rsid w:val="00B32E55"/>
    <w:rsid w:val="00B334B6"/>
    <w:rsid w:val="00B34F21"/>
    <w:rsid w:val="00B35B48"/>
    <w:rsid w:val="00B35F1E"/>
    <w:rsid w:val="00B365D2"/>
    <w:rsid w:val="00B3693F"/>
    <w:rsid w:val="00B3697A"/>
    <w:rsid w:val="00B40DC3"/>
    <w:rsid w:val="00B43673"/>
    <w:rsid w:val="00B43B62"/>
    <w:rsid w:val="00B45221"/>
    <w:rsid w:val="00B466B1"/>
    <w:rsid w:val="00B47C40"/>
    <w:rsid w:val="00B47EED"/>
    <w:rsid w:val="00B512C9"/>
    <w:rsid w:val="00B51336"/>
    <w:rsid w:val="00B518A1"/>
    <w:rsid w:val="00B55702"/>
    <w:rsid w:val="00B57BEA"/>
    <w:rsid w:val="00B57F94"/>
    <w:rsid w:val="00B60ED0"/>
    <w:rsid w:val="00B6145A"/>
    <w:rsid w:val="00B626D7"/>
    <w:rsid w:val="00B62FDF"/>
    <w:rsid w:val="00B6551F"/>
    <w:rsid w:val="00B6706D"/>
    <w:rsid w:val="00B6708B"/>
    <w:rsid w:val="00B67310"/>
    <w:rsid w:val="00B67E57"/>
    <w:rsid w:val="00B72138"/>
    <w:rsid w:val="00B726B3"/>
    <w:rsid w:val="00B73067"/>
    <w:rsid w:val="00B731C6"/>
    <w:rsid w:val="00B73B56"/>
    <w:rsid w:val="00B74C42"/>
    <w:rsid w:val="00B7681D"/>
    <w:rsid w:val="00B77092"/>
    <w:rsid w:val="00B77A44"/>
    <w:rsid w:val="00B803D2"/>
    <w:rsid w:val="00B819CA"/>
    <w:rsid w:val="00B81B27"/>
    <w:rsid w:val="00B81B96"/>
    <w:rsid w:val="00B855FD"/>
    <w:rsid w:val="00B85AAC"/>
    <w:rsid w:val="00B85DEA"/>
    <w:rsid w:val="00B86262"/>
    <w:rsid w:val="00B86381"/>
    <w:rsid w:val="00B86E00"/>
    <w:rsid w:val="00B90CD5"/>
    <w:rsid w:val="00B92438"/>
    <w:rsid w:val="00B92EBB"/>
    <w:rsid w:val="00B9541F"/>
    <w:rsid w:val="00B96CB4"/>
    <w:rsid w:val="00B97123"/>
    <w:rsid w:val="00B97953"/>
    <w:rsid w:val="00B97959"/>
    <w:rsid w:val="00B9799A"/>
    <w:rsid w:val="00BA1CD2"/>
    <w:rsid w:val="00BA1FA8"/>
    <w:rsid w:val="00BA445C"/>
    <w:rsid w:val="00BA458E"/>
    <w:rsid w:val="00BA5BC0"/>
    <w:rsid w:val="00BB1218"/>
    <w:rsid w:val="00BB2036"/>
    <w:rsid w:val="00BB2DB3"/>
    <w:rsid w:val="00BB2FE5"/>
    <w:rsid w:val="00BB3471"/>
    <w:rsid w:val="00BB43EC"/>
    <w:rsid w:val="00BB4567"/>
    <w:rsid w:val="00BB5678"/>
    <w:rsid w:val="00BB5C34"/>
    <w:rsid w:val="00BB69C1"/>
    <w:rsid w:val="00BB74B2"/>
    <w:rsid w:val="00BB782A"/>
    <w:rsid w:val="00BC176C"/>
    <w:rsid w:val="00BC1A94"/>
    <w:rsid w:val="00BC1E72"/>
    <w:rsid w:val="00BC1EDA"/>
    <w:rsid w:val="00BC2AFF"/>
    <w:rsid w:val="00BC363F"/>
    <w:rsid w:val="00BC3A7D"/>
    <w:rsid w:val="00BC3D02"/>
    <w:rsid w:val="00BC4285"/>
    <w:rsid w:val="00BC6D36"/>
    <w:rsid w:val="00BC7236"/>
    <w:rsid w:val="00BD1126"/>
    <w:rsid w:val="00BD2041"/>
    <w:rsid w:val="00BD3CF4"/>
    <w:rsid w:val="00BD4562"/>
    <w:rsid w:val="00BD62BF"/>
    <w:rsid w:val="00BD67F3"/>
    <w:rsid w:val="00BD77C8"/>
    <w:rsid w:val="00BE1118"/>
    <w:rsid w:val="00BE3E62"/>
    <w:rsid w:val="00BE4BA1"/>
    <w:rsid w:val="00BE4CA2"/>
    <w:rsid w:val="00BE5596"/>
    <w:rsid w:val="00BE59B8"/>
    <w:rsid w:val="00BE5D82"/>
    <w:rsid w:val="00BE5E31"/>
    <w:rsid w:val="00BE693D"/>
    <w:rsid w:val="00BF1330"/>
    <w:rsid w:val="00BF2114"/>
    <w:rsid w:val="00BF2455"/>
    <w:rsid w:val="00BF2958"/>
    <w:rsid w:val="00BF53FD"/>
    <w:rsid w:val="00BF61B7"/>
    <w:rsid w:val="00BF6B1E"/>
    <w:rsid w:val="00C000B5"/>
    <w:rsid w:val="00C0168B"/>
    <w:rsid w:val="00C02148"/>
    <w:rsid w:val="00C03465"/>
    <w:rsid w:val="00C03BFD"/>
    <w:rsid w:val="00C044D3"/>
    <w:rsid w:val="00C05912"/>
    <w:rsid w:val="00C103A8"/>
    <w:rsid w:val="00C114D6"/>
    <w:rsid w:val="00C11668"/>
    <w:rsid w:val="00C11EA4"/>
    <w:rsid w:val="00C12C5E"/>
    <w:rsid w:val="00C136AF"/>
    <w:rsid w:val="00C1411F"/>
    <w:rsid w:val="00C15380"/>
    <w:rsid w:val="00C16338"/>
    <w:rsid w:val="00C16D3C"/>
    <w:rsid w:val="00C209C3"/>
    <w:rsid w:val="00C21DDC"/>
    <w:rsid w:val="00C22F56"/>
    <w:rsid w:val="00C230E4"/>
    <w:rsid w:val="00C23AA2"/>
    <w:rsid w:val="00C24042"/>
    <w:rsid w:val="00C24CE5"/>
    <w:rsid w:val="00C2533B"/>
    <w:rsid w:val="00C25478"/>
    <w:rsid w:val="00C26CEE"/>
    <w:rsid w:val="00C30177"/>
    <w:rsid w:val="00C30880"/>
    <w:rsid w:val="00C31428"/>
    <w:rsid w:val="00C325E9"/>
    <w:rsid w:val="00C3319A"/>
    <w:rsid w:val="00C3373C"/>
    <w:rsid w:val="00C34167"/>
    <w:rsid w:val="00C34562"/>
    <w:rsid w:val="00C34714"/>
    <w:rsid w:val="00C35D8B"/>
    <w:rsid w:val="00C35E97"/>
    <w:rsid w:val="00C3660E"/>
    <w:rsid w:val="00C36DAA"/>
    <w:rsid w:val="00C36FEE"/>
    <w:rsid w:val="00C37083"/>
    <w:rsid w:val="00C37762"/>
    <w:rsid w:val="00C4348D"/>
    <w:rsid w:val="00C45C2A"/>
    <w:rsid w:val="00C46AE8"/>
    <w:rsid w:val="00C5067A"/>
    <w:rsid w:val="00C508AF"/>
    <w:rsid w:val="00C50AC4"/>
    <w:rsid w:val="00C51BEE"/>
    <w:rsid w:val="00C51CDC"/>
    <w:rsid w:val="00C52D56"/>
    <w:rsid w:val="00C55AC2"/>
    <w:rsid w:val="00C60A09"/>
    <w:rsid w:val="00C61284"/>
    <w:rsid w:val="00C622CA"/>
    <w:rsid w:val="00C636FF"/>
    <w:rsid w:val="00C63950"/>
    <w:rsid w:val="00C63D5B"/>
    <w:rsid w:val="00C63E22"/>
    <w:rsid w:val="00C6479A"/>
    <w:rsid w:val="00C65092"/>
    <w:rsid w:val="00C66775"/>
    <w:rsid w:val="00C670F2"/>
    <w:rsid w:val="00C717E1"/>
    <w:rsid w:val="00C71F26"/>
    <w:rsid w:val="00C74511"/>
    <w:rsid w:val="00C75304"/>
    <w:rsid w:val="00C767EB"/>
    <w:rsid w:val="00C76878"/>
    <w:rsid w:val="00C76883"/>
    <w:rsid w:val="00C76C97"/>
    <w:rsid w:val="00C7724B"/>
    <w:rsid w:val="00C77705"/>
    <w:rsid w:val="00C779D8"/>
    <w:rsid w:val="00C77B5B"/>
    <w:rsid w:val="00C80621"/>
    <w:rsid w:val="00C817F7"/>
    <w:rsid w:val="00C820A2"/>
    <w:rsid w:val="00C82496"/>
    <w:rsid w:val="00C82AF9"/>
    <w:rsid w:val="00C83901"/>
    <w:rsid w:val="00C83C2F"/>
    <w:rsid w:val="00C840A7"/>
    <w:rsid w:val="00C84779"/>
    <w:rsid w:val="00C84D90"/>
    <w:rsid w:val="00C850C7"/>
    <w:rsid w:val="00C852A9"/>
    <w:rsid w:val="00C8717B"/>
    <w:rsid w:val="00C878A6"/>
    <w:rsid w:val="00C90061"/>
    <w:rsid w:val="00C90371"/>
    <w:rsid w:val="00C90580"/>
    <w:rsid w:val="00C909AD"/>
    <w:rsid w:val="00C91661"/>
    <w:rsid w:val="00C921BF"/>
    <w:rsid w:val="00C95C1E"/>
    <w:rsid w:val="00C974F4"/>
    <w:rsid w:val="00CA0DD8"/>
    <w:rsid w:val="00CA19D7"/>
    <w:rsid w:val="00CA1F12"/>
    <w:rsid w:val="00CA2E25"/>
    <w:rsid w:val="00CA4F41"/>
    <w:rsid w:val="00CA6673"/>
    <w:rsid w:val="00CA69F2"/>
    <w:rsid w:val="00CA7280"/>
    <w:rsid w:val="00CB094C"/>
    <w:rsid w:val="00CB0983"/>
    <w:rsid w:val="00CB1853"/>
    <w:rsid w:val="00CB239D"/>
    <w:rsid w:val="00CB294B"/>
    <w:rsid w:val="00CB2C21"/>
    <w:rsid w:val="00CB466B"/>
    <w:rsid w:val="00CC0607"/>
    <w:rsid w:val="00CC1896"/>
    <w:rsid w:val="00CC271A"/>
    <w:rsid w:val="00CC2FA8"/>
    <w:rsid w:val="00CC3800"/>
    <w:rsid w:val="00CC411E"/>
    <w:rsid w:val="00CC43DF"/>
    <w:rsid w:val="00CC6BC0"/>
    <w:rsid w:val="00CC7A92"/>
    <w:rsid w:val="00CC7E48"/>
    <w:rsid w:val="00CD0953"/>
    <w:rsid w:val="00CD0AFF"/>
    <w:rsid w:val="00CD0E79"/>
    <w:rsid w:val="00CD1001"/>
    <w:rsid w:val="00CD1BDB"/>
    <w:rsid w:val="00CD30D0"/>
    <w:rsid w:val="00CD3A25"/>
    <w:rsid w:val="00CD4982"/>
    <w:rsid w:val="00CD588C"/>
    <w:rsid w:val="00CD5B4E"/>
    <w:rsid w:val="00CD67EC"/>
    <w:rsid w:val="00CD79F7"/>
    <w:rsid w:val="00CE0D40"/>
    <w:rsid w:val="00CE15A1"/>
    <w:rsid w:val="00CE1634"/>
    <w:rsid w:val="00CE2022"/>
    <w:rsid w:val="00CE29FB"/>
    <w:rsid w:val="00CE2CB5"/>
    <w:rsid w:val="00CE364B"/>
    <w:rsid w:val="00CE37C6"/>
    <w:rsid w:val="00CE6DFC"/>
    <w:rsid w:val="00CE751D"/>
    <w:rsid w:val="00CE7DFB"/>
    <w:rsid w:val="00CF2364"/>
    <w:rsid w:val="00CF2C76"/>
    <w:rsid w:val="00CF33FF"/>
    <w:rsid w:val="00CF3E6E"/>
    <w:rsid w:val="00CF6174"/>
    <w:rsid w:val="00CF67F3"/>
    <w:rsid w:val="00CF6A5A"/>
    <w:rsid w:val="00CF6C83"/>
    <w:rsid w:val="00D004A1"/>
    <w:rsid w:val="00D031C1"/>
    <w:rsid w:val="00D03378"/>
    <w:rsid w:val="00D033BA"/>
    <w:rsid w:val="00D0342B"/>
    <w:rsid w:val="00D04BF2"/>
    <w:rsid w:val="00D055E5"/>
    <w:rsid w:val="00D05E67"/>
    <w:rsid w:val="00D111E5"/>
    <w:rsid w:val="00D11801"/>
    <w:rsid w:val="00D1385B"/>
    <w:rsid w:val="00D166CF"/>
    <w:rsid w:val="00D16B64"/>
    <w:rsid w:val="00D16F94"/>
    <w:rsid w:val="00D17409"/>
    <w:rsid w:val="00D21617"/>
    <w:rsid w:val="00D22577"/>
    <w:rsid w:val="00D22902"/>
    <w:rsid w:val="00D23284"/>
    <w:rsid w:val="00D23845"/>
    <w:rsid w:val="00D2437C"/>
    <w:rsid w:val="00D24766"/>
    <w:rsid w:val="00D255A7"/>
    <w:rsid w:val="00D25D59"/>
    <w:rsid w:val="00D265B3"/>
    <w:rsid w:val="00D2673C"/>
    <w:rsid w:val="00D26829"/>
    <w:rsid w:val="00D303E8"/>
    <w:rsid w:val="00D3054E"/>
    <w:rsid w:val="00D308DC"/>
    <w:rsid w:val="00D31CED"/>
    <w:rsid w:val="00D33064"/>
    <w:rsid w:val="00D34674"/>
    <w:rsid w:val="00D34CA2"/>
    <w:rsid w:val="00D34D5F"/>
    <w:rsid w:val="00D351B0"/>
    <w:rsid w:val="00D3550B"/>
    <w:rsid w:val="00D35F83"/>
    <w:rsid w:val="00D373A2"/>
    <w:rsid w:val="00D373BB"/>
    <w:rsid w:val="00D3771A"/>
    <w:rsid w:val="00D37863"/>
    <w:rsid w:val="00D37875"/>
    <w:rsid w:val="00D37D32"/>
    <w:rsid w:val="00D40BF8"/>
    <w:rsid w:val="00D40CE9"/>
    <w:rsid w:val="00D40D7F"/>
    <w:rsid w:val="00D424DB"/>
    <w:rsid w:val="00D42A0E"/>
    <w:rsid w:val="00D43E3E"/>
    <w:rsid w:val="00D43F0D"/>
    <w:rsid w:val="00D4517A"/>
    <w:rsid w:val="00D451FD"/>
    <w:rsid w:val="00D452F8"/>
    <w:rsid w:val="00D45741"/>
    <w:rsid w:val="00D45BB7"/>
    <w:rsid w:val="00D474B2"/>
    <w:rsid w:val="00D47556"/>
    <w:rsid w:val="00D51075"/>
    <w:rsid w:val="00D52408"/>
    <w:rsid w:val="00D52A2B"/>
    <w:rsid w:val="00D600D6"/>
    <w:rsid w:val="00D602A1"/>
    <w:rsid w:val="00D60B0C"/>
    <w:rsid w:val="00D60C41"/>
    <w:rsid w:val="00D6212F"/>
    <w:rsid w:val="00D624D3"/>
    <w:rsid w:val="00D634DA"/>
    <w:rsid w:val="00D63891"/>
    <w:rsid w:val="00D66438"/>
    <w:rsid w:val="00D66C1D"/>
    <w:rsid w:val="00D67331"/>
    <w:rsid w:val="00D675D8"/>
    <w:rsid w:val="00D71E7F"/>
    <w:rsid w:val="00D722B3"/>
    <w:rsid w:val="00D72E81"/>
    <w:rsid w:val="00D731F6"/>
    <w:rsid w:val="00D73FCA"/>
    <w:rsid w:val="00D7416B"/>
    <w:rsid w:val="00D76593"/>
    <w:rsid w:val="00D775C1"/>
    <w:rsid w:val="00D812C5"/>
    <w:rsid w:val="00D83509"/>
    <w:rsid w:val="00D83DEE"/>
    <w:rsid w:val="00D842D6"/>
    <w:rsid w:val="00D84FAB"/>
    <w:rsid w:val="00D853D8"/>
    <w:rsid w:val="00D85842"/>
    <w:rsid w:val="00D87323"/>
    <w:rsid w:val="00D87DBD"/>
    <w:rsid w:val="00D92F46"/>
    <w:rsid w:val="00D93202"/>
    <w:rsid w:val="00D957D3"/>
    <w:rsid w:val="00D95AAE"/>
    <w:rsid w:val="00D96AED"/>
    <w:rsid w:val="00D978E8"/>
    <w:rsid w:val="00DA0D9D"/>
    <w:rsid w:val="00DA1B1F"/>
    <w:rsid w:val="00DA2754"/>
    <w:rsid w:val="00DA3C6F"/>
    <w:rsid w:val="00DA4ADC"/>
    <w:rsid w:val="00DA6E7F"/>
    <w:rsid w:val="00DA744A"/>
    <w:rsid w:val="00DA76B0"/>
    <w:rsid w:val="00DA7BFB"/>
    <w:rsid w:val="00DB04FF"/>
    <w:rsid w:val="00DB083E"/>
    <w:rsid w:val="00DB24CD"/>
    <w:rsid w:val="00DB2FD3"/>
    <w:rsid w:val="00DB339E"/>
    <w:rsid w:val="00DB3FBE"/>
    <w:rsid w:val="00DB44A8"/>
    <w:rsid w:val="00DB44C5"/>
    <w:rsid w:val="00DB4B7F"/>
    <w:rsid w:val="00DB751D"/>
    <w:rsid w:val="00DC0678"/>
    <w:rsid w:val="00DC1484"/>
    <w:rsid w:val="00DC1E7F"/>
    <w:rsid w:val="00DC2218"/>
    <w:rsid w:val="00DC298F"/>
    <w:rsid w:val="00DC2BFF"/>
    <w:rsid w:val="00DC3540"/>
    <w:rsid w:val="00DC4339"/>
    <w:rsid w:val="00DC600C"/>
    <w:rsid w:val="00DD1DD6"/>
    <w:rsid w:val="00DD24B4"/>
    <w:rsid w:val="00DD28E5"/>
    <w:rsid w:val="00DD56CD"/>
    <w:rsid w:val="00DD5EFF"/>
    <w:rsid w:val="00DD6A80"/>
    <w:rsid w:val="00DD6BB3"/>
    <w:rsid w:val="00DD7899"/>
    <w:rsid w:val="00DE0B55"/>
    <w:rsid w:val="00DE1C3C"/>
    <w:rsid w:val="00DE4508"/>
    <w:rsid w:val="00DE557E"/>
    <w:rsid w:val="00DE785E"/>
    <w:rsid w:val="00DF3137"/>
    <w:rsid w:val="00DF31F2"/>
    <w:rsid w:val="00DF41DC"/>
    <w:rsid w:val="00DF4643"/>
    <w:rsid w:val="00DF4AC7"/>
    <w:rsid w:val="00DF6126"/>
    <w:rsid w:val="00DF61EC"/>
    <w:rsid w:val="00DF77E8"/>
    <w:rsid w:val="00DF7F59"/>
    <w:rsid w:val="00E0152E"/>
    <w:rsid w:val="00E02CF1"/>
    <w:rsid w:val="00E02DEB"/>
    <w:rsid w:val="00E03D61"/>
    <w:rsid w:val="00E03F9F"/>
    <w:rsid w:val="00E04845"/>
    <w:rsid w:val="00E04E5D"/>
    <w:rsid w:val="00E07670"/>
    <w:rsid w:val="00E1022F"/>
    <w:rsid w:val="00E10EA7"/>
    <w:rsid w:val="00E10F0F"/>
    <w:rsid w:val="00E113EA"/>
    <w:rsid w:val="00E118B8"/>
    <w:rsid w:val="00E11CC9"/>
    <w:rsid w:val="00E12D3C"/>
    <w:rsid w:val="00E12ED1"/>
    <w:rsid w:val="00E13B64"/>
    <w:rsid w:val="00E148B5"/>
    <w:rsid w:val="00E158C2"/>
    <w:rsid w:val="00E16199"/>
    <w:rsid w:val="00E1745F"/>
    <w:rsid w:val="00E176C1"/>
    <w:rsid w:val="00E22C4E"/>
    <w:rsid w:val="00E240D7"/>
    <w:rsid w:val="00E24F2A"/>
    <w:rsid w:val="00E2543A"/>
    <w:rsid w:val="00E2596F"/>
    <w:rsid w:val="00E27703"/>
    <w:rsid w:val="00E318CA"/>
    <w:rsid w:val="00E31A69"/>
    <w:rsid w:val="00E325EF"/>
    <w:rsid w:val="00E32826"/>
    <w:rsid w:val="00E3303F"/>
    <w:rsid w:val="00E33896"/>
    <w:rsid w:val="00E33B77"/>
    <w:rsid w:val="00E33D0F"/>
    <w:rsid w:val="00E33FDC"/>
    <w:rsid w:val="00E35301"/>
    <w:rsid w:val="00E35CDD"/>
    <w:rsid w:val="00E35E0D"/>
    <w:rsid w:val="00E370C4"/>
    <w:rsid w:val="00E37CAB"/>
    <w:rsid w:val="00E40543"/>
    <w:rsid w:val="00E409E9"/>
    <w:rsid w:val="00E40ACC"/>
    <w:rsid w:val="00E41158"/>
    <w:rsid w:val="00E43054"/>
    <w:rsid w:val="00E43302"/>
    <w:rsid w:val="00E43A60"/>
    <w:rsid w:val="00E43B28"/>
    <w:rsid w:val="00E43C19"/>
    <w:rsid w:val="00E448FE"/>
    <w:rsid w:val="00E44BC6"/>
    <w:rsid w:val="00E45295"/>
    <w:rsid w:val="00E45CD6"/>
    <w:rsid w:val="00E461C1"/>
    <w:rsid w:val="00E46664"/>
    <w:rsid w:val="00E46C50"/>
    <w:rsid w:val="00E4768C"/>
    <w:rsid w:val="00E47A7E"/>
    <w:rsid w:val="00E50F03"/>
    <w:rsid w:val="00E52951"/>
    <w:rsid w:val="00E52C74"/>
    <w:rsid w:val="00E54DA8"/>
    <w:rsid w:val="00E60155"/>
    <w:rsid w:val="00E6077C"/>
    <w:rsid w:val="00E62686"/>
    <w:rsid w:val="00E62E84"/>
    <w:rsid w:val="00E641BD"/>
    <w:rsid w:val="00E655B3"/>
    <w:rsid w:val="00E663AA"/>
    <w:rsid w:val="00E6786F"/>
    <w:rsid w:val="00E679DB"/>
    <w:rsid w:val="00E700B8"/>
    <w:rsid w:val="00E70370"/>
    <w:rsid w:val="00E70B9E"/>
    <w:rsid w:val="00E73557"/>
    <w:rsid w:val="00E73E5E"/>
    <w:rsid w:val="00E73E85"/>
    <w:rsid w:val="00E76914"/>
    <w:rsid w:val="00E805DC"/>
    <w:rsid w:val="00E80E8F"/>
    <w:rsid w:val="00E81F07"/>
    <w:rsid w:val="00E820AD"/>
    <w:rsid w:val="00E82854"/>
    <w:rsid w:val="00E82B2C"/>
    <w:rsid w:val="00E82CF4"/>
    <w:rsid w:val="00E8327D"/>
    <w:rsid w:val="00E837A5"/>
    <w:rsid w:val="00E85E10"/>
    <w:rsid w:val="00E8615B"/>
    <w:rsid w:val="00E8640A"/>
    <w:rsid w:val="00E91A05"/>
    <w:rsid w:val="00E941D2"/>
    <w:rsid w:val="00E96D7C"/>
    <w:rsid w:val="00E97ADD"/>
    <w:rsid w:val="00EA1F30"/>
    <w:rsid w:val="00EA31EC"/>
    <w:rsid w:val="00EA4BAB"/>
    <w:rsid w:val="00EA4C29"/>
    <w:rsid w:val="00EA50D2"/>
    <w:rsid w:val="00EA556F"/>
    <w:rsid w:val="00EA5A05"/>
    <w:rsid w:val="00EA7A8D"/>
    <w:rsid w:val="00EB29F2"/>
    <w:rsid w:val="00EB2E29"/>
    <w:rsid w:val="00EB5DCE"/>
    <w:rsid w:val="00EB74B5"/>
    <w:rsid w:val="00EB7725"/>
    <w:rsid w:val="00EC0565"/>
    <w:rsid w:val="00EC0D2E"/>
    <w:rsid w:val="00EC0E93"/>
    <w:rsid w:val="00EC269B"/>
    <w:rsid w:val="00EC30BE"/>
    <w:rsid w:val="00EC5D7F"/>
    <w:rsid w:val="00EC61AF"/>
    <w:rsid w:val="00EC6FCC"/>
    <w:rsid w:val="00EC7349"/>
    <w:rsid w:val="00ED0278"/>
    <w:rsid w:val="00ED045C"/>
    <w:rsid w:val="00ED1040"/>
    <w:rsid w:val="00ED1700"/>
    <w:rsid w:val="00ED2242"/>
    <w:rsid w:val="00ED2754"/>
    <w:rsid w:val="00ED3460"/>
    <w:rsid w:val="00ED373F"/>
    <w:rsid w:val="00ED4032"/>
    <w:rsid w:val="00ED4E10"/>
    <w:rsid w:val="00ED5D7F"/>
    <w:rsid w:val="00ED6DC6"/>
    <w:rsid w:val="00ED7CB4"/>
    <w:rsid w:val="00EE0252"/>
    <w:rsid w:val="00EE1F17"/>
    <w:rsid w:val="00EE37AD"/>
    <w:rsid w:val="00EE6F78"/>
    <w:rsid w:val="00EE7107"/>
    <w:rsid w:val="00EE7DC6"/>
    <w:rsid w:val="00EE7FF9"/>
    <w:rsid w:val="00EF044F"/>
    <w:rsid w:val="00EF0486"/>
    <w:rsid w:val="00EF0916"/>
    <w:rsid w:val="00EF1269"/>
    <w:rsid w:val="00EF24DC"/>
    <w:rsid w:val="00EF3E64"/>
    <w:rsid w:val="00EF3F1E"/>
    <w:rsid w:val="00EF4A2E"/>
    <w:rsid w:val="00EF4EB6"/>
    <w:rsid w:val="00EF5178"/>
    <w:rsid w:val="00EF55AC"/>
    <w:rsid w:val="00EF62AD"/>
    <w:rsid w:val="00EF6DAA"/>
    <w:rsid w:val="00EF6FB4"/>
    <w:rsid w:val="00F0179D"/>
    <w:rsid w:val="00F01A51"/>
    <w:rsid w:val="00F02984"/>
    <w:rsid w:val="00F038BD"/>
    <w:rsid w:val="00F04E05"/>
    <w:rsid w:val="00F05040"/>
    <w:rsid w:val="00F050BE"/>
    <w:rsid w:val="00F10481"/>
    <w:rsid w:val="00F1050C"/>
    <w:rsid w:val="00F10D47"/>
    <w:rsid w:val="00F112A1"/>
    <w:rsid w:val="00F1194A"/>
    <w:rsid w:val="00F1412D"/>
    <w:rsid w:val="00F14DBA"/>
    <w:rsid w:val="00F15512"/>
    <w:rsid w:val="00F1606E"/>
    <w:rsid w:val="00F20CF2"/>
    <w:rsid w:val="00F2105F"/>
    <w:rsid w:val="00F224FA"/>
    <w:rsid w:val="00F22BAE"/>
    <w:rsid w:val="00F2436D"/>
    <w:rsid w:val="00F27733"/>
    <w:rsid w:val="00F30075"/>
    <w:rsid w:val="00F302F2"/>
    <w:rsid w:val="00F31D4F"/>
    <w:rsid w:val="00F32A99"/>
    <w:rsid w:val="00F35012"/>
    <w:rsid w:val="00F3567B"/>
    <w:rsid w:val="00F360DB"/>
    <w:rsid w:val="00F365AB"/>
    <w:rsid w:val="00F36E2A"/>
    <w:rsid w:val="00F37A0C"/>
    <w:rsid w:val="00F37BA1"/>
    <w:rsid w:val="00F401D1"/>
    <w:rsid w:val="00F42905"/>
    <w:rsid w:val="00F4377C"/>
    <w:rsid w:val="00F44261"/>
    <w:rsid w:val="00F443B7"/>
    <w:rsid w:val="00F452D0"/>
    <w:rsid w:val="00F45F10"/>
    <w:rsid w:val="00F46B53"/>
    <w:rsid w:val="00F46B76"/>
    <w:rsid w:val="00F4743C"/>
    <w:rsid w:val="00F4746F"/>
    <w:rsid w:val="00F500B3"/>
    <w:rsid w:val="00F50343"/>
    <w:rsid w:val="00F5097C"/>
    <w:rsid w:val="00F51422"/>
    <w:rsid w:val="00F5176C"/>
    <w:rsid w:val="00F51F13"/>
    <w:rsid w:val="00F51F2D"/>
    <w:rsid w:val="00F52163"/>
    <w:rsid w:val="00F52316"/>
    <w:rsid w:val="00F52652"/>
    <w:rsid w:val="00F5337F"/>
    <w:rsid w:val="00F53671"/>
    <w:rsid w:val="00F54FC2"/>
    <w:rsid w:val="00F55C94"/>
    <w:rsid w:val="00F5612C"/>
    <w:rsid w:val="00F56A16"/>
    <w:rsid w:val="00F56D5B"/>
    <w:rsid w:val="00F57737"/>
    <w:rsid w:val="00F6037B"/>
    <w:rsid w:val="00F617F0"/>
    <w:rsid w:val="00F618E6"/>
    <w:rsid w:val="00F62B30"/>
    <w:rsid w:val="00F634CB"/>
    <w:rsid w:val="00F63C51"/>
    <w:rsid w:val="00F63F7B"/>
    <w:rsid w:val="00F646D2"/>
    <w:rsid w:val="00F66536"/>
    <w:rsid w:val="00F66A42"/>
    <w:rsid w:val="00F67FDA"/>
    <w:rsid w:val="00F70102"/>
    <w:rsid w:val="00F709B1"/>
    <w:rsid w:val="00F71004"/>
    <w:rsid w:val="00F719B6"/>
    <w:rsid w:val="00F7224D"/>
    <w:rsid w:val="00F72FD6"/>
    <w:rsid w:val="00F74258"/>
    <w:rsid w:val="00F7474D"/>
    <w:rsid w:val="00F74E77"/>
    <w:rsid w:val="00F75347"/>
    <w:rsid w:val="00F75803"/>
    <w:rsid w:val="00F75B42"/>
    <w:rsid w:val="00F76C23"/>
    <w:rsid w:val="00F77558"/>
    <w:rsid w:val="00F779DE"/>
    <w:rsid w:val="00F814AF"/>
    <w:rsid w:val="00F8209A"/>
    <w:rsid w:val="00F82875"/>
    <w:rsid w:val="00F83A08"/>
    <w:rsid w:val="00F83AF2"/>
    <w:rsid w:val="00F83EF5"/>
    <w:rsid w:val="00F8485D"/>
    <w:rsid w:val="00F858CD"/>
    <w:rsid w:val="00F862F6"/>
    <w:rsid w:val="00F86F15"/>
    <w:rsid w:val="00F92B65"/>
    <w:rsid w:val="00F92E0D"/>
    <w:rsid w:val="00F9466A"/>
    <w:rsid w:val="00F95757"/>
    <w:rsid w:val="00FA0070"/>
    <w:rsid w:val="00FA036C"/>
    <w:rsid w:val="00FA14C3"/>
    <w:rsid w:val="00FA1D78"/>
    <w:rsid w:val="00FA3AE1"/>
    <w:rsid w:val="00FA4931"/>
    <w:rsid w:val="00FA6810"/>
    <w:rsid w:val="00FA6824"/>
    <w:rsid w:val="00FA6902"/>
    <w:rsid w:val="00FA74F1"/>
    <w:rsid w:val="00FA7641"/>
    <w:rsid w:val="00FB0519"/>
    <w:rsid w:val="00FB0637"/>
    <w:rsid w:val="00FB0D10"/>
    <w:rsid w:val="00FB1426"/>
    <w:rsid w:val="00FB2D5A"/>
    <w:rsid w:val="00FB3865"/>
    <w:rsid w:val="00FB419B"/>
    <w:rsid w:val="00FB446F"/>
    <w:rsid w:val="00FB618C"/>
    <w:rsid w:val="00FB65BD"/>
    <w:rsid w:val="00FB723A"/>
    <w:rsid w:val="00FC154F"/>
    <w:rsid w:val="00FC224B"/>
    <w:rsid w:val="00FC2C09"/>
    <w:rsid w:val="00FC3D8C"/>
    <w:rsid w:val="00FC618B"/>
    <w:rsid w:val="00FC655E"/>
    <w:rsid w:val="00FC7053"/>
    <w:rsid w:val="00FD015B"/>
    <w:rsid w:val="00FD0251"/>
    <w:rsid w:val="00FD0D7E"/>
    <w:rsid w:val="00FD226B"/>
    <w:rsid w:val="00FD24FE"/>
    <w:rsid w:val="00FD314D"/>
    <w:rsid w:val="00FD62C0"/>
    <w:rsid w:val="00FD6391"/>
    <w:rsid w:val="00FD66E3"/>
    <w:rsid w:val="00FD7556"/>
    <w:rsid w:val="00FD75B1"/>
    <w:rsid w:val="00FE0D2A"/>
    <w:rsid w:val="00FE107E"/>
    <w:rsid w:val="00FE128E"/>
    <w:rsid w:val="00FE1F65"/>
    <w:rsid w:val="00FE205C"/>
    <w:rsid w:val="00FE2A38"/>
    <w:rsid w:val="00FE376C"/>
    <w:rsid w:val="00FE4388"/>
    <w:rsid w:val="00FE5A73"/>
    <w:rsid w:val="00FE5B7F"/>
    <w:rsid w:val="00FE65AD"/>
    <w:rsid w:val="00FE756E"/>
    <w:rsid w:val="00FF07C9"/>
    <w:rsid w:val="00FF12E1"/>
    <w:rsid w:val="00FF515E"/>
    <w:rsid w:val="00FF517F"/>
    <w:rsid w:val="00FF5C16"/>
    <w:rsid w:val="00FF65E3"/>
    <w:rsid w:val="00FF65F7"/>
    <w:rsid w:val="00FF6C01"/>
    <w:rsid w:val="00FF706E"/>
    <w:rsid w:val="01247B90"/>
    <w:rsid w:val="014A102B"/>
    <w:rsid w:val="022863DF"/>
    <w:rsid w:val="024D3719"/>
    <w:rsid w:val="03187AE5"/>
    <w:rsid w:val="05453FE3"/>
    <w:rsid w:val="054F4D95"/>
    <w:rsid w:val="06A512EA"/>
    <w:rsid w:val="097862A6"/>
    <w:rsid w:val="09A30261"/>
    <w:rsid w:val="0C5A49B0"/>
    <w:rsid w:val="11C532DA"/>
    <w:rsid w:val="15475B55"/>
    <w:rsid w:val="163A75B6"/>
    <w:rsid w:val="16EFBE6D"/>
    <w:rsid w:val="17556891"/>
    <w:rsid w:val="19016E7C"/>
    <w:rsid w:val="191267CF"/>
    <w:rsid w:val="1AA90718"/>
    <w:rsid w:val="1E3B49A2"/>
    <w:rsid w:val="1FE555AA"/>
    <w:rsid w:val="203422CC"/>
    <w:rsid w:val="209979B5"/>
    <w:rsid w:val="25B2586B"/>
    <w:rsid w:val="296025DB"/>
    <w:rsid w:val="2B7B3FF7"/>
    <w:rsid w:val="2BA3C7A7"/>
    <w:rsid w:val="2DE96C05"/>
    <w:rsid w:val="2DF52795"/>
    <w:rsid w:val="31DE6169"/>
    <w:rsid w:val="31EE293B"/>
    <w:rsid w:val="322C6211"/>
    <w:rsid w:val="34E43FB8"/>
    <w:rsid w:val="352C4784"/>
    <w:rsid w:val="35574209"/>
    <w:rsid w:val="369E3BE2"/>
    <w:rsid w:val="3A653005"/>
    <w:rsid w:val="3AC63E36"/>
    <w:rsid w:val="3BC62A80"/>
    <w:rsid w:val="3C534D04"/>
    <w:rsid w:val="3CC9116C"/>
    <w:rsid w:val="3E013B5F"/>
    <w:rsid w:val="3E305EE3"/>
    <w:rsid w:val="3ED3EBA4"/>
    <w:rsid w:val="3F205736"/>
    <w:rsid w:val="42B9737A"/>
    <w:rsid w:val="45E9537B"/>
    <w:rsid w:val="47A03189"/>
    <w:rsid w:val="48457629"/>
    <w:rsid w:val="48DB2328"/>
    <w:rsid w:val="4E7ABC2B"/>
    <w:rsid w:val="4FA3CBA9"/>
    <w:rsid w:val="50C1460A"/>
    <w:rsid w:val="51FD0BB8"/>
    <w:rsid w:val="527A1CD9"/>
    <w:rsid w:val="52E46A9D"/>
    <w:rsid w:val="544F2D8E"/>
    <w:rsid w:val="546C3C29"/>
    <w:rsid w:val="56862B3F"/>
    <w:rsid w:val="57097592"/>
    <w:rsid w:val="5AF815E8"/>
    <w:rsid w:val="5B621AD7"/>
    <w:rsid w:val="5B823156"/>
    <w:rsid w:val="5BC30933"/>
    <w:rsid w:val="5E7561D7"/>
    <w:rsid w:val="5ED65E9E"/>
    <w:rsid w:val="5FE42006"/>
    <w:rsid w:val="5FFCDFE7"/>
    <w:rsid w:val="5FFF32D4"/>
    <w:rsid w:val="60052C26"/>
    <w:rsid w:val="613A6544"/>
    <w:rsid w:val="61B0117C"/>
    <w:rsid w:val="63A940F7"/>
    <w:rsid w:val="63E15DFA"/>
    <w:rsid w:val="63EF5D46"/>
    <w:rsid w:val="64E20335"/>
    <w:rsid w:val="66E45585"/>
    <w:rsid w:val="66FE56E1"/>
    <w:rsid w:val="67645379"/>
    <w:rsid w:val="67C67BF0"/>
    <w:rsid w:val="67EF0571"/>
    <w:rsid w:val="6A8D5BA3"/>
    <w:rsid w:val="6B4FE023"/>
    <w:rsid w:val="6BFF4FB3"/>
    <w:rsid w:val="6CA56A42"/>
    <w:rsid w:val="6EB72579"/>
    <w:rsid w:val="6F40081D"/>
    <w:rsid w:val="70D9AF59"/>
    <w:rsid w:val="717E4323"/>
    <w:rsid w:val="71C21AF0"/>
    <w:rsid w:val="71CF0A7F"/>
    <w:rsid w:val="734A47B0"/>
    <w:rsid w:val="73FA3D49"/>
    <w:rsid w:val="751F5391"/>
    <w:rsid w:val="75DF74F6"/>
    <w:rsid w:val="7A9760DF"/>
    <w:rsid w:val="7C916566"/>
    <w:rsid w:val="7E41028D"/>
    <w:rsid w:val="7F77F64D"/>
    <w:rsid w:val="7F7B5D91"/>
    <w:rsid w:val="7FAFDC74"/>
    <w:rsid w:val="7FBC94F6"/>
    <w:rsid w:val="7FBFE868"/>
    <w:rsid w:val="7FEF5DD4"/>
    <w:rsid w:val="7FFFC0A3"/>
    <w:rsid w:val="BE7B002E"/>
    <w:rsid w:val="BECFBF00"/>
    <w:rsid w:val="BF4B7030"/>
    <w:rsid w:val="BFBF73C1"/>
    <w:rsid w:val="CC9D6E4D"/>
    <w:rsid w:val="DDF79731"/>
    <w:rsid w:val="DEFFC346"/>
    <w:rsid w:val="ECFE30F3"/>
    <w:rsid w:val="ECFEA0EB"/>
    <w:rsid w:val="F2BFC702"/>
    <w:rsid w:val="F3BF1CBC"/>
    <w:rsid w:val="F6E56FAD"/>
    <w:rsid w:val="F93B213A"/>
    <w:rsid w:val="F9D94AFE"/>
    <w:rsid w:val="FBEFF297"/>
    <w:rsid w:val="FDEF7DE6"/>
    <w:rsid w:val="FE77FB9E"/>
    <w:rsid w:val="FF37B2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name="toc 2"/>
    <w:lsdException w:qFormat="1" w:uiPriority="0" w:semiHidden="0" w:name="toc 3"/>
    <w:lsdException w:qFormat="1" w:uiPriority="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qFormat="1"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uiPriority="99" w:name="Body Text 3"/>
    <w:lsdException w:qFormat="1" w:uiPriority="0" w:semiHidden="0" w:name="Body Text Indent 2"/>
    <w:lsdException w:qFormat="1" w:uiPriority="0" w:semiHidden="0" w:name="Body Text Indent 3"/>
    <w:lsdException w:qFormat="1"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4">
    <w:name w:val="heading 1"/>
    <w:basedOn w:val="1"/>
    <w:next w:val="1"/>
    <w:link w:val="52"/>
    <w:qFormat/>
    <w:uiPriority w:val="9"/>
    <w:pPr>
      <w:widowControl w:val="0"/>
      <w:spacing w:before="240" w:line="440" w:lineRule="exact"/>
      <w:ind w:firstLine="562" w:firstLineChars="200"/>
      <w:jc w:val="both"/>
      <w:outlineLvl w:val="0"/>
    </w:pPr>
    <w:rPr>
      <w:rFonts w:ascii="仿宋" w:hAnsi="仿宋" w:eastAsia="仿宋" w:cs="Times New Roman"/>
      <w:b/>
      <w:bCs/>
      <w:kern w:val="44"/>
      <w:sz w:val="28"/>
      <w:szCs w:val="28"/>
    </w:rPr>
  </w:style>
  <w:style w:type="paragraph" w:styleId="5">
    <w:name w:val="heading 2"/>
    <w:basedOn w:val="1"/>
    <w:next w:val="1"/>
    <w:link w:val="53"/>
    <w:unhideWhenUsed/>
    <w:qFormat/>
    <w:uiPriority w:val="9"/>
    <w:pPr>
      <w:widowControl w:val="0"/>
      <w:snapToGrid w:val="0"/>
      <w:spacing w:line="440" w:lineRule="exact"/>
      <w:ind w:left="425"/>
      <w:jc w:val="both"/>
      <w:outlineLvl w:val="1"/>
    </w:pPr>
    <w:rPr>
      <w:rFonts w:ascii="仿宋" w:hAnsi="仿宋" w:eastAsia="仿宋" w:cs="Times New Roman"/>
      <w:b/>
      <w:bCs/>
      <w:kern w:val="2"/>
      <w:sz w:val="28"/>
      <w:szCs w:val="28"/>
    </w:rPr>
  </w:style>
  <w:style w:type="paragraph" w:styleId="6">
    <w:name w:val="heading 3"/>
    <w:basedOn w:val="1"/>
    <w:next w:val="1"/>
    <w:link w:val="54"/>
    <w:unhideWhenUsed/>
    <w:qFormat/>
    <w:uiPriority w:val="9"/>
    <w:pPr>
      <w:widowControl w:val="0"/>
      <w:snapToGrid w:val="0"/>
      <w:spacing w:line="440" w:lineRule="exact"/>
      <w:ind w:left="482"/>
      <w:jc w:val="both"/>
      <w:outlineLvl w:val="2"/>
    </w:pPr>
    <w:rPr>
      <w:rFonts w:ascii="仿宋" w:hAnsi="仿宋" w:eastAsia="仿宋" w:cs="Times New Roman"/>
      <w:b/>
      <w:bCs/>
      <w:kern w:val="2"/>
    </w:rPr>
  </w:style>
  <w:style w:type="paragraph" w:styleId="7">
    <w:name w:val="heading 4"/>
    <w:basedOn w:val="1"/>
    <w:next w:val="1"/>
    <w:link w:val="324"/>
    <w:unhideWhenUsed/>
    <w:qFormat/>
    <w:uiPriority w:val="9"/>
    <w:pPr>
      <w:widowControl w:val="0"/>
      <w:spacing w:line="440" w:lineRule="exact"/>
      <w:ind w:left="482"/>
      <w:outlineLvl w:val="3"/>
    </w:pPr>
    <w:rPr>
      <w:rFonts w:ascii="仿宋" w:hAnsi="仿宋" w:eastAsia="仿宋" w:cs="Times New Roman"/>
      <w:b/>
      <w:bCs/>
      <w:kern w:val="2"/>
    </w:rPr>
  </w:style>
  <w:style w:type="paragraph" w:styleId="8">
    <w:name w:val="heading 5"/>
    <w:basedOn w:val="1"/>
    <w:next w:val="1"/>
    <w:link w:val="56"/>
    <w:unhideWhenUsed/>
    <w:qFormat/>
    <w:uiPriority w:val="9"/>
    <w:pPr>
      <w:keepNext/>
      <w:keepLines/>
      <w:widowControl w:val="0"/>
      <w:numPr>
        <w:ilvl w:val="4"/>
        <w:numId w:val="1"/>
      </w:numPr>
      <w:spacing w:before="280" w:after="290" w:line="376" w:lineRule="auto"/>
      <w:jc w:val="both"/>
      <w:outlineLvl w:val="4"/>
    </w:pPr>
    <w:rPr>
      <w:rFonts w:ascii="Times New Roman" w:hAnsi="Times New Roman" w:cs="Times New Roman"/>
      <w:b/>
      <w:bCs/>
      <w:kern w:val="2"/>
      <w:sz w:val="28"/>
      <w:szCs w:val="28"/>
    </w:rPr>
  </w:style>
  <w:style w:type="paragraph" w:styleId="9">
    <w:name w:val="heading 6"/>
    <w:basedOn w:val="1"/>
    <w:next w:val="1"/>
    <w:link w:val="256"/>
    <w:unhideWhenUsed/>
    <w:qFormat/>
    <w:uiPriority w:val="0"/>
    <w:pPr>
      <w:spacing w:before="60" w:after="60" w:line="440" w:lineRule="atLeast"/>
      <w:jc w:val="both"/>
      <w:outlineLvl w:val="5"/>
    </w:pPr>
    <w:rPr>
      <w:rFonts w:hAnsi="Arial" w:cs="Times New Roman"/>
      <w:szCs w:val="20"/>
    </w:rPr>
  </w:style>
  <w:style w:type="paragraph" w:styleId="10">
    <w:name w:val="heading 7"/>
    <w:basedOn w:val="1"/>
    <w:next w:val="1"/>
    <w:link w:val="257"/>
    <w:unhideWhenUsed/>
    <w:qFormat/>
    <w:uiPriority w:val="0"/>
    <w:pPr>
      <w:keepNext/>
      <w:keepLines/>
      <w:widowControl w:val="0"/>
      <w:adjustRightInd w:val="0"/>
      <w:spacing w:before="240" w:after="64" w:line="320" w:lineRule="atLeast"/>
      <w:jc w:val="both"/>
      <w:outlineLvl w:val="6"/>
    </w:pPr>
    <w:rPr>
      <w:rFonts w:hAnsi="Arial" w:cs="Times New Roman"/>
      <w:b/>
      <w:szCs w:val="20"/>
    </w:rPr>
  </w:style>
  <w:style w:type="paragraph" w:styleId="11">
    <w:name w:val="heading 8"/>
    <w:basedOn w:val="1"/>
    <w:next w:val="1"/>
    <w:link w:val="258"/>
    <w:unhideWhenUsed/>
    <w:qFormat/>
    <w:uiPriority w:val="0"/>
    <w:pPr>
      <w:keepNext/>
      <w:keepLines/>
      <w:widowControl w:val="0"/>
      <w:adjustRightInd w:val="0"/>
      <w:spacing w:before="240" w:after="64" w:line="320" w:lineRule="atLeast"/>
      <w:jc w:val="both"/>
      <w:outlineLvl w:val="7"/>
    </w:pPr>
    <w:rPr>
      <w:rFonts w:ascii="Arial" w:hAnsi="Arial" w:eastAsia="黑体" w:cs="Times New Roman"/>
      <w:szCs w:val="20"/>
    </w:rPr>
  </w:style>
  <w:style w:type="paragraph" w:styleId="12">
    <w:name w:val="heading 9"/>
    <w:basedOn w:val="1"/>
    <w:next w:val="1"/>
    <w:link w:val="259"/>
    <w:unhideWhenUsed/>
    <w:qFormat/>
    <w:uiPriority w:val="0"/>
    <w:pPr>
      <w:keepNext/>
      <w:keepLines/>
      <w:widowControl w:val="0"/>
      <w:adjustRightInd w:val="0"/>
      <w:spacing w:before="240" w:after="64" w:line="320" w:lineRule="atLeast"/>
      <w:jc w:val="both"/>
      <w:outlineLvl w:val="8"/>
    </w:pPr>
    <w:rPr>
      <w:rFonts w:ascii="Arial" w:hAnsi="Arial" w:eastAsia="黑体" w:cs="Times New Roman"/>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样式 标题 1 + 四号 加粗"/>
    <w:basedOn w:val="3"/>
    <w:next w:val="4"/>
    <w:qFormat/>
    <w:uiPriority w:val="0"/>
  </w:style>
  <w:style w:type="paragraph" w:styleId="3">
    <w:name w:val="Title"/>
    <w:basedOn w:val="1"/>
    <w:next w:val="1"/>
    <w:link w:val="104"/>
    <w:qFormat/>
    <w:uiPriority w:val="0"/>
    <w:pPr>
      <w:widowControl w:val="0"/>
      <w:adjustRightInd w:val="0"/>
      <w:spacing w:before="240" w:after="60"/>
      <w:jc w:val="center"/>
      <w:outlineLvl w:val="0"/>
    </w:pPr>
    <w:rPr>
      <w:rFonts w:ascii="Calibri Light" w:hAnsi="Calibri Light" w:cs="Times New Roman"/>
      <w:b/>
      <w:bCs/>
      <w:kern w:val="2"/>
      <w:sz w:val="32"/>
      <w:szCs w:val="32"/>
    </w:rPr>
  </w:style>
  <w:style w:type="paragraph" w:styleId="13">
    <w:name w:val="List Number 2"/>
    <w:basedOn w:val="1"/>
    <w:qFormat/>
    <w:uiPriority w:val="0"/>
    <w:pPr>
      <w:widowControl w:val="0"/>
      <w:numPr>
        <w:ilvl w:val="0"/>
        <w:numId w:val="2"/>
      </w:numPr>
      <w:ind w:left="0" w:leftChars="0" w:firstLine="0" w:firstLineChars="0"/>
      <w:jc w:val="both"/>
    </w:pPr>
    <w:rPr>
      <w:rFonts w:ascii="Times New Roman" w:hAnsi="Times New Roman" w:cs="Times New Roman"/>
      <w:kern w:val="2"/>
      <w:sz w:val="21"/>
    </w:rPr>
  </w:style>
  <w:style w:type="paragraph" w:styleId="14">
    <w:name w:val="List Number"/>
    <w:basedOn w:val="1"/>
    <w:qFormat/>
    <w:uiPriority w:val="0"/>
    <w:pPr>
      <w:widowControl w:val="0"/>
      <w:numPr>
        <w:ilvl w:val="0"/>
        <w:numId w:val="3"/>
      </w:numPr>
      <w:jc w:val="both"/>
    </w:pPr>
    <w:rPr>
      <w:rFonts w:ascii="Times New Roman" w:hAnsi="Times New Roman" w:cs="Times New Roman"/>
      <w:kern w:val="2"/>
      <w:sz w:val="21"/>
    </w:rPr>
  </w:style>
  <w:style w:type="paragraph" w:styleId="15">
    <w:name w:val="Normal Indent"/>
    <w:basedOn w:val="1"/>
    <w:next w:val="1"/>
    <w:link w:val="63"/>
    <w:qFormat/>
    <w:uiPriority w:val="0"/>
    <w:pPr>
      <w:widowControl w:val="0"/>
      <w:ind w:firstLine="420"/>
      <w:jc w:val="both"/>
    </w:pPr>
    <w:rPr>
      <w:rFonts w:asciiTheme="minorHAnsi" w:hAnsiTheme="minorHAnsi" w:eastAsiaTheme="minorEastAsia" w:cstheme="minorBidi"/>
      <w:kern w:val="2"/>
      <w:sz w:val="21"/>
    </w:rPr>
  </w:style>
  <w:style w:type="paragraph" w:styleId="16">
    <w:name w:val="caption"/>
    <w:basedOn w:val="1"/>
    <w:next w:val="1"/>
    <w:link w:val="103"/>
    <w:unhideWhenUsed/>
    <w:qFormat/>
    <w:uiPriority w:val="0"/>
    <w:pPr>
      <w:widowControl w:val="0"/>
      <w:spacing w:line="360" w:lineRule="auto"/>
      <w:jc w:val="center"/>
    </w:pPr>
    <w:rPr>
      <w:rFonts w:ascii="Calibri" w:hAnsi="Calibri" w:cs="Calibri" w:eastAsiaTheme="minorEastAsia"/>
      <w:kern w:val="2"/>
      <w:sz w:val="20"/>
      <w:szCs w:val="20"/>
    </w:rPr>
  </w:style>
  <w:style w:type="paragraph" w:styleId="17">
    <w:name w:val="Document Map"/>
    <w:basedOn w:val="1"/>
    <w:link w:val="108"/>
    <w:semiHidden/>
    <w:unhideWhenUsed/>
    <w:qFormat/>
    <w:uiPriority w:val="99"/>
    <w:pPr>
      <w:widowControl w:val="0"/>
      <w:shd w:val="clear" w:color="auto" w:fill="000080"/>
      <w:jc w:val="both"/>
    </w:pPr>
    <w:rPr>
      <w:rFonts w:ascii="Times New Roman" w:hAnsi="Times New Roman" w:cs="Times New Roman"/>
      <w:kern w:val="2"/>
      <w:sz w:val="21"/>
    </w:rPr>
  </w:style>
  <w:style w:type="paragraph" w:styleId="18">
    <w:name w:val="toa heading"/>
    <w:basedOn w:val="1"/>
    <w:next w:val="1"/>
    <w:semiHidden/>
    <w:unhideWhenUsed/>
    <w:qFormat/>
    <w:uiPriority w:val="99"/>
    <w:pPr>
      <w:widowControl w:val="0"/>
      <w:spacing w:before="120" w:after="100" w:afterAutospacing="1"/>
      <w:jc w:val="both"/>
    </w:pPr>
    <w:rPr>
      <w:rFonts w:ascii="Arial" w:hAnsi="Arial" w:cs="Arial"/>
      <w:kern w:val="2"/>
    </w:rPr>
  </w:style>
  <w:style w:type="paragraph" w:styleId="19">
    <w:name w:val="annotation text"/>
    <w:basedOn w:val="1"/>
    <w:link w:val="73"/>
    <w:unhideWhenUsed/>
    <w:qFormat/>
    <w:uiPriority w:val="0"/>
    <w:pPr>
      <w:widowControl w:val="0"/>
    </w:pPr>
    <w:rPr>
      <w:rFonts w:ascii="Times New Roman" w:hAnsi="Times New Roman" w:cs="Times New Roman"/>
      <w:kern w:val="2"/>
      <w:sz w:val="21"/>
    </w:rPr>
  </w:style>
  <w:style w:type="paragraph" w:styleId="20">
    <w:name w:val="Body Text"/>
    <w:basedOn w:val="1"/>
    <w:next w:val="21"/>
    <w:link w:val="69"/>
    <w:qFormat/>
    <w:uiPriority w:val="0"/>
    <w:pPr>
      <w:overflowPunct w:val="0"/>
      <w:autoSpaceDE w:val="0"/>
      <w:autoSpaceDN w:val="0"/>
      <w:adjustRightInd w:val="0"/>
      <w:spacing w:before="120" w:after="120"/>
      <w:ind w:left="2552"/>
      <w:textAlignment w:val="baseline"/>
    </w:pPr>
    <w:rPr>
      <w:rFonts w:ascii="Book Antiqua" w:hAnsi="Book Antiqua" w:cs="Times New Roman"/>
      <w:sz w:val="21"/>
      <w:szCs w:val="20"/>
    </w:rPr>
  </w:style>
  <w:style w:type="paragraph" w:styleId="21">
    <w:name w:val="Body Text First Indent"/>
    <w:basedOn w:val="20"/>
    <w:link w:val="78"/>
    <w:qFormat/>
    <w:uiPriority w:val="0"/>
    <w:pPr>
      <w:widowControl w:val="0"/>
      <w:overflowPunct/>
      <w:autoSpaceDE/>
      <w:autoSpaceDN/>
      <w:adjustRightInd/>
      <w:spacing w:before="0"/>
      <w:ind w:left="0" w:firstLine="420" w:firstLineChars="100"/>
      <w:jc w:val="both"/>
      <w:textAlignment w:val="auto"/>
    </w:pPr>
    <w:rPr>
      <w:rFonts w:ascii="Times New Roman" w:hAnsi="Times New Roman" w:eastAsia="仿宋_GB2312"/>
      <w:kern w:val="2"/>
      <w:szCs w:val="24"/>
    </w:rPr>
  </w:style>
  <w:style w:type="paragraph" w:styleId="22">
    <w:name w:val="Body Text Indent"/>
    <w:basedOn w:val="1"/>
    <w:next w:val="1"/>
    <w:link w:val="79"/>
    <w:qFormat/>
    <w:uiPriority w:val="99"/>
    <w:pPr>
      <w:widowControl w:val="0"/>
      <w:spacing w:after="120"/>
      <w:ind w:left="420" w:leftChars="200"/>
      <w:jc w:val="both"/>
    </w:pPr>
    <w:rPr>
      <w:rFonts w:ascii="Times New Roman" w:hAnsi="Times New Roman" w:cs="Times New Roman"/>
      <w:kern w:val="2"/>
      <w:sz w:val="21"/>
    </w:rPr>
  </w:style>
  <w:style w:type="paragraph" w:styleId="23">
    <w:name w:val="List Number 3"/>
    <w:basedOn w:val="1"/>
    <w:qFormat/>
    <w:uiPriority w:val="0"/>
    <w:pPr>
      <w:widowControl w:val="0"/>
      <w:numPr>
        <w:ilvl w:val="0"/>
        <w:numId w:val="4"/>
      </w:numPr>
      <w:ind w:left="0" w:leftChars="0" w:firstLine="0" w:firstLineChars="0"/>
      <w:jc w:val="both"/>
    </w:pPr>
    <w:rPr>
      <w:rFonts w:ascii="Times New Roman" w:hAnsi="Times New Roman" w:cs="Times New Roman"/>
      <w:kern w:val="2"/>
      <w:sz w:val="21"/>
    </w:rPr>
  </w:style>
  <w:style w:type="paragraph" w:styleId="24">
    <w:name w:val="Block Text"/>
    <w:basedOn w:val="1"/>
    <w:unhideWhenUsed/>
    <w:qFormat/>
    <w:uiPriority w:val="0"/>
    <w:pPr>
      <w:widowControl w:val="0"/>
      <w:spacing w:before="120" w:line="360" w:lineRule="auto"/>
      <w:ind w:left="824" w:right="202"/>
      <w:jc w:val="both"/>
    </w:pPr>
    <w:rPr>
      <w:rFonts w:cs="Times New Roman"/>
      <w:kern w:val="2"/>
      <w:szCs w:val="21"/>
    </w:rPr>
  </w:style>
  <w:style w:type="paragraph" w:styleId="25">
    <w:name w:val="toc 3"/>
    <w:basedOn w:val="1"/>
    <w:next w:val="1"/>
    <w:unhideWhenUsed/>
    <w:qFormat/>
    <w:uiPriority w:val="0"/>
    <w:pPr>
      <w:widowControl w:val="0"/>
      <w:ind w:left="840" w:leftChars="400"/>
      <w:jc w:val="both"/>
    </w:pPr>
    <w:rPr>
      <w:rFonts w:ascii="Calibri" w:hAnsi="Calibri" w:cs="Times New Roman"/>
      <w:kern w:val="2"/>
      <w:sz w:val="21"/>
      <w:szCs w:val="22"/>
    </w:rPr>
  </w:style>
  <w:style w:type="paragraph" w:styleId="26">
    <w:name w:val="Plain Text"/>
    <w:basedOn w:val="1"/>
    <w:link w:val="80"/>
    <w:qFormat/>
    <w:uiPriority w:val="0"/>
    <w:pPr>
      <w:widowControl w:val="0"/>
      <w:jc w:val="both"/>
    </w:pPr>
    <w:rPr>
      <w:rFonts w:hAnsi="Courier New" w:cs="Times New Roman"/>
      <w:kern w:val="2"/>
      <w:sz w:val="21"/>
      <w:szCs w:val="20"/>
    </w:rPr>
  </w:style>
  <w:style w:type="paragraph" w:styleId="27">
    <w:name w:val="Date"/>
    <w:basedOn w:val="1"/>
    <w:next w:val="1"/>
    <w:link w:val="81"/>
    <w:qFormat/>
    <w:uiPriority w:val="99"/>
    <w:pPr>
      <w:widowControl w:val="0"/>
      <w:jc w:val="both"/>
    </w:pPr>
    <w:rPr>
      <w:rFonts w:ascii="楷体_GB2312" w:hAnsi="Times New Roman" w:eastAsia="楷体_GB2312" w:cs="Times New Roman"/>
      <w:b/>
      <w:kern w:val="2"/>
      <w:sz w:val="28"/>
      <w:szCs w:val="20"/>
    </w:rPr>
  </w:style>
  <w:style w:type="paragraph" w:styleId="28">
    <w:name w:val="Body Text Indent 2"/>
    <w:basedOn w:val="1"/>
    <w:link w:val="263"/>
    <w:unhideWhenUsed/>
    <w:qFormat/>
    <w:uiPriority w:val="0"/>
    <w:pPr>
      <w:widowControl w:val="0"/>
      <w:spacing w:after="120" w:line="480" w:lineRule="auto"/>
      <w:ind w:left="420" w:leftChars="200"/>
      <w:jc w:val="both"/>
    </w:pPr>
    <w:rPr>
      <w:rFonts w:ascii="Times New Roman" w:hAnsi="Times New Roman" w:cs="Times New Roman"/>
      <w:kern w:val="2"/>
      <w:sz w:val="21"/>
    </w:rPr>
  </w:style>
  <w:style w:type="paragraph" w:styleId="29">
    <w:name w:val="Balloon Text"/>
    <w:basedOn w:val="1"/>
    <w:link w:val="75"/>
    <w:unhideWhenUsed/>
    <w:qFormat/>
    <w:uiPriority w:val="99"/>
    <w:pPr>
      <w:widowControl w:val="0"/>
      <w:jc w:val="both"/>
    </w:pPr>
    <w:rPr>
      <w:rFonts w:ascii="Times New Roman" w:hAnsi="Times New Roman" w:cs="Times New Roman"/>
      <w:kern w:val="2"/>
      <w:sz w:val="18"/>
      <w:szCs w:val="18"/>
    </w:rPr>
  </w:style>
  <w:style w:type="paragraph" w:styleId="30">
    <w:name w:val="footer"/>
    <w:basedOn w:val="1"/>
    <w:link w:val="57"/>
    <w:unhideWhenUsed/>
    <w:qFormat/>
    <w:uiPriority w:val="99"/>
    <w:pPr>
      <w:widowControl w:val="0"/>
      <w:tabs>
        <w:tab w:val="center" w:pos="4153"/>
        <w:tab w:val="right" w:pos="8306"/>
      </w:tabs>
      <w:snapToGrid w:val="0"/>
    </w:pPr>
    <w:rPr>
      <w:rFonts w:ascii="Times New Roman" w:hAnsi="Times New Roman" w:cs="Times New Roman"/>
      <w:kern w:val="2"/>
      <w:sz w:val="18"/>
      <w:szCs w:val="18"/>
    </w:rPr>
  </w:style>
  <w:style w:type="paragraph" w:styleId="31">
    <w:name w:val="header"/>
    <w:basedOn w:val="1"/>
    <w:link w:val="58"/>
    <w:unhideWhenUsed/>
    <w:qFormat/>
    <w:uiPriority w:val="99"/>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32">
    <w:name w:val="toc 1"/>
    <w:basedOn w:val="1"/>
    <w:next w:val="1"/>
    <w:qFormat/>
    <w:uiPriority w:val="0"/>
    <w:pPr>
      <w:overflowPunct w:val="0"/>
      <w:autoSpaceDE w:val="0"/>
      <w:autoSpaceDN w:val="0"/>
      <w:adjustRightInd w:val="0"/>
      <w:spacing w:before="120" w:after="120"/>
      <w:textAlignment w:val="baseline"/>
    </w:pPr>
    <w:rPr>
      <w:rFonts w:ascii="Book Antiqua" w:hAnsi="Book Antiqua" w:cs="Times New Roman"/>
      <w:b/>
      <w:bCs/>
      <w:caps/>
      <w:sz w:val="20"/>
      <w:szCs w:val="20"/>
    </w:rPr>
  </w:style>
  <w:style w:type="paragraph" w:styleId="33">
    <w:name w:val="toc 4"/>
    <w:basedOn w:val="1"/>
    <w:next w:val="1"/>
    <w:semiHidden/>
    <w:unhideWhenUsed/>
    <w:qFormat/>
    <w:uiPriority w:val="0"/>
    <w:pPr>
      <w:widowControl w:val="0"/>
      <w:tabs>
        <w:tab w:val="right" w:leader="dot" w:pos="8314"/>
      </w:tabs>
      <w:ind w:firstLine="588" w:firstLineChars="245"/>
      <w:jc w:val="both"/>
    </w:pPr>
    <w:rPr>
      <w:rFonts w:ascii="Times New Roman" w:hAnsi="Times New Roman" w:cs="Times New Roman"/>
      <w:kern w:val="2"/>
      <w:sz w:val="21"/>
    </w:rPr>
  </w:style>
  <w:style w:type="paragraph" w:styleId="34">
    <w:name w:val="Body Text Indent 3"/>
    <w:basedOn w:val="1"/>
    <w:link w:val="107"/>
    <w:unhideWhenUsed/>
    <w:qFormat/>
    <w:uiPriority w:val="0"/>
    <w:pPr>
      <w:widowControl w:val="0"/>
      <w:spacing w:after="120"/>
      <w:ind w:left="420" w:leftChars="200"/>
      <w:jc w:val="both"/>
    </w:pPr>
    <w:rPr>
      <w:rFonts w:ascii="Times New Roman" w:hAnsi="Times New Roman" w:cs="Times New Roman"/>
      <w:kern w:val="2"/>
      <w:sz w:val="16"/>
      <w:szCs w:val="16"/>
    </w:rPr>
  </w:style>
  <w:style w:type="paragraph" w:styleId="35">
    <w:name w:val="toc 2"/>
    <w:basedOn w:val="1"/>
    <w:next w:val="1"/>
    <w:semiHidden/>
    <w:unhideWhenUsed/>
    <w:qFormat/>
    <w:uiPriority w:val="0"/>
    <w:pPr>
      <w:widowControl w:val="0"/>
      <w:ind w:left="420" w:leftChars="200"/>
      <w:jc w:val="both"/>
    </w:pPr>
    <w:rPr>
      <w:rFonts w:ascii="Times New Roman" w:hAnsi="Times New Roman" w:cs="Times New Roman"/>
      <w:kern w:val="2"/>
      <w:sz w:val="21"/>
    </w:rPr>
  </w:style>
  <w:style w:type="paragraph" w:styleId="36">
    <w:name w:val="Body Text 2"/>
    <w:basedOn w:val="1"/>
    <w:link w:val="82"/>
    <w:qFormat/>
    <w:uiPriority w:val="0"/>
    <w:pPr>
      <w:spacing w:afterLines="50" w:line="216" w:lineRule="auto"/>
      <w:jc w:val="center"/>
    </w:pPr>
    <w:rPr>
      <w:rFonts w:ascii="隶书" w:hAnsi="Times New Roman" w:eastAsia="隶书" w:cs="Times New Roman"/>
      <w:bCs/>
      <w:sz w:val="72"/>
      <w:szCs w:val="84"/>
    </w:rPr>
  </w:style>
  <w:style w:type="paragraph" w:styleId="37">
    <w:name w:val="List Continue 2"/>
    <w:basedOn w:val="1"/>
    <w:unhideWhenUsed/>
    <w:qFormat/>
    <w:uiPriority w:val="0"/>
    <w:pPr>
      <w:widowControl w:val="0"/>
      <w:spacing w:after="120"/>
      <w:ind w:left="840" w:leftChars="400"/>
      <w:jc w:val="both"/>
    </w:pPr>
    <w:rPr>
      <w:rFonts w:ascii="Times New Roman" w:hAnsi="Times New Roman" w:cs="Times New Roman"/>
      <w:kern w:val="2"/>
      <w:sz w:val="21"/>
    </w:rPr>
  </w:style>
  <w:style w:type="paragraph" w:styleId="38">
    <w:name w:val="HTML Preformatted"/>
    <w:basedOn w:val="1"/>
    <w:link w:val="101"/>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hAnsi="Courier New" w:eastAsia="黑体" w:cs="Courier New"/>
      <w:sz w:val="20"/>
      <w:szCs w:val="20"/>
    </w:rPr>
  </w:style>
  <w:style w:type="paragraph" w:styleId="39">
    <w:name w:val="Normal (Web)"/>
    <w:basedOn w:val="1"/>
    <w:unhideWhenUsed/>
    <w:qFormat/>
    <w:uiPriority w:val="0"/>
    <w:pPr>
      <w:spacing w:before="100" w:beforeAutospacing="1" w:after="100" w:afterAutospacing="1"/>
    </w:pPr>
  </w:style>
  <w:style w:type="paragraph" w:styleId="40">
    <w:name w:val="index 1"/>
    <w:basedOn w:val="1"/>
    <w:next w:val="1"/>
    <w:semiHidden/>
    <w:unhideWhenUsed/>
    <w:qFormat/>
    <w:uiPriority w:val="0"/>
    <w:pPr>
      <w:widowControl w:val="0"/>
      <w:snapToGrid w:val="0"/>
      <w:spacing w:line="320" w:lineRule="exact"/>
      <w:jc w:val="both"/>
    </w:pPr>
    <w:rPr>
      <w:rFonts w:ascii="Times New Roman" w:hAnsi="Times New Roman" w:cs="Times New Roman"/>
      <w:b/>
      <w:color w:val="FF6600"/>
      <w:sz w:val="18"/>
      <w:szCs w:val="21"/>
    </w:rPr>
  </w:style>
  <w:style w:type="paragraph" w:styleId="41">
    <w:name w:val="annotation subject"/>
    <w:basedOn w:val="19"/>
    <w:next w:val="19"/>
    <w:link w:val="74"/>
    <w:unhideWhenUsed/>
    <w:qFormat/>
    <w:uiPriority w:val="99"/>
    <w:rPr>
      <w:b/>
      <w:bCs/>
    </w:rPr>
  </w:style>
  <w:style w:type="paragraph" w:styleId="42">
    <w:name w:val="Body Text First Indent 2"/>
    <w:basedOn w:val="22"/>
    <w:next w:val="1"/>
    <w:link w:val="105"/>
    <w:unhideWhenUsed/>
    <w:qFormat/>
    <w:uiPriority w:val="0"/>
    <w:pPr>
      <w:ind w:firstLine="420" w:firstLineChars="200"/>
    </w:pPr>
  </w:style>
  <w:style w:type="table" w:styleId="44">
    <w:name w:val="Table Grid"/>
    <w:basedOn w:val="4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0"/>
    <w:rPr>
      <w:b/>
      <w:bCs/>
    </w:rPr>
  </w:style>
  <w:style w:type="character" w:styleId="47">
    <w:name w:val="page number"/>
    <w:basedOn w:val="45"/>
    <w:qFormat/>
    <w:uiPriority w:val="0"/>
  </w:style>
  <w:style w:type="character" w:styleId="48">
    <w:name w:val="FollowedHyperlink"/>
    <w:unhideWhenUsed/>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none"/>
    </w:rPr>
  </w:style>
  <w:style w:type="character" w:styleId="51">
    <w:name w:val="annotation reference"/>
    <w:basedOn w:val="45"/>
    <w:unhideWhenUsed/>
    <w:qFormat/>
    <w:uiPriority w:val="0"/>
    <w:rPr>
      <w:sz w:val="21"/>
      <w:szCs w:val="21"/>
    </w:rPr>
  </w:style>
  <w:style w:type="character" w:customStyle="1" w:styleId="52">
    <w:name w:val="标题 1 字符"/>
    <w:basedOn w:val="45"/>
    <w:link w:val="4"/>
    <w:qFormat/>
    <w:uiPriority w:val="9"/>
    <w:rPr>
      <w:rFonts w:ascii="仿宋" w:hAnsi="仿宋" w:eastAsia="仿宋" w:cs="Times New Roman"/>
      <w:b/>
      <w:bCs/>
      <w:kern w:val="44"/>
      <w:sz w:val="28"/>
      <w:szCs w:val="28"/>
    </w:rPr>
  </w:style>
  <w:style w:type="character" w:customStyle="1" w:styleId="53">
    <w:name w:val="标题 2 字符"/>
    <w:basedOn w:val="45"/>
    <w:link w:val="5"/>
    <w:qFormat/>
    <w:uiPriority w:val="0"/>
    <w:rPr>
      <w:rFonts w:ascii="仿宋" w:hAnsi="仿宋" w:eastAsia="仿宋" w:cs="Times New Roman"/>
      <w:b/>
      <w:bCs/>
      <w:kern w:val="2"/>
      <w:sz w:val="28"/>
      <w:szCs w:val="28"/>
    </w:rPr>
  </w:style>
  <w:style w:type="character" w:customStyle="1" w:styleId="54">
    <w:name w:val="标题 3 字符"/>
    <w:basedOn w:val="45"/>
    <w:link w:val="6"/>
    <w:qFormat/>
    <w:uiPriority w:val="0"/>
    <w:rPr>
      <w:rFonts w:ascii="仿宋" w:hAnsi="仿宋" w:eastAsia="仿宋" w:cs="Times New Roman"/>
      <w:b/>
      <w:bCs/>
      <w:kern w:val="2"/>
      <w:sz w:val="24"/>
      <w:szCs w:val="24"/>
    </w:rPr>
  </w:style>
  <w:style w:type="character" w:customStyle="1" w:styleId="55">
    <w:name w:val="标题 4 字符"/>
    <w:basedOn w:val="45"/>
    <w:link w:val="7"/>
    <w:qFormat/>
    <w:uiPriority w:val="0"/>
    <w:rPr>
      <w:rFonts w:ascii="仿宋" w:hAnsi="仿宋" w:eastAsia="仿宋" w:cs="Times New Roman"/>
      <w:b/>
      <w:bCs/>
      <w:kern w:val="2"/>
      <w:sz w:val="24"/>
      <w:szCs w:val="24"/>
    </w:rPr>
  </w:style>
  <w:style w:type="character" w:customStyle="1" w:styleId="56">
    <w:name w:val="标题 5 字符"/>
    <w:basedOn w:val="45"/>
    <w:link w:val="8"/>
    <w:qFormat/>
    <w:uiPriority w:val="0"/>
    <w:rPr>
      <w:rFonts w:ascii="Times New Roman" w:hAnsi="Times New Roman" w:eastAsia="宋体" w:cs="Times New Roman"/>
      <w:b/>
      <w:bCs/>
      <w:kern w:val="2"/>
      <w:sz w:val="28"/>
      <w:szCs w:val="28"/>
    </w:rPr>
  </w:style>
  <w:style w:type="character" w:customStyle="1" w:styleId="57">
    <w:name w:val="页脚 字符"/>
    <w:basedOn w:val="45"/>
    <w:link w:val="30"/>
    <w:qFormat/>
    <w:uiPriority w:val="99"/>
    <w:rPr>
      <w:rFonts w:eastAsia="阿里巴巴普惠体 L"/>
      <w:sz w:val="18"/>
      <w:szCs w:val="18"/>
    </w:rPr>
  </w:style>
  <w:style w:type="character" w:customStyle="1" w:styleId="58">
    <w:name w:val="页眉 字符"/>
    <w:basedOn w:val="45"/>
    <w:link w:val="31"/>
    <w:qFormat/>
    <w:uiPriority w:val="99"/>
    <w:rPr>
      <w:rFonts w:eastAsia="阿里巴巴普惠体 L"/>
      <w:sz w:val="18"/>
      <w:szCs w:val="18"/>
    </w:rPr>
  </w:style>
  <w:style w:type="paragraph" w:customStyle="1" w:styleId="59">
    <w:name w:val="C"/>
    <w:basedOn w:val="1"/>
    <w:qFormat/>
    <w:uiPriority w:val="0"/>
    <w:pPr>
      <w:widowControl w:val="0"/>
      <w:spacing w:line="460" w:lineRule="exact"/>
      <w:ind w:firstLine="480" w:firstLineChars="200"/>
      <w:jc w:val="both"/>
    </w:pPr>
    <w:rPr>
      <w:bCs/>
      <w:kern w:val="2"/>
    </w:rPr>
  </w:style>
  <w:style w:type="character" w:customStyle="1" w:styleId="60">
    <w:name w:val="Comment Text Char"/>
    <w:qFormat/>
    <w:locked/>
    <w:uiPriority w:val="0"/>
    <w:rPr>
      <w:kern w:val="2"/>
      <w:sz w:val="24"/>
    </w:rPr>
  </w:style>
  <w:style w:type="paragraph" w:styleId="61">
    <w:name w:val="List Paragraph"/>
    <w:basedOn w:val="1"/>
    <w:link w:val="62"/>
    <w:qFormat/>
    <w:uiPriority w:val="34"/>
    <w:pPr>
      <w:widowControl w:val="0"/>
      <w:ind w:left="720"/>
      <w:contextualSpacing/>
      <w:jc w:val="both"/>
    </w:pPr>
    <w:rPr>
      <w:rFonts w:ascii="Times New Roman" w:hAnsi="Times New Roman" w:cs="Times New Roman"/>
      <w:kern w:val="2"/>
      <w:sz w:val="21"/>
    </w:rPr>
  </w:style>
  <w:style w:type="character" w:customStyle="1" w:styleId="62">
    <w:name w:val="列表段落 字符"/>
    <w:basedOn w:val="45"/>
    <w:link w:val="61"/>
    <w:qFormat/>
    <w:locked/>
    <w:uiPriority w:val="0"/>
    <w:rPr>
      <w:rFonts w:ascii="Times New Roman" w:hAnsi="Times New Roman" w:eastAsia="宋体" w:cs="Times New Roman"/>
      <w:kern w:val="2"/>
      <w:sz w:val="21"/>
      <w:szCs w:val="24"/>
    </w:rPr>
  </w:style>
  <w:style w:type="character" w:customStyle="1" w:styleId="63">
    <w:name w:val="正文缩进 字符1"/>
    <w:link w:val="15"/>
    <w:qFormat/>
    <w:uiPriority w:val="0"/>
    <w:rPr>
      <w:kern w:val="2"/>
      <w:sz w:val="21"/>
      <w:szCs w:val="24"/>
    </w:rPr>
  </w:style>
  <w:style w:type="paragraph" w:customStyle="1" w:styleId="64">
    <w:name w:val="文本"/>
    <w:basedOn w:val="1"/>
    <w:link w:val="65"/>
    <w:qFormat/>
    <w:uiPriority w:val="0"/>
    <w:pPr>
      <w:snapToGrid w:val="0"/>
      <w:spacing w:line="360" w:lineRule="auto"/>
      <w:ind w:firstLine="200" w:firstLineChars="200"/>
    </w:pPr>
    <w:rPr>
      <w:color w:val="000000"/>
    </w:rPr>
  </w:style>
  <w:style w:type="character" w:customStyle="1" w:styleId="65">
    <w:name w:val="文本 字符"/>
    <w:basedOn w:val="45"/>
    <w:link w:val="64"/>
    <w:qFormat/>
    <w:uiPriority w:val="0"/>
    <w:rPr>
      <w:rFonts w:ascii="宋体" w:hAnsi="宋体" w:eastAsia="宋体" w:cs="宋体"/>
      <w:color w:val="000000"/>
      <w:sz w:val="24"/>
      <w:szCs w:val="24"/>
    </w:rPr>
  </w:style>
  <w:style w:type="paragraph" w:customStyle="1" w:styleId="66">
    <w:name w:val="Char"/>
    <w:basedOn w:val="1"/>
    <w:qFormat/>
    <w:uiPriority w:val="0"/>
    <w:pPr>
      <w:widowControl w:val="0"/>
      <w:jc w:val="both"/>
    </w:pPr>
    <w:rPr>
      <w:rFonts w:ascii="Times New Roman" w:hAnsi="Times New Roman" w:cs="Times New Roman"/>
      <w:kern w:val="2"/>
      <w:sz w:val="21"/>
      <w:szCs w:val="32"/>
    </w:rPr>
  </w:style>
  <w:style w:type="paragraph" w:customStyle="1" w:styleId="67">
    <w:name w:val="样式 样式 二级标题 + 首行缩进:  2 字符 段前: 0.5 行 段后: 0.5 行 + 段前: 0.5 行 段后: 0....1"/>
    <w:basedOn w:val="1"/>
    <w:semiHidden/>
    <w:qFormat/>
    <w:uiPriority w:val="0"/>
    <w:pPr>
      <w:widowControl w:val="0"/>
      <w:adjustRightInd w:val="0"/>
      <w:snapToGrid w:val="0"/>
      <w:spacing w:beforeLines="50" w:afterLines="50" w:line="360" w:lineRule="auto"/>
      <w:ind w:left="420" w:leftChars="210" w:firstLine="360" w:firstLineChars="150"/>
      <w:outlineLvl w:val="1"/>
    </w:pPr>
    <w:rPr>
      <w:rFonts w:hAnsi="Times New Roman"/>
      <w:b/>
      <w:bCs/>
      <w:spacing w:val="10"/>
      <w:kern w:val="2"/>
      <w:szCs w:val="20"/>
    </w:rPr>
  </w:style>
  <w:style w:type="paragraph" w:customStyle="1" w:styleId="68">
    <w:name w:val="加黑项目符号"/>
    <w:basedOn w:val="1"/>
    <w:qFormat/>
    <w:uiPriority w:val="0"/>
    <w:pPr>
      <w:widowControl w:val="0"/>
      <w:numPr>
        <w:ilvl w:val="0"/>
        <w:numId w:val="5"/>
      </w:numPr>
      <w:jc w:val="both"/>
    </w:pPr>
    <w:rPr>
      <w:rFonts w:ascii="Times New Roman" w:hAnsi="Times New Roman" w:cs="Times New Roman"/>
      <w:b/>
      <w:kern w:val="2"/>
      <w:sz w:val="21"/>
    </w:rPr>
  </w:style>
  <w:style w:type="character" w:customStyle="1" w:styleId="69">
    <w:name w:val="正文文本 字符"/>
    <w:basedOn w:val="45"/>
    <w:link w:val="20"/>
    <w:qFormat/>
    <w:uiPriority w:val="0"/>
    <w:rPr>
      <w:rFonts w:ascii="Book Antiqua" w:hAnsi="Book Antiqua" w:eastAsia="宋体" w:cs="Times New Roman"/>
      <w:sz w:val="21"/>
    </w:rPr>
  </w:style>
  <w:style w:type="character" w:customStyle="1" w:styleId="70">
    <w:name w:val="正文文本 Char"/>
    <w:basedOn w:val="45"/>
    <w:qFormat/>
    <w:uiPriority w:val="0"/>
    <w:rPr>
      <w:rFonts w:ascii="Times New Roman" w:hAnsi="Times New Roman" w:eastAsia="宋体" w:cs="Times New Roman"/>
      <w:kern w:val="2"/>
      <w:sz w:val="21"/>
      <w:szCs w:val="24"/>
    </w:rPr>
  </w:style>
  <w:style w:type="paragraph" w:customStyle="1" w:styleId="71">
    <w:name w:val="表格1"/>
    <w:basedOn w:val="1"/>
    <w:link w:val="72"/>
    <w:qFormat/>
    <w:uiPriority w:val="0"/>
    <w:pPr>
      <w:widowControl w:val="0"/>
      <w:tabs>
        <w:tab w:val="left" w:pos="1700"/>
      </w:tabs>
      <w:adjustRightInd w:val="0"/>
      <w:textAlignment w:val="baseline"/>
      <w:outlineLvl w:val="2"/>
    </w:pPr>
    <w:rPr>
      <w:rFonts w:hAnsi="Times New Roman" w:eastAsia="仿宋_GB2312" w:cs="Times New Roman"/>
      <w:bCs/>
      <w:kern w:val="24"/>
    </w:rPr>
  </w:style>
  <w:style w:type="character" w:customStyle="1" w:styleId="72">
    <w:name w:val="表格1 Char"/>
    <w:basedOn w:val="45"/>
    <w:link w:val="71"/>
    <w:qFormat/>
    <w:uiPriority w:val="0"/>
    <w:rPr>
      <w:rFonts w:ascii="宋体" w:hAnsi="Times New Roman" w:eastAsia="仿宋_GB2312" w:cs="Times New Roman"/>
      <w:bCs/>
      <w:kern w:val="24"/>
      <w:sz w:val="24"/>
      <w:szCs w:val="24"/>
    </w:rPr>
  </w:style>
  <w:style w:type="character" w:customStyle="1" w:styleId="73">
    <w:name w:val="批注文字 字符"/>
    <w:basedOn w:val="45"/>
    <w:link w:val="19"/>
    <w:qFormat/>
    <w:uiPriority w:val="0"/>
    <w:rPr>
      <w:rFonts w:ascii="Times New Roman" w:hAnsi="Times New Roman" w:eastAsia="宋体" w:cs="Times New Roman"/>
      <w:kern w:val="2"/>
      <w:sz w:val="21"/>
      <w:szCs w:val="24"/>
    </w:rPr>
  </w:style>
  <w:style w:type="character" w:customStyle="1" w:styleId="74">
    <w:name w:val="批注主题 字符"/>
    <w:basedOn w:val="73"/>
    <w:link w:val="41"/>
    <w:qFormat/>
    <w:uiPriority w:val="99"/>
    <w:rPr>
      <w:rFonts w:ascii="Times New Roman" w:hAnsi="Times New Roman" w:eastAsia="宋体" w:cs="Times New Roman"/>
      <w:b/>
      <w:bCs/>
      <w:kern w:val="2"/>
      <w:sz w:val="21"/>
      <w:szCs w:val="24"/>
    </w:rPr>
  </w:style>
  <w:style w:type="character" w:customStyle="1" w:styleId="75">
    <w:name w:val="批注框文本 字符"/>
    <w:basedOn w:val="45"/>
    <w:link w:val="29"/>
    <w:qFormat/>
    <w:uiPriority w:val="99"/>
    <w:rPr>
      <w:rFonts w:ascii="Times New Roman" w:hAnsi="Times New Roman" w:eastAsia="宋体" w:cs="Times New Roman"/>
      <w:kern w:val="2"/>
      <w:sz w:val="18"/>
      <w:szCs w:val="18"/>
    </w:rPr>
  </w:style>
  <w:style w:type="table" w:customStyle="1" w:styleId="76">
    <w:name w:val="网格型1"/>
    <w:basedOn w:val="4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8">
    <w:name w:val="正文文本首行缩进 字符"/>
    <w:basedOn w:val="69"/>
    <w:link w:val="21"/>
    <w:qFormat/>
    <w:uiPriority w:val="0"/>
    <w:rPr>
      <w:rFonts w:ascii="Times New Roman" w:hAnsi="Times New Roman" w:eastAsia="仿宋_GB2312" w:cs="Times New Roman"/>
      <w:kern w:val="2"/>
      <w:sz w:val="21"/>
      <w:szCs w:val="24"/>
    </w:rPr>
  </w:style>
  <w:style w:type="character" w:customStyle="1" w:styleId="79">
    <w:name w:val="正文文本缩进 字符"/>
    <w:basedOn w:val="45"/>
    <w:link w:val="22"/>
    <w:qFormat/>
    <w:uiPriority w:val="99"/>
    <w:rPr>
      <w:rFonts w:ascii="Times New Roman" w:hAnsi="Times New Roman" w:eastAsia="宋体" w:cs="Times New Roman"/>
      <w:kern w:val="2"/>
      <w:sz w:val="21"/>
      <w:szCs w:val="24"/>
    </w:rPr>
  </w:style>
  <w:style w:type="character" w:customStyle="1" w:styleId="80">
    <w:name w:val="纯文本 字符"/>
    <w:basedOn w:val="45"/>
    <w:link w:val="26"/>
    <w:qFormat/>
    <w:uiPriority w:val="0"/>
    <w:rPr>
      <w:rFonts w:ascii="宋体" w:hAnsi="Courier New" w:eastAsia="宋体" w:cs="Times New Roman"/>
      <w:kern w:val="2"/>
      <w:sz w:val="21"/>
    </w:rPr>
  </w:style>
  <w:style w:type="character" w:customStyle="1" w:styleId="81">
    <w:name w:val="日期 字符"/>
    <w:basedOn w:val="45"/>
    <w:link w:val="27"/>
    <w:qFormat/>
    <w:uiPriority w:val="99"/>
    <w:rPr>
      <w:rFonts w:ascii="楷体_GB2312" w:hAnsi="Times New Roman" w:eastAsia="楷体_GB2312" w:cs="Times New Roman"/>
      <w:b/>
      <w:kern w:val="2"/>
      <w:sz w:val="28"/>
    </w:rPr>
  </w:style>
  <w:style w:type="character" w:customStyle="1" w:styleId="82">
    <w:name w:val="正文文本 2 字符"/>
    <w:basedOn w:val="45"/>
    <w:link w:val="36"/>
    <w:qFormat/>
    <w:uiPriority w:val="0"/>
    <w:rPr>
      <w:rFonts w:ascii="隶书" w:hAnsi="Times New Roman" w:eastAsia="隶书" w:cs="Times New Roman"/>
      <w:bCs/>
      <w:sz w:val="72"/>
      <w:szCs w:val="84"/>
    </w:rPr>
  </w:style>
  <w:style w:type="paragraph" w:customStyle="1" w:styleId="83">
    <w:name w:val="正文段"/>
    <w:basedOn w:val="1"/>
    <w:link w:val="96"/>
    <w:qFormat/>
    <w:uiPriority w:val="0"/>
    <w:pPr>
      <w:snapToGrid w:val="0"/>
      <w:spacing w:afterLines="50"/>
      <w:ind w:firstLine="200" w:firstLineChars="200"/>
      <w:jc w:val="both"/>
    </w:pPr>
    <w:rPr>
      <w:rFonts w:ascii="Times New Roman" w:hAnsi="Times New Roman" w:cs="Times New Roman"/>
      <w:szCs w:val="20"/>
    </w:rPr>
  </w:style>
  <w:style w:type="paragraph" w:customStyle="1" w:styleId="84">
    <w:name w:val="正文2"/>
    <w:basedOn w:val="1"/>
    <w:link w:val="165"/>
    <w:qFormat/>
    <w:uiPriority w:val="0"/>
    <w:pPr>
      <w:widowControl w:val="0"/>
      <w:spacing w:before="156" w:line="360" w:lineRule="auto"/>
      <w:ind w:firstLine="510" w:firstLineChars="200"/>
      <w:jc w:val="both"/>
    </w:pPr>
    <w:rPr>
      <w:rFonts w:ascii="Times New Roman" w:hAnsi="Times New Roman" w:cs="Times New Roman"/>
      <w:kern w:val="2"/>
      <w:szCs w:val="20"/>
    </w:rPr>
  </w:style>
  <w:style w:type="paragraph" w:customStyle="1" w:styleId="85">
    <w:name w:val="样式4"/>
    <w:basedOn w:val="1"/>
    <w:qFormat/>
    <w:uiPriority w:val="0"/>
    <w:pPr>
      <w:widowControl w:val="0"/>
      <w:adjustRightInd w:val="0"/>
      <w:spacing w:line="360" w:lineRule="auto"/>
      <w:ind w:firstLine="420"/>
      <w:jc w:val="center"/>
      <w:outlineLvl w:val="2"/>
    </w:pPr>
    <w:rPr>
      <w:rFonts w:ascii="仿宋_GB2312" w:hAnsi="仿宋" w:eastAsia="仿宋_GB2312" w:cs="Times New Roman"/>
      <w:b/>
      <w:kern w:val="2"/>
      <w:sz w:val="32"/>
      <w:szCs w:val="32"/>
    </w:rPr>
  </w:style>
  <w:style w:type="paragraph" w:customStyle="1" w:styleId="86">
    <w:name w:val="列出段落1"/>
    <w:basedOn w:val="1"/>
    <w:qFormat/>
    <w:uiPriority w:val="0"/>
    <w:pPr>
      <w:spacing w:after="200" w:line="276" w:lineRule="auto"/>
      <w:ind w:left="720"/>
      <w:contextualSpacing/>
    </w:pPr>
    <w:rPr>
      <w:rFonts w:ascii="Calibri" w:hAnsi="Calibri" w:cs="Times New Roman"/>
      <w:sz w:val="22"/>
      <w:szCs w:val="22"/>
    </w:rPr>
  </w:style>
  <w:style w:type="paragraph" w:customStyle="1" w:styleId="87">
    <w:name w:val="列表段落1"/>
    <w:basedOn w:val="1"/>
    <w:qFormat/>
    <w:uiPriority w:val="34"/>
    <w:pPr>
      <w:ind w:firstLine="420" w:firstLineChars="200"/>
    </w:pPr>
    <w:rPr>
      <w:rFonts w:ascii="Times New Roman" w:hAnsi="Times New Roman" w:cs="Times New Roman"/>
      <w:sz w:val="28"/>
      <w:szCs w:val="20"/>
    </w:rPr>
  </w:style>
  <w:style w:type="paragraph" w:customStyle="1" w:styleId="88">
    <w:name w:val="表正文"/>
    <w:basedOn w:val="1"/>
    <w:next w:val="26"/>
    <w:qFormat/>
    <w:uiPriority w:val="0"/>
    <w:pPr>
      <w:widowControl w:val="0"/>
      <w:jc w:val="both"/>
    </w:pPr>
    <w:rPr>
      <w:rFonts w:hAnsi="Courier New" w:cs="Times New Roman"/>
      <w:kern w:val="2"/>
      <w:sz w:val="21"/>
      <w:szCs w:val="20"/>
    </w:rPr>
  </w:style>
  <w:style w:type="paragraph" w:customStyle="1" w:styleId="89">
    <w:name w:val="1.表格内容序号三角"/>
    <w:basedOn w:val="90"/>
    <w:qFormat/>
    <w:uiPriority w:val="0"/>
    <w:pPr>
      <w:numPr>
        <w:ilvl w:val="0"/>
        <w:numId w:val="6"/>
      </w:numPr>
      <w:ind w:hanging="191"/>
    </w:pPr>
  </w:style>
  <w:style w:type="paragraph" w:customStyle="1" w:styleId="90">
    <w:name w:val="1.表格内容居左"/>
    <w:basedOn w:val="1"/>
    <w:qFormat/>
    <w:uiPriority w:val="0"/>
    <w:rPr>
      <w:rFonts w:ascii="Times New Roman" w:hAnsi="Times New Roman" w:cs="Times New Roman"/>
      <w:kern w:val="2"/>
      <w:sz w:val="21"/>
      <w:szCs w:val="18"/>
    </w:rPr>
  </w:style>
  <w:style w:type="paragraph" w:customStyle="1" w:styleId="91">
    <w:name w:val="表格内容序号1."/>
    <w:basedOn w:val="90"/>
    <w:qFormat/>
    <w:uiPriority w:val="0"/>
    <w:pPr>
      <w:numPr>
        <w:ilvl w:val="0"/>
        <w:numId w:val="7"/>
      </w:numPr>
    </w:pPr>
  </w:style>
  <w:style w:type="paragraph" w:customStyle="1" w:styleId="92">
    <w:name w:val="样式5"/>
    <w:basedOn w:val="1"/>
    <w:qFormat/>
    <w:uiPriority w:val="0"/>
    <w:pPr>
      <w:widowControl w:val="0"/>
      <w:adjustRightInd w:val="0"/>
      <w:spacing w:line="440" w:lineRule="exact"/>
      <w:ind w:left="2" w:firstLine="480" w:firstLineChars="200"/>
      <w:jc w:val="both"/>
    </w:pPr>
    <w:rPr>
      <w:rFonts w:ascii="仿宋_GB2312" w:hAnsi="仿宋" w:eastAsia="仿宋_GB2312" w:cs="Times New Roman"/>
      <w:kern w:val="2"/>
    </w:rPr>
  </w:style>
  <w:style w:type="paragraph" w:customStyle="1" w:styleId="93">
    <w:name w:val="1.正文首行缩进2字符"/>
    <w:basedOn w:val="1"/>
    <w:qFormat/>
    <w:locked/>
    <w:uiPriority w:val="0"/>
    <w:pPr>
      <w:widowControl w:val="0"/>
      <w:adjustRightInd w:val="0"/>
      <w:snapToGrid w:val="0"/>
      <w:spacing w:line="360" w:lineRule="auto"/>
      <w:ind w:firstLine="482"/>
    </w:pPr>
    <w:rPr>
      <w:rFonts w:ascii="Times New Roman" w:hAnsi="Times New Roman" w:cs="Times New Roman"/>
      <w:szCs w:val="20"/>
    </w:rPr>
  </w:style>
  <w:style w:type="table" w:customStyle="1" w:styleId="94">
    <w:name w:val="网格型2"/>
    <w:basedOn w:val="4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1"/>
    <w:basedOn w:val="4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6">
    <w:name w:val="正文段 Char"/>
    <w:link w:val="83"/>
    <w:qFormat/>
    <w:locked/>
    <w:uiPriority w:val="0"/>
    <w:rPr>
      <w:rFonts w:ascii="Times New Roman" w:hAnsi="Times New Roman" w:eastAsia="宋体" w:cs="Times New Roman"/>
      <w:sz w:val="24"/>
    </w:rPr>
  </w:style>
  <w:style w:type="character" w:customStyle="1" w:styleId="97">
    <w:name w:val="标题 6 Char"/>
    <w:basedOn w:val="45"/>
    <w:qFormat/>
    <w:uiPriority w:val="0"/>
    <w:rPr>
      <w:rFonts w:asciiTheme="majorHAnsi" w:hAnsiTheme="majorHAnsi" w:eastAsiaTheme="majorEastAsia" w:cstheme="majorBidi"/>
      <w:b/>
      <w:bCs/>
      <w:kern w:val="2"/>
      <w:sz w:val="24"/>
      <w:szCs w:val="24"/>
    </w:rPr>
  </w:style>
  <w:style w:type="character" w:customStyle="1" w:styleId="98">
    <w:name w:val="标题 7 Char"/>
    <w:basedOn w:val="45"/>
    <w:qFormat/>
    <w:uiPriority w:val="0"/>
    <w:rPr>
      <w:rFonts w:ascii="Times New Roman" w:hAnsi="Times New Roman" w:eastAsia="宋体" w:cs="Times New Roman"/>
      <w:b/>
      <w:bCs/>
      <w:kern w:val="2"/>
      <w:sz w:val="24"/>
      <w:szCs w:val="24"/>
    </w:rPr>
  </w:style>
  <w:style w:type="character" w:customStyle="1" w:styleId="99">
    <w:name w:val="标题 8 Char"/>
    <w:basedOn w:val="45"/>
    <w:qFormat/>
    <w:uiPriority w:val="0"/>
    <w:rPr>
      <w:rFonts w:asciiTheme="majorHAnsi" w:hAnsiTheme="majorHAnsi" w:eastAsiaTheme="majorEastAsia" w:cstheme="majorBidi"/>
      <w:kern w:val="2"/>
      <w:sz w:val="24"/>
      <w:szCs w:val="24"/>
    </w:rPr>
  </w:style>
  <w:style w:type="character" w:customStyle="1" w:styleId="100">
    <w:name w:val="标题 9 Char"/>
    <w:basedOn w:val="45"/>
    <w:qFormat/>
    <w:uiPriority w:val="0"/>
    <w:rPr>
      <w:rFonts w:asciiTheme="majorHAnsi" w:hAnsiTheme="majorHAnsi" w:eastAsiaTheme="majorEastAsia" w:cstheme="majorBidi"/>
      <w:kern w:val="2"/>
      <w:sz w:val="21"/>
      <w:szCs w:val="21"/>
    </w:rPr>
  </w:style>
  <w:style w:type="character" w:customStyle="1" w:styleId="101">
    <w:name w:val="HTML 预设格式 字符"/>
    <w:basedOn w:val="45"/>
    <w:link w:val="38"/>
    <w:qFormat/>
    <w:uiPriority w:val="0"/>
    <w:rPr>
      <w:rFonts w:ascii="黑体" w:hAnsi="Courier New" w:eastAsia="黑体" w:cs="Courier New"/>
    </w:rPr>
  </w:style>
  <w:style w:type="character" w:customStyle="1" w:styleId="102">
    <w:name w:val="页眉 Char1"/>
    <w:qFormat/>
    <w:locked/>
    <w:uiPriority w:val="0"/>
    <w:rPr>
      <w:kern w:val="2"/>
      <w:sz w:val="18"/>
      <w:szCs w:val="18"/>
    </w:rPr>
  </w:style>
  <w:style w:type="character" w:customStyle="1" w:styleId="103">
    <w:name w:val="题注 字符"/>
    <w:link w:val="16"/>
    <w:qFormat/>
    <w:locked/>
    <w:uiPriority w:val="0"/>
    <w:rPr>
      <w:rFonts w:ascii="Calibri" w:hAnsi="Calibri" w:cs="Calibri"/>
      <w:kern w:val="2"/>
    </w:rPr>
  </w:style>
  <w:style w:type="character" w:customStyle="1" w:styleId="104">
    <w:name w:val="标题 字符"/>
    <w:basedOn w:val="45"/>
    <w:link w:val="3"/>
    <w:qFormat/>
    <w:uiPriority w:val="0"/>
    <w:rPr>
      <w:rFonts w:ascii="Calibri Light" w:hAnsi="Calibri Light" w:eastAsia="宋体" w:cs="Times New Roman"/>
      <w:b/>
      <w:bCs/>
      <w:kern w:val="2"/>
      <w:sz w:val="32"/>
      <w:szCs w:val="32"/>
    </w:rPr>
  </w:style>
  <w:style w:type="character" w:customStyle="1" w:styleId="105">
    <w:name w:val="正文文本首行缩进 2 字符"/>
    <w:basedOn w:val="79"/>
    <w:link w:val="42"/>
    <w:qFormat/>
    <w:uiPriority w:val="0"/>
    <w:rPr>
      <w:rFonts w:ascii="Times New Roman" w:hAnsi="Times New Roman" w:eastAsia="宋体" w:cs="Times New Roman"/>
      <w:kern w:val="2"/>
      <w:sz w:val="21"/>
      <w:szCs w:val="24"/>
    </w:rPr>
  </w:style>
  <w:style w:type="character" w:customStyle="1" w:styleId="106">
    <w:name w:val="正文文本缩进 2 Char"/>
    <w:basedOn w:val="45"/>
    <w:qFormat/>
    <w:uiPriority w:val="0"/>
    <w:rPr>
      <w:rFonts w:ascii="Times New Roman" w:hAnsi="Times New Roman" w:eastAsia="宋体" w:cs="Times New Roman"/>
      <w:kern w:val="2"/>
      <w:sz w:val="21"/>
      <w:szCs w:val="24"/>
    </w:rPr>
  </w:style>
  <w:style w:type="character" w:customStyle="1" w:styleId="107">
    <w:name w:val="正文文本缩进 3 字符"/>
    <w:basedOn w:val="45"/>
    <w:link w:val="34"/>
    <w:qFormat/>
    <w:uiPriority w:val="0"/>
    <w:rPr>
      <w:rFonts w:ascii="Times New Roman" w:hAnsi="Times New Roman" w:eastAsia="宋体" w:cs="Times New Roman"/>
      <w:kern w:val="2"/>
      <w:sz w:val="16"/>
      <w:szCs w:val="16"/>
    </w:rPr>
  </w:style>
  <w:style w:type="character" w:customStyle="1" w:styleId="108">
    <w:name w:val="文档结构图 字符"/>
    <w:basedOn w:val="45"/>
    <w:link w:val="17"/>
    <w:semiHidden/>
    <w:qFormat/>
    <w:uiPriority w:val="99"/>
    <w:rPr>
      <w:rFonts w:ascii="Times New Roman" w:hAnsi="Times New Roman" w:eastAsia="宋体" w:cs="Times New Roman"/>
      <w:kern w:val="2"/>
      <w:sz w:val="21"/>
      <w:szCs w:val="24"/>
      <w:shd w:val="clear" w:color="auto" w:fill="000080"/>
    </w:rPr>
  </w:style>
  <w:style w:type="paragraph" w:customStyle="1" w:styleId="109">
    <w:name w:val="_Style 15"/>
    <w:basedOn w:val="1"/>
    <w:qFormat/>
    <w:uiPriority w:val="0"/>
    <w:pPr>
      <w:widowControl w:val="0"/>
      <w:jc w:val="both"/>
    </w:pPr>
    <w:rPr>
      <w:rFonts w:ascii="Tahoma" w:hAnsi="Tahoma" w:cs="Times New Roman"/>
      <w:kern w:val="2"/>
      <w:szCs w:val="20"/>
    </w:rPr>
  </w:style>
  <w:style w:type="character" w:customStyle="1" w:styleId="110">
    <w:name w:val="Table Text Char1"/>
    <w:link w:val="111"/>
    <w:qFormat/>
    <w:locked/>
    <w:uiPriority w:val="0"/>
    <w:rPr>
      <w:rFonts w:ascii="Arial" w:hAnsi="Arial" w:cs="Arial"/>
      <w:sz w:val="18"/>
    </w:rPr>
  </w:style>
  <w:style w:type="paragraph" w:customStyle="1" w:styleId="111">
    <w:name w:val="Table Text"/>
    <w:link w:val="110"/>
    <w:qFormat/>
    <w:uiPriority w:val="0"/>
    <w:pPr>
      <w:snapToGrid w:val="0"/>
      <w:spacing w:before="80" w:after="80"/>
    </w:pPr>
    <w:rPr>
      <w:rFonts w:ascii="Arial" w:hAnsi="Arial" w:cs="Arial" w:eastAsiaTheme="minorEastAsia"/>
      <w:sz w:val="18"/>
      <w:lang w:val="en-US" w:eastAsia="zh-CN" w:bidi="ar-SA"/>
    </w:rPr>
  </w:style>
  <w:style w:type="character" w:customStyle="1" w:styleId="112">
    <w:name w:val="正文（缩进2汉字） Char"/>
    <w:link w:val="113"/>
    <w:qFormat/>
    <w:locked/>
    <w:uiPriority w:val="0"/>
    <w:rPr>
      <w:rFonts w:ascii="宋体" w:hAnsi="宋体" w:eastAsia="宋体"/>
      <w:kern w:val="2"/>
      <w:sz w:val="21"/>
    </w:rPr>
  </w:style>
  <w:style w:type="paragraph" w:customStyle="1" w:styleId="113">
    <w:name w:val="正文（缩进2汉字）"/>
    <w:basedOn w:val="1"/>
    <w:link w:val="112"/>
    <w:qFormat/>
    <w:uiPriority w:val="0"/>
    <w:pPr>
      <w:widowControl w:val="0"/>
      <w:tabs>
        <w:tab w:val="left" w:pos="525"/>
      </w:tabs>
      <w:spacing w:before="100" w:beforeAutospacing="1" w:after="100" w:afterAutospacing="1"/>
      <w:ind w:left="120" w:leftChars="50" w:firstLine="494" w:firstLineChars="206"/>
      <w:jc w:val="both"/>
    </w:pPr>
    <w:rPr>
      <w:rFonts w:cstheme="minorBidi"/>
      <w:kern w:val="2"/>
      <w:sz w:val="21"/>
      <w:szCs w:val="20"/>
    </w:rPr>
  </w:style>
  <w:style w:type="paragraph" w:customStyle="1" w:styleId="114">
    <w:name w:val="Char111"/>
    <w:basedOn w:val="1"/>
    <w:qFormat/>
    <w:uiPriority w:val="0"/>
    <w:pPr>
      <w:widowControl w:val="0"/>
      <w:tabs>
        <w:tab w:val="left" w:pos="432"/>
      </w:tabs>
      <w:spacing w:beforeLines="50"/>
      <w:ind w:left="432" w:hanging="432"/>
      <w:jc w:val="center"/>
    </w:pPr>
    <w:rPr>
      <w:rFonts w:ascii="Times New Roman" w:hAnsi="Times New Roman" w:cs="Times New Roman"/>
      <w:kern w:val="2"/>
    </w:rPr>
  </w:style>
  <w:style w:type="paragraph" w:customStyle="1" w:styleId="115">
    <w:name w:val="模板普通正文"/>
    <w:basedOn w:val="22"/>
    <w:qFormat/>
    <w:uiPriority w:val="0"/>
    <w:pPr>
      <w:spacing w:beforeLines="50" w:after="10" w:line="360" w:lineRule="auto"/>
      <w:ind w:left="0" w:leftChars="0" w:firstLine="175" w:firstLineChars="175"/>
      <w:jc w:val="left"/>
    </w:pPr>
    <w:rPr>
      <w:sz w:val="24"/>
    </w:rPr>
  </w:style>
  <w:style w:type="paragraph" w:customStyle="1" w:styleId="116">
    <w:name w:val="缺省文本"/>
    <w:basedOn w:val="1"/>
    <w:qFormat/>
    <w:uiPriority w:val="0"/>
    <w:pPr>
      <w:widowControl w:val="0"/>
      <w:autoSpaceDE w:val="0"/>
      <w:autoSpaceDN w:val="0"/>
      <w:adjustRightInd w:val="0"/>
    </w:pPr>
    <w:rPr>
      <w:rFonts w:ascii="Times New Roman" w:hAnsi="Times New Roman" w:cs="Times New Roman"/>
    </w:rPr>
  </w:style>
  <w:style w:type="paragraph" w:customStyle="1" w:styleId="117">
    <w:name w:val="WW-正文文字缩进 2"/>
    <w:basedOn w:val="1"/>
    <w:qFormat/>
    <w:uiPriority w:val="0"/>
    <w:pPr>
      <w:widowControl w:val="0"/>
      <w:suppressAutoHyphens/>
      <w:ind w:firstLine="420"/>
      <w:jc w:val="both"/>
    </w:pPr>
    <w:rPr>
      <w:rFonts w:ascii="Times New Roman" w:hAnsi="Times New Roman" w:cs="Times New Roman"/>
      <w:kern w:val="2"/>
      <w:sz w:val="21"/>
      <w:szCs w:val="20"/>
    </w:rPr>
  </w:style>
  <w:style w:type="paragraph" w:customStyle="1" w:styleId="118">
    <w:name w:val="默认段落字体 Para Char Char Char Char Char Char Char Char Char1 Char Char Char Char"/>
    <w:basedOn w:val="1"/>
    <w:qFormat/>
    <w:uiPriority w:val="0"/>
    <w:pPr>
      <w:widowControl w:val="0"/>
      <w:jc w:val="both"/>
    </w:pPr>
    <w:rPr>
      <w:rFonts w:ascii="Tahoma" w:hAnsi="Tahoma" w:cs="Times New Roman"/>
      <w:kern w:val="2"/>
      <w:szCs w:val="20"/>
    </w:rPr>
  </w:style>
  <w:style w:type="character" w:customStyle="1" w:styleId="119">
    <w:name w:val="项目排列 Char"/>
    <w:link w:val="120"/>
    <w:qFormat/>
    <w:locked/>
    <w:uiPriority w:val="0"/>
    <w:rPr>
      <w:kern w:val="2"/>
      <w:sz w:val="24"/>
      <w:szCs w:val="24"/>
    </w:rPr>
  </w:style>
  <w:style w:type="paragraph" w:customStyle="1" w:styleId="120">
    <w:name w:val="项目排列"/>
    <w:basedOn w:val="1"/>
    <w:link w:val="119"/>
    <w:qFormat/>
    <w:uiPriority w:val="0"/>
    <w:pPr>
      <w:widowControl w:val="0"/>
      <w:tabs>
        <w:tab w:val="left" w:pos="900"/>
      </w:tabs>
      <w:spacing w:beforeLines="50" w:line="300" w:lineRule="auto"/>
      <w:ind w:left="900" w:hanging="420"/>
      <w:jc w:val="both"/>
    </w:pPr>
    <w:rPr>
      <w:rFonts w:asciiTheme="minorHAnsi" w:hAnsiTheme="minorHAnsi" w:eastAsiaTheme="minorEastAsia" w:cstheme="minorBidi"/>
      <w:kern w:val="2"/>
    </w:rPr>
  </w:style>
  <w:style w:type="paragraph" w:customStyle="1" w:styleId="121">
    <w:name w:val="blue"/>
    <w:basedOn w:val="1"/>
    <w:qFormat/>
    <w:uiPriority w:val="0"/>
    <w:pPr>
      <w:spacing w:before="100" w:beforeAutospacing="1" w:after="100" w:afterAutospacing="1"/>
    </w:pPr>
    <w:rPr>
      <w:rFonts w:ascii="Arial Unicode MS" w:hAnsi="Arial Unicode MS" w:eastAsia="Arial Unicode MS" w:cs="Times New Roman"/>
      <w:szCs w:val="20"/>
    </w:rPr>
  </w:style>
  <w:style w:type="paragraph" w:customStyle="1" w:styleId="122">
    <w:name w:val="Char1"/>
    <w:basedOn w:val="1"/>
    <w:qFormat/>
    <w:uiPriority w:val="0"/>
    <w:pPr>
      <w:widowControl w:val="0"/>
      <w:jc w:val="both"/>
    </w:pPr>
    <w:rPr>
      <w:rFonts w:ascii="Times New Roman" w:hAnsi="Times New Roman" w:cs="Times New Roman"/>
      <w:kern w:val="2"/>
      <w:sz w:val="21"/>
      <w:szCs w:val="20"/>
    </w:rPr>
  </w:style>
  <w:style w:type="paragraph" w:customStyle="1" w:styleId="123">
    <w:name w:val="默认段落字体 Para Char Char Char Char"/>
    <w:basedOn w:val="1"/>
    <w:qFormat/>
    <w:uiPriority w:val="0"/>
    <w:pPr>
      <w:widowControl w:val="0"/>
      <w:jc w:val="both"/>
    </w:pPr>
    <w:rPr>
      <w:rFonts w:ascii="Times New Roman" w:hAnsi="Times New Roman" w:cs="Times New Roman"/>
      <w:kern w:val="2"/>
      <w:sz w:val="21"/>
    </w:rPr>
  </w:style>
  <w:style w:type="paragraph" w:customStyle="1" w:styleId="124">
    <w:name w:val="Char Char Char1 Char Char Char1 Char Char Char Char"/>
    <w:basedOn w:val="1"/>
    <w:qFormat/>
    <w:uiPriority w:val="0"/>
    <w:pPr>
      <w:widowControl w:val="0"/>
      <w:jc w:val="both"/>
    </w:pPr>
    <w:rPr>
      <w:rFonts w:ascii="Times New Roman" w:hAnsi="Times New Roman" w:cs="Times New Roman"/>
      <w:kern w:val="2"/>
      <w:sz w:val="21"/>
    </w:rPr>
  </w:style>
  <w:style w:type="paragraph" w:customStyle="1" w:styleId="125">
    <w:name w:val="tabletext"/>
    <w:basedOn w:val="1"/>
    <w:qFormat/>
    <w:uiPriority w:val="0"/>
    <w:pPr>
      <w:spacing w:before="100" w:beforeAutospacing="1" w:after="100" w:afterAutospacing="1"/>
    </w:pPr>
  </w:style>
  <w:style w:type="paragraph" w:customStyle="1" w:styleId="126">
    <w:name w:val="Char Char Char Char Char Char Char Char Char Char"/>
    <w:basedOn w:val="1"/>
    <w:qFormat/>
    <w:uiPriority w:val="0"/>
    <w:pPr>
      <w:widowControl w:val="0"/>
      <w:jc w:val="both"/>
    </w:pPr>
    <w:rPr>
      <w:rFonts w:ascii="Tahoma" w:hAnsi="Tahoma" w:cs="Times New Roman"/>
      <w:kern w:val="2"/>
      <w:szCs w:val="20"/>
    </w:rPr>
  </w:style>
  <w:style w:type="character" w:customStyle="1" w:styleId="127">
    <w:name w:val="正文无缩进 Char"/>
    <w:link w:val="128"/>
    <w:qFormat/>
    <w:locked/>
    <w:uiPriority w:val="0"/>
    <w:rPr>
      <w:rFonts w:ascii="宋体" w:hAnsi="宋体" w:eastAsia="宋体"/>
      <w:color w:val="000000"/>
      <w:kern w:val="2"/>
      <w:sz w:val="24"/>
      <w:szCs w:val="24"/>
    </w:rPr>
  </w:style>
  <w:style w:type="paragraph" w:customStyle="1" w:styleId="128">
    <w:name w:val="正文无缩进"/>
    <w:basedOn w:val="1"/>
    <w:link w:val="127"/>
    <w:qFormat/>
    <w:uiPriority w:val="0"/>
    <w:pPr>
      <w:widowControl w:val="0"/>
      <w:spacing w:line="360" w:lineRule="auto"/>
      <w:jc w:val="both"/>
    </w:pPr>
    <w:rPr>
      <w:rFonts w:cstheme="minorBidi"/>
      <w:color w:val="000000"/>
      <w:kern w:val="2"/>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0">
    <w:name w:val="Char Char1 Char Char Char Char1 Char Char Char"/>
    <w:basedOn w:val="1"/>
    <w:qFormat/>
    <w:uiPriority w:val="0"/>
    <w:pPr>
      <w:widowControl w:val="0"/>
      <w:adjustRightInd w:val="0"/>
      <w:spacing w:line="360" w:lineRule="atLeast"/>
      <w:jc w:val="both"/>
    </w:pPr>
    <w:rPr>
      <w:rFonts w:ascii="Tahoma" w:hAnsi="Tahoma" w:cs="Times New Roman"/>
      <w:kern w:val="2"/>
      <w:szCs w:val="20"/>
    </w:rPr>
  </w:style>
  <w:style w:type="character" w:customStyle="1" w:styleId="131">
    <w:name w:val="表格 Char Char"/>
    <w:link w:val="132"/>
    <w:qFormat/>
    <w:locked/>
    <w:uiPriority w:val="0"/>
    <w:rPr>
      <w:rFonts w:ascii="宋体" w:hAnsi="宋体" w:eastAsia="宋体"/>
    </w:rPr>
  </w:style>
  <w:style w:type="paragraph" w:customStyle="1" w:styleId="132">
    <w:name w:val="表格"/>
    <w:basedOn w:val="1"/>
    <w:link w:val="131"/>
    <w:qFormat/>
    <w:uiPriority w:val="0"/>
    <w:pPr>
      <w:widowControl w:val="0"/>
      <w:snapToGrid w:val="0"/>
      <w:ind w:firstLine="42" w:firstLineChars="21"/>
      <w:jc w:val="both"/>
    </w:pPr>
    <w:rPr>
      <w:rFonts w:cstheme="minorBidi"/>
      <w:sz w:val="20"/>
      <w:szCs w:val="20"/>
    </w:rPr>
  </w:style>
  <w:style w:type="paragraph" w:customStyle="1" w:styleId="133">
    <w:name w:val="xl32"/>
    <w:basedOn w:val="1"/>
    <w:qFormat/>
    <w:uiPriority w:val="0"/>
    <w:pPr>
      <w:pBdr>
        <w:left w:val="single" w:color="auto" w:sz="4" w:space="0"/>
        <w:right w:val="single" w:color="auto" w:sz="4" w:space="0"/>
      </w:pBdr>
      <w:spacing w:before="100" w:beforeAutospacing="1" w:after="100" w:afterAutospacing="1"/>
      <w:jc w:val="both"/>
    </w:pPr>
    <w:rPr>
      <w:rFonts w:ascii="Times New Roman" w:hAnsi="Times New Roman" w:cs="Times New Roman"/>
      <w:sz w:val="21"/>
      <w:szCs w:val="21"/>
    </w:rPr>
  </w:style>
  <w:style w:type="paragraph" w:customStyle="1" w:styleId="134">
    <w:name w:val="Char Char1 Char Char Char Char Char Char"/>
    <w:basedOn w:val="1"/>
    <w:qFormat/>
    <w:uiPriority w:val="0"/>
    <w:pPr>
      <w:spacing w:after="160" w:line="240" w:lineRule="exact"/>
    </w:pPr>
    <w:rPr>
      <w:rFonts w:ascii="Times New Roman" w:hAnsi="Times New Roman" w:cs="Times New Roman"/>
      <w:kern w:val="2"/>
      <w:sz w:val="21"/>
    </w:rPr>
  </w:style>
  <w:style w:type="paragraph" w:customStyle="1" w:styleId="135">
    <w:name w:val="标书_正文"/>
    <w:basedOn w:val="1"/>
    <w:qFormat/>
    <w:uiPriority w:val="0"/>
    <w:pPr>
      <w:widowControl w:val="0"/>
      <w:adjustRightInd w:val="0"/>
      <w:snapToGrid w:val="0"/>
      <w:spacing w:line="400" w:lineRule="exact"/>
      <w:ind w:firstLine="560" w:firstLineChars="200"/>
      <w:jc w:val="both"/>
    </w:pPr>
    <w:rPr>
      <w:rFonts w:ascii="仿宋_GB2312" w:hAnsi="Times New Roman" w:eastAsia="仿宋_GB2312"/>
      <w:bCs/>
      <w:color w:val="000000"/>
      <w:sz w:val="28"/>
      <w:szCs w:val="28"/>
    </w:rPr>
  </w:style>
  <w:style w:type="character" w:customStyle="1" w:styleId="136">
    <w:name w:val="标准文本 Char"/>
    <w:link w:val="137"/>
    <w:qFormat/>
    <w:locked/>
    <w:uiPriority w:val="0"/>
    <w:rPr>
      <w:rFonts w:ascii="宋体" w:hAnsi="宋体" w:eastAsia="宋体" w:cs="宋体"/>
      <w:kern w:val="2"/>
      <w:sz w:val="24"/>
    </w:rPr>
  </w:style>
  <w:style w:type="paragraph" w:customStyle="1" w:styleId="137">
    <w:name w:val="标准文本"/>
    <w:basedOn w:val="1"/>
    <w:link w:val="136"/>
    <w:qFormat/>
    <w:uiPriority w:val="0"/>
    <w:pPr>
      <w:widowControl w:val="0"/>
      <w:spacing w:line="360" w:lineRule="auto"/>
      <w:ind w:firstLine="480" w:firstLineChars="200"/>
      <w:jc w:val="both"/>
    </w:pPr>
    <w:rPr>
      <w:kern w:val="2"/>
      <w:szCs w:val="20"/>
    </w:rPr>
  </w:style>
  <w:style w:type="paragraph" w:customStyle="1" w:styleId="13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39">
    <w:name w:val="自定义正文 Char"/>
    <w:link w:val="140"/>
    <w:qFormat/>
    <w:locked/>
    <w:uiPriority w:val="0"/>
    <w:rPr>
      <w:rFonts w:ascii="仿宋_GB2312" w:eastAsia="仿宋_GB2312"/>
      <w:kern w:val="2"/>
      <w:sz w:val="28"/>
      <w:szCs w:val="24"/>
    </w:rPr>
  </w:style>
  <w:style w:type="paragraph" w:customStyle="1" w:styleId="140">
    <w:name w:val="自定义正文"/>
    <w:basedOn w:val="1"/>
    <w:link w:val="139"/>
    <w:qFormat/>
    <w:uiPriority w:val="0"/>
    <w:pPr>
      <w:widowControl w:val="0"/>
      <w:spacing w:line="480" w:lineRule="exact"/>
      <w:ind w:firstLine="200" w:firstLineChars="200"/>
    </w:pPr>
    <w:rPr>
      <w:rFonts w:ascii="仿宋_GB2312" w:eastAsia="仿宋_GB2312" w:hAnsiTheme="minorHAnsi" w:cstheme="minorBidi"/>
      <w:kern w:val="2"/>
      <w:sz w:val="28"/>
    </w:rPr>
  </w:style>
  <w:style w:type="paragraph" w:customStyle="1" w:styleId="141">
    <w:name w:val="样式 小四 行距: 1.5 倍行距 首行缩进:  2 字符"/>
    <w:basedOn w:val="1"/>
    <w:qFormat/>
    <w:uiPriority w:val="0"/>
    <w:pPr>
      <w:widowControl w:val="0"/>
      <w:spacing w:line="360" w:lineRule="auto"/>
      <w:ind w:firstLine="480" w:firstLineChars="200"/>
      <w:jc w:val="both"/>
    </w:pPr>
    <w:rPr>
      <w:rFonts w:ascii="Times New Roman" w:hAnsi="Times New Roman"/>
      <w:kern w:val="2"/>
      <w:szCs w:val="20"/>
    </w:rPr>
  </w:style>
  <w:style w:type="paragraph" w:customStyle="1" w:styleId="142">
    <w:name w:val="自定义表格文字"/>
    <w:basedOn w:val="1"/>
    <w:qFormat/>
    <w:uiPriority w:val="0"/>
    <w:pPr>
      <w:widowControl w:val="0"/>
      <w:spacing w:before="60" w:after="60" w:line="320" w:lineRule="exact"/>
    </w:pPr>
    <w:rPr>
      <w:rFonts w:hAnsi="Times New Roman" w:eastAsia="楷体_GB2312" w:cs="Times New Roman"/>
      <w:kern w:val="2"/>
      <w:sz w:val="21"/>
    </w:rPr>
  </w:style>
  <w:style w:type="paragraph" w:customStyle="1" w:styleId="143">
    <w:name w:val="Char Char Char1 Char"/>
    <w:basedOn w:val="1"/>
    <w:qFormat/>
    <w:uiPriority w:val="0"/>
    <w:pPr>
      <w:spacing w:after="160" w:line="240" w:lineRule="exact"/>
    </w:pPr>
    <w:rPr>
      <w:rFonts w:ascii="Verdana" w:hAnsi="Verdana" w:eastAsia="仿宋_GB2312" w:cs="Times New Roman"/>
      <w:szCs w:val="20"/>
      <w:lang w:eastAsia="en-US"/>
    </w:rPr>
  </w:style>
  <w:style w:type="paragraph" w:customStyle="1" w:styleId="144">
    <w:name w:val="Char Char Char1 Char11"/>
    <w:basedOn w:val="1"/>
    <w:qFormat/>
    <w:uiPriority w:val="0"/>
    <w:pPr>
      <w:spacing w:after="160" w:line="240" w:lineRule="exact"/>
    </w:pPr>
    <w:rPr>
      <w:rFonts w:ascii="Verdana" w:hAnsi="Verdana" w:eastAsia="仿宋_GB2312" w:cs="Times New Roman"/>
      <w:szCs w:val="20"/>
      <w:lang w:eastAsia="en-US"/>
    </w:rPr>
  </w:style>
  <w:style w:type="paragraph" w:customStyle="1" w:styleId="145">
    <w:name w:val="表内文字"/>
    <w:basedOn w:val="1"/>
    <w:qFormat/>
    <w:uiPriority w:val="0"/>
    <w:pPr>
      <w:widowControl w:val="0"/>
      <w:jc w:val="center"/>
    </w:pPr>
    <w:rPr>
      <w:rFonts w:ascii="Times New Roman" w:hAnsi="Times New Roman" w:cs="Times New Roman"/>
      <w:color w:val="FF0000"/>
    </w:rPr>
  </w:style>
  <w:style w:type="paragraph" w:customStyle="1" w:styleId="146">
    <w:name w:val="xl25"/>
    <w:basedOn w:val="1"/>
    <w:qFormat/>
    <w:uiPriority w:val="0"/>
    <w:pPr>
      <w:spacing w:before="100" w:beforeAutospacing="1" w:after="100" w:afterAutospacing="1"/>
      <w:jc w:val="center"/>
    </w:pPr>
    <w:rPr>
      <w:rFonts w:cs="Times New Roman"/>
      <w:sz w:val="20"/>
      <w:szCs w:val="20"/>
    </w:rPr>
  </w:style>
  <w:style w:type="paragraph" w:customStyle="1" w:styleId="147">
    <w:name w:val="font7"/>
    <w:basedOn w:val="1"/>
    <w:qFormat/>
    <w:uiPriority w:val="0"/>
    <w:pPr>
      <w:spacing w:before="100" w:beforeAutospacing="1" w:after="100" w:afterAutospacing="1"/>
    </w:pPr>
    <w:rPr>
      <w:rFonts w:cs="Times New Roman"/>
      <w:sz w:val="21"/>
      <w:szCs w:val="21"/>
    </w:rPr>
  </w:style>
  <w:style w:type="paragraph" w:customStyle="1" w:styleId="148">
    <w:name w:val="font5"/>
    <w:basedOn w:val="1"/>
    <w:qFormat/>
    <w:uiPriority w:val="0"/>
    <w:pPr>
      <w:spacing w:before="100" w:beforeAutospacing="1" w:after="100" w:afterAutospacing="1"/>
    </w:pPr>
    <w:rPr>
      <w:rFonts w:cs="Times New Roman"/>
    </w:rPr>
  </w:style>
  <w:style w:type="paragraph" w:customStyle="1" w:styleId="149">
    <w:name w:val="font6"/>
    <w:basedOn w:val="1"/>
    <w:qFormat/>
    <w:uiPriority w:val="0"/>
    <w:pPr>
      <w:spacing w:before="100" w:beforeAutospacing="1" w:after="100" w:afterAutospacing="1"/>
    </w:pPr>
    <w:rPr>
      <w:rFonts w:cs="Times New Roman"/>
      <w:sz w:val="18"/>
      <w:szCs w:val="18"/>
    </w:rPr>
  </w:style>
  <w:style w:type="paragraph" w:customStyle="1" w:styleId="150">
    <w:name w:val="项目1"/>
    <w:basedOn w:val="1"/>
    <w:qFormat/>
    <w:uiPriority w:val="0"/>
    <w:pPr>
      <w:widowControl w:val="0"/>
      <w:tabs>
        <w:tab w:val="left" w:pos="840"/>
      </w:tabs>
      <w:spacing w:after="60"/>
      <w:ind w:left="840" w:hanging="420"/>
      <w:jc w:val="both"/>
    </w:pPr>
    <w:rPr>
      <w:rFonts w:hAnsi="Times New Roman" w:cs="Times New Roman"/>
      <w:spacing w:val="4"/>
      <w:kern w:val="2"/>
      <w:sz w:val="21"/>
      <w:szCs w:val="20"/>
    </w:rPr>
  </w:style>
  <w:style w:type="paragraph" w:customStyle="1" w:styleId="151">
    <w:name w:val="编10号"/>
    <w:basedOn w:val="1"/>
    <w:qFormat/>
    <w:uiPriority w:val="0"/>
    <w:pPr>
      <w:widowControl w:val="0"/>
      <w:tabs>
        <w:tab w:val="left" w:pos="1620"/>
      </w:tabs>
      <w:ind w:left="1620" w:hanging="360"/>
      <w:jc w:val="both"/>
    </w:pPr>
    <w:rPr>
      <w:rFonts w:ascii="Times New Roman" w:hAnsi="Times New Roman" w:cs="Times New Roman"/>
      <w:kern w:val="2"/>
      <w:sz w:val="21"/>
    </w:rPr>
  </w:style>
  <w:style w:type="paragraph" w:customStyle="1" w:styleId="152">
    <w:name w:val="段"/>
    <w:basedOn w:val="1"/>
    <w:qFormat/>
    <w:uiPriority w:val="0"/>
    <w:pPr>
      <w:widowControl w:val="0"/>
      <w:ind w:firstLine="425"/>
      <w:jc w:val="both"/>
    </w:pPr>
    <w:rPr>
      <w:rFonts w:hAnsi="Times New Roman" w:cs="Times New Roman"/>
      <w:kern w:val="2"/>
      <w:sz w:val="21"/>
      <w:szCs w:val="20"/>
    </w:rPr>
  </w:style>
  <w:style w:type="paragraph" w:customStyle="1" w:styleId="153">
    <w:name w:val="Char Char Char Char"/>
    <w:basedOn w:val="1"/>
    <w:qFormat/>
    <w:uiPriority w:val="0"/>
    <w:pPr>
      <w:spacing w:after="160" w:line="240" w:lineRule="exact"/>
    </w:pPr>
    <w:rPr>
      <w:rFonts w:ascii="Times New Roman" w:hAnsi="Times New Roman" w:cs="Times New Roman"/>
    </w:rPr>
  </w:style>
  <w:style w:type="paragraph" w:customStyle="1" w:styleId="154">
    <w:name w:val="Char Char1 Char Char Char Char Char Char Char Char Char Char"/>
    <w:basedOn w:val="1"/>
    <w:qFormat/>
    <w:uiPriority w:val="0"/>
    <w:pPr>
      <w:spacing w:after="160" w:line="240" w:lineRule="exact"/>
    </w:pPr>
    <w:rPr>
      <w:rFonts w:ascii="Verdana" w:hAnsi="Verdana" w:eastAsia="仿宋_GB2312" w:cs="Times New Roman"/>
      <w:szCs w:val="20"/>
      <w:lang w:eastAsia="en-US"/>
    </w:rPr>
  </w:style>
  <w:style w:type="paragraph" w:customStyle="1" w:styleId="155">
    <w:name w:val="Char1 Char Char Char Char Char Char"/>
    <w:basedOn w:val="1"/>
    <w:qFormat/>
    <w:uiPriority w:val="0"/>
    <w:pPr>
      <w:widowControl w:val="0"/>
      <w:jc w:val="both"/>
    </w:pPr>
    <w:rPr>
      <w:rFonts w:ascii="Tahoma" w:hAnsi="Tahoma" w:cs="Times New Roman"/>
      <w:kern w:val="2"/>
      <w:szCs w:val="20"/>
    </w:rPr>
  </w:style>
  <w:style w:type="paragraph" w:customStyle="1" w:styleId="156">
    <w:name w:val="Char Char2 Char Char Char Char"/>
    <w:basedOn w:val="17"/>
    <w:qFormat/>
    <w:uiPriority w:val="0"/>
    <w:rPr>
      <w:rFonts w:ascii="Tahoma" w:hAnsi="Tahoma"/>
      <w:sz w:val="24"/>
    </w:rPr>
  </w:style>
  <w:style w:type="paragraph" w:customStyle="1" w:styleId="157">
    <w:name w:val="Char Char Char"/>
    <w:basedOn w:val="17"/>
    <w:qFormat/>
    <w:uiPriority w:val="0"/>
    <w:rPr>
      <w:rFonts w:ascii="Tahoma" w:hAnsi="Tahoma"/>
      <w:sz w:val="24"/>
    </w:rPr>
  </w:style>
  <w:style w:type="paragraph" w:customStyle="1" w:styleId="158">
    <w:name w:val="正文缩进 New"/>
    <w:basedOn w:val="1"/>
    <w:qFormat/>
    <w:uiPriority w:val="0"/>
    <w:pPr>
      <w:widowControl w:val="0"/>
      <w:ind w:firstLine="420" w:firstLineChars="200"/>
      <w:jc w:val="both"/>
    </w:pPr>
    <w:rPr>
      <w:rFonts w:ascii="Times New Roman" w:hAnsi="Times New Roman" w:cs="Times New Roman"/>
      <w:kern w:val="2"/>
      <w:sz w:val="21"/>
      <w:szCs w:val="20"/>
    </w:rPr>
  </w:style>
  <w:style w:type="paragraph" w:customStyle="1" w:styleId="15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paragraph" w:customStyle="1" w:styleId="160">
    <w:name w:val="Char Char Char 字元 字元"/>
    <w:basedOn w:val="1"/>
    <w:qFormat/>
    <w:uiPriority w:val="0"/>
    <w:pPr>
      <w:widowControl w:val="0"/>
      <w:spacing w:line="360" w:lineRule="auto"/>
      <w:ind w:firstLine="200" w:firstLineChars="200"/>
      <w:jc w:val="both"/>
    </w:pPr>
    <w:rPr>
      <w:rFonts w:ascii="Times New Roman" w:hAnsi="Times New Roman" w:cs="Times New Roman"/>
      <w:kern w:val="2"/>
      <w:sz w:val="21"/>
      <w:szCs w:val="20"/>
    </w:rPr>
  </w:style>
  <w:style w:type="paragraph" w:customStyle="1" w:styleId="16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63">
    <w:name w:val="样式 正文缩进 + 首行缩进:  2 字符 Char"/>
    <w:link w:val="164"/>
    <w:qFormat/>
    <w:locked/>
    <w:uiPriority w:val="0"/>
    <w:rPr>
      <w:rFonts w:ascii="宋体" w:hAnsi="宋体" w:eastAsia="宋体"/>
      <w:color w:val="000000"/>
      <w:sz w:val="24"/>
    </w:rPr>
  </w:style>
  <w:style w:type="paragraph" w:customStyle="1" w:styleId="164">
    <w:name w:val="样式 正文缩进 + 首行缩进:  2 字符"/>
    <w:basedOn w:val="15"/>
    <w:link w:val="163"/>
    <w:qFormat/>
    <w:uiPriority w:val="0"/>
    <w:pPr>
      <w:spacing w:line="360" w:lineRule="auto"/>
      <w:ind w:firstLine="480" w:firstLineChars="200"/>
    </w:pPr>
    <w:rPr>
      <w:rFonts w:ascii="宋体" w:hAnsi="宋体" w:eastAsia="宋体"/>
      <w:color w:val="000000"/>
      <w:kern w:val="0"/>
      <w:sz w:val="24"/>
      <w:szCs w:val="20"/>
    </w:rPr>
  </w:style>
  <w:style w:type="character" w:customStyle="1" w:styleId="165">
    <w:name w:val="正文2 Char"/>
    <w:link w:val="84"/>
    <w:qFormat/>
    <w:locked/>
    <w:uiPriority w:val="0"/>
    <w:rPr>
      <w:rFonts w:ascii="Times New Roman" w:hAnsi="Times New Roman" w:eastAsia="宋体" w:cs="Times New Roman"/>
      <w:kern w:val="2"/>
      <w:sz w:val="24"/>
    </w:rPr>
  </w:style>
  <w:style w:type="paragraph" w:customStyle="1" w:styleId="166">
    <w:name w:val="p0"/>
    <w:basedOn w:val="1"/>
    <w:qFormat/>
    <w:uiPriority w:val="0"/>
    <w:pPr>
      <w:jc w:val="both"/>
    </w:pPr>
    <w:rPr>
      <w:rFonts w:ascii="Times New Roman" w:hAnsi="Times New Roman" w:cs="Times New Roman"/>
      <w:sz w:val="21"/>
      <w:szCs w:val="21"/>
    </w:rPr>
  </w:style>
  <w:style w:type="character" w:customStyle="1" w:styleId="167">
    <w:name w:val="汇视源正文 Char"/>
    <w:link w:val="168"/>
    <w:qFormat/>
    <w:locked/>
    <w:uiPriority w:val="0"/>
    <w:rPr>
      <w:rFonts w:ascii="宋体" w:hAnsi="宋体" w:eastAsia="宋体" w:cs="宋体"/>
      <w:kern w:val="2"/>
      <w:sz w:val="24"/>
    </w:rPr>
  </w:style>
  <w:style w:type="paragraph" w:customStyle="1" w:styleId="168">
    <w:name w:val="汇视源正文"/>
    <w:link w:val="167"/>
    <w:qFormat/>
    <w:uiPriority w:val="0"/>
    <w:pPr>
      <w:widowControl w:val="0"/>
      <w:spacing w:beforeLines="50" w:line="360" w:lineRule="auto"/>
      <w:ind w:firstLine="480" w:firstLineChars="200"/>
      <w:jc w:val="both"/>
    </w:pPr>
    <w:rPr>
      <w:rFonts w:ascii="宋体" w:hAnsi="宋体" w:eastAsia="宋体" w:cs="宋体"/>
      <w:kern w:val="2"/>
      <w:sz w:val="24"/>
      <w:lang w:val="en-US" w:eastAsia="zh-CN" w:bidi="ar-SA"/>
    </w:rPr>
  </w:style>
  <w:style w:type="paragraph" w:customStyle="1" w:styleId="169">
    <w:name w:val="样式 列表编号 + 段后: 0.5 行"/>
    <w:basedOn w:val="14"/>
    <w:qFormat/>
    <w:uiPriority w:val="0"/>
    <w:pPr>
      <w:widowControl/>
      <w:numPr>
        <w:ilvl w:val="0"/>
        <w:numId w:val="0"/>
      </w:numPr>
      <w:tabs>
        <w:tab w:val="left" w:pos="454"/>
        <w:tab w:val="left" w:pos="840"/>
      </w:tabs>
      <w:ind w:left="425" w:hanging="425"/>
      <w:jc w:val="left"/>
    </w:pPr>
    <w:rPr>
      <w:rFonts w:cs="宋体"/>
      <w:kern w:val="0"/>
      <w:sz w:val="24"/>
      <w:szCs w:val="20"/>
    </w:rPr>
  </w:style>
  <w:style w:type="paragraph" w:customStyle="1" w:styleId="170">
    <w:name w:val="正文缩近"/>
    <w:basedOn w:val="1"/>
    <w:qFormat/>
    <w:uiPriority w:val="0"/>
    <w:pPr>
      <w:widowControl w:val="0"/>
      <w:adjustRightInd w:val="0"/>
      <w:snapToGrid w:val="0"/>
      <w:spacing w:line="540" w:lineRule="atLeast"/>
      <w:ind w:firstLine="608"/>
      <w:jc w:val="both"/>
    </w:pPr>
    <w:rPr>
      <w:rFonts w:ascii="仿宋_GB2312" w:hAnsi="Times New Roman" w:eastAsia="仿宋_GB2312"/>
      <w:sz w:val="30"/>
      <w:szCs w:val="20"/>
    </w:rPr>
  </w:style>
  <w:style w:type="paragraph" w:customStyle="1" w:styleId="171">
    <w:name w:val="TOC 标题1"/>
    <w:basedOn w:val="4"/>
    <w:next w:val="1"/>
    <w:qFormat/>
    <w:uiPriority w:val="0"/>
    <w:pPr>
      <w:keepNext/>
      <w:keepLines/>
      <w:widowControl/>
      <w:spacing w:line="256" w:lineRule="auto"/>
      <w:ind w:firstLine="0" w:firstLineChars="0"/>
      <w:jc w:val="left"/>
      <w:outlineLvl w:val="9"/>
    </w:pPr>
    <w:rPr>
      <w:rFonts w:ascii="Calibri Light" w:hAnsi="Calibri Light" w:eastAsia="宋体"/>
      <w:b w:val="0"/>
      <w:bCs w:val="0"/>
      <w:color w:val="2E74B5"/>
      <w:kern w:val="0"/>
      <w:sz w:val="32"/>
      <w:szCs w:val="32"/>
    </w:rPr>
  </w:style>
  <w:style w:type="character" w:customStyle="1" w:styleId="172">
    <w:name w:val="纯文本 Char1"/>
    <w:link w:val="173"/>
    <w:qFormat/>
    <w:locked/>
    <w:uiPriority w:val="0"/>
    <w:rPr>
      <w:rFonts w:ascii="宋体" w:hAnsi="Courier New" w:eastAsia="宋体" w:cs="Courier New"/>
      <w:sz w:val="21"/>
      <w:szCs w:val="21"/>
    </w:rPr>
  </w:style>
  <w:style w:type="paragraph" w:customStyle="1" w:styleId="173">
    <w:name w:val="纯文本1"/>
    <w:basedOn w:val="1"/>
    <w:link w:val="172"/>
    <w:qFormat/>
    <w:uiPriority w:val="0"/>
    <w:pPr>
      <w:widowControl w:val="0"/>
      <w:jc w:val="both"/>
    </w:pPr>
    <w:rPr>
      <w:rFonts w:hAnsi="Courier New" w:cs="Courier New"/>
      <w:sz w:val="21"/>
      <w:szCs w:val="21"/>
    </w:rPr>
  </w:style>
  <w:style w:type="paragraph" w:customStyle="1" w:styleId="17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75">
    <w:name w:val="列出段落112"/>
    <w:basedOn w:val="1"/>
    <w:qFormat/>
    <w:uiPriority w:val="0"/>
    <w:pPr>
      <w:widowControl w:val="0"/>
      <w:adjustRightInd w:val="0"/>
      <w:spacing w:line="360" w:lineRule="auto"/>
      <w:ind w:firstLine="200" w:firstLineChars="200"/>
      <w:jc w:val="both"/>
    </w:pPr>
    <w:rPr>
      <w:rFonts w:hint="eastAsia" w:ascii="楷体_GB2312" w:eastAsia="楷体_GB2312" w:cs="Lucida Sans" w:hAnsiTheme="minorHAnsi"/>
      <w:kern w:val="2"/>
    </w:rPr>
  </w:style>
  <w:style w:type="paragraph" w:customStyle="1" w:styleId="176">
    <w:name w:val="标题2def"/>
    <w:basedOn w:val="3"/>
    <w:qFormat/>
    <w:uiPriority w:val="0"/>
    <w:pPr>
      <w:widowControl/>
      <w:overflowPunct w:val="0"/>
      <w:autoSpaceDE w:val="0"/>
      <w:autoSpaceDN w:val="0"/>
      <w:snapToGrid w:val="0"/>
      <w:spacing w:before="160" w:after="200" w:line="360" w:lineRule="auto"/>
    </w:pPr>
    <w:rPr>
      <w:rFonts w:ascii="Times New Roman" w:hAnsi="宋体" w:eastAsia="仿宋_GB2312"/>
      <w:bCs w:val="0"/>
      <w:kern w:val="0"/>
      <w:szCs w:val="20"/>
      <w:lang w:val="en-GB"/>
    </w:rPr>
  </w:style>
  <w:style w:type="paragraph" w:customStyle="1" w:styleId="177">
    <w:name w:val="标题3def"/>
    <w:basedOn w:val="6"/>
    <w:next w:val="1"/>
    <w:qFormat/>
    <w:uiPriority w:val="0"/>
    <w:pPr>
      <w:keepNext/>
      <w:keepLines/>
      <w:tabs>
        <w:tab w:val="left" w:pos="2651"/>
      </w:tabs>
      <w:adjustRightInd w:val="0"/>
      <w:spacing w:before="80" w:after="160" w:line="400" w:lineRule="exact"/>
      <w:ind w:left="0"/>
    </w:pPr>
    <w:rPr>
      <w:rFonts w:ascii="仿宋_GB2312" w:hAnsi="宋体" w:eastAsia="仿宋_GB2312"/>
      <w:bCs w:val="0"/>
      <w:szCs w:val="20"/>
    </w:rPr>
  </w:style>
  <w:style w:type="paragraph" w:customStyle="1" w:styleId="17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79">
    <w:name w:val="Char Char2 Char Char"/>
    <w:basedOn w:val="1"/>
    <w:qFormat/>
    <w:uiPriority w:val="0"/>
    <w:pPr>
      <w:spacing w:line="400" w:lineRule="exact"/>
      <w:jc w:val="center"/>
    </w:pPr>
    <w:rPr>
      <w:rFonts w:ascii="Verdana" w:hAnsi="Verdana" w:cs="Times New Roman"/>
      <w:sz w:val="21"/>
      <w:szCs w:val="20"/>
      <w:lang w:eastAsia="en-US"/>
    </w:rPr>
  </w:style>
  <w:style w:type="paragraph" w:customStyle="1" w:styleId="180">
    <w:name w:val="正文文本缩进 21"/>
    <w:basedOn w:val="1"/>
    <w:qFormat/>
    <w:uiPriority w:val="0"/>
    <w:pPr>
      <w:widowControl w:val="0"/>
      <w:spacing w:line="520" w:lineRule="exact"/>
      <w:ind w:firstLine="848" w:firstLineChars="303"/>
      <w:jc w:val="both"/>
    </w:pPr>
    <w:rPr>
      <w:rFonts w:ascii="黑体" w:hAnsi="Calibri" w:eastAsia="黑体" w:cs="黑体"/>
      <w:kern w:val="2"/>
      <w:sz w:val="28"/>
      <w:szCs w:val="22"/>
    </w:rPr>
  </w:style>
  <w:style w:type="paragraph" w:customStyle="1" w:styleId="181">
    <w:name w:val="部分1"/>
    <w:basedOn w:val="1"/>
    <w:qFormat/>
    <w:uiPriority w:val="0"/>
    <w:pPr>
      <w:keepNext/>
      <w:pageBreakBefore/>
      <w:widowControl w:val="0"/>
      <w:tabs>
        <w:tab w:val="left" w:pos="720"/>
      </w:tabs>
      <w:spacing w:line="360" w:lineRule="auto"/>
      <w:jc w:val="center"/>
      <w:outlineLvl w:val="0"/>
    </w:pPr>
    <w:rPr>
      <w:rFonts w:ascii="Times New Roman" w:hAnsi="Times New Roman" w:eastAsia="黑体" w:cs="Times New Roman"/>
      <w:b/>
      <w:kern w:val="44"/>
      <w:sz w:val="36"/>
      <w:szCs w:val="20"/>
    </w:rPr>
  </w:style>
  <w:style w:type="paragraph" w:customStyle="1" w:styleId="182">
    <w:name w:val="Char Char Char Char1"/>
    <w:basedOn w:val="1"/>
    <w:qFormat/>
    <w:uiPriority w:val="0"/>
    <w:pPr>
      <w:widowControl w:val="0"/>
      <w:jc w:val="both"/>
    </w:pPr>
    <w:rPr>
      <w:rFonts w:ascii="Tahoma" w:hAnsi="Tahoma" w:cs="Times New Roman"/>
      <w:kern w:val="2"/>
      <w:szCs w:val="20"/>
    </w:rPr>
  </w:style>
  <w:style w:type="paragraph" w:customStyle="1" w:styleId="183">
    <w:name w:val="Char Char27"/>
    <w:basedOn w:val="1"/>
    <w:qFormat/>
    <w:uiPriority w:val="0"/>
    <w:pPr>
      <w:widowControl w:val="0"/>
      <w:snapToGrid w:val="0"/>
      <w:spacing w:line="360" w:lineRule="auto"/>
      <w:jc w:val="both"/>
    </w:pPr>
    <w:rPr>
      <w:rFonts w:ascii="Arial" w:hAnsi="Arial" w:eastAsia="黑体" w:cs="Times New Roman"/>
      <w:sz w:val="20"/>
      <w:szCs w:val="21"/>
    </w:rPr>
  </w:style>
  <w:style w:type="paragraph" w:customStyle="1" w:styleId="184">
    <w:name w:val="_Style 11"/>
    <w:basedOn w:val="1"/>
    <w:qFormat/>
    <w:uiPriority w:val="0"/>
    <w:pPr>
      <w:widowControl w:val="0"/>
      <w:spacing w:line="440" w:lineRule="exact"/>
      <w:ind w:firstLine="200" w:firstLineChars="200"/>
      <w:jc w:val="both"/>
    </w:pPr>
    <w:rPr>
      <w:rFonts w:ascii="Tahoma" w:hAnsi="Tahoma" w:eastAsia="仿宋_GB2312" w:cs="Times New Roman"/>
      <w:kern w:val="2"/>
      <w:szCs w:val="20"/>
    </w:rPr>
  </w:style>
  <w:style w:type="paragraph" w:customStyle="1" w:styleId="185">
    <w:name w:val="Char11"/>
    <w:basedOn w:val="1"/>
    <w:qFormat/>
    <w:uiPriority w:val="0"/>
    <w:pPr>
      <w:widowControl w:val="0"/>
      <w:tabs>
        <w:tab w:val="left" w:pos="432"/>
      </w:tabs>
      <w:spacing w:beforeLines="50" w:line="440" w:lineRule="exact"/>
      <w:ind w:left="432" w:hanging="432" w:firstLineChars="200"/>
      <w:jc w:val="center"/>
    </w:pPr>
    <w:rPr>
      <w:rFonts w:ascii="Times New Roman" w:hAnsi="Times New Roman" w:eastAsia="仿宋_GB2312" w:cs="Times New Roman"/>
      <w:kern w:val="2"/>
    </w:rPr>
  </w:style>
  <w:style w:type="paragraph" w:customStyle="1" w:styleId="186">
    <w:name w:val="列出段落12"/>
    <w:basedOn w:val="1"/>
    <w:qFormat/>
    <w:uiPriority w:val="1"/>
    <w:pPr>
      <w:widowControl w:val="0"/>
      <w:spacing w:line="440" w:lineRule="exact"/>
      <w:ind w:firstLine="420" w:firstLineChars="200"/>
      <w:jc w:val="both"/>
    </w:pPr>
    <w:rPr>
      <w:rFonts w:ascii="Calibri" w:hAnsi="Calibri" w:eastAsia="仿宋_GB2312" w:cs="Times New Roman"/>
      <w:kern w:val="2"/>
      <w:szCs w:val="22"/>
    </w:rPr>
  </w:style>
  <w:style w:type="paragraph" w:customStyle="1" w:styleId="187">
    <w:name w:val="Char Char Char1 Char1"/>
    <w:basedOn w:val="1"/>
    <w:qFormat/>
    <w:uiPriority w:val="0"/>
    <w:pPr>
      <w:spacing w:after="160" w:line="240" w:lineRule="exact"/>
      <w:ind w:firstLine="200" w:firstLineChars="200"/>
    </w:pPr>
    <w:rPr>
      <w:rFonts w:ascii="Verdana" w:hAnsi="Verdana" w:eastAsia="仿宋_GB2312" w:cs="Times New Roman"/>
      <w:szCs w:val="20"/>
      <w:lang w:eastAsia="en-US"/>
    </w:rPr>
  </w:style>
  <w:style w:type="paragraph" w:customStyle="1" w:styleId="188">
    <w:name w:val="TOC 标题11"/>
    <w:basedOn w:val="4"/>
    <w:next w:val="1"/>
    <w:qFormat/>
    <w:uiPriority w:val="0"/>
    <w:pPr>
      <w:keepNext/>
      <w:keepLines/>
      <w:widowControl/>
      <w:spacing w:line="256" w:lineRule="auto"/>
      <w:ind w:firstLine="0" w:firstLineChars="0"/>
      <w:jc w:val="left"/>
      <w:outlineLvl w:val="9"/>
    </w:pPr>
    <w:rPr>
      <w:rFonts w:ascii="Calibri Light" w:hAnsi="Calibri Light" w:eastAsia="宋体"/>
      <w:b w:val="0"/>
      <w:bCs w:val="0"/>
      <w:color w:val="2E74B5"/>
      <w:kern w:val="0"/>
      <w:sz w:val="32"/>
      <w:szCs w:val="32"/>
    </w:rPr>
  </w:style>
  <w:style w:type="paragraph" w:customStyle="1" w:styleId="189">
    <w:name w:val="列出段落111"/>
    <w:basedOn w:val="1"/>
    <w:qFormat/>
    <w:uiPriority w:val="0"/>
    <w:pPr>
      <w:widowControl w:val="0"/>
      <w:adjustRightInd w:val="0"/>
      <w:spacing w:line="360" w:lineRule="auto"/>
      <w:ind w:firstLine="200" w:firstLineChars="200"/>
      <w:jc w:val="both"/>
    </w:pPr>
    <w:rPr>
      <w:rFonts w:ascii="Times New Roman" w:hAnsi="Times New Roman" w:eastAsia="楷体_GB2312" w:cs="Lucida Sans"/>
      <w:kern w:val="2"/>
    </w:rPr>
  </w:style>
  <w:style w:type="character" w:customStyle="1" w:styleId="190">
    <w:name w:val="正文缩进2格 Char"/>
    <w:link w:val="191"/>
    <w:qFormat/>
    <w:locked/>
    <w:uiPriority w:val="0"/>
    <w:rPr>
      <w:rFonts w:ascii="仿宋_GB2312" w:hAnsi="宋体" w:eastAsia="仿宋_GB2312"/>
      <w:sz w:val="31"/>
    </w:rPr>
  </w:style>
  <w:style w:type="paragraph" w:customStyle="1" w:styleId="191">
    <w:name w:val="正文缩进2格"/>
    <w:basedOn w:val="1"/>
    <w:link w:val="190"/>
    <w:qFormat/>
    <w:uiPriority w:val="0"/>
    <w:pPr>
      <w:widowControl w:val="0"/>
      <w:spacing w:line="600" w:lineRule="exact"/>
      <w:ind w:firstLine="639" w:firstLineChars="206"/>
      <w:jc w:val="both"/>
    </w:pPr>
    <w:rPr>
      <w:rFonts w:ascii="仿宋_GB2312" w:eastAsia="仿宋_GB2312" w:cstheme="minorBidi"/>
      <w:sz w:val="31"/>
      <w:szCs w:val="20"/>
    </w:rPr>
  </w:style>
  <w:style w:type="paragraph" w:customStyle="1" w:styleId="192">
    <w:name w:val="列出段落11"/>
    <w:basedOn w:val="1"/>
    <w:qFormat/>
    <w:uiPriority w:val="0"/>
    <w:pPr>
      <w:widowControl w:val="0"/>
      <w:adjustRightInd w:val="0"/>
      <w:spacing w:line="360" w:lineRule="auto"/>
      <w:ind w:firstLine="200" w:firstLineChars="200"/>
      <w:jc w:val="both"/>
    </w:pPr>
    <w:rPr>
      <w:rFonts w:ascii="Times New Roman" w:hAnsi="Times New Roman" w:eastAsia="楷体_GB2312" w:cs="Lucida Sans"/>
      <w:kern w:val="2"/>
    </w:rPr>
  </w:style>
  <w:style w:type="paragraph" w:customStyle="1" w:styleId="193">
    <w:name w:val="font8"/>
    <w:basedOn w:val="1"/>
    <w:qFormat/>
    <w:uiPriority w:val="0"/>
    <w:pPr>
      <w:spacing w:before="100" w:beforeAutospacing="1" w:after="100" w:afterAutospacing="1" w:line="440" w:lineRule="exact"/>
      <w:ind w:firstLine="200" w:firstLineChars="200"/>
    </w:pPr>
    <w:rPr>
      <w:rFonts w:eastAsia="仿宋_GB2312"/>
      <w:sz w:val="18"/>
      <w:szCs w:val="18"/>
    </w:rPr>
  </w:style>
  <w:style w:type="paragraph" w:customStyle="1" w:styleId="194">
    <w:name w:val="font9"/>
    <w:basedOn w:val="1"/>
    <w:qFormat/>
    <w:uiPriority w:val="0"/>
    <w:pPr>
      <w:spacing w:before="100" w:beforeAutospacing="1" w:after="100" w:afterAutospacing="1" w:line="440" w:lineRule="exact"/>
      <w:ind w:firstLine="200" w:firstLineChars="200"/>
    </w:pPr>
    <w:rPr>
      <w:rFonts w:ascii="仿宋_GB2312" w:eastAsia="仿宋_GB2312"/>
      <w:color w:val="FF0000"/>
      <w:sz w:val="20"/>
      <w:szCs w:val="20"/>
    </w:rPr>
  </w:style>
  <w:style w:type="paragraph" w:customStyle="1" w:styleId="195">
    <w:name w:val="font10"/>
    <w:basedOn w:val="1"/>
    <w:qFormat/>
    <w:uiPriority w:val="0"/>
    <w:pPr>
      <w:spacing w:before="100" w:beforeAutospacing="1" w:after="100" w:afterAutospacing="1" w:line="440" w:lineRule="exact"/>
      <w:ind w:firstLine="200" w:firstLineChars="200"/>
    </w:pPr>
    <w:rPr>
      <w:rFonts w:eastAsia="仿宋_GB2312"/>
      <w:color w:val="FF0000"/>
      <w:sz w:val="20"/>
      <w:szCs w:val="20"/>
    </w:rPr>
  </w:style>
  <w:style w:type="paragraph" w:customStyle="1" w:styleId="196">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rPr>
  </w:style>
  <w:style w:type="paragraph" w:customStyle="1" w:styleId="197">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rPr>
  </w:style>
  <w:style w:type="paragraph" w:customStyle="1" w:styleId="198">
    <w:name w:val="xl72"/>
    <w:basedOn w:val="1"/>
    <w:qFormat/>
    <w:uiPriority w:val="0"/>
    <w:pPr>
      <w:spacing w:before="100" w:beforeAutospacing="1" w:after="100" w:afterAutospacing="1" w:line="440" w:lineRule="exact"/>
      <w:ind w:firstLine="200" w:firstLineChars="200"/>
    </w:pPr>
    <w:rPr>
      <w:rFonts w:eastAsia="仿宋_GB2312"/>
    </w:rPr>
  </w:style>
  <w:style w:type="paragraph" w:customStyle="1" w:styleId="199">
    <w:name w:val="xl73"/>
    <w:basedOn w:val="1"/>
    <w:qFormat/>
    <w:uiPriority w:val="0"/>
    <w:pPr>
      <w:spacing w:before="100" w:beforeAutospacing="1" w:after="100" w:afterAutospacing="1" w:line="440" w:lineRule="exact"/>
      <w:ind w:firstLine="200" w:firstLineChars="200"/>
      <w:jc w:val="center"/>
    </w:pPr>
    <w:rPr>
      <w:rFonts w:eastAsia="仿宋_GB2312"/>
    </w:rPr>
  </w:style>
  <w:style w:type="paragraph" w:customStyle="1" w:styleId="200">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rPr>
  </w:style>
  <w:style w:type="paragraph" w:customStyle="1" w:styleId="201">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both"/>
    </w:pPr>
    <w:rPr>
      <w:rFonts w:eastAsia="仿宋_GB2312"/>
    </w:rPr>
  </w:style>
  <w:style w:type="paragraph" w:customStyle="1" w:styleId="202">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rPr>
  </w:style>
  <w:style w:type="paragraph" w:customStyle="1" w:styleId="203">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04">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05">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rPr>
  </w:style>
  <w:style w:type="paragraph" w:customStyle="1" w:styleId="206">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rPr>
  </w:style>
  <w:style w:type="paragraph" w:customStyle="1" w:styleId="207">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rPr>
  </w:style>
  <w:style w:type="paragraph" w:customStyle="1" w:styleId="208">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rPr>
  </w:style>
  <w:style w:type="paragraph" w:customStyle="1" w:styleId="209">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10">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color w:val="FF0000"/>
    </w:rPr>
  </w:style>
  <w:style w:type="paragraph" w:customStyle="1" w:styleId="211">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color w:val="FF0000"/>
    </w:rPr>
  </w:style>
  <w:style w:type="paragraph" w:customStyle="1" w:styleId="212">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color w:val="FF0000"/>
    </w:rPr>
  </w:style>
  <w:style w:type="paragraph" w:customStyle="1" w:styleId="213">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color w:val="FF0000"/>
    </w:rPr>
  </w:style>
  <w:style w:type="paragraph" w:customStyle="1" w:styleId="214">
    <w:name w:val="xl8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pPr>
    <w:rPr>
      <w:rFonts w:ascii="仿宋_GB2312" w:eastAsia="仿宋_GB2312"/>
      <w:color w:val="FF0000"/>
      <w:sz w:val="20"/>
      <w:szCs w:val="20"/>
    </w:rPr>
  </w:style>
  <w:style w:type="paragraph" w:customStyle="1" w:styleId="215">
    <w:name w:val="xl8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pPr>
    <w:rPr>
      <w:rFonts w:ascii="仿宋_GB2312" w:eastAsia="仿宋_GB2312"/>
      <w:color w:val="FF0000"/>
      <w:sz w:val="20"/>
      <w:szCs w:val="20"/>
    </w:rPr>
  </w:style>
  <w:style w:type="paragraph" w:customStyle="1" w:styleId="216">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eastAsia="仿宋_GB2312"/>
      <w:color w:val="FF0000"/>
    </w:rPr>
  </w:style>
  <w:style w:type="paragraph" w:customStyle="1" w:styleId="217">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仿宋_GB2312" w:eastAsia="仿宋_GB2312"/>
      <w:color w:val="FF0000"/>
      <w:sz w:val="20"/>
      <w:szCs w:val="20"/>
    </w:rPr>
  </w:style>
  <w:style w:type="paragraph" w:customStyle="1" w:styleId="218">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仿宋_GB2312" w:eastAsia="仿宋_GB2312"/>
      <w:color w:val="FF0000"/>
      <w:sz w:val="20"/>
      <w:szCs w:val="20"/>
    </w:rPr>
  </w:style>
  <w:style w:type="paragraph" w:customStyle="1" w:styleId="219">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eastAsia="仿宋_GB2312"/>
      <w:b/>
      <w:bCs/>
    </w:rPr>
  </w:style>
  <w:style w:type="paragraph" w:customStyle="1" w:styleId="220">
    <w:name w:val="xl94"/>
    <w:basedOn w:val="1"/>
    <w:qFormat/>
    <w:uiPriority w:val="0"/>
    <w:pPr>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21">
    <w:name w:val="xl95"/>
    <w:basedOn w:val="1"/>
    <w:qFormat/>
    <w:uiPriority w:val="0"/>
    <w:pPr>
      <w:pBdr>
        <w:left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22">
    <w:name w:val="xl96"/>
    <w:basedOn w:val="1"/>
    <w:qFormat/>
    <w:uiPriority w:val="0"/>
    <w:pPr>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23">
    <w:name w:val="xl97"/>
    <w:basedOn w:val="1"/>
    <w:qFormat/>
    <w:uiPriority w:val="0"/>
    <w:pPr>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24">
    <w:name w:val="xl98"/>
    <w:basedOn w:val="1"/>
    <w:qFormat/>
    <w:uiPriority w:val="0"/>
    <w:pPr>
      <w:pBdr>
        <w:left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25">
    <w:name w:val="xl99"/>
    <w:basedOn w:val="1"/>
    <w:qFormat/>
    <w:uiPriority w:val="0"/>
    <w:pPr>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26">
    <w:name w:val="xl1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eastAsia="仿宋_GB2312"/>
      <w:b/>
      <w:bCs/>
    </w:rPr>
  </w:style>
  <w:style w:type="paragraph" w:customStyle="1" w:styleId="227">
    <w:name w:val="xl101"/>
    <w:basedOn w:val="1"/>
    <w:qFormat/>
    <w:uiPriority w:val="0"/>
    <w:pPr>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28">
    <w:name w:val="xl102"/>
    <w:basedOn w:val="1"/>
    <w:qFormat/>
    <w:uiPriority w:val="0"/>
    <w:pPr>
      <w:pBdr>
        <w:left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paragraph" w:customStyle="1" w:styleId="229">
    <w:name w:val="xl103"/>
    <w:basedOn w:val="1"/>
    <w:qFormat/>
    <w:uiPriority w:val="0"/>
    <w:pPr>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eastAsia="仿宋_GB2312"/>
    </w:rPr>
  </w:style>
  <w:style w:type="character" w:customStyle="1" w:styleId="230">
    <w:name w:val="正文1级 Char Char"/>
    <w:link w:val="231"/>
    <w:qFormat/>
    <w:locked/>
    <w:uiPriority w:val="0"/>
    <w:rPr>
      <w:bCs/>
      <w:kern w:val="44"/>
      <w:sz w:val="24"/>
      <w:szCs w:val="44"/>
    </w:rPr>
  </w:style>
  <w:style w:type="paragraph" w:customStyle="1" w:styleId="231">
    <w:name w:val="正文1级"/>
    <w:link w:val="230"/>
    <w:qFormat/>
    <w:uiPriority w:val="0"/>
    <w:pPr>
      <w:widowControl w:val="0"/>
      <w:tabs>
        <w:tab w:val="left" w:pos="0"/>
        <w:tab w:val="left" w:pos="420"/>
      </w:tabs>
      <w:spacing w:after="60" w:line="400" w:lineRule="exact"/>
      <w:ind w:left="839" w:hanging="419"/>
      <w:jc w:val="both"/>
    </w:pPr>
    <w:rPr>
      <w:rFonts w:asciiTheme="minorHAnsi" w:hAnsiTheme="minorHAnsi" w:eastAsiaTheme="minorEastAsia" w:cstheme="minorBidi"/>
      <w:bCs/>
      <w:kern w:val="44"/>
      <w:sz w:val="24"/>
      <w:szCs w:val="44"/>
      <w:lang w:val="en-US" w:eastAsia="zh-CN" w:bidi="ar-SA"/>
    </w:rPr>
  </w:style>
  <w:style w:type="paragraph" w:customStyle="1" w:styleId="232">
    <w:name w:val="列出段落2"/>
    <w:basedOn w:val="1"/>
    <w:qFormat/>
    <w:uiPriority w:val="34"/>
    <w:pPr>
      <w:widowControl w:val="0"/>
      <w:spacing w:line="440" w:lineRule="exact"/>
      <w:ind w:firstLine="420" w:firstLineChars="200"/>
      <w:jc w:val="both"/>
    </w:pPr>
    <w:rPr>
      <w:rFonts w:ascii="Times New Roman" w:hAnsi="Times New Roman" w:eastAsia="仿宋_GB2312" w:cs="Times New Roman"/>
      <w:kern w:val="2"/>
    </w:rPr>
  </w:style>
  <w:style w:type="paragraph" w:customStyle="1" w:styleId="233">
    <w:name w:val="TOC 标题2"/>
    <w:basedOn w:val="4"/>
    <w:next w:val="1"/>
    <w:qFormat/>
    <w:uiPriority w:val="0"/>
    <w:pPr>
      <w:keepNext/>
      <w:keepLines/>
      <w:widowControl/>
      <w:spacing w:line="256" w:lineRule="auto"/>
      <w:ind w:firstLine="0" w:firstLineChars="0"/>
      <w:jc w:val="left"/>
      <w:outlineLvl w:val="9"/>
    </w:pPr>
    <w:rPr>
      <w:rFonts w:ascii="Calibri Light" w:hAnsi="Calibri Light" w:eastAsia="宋体"/>
      <w:b w:val="0"/>
      <w:bCs w:val="0"/>
      <w:color w:val="2E74B5"/>
      <w:kern w:val="0"/>
      <w:sz w:val="32"/>
      <w:szCs w:val="32"/>
    </w:rPr>
  </w:style>
  <w:style w:type="paragraph" w:customStyle="1" w:styleId="234">
    <w:name w:val="reader-word-layer reader-word-s6-18"/>
    <w:basedOn w:val="1"/>
    <w:qFormat/>
    <w:uiPriority w:val="0"/>
    <w:pPr>
      <w:spacing w:before="100" w:beforeAutospacing="1" w:after="100" w:afterAutospacing="1"/>
    </w:pPr>
  </w:style>
  <w:style w:type="paragraph" w:customStyle="1" w:styleId="235">
    <w:name w:val="列出段落21"/>
    <w:basedOn w:val="1"/>
    <w:qFormat/>
    <w:uiPriority w:val="0"/>
    <w:pPr>
      <w:widowControl w:val="0"/>
      <w:ind w:firstLine="420" w:firstLineChars="200"/>
      <w:jc w:val="both"/>
    </w:pPr>
    <w:rPr>
      <w:rFonts w:ascii="Calibri" w:hAnsi="Calibri" w:cs="Times New Roman"/>
      <w:kern w:val="2"/>
      <w:sz w:val="21"/>
      <w:szCs w:val="22"/>
    </w:rPr>
  </w:style>
  <w:style w:type="paragraph" w:customStyle="1" w:styleId="236">
    <w:name w:val="reader-word-layer reader-word-s2-21"/>
    <w:basedOn w:val="1"/>
    <w:qFormat/>
    <w:uiPriority w:val="0"/>
    <w:pPr>
      <w:spacing w:before="100" w:beforeAutospacing="1" w:after="100" w:afterAutospacing="1"/>
    </w:pPr>
  </w:style>
  <w:style w:type="paragraph" w:customStyle="1" w:styleId="23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38">
    <w:name w:val="reader-word-layer reader-word-s6-19"/>
    <w:basedOn w:val="1"/>
    <w:qFormat/>
    <w:uiPriority w:val="0"/>
    <w:pPr>
      <w:spacing w:before="100" w:beforeAutospacing="1" w:after="100" w:afterAutospacing="1"/>
    </w:pPr>
  </w:style>
  <w:style w:type="paragraph" w:customStyle="1" w:styleId="239">
    <w:name w:val="reader-word-layer reader-word-s6-10"/>
    <w:basedOn w:val="1"/>
    <w:qFormat/>
    <w:uiPriority w:val="0"/>
    <w:pPr>
      <w:spacing w:before="100" w:beforeAutospacing="1" w:after="100" w:afterAutospacing="1"/>
    </w:pPr>
  </w:style>
  <w:style w:type="paragraph" w:customStyle="1" w:styleId="240">
    <w:name w:val="reader-word-layer reader-word-s2-23"/>
    <w:basedOn w:val="1"/>
    <w:qFormat/>
    <w:uiPriority w:val="0"/>
    <w:pPr>
      <w:spacing w:before="100" w:beforeAutospacing="1" w:after="100" w:afterAutospacing="1"/>
    </w:pPr>
  </w:style>
  <w:style w:type="paragraph" w:customStyle="1" w:styleId="241">
    <w:name w:val="_Style 151"/>
    <w:basedOn w:val="1"/>
    <w:qFormat/>
    <w:uiPriority w:val="0"/>
    <w:pPr>
      <w:widowControl w:val="0"/>
      <w:jc w:val="both"/>
    </w:pPr>
    <w:rPr>
      <w:rFonts w:ascii="Tahoma" w:hAnsi="Tahoma" w:cs="Times New Roman"/>
      <w:kern w:val="2"/>
      <w:szCs w:val="20"/>
    </w:rPr>
  </w:style>
  <w:style w:type="paragraph" w:customStyle="1" w:styleId="242">
    <w:name w:val="p1"/>
    <w:basedOn w:val="1"/>
    <w:qFormat/>
    <w:uiPriority w:val="0"/>
    <w:pPr>
      <w:widowControl w:val="0"/>
      <w:spacing w:line="380" w:lineRule="atLeast"/>
    </w:pPr>
    <w:rPr>
      <w:rFonts w:ascii="Helvetica Neue" w:hAnsi="Helvetica Neue" w:eastAsia="Helvetica Neue" w:cs="Times New Roman"/>
      <w:sz w:val="26"/>
      <w:szCs w:val="26"/>
    </w:rPr>
  </w:style>
  <w:style w:type="paragraph" w:customStyle="1" w:styleId="243">
    <w:name w:val="xl6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仿宋" w:hAnsi="仿宋" w:eastAsia="仿宋"/>
      <w:sz w:val="20"/>
      <w:szCs w:val="20"/>
    </w:rPr>
  </w:style>
  <w:style w:type="paragraph" w:customStyle="1" w:styleId="24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8"/>
      <w:szCs w:val="28"/>
    </w:rPr>
  </w:style>
  <w:style w:type="paragraph" w:customStyle="1" w:styleId="245">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8"/>
      <w:szCs w:val="28"/>
    </w:rPr>
  </w:style>
  <w:style w:type="paragraph" w:customStyle="1" w:styleId="246">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8"/>
      <w:szCs w:val="28"/>
    </w:rPr>
  </w:style>
  <w:style w:type="paragraph" w:customStyle="1" w:styleId="247">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8"/>
      <w:szCs w:val="28"/>
    </w:rPr>
  </w:style>
  <w:style w:type="paragraph" w:customStyle="1" w:styleId="248">
    <w:name w:val="p15"/>
    <w:basedOn w:val="1"/>
    <w:qFormat/>
    <w:uiPriority w:val="0"/>
    <w:pPr>
      <w:adjustRightInd w:val="0"/>
      <w:jc w:val="both"/>
    </w:pPr>
    <w:rPr>
      <w:sz w:val="20"/>
      <w:szCs w:val="20"/>
    </w:rPr>
  </w:style>
  <w:style w:type="paragraph" w:customStyle="1" w:styleId="249">
    <w:name w:val="indent"/>
    <w:basedOn w:val="1"/>
    <w:qFormat/>
    <w:uiPriority w:val="0"/>
    <w:pPr>
      <w:spacing w:before="100" w:beforeAutospacing="1" w:after="100" w:afterAutospacing="1"/>
    </w:pPr>
  </w:style>
  <w:style w:type="paragraph" w:customStyle="1" w:styleId="250">
    <w:name w:val="索引 11"/>
    <w:basedOn w:val="1"/>
    <w:next w:val="1"/>
    <w:qFormat/>
    <w:uiPriority w:val="99"/>
    <w:pPr>
      <w:widowControl w:val="0"/>
      <w:spacing w:line="360" w:lineRule="auto"/>
      <w:jc w:val="both"/>
    </w:pPr>
    <w:rPr>
      <w:rFonts w:ascii="仿宋_GB2312" w:hAnsi="Times New Roman" w:eastAsia="仿宋_GB2312" w:cs="Times New Roman"/>
      <w:kern w:val="2"/>
      <w:szCs w:val="20"/>
    </w:rPr>
  </w:style>
  <w:style w:type="paragraph" w:customStyle="1" w:styleId="251">
    <w:name w:val="正文缩进1"/>
    <w:basedOn w:val="1"/>
    <w:next w:val="22"/>
    <w:qFormat/>
    <w:uiPriority w:val="0"/>
    <w:pPr>
      <w:widowControl w:val="0"/>
      <w:autoSpaceDE w:val="0"/>
      <w:autoSpaceDN w:val="0"/>
      <w:adjustRightInd w:val="0"/>
      <w:snapToGrid w:val="0"/>
      <w:spacing w:after="120" w:line="360" w:lineRule="auto"/>
      <w:ind w:left="420" w:leftChars="200" w:firstLine="480" w:firstLineChars="200"/>
      <w:jc w:val="both"/>
    </w:pPr>
    <w:rPr>
      <w:rFonts w:ascii="Times New Roman" w:hAnsi="Times New Roman" w:cs="Times New Roman"/>
      <w:kern w:val="2"/>
      <w:szCs w:val="21"/>
    </w:rPr>
  </w:style>
  <w:style w:type="paragraph" w:customStyle="1" w:styleId="252">
    <w:name w:val="text-tag"/>
    <w:basedOn w:val="1"/>
    <w:semiHidden/>
    <w:qFormat/>
    <w:uiPriority w:val="99"/>
    <w:pPr>
      <w:spacing w:before="100" w:beforeAutospacing="1" w:after="100" w:afterAutospacing="1"/>
    </w:pPr>
  </w:style>
  <w:style w:type="paragraph" w:customStyle="1" w:styleId="253">
    <w:name w:val="reader-word-layer reader-word-s1-8"/>
    <w:basedOn w:val="1"/>
    <w:qFormat/>
    <w:uiPriority w:val="99"/>
    <w:pPr>
      <w:spacing w:before="100" w:beforeAutospacing="1" w:after="100" w:afterAutospacing="1"/>
    </w:pPr>
    <w:rPr>
      <w:szCs w:val="20"/>
    </w:rPr>
  </w:style>
  <w:style w:type="character" w:customStyle="1" w:styleId="254">
    <w:name w:val="标题 4 Char1"/>
    <w:qFormat/>
    <w:locked/>
    <w:uiPriority w:val="0"/>
    <w:rPr>
      <w:rFonts w:ascii="Arial" w:hAnsi="Arial" w:eastAsia="黑体" w:cs="Times New Roman"/>
      <w:b/>
      <w:kern w:val="2"/>
      <w:sz w:val="28"/>
    </w:rPr>
  </w:style>
  <w:style w:type="character" w:customStyle="1" w:styleId="255">
    <w:name w:val="标题 5 Char1"/>
    <w:qFormat/>
    <w:locked/>
    <w:uiPriority w:val="0"/>
    <w:rPr>
      <w:rFonts w:ascii="Times New Roman" w:hAnsi="Times New Roman" w:eastAsia="宋体" w:cs="Times New Roman"/>
      <w:sz w:val="24"/>
    </w:rPr>
  </w:style>
  <w:style w:type="character" w:customStyle="1" w:styleId="256">
    <w:name w:val="标题 6 字符"/>
    <w:link w:val="9"/>
    <w:qFormat/>
    <w:locked/>
    <w:uiPriority w:val="0"/>
    <w:rPr>
      <w:rFonts w:ascii="宋体" w:hAnsi="Arial" w:eastAsia="宋体" w:cs="Times New Roman"/>
      <w:sz w:val="24"/>
    </w:rPr>
  </w:style>
  <w:style w:type="character" w:customStyle="1" w:styleId="257">
    <w:name w:val="标题 7 字符"/>
    <w:link w:val="10"/>
    <w:qFormat/>
    <w:locked/>
    <w:uiPriority w:val="0"/>
    <w:rPr>
      <w:rFonts w:ascii="宋体" w:hAnsi="Arial" w:eastAsia="宋体" w:cs="Times New Roman"/>
      <w:b/>
      <w:sz w:val="24"/>
    </w:rPr>
  </w:style>
  <w:style w:type="character" w:customStyle="1" w:styleId="258">
    <w:name w:val="标题 8 字符"/>
    <w:link w:val="11"/>
    <w:qFormat/>
    <w:locked/>
    <w:uiPriority w:val="0"/>
    <w:rPr>
      <w:rFonts w:ascii="Arial" w:hAnsi="Arial" w:eastAsia="黑体" w:cs="Times New Roman"/>
      <w:sz w:val="24"/>
    </w:rPr>
  </w:style>
  <w:style w:type="character" w:customStyle="1" w:styleId="259">
    <w:name w:val="标题 9 字符"/>
    <w:link w:val="12"/>
    <w:qFormat/>
    <w:locked/>
    <w:uiPriority w:val="0"/>
    <w:rPr>
      <w:rFonts w:ascii="Arial" w:hAnsi="Arial" w:eastAsia="黑体" w:cs="Times New Roman"/>
      <w:sz w:val="24"/>
    </w:rPr>
  </w:style>
  <w:style w:type="character" w:customStyle="1" w:styleId="260">
    <w:name w:val="日期 Char2"/>
    <w:qFormat/>
    <w:locked/>
    <w:uiPriority w:val="0"/>
    <w:rPr>
      <w:rFonts w:ascii="楷体_GB2312" w:hAnsi="Times New Roman" w:eastAsia="楷体_GB2312" w:cs="Times New Roman"/>
      <w:b/>
      <w:kern w:val="2"/>
      <w:sz w:val="28"/>
    </w:rPr>
  </w:style>
  <w:style w:type="character" w:customStyle="1" w:styleId="261">
    <w:name w:val="批注文字 Char1"/>
    <w:qFormat/>
    <w:locked/>
    <w:uiPriority w:val="0"/>
    <w:rPr>
      <w:rFonts w:ascii="Times New Roman" w:hAnsi="Times New Roman" w:eastAsia="宋体" w:cs="Times New Roman"/>
      <w:kern w:val="2"/>
      <w:sz w:val="21"/>
      <w:szCs w:val="24"/>
    </w:rPr>
  </w:style>
  <w:style w:type="character" w:customStyle="1" w:styleId="262">
    <w:name w:val="正文文本 2 Char1"/>
    <w:qFormat/>
    <w:locked/>
    <w:uiPriority w:val="0"/>
    <w:rPr>
      <w:rFonts w:ascii="隶书" w:hAnsi="Times New Roman" w:eastAsia="隶书" w:cs="Times New Roman"/>
      <w:bCs/>
      <w:sz w:val="72"/>
      <w:szCs w:val="84"/>
    </w:rPr>
  </w:style>
  <w:style w:type="character" w:customStyle="1" w:styleId="263">
    <w:name w:val="正文文本缩进 2 字符"/>
    <w:link w:val="28"/>
    <w:qFormat/>
    <w:locked/>
    <w:uiPriority w:val="0"/>
    <w:rPr>
      <w:rFonts w:ascii="Times New Roman" w:hAnsi="Times New Roman" w:eastAsia="宋体" w:cs="Times New Roman"/>
      <w:kern w:val="2"/>
      <w:sz w:val="21"/>
      <w:szCs w:val="24"/>
    </w:rPr>
  </w:style>
  <w:style w:type="character" w:customStyle="1" w:styleId="264">
    <w:name w:val="style21"/>
    <w:qFormat/>
    <w:uiPriority w:val="0"/>
    <w:rPr>
      <w:sz w:val="15"/>
      <w:szCs w:val="15"/>
    </w:rPr>
  </w:style>
  <w:style w:type="character" w:customStyle="1" w:styleId="265">
    <w:name w:val="font1"/>
    <w:qFormat/>
    <w:uiPriority w:val="0"/>
    <w:rPr>
      <w:color w:val="999999"/>
      <w:sz w:val="18"/>
      <w:szCs w:val="18"/>
      <w:u w:val="none"/>
    </w:rPr>
  </w:style>
  <w:style w:type="character" w:customStyle="1" w:styleId="266">
    <w:name w:val="apple-style-span"/>
    <w:basedOn w:val="45"/>
    <w:qFormat/>
    <w:uiPriority w:val="0"/>
  </w:style>
  <w:style w:type="character" w:customStyle="1" w:styleId="267">
    <w:name w:val="ca-3"/>
    <w:basedOn w:val="45"/>
    <w:qFormat/>
    <w:uiPriority w:val="0"/>
  </w:style>
  <w:style w:type="character" w:customStyle="1" w:styleId="268">
    <w:name w:val="Char Char"/>
    <w:qFormat/>
    <w:uiPriority w:val="0"/>
    <w:rPr>
      <w:rFonts w:hint="eastAsia" w:ascii="宋体" w:hAnsi="Courier New" w:eastAsia="宋体"/>
      <w:kern w:val="2"/>
      <w:sz w:val="21"/>
      <w:lang w:val="en-US" w:eastAsia="zh-CN" w:bidi="ar-SA"/>
    </w:rPr>
  </w:style>
  <w:style w:type="character" w:customStyle="1" w:styleId="269">
    <w:name w:val="style51"/>
    <w:qFormat/>
    <w:uiPriority w:val="0"/>
    <w:rPr>
      <w:sz w:val="21"/>
      <w:szCs w:val="21"/>
    </w:rPr>
  </w:style>
  <w:style w:type="character" w:customStyle="1" w:styleId="270">
    <w:name w:val="Char Char12"/>
    <w:qFormat/>
    <w:uiPriority w:val="0"/>
    <w:rPr>
      <w:rFonts w:hint="eastAsia" w:ascii="宋体" w:hAnsi="Courier New" w:eastAsia="宋体"/>
      <w:kern w:val="2"/>
      <w:sz w:val="21"/>
      <w:lang w:val="en-US" w:eastAsia="zh-CN" w:bidi="ar-SA"/>
    </w:rPr>
  </w:style>
  <w:style w:type="character" w:customStyle="1" w:styleId="271">
    <w:name w:val="H4 Char"/>
    <w:qFormat/>
    <w:uiPriority w:val="0"/>
    <w:rPr>
      <w:rFonts w:hint="eastAsia" w:ascii="宋体" w:hAnsi="宋体" w:eastAsia="黑体"/>
      <w:b/>
      <w:bCs/>
      <w:color w:val="000000"/>
      <w:spacing w:val="-4"/>
      <w:kern w:val="2"/>
      <w:sz w:val="24"/>
      <w:szCs w:val="30"/>
      <w:lang w:val="en-US" w:eastAsia="zh-CN" w:bidi="ar-SA"/>
    </w:rPr>
  </w:style>
  <w:style w:type="character" w:customStyle="1" w:styleId="272">
    <w:name w:val="H5 Char"/>
    <w:qFormat/>
    <w:uiPriority w:val="0"/>
    <w:rPr>
      <w:rFonts w:hint="default" w:ascii="Arial" w:hAnsi="Arial" w:eastAsia="宋体" w:cs="Arial"/>
      <w:sz w:val="24"/>
      <w:lang w:val="en-US" w:eastAsia="zh-CN" w:bidi="ar-SA"/>
    </w:rPr>
  </w:style>
  <w:style w:type="character" w:customStyle="1" w:styleId="273">
    <w:name w:val="Char Char8"/>
    <w:qFormat/>
    <w:uiPriority w:val="0"/>
    <w:rPr>
      <w:rFonts w:hint="eastAsia" w:ascii="宋体" w:hAnsi="宋体" w:eastAsia="宋体"/>
      <w:kern w:val="2"/>
      <w:sz w:val="28"/>
      <w:lang w:val="en-US" w:eastAsia="zh-CN" w:bidi="ar-SA"/>
    </w:rPr>
  </w:style>
  <w:style w:type="character" w:customStyle="1" w:styleId="274">
    <w:name w:val="Char Char7"/>
    <w:qFormat/>
    <w:uiPriority w:val="0"/>
    <w:rPr>
      <w:rFonts w:hint="eastAsia" w:ascii="仿宋_GB2312" w:eastAsia="仿宋_GB2312"/>
      <w:kern w:val="2"/>
      <w:sz w:val="24"/>
      <w:szCs w:val="24"/>
      <w:lang w:val="en-US" w:eastAsia="zh-CN" w:bidi="ar-SA"/>
    </w:rPr>
  </w:style>
  <w:style w:type="character" w:customStyle="1" w:styleId="275">
    <w:name w:val="Char Char3"/>
    <w:qFormat/>
    <w:uiPriority w:val="0"/>
    <w:rPr>
      <w:rFonts w:hint="eastAsia" w:ascii="仿宋_GB2312" w:eastAsia="仿宋_GB2312"/>
      <w:kern w:val="2"/>
      <w:sz w:val="28"/>
      <w:szCs w:val="24"/>
      <w:lang w:val="en-US" w:eastAsia="zh-CN" w:bidi="ar-SA"/>
    </w:rPr>
  </w:style>
  <w:style w:type="character" w:customStyle="1" w:styleId="276">
    <w:name w:val="bulletintext1"/>
    <w:qFormat/>
    <w:uiPriority w:val="0"/>
    <w:rPr>
      <w:rFonts w:hint="eastAsia" w:ascii="宋体" w:hAnsi="宋体" w:eastAsia="宋体"/>
      <w:sz w:val="18"/>
      <w:szCs w:val="18"/>
    </w:rPr>
  </w:style>
  <w:style w:type="character" w:customStyle="1" w:styleId="277">
    <w:name w:val="tpc_content1"/>
    <w:qFormat/>
    <w:uiPriority w:val="0"/>
    <w:rPr>
      <w:sz w:val="20"/>
      <w:szCs w:val="20"/>
    </w:rPr>
  </w:style>
  <w:style w:type="character" w:customStyle="1" w:styleId="278">
    <w:name w:val="Char Char11"/>
    <w:qFormat/>
    <w:uiPriority w:val="0"/>
    <w:rPr>
      <w:b/>
      <w:kern w:val="44"/>
      <w:sz w:val="44"/>
    </w:rPr>
  </w:style>
  <w:style w:type="character" w:customStyle="1" w:styleId="279">
    <w:name w:val="Char Char10"/>
    <w:qFormat/>
    <w:uiPriority w:val="0"/>
    <w:rPr>
      <w:b/>
      <w:kern w:val="2"/>
      <w:sz w:val="28"/>
      <w:szCs w:val="28"/>
    </w:rPr>
  </w:style>
  <w:style w:type="character" w:customStyle="1" w:styleId="280">
    <w:name w:val="Char Char9"/>
    <w:qFormat/>
    <w:uiPriority w:val="0"/>
    <w:rPr>
      <w:b/>
      <w:kern w:val="2"/>
      <w:sz w:val="24"/>
      <w:szCs w:val="24"/>
    </w:rPr>
  </w:style>
  <w:style w:type="character" w:customStyle="1" w:styleId="281">
    <w:name w:val="style11"/>
    <w:qFormat/>
    <w:uiPriority w:val="0"/>
    <w:rPr>
      <w:b/>
      <w:bCs/>
      <w:color w:val="FF0000"/>
    </w:rPr>
  </w:style>
  <w:style w:type="character" w:customStyle="1" w:styleId="282">
    <w:name w:val="info"/>
    <w:basedOn w:val="45"/>
    <w:qFormat/>
    <w:uiPriority w:val="0"/>
  </w:style>
  <w:style w:type="character" w:customStyle="1" w:styleId="283">
    <w:name w:val="param-name"/>
    <w:basedOn w:val="45"/>
    <w:qFormat/>
    <w:uiPriority w:val="0"/>
  </w:style>
  <w:style w:type="character" w:customStyle="1" w:styleId="284">
    <w:name w:val="Date Char"/>
    <w:qFormat/>
    <w:locked/>
    <w:uiPriority w:val="0"/>
    <w:rPr>
      <w:rFonts w:hint="eastAsia" w:ascii="宋体" w:hAnsi="宋体" w:eastAsia="宋体"/>
      <w:sz w:val="21"/>
      <w:lang w:val="zh-CN"/>
    </w:rPr>
  </w:style>
  <w:style w:type="character" w:customStyle="1" w:styleId="285">
    <w:name w:val="Normal Indent Char"/>
    <w:qFormat/>
    <w:locked/>
    <w:uiPriority w:val="0"/>
    <w:rPr>
      <w:rFonts w:hint="eastAsia" w:ascii="宋体" w:hAnsi="宋体" w:eastAsia="宋体"/>
      <w:snapToGrid/>
      <w:color w:val="000000"/>
      <w:kern w:val="28"/>
      <w:sz w:val="28"/>
    </w:rPr>
  </w:style>
  <w:style w:type="character" w:customStyle="1" w:styleId="286">
    <w:name w:val="Plain Text Char"/>
    <w:qFormat/>
    <w:locked/>
    <w:uiPriority w:val="0"/>
    <w:rPr>
      <w:rFonts w:hint="eastAsia" w:ascii="宋体" w:hAnsi="Courier New" w:eastAsia="宋体"/>
      <w:snapToGrid/>
      <w:sz w:val="21"/>
    </w:rPr>
  </w:style>
  <w:style w:type="character" w:customStyle="1" w:styleId="287">
    <w:name w:val="日期 Char1"/>
    <w:qFormat/>
    <w:uiPriority w:val="0"/>
    <w:rPr>
      <w:rFonts w:hint="default" w:ascii="Times New Roman" w:hAnsi="Times New Roman" w:eastAsia="宋体" w:cs="Times New Roman"/>
      <w:sz w:val="24"/>
      <w:szCs w:val="24"/>
    </w:rPr>
  </w:style>
  <w:style w:type="character" w:customStyle="1" w:styleId="288">
    <w:name w:val="Header Char"/>
    <w:qFormat/>
    <w:locked/>
    <w:uiPriority w:val="0"/>
    <w:rPr>
      <w:rFonts w:hint="default" w:ascii="Times New Roman" w:hAnsi="Times New Roman" w:eastAsia="宋体" w:cs="Times New Roman"/>
      <w:sz w:val="18"/>
      <w:szCs w:val="18"/>
    </w:rPr>
  </w:style>
  <w:style w:type="character" w:customStyle="1" w:styleId="289">
    <w:name w:val="正文2 Char Char"/>
    <w:qFormat/>
    <w:uiPriority w:val="0"/>
    <w:rPr>
      <w:kern w:val="2"/>
      <w:sz w:val="24"/>
    </w:rPr>
  </w:style>
  <w:style w:type="character" w:customStyle="1" w:styleId="290">
    <w:name w:val="普通文字 Char Char3"/>
    <w:qFormat/>
    <w:uiPriority w:val="0"/>
    <w:rPr>
      <w:rFonts w:hint="eastAsia" w:ascii="宋体" w:hAnsi="Courier New" w:eastAsia="宋体"/>
      <w:kern w:val="2"/>
      <w:sz w:val="24"/>
      <w:szCs w:val="24"/>
    </w:rPr>
  </w:style>
  <w:style w:type="character" w:customStyle="1" w:styleId="291">
    <w:name w:val="特点 Char2"/>
    <w:qFormat/>
    <w:uiPriority w:val="0"/>
    <w:rPr>
      <w:rFonts w:hint="default" w:ascii="Times New Roman" w:hAnsi="Times New Roman" w:eastAsia="宋体" w:cs="Times New Roman"/>
      <w:szCs w:val="24"/>
    </w:rPr>
  </w:style>
  <w:style w:type="character" w:customStyle="1" w:styleId="292">
    <w:name w:val="Char Char1"/>
    <w:qFormat/>
    <w:uiPriority w:val="0"/>
    <w:rPr>
      <w:rFonts w:hint="eastAsia" w:ascii="宋体" w:hAnsi="Courier New" w:eastAsia="宋体"/>
      <w:kern w:val="2"/>
      <w:sz w:val="21"/>
      <w:lang w:val="en-US" w:eastAsia="zh-CN" w:bidi="ar-SA"/>
    </w:rPr>
  </w:style>
  <w:style w:type="character" w:customStyle="1" w:styleId="293">
    <w:name w:val="font01"/>
    <w:basedOn w:val="45"/>
    <w:qFormat/>
    <w:uiPriority w:val="0"/>
    <w:rPr>
      <w:rFonts w:hint="eastAsia" w:ascii="宋体" w:hAnsi="宋体" w:eastAsia="宋体" w:cs="宋体"/>
      <w:color w:val="000000"/>
      <w:sz w:val="22"/>
      <w:szCs w:val="22"/>
      <w:u w:val="none"/>
    </w:rPr>
  </w:style>
  <w:style w:type="character" w:customStyle="1" w:styleId="294">
    <w:name w:val="font11"/>
    <w:basedOn w:val="45"/>
    <w:qFormat/>
    <w:uiPriority w:val="0"/>
    <w:rPr>
      <w:rFonts w:hint="eastAsia" w:ascii="宋体" w:hAnsi="宋体" w:eastAsia="宋体" w:cs="宋体"/>
      <w:color w:val="FF0000"/>
      <w:sz w:val="22"/>
      <w:szCs w:val="22"/>
      <w:u w:val="none"/>
    </w:rPr>
  </w:style>
  <w:style w:type="character" w:customStyle="1" w:styleId="295">
    <w:name w:val="font41"/>
    <w:basedOn w:val="45"/>
    <w:qFormat/>
    <w:uiPriority w:val="0"/>
    <w:rPr>
      <w:rFonts w:hint="eastAsia" w:ascii="等线" w:hAnsi="等线" w:eastAsia="等线" w:cs="等线"/>
      <w:color w:val="FF0000"/>
      <w:sz w:val="22"/>
      <w:szCs w:val="22"/>
      <w:u w:val="none"/>
    </w:rPr>
  </w:style>
  <w:style w:type="character" w:customStyle="1" w:styleId="296">
    <w:name w:val="font21"/>
    <w:basedOn w:val="45"/>
    <w:qFormat/>
    <w:uiPriority w:val="0"/>
    <w:rPr>
      <w:rFonts w:hint="eastAsia" w:ascii="等线" w:hAnsi="等线" w:eastAsia="等线" w:cs="等线"/>
      <w:color w:val="000000"/>
      <w:sz w:val="22"/>
      <w:szCs w:val="22"/>
      <w:u w:val="none"/>
    </w:rPr>
  </w:style>
  <w:style w:type="character" w:customStyle="1" w:styleId="297">
    <w:name w:val="font51"/>
    <w:basedOn w:val="45"/>
    <w:qFormat/>
    <w:uiPriority w:val="0"/>
    <w:rPr>
      <w:rFonts w:hint="eastAsia" w:ascii="等线" w:hAnsi="等线" w:eastAsia="等线" w:cs="等线"/>
      <w:color w:val="FF0000"/>
      <w:sz w:val="22"/>
      <w:szCs w:val="22"/>
      <w:u w:val="none"/>
    </w:rPr>
  </w:style>
  <w:style w:type="character" w:customStyle="1" w:styleId="298">
    <w:name w:val="font61"/>
    <w:basedOn w:val="45"/>
    <w:qFormat/>
    <w:uiPriority w:val="0"/>
    <w:rPr>
      <w:rFonts w:hint="eastAsia" w:ascii="等线" w:hAnsi="等线" w:eastAsia="等线" w:cs="等线"/>
      <w:color w:val="000000"/>
      <w:sz w:val="22"/>
      <w:szCs w:val="22"/>
      <w:u w:val="none"/>
    </w:rPr>
  </w:style>
  <w:style w:type="character" w:customStyle="1" w:styleId="299">
    <w:name w:val="未处理的提及1"/>
    <w:basedOn w:val="45"/>
    <w:qFormat/>
    <w:uiPriority w:val="99"/>
    <w:rPr>
      <w:color w:val="605E5C"/>
      <w:shd w:val="clear" w:color="auto" w:fill="E1DFDD"/>
    </w:rPr>
  </w:style>
  <w:style w:type="character" w:customStyle="1" w:styleId="300">
    <w:name w:val="bookmark-item"/>
    <w:basedOn w:val="45"/>
    <w:qFormat/>
    <w:uiPriority w:val="0"/>
  </w:style>
  <w:style w:type="character" w:customStyle="1" w:styleId="301">
    <w:name w:val="页脚 Char2"/>
    <w:qFormat/>
    <w:locked/>
    <w:uiPriority w:val="99"/>
    <w:rPr>
      <w:kern w:val="2"/>
      <w:sz w:val="18"/>
      <w:szCs w:val="18"/>
    </w:rPr>
  </w:style>
  <w:style w:type="character" w:customStyle="1" w:styleId="302">
    <w:name w:val="页眉 Char2"/>
    <w:qFormat/>
    <w:uiPriority w:val="99"/>
    <w:rPr>
      <w:kern w:val="2"/>
      <w:sz w:val="18"/>
      <w:szCs w:val="18"/>
    </w:rPr>
  </w:style>
  <w:style w:type="paragraph" w:customStyle="1" w:styleId="303">
    <w:name w:val="修订2"/>
    <w:hidden/>
    <w:qFormat/>
    <w:uiPriority w:val="99"/>
    <w:rPr>
      <w:rFonts w:ascii="Times New Roman" w:hAnsi="Times New Roman" w:eastAsia="宋体" w:cs="Times New Roman"/>
      <w:kern w:val="2"/>
      <w:sz w:val="21"/>
      <w:szCs w:val="24"/>
      <w:lang w:val="en-US" w:eastAsia="zh-CN" w:bidi="ar-SA"/>
    </w:rPr>
  </w:style>
  <w:style w:type="paragraph" w:customStyle="1" w:styleId="304">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305">
    <w:name w:val="正文缩进 字符"/>
    <w:basedOn w:val="45"/>
    <w:qFormat/>
    <w:uiPriority w:val="0"/>
    <w:rPr>
      <w:rFonts w:hint="default" w:ascii="Times New Roman" w:hAnsi="Times New Roman" w:eastAsia="宋体" w:cs="Times New Roman"/>
      <w:szCs w:val="24"/>
    </w:rPr>
  </w:style>
  <w:style w:type="character" w:customStyle="1" w:styleId="306">
    <w:name w:val="apple-converted-space"/>
    <w:basedOn w:val="45"/>
    <w:qFormat/>
    <w:uiPriority w:val="0"/>
  </w:style>
  <w:style w:type="character" w:customStyle="1" w:styleId="307">
    <w:name w:val="font31"/>
    <w:qFormat/>
    <w:uiPriority w:val="0"/>
    <w:rPr>
      <w:rFonts w:hint="eastAsia" w:ascii="仿宋" w:hAnsi="仿宋" w:eastAsia="仿宋" w:cs="仿宋"/>
      <w:color w:val="FF0000"/>
      <w:sz w:val="22"/>
      <w:szCs w:val="22"/>
      <w:u w:val="none"/>
    </w:rPr>
  </w:style>
  <w:style w:type="character" w:customStyle="1" w:styleId="308">
    <w:name w:val="正文缩进 Char1"/>
    <w:qFormat/>
    <w:uiPriority w:val="0"/>
    <w:rPr>
      <w:rFonts w:ascii="Times New Roman" w:hAnsi="Times New Roman" w:eastAsia="宋体" w:cs="Times New Roman"/>
      <w:szCs w:val="20"/>
    </w:rPr>
  </w:style>
  <w:style w:type="character" w:customStyle="1" w:styleId="309">
    <w:name w:val="纯文本 Char2"/>
    <w:qFormat/>
    <w:uiPriority w:val="0"/>
    <w:rPr>
      <w:rFonts w:ascii="宋体" w:hAnsi="Courier New" w:eastAsia="宋体" w:cs="Times New Roman"/>
      <w:szCs w:val="21"/>
    </w:rPr>
  </w:style>
  <w:style w:type="paragraph" w:customStyle="1" w:styleId="310">
    <w:name w:val="方案正文"/>
    <w:basedOn w:val="1"/>
    <w:qFormat/>
    <w:uiPriority w:val="0"/>
    <w:pPr>
      <w:widowControl w:val="0"/>
      <w:spacing w:before="120" w:line="360" w:lineRule="auto"/>
      <w:ind w:firstLine="425" w:firstLineChars="177"/>
      <w:jc w:val="both"/>
    </w:pPr>
    <w:rPr>
      <w:rFonts w:ascii="华文细黑" w:hAnsi="华文细黑" w:eastAsia="华文细黑" w:cs="Times New Roman"/>
    </w:rPr>
  </w:style>
  <w:style w:type="paragraph" w:customStyle="1" w:styleId="311">
    <w:name w:val="TOC 标题111"/>
    <w:basedOn w:val="4"/>
    <w:next w:val="1"/>
    <w:qFormat/>
    <w:uiPriority w:val="0"/>
    <w:pPr>
      <w:keepNext/>
      <w:keepLines/>
      <w:widowControl/>
      <w:spacing w:line="259" w:lineRule="auto"/>
      <w:ind w:firstLine="0" w:firstLineChars="0"/>
      <w:jc w:val="left"/>
      <w:outlineLvl w:val="9"/>
    </w:pPr>
    <w:rPr>
      <w:rFonts w:ascii="Calibri Light" w:hAnsi="Calibri Light" w:eastAsia="宋体"/>
      <w:b w:val="0"/>
      <w:bCs w:val="0"/>
      <w:color w:val="2E74B5"/>
      <w:kern w:val="0"/>
      <w:sz w:val="32"/>
      <w:szCs w:val="32"/>
    </w:rPr>
  </w:style>
  <w:style w:type="paragraph" w:customStyle="1" w:styleId="312">
    <w:name w:val="msonormal"/>
    <w:basedOn w:val="1"/>
    <w:qFormat/>
    <w:uiPriority w:val="0"/>
    <w:pPr>
      <w:spacing w:before="100" w:beforeAutospacing="1" w:after="100" w:afterAutospacing="1"/>
    </w:pPr>
  </w:style>
  <w:style w:type="paragraph" w:customStyle="1" w:styleId="313">
    <w:name w:val="xl6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sz w:val="20"/>
      <w:szCs w:val="20"/>
    </w:rPr>
  </w:style>
  <w:style w:type="paragraph" w:customStyle="1" w:styleId="314">
    <w:name w:val="正文_0"/>
    <w:basedOn w:val="315"/>
    <w:qFormat/>
    <w:uiPriority w:val="0"/>
  </w:style>
  <w:style w:type="paragraph" w:customStyle="1" w:styleId="315">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6">
    <w:name w:val="Table Paragraph"/>
    <w:basedOn w:val="1"/>
    <w:qFormat/>
    <w:uiPriority w:val="1"/>
    <w:pPr>
      <w:widowControl w:val="0"/>
      <w:jc w:val="both"/>
    </w:pPr>
    <w:rPr>
      <w:rFonts w:ascii="Times New Roman" w:hAnsi="Times New Roman" w:cs="Times New Roman"/>
      <w:kern w:val="2"/>
      <w:sz w:val="21"/>
    </w:rPr>
  </w:style>
  <w:style w:type="paragraph" w:customStyle="1" w:styleId="317">
    <w:name w:val="Char Char Char Char Char Char_0"/>
    <w:basedOn w:val="314"/>
    <w:qFormat/>
    <w:uiPriority w:val="0"/>
  </w:style>
  <w:style w:type="paragraph" w:customStyle="1" w:styleId="318">
    <w:name w:val="正文4"/>
    <w:qFormat/>
    <w:uiPriority w:val="0"/>
    <w:pPr>
      <w:jc w:val="both"/>
    </w:pPr>
    <w:rPr>
      <w:rFonts w:ascii="Calibri" w:hAnsi="Calibri" w:eastAsia="宋体" w:cs="Calibri"/>
      <w:kern w:val="2"/>
      <w:sz w:val="21"/>
      <w:szCs w:val="21"/>
      <w:lang w:val="en-US" w:eastAsia="zh-CN" w:bidi="ar-SA"/>
    </w:rPr>
  </w:style>
  <w:style w:type="paragraph" w:customStyle="1" w:styleId="319">
    <w:name w:val="正文首行缩进1"/>
    <w:basedOn w:val="20"/>
    <w:qFormat/>
    <w:uiPriority w:val="0"/>
    <w:pPr>
      <w:widowControl w:val="0"/>
      <w:overflowPunct/>
      <w:autoSpaceDE/>
      <w:autoSpaceDN/>
      <w:adjustRightInd/>
      <w:spacing w:before="100" w:beforeAutospacing="1" w:after="0" w:line="360" w:lineRule="auto"/>
      <w:ind w:left="0"/>
      <w:jc w:val="both"/>
      <w:textAlignment w:val="auto"/>
    </w:pPr>
    <w:rPr>
      <w:rFonts w:ascii="Times New Roman" w:hAnsi="Times New Roman"/>
      <w:kern w:val="2"/>
      <w:sz w:val="24"/>
      <w:szCs w:val="24"/>
    </w:rPr>
  </w:style>
  <w:style w:type="paragraph" w:customStyle="1" w:styleId="320">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21">
    <w:name w:val="标--正文"/>
    <w:basedOn w:val="1"/>
    <w:next w:val="20"/>
    <w:qFormat/>
    <w:uiPriority w:val="0"/>
    <w:pPr>
      <w:snapToGrid w:val="0"/>
      <w:spacing w:line="576" w:lineRule="exact"/>
      <w:ind w:firstLine="420" w:firstLineChars="200"/>
    </w:pPr>
    <w:rPr>
      <w:rFonts w:ascii="仿宋_GB2312" w:hAnsi="仿宋_GB2312" w:eastAsia="仿宋_GB2312"/>
      <w:sz w:val="32"/>
    </w:rPr>
  </w:style>
  <w:style w:type="paragraph" w:customStyle="1" w:styleId="322">
    <w:name w:val="表格文字"/>
    <w:basedOn w:val="1"/>
    <w:next w:val="20"/>
    <w:qFormat/>
    <w:uiPriority w:val="0"/>
    <w:pPr>
      <w:jc w:val="center"/>
    </w:pPr>
    <w:rPr>
      <w:sz w:val="18"/>
    </w:rPr>
  </w:style>
  <w:style w:type="paragraph" w:customStyle="1" w:styleId="323">
    <w:name w:val="正文 Char Char"/>
    <w:qFormat/>
    <w:uiPriority w:val="0"/>
    <w:pPr>
      <w:spacing w:line="360" w:lineRule="auto"/>
      <w:ind w:left="400" w:hanging="400" w:hangingChars="400"/>
    </w:pPr>
    <w:rPr>
      <w:rFonts w:ascii="Times New Roman" w:hAnsi="Times New Roman" w:eastAsia="宋体" w:cs="Times New Roman"/>
      <w:kern w:val="2"/>
      <w:sz w:val="24"/>
      <w:szCs w:val="24"/>
      <w:lang w:val="en-US" w:eastAsia="zh-CN" w:bidi="ar-SA"/>
    </w:rPr>
  </w:style>
  <w:style w:type="character" w:customStyle="1" w:styleId="324">
    <w:name w:val="标题 4 Char"/>
    <w:basedOn w:val="45"/>
    <w:link w:val="7"/>
    <w:qFormat/>
    <w:uiPriority w:val="0"/>
    <w:rPr>
      <w:rFonts w:ascii="Arial" w:hAnsi="Arial" w:eastAsia="宋体" w:cs="Times New Roman"/>
      <w:bCs/>
      <w:kern w:val="0"/>
      <w:sz w:val="24"/>
      <w:szCs w:val="28"/>
    </w:rPr>
  </w:style>
  <w:style w:type="paragraph" w:customStyle="1" w:styleId="325">
    <w:name w:val="图表文字"/>
    <w:basedOn w:val="1"/>
    <w:qFormat/>
    <w:uiPriority w:val="0"/>
    <w:pPr>
      <w:spacing w:line="320" w:lineRule="exact"/>
      <w:jc w:val="center"/>
    </w:pPr>
    <w:rPr>
      <w:rFonts w:ascii="宋体" w:hAnsi="宋体"/>
      <w:color w:val="000000"/>
      <w:szCs w:val="21"/>
    </w:rPr>
  </w:style>
  <w:style w:type="paragraph" w:customStyle="1" w:styleId="326">
    <w:name w:val="正文_0_0"/>
    <w:basedOn w:val="327"/>
    <w:qFormat/>
    <w:uiPriority w:val="0"/>
    <w:pPr>
      <w:spacing w:line="360" w:lineRule="auto"/>
      <w:jc w:val="left"/>
    </w:pPr>
    <w:rPr>
      <w:rFonts w:ascii="Times New Roman" w:hAnsi="Times New Roman"/>
      <w:szCs w:val="24"/>
    </w:rPr>
  </w:style>
  <w:style w:type="paragraph" w:customStyle="1" w:styleId="327">
    <w:name w:val="正文_1_0"/>
    <w:basedOn w:val="314"/>
    <w:qFormat/>
    <w:uiPriority w:val="0"/>
    <w:rPr>
      <w:szCs w:val="21"/>
    </w:rPr>
  </w:style>
  <w:style w:type="character" w:customStyle="1" w:styleId="328">
    <w:name w:val="font71"/>
    <w:basedOn w:val="45"/>
    <w:qFormat/>
    <w:uiPriority w:val="0"/>
    <w:rPr>
      <w:rFonts w:hint="default" w:ascii="Times New Roman" w:hAnsi="Times New Roman" w:cs="Times New Roman"/>
      <w:color w:val="000000"/>
      <w:sz w:val="20"/>
      <w:szCs w:val="20"/>
      <w:u w:val="none"/>
    </w:rPr>
  </w:style>
  <w:style w:type="character" w:customStyle="1" w:styleId="329">
    <w:name w:val="font91"/>
    <w:basedOn w:val="45"/>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http://www.deepbbs.org</Company>
  <Pages>1</Pages>
  <Words>12298</Words>
  <Characters>70102</Characters>
  <Lines>584</Lines>
  <Paragraphs>164</Paragraphs>
  <TotalTime>41</TotalTime>
  <ScaleCrop>false</ScaleCrop>
  <LinksUpToDate>false</LinksUpToDate>
  <CharactersWithSpaces>82236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2022-09-29T09:47:00Z</dcterms:created>
  <dc:creator>NTKO</dc:creator>
  <cp:lastModifiedBy>潘</cp:lastModifiedBy>
  <cp:lastPrinted>2022-09-29T09:48:00Z</cp:lastPrinted>
  <dcterms:modified xsi:type="dcterms:W3CDTF">2023-01-16T07:56:37Z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547C59EA500749DDA433EF379DF5A042</vt:lpwstr>
  </property>
</Properties>
</file>