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003DE">
      <w:pPr>
        <w:rPr>
          <w:rFonts w:ascii="宋体" w:hAnsi="宋体"/>
          <w:b/>
          <w:color w:val="auto"/>
          <w:sz w:val="28"/>
          <w:szCs w:val="28"/>
          <w:highlight w:val="none"/>
        </w:rPr>
      </w:pPr>
    </w:p>
    <w:p w14:paraId="4E8CEBDB">
      <w:pPr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应采购人要求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现对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原招标文件部分内容作如下更正：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80"/>
        <w:gridCol w:w="3433"/>
        <w:gridCol w:w="3421"/>
      </w:tblGrid>
      <w:tr w14:paraId="2D6B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</w:tcPr>
          <w:p w14:paraId="6000CBA4">
            <w:pPr>
              <w:pStyle w:val="11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80" w:type="dxa"/>
          </w:tcPr>
          <w:p w14:paraId="29515928">
            <w:pPr>
              <w:pStyle w:val="11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更正事项</w:t>
            </w:r>
          </w:p>
        </w:tc>
        <w:tc>
          <w:tcPr>
            <w:tcW w:w="3433" w:type="dxa"/>
          </w:tcPr>
          <w:p w14:paraId="7D056E22">
            <w:pPr>
              <w:pStyle w:val="11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421" w:type="dxa"/>
          </w:tcPr>
          <w:p w14:paraId="1E7F2940">
            <w:pPr>
              <w:pStyle w:val="11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更正后内容</w:t>
            </w:r>
          </w:p>
        </w:tc>
      </w:tr>
      <w:tr w14:paraId="5C04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vAlign w:val="top"/>
          </w:tcPr>
          <w:p w14:paraId="3537B576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 w14:paraId="14B0AC8D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第四部分评标办法-评标办法前附表序号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433" w:type="dxa"/>
          </w:tcPr>
          <w:p w14:paraId="63375B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投标人提供，具备CMA资质的第三方检测机构出具的成品检测报告，其中核心技术指标评分内容如下：</w:t>
            </w:r>
          </w:p>
          <w:p w14:paraId="586E58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1、餐桌：检测依据：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24821-2009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《餐桌餐椅》、GB/T 10357.1-2013 《家具力学性能试验 第1部分：桌类强度和耐久性》</w:t>
            </w:r>
          </w:p>
          <w:p w14:paraId="4939BB5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检测项目：（1）主要尺寸与极限偏差-餐桌（mm）：桌面宽度、桌面深度、桌下净空高度均符合检测要求；翘曲度（mm）：桌面翘曲度≤3.0mm；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邻边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垂直度（mm）：桌面、转台平整度≤0.2mm；（2）着地平稳性（mm）：桌、椅（凳）地脚与水平面的差值≤2.0mm；（3）甲醛释放量≤1.5mg/L；（4）桌面稳定性：桌面垂直加载：在最不稳定桌边加载到规定值或至少一个桌脚离地：整体型载荷600N，无倾翻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检测结果符合要求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  <w:p w14:paraId="403D5C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：检测依据：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24821-2009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《餐桌餐椅》、GB/T 10357.3-2013《家具力学性能试验 第3部分：椅凳类强度和耐久性》</w:t>
            </w:r>
          </w:p>
          <w:p w14:paraId="4D536E8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检测项目：（1）主要尺寸与极限偏差-餐椅、餐凳（mm）：椅（凳）面宽度≥260mm、400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≤椅（凳）面高度-硬面≤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椅（凳）面深度≥260mm； （2）着地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平稳性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（mm）：桌、椅（凳）地脚与水平面的差值≤2.0mm；（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）椅凳稳定性：椅向后倾翻：垂直加载600N，水平加载80N，无倾翻；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检测结果符合要求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  <w:p w14:paraId="1712D3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提供齐全且满足检测要求的得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分，每缺一项检测项目或不符合要求的扣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3BE41024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【证明材料：1）以上检测报告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并加盖公章2）全国认证认可信息公共服务平台官网（http://cx.cnca.cn/)查询截图加盖公章，否则不得分。】</w:t>
            </w:r>
          </w:p>
        </w:tc>
        <w:tc>
          <w:tcPr>
            <w:tcW w:w="3421" w:type="dxa"/>
          </w:tcPr>
          <w:p w14:paraId="05B1AE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投标人提供，具备CMA资质的第三方检测机构出具的成品检测报告，其中核心技术指标评分内容如下：</w:t>
            </w:r>
          </w:p>
          <w:p w14:paraId="750A7C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1、餐桌：检测依据：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24821-2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《餐桌餐椅》、GB/T 10357.1-2013 《家具力学性能试验 第1部分：桌类强度和耐久性》</w:t>
            </w:r>
          </w:p>
          <w:p w14:paraId="27884B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检测项目：（1）主要尺寸与极限偏差-餐桌（mm）：桌面宽度、桌面深度、桌下净空高度均符合检测要求；翘曲度（mm）：桌面翘曲度≤3.0mm；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邻边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垂直度（mm）：桌面、转台平整度≤0.2mm；（2）着地平稳性（mm）：桌、椅（凳）地脚与水平面的差值≤2.0mm；（3）甲醛释放量≤1.5mg/L；（4）桌面稳定性：桌面垂直加载：在最不稳定桌边加载到规定值或至少一个桌脚离地：整体型载荷600N，无倾翻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检测结果符合要求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  <w:p w14:paraId="1EDAA19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：检测依据：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24821-20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《餐桌餐椅》、GB/T 10357.3-2013《家具力学性能试验 第3部分：椅凳类强度和耐久性》</w:t>
            </w:r>
          </w:p>
          <w:p w14:paraId="3028BC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检测项目：（1）主要尺寸与极限偏差-餐椅、餐凳（mm）：椅（凳）面宽度≥260mm、400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≤椅（凳）面高度-硬面≤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椅（凳）面深度≥260mm； （2）着地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平稳性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（mm）：桌、椅（凳）地脚与水平面的差值≤2.0mm；（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）椅凳稳定性：椅向后倾翻：垂直加载600N，水平加载80N，无倾翻；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检测结果符合要求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  <w:p w14:paraId="73FABB8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提供齐全且满足检测要求的得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分，每缺一项检测项目或不符合要求的扣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6BFCB412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【证明材料：1）以上检测报告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并加盖公章2）全国认证认可信息公共服务平台官网（http://cx.cnca.cn/)查询截图加盖公章，否则不得分。】</w:t>
            </w:r>
          </w:p>
        </w:tc>
      </w:tr>
      <w:tr w14:paraId="2523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vAlign w:val="top"/>
          </w:tcPr>
          <w:p w14:paraId="2C57DC4E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 w14:paraId="21FF4FB8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第四部分评标办法-评标办法前附表序号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433" w:type="dxa"/>
          </w:tcPr>
          <w:p w14:paraId="77F8A0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投标文件中提供，具备CMA资质的第三方检测机构出具的家具原材料合格抽样（送样等）检测报告，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材料供应商提供符合以下要求的检测报告也可采用，但必须提供供应商购买对应原材料的发票扫描件，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其中核心技术指标评分内容如下：</w:t>
            </w:r>
          </w:p>
          <w:p w14:paraId="71C292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1、红橡木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：检侧依据：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3324-2017《木家具通用技术条件》、GB 18584-2001《室内装修材料木家具中有害物质》</w:t>
            </w:r>
            <w:bookmarkStart w:id="0" w:name="_GoBack"/>
            <w:bookmarkEnd w:id="0"/>
          </w:p>
          <w:p w14:paraId="074D5A4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检测结果：木材应经干燥处理，木材含水率应为≤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%；甲醛释放量≤1.5mg/L；</w:t>
            </w:r>
          </w:p>
          <w:p w14:paraId="6BC9BC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2、热熔胶：检测依据：GB 18583-2008《室内装饰装修材料 胶粘剂中有害物质限量》</w:t>
            </w:r>
          </w:p>
          <w:p w14:paraId="7ADB86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检测内容包含：游离甲醛检出结果≤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g/kg；甲苯、二甲苯检出结果≤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g/kg；总挥发性有机物检出结果≤100g/L。</w:t>
            </w:r>
          </w:p>
          <w:p w14:paraId="151368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水性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底漆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：检测依据：GB 18581-2020《木器涂料中有害物质限量》；GB/T23993-2009《水性涂料中甲醛含量的测定 乙酰丙酮分光光度法》；GB/T 31414-2015《水性涂料 表面活性剂的测定 烷基酚聚氧乙烯醚》；GB/T 23990-2009《涂料中苯、甲苯、乙苯和二甲苯含量的测定 气相色谱法》；</w:t>
            </w:r>
          </w:p>
          <w:p w14:paraId="607458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检测结果：VOC含量 涂料：色漆≤250g/L；清漆≤300</w:t>
            </w:r>
            <w:r>
              <w:rPr>
                <w:rFonts w:hint="eastAsia"/>
                <w:color w:val="auto"/>
                <w:highlight w:val="none"/>
              </w:rPr>
              <w:t>g/L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。甲醛含量：≤100mg/kg；可溶性重金属（限色漆、腻子和醇酸清漆）镉（cd）≤75mg/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g、铬（cr）≤60mg/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g、汞（hg）≤60mg/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 ；苯系物总和含量[限苯、甲苯、二甲苯（含乙苯）]≤250mg/kg ；烷基酚聚氧乙烯醚总和含量{限辛基酚聚氧乙烯醚}≤1000mg/kg 。</w:t>
            </w:r>
          </w:p>
          <w:p w14:paraId="04F95EB4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4、水性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面漆：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检测依据：GB 18581-2020《木器涂料中有害物质限量》；GB/T23993-2009《水性涂料中甲醛含量的测定 乙酰丙酮分光光度法》；GB/T 31414-2015《水性涂料 表面活性剂的测定 烷基酚聚氧乙烯醚》；GB/T 23990-2009《涂料中苯、甲苯、乙苯和二甲苯含量的测定气相色谱法》；</w:t>
            </w:r>
          </w:p>
          <w:p w14:paraId="79B5A17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检测结果：VOC含量 涂料：色漆≤250g/L；清漆≤300</w:t>
            </w:r>
            <w:r>
              <w:rPr>
                <w:rFonts w:hint="eastAsia"/>
                <w:color w:val="auto"/>
                <w:highlight w:val="none"/>
              </w:rPr>
              <w:t>g/L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。甲醛含量：≤100mg/kg；可溶性重金属（限色漆、腻子和醇酸清漆）镉（cd）≤75mg/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g、铬（cr）≤60mg/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g、汞（hg）≤60mg/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 ；苯系物总和含量[限苯、甲苯、二甲苯（含乙苯）]≤250mg/kg ；烷基酚聚氧乙烯醚总和含量{限辛基酚聚氧乙烯醚}≤1000mg/kg 。</w:t>
            </w:r>
          </w:p>
          <w:p w14:paraId="28072B6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提供齐全且满足检测要求的得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分，每缺一项检测项目或不符合要求的扣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3ECC4639"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【证明材料：1）以上检测报告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并加盖公章2）全国认证认可信息公共服务平台官网（http://cx.cnca.cn/)查询截图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加盖公章，否则不得分。】</w:t>
            </w:r>
          </w:p>
        </w:tc>
        <w:tc>
          <w:tcPr>
            <w:tcW w:w="3421" w:type="dxa"/>
          </w:tcPr>
          <w:p w14:paraId="531886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投标文件中提供，具备CMA资质的第三方检测机构出具的家具原材料合格抽样（送样等）检测报告，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材料供应商提供符合以下要求的检测报告也可采用，但必须提供供应商购买对应原材料的发票扫描件，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其中核心技术指标评分内容如下：</w:t>
            </w:r>
          </w:p>
          <w:p w14:paraId="6A879D80"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红橡木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：检侧依据：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GB/T 3324-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《木家具通用技术条件》、GB 18580-2017《室内装饰装修材料 人造板及其制品中甲醛释放限量》</w:t>
            </w:r>
          </w:p>
          <w:p w14:paraId="37B8FEB0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default" w:cs="宋体"/>
                <w:b w:val="0"/>
                <w:bCs w:val="0"/>
                <w:color w:val="auto"/>
                <w:sz w:val="24"/>
                <w:szCs w:val="24"/>
                <w:highlight w:val="none"/>
                <w:woUserID w:val="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检测结果：木材应经干燥处理，木材含水率应为≤9%；甲醛释放量≤0. 124 mg/m³</w:t>
            </w:r>
          </w:p>
          <w:p w14:paraId="318CDAE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2、热熔胶：检测依据：GB 18583-2008《室内装饰装修材料 胶粘剂中有害物质限量》</w:t>
            </w:r>
          </w:p>
          <w:p w14:paraId="3B1A7B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检测内容包含：游离甲醛检出结果≤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g/kg；甲苯、二甲苯检出结果≤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g/kg；总挥发性有机物检出结果≤100g/L。</w:t>
            </w:r>
          </w:p>
          <w:p w14:paraId="0383EB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水性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底漆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：检测依据：GB 18581-2020《木器涂料中有害物质限量》；GB/T23993-2009《水性涂料中甲醛含量的测定 乙酰丙酮分光光度法》；GB/T 31414-2015《水性涂料 表面活性剂的测定 烷基酚聚氧乙烯醚》；GB/T 23990-2009《涂料中苯、甲苯、乙苯和二甲苯含量的测定 气相色谱法》；</w:t>
            </w:r>
          </w:p>
          <w:p w14:paraId="677CFA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检测结果：VOC含量 涂料：色漆≤250g/L；清漆≤300</w:t>
            </w:r>
            <w:r>
              <w:rPr>
                <w:rFonts w:hint="eastAsia"/>
                <w:color w:val="auto"/>
                <w:highlight w:val="none"/>
              </w:rPr>
              <w:t>g/L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。甲醛含量：≤100mg/kg；可溶性重金属（限色漆、腻子和醇酸清漆）镉（cd）≤75mg/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g、铬（cr）≤60mg/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g、汞（hg）≤60mg/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 ；苯系物总和含量[限苯、甲苯、二甲苯（含乙苯）]≤250mg/kg ；烷基酚聚氧乙烯醚总和含量{限辛基酚聚氧乙烯醚}≤1000mg/kg 。</w:t>
            </w:r>
          </w:p>
          <w:p w14:paraId="3093A753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4、水性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面漆：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检测依据：GB 18581-2020《木器涂料中有害物质限量》；GB/T23993-2009《水性涂料中甲醛含量的测定 乙酰丙酮分光光度法》；GB/T 31414-2015《水性涂料 表面活性剂的测定 烷基酚聚氧乙烯醚》；GB/T 23990-2009《涂料中苯、甲苯、乙苯和二甲苯含量的测定气相色谱法》；</w:t>
            </w:r>
          </w:p>
          <w:p w14:paraId="025D169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检测结果：VOC含量 涂料：色漆≤250g/L；清漆≤300</w:t>
            </w:r>
            <w:r>
              <w:rPr>
                <w:rFonts w:hint="eastAsia"/>
                <w:color w:val="auto"/>
                <w:highlight w:val="none"/>
              </w:rPr>
              <w:t>g/L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。甲醛含量：≤100mg/kg；可溶性重金属（限色漆、腻子和醇酸清漆）镉（cd）≤75mg/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g、铬（cr）≤60mg/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g、汞（hg）≤60mg/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g ；苯系物总和含量[限苯、甲苯、二甲苯（含乙苯）]≤250mg/kg ；烷基酚聚氧乙烯醚总和含量{限辛基酚聚氧乙烯醚}≤1000mg/kg 。</w:t>
            </w:r>
          </w:p>
          <w:p w14:paraId="12B05E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提供齐全且满足检测要求的得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分，每缺一项检测项目或不符合要求的扣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0D97FE29"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【证明材料：1）以上检测报告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并加盖公章2）全国认证认可信息公共服务平台官网（http://cx.cnca.cn/)查询截图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加盖公章，否则不得分。】</w:t>
            </w:r>
          </w:p>
        </w:tc>
      </w:tr>
    </w:tbl>
    <w:p w14:paraId="5291C496">
      <w:pPr>
        <w:pStyle w:val="2"/>
        <w:rPr>
          <w:color w:val="auto"/>
          <w:highlight w:val="none"/>
        </w:rPr>
      </w:pPr>
    </w:p>
    <w:p w14:paraId="2BFCD7DF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BEC17"/>
    <w:multiLevelType w:val="singleLevel"/>
    <w:tmpl w:val="D1FBE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NhMGM5YTBkNmYxY2E4ODFjNDAyZWJmZmFjYjUifQ=="/>
  </w:docVars>
  <w:rsids>
    <w:rsidRoot w:val="1C13233C"/>
    <w:rsid w:val="000E4CE8"/>
    <w:rsid w:val="00570523"/>
    <w:rsid w:val="005768F3"/>
    <w:rsid w:val="00630CC3"/>
    <w:rsid w:val="00691574"/>
    <w:rsid w:val="00766A13"/>
    <w:rsid w:val="007A3ADF"/>
    <w:rsid w:val="007A7459"/>
    <w:rsid w:val="00820C0C"/>
    <w:rsid w:val="00823B86"/>
    <w:rsid w:val="00853967"/>
    <w:rsid w:val="008E44FF"/>
    <w:rsid w:val="00985CC7"/>
    <w:rsid w:val="00BC4975"/>
    <w:rsid w:val="00C20329"/>
    <w:rsid w:val="00CB10CD"/>
    <w:rsid w:val="00E27B88"/>
    <w:rsid w:val="01C610BB"/>
    <w:rsid w:val="087F08C3"/>
    <w:rsid w:val="09A1725A"/>
    <w:rsid w:val="130E5C52"/>
    <w:rsid w:val="13133011"/>
    <w:rsid w:val="184970F3"/>
    <w:rsid w:val="18D2655E"/>
    <w:rsid w:val="191F1DC5"/>
    <w:rsid w:val="1AA63C58"/>
    <w:rsid w:val="1C13233C"/>
    <w:rsid w:val="1E71779F"/>
    <w:rsid w:val="221745C0"/>
    <w:rsid w:val="264D7EA7"/>
    <w:rsid w:val="267B335A"/>
    <w:rsid w:val="2B0F0573"/>
    <w:rsid w:val="37C6680D"/>
    <w:rsid w:val="38A90BBF"/>
    <w:rsid w:val="3A640854"/>
    <w:rsid w:val="3F877B46"/>
    <w:rsid w:val="401839F9"/>
    <w:rsid w:val="40574BD4"/>
    <w:rsid w:val="4136502E"/>
    <w:rsid w:val="422B4C33"/>
    <w:rsid w:val="43D149FC"/>
    <w:rsid w:val="443F5AC6"/>
    <w:rsid w:val="493C4382"/>
    <w:rsid w:val="5114079A"/>
    <w:rsid w:val="512420C1"/>
    <w:rsid w:val="52A205F2"/>
    <w:rsid w:val="537B6113"/>
    <w:rsid w:val="575A2427"/>
    <w:rsid w:val="59106061"/>
    <w:rsid w:val="5A345335"/>
    <w:rsid w:val="5B1F1D55"/>
    <w:rsid w:val="5EAD664F"/>
    <w:rsid w:val="602E1AEA"/>
    <w:rsid w:val="65F56152"/>
    <w:rsid w:val="661C2A2C"/>
    <w:rsid w:val="6DEE2754"/>
    <w:rsid w:val="72611841"/>
    <w:rsid w:val="72DE7034"/>
    <w:rsid w:val="730E3644"/>
    <w:rsid w:val="779509AF"/>
    <w:rsid w:val="7A1A73F5"/>
    <w:rsid w:val="7D6608A6"/>
    <w:rsid w:val="7EA7082E"/>
    <w:rsid w:val="7F0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360" w:lineRule="auto"/>
      <w:ind w:left="-44" w:firstLine="44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20"/>
    <w:rPr>
      <w:color w:val="CC0033"/>
    </w:rPr>
  </w:style>
  <w:style w:type="paragraph" w:customStyle="1" w:styleId="11">
    <w:name w:val="num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2957</Words>
  <Characters>3790</Characters>
  <Lines>66</Lines>
  <Paragraphs>18</Paragraphs>
  <TotalTime>12</TotalTime>
  <ScaleCrop>false</ScaleCrop>
  <LinksUpToDate>false</LinksUpToDate>
  <CharactersWithSpaces>3863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2022-04-22T09:39:00Z</dcterms:created>
  <dc:creator>高乐怡</dc:creator>
  <cp:lastModifiedBy>X</cp:lastModifiedBy>
  <dcterms:modified xsi:type="dcterms:W3CDTF">2025-06-20T06:52:52Z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BBFBE651A16441CFA936B89546F614BD_13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