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lang w:val="en-US" w:eastAsia="zh-CN"/>
        </w:rPr>
      </w:pPr>
      <w:bookmarkStart w:id="77" w:name="_GoBack"/>
      <w:bookmarkEnd w:id="77"/>
      <w:r>
        <w:rPr>
          <w:rFonts w:hint="eastAsia" w:ascii="宋体" w:hAnsi="宋体" w:cs="宋体"/>
          <w:b/>
          <w:sz w:val="24"/>
          <w:lang w:val="en-US" w:eastAsia="zh-CN"/>
        </w:rPr>
        <w:t xml:space="preserve"> </w:t>
      </w: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b/>
          <w:bCs/>
          <w:color w:val="auto"/>
          <w:sz w:val="48"/>
          <w:szCs w:val="48"/>
          <w:lang w:eastAsia="zh-CN"/>
        </w:rPr>
      </w:pPr>
      <w:bookmarkStart w:id="0" w:name="第二部分"/>
      <w:bookmarkStart w:id="1" w:name="_Toc91899870"/>
      <w:bookmarkStart w:id="2" w:name="_Toc91899871"/>
      <w:r>
        <w:rPr>
          <w:rFonts w:hint="eastAsia" w:ascii="宋体" w:hAnsi="宋体" w:cs="宋体"/>
          <w:b/>
          <w:bCs/>
          <w:color w:val="auto"/>
          <w:sz w:val="48"/>
          <w:szCs w:val="48"/>
          <w:lang w:eastAsia="zh-CN"/>
        </w:rPr>
        <w:t>杜甫小学和杜甫二小（筹）体育器</w:t>
      </w:r>
    </w:p>
    <w:p>
      <w:pPr>
        <w:adjustRightInd/>
        <w:spacing w:line="360" w:lineRule="auto"/>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材项目采购</w:t>
      </w:r>
    </w:p>
    <w:p>
      <w:pPr>
        <w:adjustRightInd/>
        <w:spacing w:line="360" w:lineRule="auto"/>
        <w:jc w:val="center"/>
        <w:rPr>
          <w:rFonts w:hint="eastAsia" w:ascii="宋体" w:hAnsi="宋体" w:eastAsia="宋体" w:cs="宋体"/>
          <w:color w:val="auto"/>
          <w:sz w:val="48"/>
          <w:szCs w:val="48"/>
        </w:rPr>
      </w:pPr>
    </w:p>
    <w:p>
      <w:pPr>
        <w:pStyle w:val="80"/>
        <w:rPr>
          <w:rFonts w:hint="eastAsia"/>
        </w:rPr>
      </w:pPr>
    </w:p>
    <w:p>
      <w:pPr>
        <w:adjustRightInd/>
        <w:spacing w:line="360" w:lineRule="auto"/>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招</w:t>
      </w:r>
      <w:r>
        <w:rPr>
          <w:rFonts w:hint="eastAsia" w:ascii="宋体" w:hAnsi="宋体" w:eastAsia="宋体" w:cs="宋体"/>
          <w:b/>
          <w:bCs/>
          <w:color w:val="auto"/>
          <w:sz w:val="72"/>
          <w:szCs w:val="72"/>
          <w:lang w:val="en-US" w:eastAsia="zh-CN"/>
        </w:rPr>
        <w:t xml:space="preserve"> </w:t>
      </w:r>
      <w:r>
        <w:rPr>
          <w:rFonts w:hint="eastAsia" w:ascii="宋体" w:hAnsi="宋体" w:eastAsia="宋体" w:cs="宋体"/>
          <w:b/>
          <w:bCs/>
          <w:color w:val="auto"/>
          <w:sz w:val="72"/>
          <w:szCs w:val="72"/>
        </w:rPr>
        <w:t>标</w:t>
      </w:r>
      <w:r>
        <w:rPr>
          <w:rFonts w:hint="eastAsia" w:ascii="宋体" w:hAnsi="宋体" w:eastAsia="宋体" w:cs="宋体"/>
          <w:b/>
          <w:bCs/>
          <w:color w:val="auto"/>
          <w:sz w:val="72"/>
          <w:szCs w:val="72"/>
          <w:lang w:val="en-US" w:eastAsia="zh-CN"/>
        </w:rPr>
        <w:t xml:space="preserve"> </w:t>
      </w:r>
      <w:r>
        <w:rPr>
          <w:rFonts w:hint="eastAsia" w:ascii="宋体" w:hAnsi="宋体" w:eastAsia="宋体" w:cs="宋体"/>
          <w:b/>
          <w:bCs/>
          <w:color w:val="auto"/>
          <w:sz w:val="72"/>
          <w:szCs w:val="72"/>
        </w:rPr>
        <w:t>文</w:t>
      </w:r>
      <w:r>
        <w:rPr>
          <w:rFonts w:hint="eastAsia" w:ascii="宋体" w:hAnsi="宋体" w:eastAsia="宋体" w:cs="宋体"/>
          <w:b/>
          <w:bCs/>
          <w:color w:val="auto"/>
          <w:sz w:val="72"/>
          <w:szCs w:val="72"/>
          <w:lang w:val="en-US" w:eastAsia="zh-CN"/>
        </w:rPr>
        <w:t xml:space="preserve"> </w:t>
      </w:r>
      <w:r>
        <w:rPr>
          <w:rFonts w:hint="eastAsia" w:ascii="宋体" w:hAnsi="宋体" w:eastAsia="宋体" w:cs="宋体"/>
          <w:b/>
          <w:bCs/>
          <w:color w:val="auto"/>
          <w:sz w:val="72"/>
          <w:szCs w:val="72"/>
        </w:rPr>
        <w:t xml:space="preserve">件 </w:t>
      </w:r>
    </w:p>
    <w:p>
      <w:pPr>
        <w:adjustRightInd/>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（电子招投标）</w:t>
      </w:r>
    </w:p>
    <w:p>
      <w:pPr>
        <w:pStyle w:val="2"/>
        <w:rPr>
          <w:rFonts w:hint="eastAsia"/>
        </w:rPr>
      </w:pPr>
    </w:p>
    <w:p>
      <w:pPr>
        <w:snapToGrid w:val="0"/>
        <w:spacing w:line="360" w:lineRule="auto"/>
        <w:jc w:val="center"/>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编号:</w:t>
      </w:r>
      <w:r>
        <w:rPr>
          <w:rFonts w:hint="eastAsia" w:ascii="宋体" w:hAnsi="宋体" w:cs="宋体"/>
          <w:color w:val="auto"/>
          <w:sz w:val="30"/>
          <w:szCs w:val="30"/>
          <w:lang w:val="en-US" w:eastAsia="zh-CN"/>
        </w:rPr>
        <w:t>XTDZFCG2024-001</w:t>
      </w:r>
    </w:p>
    <w:p>
      <w:pPr>
        <w:adjustRightInd/>
        <w:spacing w:line="360" w:lineRule="auto"/>
        <w:rPr>
          <w:rFonts w:hint="eastAsia" w:ascii="宋体" w:hAnsi="宋体" w:eastAsia="宋体" w:cs="宋体"/>
          <w:color w:val="auto"/>
          <w:sz w:val="28"/>
          <w:szCs w:val="20"/>
        </w:rPr>
      </w:pPr>
    </w:p>
    <w:p>
      <w:pPr>
        <w:spacing w:line="360" w:lineRule="auto"/>
        <w:jc w:val="both"/>
        <w:rPr>
          <w:rFonts w:hint="eastAsia" w:ascii="宋体" w:hAnsi="宋体" w:eastAsia="宋体" w:cs="宋体"/>
          <w:b/>
          <w:color w:val="auto"/>
          <w:sz w:val="44"/>
          <w:szCs w:val="44"/>
        </w:rPr>
      </w:pPr>
    </w:p>
    <w:p>
      <w:pPr>
        <w:spacing w:line="360" w:lineRule="auto"/>
        <w:jc w:val="center"/>
        <w:rPr>
          <w:rFonts w:hint="eastAsia" w:ascii="宋体" w:hAnsi="宋体" w:eastAsia="宋体" w:cs="宋体"/>
          <w:color w:val="auto"/>
          <w:sz w:val="24"/>
        </w:rPr>
      </w:pPr>
    </w:p>
    <w:p>
      <w:pPr>
        <w:spacing w:line="360" w:lineRule="auto"/>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rPr>
        <w:t>采购人</w:t>
      </w:r>
      <w:r>
        <w:rPr>
          <w:rFonts w:hint="eastAsia" w:ascii="宋体" w:hAnsi="宋体" w:eastAsia="宋体" w:cs="宋体"/>
          <w:color w:val="auto"/>
          <w:sz w:val="32"/>
          <w:szCs w:val="32"/>
          <w:lang w:val="en-US" w:eastAsia="zh-CN"/>
        </w:rPr>
        <w:t>:</w:t>
      </w:r>
      <w:r>
        <w:rPr>
          <w:rFonts w:hint="eastAsia" w:ascii="宋体" w:hAnsi="宋体" w:cs="宋体"/>
          <w:color w:val="auto"/>
          <w:sz w:val="32"/>
          <w:szCs w:val="32"/>
          <w:lang w:val="en-US" w:eastAsia="zh-CN"/>
        </w:rPr>
        <w:t>杭州市余杭区理想实验学校</w:t>
      </w:r>
    </w:p>
    <w:p>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rPr>
        <w:t>采购代理机构</w:t>
      </w:r>
      <w:r>
        <w:rPr>
          <w:rFonts w:hint="eastAsia" w:ascii="宋体" w:hAnsi="宋体" w:eastAsia="宋体" w:cs="宋体"/>
          <w:bCs/>
          <w:color w:val="auto"/>
          <w:sz w:val="32"/>
          <w:szCs w:val="32"/>
          <w:lang w:val="en-US" w:eastAsia="zh-CN"/>
        </w:rPr>
        <w:t>:</w:t>
      </w:r>
      <w:r>
        <w:rPr>
          <w:rFonts w:hint="eastAsia" w:ascii="宋体" w:hAnsi="宋体" w:cs="宋体"/>
          <w:bCs/>
          <w:color w:val="auto"/>
          <w:sz w:val="32"/>
          <w:szCs w:val="32"/>
          <w:lang w:val="en-US" w:eastAsia="zh-CN"/>
        </w:rPr>
        <w:t>杭州新天地建设管理有限公司</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二〇二</w:t>
      </w:r>
      <w:r>
        <w:rPr>
          <w:rFonts w:hint="eastAsia" w:ascii="宋体" w:hAnsi="宋体" w:cs="宋体"/>
          <w:bCs/>
          <w:color w:val="auto"/>
          <w:sz w:val="32"/>
          <w:szCs w:val="32"/>
          <w:lang w:val="en-US" w:eastAsia="zh-CN"/>
        </w:rPr>
        <w:t xml:space="preserve">四 </w:t>
      </w:r>
      <w:r>
        <w:rPr>
          <w:rFonts w:hint="eastAsia" w:ascii="宋体" w:hAnsi="宋体" w:eastAsia="宋体" w:cs="宋体"/>
          <w:bCs/>
          <w:color w:val="auto"/>
          <w:sz w:val="32"/>
          <w:szCs w:val="32"/>
        </w:rPr>
        <w:t>年</w:t>
      </w:r>
      <w:r>
        <w:rPr>
          <w:rFonts w:hint="eastAsia" w:ascii="宋体" w:hAnsi="宋体" w:cs="宋体"/>
          <w:bCs/>
          <w:color w:val="auto"/>
          <w:sz w:val="32"/>
          <w:szCs w:val="32"/>
          <w:lang w:val="en-US" w:eastAsia="zh-CN"/>
        </w:rPr>
        <w:t xml:space="preserve"> 五 </w:t>
      </w:r>
      <w:r>
        <w:rPr>
          <w:rFonts w:hint="eastAsia" w:ascii="宋体" w:hAnsi="宋体" w:cs="宋体"/>
          <w:bCs/>
          <w:color w:val="auto"/>
          <w:sz w:val="32"/>
          <w:szCs w:val="32"/>
          <w:lang w:eastAsia="zh-CN"/>
        </w:rPr>
        <w:t>月</w:t>
      </w:r>
      <w:r>
        <w:rPr>
          <w:rFonts w:hint="eastAsia" w:ascii="宋体" w:hAnsi="宋体" w:cs="宋体"/>
          <w:bCs/>
          <w:color w:val="auto"/>
          <w:sz w:val="32"/>
          <w:szCs w:val="32"/>
          <w:lang w:val="en-US" w:eastAsia="zh-CN"/>
        </w:rPr>
        <w:t xml:space="preserve"> 七 </w:t>
      </w:r>
      <w:r>
        <w:rPr>
          <w:rFonts w:hint="eastAsia" w:ascii="宋体" w:hAnsi="宋体" w:eastAsia="宋体" w:cs="宋体"/>
          <w:bCs/>
          <w:color w:val="auto"/>
          <w:sz w:val="32"/>
          <w:szCs w:val="32"/>
        </w:rPr>
        <w:t>日</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br w:type="page"/>
      </w:r>
      <w:bookmarkStart w:id="3" w:name="_Hlt67893495"/>
      <w:bookmarkEnd w:id="3"/>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第一部分      招标公告</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第二部分      投标人须知</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第三部分      采购需求</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第四部分      评标办法</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第五部分      拟签订的合同文本</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第六部分      应提交的有关格式范例</w:t>
      </w:r>
    </w:p>
    <w:p>
      <w:pPr>
        <w:spacing w:line="360" w:lineRule="auto"/>
        <w:ind w:firstLine="549" w:firstLineChars="229"/>
        <w:rPr>
          <w:rFonts w:hint="eastAsia" w:ascii="宋体" w:hAnsi="宋体" w:eastAsia="宋体" w:cs="宋体"/>
          <w:color w:val="auto"/>
          <w:sz w:val="24"/>
        </w:rPr>
      </w:pPr>
      <w:bookmarkStart w:id="4" w:name="_Hlt91233176"/>
      <w:bookmarkEnd w:id="4"/>
      <w:bookmarkStart w:id="5" w:name="_Toc91899869"/>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adjustRightInd/>
        <w:spacing w:line="360" w:lineRule="auto"/>
        <w:jc w:val="center"/>
        <w:outlineLvl w:val="0"/>
        <w:rPr>
          <w:rFonts w:hint="eastAsia" w:ascii="宋体" w:hAnsi="宋体" w:eastAsia="宋体" w:cs="宋体"/>
          <w:b/>
          <w:color w:val="auto"/>
          <w:sz w:val="36"/>
          <w:szCs w:val="20"/>
        </w:rPr>
      </w:pPr>
      <w:bookmarkStart w:id="6" w:name="第一部分"/>
      <w:r>
        <w:rPr>
          <w:rFonts w:hint="eastAsia" w:ascii="宋体" w:hAnsi="宋体" w:eastAsia="宋体" w:cs="宋体"/>
          <w:b/>
          <w:color w:val="auto"/>
          <w:sz w:val="36"/>
          <w:szCs w:val="36"/>
        </w:rPr>
        <w:br w:type="page"/>
      </w:r>
      <w:bookmarkEnd w:id="5"/>
      <w:bookmarkEnd w:id="6"/>
      <w:bookmarkStart w:id="7" w:name="_Hlt74728647"/>
      <w:bookmarkEnd w:id="7"/>
      <w:bookmarkStart w:id="8" w:name="_Hlt74729822"/>
      <w:bookmarkEnd w:id="8"/>
      <w:bookmarkStart w:id="9" w:name="_Hlt74649545"/>
      <w:bookmarkEnd w:id="9"/>
      <w:bookmarkStart w:id="10" w:name="_Hlt74707423"/>
      <w:bookmarkEnd w:id="10"/>
      <w:r>
        <w:rPr>
          <w:rFonts w:hint="eastAsia" w:ascii="宋体" w:hAnsi="宋体" w:eastAsia="宋体" w:cs="宋体"/>
          <w:b/>
          <w:color w:val="auto"/>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cs="宋体"/>
          <w:color w:val="auto"/>
          <w:sz w:val="24"/>
          <w:u w:val="single"/>
          <w:lang w:eastAsia="zh-CN"/>
        </w:rPr>
        <w:t>杜甫小学和杜甫二小（筹）体育器材项目采购</w:t>
      </w:r>
      <w:r>
        <w:rPr>
          <w:rFonts w:hint="eastAsia" w:ascii="宋体" w:hAnsi="宋体" w:eastAsia="宋体" w:cs="宋体"/>
          <w:color w:val="auto"/>
          <w:sz w:val="24"/>
        </w:rPr>
        <w:t>招标项目</w:t>
      </w:r>
      <w:r>
        <w:rPr>
          <w:rFonts w:hint="eastAsia" w:ascii="宋体" w:hAnsi="宋体" w:eastAsia="宋体" w:cs="宋体"/>
          <w:color w:val="auto"/>
          <w:sz w:val="24"/>
          <w:highlight w:val="none"/>
        </w:rPr>
        <w:t>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eastAsia="宋体" w:cs="宋体"/>
          <w:snapToGrid/>
          <w:color w:val="auto"/>
          <w:kern w:val="2"/>
          <w:sz w:val="24"/>
          <w:szCs w:val="24"/>
          <w:highlight w:val="none"/>
          <w:u w:val="single"/>
        </w:rPr>
        <w:t>202</w:t>
      </w:r>
      <w:r>
        <w:rPr>
          <w:rStyle w:val="77"/>
          <w:rFonts w:hint="eastAsia" w:ascii="宋体" w:hAnsi="宋体" w:cs="宋体"/>
          <w:snapToGrid/>
          <w:color w:val="auto"/>
          <w:kern w:val="2"/>
          <w:sz w:val="24"/>
          <w:szCs w:val="24"/>
          <w:highlight w:val="none"/>
          <w:u w:val="single"/>
          <w:lang w:val="en-US" w:eastAsia="zh-CN"/>
        </w:rPr>
        <w:t>4</w:t>
      </w:r>
      <w:r>
        <w:rPr>
          <w:rStyle w:val="77"/>
          <w:rFonts w:hint="eastAsia" w:ascii="宋体" w:hAnsi="宋体" w:eastAsia="宋体" w:cs="宋体"/>
          <w:snapToGrid/>
          <w:color w:val="auto"/>
          <w:kern w:val="2"/>
          <w:sz w:val="24"/>
          <w:szCs w:val="24"/>
          <w:highlight w:val="none"/>
          <w:u w:val="single"/>
        </w:rPr>
        <w:t>年</w:t>
      </w:r>
      <w:r>
        <w:rPr>
          <w:rStyle w:val="77"/>
          <w:rFonts w:hint="eastAsia" w:ascii="宋体" w:hAnsi="宋体" w:cs="宋体"/>
          <w:snapToGrid/>
          <w:color w:val="auto"/>
          <w:kern w:val="2"/>
          <w:sz w:val="24"/>
          <w:szCs w:val="24"/>
          <w:highlight w:val="none"/>
          <w:u w:val="single"/>
          <w:lang w:val="en-US" w:eastAsia="zh-CN"/>
        </w:rPr>
        <w:t>05</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cs="宋体"/>
          <w:snapToGrid/>
          <w:color w:val="auto"/>
          <w:kern w:val="2"/>
          <w:sz w:val="24"/>
          <w:szCs w:val="24"/>
          <w:highlight w:val="none"/>
          <w:u w:val="single"/>
          <w:lang w:val="en-US" w:eastAsia="zh-CN"/>
        </w:rPr>
        <w:t>21</w:t>
      </w:r>
      <w:r>
        <w:rPr>
          <w:rStyle w:val="77"/>
          <w:rFonts w:hint="eastAsia" w:ascii="宋体" w:hAnsi="宋体" w:eastAsia="宋体" w:cs="宋体"/>
          <w:snapToGrid/>
          <w:color w:val="auto"/>
          <w:kern w:val="2"/>
          <w:sz w:val="24"/>
          <w:szCs w:val="24"/>
          <w:highlight w:val="none"/>
          <w:u w:val="single"/>
        </w:rPr>
        <w:t>日</w:t>
      </w:r>
      <w:r>
        <w:rPr>
          <w:rStyle w:val="77"/>
          <w:rFonts w:hint="eastAsia" w:ascii="宋体" w:hAnsi="宋体" w:cs="宋体"/>
          <w:snapToGrid/>
          <w:color w:val="auto"/>
          <w:kern w:val="2"/>
          <w:sz w:val="24"/>
          <w:szCs w:val="24"/>
          <w:highlight w:val="none"/>
          <w:u w:val="single"/>
          <w:lang w:val="en-US" w:eastAsia="zh-CN"/>
        </w:rPr>
        <w:t>14</w:t>
      </w:r>
      <w:r>
        <w:rPr>
          <w:rStyle w:val="77"/>
          <w:rFonts w:hint="eastAsia" w:ascii="宋体" w:hAnsi="宋体" w:eastAsia="宋体" w:cs="宋体"/>
          <w:snapToGrid/>
          <w:color w:val="auto"/>
          <w:kern w:val="2"/>
          <w:sz w:val="24"/>
          <w:szCs w:val="24"/>
          <w:highlight w:val="none"/>
          <w:u w:val="single"/>
        </w:rPr>
        <w:t>点</w:t>
      </w:r>
      <w:r>
        <w:rPr>
          <w:rStyle w:val="77"/>
          <w:rFonts w:hint="eastAsia" w:ascii="宋体" w:hAnsi="宋体" w:cs="宋体"/>
          <w:snapToGrid/>
          <w:color w:val="auto"/>
          <w:kern w:val="2"/>
          <w:sz w:val="24"/>
          <w:szCs w:val="24"/>
          <w:highlight w:val="none"/>
          <w:u w:val="single"/>
          <w:lang w:val="en-US" w:eastAsia="zh-CN"/>
        </w:rPr>
        <w:t>00</w:t>
      </w:r>
      <w:r>
        <w:rPr>
          <w:rStyle w:val="77"/>
          <w:rFonts w:hint="eastAsia" w:ascii="宋体" w:hAnsi="宋体" w:eastAsia="宋体" w:cs="宋体"/>
          <w:snapToGrid/>
          <w:color w:val="auto"/>
          <w:kern w:val="2"/>
          <w:sz w:val="24"/>
          <w:szCs w:val="24"/>
          <w:highlight w:val="none"/>
          <w:u w:val="single"/>
        </w:rPr>
        <w:t>分</w:t>
      </w:r>
      <w:r>
        <w:rPr>
          <w:rStyle w:val="77"/>
          <w:rFonts w:hint="eastAsia" w:ascii="宋体" w:hAnsi="宋体" w:eastAsia="宋体" w:cs="宋体"/>
          <w:bCs/>
          <w:snapToGrid/>
          <w:color w:val="auto"/>
          <w:kern w:val="2"/>
          <w:sz w:val="24"/>
          <w:szCs w:val="24"/>
          <w:highlight w:val="none"/>
          <w:u w:val="singl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一、项目基本情况</w:t>
      </w:r>
      <w:r>
        <w:rPr>
          <w:rFonts w:hint="eastAsia" w:ascii="宋体" w:hAnsi="宋体" w:cs="宋体"/>
          <w:b/>
          <w:color w:val="auto"/>
          <w:sz w:val="24"/>
          <w:lang w:eastAsia="zh-CN"/>
        </w:rPr>
        <w:t>：</w:t>
      </w:r>
      <w:r>
        <w:rPr>
          <w:rFonts w:hint="eastAsia" w:ascii="宋体" w:hAnsi="宋体" w:eastAsia="宋体" w:cs="宋体"/>
          <w:b/>
          <w:color w:val="auto"/>
          <w:sz w:val="24"/>
        </w:rPr>
        <w:t xml:space="preserve">                                            </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w:t>
      </w:r>
      <w:r>
        <w:rPr>
          <w:rFonts w:hint="eastAsia" w:ascii="宋体" w:hAnsi="宋体" w:eastAsia="宋体" w:cs="宋体"/>
          <w:b/>
          <w:color w:val="auto"/>
          <w:sz w:val="24"/>
        </w:rPr>
        <w:t>项目编号：</w:t>
      </w:r>
      <w:r>
        <w:rPr>
          <w:rFonts w:hint="eastAsia" w:ascii="宋体" w:hAnsi="宋体" w:cs="宋体"/>
          <w:color w:val="auto"/>
          <w:sz w:val="24"/>
          <w:lang w:eastAsia="zh-CN"/>
        </w:rPr>
        <w:t>XTDZFCG2024-001</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w:t>
      </w:r>
      <w:r>
        <w:rPr>
          <w:rFonts w:hint="eastAsia" w:ascii="宋体" w:hAnsi="宋体" w:eastAsia="宋体" w:cs="宋体"/>
          <w:b/>
          <w:color w:val="auto"/>
          <w:sz w:val="24"/>
        </w:rPr>
        <w:t xml:space="preserve"> 项目名称：</w:t>
      </w:r>
      <w:r>
        <w:rPr>
          <w:rFonts w:hint="eastAsia" w:ascii="宋体" w:hAnsi="宋体" w:cs="宋体"/>
          <w:color w:val="auto"/>
          <w:sz w:val="24"/>
          <w:lang w:eastAsia="zh-CN"/>
        </w:rPr>
        <w:t>杜甫小学和杜甫二小（筹）体育器材项目采购</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color w:val="auto"/>
          <w:sz w:val="24"/>
        </w:rPr>
        <w:t xml:space="preserve"> 预算金额（元）：</w:t>
      </w:r>
      <w:r>
        <w:rPr>
          <w:rFonts w:hint="eastAsia" w:ascii="宋体" w:hAnsi="宋体" w:cs="宋体"/>
          <w:b/>
          <w:bCs w:val="0"/>
          <w:color w:val="auto"/>
          <w:sz w:val="24"/>
          <w:lang w:val="en-US" w:eastAsia="zh-CN"/>
        </w:rPr>
        <w:t>880000.00</w:t>
      </w:r>
      <w:r>
        <w:rPr>
          <w:rFonts w:hint="eastAsia" w:ascii="宋体" w:hAnsi="宋体" w:eastAsia="宋体" w:cs="宋体"/>
          <w:b/>
          <w:bCs w:val="0"/>
          <w:color w:val="auto"/>
          <w:sz w:val="24"/>
        </w:rPr>
        <w:t xml:space="preserve"> </w:t>
      </w:r>
    </w:p>
    <w:p>
      <w:pPr>
        <w:spacing w:line="360" w:lineRule="auto"/>
        <w:ind w:firstLine="480"/>
        <w:rPr>
          <w:rFonts w:hint="eastAsia" w:ascii="宋体" w:hAnsi="宋体" w:eastAsia="宋体" w:cs="宋体"/>
          <w:color w:val="auto"/>
          <w:sz w:val="24"/>
        </w:rPr>
      </w:pPr>
      <w:r>
        <w:rPr>
          <w:rFonts w:hint="eastAsia" w:ascii="宋体" w:hAnsi="宋体" w:eastAsia="宋体" w:cs="宋体"/>
          <w:b/>
          <w:color w:val="auto"/>
          <w:sz w:val="24"/>
        </w:rPr>
        <w:t>最高限价（元）：</w:t>
      </w:r>
      <w:r>
        <w:rPr>
          <w:rFonts w:hint="eastAsia" w:ascii="宋体" w:hAnsi="宋体" w:cs="宋体"/>
          <w:b/>
          <w:bCs w:val="0"/>
          <w:color w:val="auto"/>
          <w:sz w:val="24"/>
          <w:lang w:val="en-US" w:eastAsia="zh-CN"/>
        </w:rPr>
        <w:t>880000.00</w:t>
      </w:r>
      <w:r>
        <w:rPr>
          <w:rFonts w:hint="eastAsia" w:ascii="宋体" w:hAnsi="宋体" w:eastAsia="宋体" w:cs="宋体"/>
          <w:b/>
          <w:bCs/>
          <w:color w:val="auto"/>
          <w:sz w:val="24"/>
        </w:rPr>
        <w:t xml:space="preserve"> </w:t>
      </w:r>
    </w:p>
    <w:p>
      <w:pPr>
        <w:pStyle w:val="5"/>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
          <w:color w:val="auto"/>
          <w:sz w:val="24"/>
        </w:rPr>
        <w:t>采购需求：</w:t>
      </w:r>
      <w:r>
        <w:rPr>
          <w:rFonts w:hint="eastAsia" w:hAnsi="宋体" w:cs="宋体"/>
          <w:bCs/>
          <w:snapToGrid/>
          <w:color w:val="auto"/>
          <w:kern w:val="2"/>
          <w:sz w:val="24"/>
          <w:szCs w:val="24"/>
          <w:lang w:val="en-US" w:eastAsia="zh-CN"/>
        </w:rPr>
        <w:t>杜甫小学和杜甫二小（筹）体育器材项目采购</w:t>
      </w:r>
      <w:r>
        <w:rPr>
          <w:rFonts w:hint="eastAsia" w:ascii="宋体" w:hAnsi="宋体" w:eastAsia="宋体" w:cs="宋体"/>
          <w:bCs/>
          <w:snapToGrid/>
          <w:color w:val="auto"/>
          <w:kern w:val="2"/>
          <w:sz w:val="24"/>
          <w:szCs w:val="24"/>
          <w:lang w:val="en-US" w:eastAsia="zh-CN"/>
        </w:rPr>
        <w:t>，</w:t>
      </w:r>
      <w:r>
        <w:rPr>
          <w:rFonts w:hint="eastAsia" w:hAnsi="宋体" w:cs="宋体"/>
          <w:snapToGrid/>
          <w:color w:val="auto"/>
          <w:kern w:val="2"/>
          <w:sz w:val="24"/>
          <w:szCs w:val="24"/>
          <w:lang w:val="en-US" w:eastAsia="zh-CN"/>
        </w:rPr>
        <w:t>具体</w:t>
      </w:r>
      <w:r>
        <w:rPr>
          <w:rFonts w:hint="eastAsia" w:ascii="宋体" w:hAnsi="宋体" w:eastAsia="宋体" w:cs="宋体"/>
          <w:snapToGrid/>
          <w:color w:val="auto"/>
          <w:kern w:val="2"/>
          <w:sz w:val="24"/>
          <w:szCs w:val="24"/>
          <w:lang w:eastAsia="zh-CN"/>
        </w:rPr>
        <w:t>内容</w:t>
      </w:r>
      <w:r>
        <w:rPr>
          <w:rFonts w:hint="eastAsia" w:ascii="宋体" w:hAnsi="宋体" w:eastAsia="宋体" w:cs="宋体"/>
          <w:snapToGrid/>
          <w:color w:val="auto"/>
          <w:kern w:val="2"/>
          <w:sz w:val="24"/>
          <w:szCs w:val="24"/>
        </w:rPr>
        <w:t>以</w:t>
      </w:r>
      <w:r>
        <w:rPr>
          <w:rFonts w:hint="eastAsia" w:ascii="宋体" w:hAnsi="宋体" w:eastAsia="宋体" w:cs="宋体"/>
          <w:bCs/>
          <w:sz w:val="24"/>
        </w:rPr>
        <w:t>招标文件“第三部分 采购需求”</w:t>
      </w:r>
      <w:r>
        <w:rPr>
          <w:rFonts w:hint="eastAsia" w:ascii="宋体" w:hAnsi="宋体" w:eastAsia="宋体" w:cs="宋体"/>
          <w:snapToGrid/>
          <w:color w:val="auto"/>
          <w:kern w:val="2"/>
          <w:sz w:val="24"/>
          <w:szCs w:val="24"/>
        </w:rPr>
        <w:t>为准，供应商可点击本公告下方“浏览采购文件”查看采购需求。</w:t>
      </w:r>
    </w:p>
    <w:p>
      <w:pPr>
        <w:pStyle w:val="5"/>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Cs/>
          <w:sz w:val="24"/>
          <w:szCs w:val="24"/>
          <w:lang w:eastAsia="zh-CN"/>
        </w:rPr>
      </w:pPr>
      <w:r>
        <w:rPr>
          <w:rFonts w:hint="eastAsia" w:ascii="宋体" w:hAnsi="宋体" w:eastAsia="宋体" w:cs="宋体"/>
          <w:b/>
          <w:color w:val="auto"/>
          <w:sz w:val="24"/>
          <w:szCs w:val="24"/>
          <w:lang w:eastAsia="zh-CN"/>
        </w:rPr>
        <w:t>标项</w:t>
      </w:r>
      <w:r>
        <w:rPr>
          <w:rFonts w:hint="eastAsia" w:ascii="宋体" w:hAnsi="宋体" w:eastAsia="宋体" w:cs="宋体"/>
          <w:b/>
          <w:color w:val="auto"/>
          <w:sz w:val="24"/>
          <w:szCs w:val="24"/>
        </w:rPr>
        <w:t>名称</w:t>
      </w:r>
      <w:r>
        <w:rPr>
          <w:rFonts w:hint="eastAsia" w:ascii="宋体" w:hAnsi="宋体" w:eastAsia="宋体" w:cs="宋体"/>
          <w:b/>
          <w:color w:val="auto"/>
          <w:sz w:val="24"/>
        </w:rPr>
        <w:t>：</w:t>
      </w:r>
      <w:r>
        <w:rPr>
          <w:rFonts w:hint="eastAsia" w:hAnsi="宋体" w:cs="宋体"/>
          <w:color w:val="auto"/>
          <w:sz w:val="24"/>
          <w:lang w:eastAsia="zh-CN"/>
        </w:rPr>
        <w:t>杜甫小学和杜甫二小（筹）体育器材项目采购</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sz w:val="24"/>
        </w:rPr>
      </w:pPr>
      <w:r>
        <w:rPr>
          <w:rFonts w:hint="eastAsia" w:ascii="宋体" w:hAnsi="宋体" w:eastAsia="宋体" w:cs="宋体"/>
          <w:b/>
          <w:bCs/>
          <w:sz w:val="24"/>
        </w:rPr>
        <w:t>预算金额（元）:</w:t>
      </w:r>
      <w:r>
        <w:rPr>
          <w:rFonts w:hint="eastAsia" w:ascii="宋体" w:hAnsi="宋体" w:cs="宋体"/>
          <w:b/>
          <w:bCs w:val="0"/>
          <w:color w:val="auto"/>
          <w:sz w:val="24"/>
          <w:lang w:val="en-US" w:eastAsia="zh-CN"/>
        </w:rPr>
        <w:t>880000.00</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sz w:val="24"/>
        </w:rPr>
        <w:t>简要规格描述或项目基本概况介绍、用途：</w:t>
      </w:r>
      <w:r>
        <w:rPr>
          <w:rFonts w:hint="eastAsia" w:ascii="宋体" w:hAnsi="宋体" w:eastAsia="宋体" w:cs="宋体"/>
          <w:bCs/>
          <w:sz w:val="24"/>
        </w:rPr>
        <w:t>具体内容和相关要求详见招标文件“第三部分 采购需求”。</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合同履约期限：</w:t>
      </w:r>
      <w:r>
        <w:rPr>
          <w:rFonts w:hint="eastAsia" w:ascii="宋体" w:hAnsi="宋体" w:eastAsia="宋体" w:cs="宋体"/>
          <w:b w:val="0"/>
          <w:bCs w:val="0"/>
          <w:sz w:val="24"/>
          <w:szCs w:val="32"/>
          <w:lang w:eastAsia="zh-CN"/>
        </w:rPr>
        <w:t>详见</w:t>
      </w:r>
      <w:r>
        <w:rPr>
          <w:rFonts w:hint="eastAsia" w:ascii="宋体" w:hAnsi="宋体" w:eastAsia="宋体" w:cs="宋体"/>
          <w:bCs/>
          <w:sz w:val="24"/>
        </w:rPr>
        <w:t>招标文件“第三部分 采购需求”</w:t>
      </w:r>
      <w:r>
        <w:rPr>
          <w:rFonts w:hint="eastAsia" w:ascii="宋体" w:hAnsi="宋体" w:eastAsia="宋体" w:cs="宋体"/>
          <w:snapToGrid/>
          <w:color w:val="auto"/>
          <w:kern w:val="2"/>
          <w:sz w:val="24"/>
          <w:szCs w:val="24"/>
          <w:lang w:eastAsia="zh-CN"/>
        </w:rPr>
        <w:t>。</w:t>
      </w:r>
    </w:p>
    <w:p>
      <w:pPr>
        <w:pStyle w:val="5"/>
        <w:spacing w:line="360" w:lineRule="auto"/>
        <w:ind w:firstLine="480"/>
        <w:rPr>
          <w:rFonts w:hint="eastAsia" w:ascii="宋体" w:hAnsi="宋体" w:eastAsia="宋体" w:cs="宋体"/>
          <w:color w:val="auto"/>
          <w:kern w:val="0"/>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b/>
          <w:color w:val="auto"/>
          <w:sz w:val="24"/>
        </w:rPr>
        <w:t>是</w:t>
      </w:r>
      <w:r>
        <w:rPr>
          <w:rFonts w:hint="eastAsia" w:ascii="宋体" w:hAnsi="宋体" w:eastAsia="宋体" w:cs="宋体"/>
          <w:b/>
          <w:snapToGrid/>
          <w:color w:val="auto"/>
          <w:kern w:val="2"/>
          <w:sz w:val="24"/>
        </w:rPr>
        <w:t>；</w:t>
      </w:r>
      <w:sdt>
        <w:sdtPr>
          <w:rPr>
            <w:rFonts w:hint="eastAsia" w:ascii="宋体" w:hAnsi="宋体" w:eastAsia="宋体" w:cs="宋体"/>
            <w:color w:val="auto"/>
            <w:kern w:val="0"/>
            <w:sz w:val="24"/>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二、</w:t>
      </w:r>
      <w:bookmarkStart w:id="11" w:name="_Hlk101132948"/>
      <w:r>
        <w:rPr>
          <w:rFonts w:hint="eastAsia" w:ascii="宋体" w:hAnsi="宋体" w:eastAsia="宋体" w:cs="宋体"/>
          <w:b/>
          <w:color w:val="auto"/>
          <w:sz w:val="24"/>
        </w:rPr>
        <w:t>申请人的资格要求</w:t>
      </w:r>
      <w:bookmarkEnd w:id="11"/>
      <w:r>
        <w:rPr>
          <w:rFonts w:hint="eastAsia" w:ascii="宋体" w:hAnsi="宋体" w:eastAsia="宋体" w:cs="宋体"/>
          <w:b/>
          <w:color w:val="auto"/>
          <w:sz w:val="24"/>
        </w:rPr>
        <w:t>：</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rPr>
        <w:t xml:space="preserve">    2.以联合体形式投标的，提供联合协议(本项目不接受联合体投标或者投标人不以联</w:t>
      </w:r>
      <w:r>
        <w:rPr>
          <w:rFonts w:hint="eastAsia" w:ascii="宋体" w:hAnsi="宋体" w:eastAsia="宋体" w:cs="宋体"/>
          <w:snapToGrid w:val="0"/>
          <w:color w:val="auto"/>
          <w:kern w:val="28"/>
          <w:sz w:val="24"/>
          <w:szCs w:val="20"/>
          <w:highlight w:val="none"/>
        </w:rPr>
        <w:t>合体形式投标的，则不需要提供)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r>
        <w:rPr>
          <w:rFonts w:hint="eastAsia" w:ascii="宋体" w:hAnsi="宋体" w:cs="宋体"/>
          <w:color w:val="auto"/>
          <w:sz w:val="24"/>
          <w:highlight w:val="none"/>
          <w:lang w:eastAsia="zh-CN"/>
        </w:rPr>
        <w:t>（</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jc w:val="left"/>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480" w:firstLineChars="200"/>
        <w:jc w:val="lef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bookmarkStart w:id="12" w:name="_Hlk101132524"/>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lang w:val="en-US" w:eastAsia="zh-CN"/>
        </w:rPr>
        <w:t xml:space="preserve"> / </w:t>
      </w:r>
      <w:r>
        <w:rPr>
          <w:rFonts w:hint="eastAsia" w:ascii="宋体" w:hAnsi="宋体" w:eastAsia="宋体" w:cs="宋体"/>
          <w:color w:val="auto"/>
          <w:sz w:val="24"/>
        </w:rPr>
        <w:t>%，小微企业合同金额应当达到</w:t>
      </w:r>
      <w:r>
        <w:rPr>
          <w:rFonts w:hint="eastAsia" w:ascii="宋体" w:hAnsi="宋体" w:cs="宋体"/>
          <w:color w:val="auto"/>
          <w:sz w:val="24"/>
          <w:u w:val="single"/>
          <w:lang w:val="en-US" w:eastAsia="zh-CN"/>
        </w:rPr>
        <w:t xml:space="preserve"> /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bookmarkEnd w:id="12"/>
    <w:p>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eastAsia="宋体" w:cs="宋体"/>
          <w:i/>
          <w:iCs/>
          <w:color w:val="auto"/>
          <w:sz w:val="24"/>
          <w:u w:val="single"/>
        </w:rPr>
        <w:t xml:space="preserve"> </w:t>
      </w:r>
      <w:r>
        <w:rPr>
          <w:rFonts w:hint="eastAsia" w:ascii="宋体" w:hAnsi="宋体" w:eastAsia="宋体" w:cs="宋体"/>
          <w:i/>
          <w:iCs/>
          <w:color w:val="auto"/>
          <w:sz w:val="24"/>
          <w:u w:val="single"/>
          <w:lang w:val="en-US" w:eastAsia="zh-CN"/>
        </w:rPr>
        <w:t>/</w:t>
      </w:r>
      <w:r>
        <w:rPr>
          <w:rFonts w:hint="eastAsia" w:ascii="宋体" w:hAnsi="宋体" w:eastAsia="宋体" w:cs="宋体"/>
          <w:i/>
          <w:iCs/>
          <w:color w:val="auto"/>
          <w:sz w:val="24"/>
          <w:u w:val="single"/>
        </w:rPr>
        <w:t xml:space="preserve"> </w:t>
      </w:r>
      <w:r>
        <w:rPr>
          <w:rFonts w:hint="eastAsia" w:ascii="宋体" w:hAnsi="宋体" w:eastAsia="宋体" w:cs="宋体"/>
          <w:color w:val="auto"/>
          <w:sz w:val="24"/>
        </w:rPr>
        <w:t>% ，小微企业合同金额应当达到</w:t>
      </w:r>
      <w:r>
        <w:rPr>
          <w:rFonts w:hint="eastAsia" w:ascii="宋体" w:hAnsi="宋体" w:eastAsia="宋体" w:cs="宋体"/>
          <w:color w:val="auto"/>
          <w:sz w:val="24"/>
          <w:u w:val="single"/>
          <w:lang w:val="en-US" w:eastAsia="zh-CN"/>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4.本项目的特定资格要求：</w:t>
      </w:r>
      <w:r>
        <w:rPr>
          <w:rFonts w:hint="eastAsia" w:ascii="宋体" w:hAnsi="宋体" w:cs="宋体"/>
          <w:color w:val="auto"/>
          <w:sz w:val="24"/>
          <w:u w:val="single"/>
          <w:lang w:val="en-US" w:eastAsia="zh-CN"/>
        </w:rPr>
        <w:t xml:space="preserve">  </w:t>
      </w:r>
      <w:r>
        <w:rPr>
          <w:rFonts w:hint="eastAsia" w:ascii="宋体" w:hAnsi="宋体" w:eastAsia="宋体" w:cs="宋体"/>
          <w:b/>
          <w:bCs/>
          <w:color w:val="auto"/>
          <w:sz w:val="24"/>
          <w:u w:val="single"/>
          <w:lang w:eastAsia="zh-CN"/>
        </w:rPr>
        <w:t>无</w:t>
      </w:r>
      <w:r>
        <w:rPr>
          <w:rFonts w:hint="eastAsia" w:ascii="宋体" w:hAnsi="宋体" w:cs="宋体"/>
          <w:b/>
          <w:bCs/>
          <w:color w:val="auto"/>
          <w:sz w:val="24"/>
          <w:u w:val="single"/>
          <w:lang w:val="en-US" w:eastAsia="zh-CN"/>
        </w:rPr>
        <w:t xml:space="preserve">  </w:t>
      </w:r>
      <w:r>
        <w:rPr>
          <w:rFonts w:hint="eastAsia" w:ascii="宋体" w:hAnsi="宋体" w:eastAsia="宋体" w:cs="宋体"/>
          <w:b/>
          <w:bCs/>
          <w:color w:val="auto"/>
          <w:sz w:val="24"/>
        </w:rPr>
        <w:t>；</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lang w:eastAsia="zh-CN"/>
        </w:rPr>
      </w:pPr>
      <w:r>
        <w:rPr>
          <w:rFonts w:hint="eastAsia" w:ascii="宋体" w:hAnsi="宋体" w:eastAsia="宋体" w:cs="宋体"/>
          <w:b/>
          <w:color w:val="auto"/>
          <w:sz w:val="24"/>
        </w:rPr>
        <w:t>三、获取招标文件</w:t>
      </w:r>
      <w:r>
        <w:rPr>
          <w:rFonts w:hint="eastAsia" w:ascii="宋体" w:hAnsi="宋体" w:cs="宋体"/>
          <w:b/>
          <w:color w:val="auto"/>
          <w:sz w:val="24"/>
          <w:lang w:eastAsia="zh-CN"/>
        </w:rPr>
        <w:t>：</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rPr>
        <w:t>时</w:t>
      </w:r>
      <w:r>
        <w:rPr>
          <w:rFonts w:hint="eastAsia" w:ascii="宋体" w:hAnsi="宋体" w:eastAsia="宋体" w:cs="宋体"/>
          <w:b/>
          <w:color w:val="auto"/>
          <w:sz w:val="24"/>
          <w:highlight w:val="none"/>
        </w:rPr>
        <w:t>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政采云平台（https://www.zcygov.cn/）</w:t>
      </w:r>
      <w:r>
        <w:rPr>
          <w:rFonts w:hint="eastAsia" w:ascii="宋体" w:hAnsi="宋体" w:cs="宋体"/>
          <w:color w:val="auto"/>
          <w:sz w:val="24"/>
          <w:highlight w:val="none"/>
          <w:lang w:eastAsia="zh-CN"/>
        </w:rPr>
        <w:t>；</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四、提交投标文件截止时间、开标时间和地点</w:t>
      </w:r>
      <w:r>
        <w:rPr>
          <w:rFonts w:hint="eastAsia" w:ascii="宋体" w:hAnsi="宋体" w:cs="宋体"/>
          <w:b/>
          <w:color w:val="auto"/>
          <w:sz w:val="24"/>
          <w:highlight w:val="none"/>
          <w:lang w:eastAsia="zh-CN"/>
        </w:rPr>
        <w:t>：</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2024年05月</w:t>
      </w:r>
      <w:r>
        <w:rPr>
          <w:rFonts w:hint="eastAsia" w:ascii="宋体" w:hAnsi="宋体" w:cs="宋体"/>
          <w:color w:val="auto"/>
          <w:sz w:val="24"/>
          <w:highlight w:val="none"/>
          <w:u w:val="single"/>
          <w:lang w:val="en-US" w:eastAsia="zh-CN"/>
        </w:rPr>
        <w:t>21</w:t>
      </w:r>
      <w:r>
        <w:rPr>
          <w:rFonts w:hint="eastAsia" w:ascii="宋体" w:hAnsi="宋体" w:eastAsia="宋体" w:cs="宋体"/>
          <w:color w:val="auto"/>
          <w:sz w:val="24"/>
          <w:highlight w:val="none"/>
          <w:u w:val="single"/>
        </w:rPr>
        <w:t>日14点00分00秒</w:t>
      </w:r>
      <w:r>
        <w:rPr>
          <w:rFonts w:hint="eastAsia" w:ascii="宋体" w:hAnsi="宋体" w:eastAsia="宋体" w:cs="宋体"/>
          <w:color w:val="auto"/>
          <w:sz w:val="24"/>
          <w:highlight w:val="none"/>
          <w:u w:val="single"/>
          <w:lang w:eastAsia="zh-CN"/>
        </w:rPr>
        <w:t>止</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eastAsia="zh-CN"/>
        </w:rPr>
        <w:t>；</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登录政采云平台（https://www.zcygov.cn/）线上投标响应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pacing w:line="360" w:lineRule="auto"/>
        <w:ind w:firstLine="482" w:firstLineChars="200"/>
        <w:rPr>
          <w:rFonts w:hint="eastAsia" w:ascii="宋体" w:hAnsi="宋体" w:eastAsia="宋体" w:cs="宋体"/>
          <w:bCs/>
          <w:color w:val="auto"/>
          <w:sz w:val="24"/>
          <w:highlight w:val="none"/>
          <w:u w:val="none"/>
          <w:lang w:eastAsia="zh-CN"/>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2024年05月</w:t>
      </w:r>
      <w:r>
        <w:rPr>
          <w:rFonts w:hint="eastAsia" w:ascii="宋体" w:hAnsi="宋体" w:cs="宋体"/>
          <w:color w:val="auto"/>
          <w:sz w:val="24"/>
          <w:highlight w:val="none"/>
          <w:u w:val="single"/>
          <w:lang w:val="en-US" w:eastAsia="zh-CN"/>
        </w:rPr>
        <w:t>21</w:t>
      </w:r>
      <w:r>
        <w:rPr>
          <w:rFonts w:hint="eastAsia" w:ascii="宋体" w:hAnsi="宋体" w:eastAsia="宋体" w:cs="宋体"/>
          <w:color w:val="auto"/>
          <w:sz w:val="24"/>
          <w:highlight w:val="none"/>
          <w:u w:val="single"/>
        </w:rPr>
        <w:t>日14点00分00秒</w:t>
      </w:r>
      <w:r>
        <w:rPr>
          <w:rFonts w:hint="eastAsia" w:ascii="宋体" w:hAnsi="宋体" w:eastAsia="宋体" w:cs="宋体"/>
          <w:color w:val="auto"/>
          <w:sz w:val="24"/>
          <w:highlight w:val="none"/>
          <w:u w:val="none"/>
          <w:lang w:eastAsia="zh-CN"/>
        </w:rPr>
        <w:t>；</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政采云平台（https://www.zcygov.cn/）在线响应开标；</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五、公告期限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1.采购人信息</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w:t>
      </w:r>
      <w:r>
        <w:rPr>
          <w:rFonts w:hint="eastAsia" w:ascii="宋体" w:hAnsi="宋体" w:cs="宋体"/>
          <w:bCs/>
          <w:sz w:val="24"/>
          <w:szCs w:val="24"/>
          <w:lang w:eastAsia="zh-CN"/>
        </w:rPr>
        <w:t>杭州市余杭区理想实验学校</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rPr>
        <w:t xml:space="preserve">  </w:t>
      </w:r>
      <w:r>
        <w:rPr>
          <w:rFonts w:hint="eastAsia" w:ascii="宋体" w:hAnsi="宋体" w:eastAsia="宋体" w:cs="宋体"/>
          <w:color w:val="auto"/>
          <w:sz w:val="24"/>
          <w:highlight w:val="none"/>
        </w:rPr>
        <w:t xml:space="preserve">  地    址：杭州市余杭区良渚街道玉鸟街与杜文路交叉口</w:t>
      </w:r>
      <w:r>
        <w:rPr>
          <w:rFonts w:hint="eastAsia" w:ascii="宋体" w:hAnsi="宋体" w:eastAsia="宋体" w:cs="宋体"/>
          <w:sz w:val="24"/>
          <w:highlight w:val="none"/>
          <w:lang w:val="zh-TW"/>
        </w:rPr>
        <w:t>。</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 xml:space="preserve">赵老师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联系方式17879517751</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val="en-US" w:eastAsia="zh-CN"/>
        </w:rPr>
        <w:t xml:space="preserve">徐老师   </w:t>
      </w:r>
      <w:r>
        <w:rPr>
          <w:rFonts w:hint="eastAsia" w:ascii="宋体" w:hAnsi="宋体" w:cs="宋体"/>
          <w:bCs/>
          <w:sz w:val="24"/>
          <w:szCs w:val="24"/>
          <w:highlight w:val="none"/>
          <w:lang w:val="en-US" w:eastAsia="zh-CN"/>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val="zh-TW" w:eastAsia="zh-TW"/>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联系方式：</w:t>
      </w:r>
      <w:r>
        <w:rPr>
          <w:rFonts w:hint="eastAsia" w:ascii="宋体" w:hAnsi="宋体" w:eastAsia="宋体" w:cs="宋体"/>
          <w:sz w:val="24"/>
          <w:szCs w:val="24"/>
          <w:highlight w:val="none"/>
        </w:rPr>
        <w:t>0571-88773695</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p>
    <w:p>
      <w:pPr>
        <w:spacing w:line="360" w:lineRule="auto"/>
        <w:ind w:firstLine="0" w:firstLineChars="0"/>
        <w:rPr>
          <w:rFonts w:hint="eastAsia" w:ascii="宋体" w:hAnsi="宋体" w:eastAsia="宋体" w:cs="宋体"/>
          <w:color w:val="auto"/>
          <w:sz w:val="24"/>
        </w:rPr>
      </w:pPr>
      <w:r>
        <w:rPr>
          <w:rFonts w:hint="eastAsia" w:ascii="宋体" w:hAnsi="宋体" w:eastAsia="宋体" w:cs="宋体"/>
          <w:color w:val="auto"/>
          <w:sz w:val="24"/>
        </w:rPr>
        <w:t xml:space="preserve"> 2.采购代理机构信息            </w:t>
      </w:r>
    </w:p>
    <w:p>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cs="宋体"/>
          <w:color w:val="auto"/>
          <w:sz w:val="24"/>
          <w:lang w:eastAsia="zh-CN"/>
        </w:rPr>
        <w:t>杭州新天地建设管理有限公司</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kern w:val="0"/>
          <w:sz w:val="24"/>
          <w:szCs w:val="24"/>
        </w:rPr>
        <w:t>地址：</w:t>
      </w:r>
      <w:r>
        <w:rPr>
          <w:rFonts w:hint="eastAsia" w:ascii="宋体" w:hAnsi="宋体" w:cs="宋体"/>
          <w:sz w:val="24"/>
        </w:rPr>
        <w:t>杭州市余杭区五常街道西溪八方城8幢308</w:t>
      </w:r>
      <w:r>
        <w:rPr>
          <w:rFonts w:hint="eastAsia" w:ascii="宋体" w:hAnsi="宋体" w:cs="宋体"/>
          <w:sz w:val="24"/>
          <w:lang w:val="en-US" w:eastAsia="zh-CN"/>
        </w:rPr>
        <w:t>室</w:t>
      </w:r>
      <w:r>
        <w:rPr>
          <w:rFonts w:hint="eastAsia" w:ascii="宋体" w:hAnsi="宋体" w:cs="宋体"/>
          <w:color w:val="000000"/>
          <w:sz w:val="24"/>
        </w:rPr>
        <w:t>。</w:t>
      </w:r>
      <w:r>
        <w:rPr>
          <w:rFonts w:hint="eastAsia" w:ascii="宋体" w:hAnsi="宋体" w:eastAsia="宋体" w:cs="宋体"/>
          <w:color w:val="auto"/>
          <w:sz w:val="24"/>
        </w:rPr>
        <w:t xml:space="preserve">    </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color w:val="auto"/>
          <w:sz w:val="24"/>
        </w:rPr>
        <w:t>项目联系人（询问）：</w:t>
      </w:r>
      <w:r>
        <w:rPr>
          <w:rFonts w:hint="eastAsia" w:ascii="宋体" w:hAnsi="宋体" w:cs="宋体"/>
          <w:sz w:val="24"/>
          <w:szCs w:val="24"/>
          <w:lang w:val="en-US" w:eastAsia="zh-CN"/>
        </w:rPr>
        <w:t>周聪聪</w:t>
      </w:r>
      <w:r>
        <w:rPr>
          <w:rFonts w:hint="eastAsia" w:ascii="宋体" w:hAnsi="宋体" w:eastAsia="宋体" w:cs="宋体"/>
          <w:sz w:val="24"/>
          <w:szCs w:val="24"/>
          <w:lang w:val="en-US" w:eastAsia="zh-CN"/>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联系方式：</w:t>
      </w:r>
      <w:r>
        <w:rPr>
          <w:rFonts w:hint="eastAsia" w:ascii="宋体" w:hAnsi="宋体" w:cs="宋体"/>
          <w:color w:val="000000"/>
          <w:sz w:val="24"/>
          <w:highlight w:val="none"/>
        </w:rPr>
        <w:t>0571-</w:t>
      </w:r>
      <w:r>
        <w:rPr>
          <w:rFonts w:hint="eastAsia" w:ascii="宋体" w:hAnsi="宋体" w:cs="宋体"/>
          <w:color w:val="000000"/>
          <w:sz w:val="24"/>
          <w:highlight w:val="none"/>
          <w:lang w:val="en-US" w:eastAsia="zh-CN"/>
        </w:rPr>
        <w:t>88562336/13067902529</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质疑联系人：</w:t>
      </w:r>
      <w:r>
        <w:rPr>
          <w:rFonts w:hint="eastAsia" w:ascii="宋体" w:hAnsi="宋体" w:cs="宋体"/>
          <w:sz w:val="24"/>
          <w:lang w:val="en-US" w:eastAsia="zh-CN"/>
        </w:rPr>
        <w:t>车金桥</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联系方式：</w:t>
      </w:r>
      <w:r>
        <w:rPr>
          <w:rFonts w:hint="eastAsia" w:ascii="宋体" w:hAnsi="宋体" w:cs="宋体"/>
          <w:color w:val="auto"/>
          <w:sz w:val="24"/>
          <w:lang w:val="en-US" w:eastAsia="zh-CN"/>
        </w:rPr>
        <w:t>15967199513</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ind w:firstLine="0" w:firstLineChars="0"/>
        <w:rPr>
          <w:rFonts w:hint="eastAsia" w:ascii="宋体" w:hAnsi="宋体" w:eastAsia="宋体" w:cs="宋体"/>
          <w:color w:val="auto"/>
          <w:sz w:val="24"/>
        </w:rPr>
      </w:pPr>
      <w:r>
        <w:rPr>
          <w:rFonts w:hint="eastAsia" w:ascii="宋体" w:hAnsi="宋体" w:eastAsia="宋体" w:cs="宋体"/>
          <w:color w:val="auto"/>
          <w:sz w:val="24"/>
        </w:rPr>
        <w:t xml:space="preserve"> 3.</w:t>
      </w:r>
      <w:r>
        <w:rPr>
          <w:rFonts w:hint="eastAsia" w:ascii="宋体" w:hAnsi="宋体" w:eastAsia="宋体" w:cs="宋体"/>
          <w:color w:val="auto"/>
        </w:rPr>
        <w:t xml:space="preserve"> </w:t>
      </w:r>
      <w:r>
        <w:rPr>
          <w:rFonts w:hint="eastAsia" w:ascii="宋体" w:hAnsi="宋体" w:eastAsia="宋体" w:cs="宋体"/>
          <w:color w:val="auto"/>
          <w:sz w:val="24"/>
        </w:rPr>
        <w:t xml:space="preserve">同级政府采购监督管理部门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名称：杭州市余杭区财政局、浙江省政府采购行政裁决服务中心（杭州）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地址：杭州市上城区四季青街道新业路市民之家G03办公室（快递仅限ems或顺丰）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联系人：朱女士、王女士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sz w:val="24"/>
        </w:rPr>
        <w:t>监督投诉电话：0571-85252453</w:t>
      </w:r>
      <w:r>
        <w:rPr>
          <w:rFonts w:hint="eastAsia" w:ascii="宋体" w:hAnsi="宋体" w:eastAsia="宋体" w:cs="宋体"/>
          <w:sz w:val="24"/>
          <w:lang w:eastAsia="zh-CN"/>
        </w:rPr>
        <w:t xml:space="preserve"> </w:t>
      </w:r>
      <w:r>
        <w:rPr>
          <w:rFonts w:hint="eastAsia" w:ascii="宋体" w:hAnsi="宋体" w:eastAsia="宋体" w:cs="宋体"/>
          <w:sz w:val="24"/>
        </w:rPr>
        <w:t xml:space="preserve">  </w:t>
      </w:r>
      <w:r>
        <w:rPr>
          <w:rFonts w:hint="eastAsia" w:ascii="宋体" w:hAnsi="宋体" w:eastAsia="宋体" w:cs="宋体"/>
          <w:color w:val="auto"/>
          <w:sz w:val="24"/>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lang w:val="en-US" w:eastAsia="zh-CN"/>
        </w:rPr>
        <w:t>95763</w:t>
      </w:r>
      <w:r>
        <w:rPr>
          <w:rFonts w:hint="eastAsia" w:ascii="宋体" w:hAnsi="宋体" w:eastAsia="宋体" w:cs="宋体"/>
          <w:color w:val="auto"/>
          <w:sz w:val="24"/>
        </w:rPr>
        <w:t>获取热线服务帮助。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pPr>
        <w:spacing w:line="360" w:lineRule="auto"/>
        <w:ind w:firstLine="480" w:firstLineChars="200"/>
        <w:rPr>
          <w:rFonts w:hint="eastAsia" w:ascii="宋体" w:hAnsi="宋体" w:eastAsia="宋体" w:cs="宋体"/>
          <w:sz w:val="24"/>
        </w:rPr>
      </w:pPr>
    </w:p>
    <w:p>
      <w:pPr>
        <w:pStyle w:val="35"/>
        <w:spacing w:line="360" w:lineRule="auto"/>
        <w:rPr>
          <w:rFonts w:hint="eastAsia" w:ascii="宋体" w:hAnsi="宋体" w:eastAsia="宋体" w:cs="宋体"/>
          <w:b/>
          <w:sz w:val="36"/>
          <w:szCs w:val="20"/>
        </w:rPr>
      </w:pPr>
      <w:r>
        <w:rPr>
          <w:rFonts w:hint="eastAsia" w:ascii="宋体" w:hAnsi="宋体" w:eastAsia="宋体" w:cs="宋体"/>
          <w:sz w:val="24"/>
        </w:rPr>
        <w:t xml:space="preserve">                        </w:t>
      </w:r>
      <w:r>
        <w:rPr>
          <w:rFonts w:hint="eastAsia" w:ascii="宋体" w:hAnsi="宋体" w:eastAsia="宋体" w:cs="宋体"/>
          <w:b/>
          <w:sz w:val="36"/>
          <w:szCs w:val="20"/>
        </w:rPr>
        <w:t xml:space="preserve"> </w:t>
      </w:r>
    </w:p>
    <w:p>
      <w:pPr>
        <w:bidi w:val="0"/>
        <w:rPr>
          <w:rFonts w:hint="eastAsia" w:ascii="宋体" w:hAnsi="宋体" w:eastAsia="宋体" w:cs="宋体"/>
        </w:rPr>
      </w:pPr>
      <w:r>
        <w:rPr>
          <w:rFonts w:hint="eastAsia" w:ascii="宋体" w:hAnsi="宋体" w:eastAsia="宋体" w:cs="宋体"/>
        </w:rPr>
        <w:br w:type="page"/>
      </w: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0"/>
      <w:r>
        <w:rPr>
          <w:rFonts w:hint="eastAsia" w:ascii="宋体" w:hAnsi="宋体" w:eastAsia="宋体" w:cs="宋体"/>
          <w:b/>
          <w:sz w:val="36"/>
          <w:szCs w:val="20"/>
        </w:rPr>
        <w:t xml:space="preserve"> 投标人须知</w:t>
      </w:r>
      <w:bookmarkEnd w:id="1"/>
    </w:p>
    <w:p>
      <w:pPr>
        <w:bidi w:val="0"/>
        <w:jc w:val="center"/>
        <w:rPr>
          <w:rFonts w:hint="eastAsia" w:ascii="宋体" w:hAnsi="宋体" w:eastAsia="宋体" w:cs="宋体"/>
          <w:b/>
          <w:bCs/>
          <w:sz w:val="32"/>
          <w:szCs w:val="32"/>
        </w:rPr>
      </w:pPr>
      <w:r>
        <w:rPr>
          <w:rFonts w:hint="eastAsia" w:ascii="宋体" w:hAnsi="宋体" w:eastAsia="宋体" w:cs="宋体"/>
          <w:b/>
          <w:bCs/>
          <w:sz w:val="32"/>
          <w:szCs w:val="32"/>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jc w:val="left"/>
              <w:rPr>
                <w:rFonts w:hint="eastAsia" w:ascii="宋体" w:hAnsi="宋体" w:eastAsia="宋体" w:cs="宋体"/>
                <w:b/>
                <w:color w:val="auto"/>
                <w:sz w:val="24"/>
              </w:rPr>
            </w:pPr>
            <w:r>
              <w:rPr>
                <w:rFonts w:hint="eastAsia" w:ascii="宋体" w:hAnsi="宋体" w:eastAsia="宋体" w:cs="宋体"/>
                <w:color w:val="auto"/>
                <w:kern w:val="0"/>
                <w:sz w:val="24"/>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w:t>
            </w:r>
            <w:r>
              <w:rPr>
                <w:rFonts w:hint="eastAsia" w:ascii="宋体" w:hAnsi="宋体" w:eastAsia="宋体" w:cs="宋体"/>
                <w:b/>
                <w:color w:val="auto"/>
                <w:sz w:val="24"/>
                <w:highlight w:val="none"/>
              </w:rPr>
              <w:t>，</w:t>
            </w:r>
            <w:r>
              <w:rPr>
                <w:rFonts w:hint="eastAsia" w:ascii="宋体" w:hAnsi="宋体" w:eastAsia="宋体" w:cs="宋体"/>
                <w:b/>
                <w:bCs w:val="0"/>
                <w:color w:val="auto"/>
                <w:sz w:val="24"/>
                <w:highlight w:val="none"/>
              </w:rPr>
              <w:t>核心产品为：</w:t>
            </w:r>
            <w:r>
              <w:rPr>
                <w:rFonts w:hint="eastAsia" w:ascii="宋体" w:hAnsi="宋体" w:cs="宋体"/>
                <w:b/>
                <w:color w:val="auto"/>
                <w:sz w:val="24"/>
                <w:highlight w:val="none"/>
                <w:u w:val="single"/>
                <w:lang w:val="en-US" w:eastAsia="zh-CN"/>
              </w:rPr>
              <w:t xml:space="preserve">电动液压篮球架 </w:t>
            </w:r>
            <w:r>
              <w:rPr>
                <w:rFonts w:hint="eastAsia" w:ascii="宋体" w:hAnsi="宋体" w:eastAsia="宋体" w:cs="宋体"/>
                <w:b/>
                <w:color w:val="auto"/>
                <w:sz w:val="24"/>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rPr>
              <w:sym w:font="Wingdings" w:char="00A8"/>
            </w:r>
            <w:r>
              <w:rPr>
                <w:rFonts w:hint="eastAsia" w:ascii="宋体" w:hAnsi="宋体" w:eastAsia="宋体" w:cs="宋体"/>
                <w:color w:val="auto"/>
                <w:kern w:val="0"/>
                <w:sz w:val="24"/>
              </w:rPr>
              <w:t>B</w:t>
            </w:r>
            <w:r>
              <w:rPr>
                <w:rFonts w:hint="eastAsia" w:ascii="宋体" w:hAnsi="宋体" w:eastAsia="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标的：</w:t>
            </w:r>
            <w:r>
              <w:rPr>
                <w:rFonts w:hint="eastAsia" w:ascii="宋体" w:hAnsi="宋体" w:cs="宋体"/>
                <w:b/>
                <w:bCs/>
                <w:color w:val="auto"/>
                <w:kern w:val="0"/>
                <w:sz w:val="24"/>
                <w:szCs w:val="24"/>
                <w:u w:val="single"/>
                <w:lang w:eastAsia="zh-CN"/>
              </w:rPr>
              <w:t>杜甫小学和杜甫二小（筹）体育器材项目采购</w:t>
            </w:r>
            <w:r>
              <w:rPr>
                <w:rFonts w:hint="eastAsia" w:ascii="宋体" w:hAnsi="宋体" w:eastAsia="宋体" w:cs="宋体"/>
                <w:color w:val="auto"/>
                <w:kern w:val="0"/>
                <w:sz w:val="24"/>
                <w:szCs w:val="24"/>
                <w:lang w:eastAsia="zh-CN"/>
              </w:rPr>
              <w:t>；</w:t>
            </w:r>
          </w:p>
          <w:p>
            <w:pPr>
              <w:numPr>
                <w:ilvl w:val="0"/>
                <w:numId w:val="1"/>
              </w:num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 xml:space="preserve"> </w:t>
            </w:r>
            <w:r>
              <w:rPr>
                <w:rFonts w:hint="eastAsia" w:ascii="宋体" w:hAnsi="宋体" w:eastAsia="宋体" w:cs="宋体"/>
                <w:b/>
                <w:bCs/>
                <w:color w:val="auto"/>
                <w:kern w:val="0"/>
                <w:sz w:val="24"/>
                <w:szCs w:val="24"/>
                <w:u w:val="single"/>
                <w:lang w:eastAsia="zh-CN"/>
              </w:rPr>
              <w:t>工业</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行业</w:t>
            </w:r>
            <w:r>
              <w:rPr>
                <w:rFonts w:hint="eastAsia" w:ascii="宋体" w:hAnsi="宋体" w:eastAsia="宋体" w:cs="宋体"/>
                <w:color w:val="auto"/>
                <w:kern w:val="0"/>
                <w:sz w:val="24"/>
                <w:szCs w:val="24"/>
                <w:lang w:eastAsia="zh-CN"/>
              </w:rPr>
              <w:t>。</w:t>
            </w:r>
            <w:r>
              <w:rPr>
                <w:rFonts w:hint="eastAsia" w:ascii="宋体" w:hAnsi="宋体" w:eastAsia="宋体" w:cs="宋体"/>
                <w:color w:val="000000"/>
                <w:kern w:val="0"/>
                <w:sz w:val="24"/>
                <w:szCs w:val="24"/>
                <w:highlight w:val="none"/>
              </w:rPr>
              <w:drawing>
                <wp:anchor distT="0" distB="0" distL="0" distR="0" simplePos="0" relativeHeight="251662336" behindDoc="1" locked="0" layoutInCell="1" allowOverlap="1">
                  <wp:simplePos x="0" y="0"/>
                  <wp:positionH relativeFrom="column">
                    <wp:posOffset>12700</wp:posOffset>
                  </wp:positionH>
                  <wp:positionV relativeFrom="page">
                    <wp:posOffset>523240</wp:posOffset>
                  </wp:positionV>
                  <wp:extent cx="3813810" cy="492760"/>
                  <wp:effectExtent l="0" t="0" r="15240" b="2540"/>
                  <wp:wrapTight wrapText="bothSides">
                    <wp:wrapPolygon>
                      <wp:start x="0" y="0"/>
                      <wp:lineTo x="0" y="20876"/>
                      <wp:lineTo x="21471" y="20876"/>
                      <wp:lineTo x="21471" y="0"/>
                      <wp:lineTo x="0" y="0"/>
                    </wp:wrapPolygon>
                  </wp:wrapTight>
                  <wp:docPr id="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pic:cNvPicPr>
                            <a:picLocks noChangeAspect="1"/>
                          </pic:cNvPicPr>
                        </pic:nvPicPr>
                        <pic:blipFill>
                          <a:blip r:embed="rId28">
                            <a:lum/>
                          </a:blip>
                          <a:stretch>
                            <a:fillRect/>
                          </a:stretch>
                        </pic:blipFill>
                        <pic:spPr>
                          <a:xfrm>
                            <a:off x="0" y="0"/>
                            <a:ext cx="3813810" cy="492760"/>
                          </a:xfrm>
                          <a:prstGeom prst="rect">
                            <a:avLst/>
                          </a:prstGeom>
                          <a:noFill/>
                          <a:ln>
                            <a:noFill/>
                          </a:ln>
                        </pic:spPr>
                      </pic:pic>
                    </a:graphicData>
                  </a:graphic>
                </wp:anchor>
              </w:drawing>
            </w:r>
          </w:p>
          <w:p>
            <w:pPr>
              <w:widowControl/>
              <w:adjustRightInd/>
              <w:snapToGrid w:val="0"/>
              <w:spacing w:line="312" w:lineRule="auto"/>
              <w:ind w:firstLine="480" w:firstLineChars="200"/>
              <w:rPr>
                <w:rFonts w:hint="eastAsia" w:ascii="宋体" w:hAnsi="宋体" w:eastAsia="宋体" w:cs="宋体"/>
                <w:color w:val="000000"/>
                <w:kern w:val="0"/>
                <w:sz w:val="24"/>
                <w:szCs w:val="24"/>
                <w:highlight w:val="none"/>
                <w:u w:val="single"/>
                <w:lang w:val="zh-CN"/>
              </w:rPr>
            </w:pPr>
            <w:r>
              <w:rPr>
                <w:rFonts w:hint="eastAsia"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13970</wp:posOffset>
                  </wp:positionH>
                  <wp:positionV relativeFrom="page">
                    <wp:posOffset>1037590</wp:posOffset>
                  </wp:positionV>
                  <wp:extent cx="3787775" cy="373380"/>
                  <wp:effectExtent l="0" t="0" r="3175" b="7620"/>
                  <wp:wrapSquare wrapText="bothSides"/>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29" cstate="print"/>
                          <a:stretch>
                            <a:fillRect/>
                          </a:stretch>
                        </pic:blipFill>
                        <pic:spPr>
                          <a:xfrm>
                            <a:off x="0" y="0"/>
                            <a:ext cx="3787775" cy="373380"/>
                          </a:xfrm>
                          <a:prstGeom prst="rect">
                            <a:avLst/>
                          </a:prstGeom>
                          <a:noFill/>
                          <a:ln>
                            <a:noFill/>
                          </a:ln>
                        </pic:spPr>
                      </pic:pic>
                    </a:graphicData>
                  </a:graphic>
                </wp:anchor>
              </w:drawing>
            </w:r>
            <w:r>
              <w:rPr>
                <w:rFonts w:hint="eastAsia" w:ascii="宋体" w:hAnsi="宋体" w:eastAsia="宋体" w:cs="宋体"/>
                <w:color w:val="000000"/>
                <w:sz w:val="24"/>
                <w:szCs w:val="24"/>
                <w:highlight w:val="none"/>
                <w:shd w:val="clear" w:color="auto" w:fill="FFFFFF"/>
                <w:lang w:val="zh-CN" w:bidi="zh-CN"/>
              </w:rPr>
              <w:t xml:space="preserve">说明： </w:t>
            </w:r>
          </w:p>
          <w:p>
            <w:pPr>
              <w:widowControl/>
              <w:adjustRightInd/>
              <w:snapToGrid w:val="0"/>
              <w:spacing w:line="312" w:lineRule="auto"/>
              <w:ind w:firstLine="480" w:firstLineChars="200"/>
              <w:rPr>
                <w:rFonts w:hint="eastAsia" w:ascii="宋体" w:hAnsi="宋体" w:eastAsia="宋体" w:cs="宋体"/>
                <w:color w:val="000000"/>
                <w:kern w:val="0"/>
                <w:sz w:val="24"/>
                <w:szCs w:val="24"/>
                <w:highlight w:val="none"/>
                <w:u w:val="single"/>
                <w:lang w:val="zh-CN"/>
              </w:rPr>
            </w:pPr>
            <w:r>
              <w:rPr>
                <w:rFonts w:hint="eastAsia" w:ascii="宋体" w:hAnsi="宋体" w:eastAsia="宋体" w:cs="宋体"/>
                <w:color w:val="000000"/>
                <w:kern w:val="0"/>
                <w:sz w:val="24"/>
                <w:szCs w:val="24"/>
                <w:highlight w:val="none"/>
                <w:u w:val="single"/>
                <w:lang w:val="zh-CN"/>
              </w:rPr>
              <w:t>1.大型、中型和小型企业须同时满足所列指标的下限，否则下划一档；微型企业只须满足所列指标中的一项即可。 　　</w:t>
            </w:r>
          </w:p>
          <w:p>
            <w:pPr>
              <w:widowControl/>
              <w:adjustRightInd/>
              <w:snapToGrid w:val="0"/>
              <w:spacing w:line="312" w:lineRule="auto"/>
              <w:ind w:firstLine="480" w:firstLineChars="200"/>
              <w:rPr>
                <w:rFonts w:hint="eastAsia" w:ascii="宋体" w:hAnsi="宋体" w:eastAsia="宋体" w:cs="宋体"/>
                <w:color w:val="000000"/>
                <w:kern w:val="0"/>
                <w:sz w:val="24"/>
                <w:szCs w:val="24"/>
                <w:highlight w:val="none"/>
                <w:u w:val="single"/>
                <w:lang w:val="zh-CN"/>
              </w:rPr>
            </w:pPr>
            <w:r>
              <w:rPr>
                <w:rFonts w:hint="eastAsia" w:ascii="宋体" w:hAnsi="宋体" w:eastAsia="宋体" w:cs="宋体"/>
                <w:color w:val="000000"/>
                <w:kern w:val="0"/>
                <w:sz w:val="24"/>
                <w:szCs w:val="24"/>
                <w:highlight w:val="none"/>
                <w:u w:val="single"/>
                <w:lang w:val="zh-CN"/>
              </w:rPr>
              <w:t>2.附表中各行业的范围以《国民经济行业分类》（GB/T4754-2017）为准。</w:t>
            </w:r>
          </w:p>
          <w:p>
            <w:pPr>
              <w:widowControl/>
              <w:adjustRightInd/>
              <w:snapToGrid w:val="0"/>
              <w:spacing w:line="312" w:lineRule="auto"/>
              <w:ind w:firstLine="480" w:firstLineChars="200"/>
              <w:rPr>
                <w:rFonts w:hint="eastAsia" w:ascii="宋体" w:hAnsi="宋体" w:eastAsia="宋体" w:cs="宋体"/>
                <w:color w:val="000000"/>
                <w:kern w:val="0"/>
                <w:sz w:val="24"/>
                <w:szCs w:val="24"/>
                <w:highlight w:val="none"/>
                <w:u w:val="single"/>
                <w:lang w:val="zh-CN"/>
              </w:rPr>
            </w:pPr>
            <w:r>
              <w:rPr>
                <w:rFonts w:hint="eastAsia" w:ascii="宋体" w:hAnsi="宋体" w:eastAsia="宋体" w:cs="宋体"/>
                <w:color w:val="000000"/>
                <w:kern w:val="0"/>
                <w:sz w:val="24"/>
                <w:szCs w:val="24"/>
                <w:highlight w:val="none"/>
                <w:u w:val="single"/>
                <w:lang w:val="zh-CN"/>
              </w:rPr>
              <w:t>3.企业划分指标以现行统计制度为准。</w:t>
            </w:r>
          </w:p>
          <w:p>
            <w:pPr>
              <w:widowControl/>
              <w:adjustRightInd/>
              <w:snapToGrid w:val="0"/>
              <w:spacing w:line="312" w:lineRule="auto"/>
              <w:ind w:firstLine="480" w:firstLineChars="200"/>
              <w:rPr>
                <w:rFonts w:hint="eastAsia" w:ascii="宋体" w:hAnsi="宋体" w:eastAsia="宋体" w:cs="宋体"/>
                <w:color w:val="000000"/>
                <w:kern w:val="0"/>
                <w:sz w:val="24"/>
                <w:szCs w:val="24"/>
                <w:highlight w:val="none"/>
                <w:u w:val="single"/>
                <w:lang w:val="zh-CN"/>
              </w:rPr>
            </w:pPr>
            <w:r>
              <w:rPr>
                <w:rFonts w:hint="eastAsia" w:ascii="宋体" w:hAnsi="宋体" w:eastAsia="宋体" w:cs="宋体"/>
                <w:color w:val="000000"/>
                <w:kern w:val="0"/>
                <w:sz w:val="24"/>
                <w:szCs w:val="24"/>
                <w:highlight w:val="none"/>
                <w:u w:val="single"/>
                <w:lang w:val="zh-CN"/>
              </w:rPr>
              <w:t>1）从业人员，是指期末从业人员数，没有期末从业人员数的，采用全年平均人员数代替。</w:t>
            </w:r>
          </w:p>
          <w:p>
            <w:pPr>
              <w:widowControl/>
              <w:adjustRightInd/>
              <w:snapToGrid w:val="0"/>
              <w:spacing w:line="312" w:lineRule="auto"/>
              <w:ind w:firstLine="480" w:firstLineChars="200"/>
              <w:rPr>
                <w:rFonts w:hint="eastAsia" w:ascii="宋体" w:hAnsi="宋体" w:eastAsia="宋体" w:cs="宋体"/>
                <w:color w:val="000000"/>
                <w:kern w:val="0"/>
                <w:sz w:val="24"/>
                <w:szCs w:val="24"/>
                <w:highlight w:val="none"/>
                <w:u w:val="single"/>
                <w:lang w:val="zh-CN"/>
              </w:rPr>
            </w:pPr>
            <w:r>
              <w:rPr>
                <w:rFonts w:hint="eastAsia" w:ascii="宋体" w:hAnsi="宋体" w:eastAsia="宋体" w:cs="宋体"/>
                <w:color w:val="000000"/>
                <w:kern w:val="0"/>
                <w:sz w:val="24"/>
                <w:szCs w:val="24"/>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snapToGrid w:val="0"/>
              <w:spacing w:line="312" w:lineRule="auto"/>
              <w:ind w:firstLine="480" w:firstLineChars="200"/>
              <w:rPr>
                <w:rFonts w:hint="eastAsia" w:ascii="宋体" w:hAnsi="宋体" w:eastAsia="宋体" w:cs="宋体"/>
                <w:color w:val="000000"/>
                <w:kern w:val="0"/>
                <w:sz w:val="24"/>
                <w:szCs w:val="24"/>
                <w:highlight w:val="none"/>
                <w:u w:val="single"/>
                <w:lang w:val="zh-CN"/>
              </w:rPr>
            </w:pPr>
            <w:r>
              <w:rPr>
                <w:rFonts w:hint="eastAsia" w:ascii="宋体" w:hAnsi="宋体" w:eastAsia="宋体" w:cs="宋体"/>
                <w:color w:val="000000"/>
                <w:kern w:val="0"/>
                <w:sz w:val="24"/>
                <w:szCs w:val="24"/>
                <w:highlight w:val="none"/>
                <w:u w:val="single"/>
                <w:lang w:val="zh-CN"/>
              </w:rPr>
              <w:t>3）资产总额，采用资产总计代替。</w:t>
            </w:r>
          </w:p>
          <w:p>
            <w:pPr>
              <w:pStyle w:val="960"/>
              <w:keepNext w:val="0"/>
              <w:keepLines w:val="0"/>
              <w:pageBreakBefore w:val="0"/>
              <w:widowControl w:val="0"/>
              <w:tabs>
                <w:tab w:val="left" w:pos="1070"/>
              </w:tabs>
              <w:kinsoku/>
              <w:wordWrap/>
              <w:overflowPunct/>
              <w:topLinePunct w:val="0"/>
              <w:autoSpaceDE/>
              <w:autoSpaceDN/>
              <w:bidi w:val="0"/>
              <w:snapToGrid/>
              <w:spacing w:line="312" w:lineRule="auto"/>
              <w:ind w:right="52" w:firstLine="240" w:firstLineChars="100"/>
              <w:textAlignment w:val="auto"/>
              <w:rPr>
                <w:rFonts w:hint="eastAsia" w:ascii="宋体" w:hAnsi="宋体" w:eastAsia="宋体" w:cs="宋体"/>
                <w:color w:val="000000"/>
                <w:sz w:val="24"/>
                <w:szCs w:val="24"/>
                <w:highlight w:val="none"/>
                <w:u w:val="single"/>
                <w:lang w:val="zh-CN" w:eastAsia="zh-CN"/>
              </w:rPr>
            </w:pPr>
            <w:r>
              <w:rPr>
                <w:rFonts w:hint="eastAsia" w:ascii="宋体" w:hAnsi="宋体" w:eastAsia="宋体" w:cs="宋体"/>
                <w:color w:val="000000"/>
                <w:sz w:val="24"/>
                <w:szCs w:val="24"/>
                <w:highlight w:val="none"/>
                <w:u w:val="single"/>
                <w:lang w:val="zh-CN" w:eastAsia="zh-CN"/>
              </w:rPr>
              <w:t>（3）根据《政府采购促进中小企业发展管理办法》（财库﹝2020﹞46 号）要求</w:t>
            </w:r>
            <w:r>
              <w:rPr>
                <w:rFonts w:hint="eastAsia" w:ascii="宋体" w:hAnsi="宋体" w:eastAsia="宋体" w:cs="宋体"/>
                <w:b/>
                <w:bCs/>
                <w:color w:val="000000"/>
                <w:sz w:val="24"/>
                <w:szCs w:val="24"/>
                <w:highlight w:val="none"/>
                <w:u w:val="single"/>
                <w:lang w:val="zh-CN" w:eastAsia="zh-CN"/>
              </w:rPr>
              <w:t>。</w:t>
            </w:r>
          </w:p>
          <w:p>
            <w:pPr>
              <w:pStyle w:val="960"/>
              <w:keepNext w:val="0"/>
              <w:keepLines w:val="0"/>
              <w:pageBreakBefore w:val="0"/>
              <w:widowControl w:val="0"/>
              <w:tabs>
                <w:tab w:val="left" w:pos="1070"/>
              </w:tabs>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000000"/>
                <w:sz w:val="24"/>
                <w:szCs w:val="24"/>
                <w:highlight w:val="none"/>
                <w:u w:val="single"/>
                <w:lang w:val="zh-CN" w:eastAsia="zh-CN"/>
              </w:rPr>
            </w:pPr>
            <w:r>
              <w:rPr>
                <w:rFonts w:hint="eastAsia" w:ascii="宋体" w:hAnsi="宋体" w:eastAsia="宋体" w:cs="宋体"/>
                <w:color w:val="000000"/>
                <w:spacing w:val="0"/>
                <w:sz w:val="24"/>
                <w:szCs w:val="24"/>
                <w:highlight w:val="none"/>
                <w:u w:val="single"/>
                <w:lang w:val="zh-CN" w:eastAsia="zh-CN"/>
              </w:rPr>
              <w:t>(4)符合小微企业划分标准的个体工商户，视同小微企业。</w:t>
            </w:r>
          </w:p>
          <w:p>
            <w:pPr>
              <w:pStyle w:val="2"/>
              <w:pageBreakBefore w:val="0"/>
              <w:widowControl w:val="0"/>
              <w:kinsoku/>
              <w:wordWrap/>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color w:val="auto"/>
                <w:sz w:val="24"/>
                <w:szCs w:val="24"/>
                <w:lang w:val="en-US"/>
              </w:rPr>
            </w:pPr>
            <w:r>
              <w:rPr>
                <w:rFonts w:hint="eastAsia" w:ascii="宋体" w:hAnsi="宋体" w:eastAsia="宋体" w:cs="宋体"/>
                <w:color w:val="000000"/>
                <w:spacing w:val="0"/>
                <w:kern w:val="0"/>
                <w:sz w:val="24"/>
                <w:szCs w:val="24"/>
                <w:highlight w:val="none"/>
                <w:u w:val="single"/>
                <w:lang w:val="zh-CN"/>
              </w:rPr>
              <w:t>(</w:t>
            </w:r>
            <w:r>
              <w:rPr>
                <w:rFonts w:hint="eastAsia" w:ascii="宋体" w:hAnsi="宋体" w:eastAsia="宋体" w:cs="宋体"/>
                <w:color w:val="000000"/>
                <w:spacing w:val="0"/>
                <w:kern w:val="0"/>
                <w:sz w:val="24"/>
                <w:szCs w:val="24"/>
                <w:highlight w:val="none"/>
                <w:u w:val="single"/>
                <w:lang w:val="zh-CN" w:eastAsia="zh-CN"/>
              </w:rPr>
              <w:t>5</w:t>
            </w:r>
            <w:r>
              <w:rPr>
                <w:rFonts w:hint="eastAsia" w:ascii="宋体" w:hAnsi="宋体" w:eastAsia="宋体" w:cs="宋体"/>
                <w:color w:val="000000"/>
                <w:spacing w:val="0"/>
                <w:kern w:val="0"/>
                <w:sz w:val="24"/>
                <w:szCs w:val="24"/>
                <w:highlight w:val="none"/>
                <w:u w:val="single"/>
                <w:lang w:val="zh-CN"/>
              </w:rPr>
              <w:t xml:space="preserve">)监狱企业和残疾人福利性单位视同小型、微型企业， </w:t>
            </w:r>
            <w:r>
              <w:rPr>
                <w:rFonts w:hint="eastAsia" w:ascii="宋体" w:hAnsi="宋体" w:eastAsia="宋体" w:cs="宋体"/>
                <w:color w:val="000000"/>
                <w:kern w:val="0"/>
                <w:sz w:val="24"/>
                <w:szCs w:val="24"/>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000000"/>
                <w:spacing w:val="0"/>
                <w:kern w:val="0"/>
                <w:sz w:val="24"/>
                <w:szCs w:val="24"/>
                <w:highlight w:val="none"/>
                <w:u w:val="single"/>
                <w:lang w:val="zh-CN"/>
              </w:rPr>
              <w:t>疾人联合会关于促进残疾人就业政府采购政策的通知》</w:t>
            </w:r>
            <w:r>
              <w:rPr>
                <w:rFonts w:hint="eastAsia" w:ascii="宋体" w:hAnsi="宋体" w:eastAsia="宋体" w:cs="宋体"/>
                <w:color w:val="000000"/>
                <w:kern w:val="0"/>
                <w:sz w:val="24"/>
                <w:szCs w:val="24"/>
                <w:highlight w:val="none"/>
                <w:u w:val="single"/>
                <w:lang w:val="zh-CN"/>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本项目不允许采购进口产品。</w:t>
            </w:r>
          </w:p>
          <w:p>
            <w:pPr>
              <w:spacing w:line="360" w:lineRule="auto"/>
              <w:rPr>
                <w:rFonts w:hint="eastAsia" w:ascii="宋体" w:hAnsi="宋体" w:eastAsia="宋体" w:cs="宋体"/>
                <w:color w:val="auto"/>
              </w:rPr>
            </w:pPr>
            <w:sdt>
              <w:sdtPr>
                <w:rPr>
                  <w:rFonts w:hint="eastAsia" w:ascii="宋体" w:hAnsi="宋体" w:eastAsia="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kern w:val="0"/>
                <w:sz w:val="24"/>
              </w:rPr>
              <w:t>可以就</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r>
              <w:rPr>
                <w:rFonts w:hint="eastAsia" w:ascii="宋体" w:hAnsi="宋体" w:eastAsia="宋体" w:cs="宋体"/>
                <w:color w:val="auto"/>
                <w:sz w:val="24"/>
              </w:rPr>
              <w:t>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，联系人：</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，联系方式：</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不要求提供。</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color w:val="auto"/>
                <w:sz w:val="24"/>
                <w:lang w:eastAsia="zh-CN"/>
              </w:rPr>
            </w:pPr>
            <w:sdt>
              <w:sdtPr>
                <w:rPr>
                  <w:rFonts w:hint="eastAsia" w:ascii="宋体" w:hAnsi="宋体" w:eastAsia="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kern w:val="0"/>
                <w:sz w:val="24"/>
              </w:rPr>
              <w:t>B要求提供</w:t>
            </w:r>
            <w:r>
              <w:rPr>
                <w:rFonts w:hint="eastAsia" w:ascii="宋体" w:hAnsi="宋体" w:eastAsia="宋体" w:cs="宋体"/>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rPr>
            </w:pPr>
            <w:sdt>
              <w:sdtPr>
                <w:rPr>
                  <w:rFonts w:hint="eastAsia" w:ascii="宋体" w:hAnsi="宋体" w:eastAsia="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keepNext w:val="0"/>
              <w:keepLines w:val="0"/>
              <w:pageBreakBefore w:val="0"/>
              <w:widowControl w:val="0"/>
              <w:kinsoku/>
              <w:wordWrap/>
              <w:overflowPunct/>
              <w:topLinePunct w:val="0"/>
              <w:autoSpaceDE/>
              <w:autoSpaceDN/>
              <w:bidi w:val="0"/>
              <w:adjustRightInd w:val="0"/>
              <w:snapToGrid/>
              <w:spacing w:line="312" w:lineRule="auto"/>
              <w:ind w:firstLine="0" w:firstLineChars="0"/>
              <w:textAlignment w:val="auto"/>
              <w:rPr>
                <w:rFonts w:hint="eastAsia" w:ascii="宋体" w:hAnsi="宋体" w:eastAsia="宋体" w:cs="宋体"/>
                <w:kern w:val="0"/>
                <w:sz w:val="24"/>
              </w:rPr>
            </w:pPr>
            <w:sdt>
              <w:sdtPr>
                <w:rPr>
                  <w:rFonts w:hint="eastAsia" w:ascii="宋体" w:hAnsi="宋体" w:eastAsia="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kern w:val="0"/>
                <w:sz w:val="24"/>
              </w:rPr>
              <w:t>B组织</w:t>
            </w:r>
            <w:r>
              <w:rPr>
                <w:rFonts w:hint="eastAsia" w:ascii="宋体" w:hAnsi="宋体" w:cs="宋体"/>
                <w:color w:val="auto"/>
                <w:kern w:val="0"/>
                <w:sz w:val="24"/>
                <w:lang w:eastAsia="zh-CN"/>
              </w:rPr>
              <w:t>。</w:t>
            </w:r>
            <w:r>
              <w:rPr>
                <w:rFonts w:hint="eastAsia" w:ascii="宋体" w:hAnsi="宋体" w:eastAsia="宋体" w:cs="宋体"/>
                <w:kern w:val="0"/>
                <w:sz w:val="24"/>
                <w:lang w:eastAsia="zh-CN"/>
              </w:rPr>
              <w:t>详见评标办法</w:t>
            </w:r>
            <w:r>
              <w:rPr>
                <w:rFonts w:hint="eastAsia" w:ascii="宋体" w:hAnsi="宋体" w:eastAsia="宋体" w:cs="宋体"/>
                <w:kern w:val="0"/>
                <w:sz w:val="24"/>
              </w:rPr>
              <w:t>。</w:t>
            </w:r>
          </w:p>
          <w:p>
            <w:pPr>
              <w:snapToGrid w:val="0"/>
              <w:spacing w:line="312" w:lineRule="auto"/>
              <w:rPr>
                <w:rFonts w:hint="eastAsia" w:ascii="宋体" w:hAnsi="宋体" w:eastAsia="宋体" w:cs="宋体"/>
                <w:b/>
                <w:color w:val="auto"/>
                <w:kern w:val="0"/>
                <w:sz w:val="24"/>
                <w:lang w:val="zh-CN"/>
              </w:rPr>
            </w:pPr>
            <w:r>
              <w:rPr>
                <w:rFonts w:hint="eastAsia" w:ascii="宋体" w:hAnsi="宋体" w:eastAsia="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（1）资格证明文件：见招标文件第二部分11.1。</w:t>
            </w:r>
          </w:p>
          <w:p>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1"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有关本项目实施所需的所有费用（含税费）均计入报价。</w:t>
            </w:r>
            <w:r>
              <w:rPr>
                <w:rFonts w:hint="eastAsia" w:ascii="宋体" w:hAnsi="宋体" w:eastAsia="宋体" w:cs="宋体"/>
                <w:b/>
                <w:bCs/>
                <w:color w:val="auto"/>
                <w:kern w:val="0"/>
                <w:sz w:val="24"/>
                <w:lang w:val="zh-CN"/>
              </w:rPr>
              <w:t>投标文件</w:t>
            </w:r>
            <w:r>
              <w:rPr>
                <w:rFonts w:hint="eastAsia" w:ascii="宋体" w:hAnsi="宋体" w:eastAsia="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lang w:val="zh-CN"/>
              </w:rPr>
              <w:t>投标文件中价格全部采用人民币报价。招标文件未列明，而投标人认为必需的费用也需列入报价。</w:t>
            </w:r>
          </w:p>
          <w:p>
            <w:pPr>
              <w:snapToGrid w:val="0"/>
              <w:spacing w:line="360" w:lineRule="auto"/>
              <w:ind w:firstLine="241" w:firstLineChars="100"/>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投标文件出现不是唯一的、有选择性投标报价的；</w:t>
            </w:r>
          </w:p>
          <w:p>
            <w:pPr>
              <w:snapToGrid w:val="0"/>
              <w:spacing w:line="360" w:lineRule="auto"/>
              <w:ind w:firstLine="241" w:firstLineChars="100"/>
              <w:jc w:val="left"/>
              <w:rPr>
                <w:rFonts w:hint="default" w:ascii="宋体" w:hAnsi="宋体" w:eastAsia="宋体" w:cs="宋体"/>
                <w:color w:val="auto"/>
                <w:kern w:val="0"/>
                <w:sz w:val="24"/>
                <w:lang w:val="en-US" w:eastAsia="zh-CN"/>
              </w:rPr>
            </w:pPr>
            <w:r>
              <w:rPr>
                <w:rFonts w:hint="eastAsia" w:ascii="宋体" w:hAnsi="宋体" w:eastAsia="宋体" w:cs="宋体"/>
                <w:b/>
                <w:color w:val="auto"/>
                <w:kern w:val="0"/>
                <w:sz w:val="24"/>
                <w:lang w:val="zh-CN"/>
              </w:rPr>
              <w:t>投标报价超过招标文件中规定的预算金额或者最高限价的</w:t>
            </w:r>
            <w:r>
              <w:rPr>
                <w:rFonts w:hint="eastAsia" w:ascii="宋体" w:hAnsi="宋体" w:cs="宋体"/>
                <w:b/>
                <w:color w:val="auto"/>
                <w:kern w:val="0"/>
                <w:sz w:val="24"/>
                <w:lang w:val="en-US" w:eastAsia="zh-CN"/>
              </w:rPr>
              <w:t>。</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kern w:val="0"/>
                <w:sz w:val="24"/>
              </w:rPr>
              <w:t>投标人对根据修正原则修正后的报价不确认的</w:t>
            </w:r>
            <w:r>
              <w:rPr>
                <w:rFonts w:hint="eastAsia" w:ascii="宋体" w:hAnsi="宋体" w:eastAsia="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18"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rPr>
            </w:pPr>
            <w:r>
              <w:rPr>
                <w:rFonts w:hint="eastAsia" w:ascii="宋体" w:hAnsi="宋体" w:eastAsia="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宋体" w:hAnsi="宋体" w:eastAsia="宋体" w:cs="宋体"/>
                <w:color w:val="auto"/>
                <w:kern w:val="28"/>
                <w:sz w:val="24"/>
              </w:rPr>
            </w:pPr>
            <w:r>
              <w:rPr>
                <w:rFonts w:hint="eastAsia" w:ascii="宋体" w:hAnsi="宋体" w:eastAsia="宋体" w:cs="宋体"/>
                <w:color w:val="auto"/>
                <w:kern w:val="28"/>
                <w:sz w:val="24"/>
                <w:szCs w:val="24"/>
              </w:rPr>
              <w:t>备份投标文件送达地点：</w:t>
            </w:r>
            <w:r>
              <w:rPr>
                <w:rFonts w:hint="eastAsia" w:ascii="宋体" w:hAnsi="宋体" w:eastAsia="宋体" w:cs="宋体"/>
                <w:color w:val="auto"/>
                <w:sz w:val="24"/>
                <w:u w:val="single"/>
              </w:rPr>
              <w:t xml:space="preserve"> </w:t>
            </w:r>
            <w:r>
              <w:rPr>
                <w:rFonts w:hint="eastAsia" w:ascii="宋体" w:hAnsi="宋体" w:eastAsia="宋体" w:cs="宋体"/>
                <w:kern w:val="28"/>
                <w:sz w:val="24"/>
                <w:szCs w:val="24"/>
                <w:u w:val="single"/>
              </w:rPr>
              <w:t>密封包装后（建议快递邮寄形式）投标截止时间前递交一份（邮寄地址：杭州市余杭区五常街道西溪八方城8幢308室</w:t>
            </w:r>
            <w:r>
              <w:rPr>
                <w:rFonts w:hint="eastAsia" w:ascii="宋体" w:hAnsi="宋体" w:eastAsia="宋体" w:cs="宋体"/>
                <w:color w:val="auto"/>
                <w:kern w:val="28"/>
                <w:sz w:val="24"/>
                <w:szCs w:val="24"/>
              </w:rPr>
              <w:t>；备份投标文件签收人员联系电话：</w:t>
            </w:r>
            <w:r>
              <w:rPr>
                <w:rFonts w:hint="eastAsia" w:hAnsi="宋体" w:cs="宋体"/>
                <w:sz w:val="24"/>
                <w:u w:val="single"/>
                <w:lang w:val="en-US" w:eastAsia="zh-CN"/>
              </w:rPr>
              <w:t>周聪聪</w:t>
            </w:r>
            <w:r>
              <w:rPr>
                <w:rFonts w:hint="eastAsia" w:ascii="宋体" w:hAnsi="宋体" w:eastAsia="宋体" w:cs="宋体"/>
                <w:sz w:val="24"/>
                <w:u w:val="single"/>
              </w:rPr>
              <w:t>收，1</w:t>
            </w:r>
            <w:r>
              <w:rPr>
                <w:rFonts w:hint="eastAsia" w:hAnsi="宋体" w:cs="宋体"/>
                <w:sz w:val="24"/>
                <w:u w:val="single"/>
                <w:lang w:val="en-US" w:eastAsia="zh-CN"/>
              </w:rPr>
              <w:t>3067902529</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04" w:hRule="atLeast"/>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bCs/>
                <w:sz w:val="24"/>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hd w:val="clear"/>
              <w:spacing w:line="360" w:lineRule="auto"/>
              <w:jc w:val="left"/>
              <w:rPr>
                <w:rFonts w:hint="eastAsia" w:ascii="宋体" w:hAnsi="宋体" w:eastAsia="宋体" w:cs="宋体"/>
                <w:b w:val="0"/>
                <w:bCs w:val="0"/>
                <w:kern w:val="2"/>
                <w:sz w:val="24"/>
                <w:szCs w:val="24"/>
                <w:lang w:val="zh-TW" w:eastAsia="zh-TW" w:bidi="ar-SA"/>
              </w:rPr>
            </w:pPr>
            <w:r>
              <w:rPr>
                <w:rFonts w:hint="eastAsia" w:ascii="宋体" w:hAnsi="宋体" w:eastAsia="宋体" w:cs="宋体"/>
                <w:sz w:val="24"/>
                <w:szCs w:val="24"/>
                <w:lang w:val="zh-TW" w:eastAsia="zh-TW"/>
              </w:rPr>
              <w:t>本项目的代理费由成交供应商支付。本项目的招标代理费用由中标单位支付，代理费用付款参照《招标代理服务收费管理暂行办法》的通知（计价格[2002]1980号）文件</w:t>
            </w:r>
            <w:r>
              <w:rPr>
                <w:rFonts w:hint="eastAsia" w:ascii="宋体" w:hAnsi="宋体" w:cs="宋体"/>
                <w:sz w:val="24"/>
                <w:szCs w:val="24"/>
                <w:lang w:val="en-US" w:eastAsia="zh-CN"/>
              </w:rPr>
              <w:t>七五</w:t>
            </w:r>
            <w:r>
              <w:rPr>
                <w:rFonts w:hint="eastAsia" w:ascii="宋体" w:hAnsi="宋体" w:eastAsia="宋体" w:cs="宋体"/>
                <w:sz w:val="24"/>
                <w:szCs w:val="24"/>
                <w:lang w:val="zh-TW" w:eastAsia="zh-TW"/>
              </w:rPr>
              <w:t>折计取，投标人在报价时应综合考虑该笔费用，但不单列进投标总价。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5" w:hRule="atLeast"/>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left"/>
              <w:rPr>
                <w:rFonts w:hint="eastAsia" w:ascii="宋体" w:hAnsi="宋体" w:eastAsia="宋体" w:cs="宋体"/>
                <w:b/>
                <w:bCs/>
                <w:kern w:val="2"/>
                <w:sz w:val="24"/>
                <w:szCs w:val="24"/>
                <w:lang w:val="en-US" w:eastAsia="zh-CN" w:bidi="ar-SA"/>
              </w:rPr>
            </w:pPr>
            <w:r>
              <w:rPr>
                <w:rFonts w:hint="eastAsia" w:ascii="宋体" w:hAnsi="宋体" w:eastAsia="宋体" w:cs="宋体"/>
                <w:b/>
                <w:bCs/>
                <w:sz w:val="24"/>
              </w:rPr>
              <w:t>中标后提供承诺书和纸质版投标文件一式三份（正本一份红章版，副本二份，可为正本复印件），承诺书详见附件。</w:t>
            </w:r>
          </w:p>
        </w:tc>
      </w:tr>
    </w:tbl>
    <w:p>
      <w:pPr>
        <w:snapToGrid w:val="0"/>
        <w:spacing w:line="360" w:lineRule="auto"/>
        <w:jc w:val="center"/>
        <w:rPr>
          <w:rFonts w:hint="eastAsia" w:ascii="宋体" w:hAnsi="宋体" w:eastAsia="宋体" w:cs="宋体"/>
          <w:b/>
          <w:sz w:val="32"/>
          <w:szCs w:val="20"/>
        </w:rPr>
      </w:pPr>
    </w:p>
    <w:bookmarkEnd w:id="2"/>
    <w:p>
      <w:pPr>
        <w:rPr>
          <w:rFonts w:hint="eastAsia" w:ascii="宋体" w:hAnsi="宋体" w:eastAsia="宋体" w:cs="宋体"/>
          <w:b/>
          <w:sz w:val="32"/>
          <w:szCs w:val="20"/>
        </w:rPr>
      </w:pPr>
      <w:bookmarkStart w:id="13" w:name="第三部分"/>
      <w:bookmarkStart w:id="14" w:name="_Toc164416483"/>
      <w:r>
        <w:rPr>
          <w:rFonts w:hint="eastAsia" w:ascii="宋体" w:hAnsi="宋体" w:eastAsia="宋体" w:cs="宋体"/>
          <w:b/>
          <w:sz w:val="32"/>
          <w:szCs w:val="20"/>
        </w:rPr>
        <w:br w:type="page"/>
      </w:r>
    </w:p>
    <w:p>
      <w:pPr>
        <w:pStyle w:val="2"/>
        <w:bidi w:val="0"/>
        <w:rPr>
          <w:rFonts w:hint="eastAsia" w:ascii="宋体" w:hAnsi="宋体" w:eastAsia="宋体" w:cs="宋体"/>
        </w:rPr>
      </w:pPr>
      <w:r>
        <w:rPr>
          <w:rFonts w:hint="eastAsia" w:ascii="宋体" w:hAnsi="宋体" w:eastAsia="宋体" w:cs="宋体"/>
        </w:rPr>
        <w:t>一、总则</w:t>
      </w:r>
    </w:p>
    <w:p>
      <w:pPr>
        <w:bidi w:val="0"/>
        <w:spacing w:line="360" w:lineRule="auto"/>
        <w:ind w:firstLine="482" w:firstLineChars="200"/>
        <w:rPr>
          <w:rFonts w:hint="eastAsia" w:ascii="宋体" w:hAnsi="宋体" w:eastAsia="宋体" w:cs="宋体"/>
          <w:b/>
          <w:bCs/>
        </w:rPr>
      </w:pPr>
      <w:r>
        <w:rPr>
          <w:rFonts w:hint="eastAsia" w:ascii="宋体" w:hAnsi="宋体" w:eastAsia="宋体" w:cs="宋体"/>
          <w:b/>
          <w:bCs/>
        </w:rPr>
        <w:t>1. 适用范围</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pPr>
        <w:numPr>
          <w:ilvl w:val="0"/>
          <w:numId w:val="2"/>
        </w:numPr>
        <w:bidi w:val="0"/>
        <w:spacing w:line="360" w:lineRule="auto"/>
        <w:ind w:left="360" w:leftChars="0" w:firstLine="0" w:firstLineChars="0"/>
        <w:rPr>
          <w:rFonts w:hint="eastAsia" w:ascii="宋体" w:hAnsi="宋体" w:eastAsia="宋体" w:cs="宋体"/>
          <w:b/>
          <w:bCs/>
        </w:rPr>
      </w:pPr>
      <w:r>
        <w:rPr>
          <w:rFonts w:hint="eastAsia" w:ascii="宋体" w:hAnsi="宋体" w:eastAsia="宋体" w:cs="宋体"/>
          <w:b/>
          <w:bCs/>
        </w:rPr>
        <w:t>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 “</w:t>
      </w:r>
      <w:r>
        <w:rPr>
          <w:rFonts w:hint="eastAsia" w:ascii="宋体" w:hAnsi="宋体" w:eastAsia="宋体" w:cs="宋体"/>
          <w:sz w:val="24"/>
          <w:lang w:eastAsia="zh-CN"/>
        </w:rPr>
        <w:t>采购代理机构</w:t>
      </w:r>
      <w:r>
        <w:rPr>
          <w:rFonts w:hint="eastAsia" w:ascii="宋体" w:hAnsi="宋体" w:eastAsia="宋体" w:cs="宋体"/>
          <w:sz w:val="24"/>
        </w:rPr>
        <w:t>”系指招标公告中载明的本项目的</w:t>
      </w:r>
      <w:r>
        <w:rPr>
          <w:rFonts w:hint="eastAsia" w:ascii="宋体" w:hAnsi="宋体" w:eastAsia="宋体" w:cs="宋体"/>
          <w:sz w:val="24"/>
          <w:lang w:eastAsia="zh-CN"/>
        </w:rPr>
        <w:t>采购代理机构</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w:t>
      </w:r>
      <w:r>
        <w:rPr>
          <w:rFonts w:hint="eastAsia" w:ascii="宋体" w:hAnsi="宋体" w:eastAsia="宋体" w:cs="宋体"/>
          <w:sz w:val="24"/>
          <w:lang w:val="en-US" w:eastAsia="zh-CN"/>
        </w:rPr>
        <w:t>系</w:t>
      </w:r>
      <w:r>
        <w:rPr>
          <w:rFonts w:hint="eastAsia" w:ascii="宋体" w:hAnsi="宋体" w:eastAsia="宋体" w:cs="宋体"/>
          <w:sz w:val="24"/>
        </w:rPr>
        <w:t>指本项目政府采购活动所依托的政府采购云平台（https://www.zcygov.cn/）。</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系指实质性要求条款，“★”系产品采购项目中单一产品或核心产品，“</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sz w:val="24"/>
        </w:rPr>
        <w:t>” 系指不适用本项目的要求。</w:t>
      </w:r>
    </w:p>
    <w:p>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4"/>
          <w:lang w:eastAsia="zh-CN"/>
        </w:rPr>
        <w:t>采购代理机构</w:t>
      </w:r>
      <w:r>
        <w:rPr>
          <w:rFonts w:hint="eastAsia" w:ascii="宋体" w:hAnsi="宋体" w:eastAsia="宋体" w:cs="宋体"/>
          <w:sz w:val="24"/>
        </w:rPr>
        <w:t>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b/>
          <w:bCs/>
          <w:sz w:val="24"/>
        </w:rPr>
        <w:t>联合协议或者分包意向协议约定小微企业的合同份额占到合同总金额30%以上的</w:t>
      </w:r>
      <w:bookmarkEnd w:id="16"/>
      <w:r>
        <w:rPr>
          <w:rFonts w:hint="eastAsia" w:ascii="宋体" w:hAnsi="宋体" w:eastAsia="宋体" w:cs="宋体"/>
          <w:b/>
          <w:bCs/>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pPr>
        <w:adjustRightInd w:val="0"/>
        <w:snapToGrid w:val="0"/>
        <w:spacing w:line="360" w:lineRule="auto"/>
        <w:ind w:firstLine="480" w:firstLineChars="200"/>
        <w:rPr>
          <w:rFonts w:ascii="宋体" w:hAnsi="宋体" w:cs="仿宋"/>
          <w:sz w:val="24"/>
        </w:rPr>
      </w:pPr>
      <w:r>
        <w:rPr>
          <w:rFonts w:hint="eastAsia" w:ascii="宋体" w:hAnsi="宋体" w:cs="仿宋"/>
          <w:sz w:val="24"/>
        </w:rPr>
        <w:t>3.4</w:t>
      </w:r>
      <w:r>
        <w:rPr>
          <w:rFonts w:hint="eastAsia" w:ascii="宋体" w:hAnsi="宋体" w:cs="仿宋"/>
          <w:bCs/>
          <w:sz w:val="24"/>
        </w:rPr>
        <w:t>支持创新发展</w:t>
      </w:r>
    </w:p>
    <w:p>
      <w:pPr>
        <w:adjustRightInd w:val="0"/>
        <w:snapToGrid w:val="0"/>
        <w:spacing w:line="360" w:lineRule="auto"/>
        <w:ind w:firstLine="480" w:firstLineChars="200"/>
        <w:rPr>
          <w:rFonts w:ascii="宋体" w:hAnsi="宋体" w:cs="仿宋"/>
          <w:sz w:val="24"/>
        </w:rPr>
      </w:pPr>
      <w:r>
        <w:rPr>
          <w:rFonts w:hint="eastAsia" w:ascii="宋体" w:hAnsi="宋体" w:cs="仿宋"/>
          <w:sz w:val="24"/>
        </w:rPr>
        <w:t>3.4.1 采购人优先采购被认定为首台套产品和“制造精品”的自主创新产品。</w:t>
      </w:r>
    </w:p>
    <w:p>
      <w:pPr>
        <w:adjustRightInd w:val="0"/>
        <w:snapToGrid w:val="0"/>
        <w:spacing w:line="360" w:lineRule="auto"/>
        <w:ind w:firstLine="480" w:firstLineChars="200"/>
        <w:rPr>
          <w:rFonts w:hint="eastAsia" w:ascii="宋体" w:hAnsi="宋体" w:cs="仿宋"/>
          <w:sz w:val="24"/>
        </w:rPr>
      </w:pPr>
      <w:r>
        <w:rPr>
          <w:rFonts w:hint="eastAsia" w:ascii="宋体" w:hAnsi="宋体" w:cs="仿宋"/>
          <w:sz w:val="24"/>
        </w:rPr>
        <w:t>3.4.2首台套产品被纳入《首台套产品推广应用指导目录》之日起</w:t>
      </w:r>
      <w:r>
        <w:rPr>
          <w:rFonts w:ascii="宋体" w:hAnsi="宋体" w:cs="仿宋"/>
          <w:sz w:val="24"/>
        </w:rPr>
        <w:t>3</w:t>
      </w:r>
      <w:r>
        <w:rPr>
          <w:rFonts w:hint="eastAsia" w:ascii="宋体" w:hAnsi="宋体" w:cs="仿宋"/>
          <w:sz w:val="24"/>
        </w:rPr>
        <w:t>年内，以及产品核心技术高于国内领先水平，并具有明晰自主知识产权的“制造精品”产品，自认定之日起2年内视同已具备相应销售业绩。</w:t>
      </w:r>
    </w:p>
    <w:p>
      <w:pPr>
        <w:pStyle w:val="2"/>
        <w:adjustRightInd w:val="0"/>
        <w:snapToGrid w:val="0"/>
        <w:ind w:left="0" w:firstLine="480" w:firstLineChars="200"/>
        <w:rPr>
          <w:rFonts w:hint="eastAsia" w:ascii="宋体" w:hAnsi="宋体" w:eastAsia="宋体" w:cs="仿宋"/>
          <w:b w:val="0"/>
          <w:bCs w:val="0"/>
          <w:sz w:val="24"/>
          <w:szCs w:val="24"/>
          <w:lang w:val="en-US"/>
        </w:rPr>
      </w:pPr>
      <w:r>
        <w:rPr>
          <w:rFonts w:hint="eastAsia" w:ascii="宋体" w:hAnsi="宋体" w:eastAsia="宋体" w:cs="仿宋"/>
          <w:b w:val="0"/>
          <w:bCs w:val="0"/>
          <w:sz w:val="24"/>
          <w:szCs w:val="24"/>
          <w:lang w:val="en-US"/>
        </w:rPr>
        <w:t xml:space="preserve">3.4.3 </w:t>
      </w:r>
      <w:r>
        <w:rPr>
          <w:rFonts w:hint="eastAsia" w:ascii="宋体" w:hAnsi="宋体" w:eastAsia="宋体" w:cs="仿宋"/>
          <w:b w:val="0"/>
          <w:bCs w:val="0"/>
          <w:sz w:val="24"/>
          <w:szCs w:val="24"/>
          <w:lang w:val="en-US" w:eastAsia="zh-CN"/>
        </w:rPr>
        <w:t>采购人应当贯彻落实知识产权保护相关法律法规，</w:t>
      </w:r>
      <w:r>
        <w:rPr>
          <w:rFonts w:hint="eastAsia" w:ascii="宋体" w:hAnsi="宋体" w:eastAsia="宋体" w:cs="仿宋"/>
          <w:b w:val="0"/>
          <w:bCs w:val="0"/>
          <w:sz w:val="24"/>
          <w:szCs w:val="24"/>
          <w:lang w:val="en-US"/>
        </w:rPr>
        <w:t>应当采购使用正版软件。</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3.5平等对待内外资企业和符合条件的破产重整企业</w:t>
      </w:r>
    </w:p>
    <w:p>
      <w:pPr>
        <w:spacing w:line="360" w:lineRule="auto"/>
        <w:ind w:firstLine="480" w:firstLineChars="200"/>
        <w:rPr>
          <w:rFonts w:hint="eastAsia" w:ascii="宋体" w:hAnsi="宋体" w:eastAsia="宋体" w:cs="宋体"/>
          <w:b/>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rPr>
        <w:t>4. 询问、质疑、投诉</w:t>
      </w:r>
    </w:p>
    <w:p>
      <w:pPr>
        <w:pStyle w:val="892"/>
        <w:shd w:val="clear" w:color="auto" w:fill="FFFFFF"/>
        <w:snapToGrid w:val="0"/>
        <w:spacing w:after="240" w:afterAutospacing="0" w:line="360" w:lineRule="auto"/>
        <w:ind w:firstLine="400"/>
        <w:contextualSpacing/>
        <w:rPr>
          <w:rFonts w:hint="eastAsia" w:ascii="宋体" w:hAnsi="宋体" w:eastAsia="宋体" w:cs="宋体"/>
          <w:lang w:val="zh-CN"/>
        </w:rPr>
      </w:pPr>
      <w:r>
        <w:rPr>
          <w:rFonts w:hint="eastAsia" w:ascii="宋体" w:hAnsi="宋体" w:eastAsia="宋体" w:cs="宋体"/>
          <w:lang w:val="zh-CN"/>
        </w:rPr>
        <w:t>4.1在线询问、质疑、投诉</w:t>
      </w:r>
    </w:p>
    <w:p>
      <w:pPr>
        <w:pStyle w:val="892"/>
        <w:shd w:val="clear" w:color="auto" w:fill="FFFFFF"/>
        <w:snapToGrid w:val="0"/>
        <w:spacing w:after="240" w:afterAutospacing="0" w:line="360" w:lineRule="auto"/>
        <w:ind w:firstLine="400"/>
        <w:contextualSpacing/>
        <w:rPr>
          <w:rFonts w:hint="eastAsia" w:ascii="宋体" w:hAnsi="宋体" w:eastAsia="宋体" w:cs="宋体"/>
          <w:lang w:val="zh-CN"/>
        </w:rPr>
      </w:pPr>
      <w:r>
        <w:rPr>
          <w:rFonts w:hint="eastAsia" w:ascii="宋体" w:hAnsi="宋体" w:eastAsia="宋体" w:cs="宋体"/>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pPr>
        <w:pStyle w:val="35"/>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sz w:val="24"/>
          <w:lang w:eastAsia="zh-CN"/>
        </w:rPr>
        <w:t>采购代理机构</w:t>
      </w:r>
      <w:r>
        <w:rPr>
          <w:rFonts w:hint="eastAsia" w:ascii="宋体" w:hAnsi="宋体" w:eastAsia="宋体" w:cs="宋体"/>
          <w:sz w:val="24"/>
        </w:rPr>
        <w:t>提出质疑，否则，采购人或者</w:t>
      </w:r>
      <w:r>
        <w:rPr>
          <w:rFonts w:hint="eastAsia" w:ascii="宋体" w:hAnsi="宋体" w:eastAsia="宋体" w:cs="宋体"/>
          <w:sz w:val="24"/>
          <w:lang w:eastAsia="zh-CN"/>
        </w:rPr>
        <w:t>采购代理机构</w:t>
      </w:r>
      <w:r>
        <w:rPr>
          <w:rFonts w:hint="eastAsia" w:ascii="宋体" w:hAnsi="宋体" w:eastAsia="宋体" w:cs="宋体"/>
          <w:sz w:val="24"/>
        </w:rPr>
        <w:t>不予受理：</w:t>
      </w:r>
    </w:p>
    <w:p>
      <w:pPr>
        <w:pStyle w:val="5"/>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547"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pPr>
        <w:pStyle w:val="35"/>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pPr>
        <w:pStyle w:val="892"/>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pPr>
        <w:pStyle w:val="892"/>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pPr>
        <w:pStyle w:val="892"/>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pPr>
        <w:pStyle w:val="892"/>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w:t>
      </w:r>
      <w:r>
        <w:rPr>
          <w:rFonts w:hint="eastAsia" w:ascii="宋体" w:hAnsi="宋体" w:eastAsia="宋体" w:cs="宋体"/>
          <w:lang w:eastAsia="zh-CN"/>
        </w:rPr>
        <w:t>采购代理机构</w:t>
      </w:r>
      <w:r>
        <w:rPr>
          <w:rFonts w:hint="eastAsia" w:ascii="宋体" w:hAnsi="宋体" w:eastAsia="宋体" w:cs="宋体"/>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lang w:eastAsia="zh-CN"/>
        </w:rPr>
        <w:t>采购代理机构</w:t>
      </w:r>
      <w:r>
        <w:rPr>
          <w:rFonts w:hint="eastAsia" w:ascii="宋体" w:hAnsi="宋体" w:eastAsia="宋体" w:cs="宋体"/>
        </w:rPr>
        <w:t>在质疑回复后5个工作日内，在浙江政府采购网的“其他公告”栏目公开质疑答复，答复内容应当完整。质疑函作为附件上传。</w:t>
      </w:r>
    </w:p>
    <w:p>
      <w:pPr>
        <w:pStyle w:val="892"/>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pPr>
        <w:pStyle w:val="892"/>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pPr>
        <w:pStyle w:val="892"/>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w:t>
      </w:r>
      <w:r>
        <w:rPr>
          <w:rFonts w:hint="eastAsia" w:ascii="宋体" w:hAnsi="宋体" w:eastAsia="宋体" w:cs="宋体"/>
          <w:lang w:eastAsia="zh-CN"/>
        </w:rPr>
        <w:t>采购代理机构</w:t>
      </w:r>
      <w:r>
        <w:rPr>
          <w:rFonts w:hint="eastAsia" w:ascii="宋体" w:hAnsi="宋体" w:eastAsia="宋体" w:cs="宋体"/>
        </w:rPr>
        <w:t>的答复不满意或者采购人、</w:t>
      </w:r>
      <w:r>
        <w:rPr>
          <w:rFonts w:hint="eastAsia" w:ascii="宋体" w:hAnsi="宋体" w:eastAsia="宋体" w:cs="宋体"/>
          <w:lang w:eastAsia="zh-CN"/>
        </w:rPr>
        <w:t>采购代理机构</w:t>
      </w:r>
      <w:r>
        <w:rPr>
          <w:rFonts w:hint="eastAsia" w:ascii="宋体" w:hAnsi="宋体" w:eastAsia="宋体" w:cs="宋体"/>
        </w:rPr>
        <w:t>未在规定的时间内作出答复的，可以在答复期满后十五个工作日内向同级政府采购监督管理部门提出投诉。</w:t>
      </w:r>
    </w:p>
    <w:p>
      <w:pPr>
        <w:pStyle w:val="892"/>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pPr>
        <w:pStyle w:val="892"/>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pPr>
        <w:pStyle w:val="892"/>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 以联合体形式参加政府采购活动的，其投诉应当由组成联合体的所有供应商共同提出。</w:t>
      </w:r>
    </w:p>
    <w:p>
      <w:pPr>
        <w:pStyle w:val="892"/>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pPr>
        <w:pStyle w:val="132"/>
        <w:snapToGrid w:val="0"/>
        <w:spacing w:before="0"/>
        <w:ind w:firstLine="360"/>
        <w:rPr>
          <w:rFonts w:hint="eastAsia" w:ascii="宋体" w:hAnsi="宋体" w:eastAsia="宋体" w:cs="宋体"/>
          <w:sz w:val="18"/>
          <w:szCs w:val="18"/>
        </w:rPr>
      </w:pPr>
    </w:p>
    <w:p>
      <w:pPr>
        <w:pStyle w:val="2"/>
        <w:bidi w:val="0"/>
        <w:rPr>
          <w:rFonts w:hint="eastAsia" w:ascii="宋体" w:hAnsi="宋体" w:eastAsia="宋体" w:cs="宋体"/>
        </w:rPr>
      </w:pPr>
      <w:r>
        <w:rPr>
          <w:rFonts w:hint="eastAsia" w:ascii="宋体" w:hAnsi="宋体" w:eastAsia="宋体" w:cs="宋体"/>
        </w:rPr>
        <w:t>二、招标文件的构成、澄清、修改</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pPr>
        <w:pStyle w:val="132"/>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w:t>
      </w:r>
      <w:r>
        <w:rPr>
          <w:rFonts w:hint="eastAsia" w:ascii="宋体" w:hAnsi="宋体" w:eastAsia="宋体" w:cs="宋体"/>
          <w:lang w:eastAsia="zh-CN"/>
        </w:rPr>
        <w:t>采购代理机构</w:t>
      </w:r>
      <w:r>
        <w:rPr>
          <w:rFonts w:hint="eastAsia" w:ascii="宋体" w:hAnsi="宋体" w:eastAsia="宋体" w:cs="宋体"/>
        </w:rPr>
        <w:t>提出。</w:t>
      </w:r>
    </w:p>
    <w:p>
      <w:pPr>
        <w:pStyle w:val="132"/>
        <w:snapToGrid w:val="0"/>
        <w:spacing w:before="0"/>
        <w:ind w:firstLine="480"/>
        <w:rPr>
          <w:rFonts w:hint="eastAsia" w:ascii="宋体" w:hAnsi="宋体" w:eastAsia="宋体" w:cs="宋体"/>
        </w:rPr>
      </w:pPr>
      <w:r>
        <w:rPr>
          <w:rFonts w:hint="eastAsia" w:ascii="宋体" w:hAnsi="宋体" w:eastAsia="宋体" w:cs="宋体"/>
        </w:rPr>
        <w:t xml:space="preserve">6.2 </w:t>
      </w:r>
      <w:r>
        <w:rPr>
          <w:rFonts w:hint="eastAsia" w:ascii="宋体" w:hAnsi="宋体" w:eastAsia="宋体" w:cs="宋体"/>
          <w:lang w:eastAsia="zh-CN"/>
        </w:rPr>
        <w:t>采购代理机构</w:t>
      </w:r>
      <w:r>
        <w:rPr>
          <w:rFonts w:hint="eastAsia" w:ascii="宋体" w:hAnsi="宋体" w:eastAsia="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sz w:val="18"/>
          <w:szCs w:val="18"/>
          <w:lang w:val="en-US"/>
        </w:rPr>
      </w:pPr>
      <w:r>
        <w:rPr>
          <w:rFonts w:hint="eastAsia" w:ascii="宋体" w:hAnsi="宋体" w:eastAsia="宋体" w:cs="宋体"/>
          <w:szCs w:val="24"/>
          <w:lang w:val="en-US"/>
        </w:rPr>
        <w:t xml:space="preserve">    </w:t>
      </w:r>
    </w:p>
    <w:p>
      <w:pPr>
        <w:pStyle w:val="2"/>
        <w:bidi w:val="0"/>
        <w:rPr>
          <w:rFonts w:hint="eastAsia" w:ascii="宋体" w:hAnsi="宋体" w:eastAsia="宋体" w:cs="宋体"/>
        </w:rPr>
      </w:pPr>
      <w:r>
        <w:rPr>
          <w:rFonts w:hint="eastAsia" w:ascii="宋体" w:hAnsi="宋体" w:eastAsia="宋体" w:cs="宋体"/>
        </w:rPr>
        <w:t>三、投标</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pPr>
        <w:pStyle w:val="5"/>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sz w:val="24"/>
          <w:szCs w:val="24"/>
        </w:rPr>
        <w:t>1</w:t>
      </w:r>
      <w:r>
        <w:rPr>
          <w:rFonts w:hint="eastAsia" w:ascii="宋体" w:hAnsi="宋体" w:eastAsia="宋体" w:cs="宋体"/>
          <w:b/>
          <w:color w:val="auto"/>
          <w:sz w:val="24"/>
          <w:szCs w:val="24"/>
        </w:rPr>
        <w:t>1. 投标文件的组成</w:t>
      </w:r>
    </w:p>
    <w:p>
      <w:pPr>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11.1</w:t>
      </w:r>
      <w:r>
        <w:rPr>
          <w:rFonts w:hint="eastAsia" w:ascii="宋体" w:hAnsi="宋体" w:eastAsia="宋体" w:cs="宋体"/>
          <w:b/>
          <w:color w:val="auto"/>
          <w:sz w:val="24"/>
        </w:rPr>
        <w:t>资格文件</w:t>
      </w:r>
      <w:r>
        <w:rPr>
          <w:rFonts w:hint="eastAsia" w:ascii="宋体" w:hAnsi="宋体" w:eastAsia="宋体" w:cs="宋体"/>
          <w:color w:val="auto"/>
          <w:sz w:val="24"/>
        </w:rPr>
        <w:t>：</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sz w:val="24"/>
        </w:rPr>
        <w:t>11.1.</w:t>
      </w:r>
      <w:r>
        <w:rPr>
          <w:rFonts w:hint="eastAsia" w:ascii="宋体" w:hAnsi="宋体" w:eastAsia="宋体" w:cs="宋体"/>
          <w:color w:val="auto"/>
          <w:sz w:val="24"/>
        </w:rPr>
        <w:t>1</w:t>
      </w:r>
      <w:r>
        <w:rPr>
          <w:rFonts w:hint="eastAsia" w:ascii="宋体" w:hAnsi="宋体" w:eastAsia="宋体" w:cs="宋体"/>
          <w:color w:val="auto"/>
          <w:sz w:val="24"/>
          <w:lang w:eastAsia="zh-CN"/>
        </w:rPr>
        <w:t>资格文件封面</w:t>
      </w:r>
    </w:p>
    <w:p>
      <w:pPr>
        <w:snapToGrid w:val="0"/>
        <w:spacing w:line="360" w:lineRule="auto"/>
        <w:ind w:firstLine="723" w:firstLineChars="300"/>
        <w:rPr>
          <w:rFonts w:hint="eastAsia" w:ascii="宋体" w:hAnsi="宋体" w:eastAsia="宋体" w:cs="宋体"/>
          <w:b/>
          <w:bCs/>
          <w:color w:val="auto"/>
          <w:sz w:val="24"/>
        </w:rPr>
      </w:pPr>
      <w:r>
        <w:rPr>
          <w:rFonts w:hint="eastAsia" w:ascii="宋体" w:hAnsi="宋体" w:eastAsia="宋体" w:cs="宋体"/>
          <w:b/>
          <w:bCs/>
          <w:color w:val="auto"/>
          <w:sz w:val="24"/>
          <w:highlight w:val="none"/>
        </w:rPr>
        <w:t>▲</w:t>
      </w:r>
      <w:r>
        <w:rPr>
          <w:rFonts w:hint="eastAsia" w:ascii="宋体" w:hAnsi="宋体" w:eastAsia="宋体" w:cs="宋体"/>
          <w:b/>
          <w:bCs/>
          <w:sz w:val="24"/>
        </w:rPr>
        <w:t>11.1.</w:t>
      </w: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rPr>
        <w:t>符合参加政府采购活动应当具备的一般条件的承诺函；</w:t>
      </w:r>
    </w:p>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cs="宋体"/>
          <w:color w:val="auto"/>
          <w:sz w:val="24"/>
          <w:lang w:val="en-US" w:eastAsia="zh-CN"/>
        </w:rPr>
        <w:t>4</w:t>
      </w:r>
      <w:r>
        <w:rPr>
          <w:rFonts w:hint="eastAsia" w:ascii="宋体" w:hAnsi="宋体" w:eastAsia="宋体" w:cs="宋体"/>
          <w:snapToGrid w:val="0"/>
          <w:color w:val="auto"/>
          <w:kern w:val="28"/>
          <w:sz w:val="24"/>
          <w:szCs w:val="24"/>
        </w:rPr>
        <w:t>联合协议（如果有)；</w:t>
      </w:r>
    </w:p>
    <w:p>
      <w:pPr>
        <w:snapToGrid w:val="0"/>
        <w:spacing w:line="360" w:lineRule="auto"/>
        <w:ind w:firstLine="720" w:firstLineChars="3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rPr>
        <w:t>11.1.</w:t>
      </w:r>
      <w:r>
        <w:rPr>
          <w:rFonts w:hint="eastAsia" w:ascii="宋体" w:hAnsi="宋体" w:cs="宋体"/>
          <w:color w:val="auto"/>
          <w:sz w:val="24"/>
          <w:lang w:val="en-US" w:eastAsia="zh-CN"/>
        </w:rPr>
        <w:t>5</w:t>
      </w:r>
      <w:r>
        <w:rPr>
          <w:rFonts w:hint="eastAsia" w:ascii="宋体" w:hAnsi="宋体" w:eastAsia="宋体" w:cs="宋体"/>
          <w:color w:val="auto"/>
          <w:sz w:val="24"/>
        </w:rPr>
        <w:t>落实政府采购政策需满足的资格要求</w:t>
      </w:r>
      <w:r>
        <w:rPr>
          <w:rFonts w:hint="eastAsia" w:ascii="宋体" w:hAnsi="宋体" w:eastAsia="宋体" w:cs="宋体"/>
          <w:snapToGrid w:val="0"/>
          <w:color w:val="auto"/>
          <w:kern w:val="28"/>
          <w:sz w:val="24"/>
          <w:szCs w:val="24"/>
          <w:lang w:eastAsia="zh-CN"/>
        </w:rPr>
        <w:t>：</w:t>
      </w:r>
      <w:r>
        <w:rPr>
          <w:rFonts w:hint="eastAsia" w:ascii="宋体" w:hAnsi="宋体" w:eastAsia="宋体" w:cs="宋体"/>
          <w:b/>
          <w:bCs/>
          <w:color w:val="auto"/>
          <w:sz w:val="24"/>
          <w:highlight w:val="none"/>
          <w:lang w:eastAsia="zh-CN"/>
        </w:rPr>
        <w:t>本项目为专门面向中小企业采购的项目,</w:t>
      </w:r>
      <w:r>
        <w:rPr>
          <w:rFonts w:hint="eastAsia" w:ascii="宋体" w:hAnsi="宋体" w:cs="宋体"/>
          <w:b/>
          <w:bCs/>
          <w:color w:val="auto"/>
          <w:sz w:val="24"/>
          <w:highlight w:val="none"/>
          <w:lang w:val="en-US" w:eastAsia="zh-CN"/>
        </w:rPr>
        <w:t>投标人和所有货物制造商</w:t>
      </w:r>
      <w:r>
        <w:rPr>
          <w:rFonts w:hint="eastAsia" w:ascii="宋体" w:hAnsi="宋体" w:eastAsia="宋体" w:cs="宋体"/>
          <w:b/>
          <w:bCs/>
          <w:color w:val="auto"/>
          <w:sz w:val="24"/>
          <w:highlight w:val="none"/>
          <w:lang w:eastAsia="zh-CN"/>
        </w:rPr>
        <w:t>应为中型或小型企业或微企业或监狱企业和残疾人福利性单位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lang w:eastAsia="zh-CN"/>
        </w:rPr>
        <w:t>投标时</w:t>
      </w:r>
      <w:r>
        <w:rPr>
          <w:rFonts w:hint="eastAsia" w:ascii="宋体" w:hAnsi="宋体" w:cs="宋体"/>
          <w:b/>
          <w:bCs/>
          <w:color w:val="auto"/>
          <w:sz w:val="24"/>
          <w:lang w:val="en-US" w:eastAsia="zh-CN"/>
        </w:rPr>
        <w:t>提供</w:t>
      </w:r>
      <w:r>
        <w:rPr>
          <w:rFonts w:hint="eastAsia" w:ascii="宋体" w:hAnsi="宋体" w:eastAsia="宋体" w:cs="宋体"/>
          <w:b/>
          <w:bCs/>
          <w:color w:val="auto"/>
          <w:sz w:val="24"/>
          <w:lang w:eastAsia="zh-CN"/>
        </w:rPr>
        <w:t>中小企业声明函（格式后附），</w:t>
      </w:r>
      <w:r>
        <w:rPr>
          <w:rFonts w:hint="eastAsia" w:ascii="宋体" w:hAnsi="宋体" w:eastAsia="宋体" w:cs="宋体"/>
          <w:b/>
          <w:bCs/>
          <w:color w:val="auto"/>
          <w:sz w:val="24"/>
          <w:highlight w:val="none"/>
          <w:lang w:eastAsia="zh-CN"/>
        </w:rPr>
        <w:t>否则其投标文件作无效投标处理。</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注：在货物采购项目中，货物由中小企业制造，即货物由中小企业生产且使用该中小企业商号或者注册商标；上述中小企业声明函数据未填写的，不予认可，资格审核不予通过，投标作无效标处理。</w:t>
      </w:r>
    </w:p>
    <w:p>
      <w:pPr>
        <w:snapToGrid w:val="0"/>
        <w:spacing w:line="360" w:lineRule="auto"/>
        <w:ind w:firstLine="480" w:firstLineChars="200"/>
        <w:rPr>
          <w:rFonts w:hint="eastAsia" w:ascii="宋体" w:hAnsi="宋体" w:eastAsia="宋体" w:cs="宋体"/>
          <w:color w:val="auto"/>
          <w:sz w:val="24"/>
        </w:rPr>
      </w:pPr>
    </w:p>
    <w:p>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cs="宋体"/>
          <w:color w:val="auto"/>
          <w:sz w:val="24"/>
          <w:lang w:val="en-US" w:eastAsia="zh-CN"/>
        </w:rPr>
        <w:t>5</w:t>
      </w:r>
      <w:r>
        <w:rPr>
          <w:rFonts w:hint="eastAsia" w:ascii="宋体" w:hAnsi="宋体" w:eastAsia="宋体" w:cs="宋体"/>
          <w:color w:val="auto"/>
          <w:sz w:val="24"/>
        </w:rPr>
        <w:t>本项目的特定资格要求：无。</w:t>
      </w:r>
    </w:p>
    <w:p>
      <w:pPr>
        <w:snapToGrid w:val="0"/>
        <w:spacing w:line="360" w:lineRule="auto"/>
        <w:ind w:left="120" w:leftChars="50" w:firstLine="482" w:firstLineChars="200"/>
        <w:rPr>
          <w:rFonts w:hint="eastAsia" w:ascii="宋体" w:hAnsi="宋体" w:eastAsia="宋体" w:cs="宋体"/>
          <w:color w:val="auto"/>
          <w:sz w:val="24"/>
        </w:rPr>
      </w:pPr>
      <w:r>
        <w:rPr>
          <w:rFonts w:hint="eastAsia" w:ascii="宋体" w:hAnsi="宋体" w:eastAsia="宋体" w:cs="宋体"/>
          <w:b/>
          <w:bCs/>
          <w:color w:val="auto"/>
          <w:sz w:val="24"/>
        </w:rPr>
        <w:t>注：上述资格条件审查材料有一项不提供的，视为资格审查不通过。上述内容部分格式及内容详见“</w:t>
      </w:r>
      <w:r>
        <w:rPr>
          <w:rFonts w:hint="eastAsia" w:ascii="宋体" w:hAnsi="宋体" w:eastAsia="宋体" w:cs="宋体"/>
          <w:color w:val="auto"/>
          <w:sz w:val="24"/>
        </w:rPr>
        <w:t>第六部分  应提交的有关格式范例”。</w:t>
      </w:r>
    </w:p>
    <w:p>
      <w:pPr>
        <w:snapToGrid w:val="0"/>
        <w:spacing w:line="360" w:lineRule="auto"/>
        <w:ind w:firstLine="482" w:firstLineChars="200"/>
        <w:rPr>
          <w:rFonts w:hint="eastAsia" w:ascii="宋体" w:hAnsi="宋体" w:eastAsia="宋体" w:cs="宋体"/>
          <w:b/>
          <w:bCs/>
          <w:color w:val="auto"/>
          <w:sz w:val="24"/>
          <w:lang w:val="zh-CN"/>
        </w:rPr>
      </w:pPr>
      <w:r>
        <w:rPr>
          <w:rFonts w:hint="eastAsia" w:ascii="宋体" w:hAnsi="宋体" w:eastAsia="宋体" w:cs="宋体"/>
          <w:b/>
          <w:bCs/>
          <w:color w:val="auto"/>
          <w:sz w:val="24"/>
          <w:lang w:val="zh-CN"/>
        </w:rPr>
        <w:t>11.</w:t>
      </w:r>
      <w:r>
        <w:rPr>
          <w:rFonts w:hint="eastAsia" w:ascii="宋体" w:hAnsi="宋体" w:eastAsia="宋体" w:cs="宋体"/>
          <w:b/>
          <w:bCs/>
          <w:color w:val="auto"/>
          <w:sz w:val="24"/>
        </w:rPr>
        <w:t>2</w:t>
      </w:r>
      <w:r>
        <w:rPr>
          <w:rFonts w:hint="eastAsia" w:ascii="宋体" w:hAnsi="宋体" w:eastAsia="宋体" w:cs="宋体"/>
          <w:b/>
          <w:bCs/>
          <w:color w:val="auto"/>
          <w:sz w:val="24"/>
          <w:lang w:val="zh-CN"/>
        </w:rPr>
        <w:t xml:space="preserve">  </w:t>
      </w:r>
      <w:r>
        <w:rPr>
          <w:rFonts w:hint="eastAsia" w:ascii="宋体" w:hAnsi="宋体" w:eastAsia="宋体" w:cs="宋体"/>
          <w:b/>
          <w:bCs/>
          <w:color w:val="auto"/>
          <w:sz w:val="24"/>
        </w:rPr>
        <w:t>商务技术</w:t>
      </w:r>
      <w:r>
        <w:rPr>
          <w:rFonts w:hint="eastAsia" w:ascii="宋体" w:hAnsi="宋体" w:eastAsia="宋体" w:cs="宋体"/>
          <w:b/>
          <w:bCs/>
          <w:color w:val="auto"/>
          <w:sz w:val="24"/>
          <w:lang w:val="zh-CN"/>
        </w:rPr>
        <w:t>文件</w:t>
      </w:r>
      <w:r>
        <w:rPr>
          <w:rFonts w:hint="eastAsia" w:ascii="宋体" w:hAnsi="宋体" w:eastAsia="宋体" w:cs="宋体"/>
          <w:b/>
          <w:bCs/>
          <w:color w:val="auto"/>
          <w:sz w:val="24"/>
        </w:rPr>
        <w:t>（包括不限于）</w:t>
      </w:r>
      <w:r>
        <w:rPr>
          <w:rFonts w:hint="eastAsia" w:ascii="宋体" w:hAnsi="宋体" w:eastAsia="宋体" w:cs="宋体"/>
          <w:b/>
          <w:bCs/>
          <w:color w:val="auto"/>
          <w:sz w:val="24"/>
          <w:lang w:val="zh-CN"/>
        </w:rPr>
        <w:t>：</w:t>
      </w:r>
    </w:p>
    <w:p>
      <w:pPr>
        <w:snapToGrid w:val="0"/>
        <w:spacing w:line="360" w:lineRule="auto"/>
        <w:ind w:firstLine="723" w:firstLineChars="300"/>
        <w:rPr>
          <w:rFonts w:hint="eastAsia" w:ascii="宋体" w:hAnsi="宋体" w:eastAsia="宋体" w:cs="宋体"/>
          <w:b/>
          <w:bCs/>
          <w:color w:val="auto"/>
          <w:sz w:val="24"/>
        </w:rPr>
      </w:pPr>
      <w:r>
        <w:rPr>
          <w:rFonts w:hint="eastAsia" w:ascii="宋体" w:hAnsi="宋体" w:eastAsia="宋体" w:cs="宋体"/>
          <w:b/>
          <w:bCs/>
          <w:color w:val="auto"/>
          <w:sz w:val="24"/>
        </w:rPr>
        <w:t>▲11.2.1投标函；</w:t>
      </w:r>
      <w:r>
        <w:rPr>
          <w:rFonts w:hint="eastAsia" w:ascii="宋体" w:hAnsi="宋体" w:eastAsia="宋体" w:cs="宋体"/>
          <w:b/>
          <w:bCs/>
          <w:color w:val="auto"/>
          <w:sz w:val="24"/>
          <w:lang w:val="zh-CN"/>
        </w:rPr>
        <w:t xml:space="preserve"> </w:t>
      </w:r>
    </w:p>
    <w:p>
      <w:pPr>
        <w:snapToGrid w:val="0"/>
        <w:spacing w:line="360" w:lineRule="auto"/>
        <w:ind w:firstLine="723" w:firstLineChars="300"/>
        <w:rPr>
          <w:rFonts w:hint="eastAsia" w:ascii="宋体" w:hAnsi="宋体" w:eastAsia="宋体" w:cs="宋体"/>
          <w:b/>
          <w:bCs/>
          <w:sz w:val="24"/>
        </w:rPr>
      </w:pPr>
      <w:r>
        <w:rPr>
          <w:rFonts w:hint="eastAsia" w:ascii="宋体" w:hAnsi="宋体" w:eastAsia="宋体" w:cs="宋体"/>
          <w:b/>
          <w:bCs/>
          <w:sz w:val="24"/>
        </w:rPr>
        <w:t>▲11.2.2授权委托书或法定代表人（单位负责人、自然人本人）身份证明；</w:t>
      </w:r>
    </w:p>
    <w:p>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sz w:val="24"/>
        </w:rPr>
        <w:t>▲</w:t>
      </w:r>
      <w:r>
        <w:rPr>
          <w:rFonts w:hint="eastAsia" w:ascii="宋体" w:hAnsi="宋体" w:eastAsia="宋体" w:cs="宋体"/>
          <w:sz w:val="24"/>
        </w:rPr>
        <w:t>11.2.</w:t>
      </w:r>
      <w:r>
        <w:rPr>
          <w:rFonts w:hint="eastAsia" w:ascii="宋体" w:hAnsi="宋体" w:eastAsia="宋体" w:cs="宋体"/>
          <w:sz w:val="24"/>
          <w:lang w:val="en-US" w:eastAsia="zh-CN"/>
        </w:rPr>
        <w:t>3</w:t>
      </w:r>
      <w:r>
        <w:rPr>
          <w:rFonts w:hint="eastAsia" w:ascii="宋体" w:hAnsi="宋体" w:eastAsia="宋体" w:cs="宋体"/>
          <w:sz w:val="24"/>
        </w:rPr>
        <w:t>符合性审查资料；</w:t>
      </w:r>
    </w:p>
    <w:p>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lang w:val="en-US" w:eastAsia="zh-CN"/>
        </w:rPr>
        <w:t>4</w:t>
      </w:r>
      <w:r>
        <w:rPr>
          <w:rFonts w:hint="eastAsia" w:ascii="宋体" w:hAnsi="宋体" w:eastAsia="宋体" w:cs="宋体"/>
          <w:sz w:val="24"/>
        </w:rPr>
        <w:t>评标标准相应的商务技术资料；</w:t>
      </w:r>
      <w:r>
        <w:rPr>
          <w:rFonts w:hint="eastAsia" w:ascii="宋体" w:hAnsi="宋体" w:eastAsia="宋体" w:cs="宋体"/>
          <w:b/>
          <w:bCs/>
          <w:sz w:val="24"/>
        </w:rPr>
        <w:t>（按招标文件第四部分评标办法前附表中“投标文件中评标标准相应的商务技术资料目录”提供资料）</w:t>
      </w:r>
    </w:p>
    <w:p>
      <w:pPr>
        <w:snapToGrid w:val="0"/>
        <w:spacing w:line="360" w:lineRule="auto"/>
        <w:ind w:firstLine="723" w:firstLineChars="300"/>
        <w:rPr>
          <w:rFonts w:hint="eastAsia" w:ascii="宋体" w:hAnsi="宋体" w:eastAsia="宋体" w:cs="宋体"/>
          <w:b/>
          <w:bCs/>
          <w:color w:val="auto"/>
          <w:sz w:val="24"/>
        </w:rPr>
      </w:pPr>
      <w:r>
        <w:rPr>
          <w:rFonts w:hint="eastAsia" w:ascii="宋体" w:hAnsi="宋体" w:eastAsia="宋体" w:cs="宋体"/>
          <w:b/>
          <w:bCs/>
          <w:color w:val="auto"/>
          <w:sz w:val="24"/>
        </w:rPr>
        <w:t>▲11.2.5商务技术偏离表；（格式内容见“第六部分  应提交的有关格式范例”）</w:t>
      </w:r>
    </w:p>
    <w:p>
      <w:pPr>
        <w:snapToGrid w:val="0"/>
        <w:spacing w:line="360" w:lineRule="auto"/>
        <w:ind w:firstLine="723" w:firstLineChars="300"/>
        <w:rPr>
          <w:rFonts w:hint="eastAsia" w:ascii="宋体" w:hAnsi="宋体" w:eastAsia="宋体" w:cs="宋体"/>
          <w:b/>
          <w:bCs/>
          <w:color w:val="auto"/>
          <w:sz w:val="24"/>
        </w:rPr>
      </w:pPr>
      <w:r>
        <w:rPr>
          <w:rFonts w:hint="eastAsia" w:ascii="宋体" w:hAnsi="宋体" w:eastAsia="宋体" w:cs="宋体"/>
          <w:b/>
          <w:bCs/>
          <w:color w:val="auto"/>
          <w:sz w:val="24"/>
        </w:rPr>
        <w:t>投标人必须针对第三部分设备清单中“技术参数要求”逐个做出响应，并按相关要求提供证明材料或响应，否则视为未响应。</w:t>
      </w:r>
    </w:p>
    <w:p>
      <w:pPr>
        <w:snapToGrid w:val="0"/>
        <w:spacing w:line="360" w:lineRule="auto"/>
        <w:ind w:firstLine="482" w:firstLineChars="200"/>
        <w:rPr>
          <w:rFonts w:hint="eastAsia" w:ascii="宋体" w:hAnsi="宋体" w:eastAsia="宋体" w:cs="宋体"/>
          <w:lang w:eastAsia="zh-CN"/>
        </w:rPr>
      </w:pPr>
      <w:r>
        <w:rPr>
          <w:rFonts w:hint="eastAsia" w:ascii="宋体" w:hAnsi="宋体" w:eastAsia="宋体" w:cs="宋体"/>
          <w:b/>
          <w:bCs/>
          <w:color w:val="auto"/>
          <w:sz w:val="24"/>
        </w:rPr>
        <w:t>▲</w:t>
      </w:r>
      <w:r>
        <w:rPr>
          <w:rFonts w:hint="eastAsia" w:ascii="宋体" w:hAnsi="宋体" w:eastAsia="宋体" w:cs="宋体"/>
          <w:b/>
          <w:bCs/>
          <w:color w:val="auto"/>
          <w:sz w:val="24"/>
          <w:lang w:val="zh-CN"/>
        </w:rPr>
        <w:t>11.</w:t>
      </w:r>
      <w:r>
        <w:rPr>
          <w:rFonts w:hint="eastAsia" w:ascii="宋体" w:hAnsi="宋体" w:eastAsia="宋体" w:cs="宋体"/>
          <w:b/>
          <w:bCs/>
          <w:color w:val="auto"/>
          <w:sz w:val="24"/>
        </w:rPr>
        <w:t>2</w:t>
      </w:r>
      <w:r>
        <w:rPr>
          <w:rFonts w:hint="eastAsia" w:ascii="宋体" w:hAnsi="宋体" w:eastAsia="宋体" w:cs="宋体"/>
          <w:b/>
          <w:bCs/>
          <w:color w:val="auto"/>
          <w:sz w:val="24"/>
          <w:lang w:val="zh-CN"/>
        </w:rPr>
        <w:t>.</w:t>
      </w:r>
      <w:r>
        <w:rPr>
          <w:rFonts w:hint="eastAsia" w:ascii="宋体" w:hAnsi="宋体" w:eastAsia="宋体" w:cs="宋体"/>
          <w:b/>
          <w:bCs/>
          <w:color w:val="auto"/>
          <w:sz w:val="24"/>
          <w:lang w:val="en-US" w:eastAsia="zh-CN"/>
        </w:rPr>
        <w:t>6</w:t>
      </w:r>
      <w:r>
        <w:rPr>
          <w:rFonts w:hint="eastAsia" w:ascii="宋体" w:hAnsi="宋体" w:eastAsia="宋体" w:cs="宋体"/>
          <w:b/>
          <w:bCs/>
          <w:color w:val="auto"/>
          <w:sz w:val="24"/>
          <w:lang w:eastAsia="zh-CN"/>
        </w:rPr>
        <w:t>投标产品清单（根据采购需求清单明细提供投标产品清单，即所投产品具体配置表）。</w:t>
      </w:r>
    </w:p>
    <w:p>
      <w:pPr>
        <w:snapToGrid w:val="0"/>
        <w:spacing w:line="360" w:lineRule="auto"/>
        <w:ind w:firstLine="723" w:firstLineChars="300"/>
        <w:rPr>
          <w:rFonts w:hint="eastAsia" w:ascii="宋体" w:hAnsi="宋体" w:eastAsia="宋体" w:cs="宋体"/>
          <w:color w:val="auto"/>
          <w:sz w:val="24"/>
        </w:rPr>
      </w:pPr>
      <w:r>
        <w:rPr>
          <w:rFonts w:hint="eastAsia" w:ascii="宋体" w:hAnsi="宋体" w:eastAsia="宋体" w:cs="宋体"/>
          <w:b/>
          <w:bCs/>
          <w:color w:val="auto"/>
          <w:sz w:val="24"/>
        </w:rPr>
        <w:t>所投产品具体配置表</w:t>
      </w:r>
      <w:r>
        <w:rPr>
          <w:rFonts w:hint="eastAsia" w:ascii="宋体" w:hAnsi="宋体" w:eastAsia="宋体" w:cs="宋体"/>
          <w:color w:val="auto"/>
          <w:sz w:val="24"/>
        </w:rPr>
        <w:t>：详细列明所投产品设备清单，完整配置方案及技术指标，项目的主要设备必须明确所投产品的品牌、规格型号、材质及具体技术指标，任何含糊不清的表述对评标结果的影响将是投标人的责任；</w:t>
      </w:r>
    </w:p>
    <w:p>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rPr>
        <w:t>▲</w:t>
      </w: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w:t>
      </w:r>
      <w:r>
        <w:rPr>
          <w:rFonts w:hint="eastAsia" w:ascii="宋体" w:hAnsi="宋体" w:eastAsia="宋体" w:cs="宋体"/>
          <w:b/>
          <w:bCs/>
          <w:sz w:val="24"/>
          <w:lang w:val="en-US" w:eastAsia="zh-CN"/>
        </w:rPr>
        <w:t>7</w:t>
      </w:r>
      <w:r>
        <w:rPr>
          <w:rFonts w:hint="eastAsia" w:ascii="宋体" w:hAnsi="宋体" w:eastAsia="宋体" w:cs="宋体"/>
          <w:b/>
          <w:bCs/>
          <w:sz w:val="24"/>
          <w:lang w:val="zh-CN"/>
        </w:rPr>
        <w:t>政府采购供应商廉洁自律承诺书；</w:t>
      </w:r>
    </w:p>
    <w:p>
      <w:pPr>
        <w:shd w:val="clear"/>
        <w:snapToGrid w:val="0"/>
        <w:spacing w:line="360" w:lineRule="auto"/>
        <w:ind w:firstLine="480" w:firstLineChars="200"/>
        <w:rPr>
          <w:rFonts w:hint="eastAsia" w:ascii="宋体" w:hAnsi="宋体" w:eastAsia="宋体" w:cs="宋体"/>
          <w:b w:val="0"/>
          <w:bCs w:val="0"/>
          <w:color w:val="000000"/>
          <w:sz w:val="24"/>
          <w:lang w:eastAsia="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8</w:t>
      </w:r>
      <w:r>
        <w:rPr>
          <w:rFonts w:hint="eastAsia" w:ascii="宋体" w:hAnsi="宋体" w:eastAsia="宋体" w:cs="宋体"/>
          <w:b w:val="0"/>
          <w:bCs w:val="0"/>
          <w:color w:val="000000"/>
          <w:sz w:val="24"/>
        </w:rPr>
        <w:t>政府采购活动现场确认声明书</w:t>
      </w:r>
      <w:r>
        <w:rPr>
          <w:rFonts w:hint="eastAsia" w:ascii="宋体" w:hAnsi="宋体" w:eastAsia="宋体" w:cs="宋体"/>
          <w:b w:val="0"/>
          <w:bCs w:val="0"/>
          <w:color w:val="000000"/>
          <w:sz w:val="24"/>
          <w:lang w:eastAsia="zh-CN"/>
        </w:rPr>
        <w:t>。</w:t>
      </w:r>
    </w:p>
    <w:p>
      <w:pPr>
        <w:shd w:val="clear"/>
        <w:snapToGrid w:val="0"/>
        <w:spacing w:line="360" w:lineRule="auto"/>
        <w:ind w:firstLine="480" w:firstLineChars="200"/>
        <w:rPr>
          <w:rFonts w:hint="eastAsia" w:ascii="宋体" w:hAnsi="宋体" w:eastAsia="宋体" w:cs="宋体"/>
          <w:b w:val="0"/>
          <w:bCs w:val="0"/>
          <w:color w:val="000000"/>
          <w:sz w:val="24"/>
          <w:lang w:val="zh-CN" w:eastAsia="zh-CN"/>
        </w:rPr>
      </w:pPr>
      <w:r>
        <w:rPr>
          <w:rFonts w:hint="eastAsia" w:ascii="宋体" w:hAnsi="宋体" w:eastAsia="宋体" w:cs="宋体"/>
          <w:b w:val="0"/>
          <w:bCs w:val="0"/>
          <w:color w:val="000000"/>
          <w:sz w:val="24"/>
          <w:lang w:val="zh-CN" w:eastAsia="zh-CN"/>
        </w:rPr>
        <w:t>11.2.</w:t>
      </w:r>
      <w:r>
        <w:rPr>
          <w:rFonts w:hint="eastAsia" w:ascii="宋体" w:hAnsi="宋体" w:eastAsia="宋体" w:cs="宋体"/>
          <w:b w:val="0"/>
          <w:bCs w:val="0"/>
          <w:color w:val="000000"/>
          <w:sz w:val="24"/>
          <w:lang w:val="en-US" w:eastAsia="zh-CN"/>
        </w:rPr>
        <w:t>9</w:t>
      </w:r>
      <w:r>
        <w:rPr>
          <w:rFonts w:hint="eastAsia" w:ascii="宋体" w:hAnsi="宋体" w:eastAsia="宋体" w:cs="宋体"/>
          <w:b w:val="0"/>
          <w:bCs w:val="0"/>
          <w:color w:val="000000"/>
          <w:sz w:val="24"/>
          <w:lang w:val="zh-CN" w:eastAsia="zh-CN"/>
        </w:rPr>
        <w:t>关于对招标文件中有关条款的拒绝声明（如果有的话）；</w:t>
      </w:r>
    </w:p>
    <w:p>
      <w:pPr>
        <w:shd w:val="clear"/>
        <w:snapToGrid w:val="0"/>
        <w:spacing w:line="360" w:lineRule="auto"/>
        <w:ind w:firstLine="480" w:firstLineChars="200"/>
        <w:rPr>
          <w:rFonts w:hint="eastAsia" w:ascii="宋体" w:hAnsi="宋体" w:eastAsia="宋体" w:cs="宋体"/>
          <w:b w:val="0"/>
          <w:bCs w:val="0"/>
          <w:color w:val="000000"/>
          <w:sz w:val="24"/>
          <w:lang w:val="zh-CN" w:eastAsia="zh-CN"/>
        </w:rPr>
      </w:pPr>
      <w:r>
        <w:rPr>
          <w:rFonts w:hint="eastAsia" w:ascii="宋体" w:hAnsi="宋体" w:eastAsia="宋体" w:cs="宋体"/>
          <w:b w:val="0"/>
          <w:bCs w:val="0"/>
          <w:color w:val="000000"/>
          <w:sz w:val="24"/>
          <w:lang w:val="zh-CN" w:eastAsia="zh-CN"/>
        </w:rPr>
        <w:t>11.2.</w:t>
      </w:r>
      <w:r>
        <w:rPr>
          <w:rFonts w:hint="eastAsia" w:ascii="宋体" w:hAnsi="宋体" w:eastAsia="宋体" w:cs="宋体"/>
          <w:b w:val="0"/>
          <w:bCs w:val="0"/>
          <w:color w:val="000000"/>
          <w:sz w:val="24"/>
          <w:lang w:val="en-US" w:eastAsia="zh-CN"/>
        </w:rPr>
        <w:t>10</w:t>
      </w:r>
      <w:r>
        <w:rPr>
          <w:rFonts w:hint="eastAsia" w:ascii="宋体" w:hAnsi="宋体" w:eastAsia="宋体" w:cs="宋体"/>
          <w:b w:val="0"/>
          <w:bCs w:val="0"/>
          <w:color w:val="000000"/>
          <w:sz w:val="24"/>
          <w:lang w:val="zh-CN" w:eastAsia="zh-CN"/>
        </w:rPr>
        <w:t>投标人认为需要提供的与本项目有关的其他文件和说明。</w:t>
      </w:r>
    </w:p>
    <w:p>
      <w:pPr>
        <w:shd w:val="clea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color w:val="000000"/>
          <w:sz w:val="24"/>
        </w:rPr>
        <w:t>注：上述内容部分格式及内容详见“</w:t>
      </w:r>
      <w:r>
        <w:rPr>
          <w:rFonts w:hint="eastAsia" w:ascii="宋体" w:hAnsi="宋体" w:eastAsia="宋体" w:cs="宋体"/>
          <w:b/>
          <w:bCs/>
          <w:sz w:val="24"/>
        </w:rPr>
        <w:t>第六部分  应提交的有关格式范例”。</w:t>
      </w:r>
    </w:p>
    <w:p>
      <w:pPr>
        <w:snapToGrid w:val="0"/>
        <w:spacing w:line="360" w:lineRule="auto"/>
        <w:ind w:firstLine="482" w:firstLineChars="200"/>
        <w:rPr>
          <w:rFonts w:hint="eastAsia" w:ascii="宋体" w:hAnsi="宋体" w:eastAsia="宋体" w:cs="宋体"/>
          <w:sz w:val="24"/>
          <w:u w:val="single"/>
          <w:lang w:val="zh-CN"/>
        </w:rPr>
      </w:pPr>
      <w:r>
        <w:rPr>
          <w:rFonts w:hint="eastAsia" w:ascii="宋体" w:hAnsi="宋体" w:eastAsia="宋体" w:cs="宋体"/>
          <w:b/>
          <w:bCs/>
          <w:kern w:val="0"/>
          <w:sz w:val="24"/>
          <w:lang w:val="zh-CN"/>
        </w:rPr>
        <w:t>11.</w:t>
      </w:r>
      <w:r>
        <w:rPr>
          <w:rFonts w:hint="eastAsia" w:ascii="宋体" w:hAnsi="宋体" w:eastAsia="宋体" w:cs="宋体"/>
          <w:b/>
          <w:bCs/>
          <w:kern w:val="0"/>
          <w:sz w:val="24"/>
        </w:rPr>
        <w:t>3</w:t>
      </w:r>
      <w:r>
        <w:rPr>
          <w:rFonts w:hint="eastAsia" w:ascii="宋体" w:hAnsi="宋体" w:eastAsia="宋体" w:cs="宋体"/>
          <w:b/>
          <w:bCs/>
          <w:sz w:val="24"/>
        </w:rPr>
        <w:t>报价文件（包括不限于）：</w:t>
      </w:r>
      <w:r>
        <w:rPr>
          <w:rFonts w:hint="eastAsia" w:ascii="宋体" w:hAnsi="宋体" w:eastAsia="宋体" w:cs="宋体"/>
          <w:sz w:val="24"/>
        </w:rPr>
        <w:t xml:space="preserve"> </w:t>
      </w:r>
    </w:p>
    <w:p>
      <w:pPr>
        <w:snapToGrid w:val="0"/>
        <w:spacing w:line="360" w:lineRule="auto"/>
        <w:ind w:firstLine="720" w:firstLineChars="300"/>
        <w:rPr>
          <w:rFonts w:hint="eastAsia" w:ascii="宋体" w:hAnsi="宋体" w:eastAsia="宋体" w:cs="宋体"/>
          <w:b/>
          <w:bCs/>
          <w:sz w:val="24"/>
        </w:rPr>
      </w:pPr>
      <w:r>
        <w:rPr>
          <w:rFonts w:hint="eastAsia" w:ascii="宋体" w:hAnsi="宋体" w:eastAsia="宋体" w:cs="宋体"/>
          <w:sz w:val="24"/>
        </w:rPr>
        <w:t>▲</w:t>
      </w:r>
      <w:r>
        <w:rPr>
          <w:rFonts w:hint="eastAsia" w:ascii="宋体" w:hAnsi="宋体" w:eastAsia="宋体" w:cs="宋体"/>
          <w:b/>
          <w:bCs/>
          <w:sz w:val="24"/>
        </w:rPr>
        <w:t>11.3.1开标一览表（报价表）；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11.3.2中小企业声明函</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pacing w:line="360" w:lineRule="auto"/>
        <w:ind w:firstLine="723" w:firstLineChars="300"/>
        <w:rPr>
          <w:rFonts w:hint="eastAsia" w:ascii="宋体" w:hAnsi="宋体" w:eastAsia="宋体" w:cs="宋体"/>
          <w:b/>
          <w:sz w:val="24"/>
        </w:rPr>
      </w:pPr>
      <w:r>
        <w:rPr>
          <w:rFonts w:hint="eastAsia" w:ascii="宋体" w:hAnsi="宋体" w:eastAsia="宋体" w:cs="宋体"/>
          <w:b/>
          <w:sz w:val="24"/>
          <w:lang w:eastAsia="zh-CN"/>
        </w:rPr>
        <w:t>注：</w:t>
      </w:r>
      <w:r>
        <w:rPr>
          <w:rFonts w:hint="eastAsia" w:ascii="宋体" w:hAnsi="宋体" w:eastAsia="宋体" w:cs="宋体"/>
          <w:b/>
          <w:sz w:val="24"/>
        </w:rPr>
        <w:t>投标文件含有采购人不能接受的附加条件的，投标无效；</w:t>
      </w:r>
    </w:p>
    <w:p>
      <w:pPr>
        <w:spacing w:line="360" w:lineRule="auto"/>
        <w:ind w:firstLine="723" w:firstLineChars="300"/>
        <w:rPr>
          <w:rFonts w:hint="eastAsia"/>
        </w:rPr>
      </w:pPr>
      <w:r>
        <w:rPr>
          <w:rFonts w:hint="eastAsia" w:ascii="宋体" w:hAnsi="宋体" w:eastAsia="宋体" w:cs="宋体"/>
          <w:b/>
          <w:sz w:val="24"/>
        </w:rPr>
        <w:t>投标人提供虚假材料投标的，投标无效。</w:t>
      </w:r>
      <w:r>
        <w:rPr>
          <w:rFonts w:hint="eastAsia"/>
        </w:rPr>
        <w:t>投标人应对投标文件中材料的真实性、合法性负责。</w:t>
      </w:r>
    </w:p>
    <w:p>
      <w:pPr>
        <w:bidi w:val="0"/>
        <w:spacing w:line="360" w:lineRule="auto"/>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pPr>
        <w:pStyle w:val="132"/>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pPr>
        <w:pStyle w:val="132"/>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pPr>
        <w:pStyle w:val="132"/>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pPr>
        <w:pStyle w:val="132"/>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hint="eastAsia" w:ascii="宋体" w:hAnsi="宋体" w:eastAsia="宋体" w:cs="宋体"/>
          <w:szCs w:val="24"/>
        </w:rPr>
      </w:pPr>
      <w:r>
        <w:rPr>
          <w:rFonts w:hint="eastAsia" w:ascii="宋体" w:hAnsi="宋体" w:eastAsia="宋体" w:cs="宋体"/>
          <w:szCs w:val="24"/>
        </w:rPr>
        <w:t>14.3采购人、</w:t>
      </w:r>
      <w:r>
        <w:rPr>
          <w:rFonts w:hint="eastAsia" w:ascii="宋体" w:hAnsi="宋体" w:eastAsia="宋体" w:cs="宋体"/>
          <w:szCs w:val="24"/>
          <w:lang w:eastAsia="zh-CN"/>
        </w:rPr>
        <w:t>采购代理机构</w:t>
      </w:r>
      <w:r>
        <w:rPr>
          <w:rFonts w:hint="eastAsia" w:ascii="宋体" w:hAnsi="宋体" w:eastAsia="宋体" w:cs="宋体"/>
          <w:szCs w:val="24"/>
        </w:rPr>
        <w:t>可以视情况延长投标文件提交的截止时间。在上述情况下，</w:t>
      </w:r>
      <w:r>
        <w:rPr>
          <w:rFonts w:hint="eastAsia" w:ascii="宋体" w:hAnsi="宋体" w:eastAsia="宋体" w:cs="宋体"/>
          <w:szCs w:val="24"/>
          <w:lang w:eastAsia="zh-CN"/>
        </w:rPr>
        <w:t>采购代理机构</w:t>
      </w:r>
      <w:r>
        <w:rPr>
          <w:rFonts w:hint="eastAsia" w:ascii="宋体" w:hAnsi="宋体" w:eastAsia="宋体" w:cs="宋体"/>
          <w:szCs w:val="24"/>
        </w:rPr>
        <w:t>与投标人以前在投标截止期方面的全部权利、责任和义务，将适用于延长至新的投标截止期。</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pPr>
        <w:pStyle w:val="35"/>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15.1投标人在电子交易平台传输递交投标文件后，还可以在投标截止时间前直接提交或者以快递方式递交备份投标文件1份，</w:t>
      </w:r>
      <w:r>
        <w:rPr>
          <w:rFonts w:hint="eastAsia" w:ascii="宋体" w:hAnsi="宋体" w:eastAsia="宋体" w:cs="宋体"/>
          <w:b/>
          <w:sz w:val="24"/>
          <w:szCs w:val="24"/>
        </w:rPr>
        <w:t>但采购人、</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不强制或变相强制投标人提交备份投标文件。</w:t>
      </w:r>
    </w:p>
    <w:p>
      <w:pPr>
        <w:pStyle w:val="35"/>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lang w:eastAsia="zh-CN"/>
        </w:rPr>
        <w:t>或</w:t>
      </w:r>
      <w:r>
        <w:rPr>
          <w:rFonts w:hint="eastAsia" w:ascii="宋体" w:hAnsi="宋体" w:eastAsia="宋体" w:cs="宋体"/>
          <w:sz w:val="24"/>
          <w:lang w:val="en-US" w:eastAsia="zh-CN"/>
        </w:rPr>
        <w:t>U盘等存储介质</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将拒绝接受逾期送达的备份投标文件。</w:t>
      </w:r>
    </w:p>
    <w:p>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15.4以快递方式递交备份投标文件的，投标人应先将备份投标文件按要求密封和标记，再进行快递包装后邮寄。备份投标文件须在投标截止时间之前送达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pPr>
        <w:pStyle w:val="132"/>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pPr>
        <w:pStyle w:val="26"/>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4.2规定</w:t>
      </w:r>
      <w:r>
        <w:rPr>
          <w:rFonts w:hint="eastAsia" w:ascii="宋体" w:hAnsi="宋体" w:eastAsia="宋体" w:cs="宋体"/>
          <w:szCs w:val="21"/>
        </w:rPr>
        <w:t>的情形之一的，投标无效：</w:t>
      </w:r>
    </w:p>
    <w:p>
      <w:pPr>
        <w:pStyle w:val="132"/>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pPr>
        <w:pStyle w:val="132"/>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pPr>
        <w:pStyle w:val="132"/>
        <w:spacing w:before="0"/>
        <w:ind w:firstLine="480"/>
        <w:rPr>
          <w:rFonts w:hint="eastAsia" w:ascii="宋体" w:hAnsi="宋体" w:eastAsia="宋体" w:cs="宋体"/>
        </w:rPr>
      </w:pPr>
      <w:r>
        <w:rPr>
          <w:rFonts w:hint="eastAsia" w:ascii="宋体" w:hAnsi="宋体" w:eastAsia="宋体" w:cs="宋体"/>
        </w:rPr>
        <w:t>17.3在原定投标有效期满之前，如果出现特殊情况，</w:t>
      </w:r>
      <w:r>
        <w:rPr>
          <w:rFonts w:hint="eastAsia" w:ascii="宋体" w:hAnsi="宋体" w:eastAsia="宋体" w:cs="宋体"/>
          <w:lang w:eastAsia="zh-CN"/>
        </w:rPr>
        <w:t>采购代理机构</w:t>
      </w:r>
      <w:r>
        <w:rPr>
          <w:rFonts w:hint="eastAsia" w:ascii="宋体" w:hAnsi="宋体" w:eastAsia="宋体" w:cs="宋体"/>
        </w:rPr>
        <w:t>可以以书面形式通知投标人延长投标有效期。投标人同意延长的，不得要求或被允许修改其投标文件，投标人拒绝延长的，其投标无效。</w:t>
      </w:r>
    </w:p>
    <w:p>
      <w:pPr>
        <w:pStyle w:val="132"/>
        <w:spacing w:before="0"/>
        <w:ind w:firstLine="643"/>
        <w:rPr>
          <w:rFonts w:hint="eastAsia" w:ascii="宋体" w:hAnsi="宋体" w:eastAsia="宋体" w:cs="宋体"/>
          <w:b/>
          <w:sz w:val="32"/>
        </w:rPr>
      </w:pPr>
    </w:p>
    <w:p>
      <w:pPr>
        <w:pStyle w:val="2"/>
        <w:bidi w:val="0"/>
        <w:rPr>
          <w:rFonts w:hint="eastAsia" w:ascii="宋体" w:hAnsi="宋体" w:eastAsia="宋体" w:cs="宋体"/>
        </w:rPr>
      </w:pPr>
      <w:r>
        <w:rPr>
          <w:rFonts w:hint="eastAsia" w:ascii="宋体" w:hAnsi="宋体" w:eastAsia="宋体" w:cs="宋体"/>
        </w:rPr>
        <w:t>四、开标、资格审查与信用信息查询</w:t>
      </w:r>
    </w:p>
    <w:p>
      <w:pPr>
        <w:pStyle w:val="558"/>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pPr>
        <w:pStyle w:val="558"/>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w:t>
      </w:r>
      <w:r>
        <w:rPr>
          <w:rFonts w:hint="eastAsia" w:ascii="宋体" w:hAnsi="宋体" w:eastAsia="宋体" w:cs="宋体"/>
          <w:sz w:val="24"/>
          <w:lang w:eastAsia="zh-CN"/>
        </w:rPr>
        <w:t>采购代理机构</w:t>
      </w:r>
      <w:r>
        <w:rPr>
          <w:rFonts w:hint="eastAsia" w:ascii="宋体" w:hAnsi="宋体" w:eastAsia="宋体" w:cs="宋体"/>
          <w:sz w:val="24"/>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w:t>
      </w:r>
      <w:r>
        <w:rPr>
          <w:rFonts w:hint="eastAsia" w:ascii="宋体" w:hAnsi="宋体" w:eastAsia="宋体" w:cs="宋体"/>
          <w:sz w:val="24"/>
          <w:lang w:eastAsia="zh-CN"/>
        </w:rPr>
        <w:t>采购代理机构</w:t>
      </w:r>
      <w:r>
        <w:rPr>
          <w:rFonts w:hint="eastAsia" w:ascii="宋体" w:hAnsi="宋体" w:eastAsia="宋体" w:cs="宋体"/>
          <w:sz w:val="24"/>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19、资格审查</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w:t>
      </w:r>
      <w:r>
        <w:rPr>
          <w:rFonts w:hint="eastAsia" w:ascii="宋体" w:hAnsi="宋体" w:eastAsia="宋体" w:cs="宋体"/>
          <w:kern w:val="0"/>
          <w:sz w:val="24"/>
          <w:lang w:val="en-US" w:eastAsia="zh-CN"/>
        </w:rPr>
        <w:t>1</w:t>
      </w:r>
      <w:r>
        <w:rPr>
          <w:rFonts w:hint="eastAsia" w:ascii="宋体" w:hAnsi="宋体" w:eastAsia="宋体" w:cs="宋体"/>
          <w:sz w:val="24"/>
        </w:rPr>
        <w:t>采购人或</w:t>
      </w:r>
      <w:r>
        <w:rPr>
          <w:rFonts w:hint="eastAsia" w:ascii="宋体" w:hAnsi="宋体" w:eastAsia="宋体" w:cs="宋体"/>
          <w:sz w:val="24"/>
          <w:lang w:eastAsia="zh-CN"/>
        </w:rPr>
        <w:t>采购代理机构</w:t>
      </w:r>
      <w:r>
        <w:rPr>
          <w:rFonts w:hint="eastAsia" w:ascii="宋体" w:hAnsi="宋体" w:eastAsia="宋体" w:cs="宋体"/>
          <w:sz w:val="24"/>
        </w:rPr>
        <w:t>依据法律法规和招标文件的规定，对投标人的资格进行审查。</w:t>
      </w:r>
    </w:p>
    <w:p>
      <w:pPr>
        <w:pStyle w:val="132"/>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kern w:val="0"/>
          <w:szCs w:val="24"/>
          <w:lang w:val="en-US" w:eastAsia="zh-CN"/>
        </w:rPr>
        <w:t>2</w:t>
      </w:r>
      <w:r>
        <w:rPr>
          <w:rFonts w:hint="eastAsia" w:ascii="宋体" w:hAnsi="宋体" w:eastAsia="宋体" w:cs="宋体"/>
          <w:kern w:val="0"/>
          <w:szCs w:val="24"/>
        </w:rPr>
        <w:t>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pPr>
        <w:pStyle w:val="132"/>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lang w:val="en-US" w:eastAsia="zh-CN"/>
        </w:rPr>
        <w:t>3</w:t>
      </w:r>
      <w:r>
        <w:rPr>
          <w:rFonts w:hint="eastAsia" w:ascii="宋体" w:hAnsi="宋体" w:eastAsia="宋体" w:cs="宋体"/>
        </w:rPr>
        <w:t>对未通过资格审查的投标人，采购人或</w:t>
      </w:r>
      <w:r>
        <w:rPr>
          <w:rFonts w:hint="eastAsia" w:ascii="宋体" w:hAnsi="宋体" w:eastAsia="宋体" w:cs="宋体"/>
          <w:lang w:eastAsia="zh-CN"/>
        </w:rPr>
        <w:t>采购代理机构</w:t>
      </w:r>
      <w:r>
        <w:rPr>
          <w:rFonts w:hint="eastAsia" w:ascii="宋体" w:hAnsi="宋体" w:eastAsia="宋体" w:cs="宋体"/>
        </w:rPr>
        <w:t>告知其未通过的原因。</w:t>
      </w:r>
    </w:p>
    <w:p>
      <w:pPr>
        <w:pStyle w:val="132"/>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lang w:val="en-US" w:eastAsia="zh-CN"/>
        </w:rPr>
        <w:t>4</w:t>
      </w:r>
      <w:r>
        <w:rPr>
          <w:rFonts w:hint="eastAsia" w:ascii="宋体" w:hAnsi="宋体" w:eastAsia="宋体" w:cs="宋体"/>
        </w:rPr>
        <w:t>合格投标人不足3家的，不再评标。</w:t>
      </w:r>
    </w:p>
    <w:p>
      <w:pPr>
        <w:pStyle w:val="132"/>
        <w:adjustRightInd w:val="0"/>
        <w:snapToGrid w:val="0"/>
        <w:spacing w:before="0"/>
        <w:ind w:firstLine="480"/>
        <w:rPr>
          <w:rStyle w:val="79"/>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2"/>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pPr>
        <w:pStyle w:val="13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w:t>
      </w:r>
      <w:r>
        <w:rPr>
          <w:rFonts w:hint="eastAsia" w:ascii="宋体" w:hAnsi="宋体" w:eastAsia="宋体" w:cs="宋体"/>
          <w:kern w:val="0"/>
          <w:szCs w:val="24"/>
          <w:lang w:eastAsia="zh-CN"/>
        </w:rPr>
        <w:t>采购代理机构</w:t>
      </w:r>
      <w:r>
        <w:rPr>
          <w:rFonts w:hint="eastAsia" w:ascii="宋体" w:hAnsi="宋体" w:eastAsia="宋体" w:cs="宋体"/>
          <w:kern w:val="0"/>
          <w:szCs w:val="24"/>
        </w:rPr>
        <w:t>将在资格审查时通过“信用中国”网站(www.creditchina.gov.cn)、中国政府采购网(www.ccgp.gov.cn)渠道查询投标人接受资格审查时的信用记录。</w:t>
      </w:r>
    </w:p>
    <w:p>
      <w:pPr>
        <w:pStyle w:val="13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pPr>
        <w:pStyle w:val="132"/>
        <w:spacing w:before="0"/>
        <w:ind w:firstLine="0" w:firstLineChars="0"/>
        <w:rPr>
          <w:rFonts w:hint="eastAsia" w:ascii="宋体" w:hAnsi="宋体" w:eastAsia="宋体" w:cs="宋体"/>
          <w:kern w:val="0"/>
          <w:szCs w:val="24"/>
        </w:rPr>
      </w:pPr>
    </w:p>
    <w:p>
      <w:pPr>
        <w:pStyle w:val="2"/>
        <w:bidi w:val="0"/>
        <w:rPr>
          <w:rFonts w:hint="eastAsia" w:ascii="宋体" w:hAnsi="宋体" w:eastAsia="宋体" w:cs="宋体"/>
        </w:rPr>
      </w:pPr>
      <w:r>
        <w:rPr>
          <w:rFonts w:hint="eastAsia" w:ascii="宋体" w:hAnsi="宋体" w:eastAsia="宋体" w:cs="宋体"/>
        </w:rPr>
        <w:t>五、评标</w:t>
      </w:r>
    </w:p>
    <w:p>
      <w:pPr>
        <w:spacing w:line="360" w:lineRule="auto"/>
        <w:rPr>
          <w:rFonts w:hint="eastAsia" w:ascii="宋体" w:hAnsi="宋体" w:eastAsia="宋体" w:cs="宋体"/>
          <w:b/>
          <w:sz w:val="24"/>
        </w:rPr>
      </w:pPr>
      <w:bookmarkStart w:id="17"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pPr>
        <w:spacing w:line="360" w:lineRule="auto"/>
        <w:rPr>
          <w:rFonts w:hint="eastAsia" w:ascii="宋体" w:hAnsi="宋体" w:eastAsia="宋体" w:cs="宋体"/>
          <w:b/>
          <w:sz w:val="24"/>
        </w:rPr>
      </w:pPr>
    </w:p>
    <w:p>
      <w:pPr>
        <w:pStyle w:val="2"/>
        <w:bidi w:val="0"/>
        <w:rPr>
          <w:rFonts w:hint="eastAsia" w:ascii="宋体" w:hAnsi="宋体" w:eastAsia="宋体" w:cs="宋体"/>
        </w:rPr>
      </w:pPr>
      <w:r>
        <w:rPr>
          <w:rFonts w:hint="eastAsia" w:ascii="宋体" w:hAnsi="宋体" w:eastAsia="宋体" w:cs="宋体"/>
        </w:rPr>
        <w:t>六、定 标</w:t>
      </w:r>
    </w:p>
    <w:p>
      <w:pPr>
        <w:pStyle w:val="26"/>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pPr>
        <w:pStyle w:val="132"/>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w:t>
      </w:r>
      <w:r>
        <w:rPr>
          <w:rFonts w:hint="eastAsia" w:ascii="宋体" w:hAnsi="宋体" w:eastAsia="宋体" w:cs="宋体"/>
          <w:sz w:val="24"/>
          <w:lang w:eastAsia="zh-CN"/>
        </w:rPr>
        <w:t>采购代理机构</w:t>
      </w:r>
      <w:r>
        <w:rPr>
          <w:rFonts w:hint="eastAsia" w:ascii="宋体" w:hAnsi="宋体" w:eastAsia="宋体" w:cs="宋体"/>
          <w:sz w:val="24"/>
        </w:rPr>
        <w:t>通过电子交易平台向中标人发出中标通知书，同时编制发布采购结果公告。</w:t>
      </w:r>
      <w:r>
        <w:rPr>
          <w:rFonts w:hint="eastAsia" w:ascii="宋体" w:hAnsi="宋体" w:eastAsia="宋体" w:cs="宋体"/>
          <w:sz w:val="24"/>
          <w:lang w:eastAsia="zh-CN"/>
        </w:rPr>
        <w:t>采购代理机构</w:t>
      </w:r>
      <w:r>
        <w:rPr>
          <w:rFonts w:hint="eastAsia" w:ascii="宋体" w:hAnsi="宋体" w:eastAsia="宋体" w:cs="宋体"/>
          <w:sz w:val="24"/>
        </w:rPr>
        <w:t>也可以以纸质形式进行中标通知。</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w:t>
      </w:r>
      <w:r>
        <w:rPr>
          <w:rFonts w:hint="eastAsia" w:ascii="宋体" w:hAnsi="宋体" w:eastAsia="宋体" w:cs="宋体"/>
          <w:sz w:val="24"/>
          <w:lang w:eastAsia="zh-CN"/>
        </w:rPr>
        <w:t>采购代理机构</w:t>
      </w:r>
      <w:r>
        <w:rPr>
          <w:rFonts w:hint="eastAsia" w:ascii="宋体" w:hAnsi="宋体" w:eastAsia="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pPr>
        <w:snapToGrid w:val="0"/>
        <w:spacing w:line="360" w:lineRule="auto"/>
        <w:ind w:left="137" w:leftChars="57" w:firstLine="482" w:firstLineChars="150"/>
        <w:jc w:val="center"/>
        <w:rPr>
          <w:rFonts w:hint="eastAsia" w:ascii="宋体" w:hAnsi="宋体" w:eastAsia="宋体" w:cs="宋体"/>
          <w:b/>
          <w:sz w:val="32"/>
        </w:rPr>
      </w:pPr>
    </w:p>
    <w:p>
      <w:pPr>
        <w:pStyle w:val="2"/>
        <w:bidi w:val="0"/>
        <w:rPr>
          <w:rFonts w:hint="eastAsia" w:ascii="宋体" w:hAnsi="宋体" w:eastAsia="宋体" w:cs="宋体"/>
        </w:rPr>
      </w:pPr>
      <w:r>
        <w:rPr>
          <w:rFonts w:hint="eastAsia" w:ascii="宋体" w:hAnsi="宋体" w:eastAsia="宋体" w:cs="宋体"/>
        </w:rPr>
        <w:t>七、合同授予</w:t>
      </w:r>
    </w:p>
    <w:p>
      <w:pPr>
        <w:pStyle w:val="26"/>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pPr>
        <w:pStyle w:val="26"/>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pPr>
        <w:pStyle w:val="132"/>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pPr>
        <w:pStyle w:val="132"/>
        <w:snapToGrid w:val="0"/>
        <w:spacing w:before="0" w:after="120"/>
        <w:ind w:firstLine="480"/>
        <w:rPr>
          <w:rFonts w:hint="eastAsia" w:ascii="宋体" w:hAnsi="宋体" w:eastAsia="宋体" w:cs="宋体"/>
        </w:rPr>
      </w:pPr>
      <w:r>
        <w:rPr>
          <w:rFonts w:hint="eastAsia" w:ascii="宋体" w:hAnsi="宋体" w:eastAsia="宋体" w:cs="宋体"/>
        </w:rPr>
        <w:t>25.6 合同签订依据为相关法律法规文件、招标文件、乙方投标文件等，合同条款有与前者冲突的，以前者为准。</w:t>
      </w:r>
    </w:p>
    <w:p>
      <w:pPr>
        <w:pStyle w:val="26"/>
        <w:spacing w:line="360" w:lineRule="auto"/>
        <w:ind w:left="479" w:hanging="479" w:hangingChars="199"/>
        <w:rPr>
          <w:rFonts w:hint="eastAsia" w:ascii="宋体" w:hAnsi="宋体" w:eastAsia="宋体" w:cs="宋体"/>
          <w:b/>
        </w:rPr>
      </w:pPr>
      <w:r>
        <w:rPr>
          <w:rFonts w:hint="eastAsia" w:ascii="宋体" w:hAnsi="宋体" w:eastAsia="宋体" w:cs="宋体"/>
          <w:b/>
        </w:rPr>
        <w:t>26. 履约保证金</w:t>
      </w:r>
    </w:p>
    <w:p>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拟签订的合同文本要求中标供应</w:t>
      </w:r>
      <w:r>
        <w:rPr>
          <w:rFonts w:hint="eastAsia" w:ascii="宋体" w:hAnsi="宋体" w:eastAsia="宋体" w:cs="宋体"/>
          <w:kern w:val="0"/>
          <w:sz w:val="24"/>
          <w:highlight w:val="none"/>
        </w:rPr>
        <w:t>商提交履约保证金的，供应商应当以金融机构、担保机构出具的履约保函形式提交</w:t>
      </w:r>
      <w:r>
        <w:rPr>
          <w:rFonts w:hint="eastAsia" w:ascii="宋体" w:hAnsi="宋体" w:eastAsia="宋体" w:cs="宋体"/>
          <w:sz w:val="24"/>
          <w:highlight w:val="none"/>
        </w:rPr>
        <w:t>。履约保证金的数额不得超过政府采购合同金额的1%，</w:t>
      </w:r>
      <w:r>
        <w:rPr>
          <w:rFonts w:hint="eastAsia" w:ascii="宋体" w:hAnsi="宋体" w:eastAsia="宋体" w:cs="宋体"/>
          <w:kern w:val="2"/>
          <w:sz w:val="24"/>
          <w:highlight w:val="none"/>
        </w:rPr>
        <w:t>鼓励根据项目特点、供应商诚信等因素免收履约保证金或降低缴纳比例</w:t>
      </w:r>
      <w:r>
        <w:rPr>
          <w:rFonts w:hint="eastAsia" w:ascii="宋体" w:hAnsi="宋体" w:eastAsia="宋体" w:cs="宋体"/>
          <w:kern w:val="2"/>
          <w:sz w:val="24"/>
        </w:rPr>
        <w:t>。</w:t>
      </w:r>
      <w:r>
        <w:rPr>
          <w:rFonts w:hint="eastAsia" w:ascii="宋体" w:hAnsi="宋体" w:eastAsia="宋体" w:cs="宋体"/>
          <w:sz w:val="24"/>
        </w:rPr>
        <w:t>鼓励和支持供应商以银行、保险公司出具的保函形式提供履约保证金。采购人不得拒收履约保函，项目验收结束后应及时退还，延迟退还的，应当按照合同约定和法律规定承担相应的赔偿责任。</w:t>
      </w:r>
    </w:p>
    <w:p>
      <w:pPr>
        <w:bidi w:val="0"/>
        <w:spacing w:line="360" w:lineRule="auto"/>
        <w:ind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6"/>
        <w:spacing w:line="360" w:lineRule="auto"/>
        <w:ind w:left="479" w:hanging="479" w:hangingChars="199"/>
        <w:rPr>
          <w:rFonts w:hint="eastAsia" w:ascii="宋体" w:hAnsi="宋体" w:eastAsia="宋体" w:cs="宋体"/>
          <w:b/>
        </w:rPr>
      </w:pPr>
      <w:r>
        <w:rPr>
          <w:rFonts w:hint="eastAsia" w:ascii="宋体" w:hAnsi="宋体" w:eastAsia="宋体" w:cs="宋体"/>
          <w:b/>
          <w:lang w:val="en-US"/>
        </w:rPr>
        <w:t>27.预付款</w:t>
      </w:r>
    </w:p>
    <w:p>
      <w:pPr>
        <w:adjustRightInd/>
        <w:spacing w:line="360" w:lineRule="auto"/>
        <w:ind w:firstLine="480" w:firstLineChars="200"/>
        <w:rPr>
          <w:rFonts w:hint="eastAsia" w:ascii="宋体" w:hAnsi="宋体" w:eastAsia="宋体" w:cs="宋体"/>
        </w:rPr>
      </w:pPr>
      <w:r>
        <w:rPr>
          <w:rFonts w:hint="eastAsia" w:ascii="宋体" w:hAnsi="宋体" w:eastAsia="宋体" w:cs="宋体"/>
          <w:kern w:val="2"/>
          <w:sz w:val="24"/>
          <w:highlight w:val="none"/>
        </w:rPr>
        <w:t>采购单位应当在政府采购合同中约定预付款，对中小企业合同预付款比例原则上不低于合同金额的</w:t>
      </w:r>
      <w:r>
        <w:rPr>
          <w:rFonts w:hint="eastAsia" w:ascii="宋体" w:hAnsi="宋体" w:cs="宋体"/>
          <w:kern w:val="2"/>
          <w:sz w:val="24"/>
          <w:highlight w:val="none"/>
          <w:lang w:val="en-US" w:eastAsia="zh-CN"/>
        </w:rPr>
        <w:t>4</w:t>
      </w:r>
      <w:r>
        <w:rPr>
          <w:rFonts w:hint="eastAsia" w:ascii="宋体" w:hAnsi="宋体" w:eastAsia="宋体" w:cs="宋体"/>
          <w:kern w:val="2"/>
          <w:sz w:val="24"/>
          <w:highlight w:val="none"/>
        </w:rPr>
        <w:t>0％，不高于合同金额的70%；项目分年安排预算的，每年预付款比例</w:t>
      </w:r>
      <w:r>
        <w:rPr>
          <w:rFonts w:hint="eastAsia" w:ascii="宋体" w:hAnsi="宋体" w:eastAsia="宋体" w:cs="宋体"/>
          <w:sz w:val="24"/>
        </w:rPr>
        <w:t>不低于</w:t>
      </w:r>
      <w:r>
        <w:rPr>
          <w:rFonts w:hint="eastAsia" w:ascii="宋体" w:hAnsi="宋体" w:eastAsia="宋体" w:cs="宋体"/>
          <w:kern w:val="2"/>
          <w:sz w:val="24"/>
          <w:highlight w:val="none"/>
        </w:rPr>
        <w:t>项目年度计划支付资金额的</w:t>
      </w:r>
      <w:r>
        <w:rPr>
          <w:rFonts w:hint="eastAsia" w:ascii="宋体" w:hAnsi="宋体" w:cs="宋体"/>
          <w:kern w:val="2"/>
          <w:sz w:val="24"/>
          <w:highlight w:val="none"/>
          <w:lang w:val="en-US" w:eastAsia="zh-CN"/>
        </w:rPr>
        <w:t>4</w:t>
      </w:r>
      <w:r>
        <w:rPr>
          <w:rFonts w:hint="eastAsia" w:ascii="宋体" w:hAnsi="宋体" w:eastAsia="宋体" w:cs="宋体"/>
          <w:kern w:val="2"/>
          <w:sz w:val="24"/>
          <w:highlight w:val="none"/>
        </w:rPr>
        <w:t>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sz w:val="32"/>
        </w:rPr>
      </w:pPr>
    </w:p>
    <w:p>
      <w:pPr>
        <w:pStyle w:val="2"/>
        <w:bidi w:val="0"/>
        <w:rPr>
          <w:rFonts w:hint="eastAsia" w:ascii="宋体" w:hAnsi="宋体" w:eastAsia="宋体" w:cs="宋体"/>
        </w:rPr>
      </w:pPr>
      <w:r>
        <w:rPr>
          <w:rFonts w:hint="eastAsia" w:ascii="宋体" w:hAnsi="宋体" w:eastAsia="宋体" w:cs="宋体"/>
        </w:rPr>
        <w:t>八、电子交易活动的中止</w:t>
      </w:r>
    </w:p>
    <w:p>
      <w:pPr>
        <w:pStyle w:val="132"/>
        <w:snapToGrid w:val="0"/>
        <w:spacing w:before="0"/>
        <w:ind w:firstLine="0" w:firstLineChars="0"/>
        <w:rPr>
          <w:rFonts w:hint="eastAsia" w:ascii="宋体" w:hAnsi="宋体" w:eastAsia="宋体" w:cs="宋体"/>
        </w:rPr>
      </w:pPr>
      <w:r>
        <w:rPr>
          <w:rFonts w:hint="eastAsia" w:ascii="宋体" w:hAnsi="宋体" w:eastAsia="宋体" w:cs="宋体"/>
          <w:b/>
          <w:bCs/>
          <w:kern w:val="2"/>
          <w:sz w:val="24"/>
          <w:szCs w:val="20"/>
        </w:rPr>
        <w:t>2</w:t>
      </w:r>
      <w:r>
        <w:rPr>
          <w:rFonts w:hint="eastAsia" w:ascii="宋体" w:hAnsi="宋体" w:eastAsia="宋体" w:cs="宋体"/>
          <w:b/>
          <w:bCs/>
          <w:kern w:val="2"/>
          <w:sz w:val="24"/>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w:t>
      </w:r>
      <w:r>
        <w:rPr>
          <w:rFonts w:hint="eastAsia" w:ascii="宋体" w:hAnsi="宋体" w:eastAsia="宋体" w:cs="宋体"/>
          <w:lang w:eastAsia="zh-CN"/>
        </w:rPr>
        <w:t>采购代理机构</w:t>
      </w:r>
      <w:r>
        <w:rPr>
          <w:rFonts w:hint="eastAsia" w:ascii="宋体" w:hAnsi="宋体" w:eastAsia="宋体" w:cs="宋体"/>
        </w:rPr>
        <w:t>可中止电子交易活动：</w:t>
      </w:r>
    </w:p>
    <w:p>
      <w:pPr>
        <w:pStyle w:val="132"/>
        <w:snapToGrid w:val="0"/>
        <w:spacing w:before="0"/>
        <w:ind w:firstLine="480"/>
        <w:rPr>
          <w:rFonts w:hint="eastAsia" w:ascii="宋体" w:hAnsi="宋体" w:eastAsia="宋体" w:cs="宋体"/>
        </w:rPr>
      </w:pPr>
      <w:r>
        <w:rPr>
          <w:rFonts w:hint="eastAsia" w:ascii="宋体" w:hAnsi="宋体" w:eastAsia="宋体" w:cs="宋体"/>
        </w:rPr>
        <w:t xml:space="preserve">28.1电子交易平台发生故障而无法登录访问的； </w:t>
      </w:r>
    </w:p>
    <w:p>
      <w:pPr>
        <w:pStyle w:val="132"/>
        <w:snapToGrid w:val="0"/>
        <w:spacing w:before="0"/>
        <w:ind w:firstLine="480"/>
        <w:rPr>
          <w:rFonts w:hint="eastAsia" w:ascii="宋体" w:hAnsi="宋体" w:eastAsia="宋体" w:cs="宋体"/>
        </w:rPr>
      </w:pPr>
      <w:r>
        <w:rPr>
          <w:rFonts w:hint="eastAsia" w:ascii="宋体" w:hAnsi="宋体" w:eastAsia="宋体" w:cs="宋体"/>
        </w:rPr>
        <w:t>28.2电子交易平台应用或数据库出现错误，不能进行正常操作的；</w:t>
      </w:r>
    </w:p>
    <w:p>
      <w:pPr>
        <w:pStyle w:val="132"/>
        <w:snapToGrid w:val="0"/>
        <w:spacing w:before="0"/>
        <w:ind w:firstLine="480"/>
        <w:rPr>
          <w:rFonts w:hint="eastAsia" w:ascii="宋体" w:hAnsi="宋体" w:eastAsia="宋体" w:cs="宋体"/>
        </w:rPr>
      </w:pPr>
      <w:r>
        <w:rPr>
          <w:rFonts w:hint="eastAsia" w:ascii="宋体" w:hAnsi="宋体" w:eastAsia="宋体" w:cs="宋体"/>
        </w:rPr>
        <w:t>28.3电子交易平台发现严重安全漏洞，有潜在泄密危险的；</w:t>
      </w:r>
    </w:p>
    <w:p>
      <w:pPr>
        <w:pStyle w:val="132"/>
        <w:snapToGrid w:val="0"/>
        <w:spacing w:before="0"/>
        <w:ind w:firstLine="480"/>
        <w:rPr>
          <w:rFonts w:hint="eastAsia" w:ascii="宋体" w:hAnsi="宋体" w:eastAsia="宋体" w:cs="宋体"/>
        </w:rPr>
      </w:pPr>
      <w:r>
        <w:rPr>
          <w:rFonts w:hint="eastAsia" w:ascii="宋体" w:hAnsi="宋体" w:eastAsia="宋体" w:cs="宋体"/>
        </w:rPr>
        <w:t xml:space="preserve">28.4病毒发作导致不能进行正常操作的； </w:t>
      </w:r>
    </w:p>
    <w:p>
      <w:pPr>
        <w:pStyle w:val="132"/>
        <w:snapToGrid w:val="0"/>
        <w:spacing w:before="0"/>
        <w:ind w:firstLine="480"/>
        <w:rPr>
          <w:rFonts w:hint="eastAsia" w:ascii="宋体" w:hAnsi="宋体" w:eastAsia="宋体" w:cs="宋体"/>
        </w:rPr>
      </w:pPr>
      <w:r>
        <w:rPr>
          <w:rFonts w:hint="eastAsia" w:ascii="宋体" w:hAnsi="宋体" w:eastAsia="宋体" w:cs="宋体"/>
        </w:rPr>
        <w:t>28.5其他无法保证电子交易的公平、公正和安全的情况。</w:t>
      </w:r>
    </w:p>
    <w:p>
      <w:pPr>
        <w:pStyle w:val="132"/>
        <w:snapToGrid w:val="0"/>
        <w:spacing w:before="0"/>
        <w:ind w:firstLine="0" w:firstLineChars="0"/>
        <w:rPr>
          <w:rFonts w:hint="eastAsia" w:ascii="宋体" w:hAnsi="宋体" w:eastAsia="宋体" w:cs="宋体"/>
        </w:rPr>
      </w:pPr>
      <w:r>
        <w:rPr>
          <w:rFonts w:hint="eastAsia" w:ascii="宋体" w:hAnsi="宋体" w:eastAsia="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pStyle w:val="2"/>
        <w:bidi w:val="0"/>
        <w:rPr>
          <w:rFonts w:hint="eastAsia" w:ascii="宋体" w:hAnsi="宋体" w:eastAsia="宋体" w:cs="宋体"/>
        </w:rPr>
      </w:pPr>
      <w:r>
        <w:rPr>
          <w:rFonts w:hint="eastAsia" w:ascii="宋体" w:hAnsi="宋体" w:eastAsia="宋体" w:cs="宋体"/>
        </w:rPr>
        <w:t>九、验收</w:t>
      </w:r>
    </w:p>
    <w:p>
      <w:pPr>
        <w:pStyle w:val="26"/>
        <w:spacing w:line="360" w:lineRule="auto"/>
        <w:ind w:firstLine="0" w:firstLineChars="0"/>
        <w:rPr>
          <w:rFonts w:hint="eastAsia" w:ascii="宋体" w:hAnsi="宋体" w:eastAsia="宋体" w:cs="宋体"/>
          <w:b/>
        </w:rPr>
      </w:pPr>
      <w:r>
        <w:rPr>
          <w:rFonts w:hint="eastAsia" w:ascii="宋体" w:hAnsi="宋体" w:eastAsia="宋体" w:cs="宋体"/>
          <w:b/>
        </w:rPr>
        <w:t>30.验收</w:t>
      </w:r>
    </w:p>
    <w:p>
      <w:pPr>
        <w:tabs>
          <w:tab w:val="left" w:pos="0"/>
        </w:tabs>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tabs>
          <w:tab w:val="left" w:pos="0"/>
        </w:tabs>
        <w:spacing w:line="360" w:lineRule="auto"/>
        <w:ind w:firstLine="480"/>
        <w:rPr>
          <w:rFonts w:hint="eastAsia" w:ascii="宋体" w:hAnsi="宋体" w:eastAsia="宋体" w:cs="宋体"/>
          <w:kern w:val="0"/>
          <w:sz w:val="24"/>
        </w:rPr>
        <w:sectPr>
          <w:headerReference r:id="rId4" w:type="first"/>
          <w:footerReference r:id="rId7" w:type="first"/>
          <w:headerReference r:id="rId3" w:type="default"/>
          <w:footerReference r:id="rId5" w:type="default"/>
          <w:footerReference r:id="rId6" w:type="even"/>
          <w:pgSz w:w="11906" w:h="16838"/>
          <w:pgMar w:top="1304" w:right="1474" w:bottom="1304" w:left="1474" w:header="851" w:footer="992" w:gutter="0"/>
          <w:cols w:space="720" w:num="1"/>
          <w:titlePg/>
          <w:docGrid w:linePitch="312" w:charSpace="0"/>
        </w:sectPr>
      </w:pPr>
      <w:bookmarkStart w:id="18" w:name="_Hlt68403820"/>
      <w:bookmarkEnd w:id="18"/>
      <w:bookmarkStart w:id="19" w:name="_Hlt74714665"/>
      <w:bookmarkEnd w:id="19"/>
      <w:bookmarkStart w:id="20" w:name="_Hlt74707468"/>
      <w:bookmarkEnd w:id="20"/>
      <w:bookmarkStart w:id="21" w:name="_Hlt68072990"/>
      <w:bookmarkEnd w:id="21"/>
      <w:bookmarkStart w:id="22" w:name="_Hlt68057669"/>
      <w:bookmarkEnd w:id="22"/>
      <w:bookmarkStart w:id="23" w:name="_Hlt75236011"/>
      <w:bookmarkEnd w:id="23"/>
      <w:bookmarkStart w:id="24" w:name="_Hlt75236101"/>
      <w:bookmarkEnd w:id="24"/>
      <w:bookmarkStart w:id="25" w:name="_Hlt68073093"/>
      <w:bookmarkEnd w:id="25"/>
      <w:bookmarkStart w:id="26" w:name="_Hlt68072998"/>
      <w:bookmarkEnd w:id="26"/>
      <w:bookmarkStart w:id="27" w:name="_Hlt74729768"/>
      <w:bookmarkEnd w:id="27"/>
      <w:bookmarkStart w:id="28" w:name="_Hlt75236290"/>
      <w:bookmarkEnd w:id="28"/>
      <w:bookmarkStart w:id="29" w:name="_Hlt74730295"/>
      <w:bookmarkEnd w:id="29"/>
    </w:p>
    <w:bookmarkEnd w:id="13"/>
    <w:bookmarkEnd w:id="14"/>
    <w:p>
      <w:pPr>
        <w:numPr>
          <w:ilvl w:val="0"/>
          <w:numId w:val="3"/>
        </w:numPr>
        <w:spacing w:line="360" w:lineRule="auto"/>
        <w:jc w:val="center"/>
        <w:outlineLvl w:val="0"/>
        <w:rPr>
          <w:rFonts w:hint="eastAsia" w:ascii="宋体" w:hAnsi="宋体" w:eastAsia="宋体" w:cs="宋体"/>
          <w:b/>
          <w:color w:val="auto"/>
          <w:sz w:val="36"/>
          <w:szCs w:val="36"/>
        </w:rPr>
      </w:pPr>
      <w:bookmarkStart w:id="30" w:name="第四部分"/>
      <w:r>
        <w:rPr>
          <w:rFonts w:hint="eastAsia" w:ascii="宋体" w:hAnsi="宋体" w:eastAsia="宋体" w:cs="宋体"/>
          <w:b/>
          <w:color w:val="auto"/>
          <w:sz w:val="36"/>
          <w:szCs w:val="36"/>
        </w:rPr>
        <w:t xml:space="preserve">  采购需求</w:t>
      </w:r>
    </w:p>
    <w:p>
      <w:pPr>
        <w:snapToGrid w:val="0"/>
        <w:spacing w:line="360" w:lineRule="auto"/>
        <w:ind w:firstLine="480" w:firstLineChars="200"/>
        <w:rPr>
          <w:rFonts w:hint="eastAsia" w:ascii="宋体" w:hAnsi="宋体" w:eastAsia="宋体" w:cs="宋体"/>
        </w:rPr>
      </w:pPr>
    </w:p>
    <w:p>
      <w:pPr>
        <w:spacing w:line="360" w:lineRule="auto"/>
        <w:ind w:firstLine="482" w:firstLineChars="200"/>
        <w:jc w:val="left"/>
        <w:rPr>
          <w:rFonts w:ascii="宋体" w:hAnsi="宋体" w:cs="仿宋_GB2312"/>
          <w:b/>
          <w:bCs/>
          <w:sz w:val="24"/>
        </w:rPr>
      </w:pPr>
      <w:r>
        <w:rPr>
          <w:rFonts w:hint="eastAsia" w:ascii="宋体" w:hAnsi="宋体" w:cs="仿宋_GB2312"/>
          <w:b/>
          <w:bCs/>
          <w:sz w:val="24"/>
        </w:rPr>
        <w:t>一、项目概况</w:t>
      </w:r>
    </w:p>
    <w:p>
      <w:pPr>
        <w:spacing w:line="360" w:lineRule="auto"/>
        <w:ind w:firstLine="480" w:firstLineChars="200"/>
        <w:rPr>
          <w:rFonts w:ascii="宋体" w:hAnsi="宋体"/>
          <w:sz w:val="24"/>
        </w:rPr>
      </w:pPr>
      <w:r>
        <w:rPr>
          <w:rFonts w:hint="eastAsia" w:ascii="宋体" w:hAnsi="宋体"/>
          <w:sz w:val="24"/>
        </w:rPr>
        <w:t>本项目</w:t>
      </w:r>
      <w:r>
        <w:rPr>
          <w:rFonts w:hint="eastAsia" w:ascii="宋体" w:hAnsi="宋体"/>
          <w:sz w:val="24"/>
          <w:lang w:val="en-US" w:eastAsia="zh-CN"/>
        </w:rPr>
        <w:t>为杜甫小学和杜甫二小（筹）</w:t>
      </w:r>
      <w:r>
        <w:rPr>
          <w:rFonts w:hint="eastAsia" w:ascii="宋体" w:hAnsi="宋体"/>
          <w:sz w:val="24"/>
        </w:rPr>
        <w:t>体育器材采购</w:t>
      </w:r>
      <w:r>
        <w:rPr>
          <w:rFonts w:hint="eastAsia" w:ascii="宋体" w:hAnsi="宋体"/>
          <w:sz w:val="24"/>
          <w:lang w:val="en-US" w:eastAsia="zh-CN"/>
        </w:rPr>
        <w:t>一批</w:t>
      </w:r>
      <w:r>
        <w:rPr>
          <w:rFonts w:hint="eastAsia" w:ascii="宋体" w:hAnsi="宋体"/>
          <w:sz w:val="24"/>
        </w:rPr>
        <w:t>，</w:t>
      </w:r>
      <w:r>
        <w:rPr>
          <w:rFonts w:hint="eastAsia" w:ascii="宋体" w:hAnsi="宋体"/>
          <w:sz w:val="24"/>
          <w:lang w:val="en-US" w:eastAsia="zh-CN"/>
        </w:rPr>
        <w:t>包括</w:t>
      </w:r>
      <w:r>
        <w:rPr>
          <w:rFonts w:hint="eastAsia" w:ascii="宋体" w:hAnsi="宋体"/>
          <w:sz w:val="24"/>
        </w:rPr>
        <w:t>供货、运输、安装、调试和售后服务等。</w:t>
      </w:r>
      <w:r>
        <w:rPr>
          <w:rFonts w:hint="eastAsia" w:ascii="宋体" w:hAnsi="宋体"/>
          <w:sz w:val="24"/>
          <w:lang w:val="en-US" w:eastAsia="zh-CN"/>
        </w:rPr>
        <w:t>投标报价</w:t>
      </w:r>
      <w:r>
        <w:rPr>
          <w:rFonts w:hint="eastAsia" w:ascii="宋体" w:hAnsi="宋体"/>
          <w:sz w:val="24"/>
        </w:rPr>
        <w:t>包括设备费、材料费、保管费、安装调试费、运输费、税收、售后服务、采购需求中未提到但在实际采购和安装过程中需要配置的各种设备、材料及其他费用等须由投标人支付的所有费用。</w:t>
      </w:r>
      <w:r>
        <w:rPr>
          <w:rFonts w:ascii="宋体" w:hAnsi="宋体"/>
          <w:sz w:val="24"/>
        </w:rPr>
        <w:t xml:space="preserve"> </w:t>
      </w:r>
    </w:p>
    <w:p>
      <w:pPr>
        <w:spacing w:line="360" w:lineRule="auto"/>
        <w:ind w:firstLine="482" w:firstLineChars="200"/>
        <w:jc w:val="left"/>
        <w:rPr>
          <w:rFonts w:ascii="宋体" w:hAnsi="宋体"/>
          <w:sz w:val="24"/>
        </w:rPr>
      </w:pPr>
      <w:r>
        <w:rPr>
          <w:rFonts w:hint="eastAsia" w:ascii="宋体" w:hAnsi="宋体" w:eastAsia="宋体" w:cs="宋体"/>
          <w:b/>
          <w:bCs/>
          <w:kern w:val="0"/>
          <w:sz w:val="24"/>
        </w:rPr>
        <w:t>▲本项目核心产品</w:t>
      </w:r>
      <w:r>
        <w:rPr>
          <w:rFonts w:hint="eastAsia" w:ascii="宋体" w:hAnsi="宋体" w:eastAsia="宋体" w:cs="宋体"/>
          <w:b/>
          <w:bCs/>
          <w:kern w:val="0"/>
          <w:sz w:val="24"/>
          <w:lang w:val="en-US" w:eastAsia="zh-CN"/>
        </w:rPr>
        <w:t>为</w:t>
      </w:r>
      <w:r>
        <w:rPr>
          <w:rFonts w:hint="eastAsia" w:ascii="宋体" w:hAnsi="宋体" w:eastAsia="宋体" w:cs="宋体"/>
          <w:b/>
          <w:bCs/>
          <w:kern w:val="0"/>
          <w:sz w:val="24"/>
          <w:highlight w:val="none"/>
          <w:lang w:val="en-US" w:eastAsia="zh-CN"/>
        </w:rPr>
        <w:t>电动液压篮球架</w:t>
      </w:r>
      <w:r>
        <w:rPr>
          <w:rFonts w:hint="eastAsia" w:ascii="宋体" w:hAnsi="宋体" w:eastAsia="宋体" w:cs="宋体"/>
          <w:b/>
          <w:bCs/>
          <w:kern w:val="0"/>
          <w:sz w:val="24"/>
        </w:rPr>
        <w:t>。若出现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0"/>
          <w:numId w:val="4"/>
        </w:numPr>
        <w:spacing w:line="360" w:lineRule="auto"/>
        <w:jc w:val="left"/>
        <w:rPr>
          <w:rFonts w:hint="eastAsia" w:ascii="宋体" w:hAnsi="宋体" w:cs="仿宋_GB2312"/>
          <w:sz w:val="24"/>
        </w:rPr>
      </w:pPr>
      <w:r>
        <w:rPr>
          <w:rFonts w:hint="eastAsia" w:ascii="宋体" w:hAnsi="宋体" w:cs="仿宋_GB2312"/>
          <w:sz w:val="24"/>
        </w:rPr>
        <w:t>采购标的清单</w:t>
      </w:r>
      <w:r>
        <w:rPr>
          <w:rFonts w:hint="eastAsia" w:ascii="宋体" w:hAnsi="宋体" w:cs="仿宋_GB2312"/>
          <w:sz w:val="24"/>
          <w:lang w:eastAsia="zh-CN"/>
        </w:rPr>
        <w:t>（</w:t>
      </w:r>
      <w:r>
        <w:rPr>
          <w:rFonts w:hint="eastAsia" w:ascii="宋体" w:hAnsi="宋体" w:cs="仿宋_GB2312"/>
          <w:sz w:val="24"/>
          <w:lang w:val="en-US" w:eastAsia="zh-CN"/>
        </w:rPr>
        <w:t>两所学校</w:t>
      </w:r>
      <w:r>
        <w:rPr>
          <w:rFonts w:hint="eastAsia" w:ascii="宋体" w:hAnsi="宋体" w:eastAsia="宋体" w:cs="仿宋_GB2312"/>
          <w:b w:val="0"/>
          <w:bCs w:val="0"/>
          <w:kern w:val="2"/>
          <w:sz w:val="24"/>
          <w:szCs w:val="24"/>
          <w:lang w:val="en-US" w:eastAsia="zh-CN" w:bidi="ar-SA"/>
        </w:rPr>
        <w:t>体育器械一览表</w:t>
      </w:r>
      <w:r>
        <w:rPr>
          <w:rFonts w:hint="eastAsia" w:ascii="宋体" w:hAnsi="宋体" w:cs="仿宋_GB2312"/>
          <w:b w:val="0"/>
          <w:bCs w:val="0"/>
          <w:kern w:val="2"/>
          <w:sz w:val="24"/>
          <w:szCs w:val="24"/>
          <w:lang w:val="en-US" w:eastAsia="zh-CN" w:bidi="ar-SA"/>
        </w:rPr>
        <w:t>相同</w:t>
      </w:r>
      <w:r>
        <w:rPr>
          <w:rFonts w:hint="eastAsia" w:ascii="宋体" w:hAnsi="宋体" w:cs="仿宋_GB2312"/>
          <w:sz w:val="24"/>
          <w:lang w:eastAsia="zh-CN"/>
        </w:rPr>
        <w:t>）</w:t>
      </w:r>
    </w:p>
    <w:p>
      <w:pPr>
        <w:pStyle w:val="2"/>
        <w:numPr>
          <w:ilvl w:val="0"/>
          <w:numId w:val="0"/>
        </w:numPr>
        <w:ind w:leftChars="0"/>
        <w:rPr>
          <w:rFonts w:hint="eastAsia" w:ascii="宋体" w:hAnsi="宋体" w:eastAsia="宋体" w:cs="仿宋_GB2312"/>
          <w:b w:val="0"/>
          <w:bCs w:val="0"/>
          <w:kern w:val="2"/>
          <w:sz w:val="24"/>
          <w:szCs w:val="24"/>
          <w:lang w:val="en-US" w:eastAsia="zh-CN" w:bidi="ar-SA"/>
        </w:rPr>
      </w:pPr>
      <w:r>
        <w:rPr>
          <w:rFonts w:hint="eastAsia" w:ascii="宋体" w:hAnsi="宋体" w:eastAsia="宋体" w:cs="仿宋_GB2312"/>
          <w:b w:val="0"/>
          <w:bCs w:val="0"/>
          <w:kern w:val="2"/>
          <w:sz w:val="24"/>
          <w:szCs w:val="24"/>
          <w:lang w:val="en-US" w:eastAsia="zh-CN" w:bidi="ar-SA"/>
        </w:rPr>
        <w:t>2.1杜甫</w:t>
      </w:r>
      <w:r>
        <w:rPr>
          <w:rFonts w:hint="eastAsia" w:ascii="宋体" w:hAnsi="宋体" w:eastAsia="宋体" w:cs="仿宋_GB2312"/>
          <w:b w:val="0"/>
          <w:bCs w:val="0"/>
          <w:sz w:val="24"/>
          <w:szCs w:val="24"/>
          <w:lang w:val="en-US" w:eastAsia="zh-CN"/>
        </w:rPr>
        <w:t>小学</w:t>
      </w:r>
      <w:r>
        <w:rPr>
          <w:rFonts w:hint="eastAsia" w:ascii="宋体" w:hAnsi="宋体" w:eastAsia="宋体" w:cs="仿宋_GB2312"/>
          <w:b w:val="0"/>
          <w:bCs w:val="0"/>
          <w:kern w:val="2"/>
          <w:sz w:val="24"/>
          <w:szCs w:val="24"/>
          <w:lang w:val="en-US" w:eastAsia="zh-CN" w:bidi="ar-SA"/>
        </w:rPr>
        <w:t>体育器械一览表</w:t>
      </w:r>
    </w:p>
    <w:tbl>
      <w:tblPr>
        <w:tblStyle w:val="63"/>
        <w:tblW w:w="9688" w:type="dxa"/>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1075"/>
        <w:gridCol w:w="3487"/>
        <w:gridCol w:w="775"/>
        <w:gridCol w:w="900"/>
        <w:gridCol w:w="2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主要规格、尺寸或技术参数要求</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室内乒乓球桌</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5"/>
              </w:numPr>
              <w:suppressLineNumbers w:val="0"/>
              <w:jc w:val="left"/>
              <w:textAlignment w:val="center"/>
              <w:rPr>
                <w:rStyle w:val="332"/>
                <w:rFonts w:hint="eastAsia" w:ascii="宋体" w:hAnsi="宋体" w:eastAsia="宋体" w:cs="宋体"/>
                <w:sz w:val="21"/>
                <w:szCs w:val="21"/>
                <w:highlight w:val="none"/>
                <w:lang w:val="en-US" w:eastAsia="zh-CN" w:bidi="ar"/>
              </w:rPr>
            </w:pPr>
            <w:r>
              <w:rPr>
                <w:rStyle w:val="332"/>
                <w:rFonts w:hint="eastAsia" w:ascii="宋体" w:hAnsi="宋体" w:eastAsia="宋体" w:cs="宋体"/>
                <w:sz w:val="21"/>
                <w:szCs w:val="21"/>
                <w:highlight w:val="none"/>
                <w:lang w:val="en-US" w:eastAsia="zh-CN" w:bidi="ar"/>
              </w:rPr>
              <w:t xml:space="preserve">产品用材、主要技术参数、详细配置、质量工艺： </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台面尺寸:2740*1525mm</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台高:  760mm</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弹性:  220-260mm</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弹性均匀度:≤10mm</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台面光泽度:≤10度</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球台稳定性:≤10mm</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平面度:≤3mm</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台面摩擦系数:≤0.6mm</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面板材料：厚度18mm高密度纤维板，面板颜色新蓝。</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Style w:val="332"/>
                <w:rFonts w:hint="eastAsia" w:ascii="宋体" w:hAnsi="宋体" w:eastAsia="宋体" w:cs="宋体"/>
                <w:sz w:val="21"/>
                <w:szCs w:val="21"/>
                <w:highlight w:val="none"/>
                <w:lang w:val="en-US" w:eastAsia="zh-CN" w:bidi="ar"/>
              </w:rPr>
              <w:t>支架材料：使用国标方钢经过强酸去锈，高科技喷塑，焊接而成</w:t>
            </w:r>
            <w:r>
              <w:rPr>
                <w:rStyle w:val="332"/>
                <w:rFonts w:hint="eastAsia" w:ascii="宋体" w:hAnsi="宋体" w:cs="宋体"/>
                <w:sz w:val="21"/>
                <w:szCs w:val="21"/>
                <w:highlight w:val="none"/>
                <w:lang w:val="en-US" w:eastAsia="zh-CN" w:bidi="ar"/>
              </w:rPr>
              <w:t>。</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拱形脚底部和球台连结处有高度微调装置；大拱形具有良好的力学稳定支撑作用；连结插销保证两张台面的连结稳定性；大小拱形连接保证台脚的整体性。</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拱型结构，多重折叠方式。联接装置</w:t>
            </w:r>
            <w:r>
              <w:rPr>
                <w:rStyle w:val="332"/>
                <w:rFonts w:hint="eastAsia" w:ascii="宋体" w:hAnsi="宋体" w:cs="宋体"/>
                <w:sz w:val="21"/>
                <w:szCs w:val="21"/>
                <w:highlight w:val="none"/>
                <w:lang w:val="en-US" w:eastAsia="zh-CN" w:bidi="ar"/>
              </w:rPr>
              <w:t>要求</w:t>
            </w:r>
            <w:r>
              <w:rPr>
                <w:rStyle w:val="332"/>
                <w:rFonts w:hint="eastAsia" w:ascii="宋体" w:hAnsi="宋体" w:eastAsia="宋体" w:cs="宋体"/>
                <w:sz w:val="21"/>
                <w:szCs w:val="21"/>
                <w:highlight w:val="none"/>
                <w:lang w:val="en-US" w:eastAsia="zh-CN" w:bidi="ar"/>
              </w:rPr>
              <w:t>科学</w:t>
            </w:r>
            <w:r>
              <w:rPr>
                <w:rStyle w:val="332"/>
                <w:rFonts w:hint="eastAsia" w:ascii="宋体" w:hAnsi="宋体" w:cs="宋体"/>
                <w:sz w:val="21"/>
                <w:szCs w:val="21"/>
                <w:highlight w:val="none"/>
                <w:lang w:val="en-US" w:eastAsia="zh-CN" w:bidi="ar"/>
              </w:rPr>
              <w:t>、</w:t>
            </w:r>
            <w:r>
              <w:rPr>
                <w:rStyle w:val="332"/>
                <w:rFonts w:hint="eastAsia" w:ascii="宋体" w:hAnsi="宋体" w:eastAsia="宋体" w:cs="宋体"/>
                <w:sz w:val="21"/>
                <w:szCs w:val="21"/>
                <w:highlight w:val="none"/>
                <w:lang w:val="en-US" w:eastAsia="zh-CN" w:bidi="ar"/>
              </w:rPr>
              <w:t>稳定性强。</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2、油漆（喷塑）、工艺：</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表面处理: 所有钢制件表面均经酸洗、磷化、打沙等初级处理后采用静电环氧基粉末喷涂完成最后表面处理，涂层厚度70—80um，铅笔硬度达3H+，试品经GB1771-91 36小时盐雾试验，涂膜无变化，划格处单面腐蚀＜2mm，产品</w:t>
            </w:r>
            <w:r>
              <w:rPr>
                <w:rStyle w:val="332"/>
                <w:rFonts w:hint="eastAsia" w:ascii="宋体" w:hAnsi="宋体" w:cs="宋体"/>
                <w:sz w:val="21"/>
                <w:szCs w:val="21"/>
                <w:highlight w:val="none"/>
                <w:lang w:val="en-US" w:eastAsia="zh-CN" w:bidi="ar"/>
              </w:rPr>
              <w:t>要求</w:t>
            </w:r>
            <w:r>
              <w:rPr>
                <w:rStyle w:val="332"/>
                <w:rFonts w:hint="eastAsia" w:ascii="宋体" w:hAnsi="宋体" w:eastAsia="宋体" w:cs="宋体"/>
                <w:sz w:val="21"/>
                <w:szCs w:val="21"/>
                <w:highlight w:val="none"/>
                <w:lang w:val="en-US" w:eastAsia="zh-CN" w:bidi="ar"/>
              </w:rPr>
              <w:t>耐酸碱、耐湿热、抗老化，能适合潮湿和酸雨环境，室内室外均可使用，且产品涂料配方不含有毒元素，避免损害使用者的健康。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"C:\\Users\\ADMINI~1\\AppData\\Local\\Temp\\ksohtml\\clip_cell_image6.png"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647825" cy="1057275"/>
                  <wp:effectExtent l="0" t="0" r="9525" b="9525"/>
                  <wp:docPr id="54" name="图片 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5" descr="IMG_256"/>
                          <pic:cNvPicPr>
                            <a:picLocks noChangeAspect="1"/>
                          </pic:cNvPicPr>
                        </pic:nvPicPr>
                        <pic:blipFill>
                          <a:blip r:embed="rId30"/>
                          <a:stretch>
                            <a:fillRect/>
                          </a:stretch>
                        </pic:blipFill>
                        <pic:spPr>
                          <a:xfrm>
                            <a:off x="0" y="0"/>
                            <a:ext cx="1647825" cy="105727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乒乓球挡板</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1"/>
                <w:numId w:val="0"/>
              </w:numPr>
              <w:suppressLineNumbers w:val="0"/>
              <w:jc w:val="left"/>
              <w:textAlignment w:val="auto"/>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长×高=1400×700（mm），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2、支架采用25×25mm的方管，厚度4mm以上，可折叠。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3、遮挡布采用防水牛津布。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4、油漆（喷塑）；</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"C:\\Users\\ADMINI~1\\AppData\\Local\\Temp\\ksohtml\\clip_cell_image11.png"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524000" cy="1085850"/>
                  <wp:effectExtent l="0" t="0" r="0" b="0"/>
                  <wp:docPr id="55" name="图片 3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6" descr="IMG_257"/>
                          <pic:cNvPicPr>
                            <a:picLocks noChangeAspect="1"/>
                          </pic:cNvPicPr>
                        </pic:nvPicPr>
                        <pic:blipFill>
                          <a:blip r:embed="rId31"/>
                          <a:stretch>
                            <a:fillRect/>
                          </a:stretch>
                        </pic:blipFill>
                        <pic:spPr>
                          <a:xfrm>
                            <a:off x="0" y="0"/>
                            <a:ext cx="1524000" cy="108585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青少年升降式篮球架</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1、规格：底座长（1.5米）宽（1米）不含护套厚度；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2、通过手摇手柄，篮圈高度可调（2米至3.05米）；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3、产品结构由底座、立柱、拉杆、玻璃篮板、篮圈和护套板组成；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4,、特点：外形小巧、可调节高度、收纳占地小；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5、底座材料：采用70×60×4mm 槽钢，材质：Q235B；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6、工艺： 激光切割下料→定制工装台→焊接；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7、配重：本产品的底座配重水桶共200Kg、并且配置有4颗膨胀螺栓 移动： 底座置有移动PU轮组件，可移动篮架；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8、立柱材料： 采用70×70×3mm的方管；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9、工艺：激光下料→定制工装台→焊接；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10、拉杆材料：采用38×2的圆管；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11、工艺：激光下料→自动弯管机一次成型；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12、升降管材料分为升降外管：100×100×3方管；升降内管：80×80×2方管；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13、工艺：激光切割下料→定制工装台→焊接；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14、结构：通过手摇手柄→齿轮啮合→丝杠传动→升降高度；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15、篮板规格：1200*900*31mm；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16、材料：篮板框为δ3mm铝方管，篮板为δ6mm高强度安全玻璃篮板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工艺：材料定制→人工装配；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17、安全性：按GB/T 9962-1999中6.10规定进行试验，符合国标规定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包扎物：玻璃篮板标配篮板护套；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18、篮圈材料：采用φ17实心圆钢和δ4mm铁板，材质Q235B；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19、工艺：专用模具下料→成型→机器人焊接；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20、篮网：白色尼龙绳，半硬式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表面处理 工艺过程 经抛丸—水洗—脱脂—水洗—纯水洗—无磷转化—纯水洗—纯水洗—吹干—水份烘干—静电粉末—固化—强冷等过程。21、工艺特性：产品具有耐酸碱、耐湿热、抗老化、外观美，能适合潮湿和酸雨环境，涂料均为绿色环保无毒产品，避免损害使用者的健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22、表面质量：符合GB19272-2011中5.10的相关规定要求；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23、环保要求：十环认证产品，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符合GB19272-2011中5.9.2的相关规定要求；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24、其他紧固件：篮架所有紧固件均采用不锈钢材质，能保证长年不生锈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调整 拉杆固定处配有长孔，可微调篮板，保证垂直度；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25、防护措施 篮架前立柱配有专用护套板，能有效地保护运动员免受撞击，能有效的保证使用时的安全性及美观性</w:t>
            </w:r>
            <w:r>
              <w:rPr>
                <w:rFonts w:hint="eastAsia" w:ascii="宋体" w:hAnsi="宋体" w:cs="宋体"/>
                <w:i w:val="0"/>
                <w:iCs w:val="0"/>
                <w:color w:val="000000"/>
                <w:kern w:val="0"/>
                <w:sz w:val="21"/>
                <w:szCs w:val="21"/>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"C:\\Users\\ADMINI~1\\AppData\\Local\\Temp\\ksohtml\\clip_cell_image44.png"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647700" cy="904875"/>
                  <wp:effectExtent l="0" t="0" r="0" b="9525"/>
                  <wp:docPr id="48" name="图片 3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7" descr="IMG_258"/>
                          <pic:cNvPicPr>
                            <a:picLocks noChangeAspect="1"/>
                          </pic:cNvPicPr>
                        </pic:nvPicPr>
                        <pic:blipFill>
                          <a:blip r:embed="rId32"/>
                          <a:stretch>
                            <a:fillRect/>
                          </a:stretch>
                        </pic:blipFill>
                        <pic:spPr>
                          <a:xfrm>
                            <a:off x="0" y="0"/>
                            <a:ext cx="647700" cy="90487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highlight w:val="none"/>
              </w:rPr>
              <w:t>★</w:t>
            </w:r>
            <w:r>
              <w:rPr>
                <w:rFonts w:hint="eastAsia" w:ascii="宋体" w:hAnsi="宋体" w:eastAsia="宋体" w:cs="宋体"/>
                <w:i w:val="0"/>
                <w:iCs w:val="0"/>
                <w:color w:val="000000"/>
                <w:kern w:val="0"/>
                <w:sz w:val="21"/>
                <w:szCs w:val="21"/>
                <w:highlight w:val="none"/>
                <w:u w:val="none"/>
                <w:lang w:val="en-US" w:eastAsia="zh-CN" w:bidi="ar"/>
              </w:rPr>
              <w:t>电动液压篮球架</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1、产品技术规格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篮架伸臂为2.55M，篮圈上沿离地面高3.05M，球架底座尺寸：长×宽×前高×后高=1.95×1.1×0.67×0.4（</w:t>
            </w:r>
            <w:r>
              <w:rPr>
                <w:rFonts w:hint="eastAsia" w:ascii="宋体" w:hAnsi="宋体" w:cs="宋体"/>
                <w:i w:val="0"/>
                <w:iCs w:val="0"/>
                <w:color w:val="000000"/>
                <w:kern w:val="0"/>
                <w:sz w:val="21"/>
                <w:szCs w:val="21"/>
                <w:highlight w:val="none"/>
                <w:u w:val="none"/>
                <w:lang w:val="en-US" w:eastAsia="zh-CN" w:bidi="ar"/>
              </w:rPr>
              <w:t>m</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2、产品用材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篮球架底座采用6mm的铁板在专用折边机上折边拼焊而成，底座前立柱、后立柱支撑架和油缸支撑架采用6mm铁板折边制作，篮架立柱主要采用口200×70×3mm方管、口120×70×3mm方管和口70×70×3mm拼焊而成，篮架伸臂采用口140×140×4方管mm、口140×70×3mm方管和口70×50mm方管拼焊而成，焊缝表面均匀光滑，篮架立柱转动部位和伸臂头部连接件均采用优质精密铸钢件制作，性能安全可靠，篮架上拉杆采用优质圆管在弯管机上一次成型，避免了电焊及焊渣易引起生锈的隐患，下拉杆采用精拉管拼焊而成，结构设计与外观造型</w:t>
            </w:r>
            <w:r>
              <w:rPr>
                <w:rFonts w:hint="eastAsia" w:ascii="宋体" w:hAnsi="宋体" w:cs="宋体"/>
                <w:i w:val="0"/>
                <w:iCs w:val="0"/>
                <w:color w:val="000000"/>
                <w:kern w:val="0"/>
                <w:sz w:val="21"/>
                <w:szCs w:val="21"/>
                <w:highlight w:val="none"/>
                <w:u w:val="none"/>
                <w:lang w:val="en-US" w:eastAsia="zh-CN" w:bidi="ar"/>
              </w:rPr>
              <w:t>要</w:t>
            </w:r>
            <w:r>
              <w:rPr>
                <w:rFonts w:hint="eastAsia" w:ascii="宋体" w:hAnsi="宋体" w:eastAsia="宋体" w:cs="宋体"/>
                <w:i w:val="0"/>
                <w:iCs w:val="0"/>
                <w:color w:val="000000"/>
                <w:kern w:val="0"/>
                <w:sz w:val="21"/>
                <w:szCs w:val="21"/>
                <w:highlight w:val="none"/>
                <w:u w:val="none"/>
                <w:lang w:val="en-US" w:eastAsia="zh-CN" w:bidi="ar"/>
              </w:rPr>
              <w:t>和谐。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3、产品结构原理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电动液压篮球架设有篮架升降系统、走轮伸缩机构、电器、液压系统。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篮架主体升降采用四连杆机构，使用时电机接通220V、50HZ单相电源即可启动，带动油泵，经电器控制系统进行“功能”转换，油缸随即产生伸缩运动，从而使球架立柱升降和底座走轮起落。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4、篮板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规格：1800×1050（㎜），篮板配用国际通用的高强度安全玻璃篮板（13mm厚双层夹胶玻璃），具有透明度高、耐侯性好、抗老化、耐腐蚀、不易模糊等特点，并在篮板下沿侧面覆盖有包扎物，能保护运动员扣篮时不受伤害。篮板支撑框架刚性（F2=130N、1min卸载后永久水平变形量）≤3，稳定性（F5=2700N、1min卸载后永久垂直变形量≤10</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5、防护措施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篮架前立柱、底座、伸臂配备有专用护套，能有效保护运动员免受撞击，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篮架底座下部设有防震垫，后部装有特制专用配重，单只配重不少于400kg，能保证在篮圈根部施加2700N的载荷时，篮球架不倾翻。前立柱与伸臂间装有专用保险机构，能有效保证使用时的安全性及美观性。弹性篮圈受力1050N，1min旋转角度10-20之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6、表面处理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产品具有耐酸碱、耐湿热、抗老化、外观美观等优点，能适合潮湿和酸雨环境，涂料均为绿色环保无毒产品，避免损害使用者的健康。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"C:\\Users\\ADMINI~1\\AppData\\Local\\Temp\\ksohtml\\clip_cell_image26.png"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114425" cy="1123950"/>
                  <wp:effectExtent l="0" t="0" r="9525" b="0"/>
                  <wp:docPr id="53" name="图片 3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8" descr="IMG_259"/>
                          <pic:cNvPicPr>
                            <a:picLocks noChangeAspect="1"/>
                          </pic:cNvPicPr>
                        </pic:nvPicPr>
                        <pic:blipFill>
                          <a:blip r:embed="rId33"/>
                          <a:stretch>
                            <a:fillRect/>
                          </a:stretch>
                        </pic:blipFill>
                        <pic:spPr>
                          <a:xfrm>
                            <a:off x="0" y="0"/>
                            <a:ext cx="1114425" cy="112395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固定式篮球架</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产品规格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篮球架伸臂长1.8m，篮圈上沿离地面3.05m。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2、产品用材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球架立柱采用定制□180×180×4mm优质大圆角方管制作，圆角R40mm，篮架伸臂采用δ3进口优质铁板一次冲压成型后在专用折边机上折边，伸臂上拉杆固定孔均采用冲压成型后焊接内置焊接螺母，篮架立柱法兰、伸臂头部组件和伸臂底板均采用一次冲压成型制作，且立柱底部配备防护装饰罩，采用冷扎钢板一次成型，篮架上拉杆采用Φ48×2圆管（后拉杆采用口50×40×3mm优质方管）在专用弯管机设备上一次成型，避免了电焊及焊渣易引起生锈的隐患，篮球架通过调节上拉杆可调节篮板的平面度和垂直度，通过调节下拉杆，可调节篮圈与地面的平行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3、篮板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规格：1800×1050（㎜），篮板配用国际通用的高强度安全玻璃篮板，具有安全性好、透明度高、耐候性好、抗老化、耐腐蚀、不易模糊等特点，并在篮板下沿及侧面覆盖有保护条，能保护运动员运动时不受伤害。篮板刚性中心挠度（500N，1min），mm≤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4、篮圈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篮圈采用φ17实心圆钢制作，圈下焊有冲压成型的圆弧形网钩，十二段均匀分布留适当间隙，配篮网。篮圈抗弯性能好，水平固定在篮板上，与篮架连接的钢板和篮圈盖板均采用优质钢板一次冲压成型。</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5、产品的结构原理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产品采用专用铁制预埋件，在球架安装之前，预先埋好预埋件，待过了保养期后进行整体安装。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篮架与预埋件通过法兰连接，法兰采用优质冲件，规格：350×350×27mm，四周呈大圆角，法兰上设计有5个孔。远离球场的一侧设计为3个孔，增强篮架整体的安全性。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预埋件采用现场组装方式预埋，可节省运输和仓库贮存空间，预埋件总长不低于550mm，共由5根搓M18螺纹的圆钢和若干块铁板拼装组成，圆钢中间冲扁，可增强预埋强度。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6、紧固件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篮架所有紧固件均经热镀锌处理，能保证长年不生锈。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7、表面处理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"C:\\Users\\ADMINI~1\\AppData\\Local\\Temp\\ksohtml\\clip_cell_image9.png"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847725" cy="1200150"/>
                  <wp:effectExtent l="0" t="0" r="9525" b="0"/>
                  <wp:docPr id="51" name="图片 3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9" descr="IMG_260"/>
                          <pic:cNvPicPr>
                            <a:picLocks noChangeAspect="1"/>
                          </pic:cNvPicPr>
                        </pic:nvPicPr>
                        <pic:blipFill>
                          <a:blip r:embed="rId34"/>
                          <a:stretch>
                            <a:fillRect/>
                          </a:stretch>
                        </pic:blipFill>
                        <pic:spPr>
                          <a:xfrm>
                            <a:off x="0" y="0"/>
                            <a:ext cx="847725" cy="120015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4"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篮球赛记分器</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球类计分器由支架、队名框和记分牌组成，长×宽×高=1400×580×1645（mm）。</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2、记分器主体上支架采用1.2㎜铁板折边成型下支架40*20mm的椭圆管焊接而成。底脚配置有调节脚，能微调且能保护地板不受损伤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3、队名框由24×12×12mm铝合金异型管材拼装组合而成。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4、白色雪弗板，可黏贴队名，采用手推式，PVC板翻分盒，红色、蓝色（或黑色）各3块，均显示数字0-9</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5、产品具有耐酸碱、耐湿热、抗老化，能适合潮湿和酸雨环境，涂料均为绿色环保无毒产品，避免损害使用者的健康。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409575</wp:posOffset>
                  </wp:positionH>
                  <wp:positionV relativeFrom="paragraph">
                    <wp:posOffset>340995</wp:posOffset>
                  </wp:positionV>
                  <wp:extent cx="1076960" cy="1076960"/>
                  <wp:effectExtent l="0" t="0" r="0" b="8890"/>
                  <wp:wrapNone/>
                  <wp:docPr id="52" name="图片_233"/>
                  <wp:cNvGraphicFramePr/>
                  <a:graphic xmlns:a="http://schemas.openxmlformats.org/drawingml/2006/main">
                    <a:graphicData uri="http://schemas.openxmlformats.org/drawingml/2006/picture">
                      <pic:pic xmlns:pic="http://schemas.openxmlformats.org/drawingml/2006/picture">
                        <pic:nvPicPr>
                          <pic:cNvPr id="52" name="图片_233"/>
                          <pic:cNvPicPr/>
                        </pic:nvPicPr>
                        <pic:blipFill>
                          <a:blip r:embed="rId35"/>
                          <a:stretch>
                            <a:fillRect/>
                          </a:stretch>
                        </pic:blipFill>
                        <pic:spPr>
                          <a:xfrm>
                            <a:off x="0" y="0"/>
                            <a:ext cx="1076960" cy="10769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羽毛球架</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产品结构：由底座、立柱、锁绳装置、高度微调装置和羽毛球网组成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适用场地 适合两片场地之间尺寸≥1500mm；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2、底座材料：高密度聚乙烯材料（HDPE）；</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3、工艺：中空吹塑制造一次加工成型；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4、耐老化性能：老化试验≥3500h，外观颜色变色评级≥3；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5、高低温性能：高温＋80℃、低温-55℃下72h，无局部粉化、龟裂、斑点、起泡及明显变形等外观变化；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6、环保性能：材料可回收，塑料产品中有毒有害物质限量满足GB28481《塑料家具中有害物质限量》中要求；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7、底座铁板 材料：10mm钢板，材质：Q235B；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8、工艺：激光切割一次成型；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9、走轮 φ75低摩擦软性宽幅PU轮，适用地板和PVC地胶场地，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防 震 垫 每只底座设5块防震垫,满足底座摩擦力要求，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10、配重：单只≥85kg，满足产品稳定性要求；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11、立柱 总 高 度 1550mm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12、主要材料 规格：φ40*5无缝管，材质：35#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13、垂直度球网被拉紧时，网柱能稳固地与地面保持垂直，立柱轴线对水平面的垂直公差≤1/500，且网柱各部位均不侵入场地内边线的垂直线内；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14、刚性要求 网柱能承受≥200N的外力，球柱不产生永久变形，无倾倒现象，锁绳装置 紧线方便，锁定可靠，无卡滞或自动返松现象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高度微调装置 顶部螺纹无极微调，实现网的高度要求。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15、球网：网片颜色 咖啡色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网片规格：长6100mm，宽760mm，网眼为正方形，边长15～20mm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16、主要材料 网片：18股网片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包边：坛白布，75mm宽对折包边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网绳：φ5硬绳线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棱边：采用12股网线拷边；</w:t>
            </w:r>
          </w:p>
          <w:p>
            <w:pPr>
              <w:keepNext w:val="0"/>
              <w:keepLines w:val="0"/>
              <w:widowControl/>
              <w:numPr>
                <w:ilvl w:val="0"/>
                <w:numId w:val="9"/>
              </w:numPr>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工艺 工艺过程 下料—焊接--抛丸--脱脂--水洗--无磷转化--水洗--烘干--静电粉末--固化</w:t>
            </w:r>
            <w:r>
              <w:rPr>
                <w:rFonts w:hint="eastAsia" w:ascii="宋体" w:hAnsi="宋体" w:cs="宋体"/>
                <w:i w:val="0"/>
                <w:iCs w:val="0"/>
                <w:color w:val="000000"/>
                <w:kern w:val="0"/>
                <w:sz w:val="21"/>
                <w:szCs w:val="21"/>
                <w:highlight w:val="none"/>
                <w:u w:val="none"/>
                <w:lang w:val="en-US" w:eastAsia="zh-CN" w:bidi="ar"/>
              </w:rPr>
              <w:t>。</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18、工艺特性 产品具有耐酸碱、耐湿热、抗老化、外观美观等优点，能适合潮湿和酸雨环境，涂料均为绿色环保无毒产品，避免损害使用者的健康。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19、表面质量 符合GB19272-2011中5.10的相关规定要求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w:t>
            </w:r>
            <w:r>
              <w:rPr>
                <w:rFonts w:hint="eastAsia" w:ascii="宋体" w:hAnsi="宋体" w:eastAsia="宋体" w:cs="宋体"/>
                <w:b/>
                <w:bCs/>
                <w:i w:val="0"/>
                <w:iCs w:val="0"/>
                <w:color w:val="000000"/>
                <w:kern w:val="0"/>
                <w:sz w:val="21"/>
                <w:szCs w:val="21"/>
                <w:highlight w:val="none"/>
                <w:u w:val="none"/>
                <w:lang w:val="en-US" w:eastAsia="zh-CN" w:bidi="ar"/>
              </w:rPr>
              <w:t>、环保要求 十环认证产品</w:t>
            </w:r>
            <w:r>
              <w:rPr>
                <w:rFonts w:hint="eastAsia" w:ascii="宋体" w:hAnsi="宋体" w:eastAsia="宋体" w:cs="宋体"/>
                <w:b/>
                <w:bCs/>
                <w:i w:val="0"/>
                <w:iCs w:val="0"/>
                <w:color w:val="000000"/>
                <w:kern w:val="0"/>
                <w:sz w:val="21"/>
                <w:szCs w:val="21"/>
                <w:highlight w:val="none"/>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符合GB19272-2011中5.9.2的相关规定要求。</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"C:\\Users\\ADMINI~1\\AppData\\Local\\Temp\\ksohtml\\clip_cell_image46.png"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009650" cy="1104900"/>
                  <wp:effectExtent l="0" t="0" r="0" b="0"/>
                  <wp:docPr id="50" name="图片 4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0" descr="IMG_261"/>
                          <pic:cNvPicPr>
                            <a:picLocks noChangeAspect="1"/>
                          </pic:cNvPicPr>
                        </pic:nvPicPr>
                        <pic:blipFill>
                          <a:blip r:embed="rId36"/>
                          <a:stretch>
                            <a:fillRect/>
                          </a:stretch>
                        </pic:blipFill>
                        <pic:spPr>
                          <a:xfrm>
                            <a:off x="0" y="0"/>
                            <a:ext cx="1009650" cy="110490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羽毛球地垫</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1.产品厚度≥4.5mm，采用优质 PVC 原生料及助剂，环保、安全。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2.硬度（邵A）：55-90（度）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3.防滑性(湿法)≥0.6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4.耐磨性T级，体积损失≤2.0mm³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5.防火燃烧性能B1级，20s内焰尖高度≤150mm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eastAsia="宋体" w:cs="宋体"/>
                <w:b/>
                <w:bCs/>
                <w:i w:val="0"/>
                <w:iCs w:val="0"/>
                <w:color w:val="000000"/>
                <w:kern w:val="0"/>
                <w:sz w:val="21"/>
                <w:szCs w:val="21"/>
                <w:highlight w:val="none"/>
                <w:u w:val="none"/>
                <w:lang w:val="en-US" w:eastAsia="zh-CN" w:bidi="ar"/>
              </w:rPr>
              <w:t>提供28天后甲苯、乙苯释放量≤100μg/m³的检测报告；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7.抗菌性能检测（大肠杆菌、金黄色葡萄球菌等5种及以上细菌），抗菌率≥99.5%。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9.◆提供和PVC地板同品牌的胶粘剂中苯，甲苯、二甲苯和可溶性铅全部未检出的检测报告；</w:t>
            </w:r>
            <w:r>
              <w:rPr>
                <w:rFonts w:hint="eastAsia" w:ascii="宋体" w:hAnsi="宋体" w:eastAsia="宋体" w:cs="宋体"/>
                <w:b/>
                <w:bCs/>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10.◆阻燃性达到Ⅰ级阻燃，耐磨性≤4g，抗滑值80-110。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11.◆依据GB/T 14833-2020标准测试，耐人工气候老化（透过窗玻璃）冲击吸收≥20%，拉断伸长率≥40%，抗滑值(20℃)/BPN 80-110（干测）</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216</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"C:\\Users\\ADMINI~1\\AppData\\Local\\Temp\\ksohtml\\clip_cell_image49.png"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647825" cy="1076325"/>
                  <wp:effectExtent l="0" t="0" r="9525" b="9525"/>
                  <wp:docPr id="49" name="图片 4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1" descr="IMG_262"/>
                          <pic:cNvPicPr>
                            <a:picLocks noChangeAspect="1"/>
                          </pic:cNvPicPr>
                        </pic:nvPicPr>
                        <pic:blipFill>
                          <a:blip r:embed="rId37"/>
                          <a:stretch>
                            <a:fillRect/>
                          </a:stretch>
                        </pic:blipFill>
                        <pic:spPr>
                          <a:xfrm>
                            <a:off x="0" y="0"/>
                            <a:ext cx="1647825" cy="107632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排球架</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适用场合：排球场，运动场</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适用场地：适合两片场地之间尺寸≥4200mm；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3、立柱材质：¢89×3.75 焊管和小70×3异型钢管；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4、调节装置：弹簧助推手动操作；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5、排球网：PQW-2 排球网（含钢丝绳）；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6、底座罩壳：高密度聚乙烯材料中空吹塑一次成型；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7、配重块：7块水泥配重，可拆卸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排球柱由内外立柱，高度调节销和紧线机构组成。</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8、排球柱外立柱选用489x3.75优质焊管，内立柱选用の70异型管材制作，通过高度调节销使内立柱上下移动，实现网高调节高度2.15m2.24m、 2.35m、 2.43m。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9、二外立柱中，一立柱上置有网钩，另一立柱上置有棘爪紧线锁紧机构，通过调节锁紧手柄，调节钢丝绳的松紧，实现网的高度要求。</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"C:\\Users\\ADMINI~1\\AppData\\Local\\Temp\\ksohtml\\clip_cell_image45.png"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828675" cy="1219200"/>
                  <wp:effectExtent l="0" t="0" r="9525" b="0"/>
                  <wp:docPr id="81" name="图片 4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42" descr="IMG_263"/>
                          <pic:cNvPicPr>
                            <a:picLocks noChangeAspect="1"/>
                          </pic:cNvPicPr>
                        </pic:nvPicPr>
                        <pic:blipFill>
                          <a:blip r:embed="rId38"/>
                          <a:stretch>
                            <a:fillRect/>
                          </a:stretch>
                        </pic:blipFill>
                        <pic:spPr>
                          <a:xfrm>
                            <a:off x="0" y="0"/>
                            <a:ext cx="828675" cy="121920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跳高架</w:t>
            </w:r>
          </w:p>
        </w:tc>
        <w:tc>
          <w:tcPr>
            <w:tcW w:w="348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1、跳高架由底座、固定立柱、移动立柱、横杆托架、微调支脚构成。产品形式简洁，结构合理，可装拆，便于运输和包装。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2、固定立柱与移动立柱选用铝合金型材，型材之间采用燕尾槽配合。表面氧化处理。固定立柱上贴有不锈钢标尺，刻度调节范围：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600-2600mm。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3、底座选用δ4 铁板一次冲压成型，避免了焊接造成的接口腐蚀，底部设有 PU 滚轮，移动方便。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4、跳高架横杆托架采用铝压铸件，具有防腐蚀性、安全、牢固等优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点且上下移动方便。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5、跳高架底座底部设有微调机构，通过调节微调机构可满足场地不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平整引起的跳高架的稳定性和横杆的高度要求。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6、喷涂工件的表面处理分二个阶段，前处理阶段使工件获得质量优良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的介质层，增加防锈涂膜与金属基体的结合力。产品涂层厚度 70—80um，铅笔硬度达 3H+。产品具有耐酸碱、耐湿热、抗老化、外观美观，能适合潮湿和酸雨环境，且前处理过程以及产品涂料配方均不含有毒元素，避免损害。</w:t>
            </w:r>
          </w:p>
        </w:tc>
        <w:tc>
          <w:tcPr>
            <w:tcW w:w="77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"C:\\Users\\ADMINI~1\\AppData\\Local\\Temp\\ksohtml\\clip_cell_image39.png"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476250" cy="923925"/>
                  <wp:effectExtent l="0" t="0" r="0" b="9525"/>
                  <wp:docPr id="80" name="图片 4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43" descr="IMG_264"/>
                          <pic:cNvPicPr>
                            <a:picLocks noChangeAspect="1"/>
                          </pic:cNvPicPr>
                        </pic:nvPicPr>
                        <pic:blipFill>
                          <a:blip r:embed="rId39"/>
                          <a:stretch>
                            <a:fillRect/>
                          </a:stretch>
                        </pic:blipFill>
                        <pic:spPr>
                          <a:xfrm>
                            <a:off x="0" y="0"/>
                            <a:ext cx="476250" cy="92392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跳高杆</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1.跳高横杆由横杆和横杆接头组成。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2.横杆采用φ30 的玻璃钢材料制 作，横杆接头采用特殊的外形结构。 3.跳高横杆总长为 4000mm。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4.横杆表面喷黑、黄双色漆，中间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段为黑色。</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"C:\\Users\\ADMINI~1\\AppData\\Local\\Temp\\ksohtml\\clip_cell_image40.png"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266825" cy="628650"/>
                  <wp:effectExtent l="0" t="0" r="9525" b="0"/>
                  <wp:docPr id="79" name="图片 44"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44" descr="IMG_265"/>
                          <pic:cNvPicPr>
                            <a:picLocks noChangeAspect="1"/>
                          </pic:cNvPicPr>
                        </pic:nvPicPr>
                        <pic:blipFill>
                          <a:blip r:embed="rId40"/>
                          <a:stretch>
                            <a:fillRect/>
                          </a:stretch>
                        </pic:blipFill>
                        <pic:spPr>
                          <a:xfrm>
                            <a:off x="0" y="0"/>
                            <a:ext cx="1266825" cy="62865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5"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跳高丈量尺</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1、跳高丈量尺主要由立杆和测高器二部分组成。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2、跳高丈量尺立杆采用铝合金型材制作，上面标有刻度，调高范围：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600-2900㎜。</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"C:\\Users\\ADMINI~1\\AppData\\Local\\Temp\\ksohtml\\clip_cell_image48.png"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276225" cy="971550"/>
                  <wp:effectExtent l="0" t="0" r="9525" b="0"/>
                  <wp:docPr id="78" name="图片 45"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45" descr="IMG_266"/>
                          <pic:cNvPicPr>
                            <a:picLocks noChangeAspect="1"/>
                          </pic:cNvPicPr>
                        </pic:nvPicPr>
                        <pic:blipFill>
                          <a:blip r:embed="rId41"/>
                          <a:stretch>
                            <a:fillRect/>
                          </a:stretch>
                        </pic:blipFill>
                        <pic:spPr>
                          <a:xfrm>
                            <a:off x="0" y="0"/>
                            <a:ext cx="276225" cy="97155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跳高海绵垫</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1.跳高海绵垫主体由三层重磅发泡海绵（20Kg/M3）组成，弹力均衡，柔软适中。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2.海绵垫的形状为“凸”字形，基本尺寸：长×宽×厚=5000×3000×700（㎜）。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3.海绵垫中层人体落地区域配有“井”字形框架结构，用以满足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落地时人体对弹性及缓冲的要求。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4.海绵垫表面罩有防水帆布套，套子侧面装有拉链及拉手攀，且四周设有排气孔。</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"C:\\Users\\ADMINI~1\\AppData\\Local\\Temp\\ksohtml\\clip_cell_image41.png"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533525" cy="666750"/>
                  <wp:effectExtent l="0" t="0" r="9525" b="0"/>
                  <wp:docPr id="77" name="图片 46"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6" descr="IMG_267"/>
                          <pic:cNvPicPr>
                            <a:picLocks noChangeAspect="1"/>
                          </pic:cNvPicPr>
                        </pic:nvPicPr>
                        <pic:blipFill>
                          <a:blip r:embed="rId42"/>
                          <a:stretch>
                            <a:fillRect/>
                          </a:stretch>
                        </pic:blipFill>
                        <pic:spPr>
                          <a:xfrm>
                            <a:off x="0" y="0"/>
                            <a:ext cx="1533525" cy="66675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跳高海绵垫底架</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1、此产品置于5×3×0.7米跳高海绵垫底部。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1、基本尺寸：4.8×2.8×0.1（m）；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2、跳高海绵垫底架由五小块底架通过连接片连接而成。防锈蚀性强，每块底架主要采用口30×20mm、口20×20mm方管拼焊组成，焊接牢固，焊缝表面均匀光滑，无虚焊。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喷涂工件的表面处理分二个阶段，前处理阶段使工件获得质量优良的介质层，增加防锈涂膜与金属基体的结合力。产品涂层厚度70—80um，铅笔硬度达2H+。产品具有耐酸碱、耐湿热、抗老化、外观美观，能适合潮湿和酸雨环境，且前处理过程以及产品涂料配方均不含有毒元素，避免损害使用者的健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"C:\\Users\\ADMINI~1\\AppData\\Local\\Temp\\ksohtml\\clip_cell_image42.png"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638300" cy="1247775"/>
                  <wp:effectExtent l="0" t="0" r="0" b="0"/>
                  <wp:docPr id="76" name="图片 47"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7" descr="IMG_268"/>
                          <pic:cNvPicPr>
                            <a:picLocks noChangeAspect="1"/>
                          </pic:cNvPicPr>
                        </pic:nvPicPr>
                        <pic:blipFill>
                          <a:blip r:embed="rId43"/>
                          <a:stretch>
                            <a:fillRect/>
                          </a:stretch>
                        </pic:blipFill>
                        <pic:spPr>
                          <a:xfrm>
                            <a:off x="0" y="0"/>
                            <a:ext cx="1638300" cy="124777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跳高海绵垫防护棚</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1、基本规格尺寸：5.4×3.4×1.08（m）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跳高海绵防护棚主要由顶棚和框架组成，框架采用□40×40mm和□40×20mm焊方管拼装焊接而成，顶棚采用□25×25和□21×14焊方管拼焊而成。顶棚上面覆盖有彩钢瓦，彩钢瓦上采用铝合金压条压住，用铆钉固定，顶棚设有漏雨槽，能防止漏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3、顶棚由6个顶棚盖组成，顶棚盖与前后、侧面框架之间使用固定块连接。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4、防护棚底部设有滚轮，移动方便。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所有器材均在全自动喷涂流水线上作业，经抛丸——脱脂——水洗——无磷转化——水洗——烘干——静电粉末——固化等过程。产品涂层厚度70—80um，铅笔硬度达2H+。产品具有耐酸碱、耐湿热、抗老化、外观美观等优点，能适合潮湿和酸雨环境，且前处理过程以及产品涂料配方均不含有毒元素，避免损害使用者的健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"C:\\Users\\ADMINI~1\\AppData\\Local\\Temp\\ksohtml\\clip_cell_image43.png"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524000" cy="581025"/>
                  <wp:effectExtent l="0" t="0" r="0" b="9525"/>
                  <wp:docPr id="75" name="图片 48"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48" descr="IMG_269"/>
                          <pic:cNvPicPr>
                            <a:picLocks noChangeAspect="1"/>
                          </pic:cNvPicPr>
                        </pic:nvPicPr>
                        <pic:blipFill>
                          <a:blip r:embed="rId44"/>
                          <a:stretch>
                            <a:fillRect/>
                          </a:stretch>
                        </pic:blipFill>
                        <pic:spPr>
                          <a:xfrm>
                            <a:off x="0" y="0"/>
                            <a:ext cx="1524000" cy="58102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七人制足球门（移动式）</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1、：产品结构 由球门框、两侧撑杆、底部连杆和足球网组成；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2、球门尺寸 球门內净：长×高=5000×2000（㎜）；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3、球门框：球门立柱和横梁均采用φ89×2.75钢管制作；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4、球门框后侧设有网钩，通过网销将球网与门框固定立柱与横梁连接处设有内胆，连接稳定牢固两侧撑杆 采用φ32×2的钢管制成，采用钢丝绳连接紧固，既增强球门整体稳定性，又起到撑网的作用底部连杆均采用□80×40×2.75mm方管制作，后侧连杆与两侧连杆连接通过网撑杆下接头（冲件）连接固定球网，足球网为白色，网眼为正方形：100×100mm，网线直径为φ3.5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5、足球网四周拷边处理，球门四角采用空扁绳，方便于穿拉网绳；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产品特性：球门组装完成后，立杆与地面垂直，横梁与立杆的夹角为90°，所有连接件周边处理圆滑，无棱角，无安全隐患，为保证球门的整体稳定性，在球门后侧横杆位置配置了球门固定压板和适用于草坪的专用预埋件，球门整体可装拆，便于运输和安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产品具有耐酸碱、耐湿热、抗老化、外观美观，能适合潮湿和酸雨环境，涂料均为绿色环保无毒产品，避免损害使用者的健康。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"C:\\Users\\ADMINI~1\\AppData\\Local\\Temp\\ksohtml\\clip_cell_image33.png"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343025" cy="866775"/>
                  <wp:effectExtent l="0" t="0" r="9525" b="9525"/>
                  <wp:docPr id="74" name="图片 49"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49" descr="IMG_270"/>
                          <pic:cNvPicPr>
                            <a:picLocks noChangeAspect="1"/>
                          </pic:cNvPicPr>
                        </pic:nvPicPr>
                        <pic:blipFill>
                          <a:blip r:embed="rId45"/>
                          <a:stretch>
                            <a:fillRect/>
                          </a:stretch>
                        </pic:blipFill>
                        <pic:spPr>
                          <a:xfrm>
                            <a:off x="0" y="0"/>
                            <a:ext cx="1343025" cy="86677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3"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五人制足球门（移动式）</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球门内净基本尺寸：长×高=3000×2000（mm）；</w:t>
            </w:r>
          </w:p>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足球门由立杆、横梁、两侧撑杆、两侧横杆和后侧横杆组成。</w:t>
            </w:r>
          </w:p>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球门立杆和横梁均采用φ80钢管型材制成，上设塑料网勾，置网方便，球网两侧撑杆采用φ32×2.5的钢管制成，两侧横杆和后侧连杆采用□80×40×2.5方管制作。</w:t>
            </w:r>
          </w:p>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横梁和立杆上没有可能危害到运动员安全的连接物件露在外面。球门组装完成后，立杆与地面垂直，横梁与立杆的夹角为90°，连接件周边处理圆滑，无棱角。球门两侧撑杆采用钢丝绳连接紧固，既可增强球门整体稳定性，又可起到撑网的作用。</w:t>
            </w:r>
          </w:p>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为保证球门的整体稳定性，在球门后侧横杆位置配置了球门固定压板，保证球门的位置不因运动员的冲撞而移动位置。</w:t>
            </w:r>
          </w:p>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球门整体可装拆，便于运输和安装。</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喷涂工件的表面处理分二个阶段，前处理阶段使工件获得质量优良的介质层，增加防锈涂膜与金属基体的结合力，。产品涂层厚度70-80um，铅笔硬度达3H+。产品具有耐酸碱、耐湿热、抗老化、外观美观，能适合潮湿和酸雨环境，且前处理过程以及产品涂料配方均不含有毒元素，避免损害使用者的健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"C:\\Users\\ADMINI~1\\AppData\\Local\\Temp\\ksohtml\\clip_cell_image32.png"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181100" cy="1266825"/>
                  <wp:effectExtent l="0" t="0" r="0" b="9525"/>
                  <wp:docPr id="73" name="图片 50"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0" descr="IMG_271"/>
                          <pic:cNvPicPr>
                            <a:picLocks noChangeAspect="1"/>
                          </pic:cNvPicPr>
                        </pic:nvPicPr>
                        <pic:blipFill>
                          <a:blip r:embed="rId46"/>
                          <a:stretch>
                            <a:fillRect/>
                          </a:stretch>
                        </pic:blipFill>
                        <pic:spPr>
                          <a:xfrm>
                            <a:off x="0" y="0"/>
                            <a:ext cx="1181100" cy="126682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烟屏</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1、发令烟屏由烟屏支架和烟屏两部分组成。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2、烟屏支架采用口25×25×2mm方管制作，高度可调。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3、烟屏规格尺寸：外径φ600㎜，采用优质钢管制作，烟屏内设金属框预埋件，通过预埋螺栓与支架紧固。</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"C:\\Users\\ADMINI~1\\AppData\\Local\\Temp\\ksohtml\\clip_cell_image30.png"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819150" cy="685800"/>
                  <wp:effectExtent l="0" t="0" r="0" b="0"/>
                  <wp:docPr id="72" name="图片 51"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51" descr="IMG_272"/>
                          <pic:cNvPicPr>
                            <a:picLocks noChangeAspect="1"/>
                          </pic:cNvPicPr>
                        </pic:nvPicPr>
                        <pic:blipFill>
                          <a:blip r:embed="rId47"/>
                          <a:stretch>
                            <a:fillRect/>
                          </a:stretch>
                        </pic:blipFill>
                        <pic:spPr>
                          <a:xfrm>
                            <a:off x="0" y="0"/>
                            <a:ext cx="819150" cy="68580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发令台</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2"/>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发令台基本外形尺寸：长×宽×高=700×610×1500（㎜）。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2.发令台主要由底架和推手柄组成，底架主要采用方管拼焊而成，底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架踏脚板采用花纹板制作，起防滑作用，便于站人；推手柄采用圆管制作。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3.发令台设置有插管，可放置配套设施（发令烟屏），其底架内部设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有货物柜，配有钥匙，可放置发令枪等其它设备，作小推车用。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4.发令台底部设置有滚轮，移动方便。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5.喷涂工件的表面处理分二个阶段，前处理阶段使工件获得质量优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良的介质层，增加防锈涂膜与金属基体的结合力，产品涂层厚度70—80um，铅笔硬度达3H+。</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产品具有耐酸碱、耐湿热、抗老化、外观美观，能适合潮湿和酸雨环境，且前处理过程以及产品涂料配方均不含有毒元素，避免损害使用者的健康。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"C:\\Users\\ADMINI~1\\AppData\\Local\\Temp\\ksohtml\\clip_cell_image29.png"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666750" cy="1200150"/>
                  <wp:effectExtent l="0" t="0" r="0" b="0"/>
                  <wp:docPr id="71" name="图片 52"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52" descr="IMG_273"/>
                          <pic:cNvPicPr>
                            <a:picLocks noChangeAspect="1"/>
                          </pic:cNvPicPr>
                        </pic:nvPicPr>
                        <pic:blipFill>
                          <a:blip r:embed="rId48"/>
                          <a:stretch>
                            <a:fillRect/>
                          </a:stretch>
                        </pic:blipFill>
                        <pic:spPr>
                          <a:xfrm>
                            <a:off x="0" y="0"/>
                            <a:ext cx="666750" cy="120015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9"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领奖台</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材质：钢制，规格：总长3米，长100cm，宽50cm，一等讲台高40cm，二等讲台高30cm，三等讲台高20cm</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"C:\\Users\\ADMINI~1\\AppData\\Local\\Temp\\ksohtml\\clip_cell_image14.png"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2247265" cy="676910"/>
                  <wp:effectExtent l="0" t="0" r="635" b="8890"/>
                  <wp:docPr id="70" name="图片 53"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3" descr="IMG_274"/>
                          <pic:cNvPicPr>
                            <a:picLocks noChangeAspect="1"/>
                          </pic:cNvPicPr>
                        </pic:nvPicPr>
                        <pic:blipFill>
                          <a:blip r:embed="rId49"/>
                          <a:stretch>
                            <a:fillRect/>
                          </a:stretch>
                        </pic:blipFill>
                        <pic:spPr>
                          <a:xfrm>
                            <a:off x="0" y="0"/>
                            <a:ext cx="2247265" cy="67691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球车</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1、推车外形基本尺寸：长x宽x高=900x720x720(mm)。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2、推车主要采用圆管在专用弯管机上弯曲成形后拼焊而成，推车整体可折叠，存放时可减少空间。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3、推车支脚底部装有滚轮，移动方便。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4、表面处理: 所有钢制件表面均经酸洗、磷化、打沙等初级处理后采用进口静电环氧基粉末喷涂完成最后表面处理，涂层厚度70—80um，铅笔硬度达3H+，试品经GB1771-91 36小时盐雾试验，涂膜无变化，划格处单面腐蚀＜2mm，产品具有耐酸碱、耐湿热、抗老化、外观美观，能适合潮湿和酸雨环境，室内室外均可使用，且产品涂料配方不含有毒元素，避免损害使用者的健康。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183515</wp:posOffset>
                  </wp:positionH>
                  <wp:positionV relativeFrom="paragraph">
                    <wp:posOffset>281940</wp:posOffset>
                  </wp:positionV>
                  <wp:extent cx="1428115" cy="1179830"/>
                  <wp:effectExtent l="0" t="0" r="635" b="1270"/>
                  <wp:wrapNone/>
                  <wp:docPr id="69" name="图片_234"/>
                  <wp:cNvGraphicFramePr/>
                  <a:graphic xmlns:a="http://schemas.openxmlformats.org/drawingml/2006/main">
                    <a:graphicData uri="http://schemas.openxmlformats.org/drawingml/2006/picture">
                      <pic:pic xmlns:pic="http://schemas.openxmlformats.org/drawingml/2006/picture">
                        <pic:nvPicPr>
                          <pic:cNvPr id="69" name="图片_234"/>
                          <pic:cNvPicPr/>
                        </pic:nvPicPr>
                        <pic:blipFill>
                          <a:blip r:embed="rId50"/>
                          <a:stretch>
                            <a:fillRect/>
                          </a:stretch>
                        </pic:blipFill>
                        <pic:spPr>
                          <a:xfrm>
                            <a:off x="0" y="0"/>
                            <a:ext cx="1428115" cy="11798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橡胶篮球</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橡胶4号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466725</wp:posOffset>
                  </wp:positionH>
                  <wp:positionV relativeFrom="paragraph">
                    <wp:posOffset>134620</wp:posOffset>
                  </wp:positionV>
                  <wp:extent cx="880745" cy="937260"/>
                  <wp:effectExtent l="0" t="0" r="14605" b="15240"/>
                  <wp:wrapNone/>
                  <wp:docPr id="68" name="图片_9"/>
                  <wp:cNvGraphicFramePr/>
                  <a:graphic xmlns:a="http://schemas.openxmlformats.org/drawingml/2006/main">
                    <a:graphicData uri="http://schemas.openxmlformats.org/drawingml/2006/picture">
                      <pic:pic xmlns:pic="http://schemas.openxmlformats.org/drawingml/2006/picture">
                        <pic:nvPicPr>
                          <pic:cNvPr id="68" name="图片_9"/>
                          <pic:cNvPicPr/>
                        </pic:nvPicPr>
                        <pic:blipFill>
                          <a:blip r:embed="rId51"/>
                          <a:stretch>
                            <a:fillRect/>
                          </a:stretch>
                        </pic:blipFill>
                        <pic:spPr>
                          <a:xfrm>
                            <a:off x="0" y="0"/>
                            <a:ext cx="880745" cy="9372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橡胶篮球</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橡胶5号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"C:\\Users\\ADMINI~1\\AppData\\Local\\Temp\\ksohtml\\clip_cell_image23.png"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009650" cy="1019175"/>
                  <wp:effectExtent l="0" t="0" r="0" b="9525"/>
                  <wp:docPr id="67" name="图片 54"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54" descr="IMG_275"/>
                          <pic:cNvPicPr>
                            <a:picLocks noChangeAspect="1"/>
                          </pic:cNvPicPr>
                        </pic:nvPicPr>
                        <pic:blipFill>
                          <a:blip r:embed="rId52"/>
                          <a:stretch>
                            <a:fillRect/>
                          </a:stretch>
                        </pic:blipFill>
                        <pic:spPr>
                          <a:xfrm>
                            <a:off x="0" y="0"/>
                            <a:ext cx="1009650" cy="101917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橡胶篮球</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橡胶7号。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"C:\\Users\\ADMINI~1\\AppData\\Local\\Temp\\ksohtml\\clip_cell_image24.png"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076325" cy="1104900"/>
                  <wp:effectExtent l="0" t="0" r="9525" b="0"/>
                  <wp:docPr id="65" name="图片 55"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5" descr="IMG_276"/>
                          <pic:cNvPicPr>
                            <a:picLocks noChangeAspect="1"/>
                          </pic:cNvPicPr>
                        </pic:nvPicPr>
                        <pic:blipFill>
                          <a:blip r:embed="rId53"/>
                          <a:stretch>
                            <a:fillRect/>
                          </a:stretch>
                        </pic:blipFill>
                        <pic:spPr>
                          <a:xfrm>
                            <a:off x="0" y="0"/>
                            <a:ext cx="1076325" cy="110490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皮质篮球</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皮质（比赛用球），符合国家体育比赛用球标准。</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271145</wp:posOffset>
                  </wp:positionH>
                  <wp:positionV relativeFrom="paragraph">
                    <wp:posOffset>190500</wp:posOffset>
                  </wp:positionV>
                  <wp:extent cx="1150620" cy="1169035"/>
                  <wp:effectExtent l="0" t="0" r="11430" b="12065"/>
                  <wp:wrapNone/>
                  <wp:docPr id="64" name="图片_7"/>
                  <wp:cNvGraphicFramePr/>
                  <a:graphic xmlns:a="http://schemas.openxmlformats.org/drawingml/2006/main">
                    <a:graphicData uri="http://schemas.openxmlformats.org/drawingml/2006/picture">
                      <pic:pic xmlns:pic="http://schemas.openxmlformats.org/drawingml/2006/picture">
                        <pic:nvPicPr>
                          <pic:cNvPr id="64" name="图片_7"/>
                          <pic:cNvPicPr/>
                        </pic:nvPicPr>
                        <pic:blipFill>
                          <a:blip r:embed="rId54"/>
                          <a:stretch>
                            <a:fillRect/>
                          </a:stretch>
                        </pic:blipFill>
                        <pic:spPr>
                          <a:xfrm>
                            <a:off x="0" y="0"/>
                            <a:ext cx="1150620" cy="11690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软式排球</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技术规格：重：180-300克 软式排球，周长：565-665mm，气压0.30-0.325公斤/平方厘米。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功能性用：A、安全性强，柔软有弹性，撞击力小，对老人、小孩都不会造成伤害，尤其是避免了对运动者指关节的伤害。B、具有休闲、观赏、趣味性 1、质地柔软，手感舒适，适用于不同年龄阶段的人。 2、颜色鲜艳，观赏性强。 3、球速慢，传递次数多，易掌握，趣味性强。 C、适用范围广：1、不受场地限制。室内外、草地都可以进行。 2、适合不同年龄层，全民皆可用此健身。 3、不受人员限制（可以2、3、4、5、6人组或男女混合组）。 4、可以一球多用（用作手球、体操球、沙排）。  D、使用便利：免充气、没有打气、漏气的烦恼。 E、绿色环保——环保材料、无毒、防水。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表面商标、图案、色泽等字迹清晰，图案端正、色彩鲜艳，符合产品要求，表面无破损，脱落等现象。</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"C:\\Users\\ADMINI~1\\AppData\\Local\\Temp\\ksohtml\\clip_cell_image2.png"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219200" cy="1171575"/>
                  <wp:effectExtent l="0" t="0" r="0" b="9525"/>
                  <wp:docPr id="62" name="图片 56"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6" descr="IMG_277"/>
                          <pic:cNvPicPr>
                            <a:picLocks noChangeAspect="1"/>
                          </pic:cNvPicPr>
                        </pic:nvPicPr>
                        <pic:blipFill>
                          <a:blip r:embed="rId55"/>
                          <a:stretch>
                            <a:fillRect/>
                          </a:stretch>
                        </pic:blipFill>
                        <pic:spPr>
                          <a:xfrm>
                            <a:off x="0" y="0"/>
                            <a:ext cx="1219200" cy="117157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足球</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PU皮4号。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"C:\\Users\\ADMINI~1\\AppData\\Local\\Temp\\ksohtml\\clip_cell_image4.png"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181100" cy="1209675"/>
                  <wp:effectExtent l="0" t="0" r="0" b="9525"/>
                  <wp:docPr id="63" name="图片 57"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7" descr="IMG_278"/>
                          <pic:cNvPicPr>
                            <a:picLocks noChangeAspect="1"/>
                          </pic:cNvPicPr>
                        </pic:nvPicPr>
                        <pic:blipFill>
                          <a:blip r:embed="rId56"/>
                          <a:stretch>
                            <a:fillRect/>
                          </a:stretch>
                        </pic:blipFill>
                        <pic:spPr>
                          <a:xfrm>
                            <a:off x="0" y="0"/>
                            <a:ext cx="1181100" cy="120967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垒球</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材质：球皮PVC、球心软木。大小：10寸，净重约96克，直径约7.6cm，无弹性</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"C:\\Users\\ADMINI~1\\AppData\\Local\\Temp\\ksohtml\\clip_cell_image15.png"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038225" cy="1057275"/>
                  <wp:effectExtent l="0" t="0" r="9525" b="9525"/>
                  <wp:docPr id="59" name="图片 58"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8" descr="IMG_279"/>
                          <pic:cNvPicPr>
                            <a:picLocks noChangeAspect="1"/>
                          </pic:cNvPicPr>
                        </pic:nvPicPr>
                        <pic:blipFill>
                          <a:blip r:embed="rId57"/>
                          <a:stretch>
                            <a:fillRect/>
                          </a:stretch>
                        </pic:blipFill>
                        <pic:spPr>
                          <a:xfrm>
                            <a:off x="0" y="0"/>
                            <a:ext cx="1038225" cy="105727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乒乓球</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直径40MM+。颜色：白色，材料ABS树脂</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"C:\\Users\\ADMINI~1\\AppData\\Local\\Temp\\ksohtml\\clip_cell_image18.png"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800100" cy="895350"/>
                  <wp:effectExtent l="0" t="0" r="0" b="0"/>
                  <wp:docPr id="58" name="图片 59"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9" descr="IMG_280"/>
                          <pic:cNvPicPr>
                            <a:picLocks noChangeAspect="1"/>
                          </pic:cNvPicPr>
                        </pic:nvPicPr>
                        <pic:blipFill>
                          <a:blip r:embed="rId58"/>
                          <a:stretch>
                            <a:fillRect/>
                          </a:stretch>
                        </pic:blipFill>
                        <pic:spPr>
                          <a:xfrm>
                            <a:off x="0" y="0"/>
                            <a:ext cx="800100" cy="89535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乒乓球拍</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乒乓球拍2块为1副，星级直握拍，双面反胶皮，颜色鲜红色，拍面平整；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拍柄、拍面、拍身边缘光滑无光泽，拍身边缘贴上彩带；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胶粒分布均匀，高度不低于0.5mm；胶合部位牢固，不开裂。</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"C:\\Users\\ADMINI~1\\AppData\\Local\\Temp\\ksohtml\\clip_cell_image5.png"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133475" cy="1362075"/>
                  <wp:effectExtent l="0" t="0" r="9525" b="9525"/>
                  <wp:docPr id="57" name="图片 60"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60" descr="IMG_281"/>
                          <pic:cNvPicPr>
                            <a:picLocks noChangeAspect="1"/>
                          </pic:cNvPicPr>
                        </pic:nvPicPr>
                        <pic:blipFill>
                          <a:blip r:embed="rId59"/>
                          <a:stretch>
                            <a:fillRect/>
                          </a:stretch>
                        </pic:blipFill>
                        <pic:spPr>
                          <a:xfrm>
                            <a:off x="0" y="0"/>
                            <a:ext cx="1133475" cy="136207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秒表</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秒表60道。显示系统：能够计量10个时段，可以读出小时、分钟、秒、1/100秒，分段时间、分段区时间和全部经过时间的二排显示，分段点时间（SPLIT）、分段区时间（LAP）、检索（RECALL）停止（STOP）和秒表等显示的标志，时间/日历显示可以读出小时、分钟、秒钟、年历、月历、日历和时间/日历等；显示媒介；向列型液晶体磁场效应模式（FEM）；防水。</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"C:\\Users\\ADMINI~1\\AppData\\Local\\Temp\\ksohtml\\clip_cell_image8.png"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981075" cy="1133475"/>
                  <wp:effectExtent l="0" t="0" r="9525" b="9525"/>
                  <wp:docPr id="56" name="图片 61"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61" descr="IMG_282"/>
                          <pic:cNvPicPr>
                            <a:picLocks noChangeAspect="1"/>
                          </pic:cNvPicPr>
                        </pic:nvPicPr>
                        <pic:blipFill>
                          <a:blip r:embed="rId60"/>
                          <a:stretch>
                            <a:fillRect/>
                          </a:stretch>
                        </pic:blipFill>
                        <pic:spPr>
                          <a:xfrm>
                            <a:off x="0" y="0"/>
                            <a:ext cx="981075" cy="113347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儿童羽毛球拍</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材质：铝合金，拍杆硬度：适中，拍身重量/握柄尺寸：85g(含)-95g(含)/G6(含线)，拉线磅数：Hs18lbs，Vs18lbs</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"C:\\Users\\ADMINI~1\\AppData\\Local\\Temp\\ksohtml\\clip_cell_image7.png"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504825" cy="1221740"/>
                  <wp:effectExtent l="0" t="0" r="9525" b="16510"/>
                  <wp:docPr id="60" name="图片 62"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2" descr="IMG_283"/>
                          <pic:cNvPicPr>
                            <a:picLocks noChangeAspect="1"/>
                          </pic:cNvPicPr>
                        </pic:nvPicPr>
                        <pic:blipFill>
                          <a:blip r:embed="rId61"/>
                          <a:stretch>
                            <a:fillRect/>
                          </a:stretch>
                        </pic:blipFill>
                        <pic:spPr>
                          <a:xfrm>
                            <a:off x="0" y="0"/>
                            <a:ext cx="504825" cy="122174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儿童尼龙塑料羽毛球</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毛片材质：尼龙，球头：全软木球头；速度：慢速</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"C:\\Users\\ADMINI~1\\AppData\\Local\\Temp\\ksohtml\\clip_cell_image10.png"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838200" cy="1228725"/>
                  <wp:effectExtent l="0" t="0" r="0" b="9525"/>
                  <wp:docPr id="61" name="图片 63"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3" descr="IMG_284"/>
                          <pic:cNvPicPr>
                            <a:picLocks noChangeAspect="1"/>
                          </pic:cNvPicPr>
                        </pic:nvPicPr>
                        <pic:blipFill>
                          <a:blip r:embed="rId62"/>
                          <a:stretch>
                            <a:fillRect/>
                          </a:stretch>
                        </pic:blipFill>
                        <pic:spPr>
                          <a:xfrm>
                            <a:off x="0" y="0"/>
                            <a:ext cx="838200" cy="122872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羽毛球拍</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拍框材质：碳纤维+树脂，中管材质：碳纤维+树脂+7.0 SHAFT，拍杆硬度：特软，重量：75g(含)-79g(含)；拉线磅数：≤28 lbs(12.5kg)≤27lbs(12kg)</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"C:\\Users\\ADMINI~1\\AppData\\Local\\Temp\\ksohtml\\clip_cell_image13.png"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381000" cy="1263015"/>
                  <wp:effectExtent l="0" t="0" r="0" b="13335"/>
                  <wp:docPr id="66" name="图片 64"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4" descr="IMG_285"/>
                          <pic:cNvPicPr>
                            <a:picLocks noChangeAspect="1"/>
                          </pic:cNvPicPr>
                        </pic:nvPicPr>
                        <pic:blipFill>
                          <a:blip r:embed="rId63"/>
                          <a:stretch>
                            <a:fillRect/>
                          </a:stretch>
                        </pic:blipFill>
                        <pic:spPr>
                          <a:xfrm>
                            <a:off x="0" y="0"/>
                            <a:ext cx="381000" cy="126301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羽毛球</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羽毛球毛片分类：鹅拉直，羽毛球球头分类：复合软木；羽毛球球速：77#/2#</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"C:\\Users\\ADMINI~1\\AppData\\Local\\Temp\\ksohtml\\clip_cell_image12.png"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781050" cy="990600"/>
                  <wp:effectExtent l="0" t="0" r="0" b="0"/>
                  <wp:docPr id="89" name="图片 65"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5" descr="IMG_286"/>
                          <pic:cNvPicPr>
                            <a:picLocks noChangeAspect="1"/>
                          </pic:cNvPicPr>
                        </pic:nvPicPr>
                        <pic:blipFill>
                          <a:blip r:embed="rId64"/>
                          <a:stretch>
                            <a:fillRect/>
                          </a:stretch>
                        </pic:blipFill>
                        <pic:spPr>
                          <a:xfrm>
                            <a:off x="0" y="0"/>
                            <a:ext cx="781050" cy="99060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测量卷尺</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1、由尺带和尺盒组成，尺带进出灵活，附有摇柄。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2、量程：0～20m、分度值：1cm、全长允差：不大于25cm。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3、尺子刻线均匀、清晰、垂直纵边、无断线。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4、有100米可选。符合计量标准。</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492125</wp:posOffset>
                  </wp:positionH>
                  <wp:positionV relativeFrom="paragraph">
                    <wp:posOffset>356235</wp:posOffset>
                  </wp:positionV>
                  <wp:extent cx="918210" cy="687705"/>
                  <wp:effectExtent l="0" t="0" r="15240" b="17145"/>
                  <wp:wrapNone/>
                  <wp:docPr id="88" name="图片_166"/>
                  <wp:cNvGraphicFramePr/>
                  <a:graphic xmlns:a="http://schemas.openxmlformats.org/drawingml/2006/main">
                    <a:graphicData uri="http://schemas.openxmlformats.org/drawingml/2006/picture">
                      <pic:pic xmlns:pic="http://schemas.openxmlformats.org/drawingml/2006/picture">
                        <pic:nvPicPr>
                          <pic:cNvPr id="88" name="图片_166"/>
                          <pic:cNvPicPr/>
                        </pic:nvPicPr>
                        <pic:blipFill>
                          <a:blip r:embed="rId65"/>
                          <a:stretch>
                            <a:fillRect/>
                          </a:stretch>
                        </pic:blipFill>
                        <pic:spPr>
                          <a:xfrm>
                            <a:off x="0" y="0"/>
                            <a:ext cx="918210" cy="6877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皮尺</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1、由尺带和尺盒组成，尺带进出灵活，附有摇柄。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2、量程：0～30m、分度值：1cm、全长允差：不大于25cm。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3、尺子刻线均匀、清晰、垂直纵边、无断线。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4、有30米可选。符合计量标准。</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"C:\\Users\\ADMINI~1\\AppData\\Local\\Temp\\ksohtml\\clip_cell_image16.png"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000125" cy="742950"/>
                  <wp:effectExtent l="0" t="0" r="9525" b="0"/>
                  <wp:docPr id="87" name="图片 66"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66" descr="IMG_288"/>
                          <pic:cNvPicPr>
                            <a:picLocks noChangeAspect="1"/>
                          </pic:cNvPicPr>
                        </pic:nvPicPr>
                        <pic:blipFill>
                          <a:blip r:embed="rId66"/>
                          <a:stretch>
                            <a:fillRect/>
                          </a:stretch>
                        </pic:blipFill>
                        <pic:spPr>
                          <a:xfrm>
                            <a:off x="0" y="0"/>
                            <a:ext cx="1000125" cy="74295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皮尺</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1、由尺带和尺盒组成，尺带进出灵活，附有摇柄。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2、量程：0～50m、分度值：1cm、全长允差：不大于25cm。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3、尺子刻线均匀、清晰、垂直纵边、无断线。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4、有50米可选。符合计量标准。</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"C:\\Users\\ADMINI~1\\AppData\\Local\\Temp\\ksohtml\\clip_cell_image17.png"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000125" cy="742950"/>
                  <wp:effectExtent l="0" t="0" r="9525" b="0"/>
                  <wp:docPr id="86" name="图片 67"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67" descr="IMG_288"/>
                          <pic:cNvPicPr>
                            <a:picLocks noChangeAspect="1"/>
                          </pic:cNvPicPr>
                        </pic:nvPicPr>
                        <pic:blipFill>
                          <a:blip r:embed="rId66"/>
                          <a:stretch>
                            <a:fillRect/>
                          </a:stretch>
                        </pic:blipFill>
                        <pic:spPr>
                          <a:xfrm>
                            <a:off x="0" y="0"/>
                            <a:ext cx="1000125" cy="74295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道次墩</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三面显示；材质：材质：工程塑料</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488315</wp:posOffset>
                  </wp:positionH>
                  <wp:positionV relativeFrom="paragraph">
                    <wp:posOffset>85090</wp:posOffset>
                  </wp:positionV>
                  <wp:extent cx="793750" cy="897255"/>
                  <wp:effectExtent l="0" t="0" r="0" b="17145"/>
                  <wp:wrapNone/>
                  <wp:docPr id="85" name="图片_112"/>
                  <wp:cNvGraphicFramePr/>
                  <a:graphic xmlns:a="http://schemas.openxmlformats.org/drawingml/2006/main">
                    <a:graphicData uri="http://schemas.openxmlformats.org/drawingml/2006/picture">
                      <pic:pic xmlns:pic="http://schemas.openxmlformats.org/drawingml/2006/picture">
                        <pic:nvPicPr>
                          <pic:cNvPr id="85" name="图片_112"/>
                          <pic:cNvPicPr/>
                        </pic:nvPicPr>
                        <pic:blipFill>
                          <a:blip r:embed="rId67"/>
                          <a:stretch>
                            <a:fillRect/>
                          </a:stretch>
                        </pic:blipFill>
                        <pic:spPr>
                          <a:xfrm>
                            <a:off x="0" y="0"/>
                            <a:ext cx="793750" cy="8972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发令旗</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红、黄、白三色</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376555</wp:posOffset>
                  </wp:positionH>
                  <wp:positionV relativeFrom="paragraph">
                    <wp:posOffset>130175</wp:posOffset>
                  </wp:positionV>
                  <wp:extent cx="860425" cy="819785"/>
                  <wp:effectExtent l="0" t="0" r="15875" b="18415"/>
                  <wp:wrapNone/>
                  <wp:docPr id="84" name="图片_117"/>
                  <wp:cNvGraphicFramePr/>
                  <a:graphic xmlns:a="http://schemas.openxmlformats.org/drawingml/2006/main">
                    <a:graphicData uri="http://schemas.openxmlformats.org/drawingml/2006/picture">
                      <pic:pic xmlns:pic="http://schemas.openxmlformats.org/drawingml/2006/picture">
                        <pic:nvPicPr>
                          <pic:cNvPr id="84" name="图片_117"/>
                          <pic:cNvPicPr/>
                        </pic:nvPicPr>
                        <pic:blipFill>
                          <a:blip r:embed="rId68"/>
                          <a:stretch>
                            <a:fillRect/>
                          </a:stretch>
                        </pic:blipFill>
                        <pic:spPr>
                          <a:xfrm>
                            <a:off x="0" y="0"/>
                            <a:ext cx="860425" cy="8197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接力棒</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长度300mm，直径300mm，空心铝合金材质。棒两头做过圆滑处理，外观平滑无毛刺。</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198755</wp:posOffset>
                  </wp:positionH>
                  <wp:positionV relativeFrom="paragraph">
                    <wp:posOffset>86360</wp:posOffset>
                  </wp:positionV>
                  <wp:extent cx="1043940" cy="817880"/>
                  <wp:effectExtent l="0" t="0" r="3810" b="1270"/>
                  <wp:wrapNone/>
                  <wp:docPr id="83" name="图片_114"/>
                  <wp:cNvGraphicFramePr/>
                  <a:graphic xmlns:a="http://schemas.openxmlformats.org/drawingml/2006/main">
                    <a:graphicData uri="http://schemas.openxmlformats.org/drawingml/2006/picture">
                      <pic:pic xmlns:pic="http://schemas.openxmlformats.org/drawingml/2006/picture">
                        <pic:nvPicPr>
                          <pic:cNvPr id="83" name="图片_114"/>
                          <pic:cNvPicPr/>
                        </pic:nvPicPr>
                        <pic:blipFill>
                          <a:blip r:embed="rId69"/>
                          <a:stretch>
                            <a:fillRect/>
                          </a:stretch>
                        </pic:blipFill>
                        <pic:spPr>
                          <a:xfrm>
                            <a:off x="0" y="0"/>
                            <a:ext cx="1043940" cy="8178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新健牌无柄压胶跳绳</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【规格】:直径6MM，长2.2米 重量55克左右，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【材料】棉纱和胶质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【长度】:220CM(允许误差+-5CM)</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"C:\\Users\\ADMINI~1\\AppData\\Local\\Temp\\ksohtml\\clip_cell_image3.png"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838200" cy="904875"/>
                  <wp:effectExtent l="0" t="0" r="0" b="9525"/>
                  <wp:docPr id="82" name="图片 68"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68" descr="IMG_289"/>
                          <pic:cNvPicPr>
                            <a:picLocks noChangeAspect="1"/>
                          </pic:cNvPicPr>
                        </pic:nvPicPr>
                        <pic:blipFill>
                          <a:blip r:embed="rId70"/>
                          <a:stretch>
                            <a:fillRect/>
                          </a:stretch>
                        </pic:blipFill>
                        <pic:spPr>
                          <a:xfrm>
                            <a:off x="0" y="0"/>
                            <a:ext cx="838200" cy="90487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bl>
    <w:p>
      <w:pPr>
        <w:jc w:val="left"/>
        <w:rPr>
          <w:rFonts w:hint="eastAsia"/>
          <w:lang w:val="en-US" w:eastAsia="zh-CN"/>
        </w:rPr>
      </w:pPr>
      <w:r>
        <w:rPr>
          <w:rFonts w:hint="eastAsia"/>
          <w:lang w:val="en-US" w:eastAsia="zh-CN"/>
        </w:rPr>
        <w:t>注：上述图片仅供参考，以实际技术需求为准。</w:t>
      </w:r>
    </w:p>
    <w:p>
      <w:pPr>
        <w:pStyle w:val="2"/>
        <w:numPr>
          <w:ilvl w:val="0"/>
          <w:numId w:val="0"/>
        </w:numPr>
        <w:ind w:leftChars="0"/>
        <w:rPr>
          <w:rFonts w:hint="eastAsia" w:ascii="宋体" w:hAnsi="宋体" w:eastAsia="宋体" w:cs="仿宋_GB2312"/>
          <w:b w:val="0"/>
          <w:bCs w:val="0"/>
          <w:kern w:val="2"/>
          <w:sz w:val="24"/>
          <w:szCs w:val="24"/>
          <w:lang w:val="en-US" w:eastAsia="zh-CN" w:bidi="ar-SA"/>
        </w:rPr>
      </w:pPr>
    </w:p>
    <w:p>
      <w:pPr>
        <w:pStyle w:val="2"/>
        <w:numPr>
          <w:ilvl w:val="0"/>
          <w:numId w:val="0"/>
        </w:numPr>
        <w:ind w:leftChars="0"/>
        <w:rPr>
          <w:rFonts w:hint="eastAsia" w:ascii="宋体" w:hAnsi="宋体" w:eastAsia="宋体" w:cs="仿宋_GB2312"/>
          <w:b w:val="0"/>
          <w:bCs w:val="0"/>
          <w:kern w:val="2"/>
          <w:sz w:val="24"/>
          <w:szCs w:val="24"/>
          <w:lang w:val="en-US" w:eastAsia="zh-CN" w:bidi="ar-SA"/>
        </w:rPr>
      </w:pPr>
      <w:r>
        <w:rPr>
          <w:rFonts w:hint="eastAsia" w:ascii="宋体" w:hAnsi="宋体" w:eastAsia="宋体" w:cs="仿宋_GB2312"/>
          <w:b w:val="0"/>
          <w:bCs w:val="0"/>
          <w:kern w:val="2"/>
          <w:sz w:val="24"/>
          <w:szCs w:val="24"/>
          <w:lang w:val="en-US" w:eastAsia="zh-CN" w:bidi="ar-SA"/>
        </w:rPr>
        <w:t>2.</w:t>
      </w:r>
      <w:r>
        <w:rPr>
          <w:rFonts w:hint="eastAsia" w:ascii="宋体" w:hAnsi="宋体" w:cs="仿宋_GB2312"/>
          <w:b w:val="0"/>
          <w:bCs w:val="0"/>
          <w:kern w:val="2"/>
          <w:sz w:val="24"/>
          <w:szCs w:val="24"/>
          <w:lang w:val="en-US" w:eastAsia="zh-CN" w:bidi="ar-SA"/>
        </w:rPr>
        <w:t>2</w:t>
      </w:r>
      <w:r>
        <w:rPr>
          <w:rFonts w:hint="eastAsia" w:ascii="宋体" w:hAnsi="宋体" w:eastAsia="宋体" w:cs="仿宋_GB2312"/>
          <w:b w:val="0"/>
          <w:bCs w:val="0"/>
          <w:kern w:val="2"/>
          <w:sz w:val="24"/>
          <w:szCs w:val="24"/>
          <w:lang w:val="en-US" w:eastAsia="zh-CN" w:bidi="ar-SA"/>
        </w:rPr>
        <w:t>杜甫二小体育器械一览表</w:t>
      </w:r>
    </w:p>
    <w:tbl>
      <w:tblPr>
        <w:tblStyle w:val="63"/>
        <w:tblW w:w="9688" w:type="dxa"/>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1075"/>
        <w:gridCol w:w="3487"/>
        <w:gridCol w:w="775"/>
        <w:gridCol w:w="900"/>
        <w:gridCol w:w="2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主要规格、尺寸或技术参数要求</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室内乒乓球桌</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5"/>
              </w:numPr>
              <w:suppressLineNumbers w:val="0"/>
              <w:jc w:val="left"/>
              <w:textAlignment w:val="center"/>
              <w:rPr>
                <w:rStyle w:val="332"/>
                <w:rFonts w:hint="eastAsia" w:ascii="宋体" w:hAnsi="宋体" w:eastAsia="宋体" w:cs="宋体"/>
                <w:sz w:val="21"/>
                <w:szCs w:val="21"/>
                <w:highlight w:val="none"/>
                <w:lang w:val="en-US" w:eastAsia="zh-CN" w:bidi="ar"/>
              </w:rPr>
            </w:pPr>
            <w:r>
              <w:rPr>
                <w:rStyle w:val="332"/>
                <w:rFonts w:hint="eastAsia" w:ascii="宋体" w:hAnsi="宋体" w:eastAsia="宋体" w:cs="宋体"/>
                <w:sz w:val="21"/>
                <w:szCs w:val="21"/>
                <w:highlight w:val="none"/>
                <w:lang w:val="en-US" w:eastAsia="zh-CN" w:bidi="ar"/>
              </w:rPr>
              <w:t xml:space="preserve">产品用材、主要技术参数、详细配置、质量工艺： </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台面尺寸:2740*1525mm</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台高:  760mm</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弹性:  220-260mm</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弹性均匀度:≤10mm</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台面光泽度:≤10度</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球台稳定性:≤10mm</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平面度:≤3mm</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台面摩擦系数:≤0.6mm</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面板材料：厚度18mm高密度纤维板，面板颜色新蓝。</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Style w:val="332"/>
                <w:rFonts w:hint="eastAsia" w:ascii="宋体" w:hAnsi="宋体" w:eastAsia="宋体" w:cs="宋体"/>
                <w:sz w:val="21"/>
                <w:szCs w:val="21"/>
                <w:highlight w:val="none"/>
                <w:lang w:val="en-US" w:eastAsia="zh-CN" w:bidi="ar"/>
              </w:rPr>
              <w:t>支架材料：使用国标方钢经过强酸去锈，高科技喷塑，焊接而成</w:t>
            </w:r>
            <w:r>
              <w:rPr>
                <w:rStyle w:val="332"/>
                <w:rFonts w:hint="eastAsia" w:ascii="宋体" w:hAnsi="宋体" w:cs="宋体"/>
                <w:sz w:val="21"/>
                <w:szCs w:val="21"/>
                <w:highlight w:val="none"/>
                <w:lang w:val="en-US" w:eastAsia="zh-CN" w:bidi="ar"/>
              </w:rPr>
              <w:t>。</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拱形脚底部和球台连结处有高度微调装置；大拱形具有良好的力学稳定支撑作用；连结插销保证两张台面的连结稳定性；大小拱形连接保证台脚的整体性。</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拱型结构，多重折叠方式。联接装置</w:t>
            </w:r>
            <w:r>
              <w:rPr>
                <w:rStyle w:val="332"/>
                <w:rFonts w:hint="eastAsia" w:ascii="宋体" w:hAnsi="宋体" w:cs="宋体"/>
                <w:sz w:val="21"/>
                <w:szCs w:val="21"/>
                <w:highlight w:val="none"/>
                <w:lang w:val="en-US" w:eastAsia="zh-CN" w:bidi="ar"/>
              </w:rPr>
              <w:t>要求</w:t>
            </w:r>
            <w:r>
              <w:rPr>
                <w:rStyle w:val="332"/>
                <w:rFonts w:hint="eastAsia" w:ascii="宋体" w:hAnsi="宋体" w:eastAsia="宋体" w:cs="宋体"/>
                <w:sz w:val="21"/>
                <w:szCs w:val="21"/>
                <w:highlight w:val="none"/>
                <w:lang w:val="en-US" w:eastAsia="zh-CN" w:bidi="ar"/>
              </w:rPr>
              <w:t>科学</w:t>
            </w:r>
            <w:r>
              <w:rPr>
                <w:rStyle w:val="332"/>
                <w:rFonts w:hint="eastAsia" w:ascii="宋体" w:hAnsi="宋体" w:cs="宋体"/>
                <w:sz w:val="21"/>
                <w:szCs w:val="21"/>
                <w:highlight w:val="none"/>
                <w:lang w:val="en-US" w:eastAsia="zh-CN" w:bidi="ar"/>
              </w:rPr>
              <w:t>、</w:t>
            </w:r>
            <w:r>
              <w:rPr>
                <w:rStyle w:val="332"/>
                <w:rFonts w:hint="eastAsia" w:ascii="宋体" w:hAnsi="宋体" w:eastAsia="宋体" w:cs="宋体"/>
                <w:sz w:val="21"/>
                <w:szCs w:val="21"/>
                <w:highlight w:val="none"/>
                <w:lang w:val="en-US" w:eastAsia="zh-CN" w:bidi="ar"/>
              </w:rPr>
              <w:t>稳定性强。</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2、油漆（喷塑）、工艺：</w:t>
            </w:r>
            <w:r>
              <w:rPr>
                <w:rStyle w:val="332"/>
                <w:rFonts w:hint="eastAsia" w:ascii="宋体" w:hAnsi="宋体" w:eastAsia="宋体" w:cs="宋体"/>
                <w:sz w:val="21"/>
                <w:szCs w:val="21"/>
                <w:highlight w:val="none"/>
                <w:lang w:val="en-US" w:eastAsia="zh-CN" w:bidi="ar"/>
              </w:rPr>
              <w:br w:type="textWrapping"/>
            </w:r>
            <w:r>
              <w:rPr>
                <w:rStyle w:val="332"/>
                <w:rFonts w:hint="eastAsia" w:ascii="宋体" w:hAnsi="宋体" w:eastAsia="宋体" w:cs="宋体"/>
                <w:sz w:val="21"/>
                <w:szCs w:val="21"/>
                <w:highlight w:val="none"/>
                <w:lang w:val="en-US" w:eastAsia="zh-CN" w:bidi="ar"/>
              </w:rPr>
              <w:t>表面处理: 所有钢制件表面均经酸洗、磷化、打沙等初级处理后采用静电环氧基粉末喷涂完成最后表面处理，涂层厚度70—80um，铅笔硬度达3H+，试品经GB1771-91 36小时盐雾试验，涂膜无变化，划格处单面腐蚀＜2mm，产品</w:t>
            </w:r>
            <w:r>
              <w:rPr>
                <w:rStyle w:val="332"/>
                <w:rFonts w:hint="eastAsia" w:ascii="宋体" w:hAnsi="宋体" w:cs="宋体"/>
                <w:sz w:val="21"/>
                <w:szCs w:val="21"/>
                <w:highlight w:val="none"/>
                <w:lang w:val="en-US" w:eastAsia="zh-CN" w:bidi="ar"/>
              </w:rPr>
              <w:t>要求</w:t>
            </w:r>
            <w:r>
              <w:rPr>
                <w:rStyle w:val="332"/>
                <w:rFonts w:hint="eastAsia" w:ascii="宋体" w:hAnsi="宋体" w:eastAsia="宋体" w:cs="宋体"/>
                <w:sz w:val="21"/>
                <w:szCs w:val="21"/>
                <w:highlight w:val="none"/>
                <w:lang w:val="en-US" w:eastAsia="zh-CN" w:bidi="ar"/>
              </w:rPr>
              <w:t>耐酸碱、耐湿热、抗老化，能适合潮湿和酸雨环境，室内室外均可使用，且产品涂料配方不含有毒元素，避免损害使用者的健康。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"C:\\Users\\ADMINI~1\\AppData\\Local\\Temp\\ksohtml\\clip_cell_image6.png"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647825" cy="1057275"/>
                  <wp:effectExtent l="0" t="0" r="9525" b="9525"/>
                  <wp:docPr id="5" name="图片 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5" descr="IMG_256"/>
                          <pic:cNvPicPr>
                            <a:picLocks noChangeAspect="1"/>
                          </pic:cNvPicPr>
                        </pic:nvPicPr>
                        <pic:blipFill>
                          <a:blip r:embed="rId30"/>
                          <a:stretch>
                            <a:fillRect/>
                          </a:stretch>
                        </pic:blipFill>
                        <pic:spPr>
                          <a:xfrm>
                            <a:off x="0" y="0"/>
                            <a:ext cx="1647825" cy="105727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乒乓球挡板</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1"/>
                <w:numId w:val="0"/>
              </w:numPr>
              <w:suppressLineNumbers w:val="0"/>
              <w:jc w:val="left"/>
              <w:textAlignment w:val="auto"/>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长×高=1400×700（mm），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2、支架采用25×25mm的方管，厚度4mm以上，可折叠。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3、遮挡布采用防水牛津布。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4、油漆（喷塑）；</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"C:\\Users\\ADMINI~1\\AppData\\Local\\Temp\\ksohtml\\clip_cell_image11.png"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524000" cy="1085850"/>
                  <wp:effectExtent l="0" t="0" r="0" b="0"/>
                  <wp:docPr id="6" name="图片 3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6" descr="IMG_257"/>
                          <pic:cNvPicPr>
                            <a:picLocks noChangeAspect="1"/>
                          </pic:cNvPicPr>
                        </pic:nvPicPr>
                        <pic:blipFill>
                          <a:blip r:embed="rId31"/>
                          <a:stretch>
                            <a:fillRect/>
                          </a:stretch>
                        </pic:blipFill>
                        <pic:spPr>
                          <a:xfrm>
                            <a:off x="0" y="0"/>
                            <a:ext cx="1524000" cy="108585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青少年升降式篮球架</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1、规格：底座长（1.5米）宽（1米）不含护套厚度；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2、通过手摇手柄，篮圈高度可调（2米至3.05米）；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3、产品结构由底座、立柱、拉杆、玻璃篮板、篮圈和护套板组成；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4,、特点：外形小巧、可调节高度、收纳占地小；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5、底座材料：采用70×60×4mm 槽钢，材质：Q235B；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6、工艺： 激光切割下料→定制工装台→焊接；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7、配重：本产品的底座配重水桶共200Kg、并且配置有4颗膨胀螺栓 移动： 底座置有移动PU轮组件，可移动篮架；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8、立柱材料： 采用70×70×3mm的方管；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9、工艺：激光下料→定制工装台→焊接；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10、拉杆材料：采用38×2的圆管；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11、工艺：激光下料→自动弯管机一次成型；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12、升降管材料分为升降外管：100×100×3方管；升降内管：80×80×2方管；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13、工艺：激光切割下料→定制工装台→焊接；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14、结构：通过手摇手柄→齿轮啮合→丝杠传动→升降高度；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15、篮板规格：1200*900*31mm；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16、材料：篮板框为δ3mm铝方管，篮板为δ6mm高强度安全玻璃篮板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工艺：材料定制→人工装配；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17、安全性：按GB/T 9962-1999中6.10规定进行试验，符合国标规定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包扎物：玻璃篮板标配篮板护套；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18、篮圈材料：采用φ17实心圆钢和δ4mm铁板，材质Q235B；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19、工艺：专用模具下料→成型→机器人焊接；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20、篮网：白色尼龙绳，半硬式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表面处理 工艺过程 经抛丸—水洗—脱脂—水洗—纯水洗—无磷转化—纯水洗—纯水洗—吹干—水份烘干—静电粉末—固化—强冷等过程。21、工艺特性：产品具有耐酸碱、耐湿热、抗老化、外观美，能适合潮湿和酸雨环境，涂料均为绿色环保无毒产品，避免损害使用者的健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22、表面质量：符合GB19272-2011中5.10的相关规定要求；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23、环保要求：十环认证产品，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符合GB19272-2011中5.9.2的相关规定要求；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24、其他紧固件：篮架所有紧固件均采用不锈钢材质，能保证长年不生锈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调整 拉杆固定处配有长孔，可微调篮板，保证垂直度；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25、防护措施 篮架前立柱配有专用护套板，能有效地保护运动员免受撞击，能有效的保证使用时的安全性及美观性</w:t>
            </w:r>
            <w:r>
              <w:rPr>
                <w:rFonts w:hint="eastAsia" w:ascii="宋体" w:hAnsi="宋体" w:cs="宋体"/>
                <w:i w:val="0"/>
                <w:iCs w:val="0"/>
                <w:color w:val="000000"/>
                <w:kern w:val="0"/>
                <w:sz w:val="21"/>
                <w:szCs w:val="21"/>
                <w:highlight w:val="none"/>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"C:\\Users\\ADMINI~1\\AppData\\Local\\Temp\\ksohtml\\clip_cell_image44.png"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647700" cy="904875"/>
                  <wp:effectExtent l="0" t="0" r="0" b="9525"/>
                  <wp:docPr id="7" name="图片 3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7" descr="IMG_258"/>
                          <pic:cNvPicPr>
                            <a:picLocks noChangeAspect="1"/>
                          </pic:cNvPicPr>
                        </pic:nvPicPr>
                        <pic:blipFill>
                          <a:blip r:embed="rId32"/>
                          <a:stretch>
                            <a:fillRect/>
                          </a:stretch>
                        </pic:blipFill>
                        <pic:spPr>
                          <a:xfrm>
                            <a:off x="0" y="0"/>
                            <a:ext cx="647700" cy="90487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highlight w:val="none"/>
              </w:rPr>
              <w:t>★</w:t>
            </w:r>
            <w:r>
              <w:rPr>
                <w:rFonts w:hint="eastAsia" w:ascii="宋体" w:hAnsi="宋体" w:eastAsia="宋体" w:cs="宋体"/>
                <w:i w:val="0"/>
                <w:iCs w:val="0"/>
                <w:color w:val="000000"/>
                <w:kern w:val="0"/>
                <w:sz w:val="21"/>
                <w:szCs w:val="21"/>
                <w:highlight w:val="none"/>
                <w:u w:val="none"/>
                <w:lang w:val="en-US" w:eastAsia="zh-CN" w:bidi="ar"/>
              </w:rPr>
              <w:t>电动液压篮球架</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1、产品技术规格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篮架伸臂为2.55M，篮圈上沿离地面高3.05M，球架底座尺寸：长×宽×前高×后高=1.95×1.1×0.67×0.4（</w:t>
            </w:r>
            <w:r>
              <w:rPr>
                <w:rFonts w:hint="eastAsia" w:ascii="宋体" w:hAnsi="宋体" w:cs="宋体"/>
                <w:i w:val="0"/>
                <w:iCs w:val="0"/>
                <w:color w:val="000000"/>
                <w:kern w:val="0"/>
                <w:sz w:val="21"/>
                <w:szCs w:val="21"/>
                <w:highlight w:val="none"/>
                <w:u w:val="none"/>
                <w:lang w:val="en-US" w:eastAsia="zh-CN" w:bidi="ar"/>
              </w:rPr>
              <w:t>m</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2、产品用材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篮球架底座采用6mm的铁板在专用折边机上折边拼焊而成，底座前立柱、后立柱支撑架和油缸支撑架采用6mm铁板折边制作，篮架立柱主要采用口200×70×3mm方管、口120×70×3mm方管和口70×70×3mm拼焊而成，篮架伸臂采用口140×140×4方管mm、口140×70×3mm方管和口70×50mm方管拼焊而成，焊缝表面均匀光滑，篮架立柱转动部位和伸臂头部连接件均采用优质精密铸钢件制作，性能安全可靠，篮架上拉杆采用优质圆管在弯管机上一次成型，避免了电焊及焊渣易引起生锈的隐患，下拉杆采用精拉管拼焊而成，结构设计与外观造型</w:t>
            </w:r>
            <w:r>
              <w:rPr>
                <w:rFonts w:hint="eastAsia" w:ascii="宋体" w:hAnsi="宋体" w:cs="宋体"/>
                <w:i w:val="0"/>
                <w:iCs w:val="0"/>
                <w:color w:val="000000"/>
                <w:kern w:val="0"/>
                <w:sz w:val="21"/>
                <w:szCs w:val="21"/>
                <w:highlight w:val="none"/>
                <w:u w:val="none"/>
                <w:lang w:val="en-US" w:eastAsia="zh-CN" w:bidi="ar"/>
              </w:rPr>
              <w:t>要</w:t>
            </w:r>
            <w:r>
              <w:rPr>
                <w:rFonts w:hint="eastAsia" w:ascii="宋体" w:hAnsi="宋体" w:eastAsia="宋体" w:cs="宋体"/>
                <w:i w:val="0"/>
                <w:iCs w:val="0"/>
                <w:color w:val="000000"/>
                <w:kern w:val="0"/>
                <w:sz w:val="21"/>
                <w:szCs w:val="21"/>
                <w:highlight w:val="none"/>
                <w:u w:val="none"/>
                <w:lang w:val="en-US" w:eastAsia="zh-CN" w:bidi="ar"/>
              </w:rPr>
              <w:t>和谐。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3、产品结构原理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电动液压篮球架设有篮架升降系统、走轮伸缩机构、电器、液压系统。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篮架主体升降采用四连杆机构，使用时电机接通220V、50HZ单相电源即可启动，带动油泵，经电器控制系统进行“功能”转换，油缸随即产生伸缩运动，从而使球架立柱升降和底座走轮起落。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4、篮板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规格：1800×1050（㎜），篮板配用国际通用的高强度安全玻璃篮板（13mm厚双层夹胶玻璃），具有透明度高、耐侯性好、抗老化、耐腐蚀、不易模糊等特点，并在篮板下沿侧面覆盖有包扎物，能保护运动员扣篮时不受伤害。篮板支撑框架刚性（F2=130N、1min卸载后永久水平变形量）≤3，稳定性（F5=2700N、1min卸载后永久垂直变形量≤10</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5、防护措施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篮架前立柱、底座、伸臂配备有专用护套，能有效保护运动员免受撞击，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篮架底座下部设有防震垫，后部装有特制专用配重，单只配重不少于400kg，能保证在篮圈根部施加2700N的载荷时，篮球架不倾翻。前立柱与伸臂间装有专用保险机构，能有效保证使用时的安全性及美观性。弹性篮圈受力1050N，1min旋转角度10-20之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6、表面处理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产品具有耐酸碱、耐湿热、抗老化、外观美观等优点，能适合潮湿和酸雨环境，涂料均为绿色环保无毒产品，避免损害使用者的健康。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"C:\\Users\\ADMINI~1\\AppData\\Local\\Temp\\ksohtml\\clip_cell_image26.png"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114425" cy="1123950"/>
                  <wp:effectExtent l="0" t="0" r="9525" b="0"/>
                  <wp:docPr id="8" name="图片 3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8" descr="IMG_259"/>
                          <pic:cNvPicPr>
                            <a:picLocks noChangeAspect="1"/>
                          </pic:cNvPicPr>
                        </pic:nvPicPr>
                        <pic:blipFill>
                          <a:blip r:embed="rId33"/>
                          <a:stretch>
                            <a:fillRect/>
                          </a:stretch>
                        </pic:blipFill>
                        <pic:spPr>
                          <a:xfrm>
                            <a:off x="0" y="0"/>
                            <a:ext cx="1114425" cy="112395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固定式篮球架</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产品规格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篮球架伸臂长1.8m，篮圈上沿离地面3.05m。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2、产品用材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球架立柱采用定制□180×180×4mm优质大圆角方管制作，圆角R40mm，篮架伸臂采用δ3进口优质铁板一次冲压成型后在专用折边机上折边，伸臂上拉杆固定孔均采用冲压成型后焊接内置焊接螺母，篮架立柱法兰、伸臂头部组件和伸臂底板均采用一次冲压成型制作，且立柱底部配备防护装饰罩，采用冷扎钢板一次成型，篮架上拉杆采用Φ48×2圆管（后拉杆采用口50×40×3mm优质方管）在专用弯管机设备上一次成型，避免了电焊及焊渣易引起生锈的隐患，篮球架通过调节上拉杆可调节篮板的平面度和垂直度，通过调节下拉杆，可调节篮圈与地面的平行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3、篮板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规格：1800×1050（㎜），篮板配用国际通用的高强度安全玻璃篮板，具有安全性好、透明度高、耐候性好、抗老化、耐腐蚀、不易模糊等特点，并在篮板下沿及侧面覆盖有保护条，能保护运动员运动时不受伤害。篮板刚性中心挠度（500N，1min），mm≤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4、篮圈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篮圈采用φ17实心圆钢制作，圈下焊有冲压成型的圆弧形网钩，十二段均匀分布留适当间隙，配篮网。篮圈抗弯性能好，水平固定在篮板上，与篮架连接的钢板和篮圈盖板均采用优质钢板一次冲压成型。</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5、产品的结构原理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产品采用专用铁制预埋件，在球架安装之前，预先埋好预埋件，待过了保养期后进行整体安装。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篮架与预埋件通过法兰连接，法兰采用优质冲件，规格：350×350×27mm，四周呈大圆角，法兰上设计有5个孔。远离球场的一侧设计为3个孔，增强篮架整体的安全性。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预埋件采用现场组装方式预埋，可节省运输和仓库贮存空间，预埋件总长不低于550mm，共由5根搓M18螺纹的圆钢和若干块铁板拼装组成，圆钢中间冲扁，可增强预埋强度。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6、紧固件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篮架所有紧固件均经热镀锌处理，能保证长年不生锈。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7、表面处理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"C:\\Users\\ADMINI~1\\AppData\\Local\\Temp\\ksohtml\\clip_cell_image9.png"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847725" cy="1200150"/>
                  <wp:effectExtent l="0" t="0" r="9525" b="0"/>
                  <wp:docPr id="9" name="图片 3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9" descr="IMG_260"/>
                          <pic:cNvPicPr>
                            <a:picLocks noChangeAspect="1"/>
                          </pic:cNvPicPr>
                        </pic:nvPicPr>
                        <pic:blipFill>
                          <a:blip r:embed="rId34"/>
                          <a:stretch>
                            <a:fillRect/>
                          </a:stretch>
                        </pic:blipFill>
                        <pic:spPr>
                          <a:xfrm>
                            <a:off x="0" y="0"/>
                            <a:ext cx="847725" cy="120015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4"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篮球赛记分器</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球类计分器由支架、队名框和记分牌组成，长×宽×高=1400×580×1645（mm）。</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2、记分器主体上支架采用1.2㎜铁板折边成型下支架40*20mm的椭圆管焊接而成。底脚配置有调节脚，能微调且能保护地板不受损伤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3、队名框由24×12×12mm铝合金异型管材拼装组合而成。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4、白色雪弗板，可黏贴队名，采用手推式，PVC板翻分盒，红色、蓝色（或黑色）各3块，均显示数字0-9</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5、产品具有耐酸碱、耐湿热、抗老化，能适合潮湿和酸雨环境，涂料均为绿色环保无毒产品，避免损害使用者的健康。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409575</wp:posOffset>
                  </wp:positionH>
                  <wp:positionV relativeFrom="paragraph">
                    <wp:posOffset>340995</wp:posOffset>
                  </wp:positionV>
                  <wp:extent cx="1076960" cy="1076960"/>
                  <wp:effectExtent l="0" t="0" r="0" b="8890"/>
                  <wp:wrapNone/>
                  <wp:docPr id="10" name="图片_233"/>
                  <wp:cNvGraphicFramePr/>
                  <a:graphic xmlns:a="http://schemas.openxmlformats.org/drawingml/2006/main">
                    <a:graphicData uri="http://schemas.openxmlformats.org/drawingml/2006/picture">
                      <pic:pic xmlns:pic="http://schemas.openxmlformats.org/drawingml/2006/picture">
                        <pic:nvPicPr>
                          <pic:cNvPr id="10" name="图片_233"/>
                          <pic:cNvPicPr/>
                        </pic:nvPicPr>
                        <pic:blipFill>
                          <a:blip r:embed="rId35"/>
                          <a:stretch>
                            <a:fillRect/>
                          </a:stretch>
                        </pic:blipFill>
                        <pic:spPr>
                          <a:xfrm>
                            <a:off x="0" y="0"/>
                            <a:ext cx="1076960" cy="10769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羽毛球架</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产品结构：由底座、立柱、锁绳装置、高度微调装置和羽毛球网组成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适用场地 适合两片场地之间尺寸≥1500mm；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2、底座材料：高密度聚乙烯材料（HDPE）；</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3、工艺：中空吹塑制造一次加工成型；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4、耐老化性能：老化试验≥3500h，外观颜色变色评级≥3；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5、高低温性能：高温＋80℃、低温-55℃下72h，无局部粉化、龟裂、斑点、起泡及明显变形等外观变化；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6、环保性能：材料可回收，塑料产品中有毒有害物质限量满足GB28481《塑料家具中有害物质限量》中要求；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7、底座铁板 材料：10mm钢板，材质：Q235B；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8、工艺：激光切割一次成型；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9、走轮 φ75低摩擦软性宽幅PU轮，适用地板和PVC地胶场地，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防 震 垫 每只底座设5块防震垫,满足底座摩擦力要求，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10、配重：单只≥85kg，满足产品稳定性要求；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11、立柱 总 高 度 1550mm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12、主要材料 规格：φ40*5无缝管，材质：35#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13、垂直度球网被拉紧时，网柱能稳固地与地面保持垂直，立柱轴线对水平面的垂直公差≤1/500，且网柱各部位均不侵入场地内边线的垂直线内；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14、刚性要求 网柱能承受≥200N的外力，球柱不产生永久变形，无倾倒现象，锁绳装置 紧线方便，锁定可靠，无卡滞或自动返松现象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高度微调装置 顶部螺纹无极微调，实现网的高度要求。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15、球网：网片颜色 咖啡色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网片规格：长6100mm，宽760mm，网眼为正方形，边长15～20mm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16、主要材料 网片：18股网片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包边：坛白布，75mm宽对折包边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网绳：φ5硬绳线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棱边：采用12股网线拷边；</w:t>
            </w:r>
          </w:p>
          <w:p>
            <w:pPr>
              <w:keepNext w:val="0"/>
              <w:keepLines w:val="0"/>
              <w:widowControl/>
              <w:numPr>
                <w:ilvl w:val="0"/>
                <w:numId w:val="9"/>
              </w:numPr>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工艺 工艺过程 下料—焊接--抛丸--脱脂--水洗--无磷转化--水洗--烘干--静电粉末--固化</w:t>
            </w:r>
            <w:r>
              <w:rPr>
                <w:rFonts w:hint="eastAsia" w:ascii="宋体" w:hAnsi="宋体" w:cs="宋体"/>
                <w:i w:val="0"/>
                <w:iCs w:val="0"/>
                <w:color w:val="000000"/>
                <w:kern w:val="0"/>
                <w:sz w:val="21"/>
                <w:szCs w:val="21"/>
                <w:highlight w:val="none"/>
                <w:u w:val="none"/>
                <w:lang w:val="en-US" w:eastAsia="zh-CN" w:bidi="ar"/>
              </w:rPr>
              <w:t>。</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18、工艺特性 产品具有耐酸碱、耐湿热、抗老化、外观美观等优点，能适合潮湿和酸雨环境，涂料均为绿色环保无毒产品，避免损害使用者的健康。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19、表面质量 符合GB19272-2011中5.10的相关规定要求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w:t>
            </w:r>
            <w:r>
              <w:rPr>
                <w:rFonts w:hint="eastAsia" w:ascii="宋体" w:hAnsi="宋体" w:eastAsia="宋体" w:cs="宋体"/>
                <w:b/>
                <w:bCs/>
                <w:i w:val="0"/>
                <w:iCs w:val="0"/>
                <w:color w:val="000000"/>
                <w:kern w:val="0"/>
                <w:sz w:val="21"/>
                <w:szCs w:val="21"/>
                <w:highlight w:val="none"/>
                <w:u w:val="none"/>
                <w:lang w:val="en-US" w:eastAsia="zh-CN" w:bidi="ar"/>
              </w:rPr>
              <w:t>、环保要求 十环认证产品</w:t>
            </w:r>
            <w:r>
              <w:rPr>
                <w:rFonts w:hint="eastAsia" w:ascii="宋体" w:hAnsi="宋体" w:eastAsia="宋体" w:cs="宋体"/>
                <w:b/>
                <w:bCs/>
                <w:i w:val="0"/>
                <w:iCs w:val="0"/>
                <w:color w:val="000000"/>
                <w:kern w:val="0"/>
                <w:sz w:val="21"/>
                <w:szCs w:val="21"/>
                <w:highlight w:val="none"/>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符合GB19272-2011中5.9.2的相关规定要求。</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"C:\\Users\\ADMINI~1\\AppData\\Local\\Temp\\ksohtml\\clip_cell_image46.png"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009650" cy="1104900"/>
                  <wp:effectExtent l="0" t="0" r="0" b="0"/>
                  <wp:docPr id="11" name="图片 4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0" descr="IMG_261"/>
                          <pic:cNvPicPr>
                            <a:picLocks noChangeAspect="1"/>
                          </pic:cNvPicPr>
                        </pic:nvPicPr>
                        <pic:blipFill>
                          <a:blip r:embed="rId36"/>
                          <a:stretch>
                            <a:fillRect/>
                          </a:stretch>
                        </pic:blipFill>
                        <pic:spPr>
                          <a:xfrm>
                            <a:off x="0" y="0"/>
                            <a:ext cx="1009650" cy="110490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羽毛球地垫</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1.产品厚度≥4.5mm，采用优质 PVC 原生料及助剂，环保、安全。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2.硬度（邵A）：55-90（度）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3.防滑性(湿法)≥0.6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4.耐磨性T级，体积损失≤2.0mm³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5.防火燃烧性能B1级，20s内焰尖高度≤150mm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eastAsia="宋体" w:cs="宋体"/>
                <w:b/>
                <w:bCs/>
                <w:i w:val="0"/>
                <w:iCs w:val="0"/>
                <w:color w:val="000000"/>
                <w:kern w:val="0"/>
                <w:sz w:val="21"/>
                <w:szCs w:val="21"/>
                <w:highlight w:val="none"/>
                <w:u w:val="none"/>
                <w:lang w:val="en-US" w:eastAsia="zh-CN" w:bidi="ar"/>
              </w:rPr>
              <w:t>提供28天后甲苯、乙苯释放量≤100μg/m³的检测报告；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7.抗菌性能检测（大肠杆菌、金黄色葡萄球菌等5种及以上细菌），抗菌率≥99.5%。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9.◆提供和PVC地板同品牌的胶粘剂中苯，甲苯、二甲苯和可溶性铅全部未检出的检测报告；</w:t>
            </w:r>
            <w:r>
              <w:rPr>
                <w:rFonts w:hint="eastAsia" w:ascii="宋体" w:hAnsi="宋体" w:eastAsia="宋体" w:cs="宋体"/>
                <w:b/>
                <w:bCs/>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10.◆阻燃性达到Ⅰ级阻燃，耐磨性≤4g，抗滑值80-110。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11.◆依据GB/T 14833-2020标准测试，耐人工气候老化（透过窗玻璃）冲击吸收≥20%，拉断伸长率≥40%，抗滑值(20℃)/BPN 80-110（干测）</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216</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"C:\\Users\\ADMINI~1\\AppData\\Local\\Temp\\ksohtml\\clip_cell_image49.png"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647825" cy="1076325"/>
                  <wp:effectExtent l="0" t="0" r="9525" b="9525"/>
                  <wp:docPr id="12" name="图片 4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1" descr="IMG_262"/>
                          <pic:cNvPicPr>
                            <a:picLocks noChangeAspect="1"/>
                          </pic:cNvPicPr>
                        </pic:nvPicPr>
                        <pic:blipFill>
                          <a:blip r:embed="rId37"/>
                          <a:stretch>
                            <a:fillRect/>
                          </a:stretch>
                        </pic:blipFill>
                        <pic:spPr>
                          <a:xfrm>
                            <a:off x="0" y="0"/>
                            <a:ext cx="1647825" cy="107632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排球架</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适用场合：排球场，运动场</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适用场地：适合两片场地之间尺寸≥4200mm；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3、立柱材质：¢89×3.75 焊管和小70×3异型钢管；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4、调节装置：弹簧助推手动操作；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5、排球网：PQW-2 排球网（含钢丝绳）；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6、底座罩壳：高密度聚乙烯材料中空吹塑一次成型；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7、配重块：7块水泥配重，可拆卸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排球柱由内外立柱，高度调节销和紧线机构组成。</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8、排球柱外立柱选用489x3.75优质焊管，内立柱选用の70异型管材制作，通过高度调节销使内立柱上下移动，实现网高调节高度2.15m2.24m、 2.35m、 2.43m。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9、二外立柱中，一立柱上置有网钩，另一立柱上置有棘爪紧线锁紧机构，通过调节锁紧手柄，调节钢丝绳的松紧，实现网的高度要求。</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"C:\\Users\\ADMINI~1\\AppData\\Local\\Temp\\ksohtml\\clip_cell_image45.png"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828675" cy="1219200"/>
                  <wp:effectExtent l="0" t="0" r="9525" b="0"/>
                  <wp:docPr id="13" name="图片 4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2" descr="IMG_263"/>
                          <pic:cNvPicPr>
                            <a:picLocks noChangeAspect="1"/>
                          </pic:cNvPicPr>
                        </pic:nvPicPr>
                        <pic:blipFill>
                          <a:blip r:embed="rId38"/>
                          <a:stretch>
                            <a:fillRect/>
                          </a:stretch>
                        </pic:blipFill>
                        <pic:spPr>
                          <a:xfrm>
                            <a:off x="0" y="0"/>
                            <a:ext cx="828675" cy="121920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跳高架</w:t>
            </w:r>
          </w:p>
        </w:tc>
        <w:tc>
          <w:tcPr>
            <w:tcW w:w="348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1、跳高架由底座、固定立柱、移动立柱、横杆托架、微调支脚构成。产品形式简洁，结构合理，可装拆，便于运输和包装。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2、固定立柱与移动立柱选用铝合金型材，型材之间采用燕尾槽配合。表面氧化处理。固定立柱上贴有不锈钢标尺，刻度调节范围：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600-2600mm。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3、底座选用δ4 铁板一次冲压成型，避免了焊接造成的接口腐蚀，底部设有 PU 滚轮，移动方便。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4、跳高架横杆托架采用铝压铸件，具有防腐蚀性、安全、牢固等优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点且上下移动方便。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5、跳高架底座底部设有微调机构，通过调节微调机构可满足场地不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平整引起的跳高架的稳定性和横杆的高度要求。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6、喷涂工件的表面处理分二个阶段，前处理阶段使工件获得质量优良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的介质层，增加防锈涂膜与金属基体的结合力。产品涂层厚度 70—80um，铅笔硬度达 3H+。产品具有耐酸碱、耐湿热、抗老化、外观美观，能适合潮湿和酸雨环境，且前处理过程以及产品涂料配方均不含有毒元素，避免损害。</w:t>
            </w:r>
          </w:p>
        </w:tc>
        <w:tc>
          <w:tcPr>
            <w:tcW w:w="77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"C:\\Users\\ADMINI~1\\AppData\\Local\\Temp\\ksohtml\\clip_cell_image39.png"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476250" cy="923925"/>
                  <wp:effectExtent l="0" t="0" r="0" b="9525"/>
                  <wp:docPr id="14" name="图片 4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3" descr="IMG_264"/>
                          <pic:cNvPicPr>
                            <a:picLocks noChangeAspect="1"/>
                          </pic:cNvPicPr>
                        </pic:nvPicPr>
                        <pic:blipFill>
                          <a:blip r:embed="rId39"/>
                          <a:stretch>
                            <a:fillRect/>
                          </a:stretch>
                        </pic:blipFill>
                        <pic:spPr>
                          <a:xfrm>
                            <a:off x="0" y="0"/>
                            <a:ext cx="476250" cy="92392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跳高杆</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1.跳高横杆由横杆和横杆接头组成。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2.横杆采用φ30 的玻璃钢材料制 作，横杆接头采用特殊的外形结构。 3.跳高横杆总长为 4000mm。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4.横杆表面喷黑、黄双色漆，中间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段为黑色。</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"C:\\Users\\ADMINI~1\\AppData\\Local\\Temp\\ksohtml\\clip_cell_image40.png"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266825" cy="628650"/>
                  <wp:effectExtent l="0" t="0" r="9525" b="0"/>
                  <wp:docPr id="15" name="图片 44"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4" descr="IMG_265"/>
                          <pic:cNvPicPr>
                            <a:picLocks noChangeAspect="1"/>
                          </pic:cNvPicPr>
                        </pic:nvPicPr>
                        <pic:blipFill>
                          <a:blip r:embed="rId40"/>
                          <a:stretch>
                            <a:fillRect/>
                          </a:stretch>
                        </pic:blipFill>
                        <pic:spPr>
                          <a:xfrm>
                            <a:off x="0" y="0"/>
                            <a:ext cx="1266825" cy="62865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5"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跳高丈量尺</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1、跳高丈量尺主要由立杆和测高器二部分组成。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2、跳高丈量尺立杆采用铝合金型材制作，上面标有刻度，调高范围：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600-2900㎜。</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"C:\\Users\\ADMINI~1\\AppData\\Local\\Temp\\ksohtml\\clip_cell_image48.png"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276225" cy="971550"/>
                  <wp:effectExtent l="0" t="0" r="9525" b="0"/>
                  <wp:docPr id="16" name="图片 45"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5" descr="IMG_266"/>
                          <pic:cNvPicPr>
                            <a:picLocks noChangeAspect="1"/>
                          </pic:cNvPicPr>
                        </pic:nvPicPr>
                        <pic:blipFill>
                          <a:blip r:embed="rId41"/>
                          <a:stretch>
                            <a:fillRect/>
                          </a:stretch>
                        </pic:blipFill>
                        <pic:spPr>
                          <a:xfrm>
                            <a:off x="0" y="0"/>
                            <a:ext cx="276225" cy="97155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跳高海绵垫</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1.跳高海绵垫主体由三层重磅发泡海绵（20Kg/M3）组成，弹力均衡，柔软适中。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2.海绵垫的形状为“凸”字形，基本尺寸：长×宽×厚=5000×3000×700（㎜）。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3.海绵垫中层人体落地区域配有“井”字形框架结构，用以满足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落地时人体对弹性及缓冲的要求。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4.海绵垫表面罩有防水帆布套，套子侧面装有拉链及拉手攀，且四周设有排气孔。</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"C:\\Users\\ADMINI~1\\AppData\\Local\\Temp\\ksohtml\\clip_cell_image41.png"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533525" cy="666750"/>
                  <wp:effectExtent l="0" t="0" r="9525" b="0"/>
                  <wp:docPr id="18" name="图片 46"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6" descr="IMG_267"/>
                          <pic:cNvPicPr>
                            <a:picLocks noChangeAspect="1"/>
                          </pic:cNvPicPr>
                        </pic:nvPicPr>
                        <pic:blipFill>
                          <a:blip r:embed="rId42"/>
                          <a:stretch>
                            <a:fillRect/>
                          </a:stretch>
                        </pic:blipFill>
                        <pic:spPr>
                          <a:xfrm>
                            <a:off x="0" y="0"/>
                            <a:ext cx="1533525" cy="66675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跳高海绵垫底架</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1、此产品置于5×3×0.7米跳高海绵垫底部。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1、基本尺寸：4.8×2.8×0.1（m）；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2、跳高海绵垫底架由五小块底架通过连接片连接而成。防锈蚀性强，每块底架主要采用口30×20mm、口20×20mm方管拼焊组成，焊接牢固，焊缝表面均匀光滑，无虚焊。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喷涂工件的表面处理分二个阶段，前处理阶段使工件获得质量优良的介质层，增加防锈涂膜与金属基体的结合力。产品涂层厚度70—80um，铅笔硬度达2H+。产品具有耐酸碱、耐湿热、抗老化、外观美观，能适合潮湿和酸雨环境，且前处理过程以及产品涂料配方均不含有毒元素，避免损害使用者的健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"C:\\Users\\ADMINI~1\\AppData\\Local\\Temp\\ksohtml\\clip_cell_image42.png"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638300" cy="1247775"/>
                  <wp:effectExtent l="0" t="0" r="0" b="0"/>
                  <wp:docPr id="19" name="图片 47"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7" descr="IMG_268"/>
                          <pic:cNvPicPr>
                            <a:picLocks noChangeAspect="1"/>
                          </pic:cNvPicPr>
                        </pic:nvPicPr>
                        <pic:blipFill>
                          <a:blip r:embed="rId43"/>
                          <a:stretch>
                            <a:fillRect/>
                          </a:stretch>
                        </pic:blipFill>
                        <pic:spPr>
                          <a:xfrm>
                            <a:off x="0" y="0"/>
                            <a:ext cx="1638300" cy="124777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跳高海绵垫防护棚</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1、基本规格尺寸：5.4×3.4×1.08（m）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跳高海绵防护棚主要由顶棚和框架组成，框架采用□40×40mm和□40×20mm焊方管拼装焊接而成，顶棚采用□25×25和□21×14焊方管拼焊而成。顶棚上面覆盖有彩钢瓦，彩钢瓦上采用铝合金压条压住，用铆钉固定，顶棚设有漏雨槽，能防止漏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3、顶棚由6个顶棚盖组成，顶棚盖与前后、侧面框架之间使用固定块连接。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4、防护棚底部设有滚轮，移动方便。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所有器材均在全自动喷涂流水线上作业，经抛丸——脱脂——水洗——无磷转化——水洗——烘干——静电粉末——固化等过程。产品涂层厚度70—80um，铅笔硬度达2H+。产品具有耐酸碱、耐湿热、抗老化、外观美观等优点，能适合潮湿和酸雨环境，且前处理过程以及产品涂料配方均不含有毒元素，避免损害使用者的健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"C:\\Users\\ADMINI~1\\AppData\\Local\\Temp\\ksohtml\\clip_cell_image43.png"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524000" cy="581025"/>
                  <wp:effectExtent l="0" t="0" r="0" b="9525"/>
                  <wp:docPr id="20" name="图片 48"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8" descr="IMG_269"/>
                          <pic:cNvPicPr>
                            <a:picLocks noChangeAspect="1"/>
                          </pic:cNvPicPr>
                        </pic:nvPicPr>
                        <pic:blipFill>
                          <a:blip r:embed="rId44"/>
                          <a:stretch>
                            <a:fillRect/>
                          </a:stretch>
                        </pic:blipFill>
                        <pic:spPr>
                          <a:xfrm>
                            <a:off x="0" y="0"/>
                            <a:ext cx="1524000" cy="58102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七人制足球门（移动式）</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1、：产品结构 由球门框、两侧撑杆、底部连杆和足球网组成；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2、球门尺寸 球门內净：长×高=5000×2000（㎜）；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3、球门框：球门立柱和横梁均采用φ89×2.75钢管制作；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4、球门框后侧设有网钩，通过网销将球网与门框固定立柱与横梁连接处设有内胆，连接稳定牢固两侧撑杆 采用φ32×2的钢管制成，采用钢丝绳连接紧固，既增强球门整体稳定性，又起到撑网的作用底部连杆均采用□80×40×2.75mm方管制作，后侧连杆与两侧连杆连接通过网撑杆下接头（冲件）连接固定球网，足球网为白色，网眼为正方形：100×100mm，网线直径为φ3.5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5、足球网四周拷边处理，球门四角采用空扁绳，方便于穿拉网绳；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产品特性：球门组装完成后，立杆与地面垂直，横梁与立杆的夹角为90°，所有连接件周边处理圆滑，无棱角，无安全隐患，为保证球门的整体稳定性，在球门后侧横杆位置配置了球门固定压板和适用于草坪的专用预埋件，球门整体可装拆，便于运输和安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产品具有耐酸碱、耐湿热、抗老化、外观美观，能适合潮湿和酸雨环境，涂料均为绿色环保无毒产品，避免损害使用者的健康。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"C:\\Users\\ADMINI~1\\AppData\\Local\\Temp\\ksohtml\\clip_cell_image33.png"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343025" cy="866775"/>
                  <wp:effectExtent l="0" t="0" r="9525" b="9525"/>
                  <wp:docPr id="21" name="图片 49"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9" descr="IMG_270"/>
                          <pic:cNvPicPr>
                            <a:picLocks noChangeAspect="1"/>
                          </pic:cNvPicPr>
                        </pic:nvPicPr>
                        <pic:blipFill>
                          <a:blip r:embed="rId45"/>
                          <a:stretch>
                            <a:fillRect/>
                          </a:stretch>
                        </pic:blipFill>
                        <pic:spPr>
                          <a:xfrm>
                            <a:off x="0" y="0"/>
                            <a:ext cx="1343025" cy="86677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3"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五人制足球门（移动式）</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球门内净基本尺寸：长×高=3000×2000（mm）；</w:t>
            </w:r>
          </w:p>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足球门由立杆、横梁、两侧撑杆、两侧横杆和后侧横杆组成。</w:t>
            </w:r>
          </w:p>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球门立杆和横梁均采用φ80钢管型材制成，上设塑料网勾，置网方便，球网两侧撑杆采用φ32×2.5的钢管制成，两侧横杆和后侧连杆采用□80×40×2.5方管制作。</w:t>
            </w:r>
          </w:p>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横梁和立杆上没有可能危害到运动员安全的连接物件露在外面。球门组装完成后，立杆与地面垂直，横梁与立杆的夹角为90°，连接件周边处理圆滑，无棱角。球门两侧撑杆采用钢丝绳连接紧固，既可增强球门整体稳定性，又可起到撑网的作用。</w:t>
            </w:r>
          </w:p>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为保证球门的整体稳定性，在球门后侧横杆位置配置了球门固定压板，保证球门的位置不因运动员的冲撞而移动位置。</w:t>
            </w:r>
          </w:p>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球门整体可装拆，便于运输和安装。</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喷涂工件的表面处理分二个阶段，前处理阶段使工件获得质量优良的介质层，增加防锈涂膜与金属基体的结合力，。产品涂层厚度70-80um，铅笔硬度达3H+。产品具有耐酸碱、耐湿热、抗老化、外观美观，能适合潮湿和酸雨环境，且前处理过程以及产品涂料配方均不含有毒元素，避免损害使用者的健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"C:\\Users\\ADMINI~1\\AppData\\Local\\Temp\\ksohtml\\clip_cell_image32.png"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181100" cy="1266825"/>
                  <wp:effectExtent l="0" t="0" r="0" b="9525"/>
                  <wp:docPr id="22" name="图片 50"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0" descr="IMG_271"/>
                          <pic:cNvPicPr>
                            <a:picLocks noChangeAspect="1"/>
                          </pic:cNvPicPr>
                        </pic:nvPicPr>
                        <pic:blipFill>
                          <a:blip r:embed="rId46"/>
                          <a:stretch>
                            <a:fillRect/>
                          </a:stretch>
                        </pic:blipFill>
                        <pic:spPr>
                          <a:xfrm>
                            <a:off x="0" y="0"/>
                            <a:ext cx="1181100" cy="126682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烟屏</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1、发令烟屏由烟屏支架和烟屏两部分组成。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2、烟屏支架采用口25×25×2mm方管制作，高度可调。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3、烟屏规格尺寸：外径φ600㎜，采用优质钢管制作，烟屏内设金属框预埋件，通过预埋螺栓与支架紧固。</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"C:\\Users\\ADMINI~1\\AppData\\Local\\Temp\\ksohtml\\clip_cell_image30.png"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819150" cy="685800"/>
                  <wp:effectExtent l="0" t="0" r="0" b="0"/>
                  <wp:docPr id="23" name="图片 51"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1" descr="IMG_272"/>
                          <pic:cNvPicPr>
                            <a:picLocks noChangeAspect="1"/>
                          </pic:cNvPicPr>
                        </pic:nvPicPr>
                        <pic:blipFill>
                          <a:blip r:embed="rId47"/>
                          <a:stretch>
                            <a:fillRect/>
                          </a:stretch>
                        </pic:blipFill>
                        <pic:spPr>
                          <a:xfrm>
                            <a:off x="0" y="0"/>
                            <a:ext cx="819150" cy="68580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发令台</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2"/>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发令台基本外形尺寸：长×宽×高=700×610×1500（㎜）。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2.发令台主要由底架和推手柄组成，底架主要采用方管拼焊而成，底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架踏脚板采用花纹板制作，起防滑作用，便于站人；推手柄采用圆管制作。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3.发令台设置有插管，可放置配套设施（发令烟屏），其底架内部设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有货物柜，配有钥匙，可放置发令枪等其它设备，作小推车用。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4.发令台底部设置有滚轮，移动方便。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5.喷涂工件的表面处理分二个阶段，前处理阶段使工件获得质量优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良的介质层，增加防锈涂膜与金属基体的结合力，产品涂层厚度70—80um，铅笔硬度达3H+。</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产品具有耐酸碱、耐湿热、抗老化、外观美观，能适合潮湿和酸雨环境，且前处理过程以及产品涂料配方均不含有毒元素，避免损害使用者的健康。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"C:\\Users\\ADMINI~1\\AppData\\Local\\Temp\\ksohtml\\clip_cell_image29.png"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666750" cy="1200150"/>
                  <wp:effectExtent l="0" t="0" r="0" b="0"/>
                  <wp:docPr id="24" name="图片 52"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2" descr="IMG_273"/>
                          <pic:cNvPicPr>
                            <a:picLocks noChangeAspect="1"/>
                          </pic:cNvPicPr>
                        </pic:nvPicPr>
                        <pic:blipFill>
                          <a:blip r:embed="rId48"/>
                          <a:stretch>
                            <a:fillRect/>
                          </a:stretch>
                        </pic:blipFill>
                        <pic:spPr>
                          <a:xfrm>
                            <a:off x="0" y="0"/>
                            <a:ext cx="666750" cy="120015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9"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领奖台</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材质：钢制，规格：总长3米，长100cm，宽50cm，一等讲台高40cm，二等讲台高30cm，三等讲台高20cm</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"C:\\Users\\ADMINI~1\\AppData\\Local\\Temp\\ksohtml\\clip_cell_image14.png"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2247265" cy="676910"/>
                  <wp:effectExtent l="0" t="0" r="635" b="8890"/>
                  <wp:docPr id="25" name="图片 53"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3" descr="IMG_274"/>
                          <pic:cNvPicPr>
                            <a:picLocks noChangeAspect="1"/>
                          </pic:cNvPicPr>
                        </pic:nvPicPr>
                        <pic:blipFill>
                          <a:blip r:embed="rId49"/>
                          <a:stretch>
                            <a:fillRect/>
                          </a:stretch>
                        </pic:blipFill>
                        <pic:spPr>
                          <a:xfrm>
                            <a:off x="0" y="0"/>
                            <a:ext cx="2247265" cy="67691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球车</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1、推车外形基本尺寸：长x宽x高=900x720x720(mm)。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2、推车主要采用圆管在专用弯管机上弯曲成形后拼焊而成，推车整体可折叠，存放时可减少空间。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3、推车支脚底部装有滚轮，移动方便。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4、表面处理: 所有钢制件表面均经酸洗、磷化、打沙等初级处理后采用进口静电环氧基粉末喷涂完成最后表面处理，涂层厚度70—80um，铅笔硬度达3H+，试品经GB1771-91 36小时盐雾试验，涂膜无变化，划格处单面腐蚀＜2mm，产品具有耐酸碱、耐湿热、抗老化、外观美观，能适合潮湿和酸雨环境，室内室外均可使用，且产品涂料配方不含有毒元素，避免损害使用者的健康。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183515</wp:posOffset>
                  </wp:positionH>
                  <wp:positionV relativeFrom="paragraph">
                    <wp:posOffset>281940</wp:posOffset>
                  </wp:positionV>
                  <wp:extent cx="1428115" cy="1179830"/>
                  <wp:effectExtent l="0" t="0" r="635" b="1270"/>
                  <wp:wrapNone/>
                  <wp:docPr id="26" name="图片_234"/>
                  <wp:cNvGraphicFramePr/>
                  <a:graphic xmlns:a="http://schemas.openxmlformats.org/drawingml/2006/main">
                    <a:graphicData uri="http://schemas.openxmlformats.org/drawingml/2006/picture">
                      <pic:pic xmlns:pic="http://schemas.openxmlformats.org/drawingml/2006/picture">
                        <pic:nvPicPr>
                          <pic:cNvPr id="26" name="图片_234"/>
                          <pic:cNvPicPr/>
                        </pic:nvPicPr>
                        <pic:blipFill>
                          <a:blip r:embed="rId50"/>
                          <a:stretch>
                            <a:fillRect/>
                          </a:stretch>
                        </pic:blipFill>
                        <pic:spPr>
                          <a:xfrm>
                            <a:off x="0" y="0"/>
                            <a:ext cx="1428115" cy="11798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橡胶篮球</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橡胶4号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466725</wp:posOffset>
                  </wp:positionH>
                  <wp:positionV relativeFrom="paragraph">
                    <wp:posOffset>134620</wp:posOffset>
                  </wp:positionV>
                  <wp:extent cx="880745" cy="937260"/>
                  <wp:effectExtent l="0" t="0" r="14605" b="15240"/>
                  <wp:wrapNone/>
                  <wp:docPr id="27" name="图片_9"/>
                  <wp:cNvGraphicFramePr/>
                  <a:graphic xmlns:a="http://schemas.openxmlformats.org/drawingml/2006/main">
                    <a:graphicData uri="http://schemas.openxmlformats.org/drawingml/2006/picture">
                      <pic:pic xmlns:pic="http://schemas.openxmlformats.org/drawingml/2006/picture">
                        <pic:nvPicPr>
                          <pic:cNvPr id="27" name="图片_9"/>
                          <pic:cNvPicPr/>
                        </pic:nvPicPr>
                        <pic:blipFill>
                          <a:blip r:embed="rId51"/>
                          <a:stretch>
                            <a:fillRect/>
                          </a:stretch>
                        </pic:blipFill>
                        <pic:spPr>
                          <a:xfrm>
                            <a:off x="0" y="0"/>
                            <a:ext cx="880745" cy="9372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橡胶篮球</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橡胶5号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"C:\\Users\\ADMINI~1\\AppData\\Local\\Temp\\ksohtml\\clip_cell_image23.png"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009650" cy="1019175"/>
                  <wp:effectExtent l="0" t="0" r="0" b="9525"/>
                  <wp:docPr id="28" name="图片 54"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4" descr="IMG_275"/>
                          <pic:cNvPicPr>
                            <a:picLocks noChangeAspect="1"/>
                          </pic:cNvPicPr>
                        </pic:nvPicPr>
                        <pic:blipFill>
                          <a:blip r:embed="rId52"/>
                          <a:stretch>
                            <a:fillRect/>
                          </a:stretch>
                        </pic:blipFill>
                        <pic:spPr>
                          <a:xfrm>
                            <a:off x="0" y="0"/>
                            <a:ext cx="1009650" cy="101917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橡胶篮球</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橡胶7号。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"C:\\Users\\ADMINI~1\\AppData\\Local\\Temp\\ksohtml\\clip_cell_image24.png"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076325" cy="1104900"/>
                  <wp:effectExtent l="0" t="0" r="9525" b="0"/>
                  <wp:docPr id="29" name="图片 55"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5" descr="IMG_276"/>
                          <pic:cNvPicPr>
                            <a:picLocks noChangeAspect="1"/>
                          </pic:cNvPicPr>
                        </pic:nvPicPr>
                        <pic:blipFill>
                          <a:blip r:embed="rId53"/>
                          <a:stretch>
                            <a:fillRect/>
                          </a:stretch>
                        </pic:blipFill>
                        <pic:spPr>
                          <a:xfrm>
                            <a:off x="0" y="0"/>
                            <a:ext cx="1076325" cy="110490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皮质篮球</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皮质（比赛用球），符合国家体育比赛用球标准。</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271145</wp:posOffset>
                  </wp:positionH>
                  <wp:positionV relativeFrom="paragraph">
                    <wp:posOffset>190500</wp:posOffset>
                  </wp:positionV>
                  <wp:extent cx="1150620" cy="1169035"/>
                  <wp:effectExtent l="0" t="0" r="11430" b="12065"/>
                  <wp:wrapNone/>
                  <wp:docPr id="30" name="图片_7"/>
                  <wp:cNvGraphicFramePr/>
                  <a:graphic xmlns:a="http://schemas.openxmlformats.org/drawingml/2006/main">
                    <a:graphicData uri="http://schemas.openxmlformats.org/drawingml/2006/picture">
                      <pic:pic xmlns:pic="http://schemas.openxmlformats.org/drawingml/2006/picture">
                        <pic:nvPicPr>
                          <pic:cNvPr id="30" name="图片_7"/>
                          <pic:cNvPicPr/>
                        </pic:nvPicPr>
                        <pic:blipFill>
                          <a:blip r:embed="rId54"/>
                          <a:stretch>
                            <a:fillRect/>
                          </a:stretch>
                        </pic:blipFill>
                        <pic:spPr>
                          <a:xfrm>
                            <a:off x="0" y="0"/>
                            <a:ext cx="1150620" cy="11690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软式排球</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技术规格：重：180-300克 软式排球，周长：565-665mm，气压0.30-0.325公斤/平方厘米。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功能性用：A、安全性强，柔软有弹性，撞击力小，对老人、小孩都不会造成伤害，尤其是避免了对运动者指关节的伤害。B、具有休闲、观赏、趣味性 1、质地柔软，手感舒适，适用于不同年龄阶段的人。 2、颜色鲜艳，观赏性强。 3、球速慢，传递次数多，易掌握，趣味性强。 C、适用范围广：1、不受场地限制。室内外、草地都可以进行。 2、适合不同年龄层，全民皆可用此健身。 3、不受人员限制（可以2、3、4、5、6人组或男女混合组）。 4、可以一球多用（用作手球、体操球、沙排）。  D、使用便利：免充气、没有打气、漏气的烦恼。 E、绿色环保——环保材料、无毒、防水。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表面商标、图案、色泽等字迹清晰，图案端正、色彩鲜艳，符合产品要求，表面无破损，脱落等现象。</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"C:\\Users\\ADMINI~1\\AppData\\Local\\Temp\\ksohtml\\clip_cell_image2.png"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219200" cy="1171575"/>
                  <wp:effectExtent l="0" t="0" r="0" b="9525"/>
                  <wp:docPr id="31" name="图片 56"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6" descr="IMG_277"/>
                          <pic:cNvPicPr>
                            <a:picLocks noChangeAspect="1"/>
                          </pic:cNvPicPr>
                        </pic:nvPicPr>
                        <pic:blipFill>
                          <a:blip r:embed="rId55"/>
                          <a:stretch>
                            <a:fillRect/>
                          </a:stretch>
                        </pic:blipFill>
                        <pic:spPr>
                          <a:xfrm>
                            <a:off x="0" y="0"/>
                            <a:ext cx="1219200" cy="117157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足球</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PU皮4号。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"C:\\Users\\ADMINI~1\\AppData\\Local\\Temp\\ksohtml\\clip_cell_image4.png"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181100" cy="1209675"/>
                  <wp:effectExtent l="0" t="0" r="0" b="9525"/>
                  <wp:docPr id="32" name="图片 57"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7" descr="IMG_278"/>
                          <pic:cNvPicPr>
                            <a:picLocks noChangeAspect="1"/>
                          </pic:cNvPicPr>
                        </pic:nvPicPr>
                        <pic:blipFill>
                          <a:blip r:embed="rId56"/>
                          <a:stretch>
                            <a:fillRect/>
                          </a:stretch>
                        </pic:blipFill>
                        <pic:spPr>
                          <a:xfrm>
                            <a:off x="0" y="0"/>
                            <a:ext cx="1181100" cy="120967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垒球</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材质：球皮PVC、球心软木。大小：10寸，净重约96克，直径约7.6cm，无弹性</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"C:\\Users\\ADMINI~1\\AppData\\Local\\Temp\\ksohtml\\clip_cell_image15.png"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038225" cy="1057275"/>
                  <wp:effectExtent l="0" t="0" r="9525" b="9525"/>
                  <wp:docPr id="33" name="图片 58"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8" descr="IMG_279"/>
                          <pic:cNvPicPr>
                            <a:picLocks noChangeAspect="1"/>
                          </pic:cNvPicPr>
                        </pic:nvPicPr>
                        <pic:blipFill>
                          <a:blip r:embed="rId57"/>
                          <a:stretch>
                            <a:fillRect/>
                          </a:stretch>
                        </pic:blipFill>
                        <pic:spPr>
                          <a:xfrm>
                            <a:off x="0" y="0"/>
                            <a:ext cx="1038225" cy="105727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乒乓球</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直径40MM+。颜色：白色，材料ABS树脂</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"C:\\Users\\ADMINI~1\\AppData\\Local\\Temp\\ksohtml\\clip_cell_image18.png"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800100" cy="895350"/>
                  <wp:effectExtent l="0" t="0" r="0" b="0"/>
                  <wp:docPr id="34" name="图片 59"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9" descr="IMG_280"/>
                          <pic:cNvPicPr>
                            <a:picLocks noChangeAspect="1"/>
                          </pic:cNvPicPr>
                        </pic:nvPicPr>
                        <pic:blipFill>
                          <a:blip r:embed="rId58"/>
                          <a:stretch>
                            <a:fillRect/>
                          </a:stretch>
                        </pic:blipFill>
                        <pic:spPr>
                          <a:xfrm>
                            <a:off x="0" y="0"/>
                            <a:ext cx="800100" cy="89535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乒乓球拍</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乒乓球拍2块为1副，星级直握拍，双面反胶皮，颜色鲜红色，拍面平整；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拍柄、拍面、拍身边缘光滑无光泽，拍身边缘贴上彩带；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胶粒分布均匀，高度不低于0.5mm；胶合部位牢固，不开裂。</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"C:\\Users\\ADMINI~1\\AppData\\Local\\Temp\\ksohtml\\clip_cell_image5.png"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133475" cy="1362075"/>
                  <wp:effectExtent l="0" t="0" r="9525" b="9525"/>
                  <wp:docPr id="35" name="图片 60"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0" descr="IMG_281"/>
                          <pic:cNvPicPr>
                            <a:picLocks noChangeAspect="1"/>
                          </pic:cNvPicPr>
                        </pic:nvPicPr>
                        <pic:blipFill>
                          <a:blip r:embed="rId59"/>
                          <a:stretch>
                            <a:fillRect/>
                          </a:stretch>
                        </pic:blipFill>
                        <pic:spPr>
                          <a:xfrm>
                            <a:off x="0" y="0"/>
                            <a:ext cx="1133475" cy="136207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秒表</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秒表60道。显示系统：能够计量10个时段，可以读出小时、分钟、秒、1/100秒，分段时间、分段区时间和全部经过时间的二排显示，分段点时间（SPLIT）、分段区时间（LAP）、检索（RECALL）停止（STOP）和秒表等显示的标志，时间/日历显示可以读出小时、分钟、秒钟、年历、月历、日历和时间/日历等；显示媒介；向列型液晶体磁场效应模式（FEM）；防水。</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"C:\\Users\\ADMINI~1\\AppData\\Local\\Temp\\ksohtml\\clip_cell_image8.png"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981075" cy="1133475"/>
                  <wp:effectExtent l="0" t="0" r="9525" b="9525"/>
                  <wp:docPr id="36" name="图片 61"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1" descr="IMG_282"/>
                          <pic:cNvPicPr>
                            <a:picLocks noChangeAspect="1"/>
                          </pic:cNvPicPr>
                        </pic:nvPicPr>
                        <pic:blipFill>
                          <a:blip r:embed="rId60"/>
                          <a:stretch>
                            <a:fillRect/>
                          </a:stretch>
                        </pic:blipFill>
                        <pic:spPr>
                          <a:xfrm>
                            <a:off x="0" y="0"/>
                            <a:ext cx="981075" cy="113347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儿童羽毛球拍</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材质：铝合金，拍杆硬度：适中，拍身重量/握柄尺寸：85g(含)-95g(含)/G6(含线)，拉线磅数：Hs18lbs，Vs18lbs</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"C:\\Users\\ADMINI~1\\AppData\\Local\\Temp\\ksohtml\\clip_cell_image7.png"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504825" cy="1221740"/>
                  <wp:effectExtent l="0" t="0" r="9525" b="16510"/>
                  <wp:docPr id="37" name="图片 62"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2" descr="IMG_283"/>
                          <pic:cNvPicPr>
                            <a:picLocks noChangeAspect="1"/>
                          </pic:cNvPicPr>
                        </pic:nvPicPr>
                        <pic:blipFill>
                          <a:blip r:embed="rId61"/>
                          <a:stretch>
                            <a:fillRect/>
                          </a:stretch>
                        </pic:blipFill>
                        <pic:spPr>
                          <a:xfrm>
                            <a:off x="0" y="0"/>
                            <a:ext cx="504825" cy="122174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儿童尼龙塑料羽毛球</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毛片材质：尼龙，球头：全软木球头；速度：慢速</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"C:\\Users\\ADMINI~1\\AppData\\Local\\Temp\\ksohtml\\clip_cell_image10.png"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838200" cy="1228725"/>
                  <wp:effectExtent l="0" t="0" r="0" b="9525"/>
                  <wp:docPr id="38" name="图片 63"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3" descr="IMG_284"/>
                          <pic:cNvPicPr>
                            <a:picLocks noChangeAspect="1"/>
                          </pic:cNvPicPr>
                        </pic:nvPicPr>
                        <pic:blipFill>
                          <a:blip r:embed="rId62"/>
                          <a:stretch>
                            <a:fillRect/>
                          </a:stretch>
                        </pic:blipFill>
                        <pic:spPr>
                          <a:xfrm>
                            <a:off x="0" y="0"/>
                            <a:ext cx="838200" cy="122872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羽毛球拍</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拍框材质：碳纤维+树脂，中管材质：碳纤维+树脂+7.0 SHAFT，拍杆硬度：特软，重量：75g(含)-79g(含)；拉线磅数：≤28 lbs(12.5kg)≤27lbs(12kg)</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"C:\\Users\\ADMINI~1\\AppData\\Local\\Temp\\ksohtml\\clip_cell_image13.png"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381000" cy="1263015"/>
                  <wp:effectExtent l="0" t="0" r="0" b="13335"/>
                  <wp:docPr id="39" name="图片 64"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4" descr="IMG_285"/>
                          <pic:cNvPicPr>
                            <a:picLocks noChangeAspect="1"/>
                          </pic:cNvPicPr>
                        </pic:nvPicPr>
                        <pic:blipFill>
                          <a:blip r:embed="rId63"/>
                          <a:stretch>
                            <a:fillRect/>
                          </a:stretch>
                        </pic:blipFill>
                        <pic:spPr>
                          <a:xfrm>
                            <a:off x="0" y="0"/>
                            <a:ext cx="381000" cy="126301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羽毛球</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羽毛球毛片分类：鹅拉直，羽毛球球头分类：复合软木；羽毛球球速：77#/2#</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"C:\\Users\\ADMINI~1\\AppData\\Local\\Temp\\ksohtml\\clip_cell_image12.png"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781050" cy="990600"/>
                  <wp:effectExtent l="0" t="0" r="0" b="0"/>
                  <wp:docPr id="40" name="图片 65"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5" descr="IMG_286"/>
                          <pic:cNvPicPr>
                            <a:picLocks noChangeAspect="1"/>
                          </pic:cNvPicPr>
                        </pic:nvPicPr>
                        <pic:blipFill>
                          <a:blip r:embed="rId64"/>
                          <a:stretch>
                            <a:fillRect/>
                          </a:stretch>
                        </pic:blipFill>
                        <pic:spPr>
                          <a:xfrm>
                            <a:off x="0" y="0"/>
                            <a:ext cx="781050" cy="99060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测量卷尺</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1、由尺带和尺盒组成，尺带进出灵活，附有摇柄。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2、量程：0～20m、分度值：1cm、全长允差：不大于25cm。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3、尺子刻线均匀、清晰、垂直纵边、无断线。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4、有100米可选。符合计量标准。</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492125</wp:posOffset>
                  </wp:positionH>
                  <wp:positionV relativeFrom="paragraph">
                    <wp:posOffset>356235</wp:posOffset>
                  </wp:positionV>
                  <wp:extent cx="918210" cy="687705"/>
                  <wp:effectExtent l="0" t="0" r="15240" b="17145"/>
                  <wp:wrapNone/>
                  <wp:docPr id="41" name="图片_166"/>
                  <wp:cNvGraphicFramePr/>
                  <a:graphic xmlns:a="http://schemas.openxmlformats.org/drawingml/2006/main">
                    <a:graphicData uri="http://schemas.openxmlformats.org/drawingml/2006/picture">
                      <pic:pic xmlns:pic="http://schemas.openxmlformats.org/drawingml/2006/picture">
                        <pic:nvPicPr>
                          <pic:cNvPr id="41" name="图片_166"/>
                          <pic:cNvPicPr/>
                        </pic:nvPicPr>
                        <pic:blipFill>
                          <a:blip r:embed="rId65"/>
                          <a:stretch>
                            <a:fillRect/>
                          </a:stretch>
                        </pic:blipFill>
                        <pic:spPr>
                          <a:xfrm>
                            <a:off x="0" y="0"/>
                            <a:ext cx="918210" cy="6877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皮尺</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1、由尺带和尺盒组成，尺带进出灵活，附有摇柄。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2、量程：0～30m、分度值：1cm、全长允差：不大于25cm。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3、尺子刻线均匀、清晰、垂直纵边、无断线。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4、有30米可选。符合计量标准。</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"C:\\Users\\ADMINI~1\\AppData\\Local\\Temp\\ksohtml\\clip_cell_image16.png"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000125" cy="742950"/>
                  <wp:effectExtent l="0" t="0" r="9525" b="0"/>
                  <wp:docPr id="42" name="图片 66"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6" descr="IMG_288"/>
                          <pic:cNvPicPr>
                            <a:picLocks noChangeAspect="1"/>
                          </pic:cNvPicPr>
                        </pic:nvPicPr>
                        <pic:blipFill>
                          <a:blip r:embed="rId66"/>
                          <a:stretch>
                            <a:fillRect/>
                          </a:stretch>
                        </pic:blipFill>
                        <pic:spPr>
                          <a:xfrm>
                            <a:off x="0" y="0"/>
                            <a:ext cx="1000125" cy="74295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皮尺</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1、由尺带和尺盒组成，尺带进出灵活，附有摇柄。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2、量程：0～50m、分度值：1cm、全长允差：不大于25cm。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3、尺子刻线均匀、清晰、垂直纵边、无断线。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4、有50米可选。符合计量标准。</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"C:\\Users\\ADMINI~1\\AppData\\Local\\Temp\\ksohtml\\clip_cell_image17.png"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1000125" cy="742950"/>
                  <wp:effectExtent l="0" t="0" r="9525" b="0"/>
                  <wp:docPr id="43" name="图片 67"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67" descr="IMG_288"/>
                          <pic:cNvPicPr>
                            <a:picLocks noChangeAspect="1"/>
                          </pic:cNvPicPr>
                        </pic:nvPicPr>
                        <pic:blipFill>
                          <a:blip r:embed="rId66"/>
                          <a:stretch>
                            <a:fillRect/>
                          </a:stretch>
                        </pic:blipFill>
                        <pic:spPr>
                          <a:xfrm>
                            <a:off x="0" y="0"/>
                            <a:ext cx="1000125" cy="742950"/>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道次墩</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三面显示；材质：材质：工程塑料</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488315</wp:posOffset>
                  </wp:positionH>
                  <wp:positionV relativeFrom="paragraph">
                    <wp:posOffset>85090</wp:posOffset>
                  </wp:positionV>
                  <wp:extent cx="793750" cy="897255"/>
                  <wp:effectExtent l="0" t="0" r="0" b="17145"/>
                  <wp:wrapNone/>
                  <wp:docPr id="44" name="图片_112"/>
                  <wp:cNvGraphicFramePr/>
                  <a:graphic xmlns:a="http://schemas.openxmlformats.org/drawingml/2006/main">
                    <a:graphicData uri="http://schemas.openxmlformats.org/drawingml/2006/picture">
                      <pic:pic xmlns:pic="http://schemas.openxmlformats.org/drawingml/2006/picture">
                        <pic:nvPicPr>
                          <pic:cNvPr id="44" name="图片_112"/>
                          <pic:cNvPicPr/>
                        </pic:nvPicPr>
                        <pic:blipFill>
                          <a:blip r:embed="rId67"/>
                          <a:stretch>
                            <a:fillRect/>
                          </a:stretch>
                        </pic:blipFill>
                        <pic:spPr>
                          <a:xfrm>
                            <a:off x="0" y="0"/>
                            <a:ext cx="793750" cy="8972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发令旗</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红、黄、白三色</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376555</wp:posOffset>
                  </wp:positionH>
                  <wp:positionV relativeFrom="paragraph">
                    <wp:posOffset>130175</wp:posOffset>
                  </wp:positionV>
                  <wp:extent cx="860425" cy="819785"/>
                  <wp:effectExtent l="0" t="0" r="15875" b="18415"/>
                  <wp:wrapNone/>
                  <wp:docPr id="45" name="图片_117"/>
                  <wp:cNvGraphicFramePr/>
                  <a:graphic xmlns:a="http://schemas.openxmlformats.org/drawingml/2006/main">
                    <a:graphicData uri="http://schemas.openxmlformats.org/drawingml/2006/picture">
                      <pic:pic xmlns:pic="http://schemas.openxmlformats.org/drawingml/2006/picture">
                        <pic:nvPicPr>
                          <pic:cNvPr id="45" name="图片_117"/>
                          <pic:cNvPicPr/>
                        </pic:nvPicPr>
                        <pic:blipFill>
                          <a:blip r:embed="rId68"/>
                          <a:stretch>
                            <a:fillRect/>
                          </a:stretch>
                        </pic:blipFill>
                        <pic:spPr>
                          <a:xfrm>
                            <a:off x="0" y="0"/>
                            <a:ext cx="860425" cy="8197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接力棒</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长度300mm，直径300mm，空心铝合金材质。棒两头做过圆滑处理，外观平滑无毛刺。</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198755</wp:posOffset>
                  </wp:positionH>
                  <wp:positionV relativeFrom="paragraph">
                    <wp:posOffset>86360</wp:posOffset>
                  </wp:positionV>
                  <wp:extent cx="1043940" cy="817880"/>
                  <wp:effectExtent l="0" t="0" r="3810" b="1270"/>
                  <wp:wrapNone/>
                  <wp:docPr id="46" name="图片_114"/>
                  <wp:cNvGraphicFramePr/>
                  <a:graphic xmlns:a="http://schemas.openxmlformats.org/drawingml/2006/main">
                    <a:graphicData uri="http://schemas.openxmlformats.org/drawingml/2006/picture">
                      <pic:pic xmlns:pic="http://schemas.openxmlformats.org/drawingml/2006/picture">
                        <pic:nvPicPr>
                          <pic:cNvPr id="46" name="图片_114"/>
                          <pic:cNvPicPr/>
                        </pic:nvPicPr>
                        <pic:blipFill>
                          <a:blip r:embed="rId69"/>
                          <a:stretch>
                            <a:fillRect/>
                          </a:stretch>
                        </pic:blipFill>
                        <pic:spPr>
                          <a:xfrm>
                            <a:off x="0" y="0"/>
                            <a:ext cx="1043940" cy="8178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新健牌无柄压胶跳绳</w:t>
            </w:r>
          </w:p>
        </w:tc>
        <w:tc>
          <w:tcPr>
            <w:tcW w:w="3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【规格】:直径6MM，长2.2米 重量55克左右，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【材料】棉纱和胶质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【长度】:220CM(允许误差+-5CM)</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fldChar w:fldCharType="begin"/>
            </w:r>
            <w:r>
              <w:rPr>
                <w:rFonts w:hint="eastAsia" w:ascii="宋体" w:hAnsi="宋体" w:eastAsia="宋体" w:cs="宋体"/>
                <w:i w:val="0"/>
                <w:iCs w:val="0"/>
                <w:color w:val="000000"/>
                <w:kern w:val="0"/>
                <w:sz w:val="21"/>
                <w:szCs w:val="21"/>
                <w:highlight w:val="none"/>
                <w:u w:val="none"/>
                <w:lang w:val="en-US" w:eastAsia="zh-CN" w:bidi="ar"/>
              </w:rPr>
              <w:instrText xml:space="preserve">INCLUDEPICTURE \d "C:\\Users\\ADMINI~1\\AppData\\Local\\Temp\\ksohtml\\clip_cell_image3.png" \* MERGEFORMATINET </w:instrText>
            </w:r>
            <w:r>
              <w:rPr>
                <w:rFonts w:hint="eastAsia" w:ascii="宋体" w:hAnsi="宋体" w:eastAsia="宋体" w:cs="宋体"/>
                <w:i w:val="0"/>
                <w:iCs w:val="0"/>
                <w:color w:val="000000"/>
                <w:kern w:val="0"/>
                <w:sz w:val="21"/>
                <w:szCs w:val="21"/>
                <w:highlight w:val="none"/>
                <w:u w:val="none"/>
                <w:lang w:val="en-US" w:eastAsia="zh-CN" w:bidi="ar"/>
              </w:rPr>
              <w:fldChar w:fldCharType="separate"/>
            </w:r>
            <w:r>
              <w:rPr>
                <w:rFonts w:hint="eastAsia" w:ascii="宋体" w:hAnsi="宋体" w:eastAsia="宋体" w:cs="宋体"/>
                <w:i w:val="0"/>
                <w:iCs w:val="0"/>
                <w:color w:val="000000"/>
                <w:kern w:val="0"/>
                <w:sz w:val="21"/>
                <w:szCs w:val="21"/>
                <w:highlight w:val="none"/>
                <w:u w:val="none"/>
                <w:lang w:val="en-US" w:eastAsia="zh-CN" w:bidi="ar"/>
              </w:rPr>
              <w:drawing>
                <wp:inline distT="0" distB="0" distL="114300" distR="114300">
                  <wp:extent cx="838200" cy="904875"/>
                  <wp:effectExtent l="0" t="0" r="0" b="9525"/>
                  <wp:docPr id="47" name="图片 68"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68" descr="IMG_289"/>
                          <pic:cNvPicPr>
                            <a:picLocks noChangeAspect="1"/>
                          </pic:cNvPicPr>
                        </pic:nvPicPr>
                        <pic:blipFill>
                          <a:blip r:embed="rId70"/>
                          <a:stretch>
                            <a:fillRect/>
                          </a:stretch>
                        </pic:blipFill>
                        <pic:spPr>
                          <a:xfrm>
                            <a:off x="0" y="0"/>
                            <a:ext cx="838200" cy="90487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highlight w:val="none"/>
                <w:u w:val="none"/>
                <w:lang w:val="en-US" w:eastAsia="zh-CN" w:bidi="ar"/>
              </w:rPr>
              <w:fldChar w:fldCharType="end"/>
            </w:r>
          </w:p>
        </w:tc>
      </w:tr>
    </w:tbl>
    <w:p>
      <w:pPr>
        <w:jc w:val="left"/>
        <w:rPr>
          <w:rFonts w:hint="eastAsia"/>
          <w:lang w:val="en-US" w:eastAsia="zh-CN"/>
        </w:rPr>
      </w:pPr>
      <w:r>
        <w:rPr>
          <w:rFonts w:hint="eastAsia"/>
          <w:lang w:val="en-US" w:eastAsia="zh-CN"/>
        </w:rPr>
        <w:t>注：上述图片仅供参考，以实际技术需求为准。</w:t>
      </w:r>
    </w:p>
    <w:p>
      <w:pPr>
        <w:spacing w:line="360" w:lineRule="auto"/>
        <w:ind w:firstLine="482" w:firstLineChars="200"/>
        <w:rPr>
          <w:rFonts w:hint="eastAsia" w:ascii="宋体" w:hAnsi="宋体" w:eastAsia="宋体" w:cs="宋体"/>
          <w:b/>
          <w:sz w:val="24"/>
          <w:lang w:eastAsia="zh-CN"/>
        </w:rPr>
      </w:pPr>
      <w:r>
        <w:rPr>
          <w:rFonts w:hint="eastAsia" w:ascii="宋体" w:hAnsi="宋体" w:cs="宋体"/>
          <w:b/>
          <w:sz w:val="24"/>
          <w:lang w:eastAsia="zh-CN"/>
        </w:rPr>
        <w:t>三</w:t>
      </w:r>
      <w:r>
        <w:rPr>
          <w:rFonts w:hint="eastAsia" w:ascii="宋体" w:hAnsi="宋体" w:eastAsia="宋体" w:cs="宋体"/>
          <w:b/>
          <w:sz w:val="24"/>
        </w:rPr>
        <w:t>、</w:t>
      </w:r>
      <w:r>
        <w:rPr>
          <w:rFonts w:hint="eastAsia" w:ascii="宋体" w:hAnsi="宋体" w:cs="宋体"/>
          <w:b/>
          <w:sz w:val="24"/>
          <w:lang w:eastAsia="zh-CN"/>
        </w:rPr>
        <w:t>供货要求</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1、供方所供的货物必须为全新的，符合国家标准的合格产品；</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2、必所供货物不会侵犯任何第三方知识产权；</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3、送货地址：采购人指定地点。</w:t>
      </w:r>
    </w:p>
    <w:p>
      <w:pPr>
        <w:spacing w:line="360" w:lineRule="auto"/>
        <w:ind w:firstLine="482" w:firstLineChars="200"/>
        <w:rPr>
          <w:rFonts w:hint="eastAsia" w:ascii="宋体" w:hAnsi="宋体" w:eastAsia="宋体" w:cs="宋体"/>
          <w:b/>
          <w:sz w:val="24"/>
        </w:rPr>
      </w:pPr>
      <w:r>
        <w:rPr>
          <w:rFonts w:hint="eastAsia" w:ascii="宋体" w:hAnsi="宋体" w:cs="宋体"/>
          <w:b/>
          <w:sz w:val="24"/>
          <w:lang w:eastAsia="zh-CN"/>
        </w:rPr>
        <w:t>四</w:t>
      </w:r>
      <w:r>
        <w:rPr>
          <w:rFonts w:hint="eastAsia" w:ascii="宋体" w:hAnsi="宋体" w:eastAsia="宋体" w:cs="宋体"/>
          <w:b/>
          <w:sz w:val="24"/>
        </w:rPr>
        <w:t>、项目实施要求</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1、签订合同后，供应商按照其与采购人的事先约定将所供货物送货至采购人指定地点后拆箱，负责免费安装调试，正常运行后交用户单位并通过验收。</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五、售后服务要求</w:t>
      </w:r>
    </w:p>
    <w:p>
      <w:pPr>
        <w:snapToGrid w:val="0"/>
        <w:spacing w:line="360" w:lineRule="auto"/>
        <w:ind w:firstLine="480" w:firstLineChars="200"/>
        <w:rPr>
          <w:rFonts w:ascii="宋体" w:hAnsi="宋体"/>
          <w:bCs/>
          <w:color w:val="000000"/>
          <w:sz w:val="24"/>
        </w:rPr>
      </w:pPr>
      <w:bookmarkStart w:id="31" w:name="_Hlk534987230"/>
      <w:r>
        <w:rPr>
          <w:rFonts w:hint="eastAsia" w:ascii="宋体" w:hAnsi="宋体"/>
          <w:bCs/>
          <w:color w:val="000000"/>
          <w:sz w:val="24"/>
        </w:rPr>
        <w:t>1、质保期：本项目设备质保</w:t>
      </w:r>
      <w:r>
        <w:rPr>
          <w:rFonts w:hint="eastAsia" w:ascii="宋体" w:hAnsi="宋体"/>
          <w:bCs/>
          <w:color w:val="000000"/>
          <w:sz w:val="24"/>
          <w:lang w:val="en-US" w:eastAsia="zh-CN"/>
        </w:rPr>
        <w:t>二</w:t>
      </w:r>
      <w:r>
        <w:rPr>
          <w:rFonts w:hint="eastAsia" w:ascii="宋体" w:hAnsi="宋体"/>
          <w:bCs/>
          <w:color w:val="000000"/>
          <w:sz w:val="24"/>
        </w:rPr>
        <w:t>年。如原厂质保时间长于</w:t>
      </w:r>
      <w:r>
        <w:rPr>
          <w:rFonts w:hint="eastAsia" w:ascii="宋体" w:hAnsi="宋体"/>
          <w:bCs/>
          <w:color w:val="000000"/>
          <w:sz w:val="24"/>
          <w:lang w:val="en-US" w:eastAsia="zh-CN"/>
        </w:rPr>
        <w:t>二</w:t>
      </w:r>
      <w:r>
        <w:rPr>
          <w:rFonts w:hint="eastAsia" w:ascii="宋体" w:hAnsi="宋体"/>
          <w:bCs/>
          <w:color w:val="000000"/>
          <w:sz w:val="24"/>
        </w:rPr>
        <w:t>年，则按原厂质保时间计算。</w:t>
      </w:r>
    </w:p>
    <w:p>
      <w:pPr>
        <w:snapToGrid w:val="0"/>
        <w:spacing w:line="360" w:lineRule="auto"/>
        <w:ind w:firstLine="480" w:firstLineChars="200"/>
        <w:rPr>
          <w:rFonts w:ascii="宋体" w:hAnsi="宋体"/>
          <w:bCs/>
          <w:color w:val="000000"/>
          <w:sz w:val="24"/>
        </w:rPr>
      </w:pPr>
      <w:r>
        <w:rPr>
          <w:rFonts w:hint="eastAsia" w:ascii="宋体" w:hAnsi="宋体"/>
          <w:bCs/>
          <w:color w:val="000000"/>
          <w:sz w:val="24"/>
        </w:rPr>
        <w:t>2、出保后，提供远程7天*8小时服务。</w:t>
      </w:r>
    </w:p>
    <w:p>
      <w:pPr>
        <w:snapToGrid w:val="0"/>
        <w:spacing w:line="360" w:lineRule="auto"/>
        <w:ind w:firstLine="480" w:firstLineChars="200"/>
        <w:rPr>
          <w:rFonts w:ascii="宋体" w:hAnsi="宋体"/>
          <w:bCs/>
          <w:color w:val="000000"/>
          <w:sz w:val="24"/>
        </w:rPr>
      </w:pPr>
      <w:r>
        <w:rPr>
          <w:rFonts w:hint="eastAsia" w:ascii="宋体" w:hAnsi="宋体"/>
          <w:bCs/>
          <w:color w:val="000000"/>
          <w:sz w:val="24"/>
        </w:rPr>
        <w:t>3、在质保期内，若系统出现故障，供应商需立即做出明确响应和安排，并安排专业人员在2小时内到达现场，4小时内解决问题；如果故障在检修8小时后仍无法排除，中标人应在24小时内提供备机供采购人使用。对于在短时间内不能解决的问题，供应商需要立即提供应急措施和应急方案。此项工作属于免费维护范围，不得另行收费。</w:t>
      </w:r>
      <w:bookmarkEnd w:id="31"/>
    </w:p>
    <w:p>
      <w:pPr>
        <w:spacing w:line="360" w:lineRule="auto"/>
        <w:ind w:firstLine="480" w:firstLineChars="200"/>
      </w:pPr>
      <w:r>
        <w:rPr>
          <w:rFonts w:hint="eastAsia" w:ascii="宋体" w:hAnsi="宋体" w:cs="宋体"/>
          <w:bCs/>
          <w:sz w:val="24"/>
        </w:rPr>
        <w:t>4、售后服务按国家和我省相关规定以及生产厂家或投标人的承诺执行，并提供上门服务。</w:t>
      </w:r>
      <w:r>
        <w:rPr>
          <w:rFonts w:hint="eastAsia"/>
        </w:rPr>
        <w:t xml:space="preserve"> </w:t>
      </w:r>
    </w:p>
    <w:p>
      <w:pPr>
        <w:spacing w:line="360" w:lineRule="auto"/>
        <w:ind w:firstLine="480" w:firstLineChars="200"/>
        <w:rPr>
          <w:rFonts w:ascii="宋体" w:hAnsi="宋体" w:cs="宋体"/>
          <w:b/>
          <w:sz w:val="24"/>
        </w:rPr>
      </w:pPr>
      <w:r>
        <w:rPr>
          <w:rFonts w:hint="eastAsia" w:ascii="宋体" w:hAnsi="宋体" w:cs="宋体"/>
          <w:bCs/>
          <w:sz w:val="24"/>
        </w:rPr>
        <w:t>5、在保修期内供方必须不得以任何理由影响用户的正常使用。投标方必须对所供产品实行终身维修。</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六、培训要求</w:t>
      </w:r>
    </w:p>
    <w:p>
      <w:pPr>
        <w:snapToGrid w:val="0"/>
        <w:spacing w:line="360" w:lineRule="auto"/>
        <w:ind w:firstLine="480" w:firstLineChars="200"/>
        <w:rPr>
          <w:rFonts w:ascii="宋体" w:hAnsi="宋体"/>
          <w:bCs/>
          <w:color w:val="000000"/>
          <w:sz w:val="24"/>
        </w:rPr>
      </w:pPr>
      <w:bookmarkStart w:id="32" w:name="_Hlk534987263"/>
      <w:r>
        <w:rPr>
          <w:rFonts w:hint="eastAsia" w:ascii="宋体" w:hAnsi="宋体"/>
          <w:bCs/>
          <w:color w:val="000000"/>
          <w:sz w:val="24"/>
        </w:rPr>
        <w:t>1、中标人至少必须满足建设项目要求的培训服务。</w:t>
      </w:r>
    </w:p>
    <w:p>
      <w:pPr>
        <w:snapToGrid w:val="0"/>
        <w:spacing w:line="360" w:lineRule="auto"/>
        <w:ind w:firstLine="480" w:firstLineChars="200"/>
        <w:rPr>
          <w:rFonts w:ascii="宋体" w:hAnsi="宋体"/>
          <w:bCs/>
          <w:color w:val="000000"/>
          <w:sz w:val="24"/>
        </w:rPr>
      </w:pPr>
      <w:r>
        <w:rPr>
          <w:rFonts w:hint="eastAsia" w:ascii="宋体" w:hAnsi="宋体"/>
          <w:bCs/>
          <w:color w:val="000000"/>
          <w:sz w:val="24"/>
        </w:rPr>
        <w:t>2、培训授课人必须是原厂工程师、技术员等。</w:t>
      </w:r>
    </w:p>
    <w:p>
      <w:pPr>
        <w:snapToGrid w:val="0"/>
        <w:spacing w:line="360" w:lineRule="auto"/>
        <w:ind w:firstLine="480" w:firstLineChars="200"/>
        <w:rPr>
          <w:rFonts w:ascii="宋体" w:hAnsi="宋体"/>
          <w:bCs/>
          <w:color w:val="000000"/>
          <w:sz w:val="24"/>
        </w:rPr>
      </w:pPr>
      <w:r>
        <w:rPr>
          <w:rFonts w:hint="eastAsia" w:ascii="宋体" w:hAnsi="宋体"/>
          <w:bCs/>
          <w:color w:val="000000"/>
          <w:sz w:val="24"/>
        </w:rPr>
        <w:t>3、中标人必须为所有被培训人员提供培训用文字资料和讲义等相关用品。所有的资料必须是中文书写。</w:t>
      </w:r>
    </w:p>
    <w:p>
      <w:pPr>
        <w:snapToGrid w:val="0"/>
        <w:spacing w:line="360" w:lineRule="auto"/>
        <w:ind w:firstLine="480" w:firstLineChars="200"/>
        <w:rPr>
          <w:rFonts w:ascii="宋体" w:hAnsi="宋体"/>
          <w:bCs/>
          <w:color w:val="000000"/>
          <w:sz w:val="24"/>
        </w:rPr>
      </w:pPr>
      <w:r>
        <w:rPr>
          <w:rFonts w:hint="eastAsia" w:ascii="宋体" w:hAnsi="宋体"/>
          <w:bCs/>
          <w:color w:val="000000"/>
          <w:sz w:val="24"/>
        </w:rPr>
        <w:t>4、培训内容与课程要求：提供本系统的安装、使用、管理培训。对系统管理员进行相关设备的安装和管理培训。</w:t>
      </w:r>
    </w:p>
    <w:p>
      <w:pPr>
        <w:snapToGrid w:val="0"/>
        <w:spacing w:line="360" w:lineRule="auto"/>
        <w:ind w:firstLine="480" w:firstLineChars="200"/>
        <w:rPr>
          <w:rFonts w:hint="eastAsia" w:ascii="宋体" w:hAnsi="宋体" w:eastAsia="宋体" w:cs="宋体"/>
          <w:bCs/>
          <w:sz w:val="24"/>
        </w:rPr>
      </w:pPr>
      <w:r>
        <w:rPr>
          <w:rFonts w:hint="eastAsia" w:ascii="宋体" w:hAnsi="宋体"/>
          <w:bCs/>
          <w:color w:val="000000"/>
          <w:sz w:val="24"/>
        </w:rPr>
        <w:t>5、培训费用计入投标总价。</w:t>
      </w:r>
      <w:bookmarkEnd w:id="32"/>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七、工期</w:t>
      </w:r>
      <w:r>
        <w:rPr>
          <w:rFonts w:hint="eastAsia" w:ascii="宋体" w:hAnsi="宋体" w:cs="宋体"/>
          <w:b/>
          <w:sz w:val="24"/>
          <w:highlight w:val="none"/>
          <w:lang w:eastAsia="zh-CN"/>
        </w:rPr>
        <w:t>和质保期</w:t>
      </w:r>
      <w:r>
        <w:rPr>
          <w:rFonts w:hint="eastAsia" w:ascii="宋体" w:hAnsi="宋体" w:eastAsia="宋体" w:cs="宋体"/>
          <w:b/>
          <w:sz w:val="24"/>
          <w:highlight w:val="none"/>
        </w:rPr>
        <w:t>要求</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highlight w:val="none"/>
        </w:rPr>
        <w:t>签订合同后，</w:t>
      </w:r>
      <w:r>
        <w:rPr>
          <w:rFonts w:hint="eastAsia" w:ascii="宋体" w:hAnsi="宋体"/>
          <w:color w:val="000000"/>
          <w:sz w:val="24"/>
          <w:highlight w:val="none"/>
          <w:lang w:val="en-US" w:eastAsia="zh-CN"/>
        </w:rPr>
        <w:t>30</w:t>
      </w:r>
      <w:r>
        <w:rPr>
          <w:rFonts w:hint="eastAsia" w:ascii="宋体" w:hAnsi="宋体"/>
          <w:color w:val="000000"/>
          <w:sz w:val="24"/>
          <w:highlight w:val="none"/>
        </w:rPr>
        <w:t>个日历天完成送货、安装调试完毕，正常</w:t>
      </w:r>
      <w:r>
        <w:rPr>
          <w:rFonts w:hint="eastAsia" w:ascii="宋体" w:hAnsi="宋体"/>
          <w:color w:val="000000"/>
          <w:sz w:val="24"/>
          <w:highlight w:val="none"/>
          <w:lang w:val="en-US" w:eastAsia="zh-CN"/>
        </w:rPr>
        <w:t>运</w:t>
      </w:r>
      <w:r>
        <w:rPr>
          <w:rFonts w:hint="eastAsia" w:ascii="宋体" w:hAnsi="宋体"/>
          <w:color w:val="000000"/>
          <w:sz w:val="24"/>
          <w:lang w:val="en-US" w:eastAsia="zh-CN"/>
        </w:rPr>
        <w:t>行后</w:t>
      </w:r>
      <w:r>
        <w:rPr>
          <w:rFonts w:hint="eastAsia" w:ascii="宋体" w:hAnsi="宋体"/>
          <w:color w:val="000000"/>
          <w:sz w:val="24"/>
        </w:rPr>
        <w:t>交用户单位</w:t>
      </w:r>
      <w:r>
        <w:rPr>
          <w:rFonts w:hint="eastAsia" w:ascii="宋体" w:hAnsi="宋体"/>
          <w:color w:val="000000"/>
          <w:sz w:val="24"/>
          <w:lang w:eastAsia="zh-CN"/>
        </w:rPr>
        <w:t>进行</w:t>
      </w:r>
      <w:r>
        <w:rPr>
          <w:rFonts w:hint="eastAsia" w:ascii="宋体" w:hAnsi="宋体"/>
          <w:color w:val="000000"/>
          <w:sz w:val="24"/>
          <w:lang w:val="en-US" w:eastAsia="zh-CN"/>
        </w:rPr>
        <w:t>验收</w:t>
      </w:r>
      <w:r>
        <w:rPr>
          <w:rFonts w:hint="eastAsia" w:ascii="宋体" w:hAnsi="宋体"/>
          <w:color w:val="000000"/>
          <w:sz w:val="24"/>
        </w:rPr>
        <w:t>，通过验收后交付使用进入质保期。</w:t>
      </w:r>
    </w:p>
    <w:p>
      <w:pPr>
        <w:spacing w:line="360" w:lineRule="auto"/>
        <w:ind w:firstLine="482" w:firstLineChars="200"/>
        <w:rPr>
          <w:rFonts w:hint="eastAsia" w:ascii="宋体" w:hAnsi="宋体" w:eastAsia="宋体" w:cs="宋体"/>
          <w:b/>
          <w:sz w:val="24"/>
        </w:rPr>
      </w:pPr>
      <w:r>
        <w:rPr>
          <w:rFonts w:hint="eastAsia" w:ascii="宋体" w:hAnsi="宋体" w:cs="宋体"/>
          <w:b/>
          <w:sz w:val="24"/>
          <w:lang w:val="en-US" w:eastAsia="zh-CN"/>
        </w:rPr>
        <w:t>八</w:t>
      </w:r>
      <w:r>
        <w:rPr>
          <w:rFonts w:hint="eastAsia" w:ascii="宋体" w:hAnsi="宋体" w:eastAsia="宋体" w:cs="宋体"/>
          <w:b/>
          <w:sz w:val="24"/>
        </w:rPr>
        <w:t>、货款支付</w:t>
      </w:r>
    </w:p>
    <w:p>
      <w:pPr>
        <w:spacing w:line="600" w:lineRule="exact"/>
        <w:ind w:firstLine="480" w:firstLineChars="200"/>
        <w:rPr>
          <w:rFonts w:hint="eastAsia" w:ascii="宋体" w:hAnsi="宋体" w:eastAsia="宋体" w:cs="宋体"/>
          <w:kern w:val="0"/>
          <w:sz w:val="24"/>
          <w:u w:val="none"/>
          <w:lang w:eastAsia="zh-CN"/>
        </w:rPr>
      </w:pPr>
      <w:r>
        <w:rPr>
          <w:rFonts w:hint="eastAsia" w:ascii="宋体" w:hAnsi="宋体" w:eastAsia="宋体" w:cs="宋体"/>
          <w:kern w:val="0"/>
          <w:sz w:val="24"/>
          <w:u w:val="none"/>
        </w:rPr>
        <w:t>在合同签订并生效后的</w:t>
      </w:r>
      <w:r>
        <w:rPr>
          <w:rFonts w:hint="eastAsia" w:ascii="宋体" w:hAnsi="宋体" w:eastAsia="宋体" w:cs="宋体"/>
          <w:kern w:val="0"/>
          <w:sz w:val="24"/>
          <w:u w:val="none"/>
          <w:lang w:val="en-US" w:eastAsia="zh-CN"/>
        </w:rPr>
        <w:t>7个工作日</w:t>
      </w:r>
      <w:r>
        <w:rPr>
          <w:rFonts w:hint="eastAsia" w:ascii="宋体" w:hAnsi="宋体" w:eastAsia="宋体" w:cs="宋体"/>
          <w:kern w:val="0"/>
          <w:sz w:val="24"/>
          <w:u w:val="none"/>
        </w:rPr>
        <w:t>天内，中标人提供正规发票后</w:t>
      </w:r>
      <w:r>
        <w:rPr>
          <w:rFonts w:hint="eastAsia" w:ascii="宋体" w:hAnsi="宋体" w:eastAsia="宋体" w:cs="宋体"/>
          <w:kern w:val="0"/>
          <w:sz w:val="24"/>
          <w:u w:val="none"/>
          <w:lang w:val="en-US" w:eastAsia="zh-CN"/>
        </w:rPr>
        <w:t>采购人</w:t>
      </w:r>
      <w:r>
        <w:rPr>
          <w:rFonts w:hint="eastAsia" w:ascii="宋体" w:hAnsi="宋体" w:eastAsia="宋体" w:cs="宋体"/>
          <w:kern w:val="0"/>
          <w:sz w:val="24"/>
          <w:u w:val="none"/>
        </w:rPr>
        <w:t>支付合同额的</w:t>
      </w:r>
      <w:r>
        <w:rPr>
          <w:rFonts w:hint="eastAsia" w:ascii="宋体" w:hAnsi="宋体" w:cs="宋体"/>
          <w:kern w:val="0"/>
          <w:sz w:val="24"/>
          <w:u w:val="none"/>
          <w:lang w:val="en-US" w:eastAsia="zh-CN"/>
        </w:rPr>
        <w:t>6</w:t>
      </w:r>
      <w:r>
        <w:rPr>
          <w:rFonts w:hint="eastAsia" w:ascii="宋体" w:hAnsi="宋体" w:cs="宋体"/>
          <w:kern w:val="0"/>
          <w:sz w:val="24"/>
          <w:u w:val="none"/>
          <w:lang w:eastAsia="zh-CN"/>
        </w:rPr>
        <w:t>0</w:t>
      </w:r>
      <w:r>
        <w:rPr>
          <w:rFonts w:hint="eastAsia" w:ascii="宋体" w:hAnsi="宋体" w:eastAsia="宋体" w:cs="宋体"/>
          <w:kern w:val="0"/>
          <w:sz w:val="24"/>
          <w:u w:val="none"/>
        </w:rPr>
        <w:t>%作为预付款；项目安装调试完成</w:t>
      </w:r>
      <w:r>
        <w:rPr>
          <w:rFonts w:hint="eastAsia" w:ascii="宋体" w:hAnsi="宋体" w:eastAsia="宋体" w:cs="宋体"/>
          <w:kern w:val="0"/>
          <w:sz w:val="24"/>
          <w:u w:val="none"/>
          <w:lang w:val="en-US" w:eastAsia="zh-CN"/>
        </w:rPr>
        <w:t>经验收</w:t>
      </w:r>
      <w:r>
        <w:rPr>
          <w:rFonts w:hint="eastAsia" w:ascii="宋体" w:hAnsi="宋体" w:eastAsia="宋体" w:cs="宋体"/>
          <w:kern w:val="0"/>
          <w:sz w:val="24"/>
          <w:u w:val="none"/>
        </w:rPr>
        <w:t>完成后支付合同总价的</w:t>
      </w:r>
      <w:r>
        <w:rPr>
          <w:rFonts w:hint="eastAsia" w:ascii="宋体" w:hAnsi="宋体" w:cs="宋体"/>
          <w:kern w:val="0"/>
          <w:sz w:val="24"/>
          <w:u w:val="none"/>
          <w:lang w:val="en-US" w:eastAsia="zh-CN"/>
        </w:rPr>
        <w:t>4</w:t>
      </w:r>
      <w:r>
        <w:rPr>
          <w:rFonts w:hint="eastAsia" w:ascii="宋体" w:hAnsi="宋体" w:eastAsia="宋体" w:cs="宋体"/>
          <w:kern w:val="0"/>
          <w:sz w:val="24"/>
          <w:u w:val="none"/>
        </w:rPr>
        <w:t>0%</w:t>
      </w:r>
      <w:r>
        <w:rPr>
          <w:rFonts w:hint="eastAsia" w:ascii="宋体" w:hAnsi="宋体" w:eastAsia="宋体" w:cs="宋体"/>
          <w:kern w:val="0"/>
          <w:sz w:val="24"/>
          <w:u w:val="none"/>
          <w:lang w:eastAsia="zh-CN"/>
        </w:rPr>
        <w:t>。</w:t>
      </w:r>
    </w:p>
    <w:p>
      <w:pPr>
        <w:spacing w:line="360" w:lineRule="auto"/>
        <w:ind w:firstLine="482" w:firstLineChars="200"/>
        <w:jc w:val="left"/>
        <w:rPr>
          <w:rFonts w:hint="eastAsia" w:ascii="宋体" w:hAnsi="宋体" w:eastAsia="宋体" w:cs="宋体"/>
          <w:iCs/>
          <w:sz w:val="24"/>
        </w:rPr>
      </w:pPr>
      <w:r>
        <w:rPr>
          <w:rFonts w:hint="eastAsia" w:ascii="宋体" w:hAnsi="宋体" w:cs="宋体"/>
          <w:b/>
          <w:bCs/>
          <w:iCs/>
          <w:sz w:val="24"/>
          <w:lang w:val="en-US" w:eastAsia="zh-CN"/>
        </w:rPr>
        <w:t>九</w:t>
      </w:r>
      <w:r>
        <w:rPr>
          <w:rFonts w:hint="eastAsia" w:ascii="宋体" w:hAnsi="宋体" w:eastAsia="宋体" w:cs="宋体"/>
          <w:b/>
          <w:bCs/>
          <w:iCs/>
          <w:sz w:val="24"/>
        </w:rPr>
        <w:t>、验收、交付标准和方法</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1、采购人按照《杭州市政府采购履约验收暂行办法》（杭财采监[2019]10号）规定组织对</w:t>
      </w:r>
      <w:r>
        <w:rPr>
          <w:rFonts w:hint="eastAsia" w:ascii="宋体" w:hAnsi="宋体" w:eastAsia="宋体" w:cs="宋体"/>
          <w:sz w:val="24"/>
        </w:rPr>
        <w:t>中标人</w:t>
      </w:r>
      <w:r>
        <w:rPr>
          <w:rFonts w:hint="eastAsia" w:ascii="宋体" w:hAnsi="宋体" w:eastAsia="宋体" w:cs="宋体"/>
          <w:kern w:val="0"/>
          <w:sz w:val="24"/>
        </w:rPr>
        <w:t>履约的验收。验收方成员应当在验收书上签字，并承担相应的法律责任。如果发现与合同中要求不符，</w:t>
      </w:r>
      <w:r>
        <w:rPr>
          <w:rFonts w:hint="eastAsia" w:ascii="宋体" w:hAnsi="宋体" w:eastAsia="宋体" w:cs="宋体"/>
          <w:sz w:val="24"/>
        </w:rPr>
        <w:t>中标人</w:t>
      </w:r>
      <w:r>
        <w:rPr>
          <w:rFonts w:hint="eastAsia" w:ascii="宋体" w:hAnsi="宋体" w:eastAsia="宋体" w:cs="宋体"/>
          <w:kern w:val="0"/>
          <w:sz w:val="24"/>
        </w:rPr>
        <w:t>须承担由此发生的一切损失和费用，并接受相应的处理。</w:t>
      </w:r>
    </w:p>
    <w:p>
      <w:pPr>
        <w:spacing w:line="360" w:lineRule="auto"/>
        <w:ind w:firstLine="480" w:firstLineChars="200"/>
        <w:rPr>
          <w:rFonts w:hint="eastAsia" w:ascii="宋体" w:hAnsi="宋体" w:eastAsia="宋体" w:cs="宋体"/>
          <w:sz w:val="24"/>
        </w:rPr>
      </w:pPr>
      <w:r>
        <w:rPr>
          <w:rFonts w:hint="eastAsia" w:ascii="宋体" w:hAnsi="宋体" w:cs="宋体"/>
          <w:kern w:val="0"/>
          <w:sz w:val="24"/>
          <w:lang w:val="en-US" w:eastAsia="zh-CN"/>
        </w:rPr>
        <w:t>2</w:t>
      </w:r>
      <w:r>
        <w:rPr>
          <w:rFonts w:hint="eastAsia" w:ascii="宋体" w:hAnsi="宋体" w:eastAsia="宋体" w:cs="宋体"/>
          <w:kern w:val="0"/>
          <w:sz w:val="24"/>
        </w:rPr>
        <w:t>、验收产生的费用首次验收费用由采购人承担，如首次验收不合格，后续验收费用由</w:t>
      </w:r>
      <w:r>
        <w:rPr>
          <w:rFonts w:hint="eastAsia" w:ascii="宋体" w:hAnsi="宋体" w:eastAsia="宋体" w:cs="宋体"/>
          <w:sz w:val="24"/>
        </w:rPr>
        <w:t>中标人</w:t>
      </w:r>
      <w:r>
        <w:rPr>
          <w:rFonts w:hint="eastAsia" w:ascii="宋体" w:hAnsi="宋体" w:eastAsia="宋体" w:cs="宋体"/>
          <w:kern w:val="0"/>
          <w:sz w:val="24"/>
        </w:rPr>
        <w:t>支付。</w:t>
      </w:r>
    </w:p>
    <w:p>
      <w:pPr>
        <w:tabs>
          <w:tab w:val="left" w:pos="904"/>
        </w:tabs>
        <w:snapToGrid w:val="0"/>
        <w:spacing w:line="360" w:lineRule="auto"/>
        <w:ind w:firstLine="480" w:firstLineChars="200"/>
        <w:jc w:val="left"/>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、验收内容及资料要求：</w:t>
      </w:r>
    </w:p>
    <w:p>
      <w:pPr>
        <w:tabs>
          <w:tab w:val="left" w:pos="904"/>
        </w:tabs>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根据采购文件确定的技术指标或者服务要求确定验收指标和标准。未进行相应约定的，应当符合国家强制性规定、政策要求、安全标准、行业或企业有关标准等。</w:t>
      </w:r>
    </w:p>
    <w:p>
      <w:pPr>
        <w:pStyle w:val="35"/>
        <w:spacing w:line="360" w:lineRule="auto"/>
        <w:ind w:firstLine="410" w:firstLineChars="171"/>
        <w:rPr>
          <w:rFonts w:hint="eastAsia" w:ascii="宋体" w:hAnsi="宋体" w:eastAsia="宋体" w:cs="宋体"/>
          <w:snapToGrid/>
          <w:sz w:val="24"/>
          <w:szCs w:val="24"/>
        </w:rPr>
      </w:pPr>
      <w:r>
        <w:rPr>
          <w:rFonts w:hint="eastAsia" w:ascii="宋体" w:hAnsi="宋体" w:eastAsia="宋体" w:cs="宋体"/>
          <w:snapToGrid/>
          <w:sz w:val="24"/>
          <w:szCs w:val="24"/>
        </w:rPr>
        <w:t>验收资料要求</w:t>
      </w:r>
    </w:p>
    <w:p>
      <w:pPr>
        <w:pStyle w:val="35"/>
        <w:spacing w:line="360" w:lineRule="auto"/>
        <w:ind w:firstLine="410" w:firstLineChars="171"/>
        <w:rPr>
          <w:rFonts w:hint="eastAsia" w:ascii="宋体" w:hAnsi="宋体" w:eastAsia="宋体" w:cs="宋体"/>
          <w:snapToGrid/>
          <w:sz w:val="24"/>
          <w:szCs w:val="24"/>
        </w:rPr>
      </w:pPr>
      <w:r>
        <w:rPr>
          <w:rFonts w:hint="eastAsia" w:ascii="宋体" w:hAnsi="宋体" w:eastAsia="宋体" w:cs="宋体"/>
          <w:snapToGrid/>
          <w:sz w:val="24"/>
          <w:szCs w:val="24"/>
        </w:rPr>
        <w:t>验收资料要求包括（不限于）以下内容：</w:t>
      </w:r>
    </w:p>
    <w:p>
      <w:pPr>
        <w:pStyle w:val="35"/>
        <w:spacing w:line="360" w:lineRule="auto"/>
        <w:ind w:firstLine="410" w:firstLineChars="171"/>
        <w:rPr>
          <w:rFonts w:hint="eastAsia" w:ascii="宋体" w:hAnsi="宋体" w:eastAsia="宋体" w:cs="宋体"/>
          <w:snapToGrid/>
          <w:sz w:val="24"/>
          <w:szCs w:val="24"/>
        </w:rPr>
      </w:pPr>
      <w:r>
        <w:rPr>
          <w:rFonts w:hint="eastAsia" w:ascii="宋体" w:hAnsi="宋体" w:eastAsia="宋体" w:cs="宋体"/>
          <w:snapToGrid/>
          <w:sz w:val="24"/>
          <w:szCs w:val="24"/>
        </w:rPr>
        <w:t>①采购文件；</w:t>
      </w:r>
    </w:p>
    <w:p>
      <w:pPr>
        <w:pStyle w:val="35"/>
        <w:spacing w:line="360" w:lineRule="auto"/>
        <w:ind w:firstLine="410" w:firstLineChars="171"/>
        <w:rPr>
          <w:rFonts w:hint="eastAsia" w:ascii="宋体" w:hAnsi="宋体" w:eastAsia="宋体" w:cs="宋体"/>
          <w:snapToGrid/>
          <w:sz w:val="24"/>
          <w:szCs w:val="24"/>
        </w:rPr>
      </w:pPr>
      <w:r>
        <w:rPr>
          <w:rFonts w:hint="eastAsia" w:ascii="宋体" w:hAnsi="宋体" w:eastAsia="宋体" w:cs="宋体"/>
          <w:snapToGrid/>
          <w:sz w:val="24"/>
          <w:szCs w:val="24"/>
        </w:rPr>
        <w:t>②投标文件；</w:t>
      </w:r>
    </w:p>
    <w:p>
      <w:pPr>
        <w:pStyle w:val="35"/>
        <w:spacing w:line="360" w:lineRule="auto"/>
        <w:ind w:firstLine="410" w:firstLineChars="171"/>
        <w:rPr>
          <w:rFonts w:hint="eastAsia" w:ascii="宋体" w:hAnsi="宋体" w:eastAsia="宋体" w:cs="宋体"/>
          <w:snapToGrid/>
          <w:sz w:val="24"/>
          <w:szCs w:val="24"/>
        </w:rPr>
      </w:pPr>
      <w:r>
        <w:rPr>
          <w:rFonts w:hint="eastAsia" w:ascii="宋体" w:hAnsi="宋体" w:eastAsia="宋体" w:cs="宋体"/>
          <w:snapToGrid/>
          <w:sz w:val="24"/>
          <w:szCs w:val="24"/>
        </w:rPr>
        <w:t>③采购合同；</w:t>
      </w:r>
    </w:p>
    <w:p>
      <w:pPr>
        <w:pStyle w:val="35"/>
        <w:spacing w:line="360" w:lineRule="auto"/>
        <w:ind w:firstLine="410" w:firstLineChars="171"/>
        <w:rPr>
          <w:rFonts w:hint="eastAsia" w:ascii="宋体" w:hAnsi="宋体" w:eastAsia="宋体" w:cs="宋体"/>
          <w:snapToGrid/>
          <w:sz w:val="24"/>
          <w:szCs w:val="24"/>
        </w:rPr>
      </w:pPr>
      <w:r>
        <w:rPr>
          <w:rFonts w:hint="eastAsia" w:ascii="宋体" w:hAnsi="宋体" w:eastAsia="宋体" w:cs="宋体"/>
          <w:snapToGrid/>
          <w:sz w:val="24"/>
          <w:szCs w:val="24"/>
        </w:rPr>
        <w:t>④产品清单：产品数量、规格、质量证明文件；</w:t>
      </w:r>
    </w:p>
    <w:p>
      <w:pPr>
        <w:pStyle w:val="35"/>
        <w:spacing w:line="360" w:lineRule="auto"/>
        <w:ind w:firstLine="410" w:firstLineChars="171"/>
        <w:rPr>
          <w:rFonts w:hint="eastAsia" w:ascii="宋体" w:hAnsi="宋体" w:eastAsia="宋体" w:cs="宋体"/>
          <w:snapToGrid/>
          <w:sz w:val="24"/>
          <w:szCs w:val="24"/>
        </w:rPr>
      </w:pPr>
      <w:r>
        <w:rPr>
          <w:rFonts w:hint="eastAsia" w:ascii="宋体" w:hAnsi="宋体" w:eastAsia="宋体" w:cs="宋体"/>
          <w:snapToGrid/>
          <w:sz w:val="24"/>
          <w:szCs w:val="24"/>
        </w:rPr>
        <w:t>⑤到货核验单（需采购核验人、复核人及中标人三方签字盖章）、出厂合格证、检测报告、产品说明书、质量保证书原件、三包凭证、产品拍照图片</w:t>
      </w:r>
      <w:r>
        <w:rPr>
          <w:rFonts w:hint="eastAsia" w:hAnsi="宋体" w:cs="宋体"/>
          <w:snapToGrid/>
          <w:sz w:val="24"/>
          <w:szCs w:val="24"/>
          <w:lang w:eastAsia="zh-CN"/>
        </w:rPr>
        <w:t>等</w:t>
      </w:r>
      <w:r>
        <w:rPr>
          <w:rFonts w:hint="eastAsia" w:ascii="宋体" w:hAnsi="宋体" w:eastAsia="宋体" w:cs="宋体"/>
          <w:snapToGrid/>
          <w:sz w:val="24"/>
          <w:szCs w:val="24"/>
        </w:rPr>
        <w:t>；</w:t>
      </w:r>
    </w:p>
    <w:p>
      <w:pPr>
        <w:pStyle w:val="35"/>
        <w:spacing w:line="360" w:lineRule="auto"/>
        <w:ind w:firstLine="410" w:firstLineChars="171"/>
        <w:rPr>
          <w:rFonts w:hint="eastAsia" w:ascii="宋体" w:hAnsi="宋体" w:eastAsia="宋体" w:cs="宋体"/>
          <w:snapToGrid/>
          <w:sz w:val="24"/>
          <w:szCs w:val="24"/>
        </w:rPr>
      </w:pPr>
      <w:r>
        <w:rPr>
          <w:rFonts w:hint="eastAsia" w:ascii="宋体" w:hAnsi="宋体" w:eastAsia="宋体" w:cs="宋体"/>
          <w:snapToGrid/>
          <w:sz w:val="24"/>
          <w:szCs w:val="24"/>
        </w:rPr>
        <w:t>⑥其他需提供的相关材料。</w:t>
      </w:r>
    </w:p>
    <w:p>
      <w:pPr>
        <w:pStyle w:val="26"/>
        <w:spacing w:line="360" w:lineRule="auto"/>
        <w:ind w:firstLine="482"/>
        <w:rPr>
          <w:rFonts w:hint="eastAsia" w:ascii="宋体" w:hAnsi="宋体" w:eastAsia="宋体" w:cs="宋体"/>
        </w:rPr>
      </w:pPr>
      <w:r>
        <w:rPr>
          <w:rFonts w:hint="eastAsia" w:ascii="宋体" w:hAnsi="宋体" w:eastAsia="宋体" w:cs="宋体"/>
          <w:b/>
          <w:snapToGrid w:val="0"/>
          <w:kern w:val="0"/>
        </w:rPr>
        <w:t>十、其他要求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中标人在安装过程中应采取措施保护沿线和附近的建筑物、地上、地下的管线设施等免遭破坏，如因投标人在安装现场对其它建筑物或设备物品发生损坏的，必须无条件赔偿或复原。中标人在安装现场周围，安设一切必要的标志牌、防护栏等确保安全。对安装现场人员、公众及其他财产的安全事故和由此引起的纠纷全部由中标人负责。</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2、投标人做好安全施工管理，对施工过程中发生的一切的安全问题都有投标人无条件承担。</w:t>
      </w:r>
    </w:p>
    <w:p>
      <w:pPr>
        <w:spacing w:line="360" w:lineRule="auto"/>
        <w:ind w:firstLine="480" w:firstLineChars="200"/>
        <w:rPr>
          <w:rFonts w:hint="eastAsia" w:ascii="宋体" w:hAnsi="宋体" w:eastAsia="宋体" w:cs="宋体"/>
        </w:rPr>
      </w:pPr>
      <w:r>
        <w:rPr>
          <w:rFonts w:hint="eastAsia" w:ascii="宋体" w:hAnsi="宋体" w:eastAsia="宋体" w:cs="宋体"/>
          <w:sz w:val="24"/>
        </w:rPr>
        <w:t>3、中标人应遵守国家、现行有关行业管理规定；在备料、安装及生活中控制污染，废弃物运至指定地点。</w:t>
      </w:r>
    </w:p>
    <w:p>
      <w:pPr>
        <w:spacing w:line="360" w:lineRule="auto"/>
        <w:ind w:firstLine="480" w:firstLineChars="200"/>
        <w:rPr>
          <w:rFonts w:hint="eastAsia" w:ascii="宋体" w:hAnsi="宋体" w:eastAsia="宋体" w:cs="宋体"/>
        </w:rPr>
      </w:pPr>
    </w:p>
    <w:p>
      <w:pPr>
        <w:spacing w:line="360" w:lineRule="auto"/>
        <w:ind w:firstLine="480" w:firstLineChars="200"/>
        <w:rPr>
          <w:rFonts w:hint="eastAsia" w:ascii="宋体" w:hAnsi="宋体" w:eastAsia="宋体" w:cs="宋体"/>
        </w:rPr>
      </w:pPr>
    </w:p>
    <w:p>
      <w:pPr>
        <w:spacing w:line="360" w:lineRule="auto"/>
        <w:ind w:firstLine="480" w:firstLineChars="200"/>
        <w:rPr>
          <w:rFonts w:hint="eastAsia" w:ascii="宋体" w:hAnsi="宋体" w:eastAsia="宋体" w:cs="宋体"/>
        </w:rPr>
      </w:pPr>
    </w:p>
    <w:p>
      <w:pPr>
        <w:pStyle w:val="706"/>
        <w:ind w:firstLine="344"/>
        <w:rPr>
          <w:rFonts w:hint="eastAsia" w:ascii="宋体" w:hAnsi="宋体" w:eastAsia="宋体" w:cs="宋体"/>
        </w:rPr>
        <w:sectPr>
          <w:headerReference r:id="rId8" w:type="default"/>
          <w:footerReference r:id="rId9" w:type="default"/>
          <w:pgSz w:w="11906" w:h="16838"/>
          <w:pgMar w:top="992" w:right="1474" w:bottom="1134" w:left="1474" w:header="851" w:footer="641" w:gutter="0"/>
          <w:cols w:space="720" w:num="1"/>
          <w:docGrid w:type="lines" w:linePitch="319" w:charSpace="0"/>
        </w:sectPr>
      </w:pPr>
    </w:p>
    <w:p>
      <w:pPr>
        <w:jc w:val="center"/>
        <w:rPr>
          <w:rFonts w:hint="eastAsia" w:ascii="宋体" w:hAnsi="宋体" w:eastAsia="宋体" w:cs="宋体"/>
          <w:b/>
          <w:sz w:val="36"/>
          <w:szCs w:val="36"/>
        </w:rPr>
      </w:pPr>
      <w:r>
        <w:rPr>
          <w:rFonts w:hint="eastAsia" w:ascii="宋体" w:hAnsi="宋体" w:eastAsia="宋体" w:cs="宋体"/>
          <w:b/>
          <w:sz w:val="36"/>
          <w:szCs w:val="36"/>
        </w:rPr>
        <w:t>第四部分   评标办法</w:t>
      </w:r>
    </w:p>
    <w:p>
      <w:pPr>
        <w:rPr>
          <w:rFonts w:hint="eastAsia" w:ascii="宋体" w:hAnsi="宋体" w:eastAsia="宋体" w:cs="宋体"/>
        </w:rPr>
      </w:pP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p>
      <w:pPr>
        <w:pStyle w:val="132"/>
        <w:spacing w:before="0"/>
        <w:ind w:firstLine="602" w:firstLineChars="250"/>
        <w:rPr>
          <w:rFonts w:hint="eastAsia" w:ascii="宋体" w:hAnsi="宋体" w:eastAsia="宋体" w:cs="宋体"/>
          <w:szCs w:val="24"/>
        </w:rPr>
      </w:pPr>
      <w:r>
        <w:rPr>
          <w:rFonts w:hint="eastAsia" w:ascii="宋体" w:hAnsi="宋体" w:eastAsia="宋体" w:cs="宋体"/>
          <w:b/>
          <w:szCs w:val="24"/>
        </w:rPr>
        <w:t>本次评标采用综合评分法，总分为100分。</w:t>
      </w:r>
      <w:r>
        <w:rPr>
          <w:rFonts w:hint="eastAsia" w:ascii="宋体" w:hAnsi="宋体" w:eastAsia="宋体" w:cs="宋体"/>
          <w:szCs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pStyle w:val="132"/>
        <w:spacing w:before="0"/>
        <w:ind w:left="547" w:leftChars="228" w:firstLine="0" w:firstLineChars="0"/>
        <w:rPr>
          <w:rFonts w:hint="eastAsia" w:ascii="宋体" w:hAnsi="宋体" w:eastAsia="宋体" w:cs="宋体"/>
          <w:szCs w:val="24"/>
        </w:rPr>
      </w:pPr>
      <w:r>
        <w:rPr>
          <w:rFonts w:hint="eastAsia" w:ascii="宋体" w:hAnsi="宋体" w:eastAsia="宋体" w:cs="宋体"/>
          <w:b/>
          <w:color w:val="000000"/>
          <w:szCs w:val="24"/>
        </w:rPr>
        <w:t>各投标人的综合得分为：商务技术得分+投标价格得分之和，总分为100分，其中：商务技术得分70分，投标价格得分30分。</w:t>
      </w:r>
    </w:p>
    <w:p>
      <w:pPr>
        <w:pStyle w:val="132"/>
        <w:spacing w:before="0" w:line="440" w:lineRule="exact"/>
        <w:ind w:firstLine="602" w:firstLineChars="250"/>
        <w:rPr>
          <w:rFonts w:hint="eastAsia" w:ascii="宋体" w:hAnsi="宋体" w:eastAsia="宋体" w:cs="宋体"/>
          <w:b/>
          <w:bCs/>
          <w:color w:val="000000"/>
          <w:sz w:val="24"/>
        </w:rPr>
      </w:pPr>
      <w:r>
        <w:rPr>
          <w:rFonts w:hint="eastAsia" w:ascii="宋体" w:hAnsi="宋体" w:cs="宋体"/>
          <w:b/>
          <w:bCs/>
          <w:color w:val="000000"/>
          <w:sz w:val="24"/>
          <w:lang w:val="en-US" w:eastAsia="zh-CN"/>
        </w:rPr>
        <w:t>1、</w:t>
      </w:r>
      <w:r>
        <w:rPr>
          <w:rFonts w:hint="eastAsia" w:ascii="宋体" w:hAnsi="宋体" w:eastAsia="宋体" w:cs="宋体"/>
          <w:b/>
          <w:bCs/>
          <w:color w:val="000000"/>
          <w:sz w:val="24"/>
        </w:rPr>
        <w:t>评标标准见下表：</w:t>
      </w:r>
      <w:r>
        <w:rPr>
          <w:rFonts w:hint="eastAsia" w:ascii="宋体" w:hAnsi="宋体" w:eastAsia="宋体" w:cs="宋体"/>
          <w:b/>
          <w:color w:val="auto"/>
        </w:rPr>
        <w:t>商务技术分（70分）：</w:t>
      </w:r>
    </w:p>
    <w:tbl>
      <w:tblPr>
        <w:tblStyle w:val="63"/>
        <w:tblpPr w:leftFromText="180" w:rightFromText="180" w:vertAnchor="text" w:horzAnchor="page" w:tblpX="1235" w:tblpY="429"/>
        <w:tblOverlap w:val="never"/>
        <w:tblW w:w="10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213"/>
        <w:gridCol w:w="6020"/>
        <w:gridCol w:w="96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613" w:type="dxa"/>
            <w:noWrap w:val="0"/>
            <w:vAlign w:val="center"/>
          </w:tcPr>
          <w:p>
            <w:pPr>
              <w:widowControl/>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序号</w:t>
            </w:r>
          </w:p>
        </w:tc>
        <w:tc>
          <w:tcPr>
            <w:tcW w:w="1213" w:type="dxa"/>
            <w:noWrap w:val="0"/>
            <w:vAlign w:val="center"/>
          </w:tcPr>
          <w:p>
            <w:pPr>
              <w:widowControl/>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评分细则</w:t>
            </w:r>
          </w:p>
        </w:tc>
        <w:tc>
          <w:tcPr>
            <w:tcW w:w="6020" w:type="dxa"/>
            <w:noWrap w:val="0"/>
            <w:vAlign w:val="center"/>
          </w:tcPr>
          <w:p>
            <w:pPr>
              <w:widowControl/>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评分细则内容</w:t>
            </w:r>
          </w:p>
        </w:tc>
        <w:tc>
          <w:tcPr>
            <w:tcW w:w="960" w:type="dxa"/>
            <w:noWrap w:val="0"/>
            <w:vAlign w:val="center"/>
          </w:tcPr>
          <w:p>
            <w:pPr>
              <w:widowControl/>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szCs w:val="24"/>
                <w:lang w:bidi="ar"/>
              </w:rPr>
              <w:t>权重</w:t>
            </w:r>
            <w:r>
              <w:rPr>
                <w:rFonts w:hint="eastAsia" w:ascii="宋体" w:hAnsi="宋体" w:eastAsia="宋体" w:cs="宋体"/>
                <w:b/>
                <w:bCs/>
                <w:color w:val="000000"/>
                <w:kern w:val="0"/>
                <w:sz w:val="24"/>
                <w:lang w:bidi="ar"/>
              </w:rPr>
              <w:t>（分）</w:t>
            </w:r>
          </w:p>
        </w:tc>
        <w:tc>
          <w:tcPr>
            <w:tcW w:w="1200" w:type="dxa"/>
            <w:noWrap w:val="0"/>
            <w:vAlign w:val="center"/>
          </w:tcPr>
          <w:p>
            <w:pPr>
              <w:widowControl/>
              <w:jc w:val="center"/>
              <w:textAlignment w:val="center"/>
              <w:rPr>
                <w:rFonts w:hint="eastAsia" w:ascii="宋体" w:hAnsi="宋体" w:eastAsia="宋体" w:cs="宋体"/>
                <w:b/>
                <w:bCs/>
                <w:color w:val="000000"/>
                <w:kern w:val="0"/>
                <w:sz w:val="24"/>
                <w:lang w:bidi="ar"/>
              </w:rPr>
            </w:pPr>
            <w:r>
              <w:rPr>
                <w:rFonts w:hint="eastAsia" w:ascii="宋体" w:hAnsi="宋体" w:cs="宋体"/>
                <w:b/>
                <w:bCs/>
                <w:color w:val="000000"/>
                <w:kern w:val="0"/>
                <w:sz w:val="24"/>
                <w:lang w:eastAsia="zh-CN" w:bidi="ar"/>
              </w:rPr>
              <w:t>主观分</w:t>
            </w:r>
            <w:r>
              <w:rPr>
                <w:rFonts w:hint="eastAsia" w:ascii="宋体" w:hAnsi="宋体" w:cs="宋体"/>
                <w:b/>
                <w:bCs/>
                <w:color w:val="000000"/>
                <w:kern w:val="0"/>
                <w:sz w:val="24"/>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613"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1</w:t>
            </w:r>
          </w:p>
        </w:tc>
        <w:tc>
          <w:tcPr>
            <w:tcW w:w="1213"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技术性能</w:t>
            </w:r>
          </w:p>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响应</w:t>
            </w:r>
          </w:p>
        </w:tc>
        <w:tc>
          <w:tcPr>
            <w:tcW w:w="602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center"/>
              <w:rPr>
                <w:rFonts w:hint="eastAsia" w:ascii="宋体" w:hAnsi="宋体" w:eastAsia="宋体" w:cs="宋体"/>
                <w:color w:val="auto"/>
                <w:sz w:val="24"/>
              </w:rPr>
            </w:pPr>
            <w:r>
              <w:rPr>
                <w:rFonts w:hint="eastAsia" w:ascii="宋体" w:hAnsi="宋体" w:eastAsia="宋体" w:cs="宋体"/>
                <w:color w:val="auto"/>
                <w:sz w:val="24"/>
              </w:rPr>
              <w:t>完全满足招标货物的所有功能及技术指标要求得</w:t>
            </w:r>
            <w:r>
              <w:rPr>
                <w:rFonts w:hint="eastAsia" w:ascii="宋体" w:hAnsi="宋体" w:cs="宋体"/>
                <w:color w:val="auto"/>
                <w:sz w:val="24"/>
                <w:lang w:val="en-US" w:eastAsia="zh-CN"/>
              </w:rPr>
              <w:t>31</w:t>
            </w:r>
            <w:r>
              <w:rPr>
                <w:rFonts w:hint="eastAsia" w:ascii="宋体" w:hAnsi="宋体" w:eastAsia="宋体" w:cs="宋体"/>
                <w:color w:val="auto"/>
                <w:sz w:val="24"/>
              </w:rPr>
              <w:t>分；关键指标要求（</w:t>
            </w:r>
            <w:r>
              <w:rPr>
                <w:rFonts w:hint="eastAsia" w:ascii="宋体" w:hAnsi="宋体" w:eastAsia="宋体" w:cs="宋体"/>
                <w:b/>
                <w:bCs/>
                <w:color w:val="auto"/>
                <w:sz w:val="24"/>
              </w:rPr>
              <w:t>标注◆</w:t>
            </w:r>
            <w:r>
              <w:rPr>
                <w:rFonts w:hint="eastAsia" w:ascii="宋体" w:hAnsi="宋体" w:eastAsia="宋体" w:cs="宋体"/>
                <w:color w:val="auto"/>
                <w:sz w:val="24"/>
              </w:rPr>
              <w:t>）负偏离的每项扣2分，扣完为止；其他指标要求（没有标注</w:t>
            </w:r>
            <w:r>
              <w:rPr>
                <w:rFonts w:hint="eastAsia" w:ascii="宋体" w:hAnsi="宋体" w:eastAsia="宋体" w:cs="宋体"/>
                <w:b/>
                <w:bCs/>
                <w:color w:val="auto"/>
                <w:sz w:val="24"/>
              </w:rPr>
              <w:t>◆</w:t>
            </w:r>
            <w:r>
              <w:rPr>
                <w:rFonts w:hint="eastAsia" w:ascii="宋体" w:hAnsi="宋体" w:eastAsia="宋体" w:cs="宋体"/>
                <w:color w:val="auto"/>
                <w:sz w:val="24"/>
              </w:rPr>
              <w:t>）负偏离的每项扣1分，扣完为止。</w:t>
            </w:r>
          </w:p>
          <w:p>
            <w:pPr>
              <w:keepNext w:val="0"/>
              <w:keepLines w:val="0"/>
              <w:pageBreakBefore w:val="0"/>
              <w:widowControl/>
              <w:kinsoku/>
              <w:wordWrap/>
              <w:overflowPunct/>
              <w:topLinePunct w:val="0"/>
              <w:autoSpaceDE/>
              <w:autoSpaceDN/>
              <w:bidi w:val="0"/>
              <w:adjustRightInd w:val="0"/>
              <w:snapToGrid/>
              <w:spacing w:line="360" w:lineRule="auto"/>
              <w:ind w:firstLine="482" w:firstLineChars="200"/>
              <w:textAlignment w:val="center"/>
              <w:rPr>
                <w:rFonts w:hint="eastAsia" w:ascii="宋体" w:hAnsi="宋体" w:cs="宋体"/>
                <w:b/>
                <w:bCs/>
                <w:color w:val="auto"/>
                <w:sz w:val="24"/>
                <w:lang w:val="en-US" w:eastAsia="zh-CN"/>
              </w:rPr>
            </w:pPr>
            <w:r>
              <w:rPr>
                <w:rFonts w:hint="eastAsia" w:ascii="宋体" w:hAnsi="宋体" w:eastAsia="宋体" w:cs="宋体"/>
                <w:b/>
                <w:bCs/>
                <w:color w:val="auto"/>
                <w:sz w:val="24"/>
              </w:rPr>
              <w:t>为保障响应资料的真实合法性，◆项需提供带“CMA”标志的检测报告,并附带国家认证认可监督管理委员会官网（www.cnca.gov.cn）查询截图，加盖制造商</w:t>
            </w:r>
            <w:r>
              <w:rPr>
                <w:rFonts w:hint="eastAsia" w:ascii="宋体" w:hAnsi="宋体" w:cs="宋体"/>
                <w:b/>
                <w:bCs/>
                <w:color w:val="auto"/>
                <w:sz w:val="24"/>
                <w:lang w:eastAsia="zh-CN"/>
              </w:rPr>
              <w:t>公章</w:t>
            </w:r>
            <w:r>
              <w:rPr>
                <w:rFonts w:hint="eastAsia" w:ascii="宋体" w:hAnsi="宋体" w:eastAsia="宋体" w:cs="宋体"/>
                <w:b/>
                <w:bCs/>
                <w:color w:val="auto"/>
                <w:sz w:val="24"/>
              </w:rPr>
              <w:t>进行佐证，</w:t>
            </w:r>
            <w:r>
              <w:rPr>
                <w:rFonts w:hint="eastAsia" w:ascii="宋体" w:hAnsi="宋体" w:cs="宋体"/>
                <w:b/>
                <w:bCs/>
                <w:color w:val="auto"/>
                <w:sz w:val="24"/>
                <w:lang w:eastAsia="zh-CN"/>
              </w:rPr>
              <w:t>否则不予以认可</w:t>
            </w:r>
            <w:r>
              <w:rPr>
                <w:rFonts w:hint="eastAsia" w:ascii="宋体" w:hAnsi="宋体" w:eastAsia="宋体" w:cs="宋体"/>
                <w:b/>
                <w:bCs/>
                <w:color w:val="auto"/>
                <w:sz w:val="24"/>
              </w:rPr>
              <w:t>。</w:t>
            </w:r>
            <w:r>
              <w:rPr>
                <w:rFonts w:hint="eastAsia" w:ascii="宋体" w:hAnsi="宋体" w:cs="宋体"/>
                <w:b/>
                <w:bCs/>
                <w:color w:val="auto"/>
                <w:sz w:val="24"/>
                <w:lang w:eastAsia="zh-CN"/>
              </w:rPr>
              <w:t>其他内容根据采购需求要求，提供相应证明材料，否则视为不响应或负偏离</w:t>
            </w:r>
            <w:r>
              <w:rPr>
                <w:rFonts w:hint="eastAsia" w:ascii="宋体" w:hAnsi="宋体" w:eastAsia="宋体" w:cs="宋体"/>
                <w:b/>
                <w:bCs/>
                <w:color w:val="auto"/>
                <w:sz w:val="24"/>
                <w:lang w:val="en-US" w:eastAsia="zh-Hans"/>
              </w:rPr>
              <w:t>。</w:t>
            </w:r>
          </w:p>
          <w:p>
            <w:pPr>
              <w:keepNext w:val="0"/>
              <w:keepLines w:val="0"/>
              <w:pageBreakBefore w:val="0"/>
              <w:widowControl/>
              <w:kinsoku/>
              <w:wordWrap/>
              <w:overflowPunct/>
              <w:topLinePunct w:val="0"/>
              <w:autoSpaceDE/>
              <w:autoSpaceDN/>
              <w:bidi w:val="0"/>
              <w:adjustRightInd w:val="0"/>
              <w:snapToGrid/>
              <w:spacing w:line="360" w:lineRule="auto"/>
              <w:ind w:firstLine="482" w:firstLineChars="200"/>
              <w:textAlignment w:val="center"/>
              <w:rPr>
                <w:rFonts w:hint="eastAsia" w:ascii="宋体" w:hAnsi="宋体" w:eastAsia="宋体" w:cs="宋体"/>
                <w:color w:val="auto"/>
                <w:sz w:val="24"/>
                <w:lang w:eastAsia="zh-CN"/>
              </w:rPr>
            </w:pPr>
            <w:r>
              <w:rPr>
                <w:rFonts w:hint="eastAsia" w:ascii="宋体" w:hAnsi="宋体" w:cs="宋体"/>
                <w:b/>
                <w:bCs/>
                <w:color w:val="auto"/>
                <w:sz w:val="24"/>
                <w:lang w:val="en-US" w:eastAsia="zh-CN"/>
              </w:rPr>
              <w:t>注：</w:t>
            </w:r>
            <w:r>
              <w:rPr>
                <w:rFonts w:hint="eastAsia" w:ascii="宋体" w:hAnsi="宋体" w:eastAsia="宋体" w:cs="宋体"/>
                <w:b/>
                <w:bCs/>
                <w:color w:val="auto"/>
                <w:sz w:val="24"/>
              </w:rPr>
              <w:t>参数响应也必须真实，若验收过程中发现产品与投标参数不符合的情况，采购方将有权追究投标人的法律责任</w:t>
            </w:r>
            <w:r>
              <w:rPr>
                <w:rFonts w:hint="eastAsia" w:ascii="宋体" w:hAnsi="宋体" w:cs="宋体"/>
                <w:b/>
                <w:bCs/>
                <w:color w:val="auto"/>
                <w:sz w:val="24"/>
                <w:lang w:eastAsia="zh-CN"/>
              </w:rPr>
              <w:t>。</w:t>
            </w:r>
          </w:p>
        </w:tc>
        <w:tc>
          <w:tcPr>
            <w:tcW w:w="96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31分</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trPr>
        <w:tc>
          <w:tcPr>
            <w:tcW w:w="613"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2</w:t>
            </w:r>
          </w:p>
        </w:tc>
        <w:tc>
          <w:tcPr>
            <w:tcW w:w="1213"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总体方案</w:t>
            </w:r>
          </w:p>
        </w:tc>
        <w:tc>
          <w:tcPr>
            <w:tcW w:w="602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color w:val="auto"/>
                <w:kern w:val="0"/>
                <w:sz w:val="24"/>
                <w:lang w:eastAsia="zh-CN" w:bidi="ar"/>
              </w:rPr>
            </w:pPr>
            <w:r>
              <w:rPr>
                <w:rFonts w:hint="eastAsia" w:ascii="宋体" w:hAnsi="宋体" w:cs="宋体"/>
                <w:sz w:val="24"/>
                <w:szCs w:val="24"/>
                <w:lang w:val="en-US" w:eastAsia="zh-CN"/>
              </w:rPr>
              <w:t>根据</w:t>
            </w:r>
            <w:r>
              <w:rPr>
                <w:rFonts w:hint="eastAsia" w:ascii="宋体" w:hAnsi="宋体" w:cs="宋体"/>
                <w:sz w:val="24"/>
                <w:szCs w:val="24"/>
                <w:lang w:eastAsia="zh-CN"/>
              </w:rPr>
              <w:t>投标方案与需求的吻合程度，包括方案设计的功能实现、方案配置</w:t>
            </w:r>
            <w:r>
              <w:rPr>
                <w:rFonts w:hint="eastAsia" w:ascii="宋体" w:hAnsi="宋体" w:eastAsia="宋体" w:cs="宋体"/>
                <w:color w:val="auto"/>
                <w:kern w:val="0"/>
                <w:sz w:val="24"/>
                <w:lang w:eastAsia="zh-CN" w:bidi="ar"/>
              </w:rPr>
              <w:t>的科学性、合理性、以及是否满足招标文件的要求进行</w:t>
            </w:r>
            <w:r>
              <w:rPr>
                <w:rFonts w:hint="eastAsia" w:ascii="宋体" w:hAnsi="宋体" w:cs="宋体"/>
                <w:color w:val="auto"/>
                <w:kern w:val="0"/>
                <w:sz w:val="24"/>
                <w:lang w:val="en-US" w:eastAsia="zh-CN" w:bidi="ar"/>
              </w:rPr>
              <w:t>打</w:t>
            </w:r>
            <w:r>
              <w:rPr>
                <w:rFonts w:hint="eastAsia" w:ascii="宋体" w:hAnsi="宋体" w:eastAsia="宋体" w:cs="宋体"/>
                <w:color w:val="auto"/>
                <w:kern w:val="0"/>
                <w:sz w:val="24"/>
                <w:lang w:eastAsia="zh-CN" w:bidi="ar"/>
              </w:rPr>
              <w:t>分。</w:t>
            </w:r>
          </w:p>
          <w:p>
            <w:pPr>
              <w:keepNext w:val="0"/>
              <w:keepLines w:val="0"/>
              <w:pageBreakBefore w:val="0"/>
              <w:widowControl/>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eastAsia="zh-CN" w:bidi="ar"/>
              </w:rPr>
              <w:t>方案合理细致、针对性强、容易操作得</w:t>
            </w:r>
            <w:r>
              <w:rPr>
                <w:rFonts w:hint="eastAsia" w:ascii="宋体" w:hAnsi="宋体" w:eastAsia="宋体" w:cs="宋体"/>
                <w:color w:val="auto"/>
                <w:kern w:val="0"/>
                <w:sz w:val="24"/>
                <w:lang w:val="en-US" w:eastAsia="zh-CN" w:bidi="ar"/>
              </w:rPr>
              <w:t>5</w:t>
            </w:r>
            <w:r>
              <w:rPr>
                <w:rFonts w:hint="eastAsia" w:ascii="宋体" w:hAnsi="宋体" w:eastAsia="宋体" w:cs="宋体"/>
                <w:color w:val="auto"/>
                <w:kern w:val="0"/>
                <w:sz w:val="24"/>
                <w:lang w:eastAsia="zh-CN" w:bidi="ar"/>
              </w:rPr>
              <w:t>分，方案安排基本合理细致、针对性一般，较容易操作得3分，不够合理、缺乏针对性、不易操作得</w:t>
            </w:r>
            <w:r>
              <w:rPr>
                <w:rFonts w:hint="eastAsia" w:ascii="宋体" w:hAnsi="宋体" w:eastAsia="宋体" w:cs="宋体"/>
                <w:color w:val="auto"/>
                <w:kern w:val="0"/>
                <w:sz w:val="24"/>
                <w:lang w:val="en-US" w:eastAsia="zh-CN" w:bidi="ar"/>
              </w:rPr>
              <w:t>1</w:t>
            </w:r>
            <w:r>
              <w:rPr>
                <w:rFonts w:hint="eastAsia" w:ascii="宋体" w:hAnsi="宋体" w:eastAsia="宋体" w:cs="宋体"/>
                <w:color w:val="auto"/>
                <w:kern w:val="0"/>
                <w:sz w:val="24"/>
                <w:lang w:eastAsia="zh-CN" w:bidi="ar"/>
              </w:rPr>
              <w:t>分。</w:t>
            </w:r>
            <w:r>
              <w:rPr>
                <w:rFonts w:hint="eastAsia" w:ascii="宋体" w:hAnsi="宋体" w:cs="宋体"/>
                <w:color w:val="auto"/>
                <w:kern w:val="0"/>
                <w:sz w:val="24"/>
                <w:lang w:val="en-US" w:eastAsia="zh-CN" w:bidi="ar"/>
              </w:rPr>
              <w:t>不提供的不得分。</w:t>
            </w:r>
          </w:p>
        </w:tc>
        <w:tc>
          <w:tcPr>
            <w:tcW w:w="96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bidi="ar"/>
              </w:rPr>
              <w:t>5分</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trPr>
        <w:tc>
          <w:tcPr>
            <w:tcW w:w="613"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color w:val="auto"/>
                <w:kern w:val="0"/>
                <w:sz w:val="24"/>
                <w:lang w:val="en-US" w:eastAsia="zh-CN" w:bidi="ar"/>
              </w:rPr>
            </w:pPr>
            <w:r>
              <w:rPr>
                <w:rFonts w:hint="eastAsia" w:ascii="宋体" w:hAnsi="宋体" w:cs="宋体"/>
                <w:b/>
                <w:bCs/>
                <w:color w:val="auto"/>
                <w:kern w:val="0"/>
                <w:sz w:val="24"/>
                <w:lang w:val="en-US" w:eastAsia="zh-CN" w:bidi="ar"/>
              </w:rPr>
              <w:t>3</w:t>
            </w:r>
          </w:p>
        </w:tc>
        <w:tc>
          <w:tcPr>
            <w:tcW w:w="1213"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质量保障方案</w:t>
            </w:r>
          </w:p>
        </w:tc>
        <w:tc>
          <w:tcPr>
            <w:tcW w:w="602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cs="宋体"/>
                <w:sz w:val="24"/>
                <w:szCs w:val="24"/>
                <w:lang w:val="en-US" w:eastAsia="zh-CN"/>
              </w:rPr>
            </w:pPr>
            <w:r>
              <w:rPr>
                <w:rFonts w:hint="eastAsia" w:ascii="宋体" w:hAnsi="宋体" w:eastAsia="宋体" w:cs="宋体"/>
                <w:color w:val="auto"/>
                <w:kern w:val="0"/>
                <w:sz w:val="24"/>
                <w:lang w:eastAsia="zh-CN" w:bidi="ar"/>
              </w:rPr>
              <w:t>质量保障方案应至少包含质量问题分析、质量问题处理、质量保障措施等内容：方案、措施详细全面，措施科学、合理，针对性和可行性强，质量有保障</w:t>
            </w:r>
            <w:r>
              <w:rPr>
                <w:rFonts w:hint="eastAsia" w:ascii="宋体" w:hAnsi="宋体" w:cs="宋体"/>
                <w:color w:val="auto"/>
                <w:kern w:val="0"/>
                <w:sz w:val="24"/>
                <w:lang w:eastAsia="zh-CN" w:bidi="ar"/>
              </w:rPr>
              <w:t>的</w:t>
            </w:r>
            <w:r>
              <w:rPr>
                <w:rFonts w:hint="eastAsia" w:ascii="宋体" w:hAnsi="宋体" w:eastAsia="宋体" w:cs="宋体"/>
                <w:color w:val="auto"/>
                <w:kern w:val="0"/>
                <w:sz w:val="24"/>
                <w:lang w:eastAsia="zh-CN" w:bidi="ar"/>
              </w:rPr>
              <w:t>得5分；方案、措施有所欠缺，但能够考虑到实际情况，无重大缺陷</w:t>
            </w:r>
            <w:r>
              <w:rPr>
                <w:rFonts w:hint="eastAsia" w:ascii="宋体" w:hAnsi="宋体" w:cs="宋体"/>
                <w:color w:val="auto"/>
                <w:kern w:val="0"/>
                <w:sz w:val="24"/>
                <w:lang w:eastAsia="zh-CN" w:bidi="ar"/>
              </w:rPr>
              <w:t>的</w:t>
            </w:r>
            <w:r>
              <w:rPr>
                <w:rFonts w:hint="eastAsia" w:ascii="宋体" w:hAnsi="宋体" w:eastAsia="宋体" w:cs="宋体"/>
                <w:color w:val="auto"/>
                <w:kern w:val="0"/>
                <w:sz w:val="24"/>
                <w:lang w:eastAsia="zh-CN" w:bidi="ar"/>
              </w:rPr>
              <w:t>得3分；不够合理、缺乏针对性、不易操作得</w:t>
            </w:r>
            <w:r>
              <w:rPr>
                <w:rFonts w:hint="eastAsia" w:ascii="宋体" w:hAnsi="宋体" w:eastAsia="宋体" w:cs="宋体"/>
                <w:color w:val="auto"/>
                <w:kern w:val="0"/>
                <w:sz w:val="24"/>
                <w:lang w:val="en-US" w:eastAsia="zh-CN" w:bidi="ar"/>
              </w:rPr>
              <w:t>1</w:t>
            </w:r>
            <w:r>
              <w:rPr>
                <w:rFonts w:hint="eastAsia" w:ascii="宋体" w:hAnsi="宋体" w:eastAsia="宋体" w:cs="宋体"/>
                <w:color w:val="auto"/>
                <w:kern w:val="0"/>
                <w:sz w:val="24"/>
                <w:lang w:eastAsia="zh-CN" w:bidi="ar"/>
              </w:rPr>
              <w:t>分。</w:t>
            </w:r>
            <w:r>
              <w:rPr>
                <w:rFonts w:hint="eastAsia" w:ascii="宋体" w:hAnsi="宋体" w:cs="宋体"/>
                <w:color w:val="auto"/>
                <w:kern w:val="0"/>
                <w:sz w:val="24"/>
                <w:lang w:val="en-US" w:eastAsia="zh-CN" w:bidi="ar"/>
              </w:rPr>
              <w:t>不提供的不得分。</w:t>
            </w:r>
          </w:p>
        </w:tc>
        <w:tc>
          <w:tcPr>
            <w:tcW w:w="96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5分</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9" w:hRule="atLeast"/>
        </w:trPr>
        <w:tc>
          <w:tcPr>
            <w:tcW w:w="613"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color w:val="auto"/>
                <w:kern w:val="0"/>
                <w:sz w:val="24"/>
                <w:lang w:val="en-US" w:eastAsia="zh-CN" w:bidi="ar"/>
              </w:rPr>
            </w:pPr>
            <w:r>
              <w:rPr>
                <w:rFonts w:hint="eastAsia" w:ascii="宋体" w:hAnsi="宋体" w:cs="宋体"/>
                <w:b/>
                <w:bCs/>
                <w:color w:val="auto"/>
                <w:kern w:val="0"/>
                <w:sz w:val="24"/>
                <w:lang w:val="en-US" w:eastAsia="zh-CN" w:bidi="ar"/>
              </w:rPr>
              <w:t>4</w:t>
            </w:r>
          </w:p>
        </w:tc>
        <w:tc>
          <w:tcPr>
            <w:tcW w:w="1213"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contextualSpacing/>
              <w:jc w:val="center"/>
              <w:rPr>
                <w:rFonts w:hint="eastAsia" w:ascii="宋体" w:hAnsi="宋体" w:eastAsia="宋体" w:cs="宋体"/>
                <w:b/>
                <w:bCs/>
                <w:color w:val="auto"/>
                <w:kern w:val="0"/>
                <w:sz w:val="24"/>
                <w:lang w:bidi="ar"/>
              </w:rPr>
            </w:pPr>
            <w:r>
              <w:rPr>
                <w:rFonts w:hint="eastAsia" w:ascii="宋体" w:hAnsi="宋体" w:eastAsia="宋体" w:cs="宋体"/>
                <w:b/>
                <w:bCs/>
                <w:color w:val="000000"/>
                <w:sz w:val="24"/>
                <w:szCs w:val="24"/>
              </w:rPr>
              <w:t>验收方案</w:t>
            </w:r>
          </w:p>
        </w:tc>
        <w:tc>
          <w:tcPr>
            <w:tcW w:w="602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根据验收方案的科学性、合理性、以及是否满足招标文件的要求进行</w:t>
            </w:r>
            <w:r>
              <w:rPr>
                <w:rFonts w:hint="eastAsia" w:ascii="宋体" w:hAnsi="宋体" w:cs="宋体"/>
                <w:color w:val="auto"/>
                <w:kern w:val="0"/>
                <w:sz w:val="24"/>
                <w:lang w:val="en-US" w:eastAsia="zh-CN" w:bidi="ar"/>
              </w:rPr>
              <w:t>打</w:t>
            </w:r>
            <w:r>
              <w:rPr>
                <w:rFonts w:hint="eastAsia" w:ascii="宋体" w:hAnsi="宋体" w:eastAsia="宋体" w:cs="宋体"/>
                <w:color w:val="auto"/>
                <w:kern w:val="0"/>
                <w:sz w:val="24"/>
                <w:lang w:bidi="ar"/>
              </w:rPr>
              <w:t>分。方案合理细致、针对性强、容易操作</w:t>
            </w:r>
            <w:r>
              <w:rPr>
                <w:rFonts w:hint="eastAsia" w:ascii="宋体" w:hAnsi="宋体" w:cs="宋体"/>
                <w:color w:val="auto"/>
                <w:kern w:val="0"/>
                <w:sz w:val="24"/>
                <w:lang w:eastAsia="zh-CN" w:bidi="ar"/>
              </w:rPr>
              <w:t>的</w:t>
            </w:r>
            <w:r>
              <w:rPr>
                <w:rFonts w:hint="eastAsia" w:ascii="宋体" w:hAnsi="宋体" w:eastAsia="宋体" w:cs="宋体"/>
                <w:color w:val="auto"/>
                <w:kern w:val="0"/>
                <w:sz w:val="24"/>
                <w:lang w:bidi="ar"/>
              </w:rPr>
              <w:t>得</w:t>
            </w:r>
            <w:r>
              <w:rPr>
                <w:rFonts w:hint="eastAsia" w:ascii="宋体" w:hAnsi="宋体" w:cs="宋体"/>
                <w:color w:val="auto"/>
                <w:kern w:val="0"/>
                <w:sz w:val="24"/>
                <w:lang w:val="en-US" w:eastAsia="zh-CN" w:bidi="ar"/>
              </w:rPr>
              <w:t>5</w:t>
            </w:r>
            <w:r>
              <w:rPr>
                <w:rFonts w:hint="eastAsia" w:ascii="宋体" w:hAnsi="宋体" w:eastAsia="宋体" w:cs="宋体"/>
                <w:color w:val="auto"/>
                <w:kern w:val="0"/>
                <w:sz w:val="24"/>
                <w:lang w:bidi="ar"/>
              </w:rPr>
              <w:t>分，方案安排基本合理细致、针对性一般，较容易操作</w:t>
            </w:r>
            <w:r>
              <w:rPr>
                <w:rFonts w:hint="eastAsia" w:ascii="宋体" w:hAnsi="宋体" w:cs="宋体"/>
                <w:color w:val="auto"/>
                <w:kern w:val="0"/>
                <w:sz w:val="24"/>
                <w:lang w:eastAsia="zh-CN" w:bidi="ar"/>
              </w:rPr>
              <w:t>的</w:t>
            </w:r>
            <w:r>
              <w:rPr>
                <w:rFonts w:hint="eastAsia" w:ascii="宋体" w:hAnsi="宋体" w:eastAsia="宋体" w:cs="宋体"/>
                <w:color w:val="auto"/>
                <w:kern w:val="0"/>
                <w:sz w:val="24"/>
                <w:lang w:bidi="ar"/>
              </w:rPr>
              <w:t>得</w:t>
            </w:r>
            <w:r>
              <w:rPr>
                <w:rFonts w:hint="eastAsia" w:ascii="宋体" w:hAnsi="宋体" w:cs="宋体"/>
                <w:color w:val="auto"/>
                <w:kern w:val="0"/>
                <w:sz w:val="24"/>
                <w:lang w:val="en-US" w:eastAsia="zh-CN" w:bidi="ar"/>
              </w:rPr>
              <w:t>3</w:t>
            </w:r>
            <w:r>
              <w:rPr>
                <w:rFonts w:hint="eastAsia" w:ascii="宋体" w:hAnsi="宋体" w:eastAsia="宋体" w:cs="宋体"/>
                <w:color w:val="auto"/>
                <w:kern w:val="0"/>
                <w:sz w:val="24"/>
                <w:lang w:bidi="ar"/>
              </w:rPr>
              <w:t>分，不够合理、缺乏针对性、不太容易操作</w:t>
            </w:r>
            <w:r>
              <w:rPr>
                <w:rFonts w:hint="eastAsia" w:ascii="宋体" w:hAnsi="宋体" w:cs="宋体"/>
                <w:color w:val="auto"/>
                <w:kern w:val="0"/>
                <w:sz w:val="24"/>
                <w:lang w:eastAsia="zh-CN" w:bidi="ar"/>
              </w:rPr>
              <w:t>的</w:t>
            </w:r>
            <w:r>
              <w:rPr>
                <w:rFonts w:hint="eastAsia" w:ascii="宋体" w:hAnsi="宋体" w:eastAsia="宋体" w:cs="宋体"/>
                <w:color w:val="auto"/>
                <w:kern w:val="0"/>
                <w:sz w:val="24"/>
                <w:lang w:bidi="ar"/>
              </w:rPr>
              <w:t>得</w:t>
            </w:r>
            <w:r>
              <w:rPr>
                <w:rFonts w:hint="eastAsia" w:ascii="宋体" w:hAnsi="宋体" w:cs="宋体"/>
                <w:color w:val="auto"/>
                <w:kern w:val="0"/>
                <w:sz w:val="24"/>
                <w:lang w:val="en-US" w:eastAsia="zh-CN" w:bidi="ar"/>
              </w:rPr>
              <w:t>1</w:t>
            </w:r>
            <w:r>
              <w:rPr>
                <w:rFonts w:hint="eastAsia" w:ascii="宋体" w:hAnsi="宋体" w:eastAsia="宋体" w:cs="宋体"/>
                <w:color w:val="auto"/>
                <w:kern w:val="0"/>
                <w:sz w:val="24"/>
                <w:lang w:bidi="ar"/>
              </w:rPr>
              <w:t>分</w:t>
            </w:r>
            <w:r>
              <w:rPr>
                <w:rFonts w:hint="eastAsia" w:ascii="宋体" w:hAnsi="宋体" w:cs="宋体"/>
                <w:color w:val="000000" w:themeColor="text1"/>
                <w:kern w:val="0"/>
                <w:sz w:val="24"/>
                <w:lang w:eastAsia="zh-CN" w:bidi="ar"/>
                <w14:textFill>
                  <w14:solidFill>
                    <w14:schemeClr w14:val="tx1"/>
                  </w14:solidFill>
                </w14:textFill>
              </w:rPr>
              <w:t>，不提供不得分。</w:t>
            </w:r>
          </w:p>
        </w:tc>
        <w:tc>
          <w:tcPr>
            <w:tcW w:w="96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default"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5分</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trPr>
        <w:tc>
          <w:tcPr>
            <w:tcW w:w="613"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color w:val="auto"/>
                <w:sz w:val="24"/>
                <w:lang w:eastAsia="zh-CN"/>
              </w:rPr>
            </w:pPr>
            <w:r>
              <w:rPr>
                <w:rFonts w:hint="eastAsia" w:ascii="宋体" w:hAnsi="宋体" w:cs="宋体"/>
                <w:b/>
                <w:bCs/>
                <w:color w:val="auto"/>
                <w:kern w:val="0"/>
                <w:sz w:val="24"/>
                <w:lang w:val="en-US" w:eastAsia="zh-CN" w:bidi="ar"/>
              </w:rPr>
              <w:t>5</w:t>
            </w:r>
          </w:p>
        </w:tc>
        <w:tc>
          <w:tcPr>
            <w:tcW w:w="1213"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color w:val="auto"/>
                <w:sz w:val="24"/>
              </w:rPr>
            </w:pPr>
            <w:r>
              <w:rPr>
                <w:rFonts w:hint="eastAsia" w:ascii="宋体" w:hAnsi="宋体" w:eastAsia="宋体" w:cs="宋体"/>
                <w:b/>
                <w:bCs/>
                <w:color w:val="auto"/>
                <w:sz w:val="24"/>
              </w:rPr>
              <w:t>售后服务</w:t>
            </w:r>
          </w:p>
        </w:tc>
        <w:tc>
          <w:tcPr>
            <w:tcW w:w="602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eastAsia="zh-CN" w:bidi="ar"/>
                <w14:textFill>
                  <w14:solidFill>
                    <w14:schemeClr w14:val="tx1"/>
                  </w14:solidFill>
                </w14:textFill>
              </w:rPr>
              <w:t>（</w:t>
            </w:r>
            <w:r>
              <w:rPr>
                <w:rFonts w:hint="eastAsia" w:ascii="宋体" w:hAnsi="宋体" w:cs="宋体"/>
                <w:color w:val="000000" w:themeColor="text1"/>
                <w:kern w:val="0"/>
                <w:sz w:val="24"/>
                <w:lang w:val="en-US" w:eastAsia="zh-CN" w:bidi="ar"/>
                <w14:textFill>
                  <w14:solidFill>
                    <w14:schemeClr w14:val="tx1"/>
                  </w14:solidFill>
                </w14:textFill>
              </w:rPr>
              <w:t>1</w:t>
            </w:r>
            <w:r>
              <w:rPr>
                <w:rFonts w:hint="eastAsia" w:ascii="宋体" w:hAnsi="宋体" w:cs="宋体"/>
                <w:color w:val="000000" w:themeColor="text1"/>
                <w:kern w:val="0"/>
                <w:sz w:val="24"/>
                <w:lang w:eastAsia="zh-CN" w:bidi="ar"/>
                <w14:textFill>
                  <w14:solidFill>
                    <w14:schemeClr w14:val="tx1"/>
                  </w14:solidFill>
                </w14:textFill>
              </w:rPr>
              <w:t>）根据售后服务方案中的售后服务体系、服务机构及人员、服务承诺、服务应答及处理时间等方面是否满足招标文件要求进行</w:t>
            </w:r>
            <w:r>
              <w:rPr>
                <w:rFonts w:hint="eastAsia" w:ascii="宋体" w:hAnsi="宋体" w:cs="宋体"/>
                <w:color w:val="000000" w:themeColor="text1"/>
                <w:kern w:val="0"/>
                <w:sz w:val="24"/>
                <w:lang w:val="en-US" w:eastAsia="zh-CN" w:bidi="ar"/>
                <w14:textFill>
                  <w14:solidFill>
                    <w14:schemeClr w14:val="tx1"/>
                  </w14:solidFill>
                </w14:textFill>
              </w:rPr>
              <w:t>打</w:t>
            </w:r>
            <w:r>
              <w:rPr>
                <w:rFonts w:hint="eastAsia" w:ascii="宋体" w:hAnsi="宋体" w:cs="宋体"/>
                <w:color w:val="000000" w:themeColor="text1"/>
                <w:kern w:val="0"/>
                <w:sz w:val="24"/>
                <w:lang w:eastAsia="zh-CN" w:bidi="ar"/>
                <w14:textFill>
                  <w14:solidFill>
                    <w14:schemeClr w14:val="tx1"/>
                  </w14:solidFill>
                </w14:textFill>
              </w:rPr>
              <w:t>分：</w:t>
            </w:r>
            <w:r>
              <w:rPr>
                <w:rFonts w:hint="eastAsia" w:ascii="宋体" w:hAnsi="宋体" w:cs="宋体"/>
                <w:color w:val="000000" w:themeColor="text1"/>
                <w:kern w:val="0"/>
                <w:sz w:val="24"/>
                <w:lang w:val="en-US" w:eastAsia="zh-CN" w:bidi="ar"/>
                <w14:textFill>
                  <w14:solidFill>
                    <w14:schemeClr w14:val="tx1"/>
                  </w14:solidFill>
                </w14:textFill>
              </w:rPr>
              <w:t>服务方案合理完善，完全满足采购人需求的得2分；服务方案基本合理完善，基本满足采购人需求的得1分，其他不得分，无方案的不得分。</w:t>
            </w:r>
          </w:p>
          <w:p>
            <w:pPr>
              <w:keepNext w:val="0"/>
              <w:keepLines w:val="0"/>
              <w:pageBreakBefore w:val="0"/>
              <w:widowControl/>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 xml:space="preserve">   （2）</w:t>
            </w:r>
            <w:r>
              <w:rPr>
                <w:rFonts w:hint="eastAsia" w:ascii="宋体" w:hAnsi="宋体" w:cs="宋体"/>
                <w:color w:val="000000" w:themeColor="text1"/>
                <w:kern w:val="0"/>
                <w:sz w:val="24"/>
                <w:lang w:eastAsia="zh-CN" w:bidi="ar"/>
                <w14:textFill>
                  <w14:solidFill>
                    <w14:schemeClr w14:val="tx1"/>
                  </w14:solidFill>
                </w14:textFill>
              </w:rPr>
              <w:t>对投标文件中培训方案的培训内容、培训形式方面合理性进行评分；培训方案合理的得</w:t>
            </w:r>
            <w:r>
              <w:rPr>
                <w:rFonts w:hint="eastAsia" w:ascii="宋体" w:hAnsi="宋体" w:cs="宋体"/>
                <w:color w:val="000000" w:themeColor="text1"/>
                <w:kern w:val="0"/>
                <w:sz w:val="24"/>
                <w:lang w:val="en-US" w:eastAsia="zh-CN" w:bidi="ar"/>
                <w14:textFill>
                  <w14:solidFill>
                    <w14:schemeClr w14:val="tx1"/>
                  </w14:solidFill>
                </w14:textFill>
              </w:rPr>
              <w:t>2</w:t>
            </w:r>
            <w:r>
              <w:rPr>
                <w:rFonts w:hint="eastAsia" w:ascii="宋体" w:hAnsi="宋体" w:cs="宋体"/>
                <w:color w:val="000000" w:themeColor="text1"/>
                <w:kern w:val="0"/>
                <w:sz w:val="24"/>
                <w:lang w:eastAsia="zh-CN" w:bidi="ar"/>
                <w14:textFill>
                  <w14:solidFill>
                    <w14:schemeClr w14:val="tx1"/>
                  </w14:solidFill>
                </w14:textFill>
              </w:rPr>
              <w:t>分，培训方案合理性一般的得1分，不提供不得分。</w:t>
            </w:r>
          </w:p>
        </w:tc>
        <w:tc>
          <w:tcPr>
            <w:tcW w:w="96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bidi="ar"/>
              </w:rPr>
              <w:t>4分</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trPr>
        <w:tc>
          <w:tcPr>
            <w:tcW w:w="613"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default" w:ascii="宋体" w:hAnsi="宋体" w:cs="宋体"/>
                <w:b/>
                <w:bCs/>
                <w:color w:val="auto"/>
                <w:kern w:val="0"/>
                <w:sz w:val="24"/>
                <w:lang w:val="en-US" w:eastAsia="zh-CN" w:bidi="ar"/>
              </w:rPr>
            </w:pPr>
            <w:r>
              <w:rPr>
                <w:rFonts w:hint="eastAsia" w:ascii="宋体" w:hAnsi="宋体" w:cs="宋体"/>
                <w:b/>
                <w:bCs/>
                <w:color w:val="auto"/>
                <w:kern w:val="0"/>
                <w:sz w:val="24"/>
                <w:lang w:val="en-US" w:eastAsia="zh-CN" w:bidi="ar"/>
              </w:rPr>
              <w:t>6</w:t>
            </w:r>
          </w:p>
        </w:tc>
        <w:tc>
          <w:tcPr>
            <w:tcW w:w="1213"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color w:val="auto"/>
                <w:sz w:val="24"/>
                <w:lang w:eastAsia="zh-CN"/>
              </w:rPr>
            </w:pPr>
            <w:r>
              <w:rPr>
                <w:rFonts w:hint="eastAsia" w:ascii="宋体" w:hAnsi="宋体" w:cs="宋体"/>
                <w:b/>
                <w:bCs/>
                <w:color w:val="auto"/>
                <w:sz w:val="24"/>
                <w:lang w:eastAsia="zh-CN"/>
              </w:rPr>
              <w:t>团队人员</w:t>
            </w:r>
          </w:p>
        </w:tc>
        <w:tc>
          <w:tcPr>
            <w:tcW w:w="6020" w:type="dxa"/>
            <w:shd w:val="clear" w:color="auto" w:fill="auto"/>
            <w:noWrap w:val="0"/>
            <w:vAlign w:val="center"/>
          </w:tcPr>
          <w:p>
            <w:pPr>
              <w:pStyle w:val="35"/>
              <w:snapToGrid w:val="0"/>
              <w:spacing w:line="360" w:lineRule="auto"/>
              <w:ind w:firstLine="480" w:firstLineChars="200"/>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根据供货、安装、售后人员的工作经验、专业能力、学历履历情况进行打分。人员配备合理、完全符合要求得3分；人员配备合理、基本符合要求得2分；人员配备较差的得1分；未提供此项不得分。</w:t>
            </w:r>
          </w:p>
          <w:p>
            <w:pPr>
              <w:keepNext w:val="0"/>
              <w:keepLines w:val="0"/>
              <w:pageBreakBefore w:val="0"/>
              <w:widowControl/>
              <w:kinsoku/>
              <w:wordWrap/>
              <w:overflowPunct/>
              <w:topLinePunct w:val="0"/>
              <w:autoSpaceDE/>
              <w:autoSpaceDN/>
              <w:bidi w:val="0"/>
              <w:adjustRightInd w:val="0"/>
              <w:snapToGrid/>
              <w:spacing w:line="360" w:lineRule="auto"/>
              <w:jc w:val="left"/>
              <w:textAlignment w:val="center"/>
              <w:rPr>
                <w:rFonts w:hint="eastAsia" w:ascii="宋体" w:hAnsi="宋体" w:cs="宋体"/>
                <w:color w:val="000000" w:themeColor="text1"/>
                <w:kern w:val="0"/>
                <w:sz w:val="24"/>
                <w:lang w:eastAsia="zh-CN" w:bidi="ar"/>
                <w14:textFill>
                  <w14:solidFill>
                    <w14:schemeClr w14:val="tx1"/>
                  </w14:solidFill>
                </w14:textFill>
              </w:rPr>
            </w:pPr>
            <w:r>
              <w:rPr>
                <w:rFonts w:hint="eastAsia" w:ascii="宋体" w:hAnsi="宋体" w:eastAsia="宋体" w:cs="Times New Roman"/>
                <w:kern w:val="2"/>
                <w:sz w:val="24"/>
                <w:szCs w:val="24"/>
                <w:highlight w:val="none"/>
                <w:lang w:val="en-US" w:eastAsia="zh-CN" w:bidi="ar-SA"/>
              </w:rPr>
              <w:t>注：投标文件中提供团队人员的上述证明材料及的社保缴纳证明材料并加盖公章，未提供不得分。</w:t>
            </w:r>
          </w:p>
        </w:tc>
        <w:tc>
          <w:tcPr>
            <w:tcW w:w="96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default" w:ascii="宋体" w:hAnsi="宋体" w:cs="宋体"/>
                <w:color w:val="auto"/>
                <w:kern w:val="0"/>
                <w:sz w:val="24"/>
                <w:lang w:val="en-US" w:eastAsia="zh-CN" w:bidi="ar"/>
              </w:rPr>
            </w:pPr>
            <w:r>
              <w:rPr>
                <w:rFonts w:hint="eastAsia" w:ascii="宋体" w:hAnsi="宋体" w:cs="宋体"/>
                <w:color w:val="auto"/>
                <w:kern w:val="0"/>
                <w:sz w:val="24"/>
                <w:lang w:val="en-US" w:eastAsia="zh-CN" w:bidi="ar"/>
              </w:rPr>
              <w:t>3分</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trPr>
        <w:tc>
          <w:tcPr>
            <w:tcW w:w="613"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default" w:ascii="宋体" w:hAnsi="宋体" w:cs="宋体"/>
                <w:b/>
                <w:bCs/>
                <w:color w:val="auto"/>
                <w:kern w:val="0"/>
                <w:sz w:val="24"/>
                <w:lang w:val="en-US" w:eastAsia="zh-CN" w:bidi="ar"/>
              </w:rPr>
            </w:pPr>
            <w:r>
              <w:rPr>
                <w:rFonts w:hint="eastAsia" w:ascii="宋体" w:hAnsi="宋体" w:cs="宋体"/>
                <w:b/>
                <w:bCs/>
                <w:color w:val="auto"/>
                <w:kern w:val="0"/>
                <w:sz w:val="24"/>
                <w:lang w:val="en-US" w:eastAsia="zh-CN" w:bidi="ar"/>
              </w:rPr>
              <w:t>7</w:t>
            </w:r>
          </w:p>
        </w:tc>
        <w:tc>
          <w:tcPr>
            <w:tcW w:w="1213"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color w:val="auto"/>
                <w:kern w:val="0"/>
                <w:sz w:val="24"/>
                <w:lang w:bidi="ar"/>
              </w:rPr>
            </w:pPr>
            <w:r>
              <w:rPr>
                <w:rFonts w:hint="eastAsia" w:ascii="宋体" w:hAnsi="宋体" w:cs="宋体"/>
                <w:b/>
                <w:bCs/>
                <w:sz w:val="24"/>
                <w:szCs w:val="24"/>
              </w:rPr>
              <w:t>质保期</w:t>
            </w:r>
          </w:p>
        </w:tc>
        <w:tc>
          <w:tcPr>
            <w:tcW w:w="6020" w:type="dxa"/>
            <w:shd w:val="clear" w:color="auto" w:fill="auto"/>
            <w:noWrap w:val="0"/>
            <w:vAlign w:val="center"/>
          </w:tcPr>
          <w:p>
            <w:pPr>
              <w:pStyle w:val="26"/>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left"/>
              <w:rPr>
                <w:rFonts w:hint="default" w:ascii="宋体" w:hAnsi="宋体" w:eastAsia="宋体" w:cs="宋体"/>
                <w:kern w:val="2"/>
                <w:sz w:val="24"/>
                <w:szCs w:val="24"/>
                <w:lang w:val="en-US" w:eastAsia="zh-CN" w:bidi="ar-SA"/>
              </w:rPr>
            </w:pPr>
            <w:r>
              <w:rPr>
                <w:rFonts w:hint="eastAsia" w:ascii="宋体" w:hAnsi="宋体" w:cs="宋体"/>
                <w:sz w:val="24"/>
                <w:szCs w:val="24"/>
              </w:rPr>
              <w:t>在满足招标文件质保期要求的基础上，每增加1年加1分，最多得</w:t>
            </w:r>
            <w:r>
              <w:rPr>
                <w:rFonts w:hint="eastAsia" w:ascii="宋体" w:hAnsi="宋体" w:cs="宋体"/>
                <w:sz w:val="24"/>
                <w:szCs w:val="24"/>
                <w:lang w:val="en-US" w:eastAsia="zh-CN"/>
              </w:rPr>
              <w:t>2</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提供承诺书加盖公章，格式自拟。</w:t>
            </w:r>
          </w:p>
        </w:tc>
        <w:tc>
          <w:tcPr>
            <w:tcW w:w="96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2分</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613"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color w:val="auto"/>
                <w:sz w:val="24"/>
                <w:lang w:eastAsia="zh-CN"/>
              </w:rPr>
            </w:pPr>
            <w:r>
              <w:rPr>
                <w:rFonts w:hint="eastAsia" w:ascii="宋体" w:hAnsi="宋体" w:cs="宋体"/>
                <w:b/>
                <w:bCs/>
                <w:color w:val="auto"/>
                <w:kern w:val="0"/>
                <w:sz w:val="24"/>
                <w:lang w:val="en-US" w:eastAsia="zh-CN" w:bidi="ar"/>
              </w:rPr>
              <w:t>8</w:t>
            </w:r>
          </w:p>
        </w:tc>
        <w:tc>
          <w:tcPr>
            <w:tcW w:w="1213"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color w:val="auto"/>
                <w:sz w:val="24"/>
              </w:rPr>
            </w:pPr>
            <w:r>
              <w:rPr>
                <w:rFonts w:hint="eastAsia" w:ascii="宋体" w:hAnsi="宋体" w:cs="宋体"/>
                <w:b/>
                <w:bCs/>
                <w:color w:val="auto"/>
                <w:sz w:val="24"/>
                <w:lang w:eastAsia="zh-CN"/>
              </w:rPr>
              <w:t>综合履约能力</w:t>
            </w:r>
          </w:p>
        </w:tc>
        <w:tc>
          <w:tcPr>
            <w:tcW w:w="6020"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center"/>
              <w:rPr>
                <w:rFonts w:hint="eastAsia" w:ascii="宋体" w:hAnsi="宋体" w:cs="宋体"/>
                <w:color w:val="auto"/>
                <w:sz w:val="24"/>
                <w:lang w:val="en-US" w:eastAsia="zh-CN"/>
              </w:rPr>
            </w:pPr>
            <w:r>
              <w:rPr>
                <w:rFonts w:hint="eastAsia" w:ascii="宋体" w:hAnsi="宋体" w:cs="宋体"/>
                <w:color w:val="auto"/>
                <w:sz w:val="24"/>
                <w:lang w:val="en-US" w:eastAsia="zh-CN"/>
              </w:rPr>
              <w:t>（1）投标人或核心产品制造商</w:t>
            </w:r>
            <w:r>
              <w:rPr>
                <w:rFonts w:hint="eastAsia" w:ascii="宋体" w:hAnsi="宋体" w:eastAsia="宋体" w:cs="宋体"/>
                <w:color w:val="auto"/>
                <w:sz w:val="24"/>
              </w:rPr>
              <w:t>具有</w:t>
            </w:r>
            <w:r>
              <w:rPr>
                <w:rFonts w:hint="eastAsia" w:ascii="宋体" w:hAnsi="宋体" w:cs="宋体"/>
                <w:color w:val="auto"/>
                <w:sz w:val="24"/>
                <w:lang w:val="en-US" w:eastAsia="zh-CN"/>
              </w:rPr>
              <w:t>有效期内</w:t>
            </w:r>
            <w:r>
              <w:rPr>
                <w:rFonts w:hint="eastAsia" w:ascii="宋体" w:hAnsi="宋体" w:eastAsia="宋体" w:cs="宋体"/>
                <w:color w:val="auto"/>
                <w:sz w:val="24"/>
              </w:rPr>
              <w:t>质量管理体系认证证书</w:t>
            </w:r>
            <w:r>
              <w:rPr>
                <w:rFonts w:hint="eastAsia" w:ascii="宋体" w:hAnsi="宋体" w:cs="宋体"/>
                <w:color w:val="auto"/>
                <w:sz w:val="24"/>
                <w:lang w:eastAsia="zh-CN"/>
              </w:rPr>
              <w:t>的</w:t>
            </w:r>
            <w:r>
              <w:rPr>
                <w:rFonts w:hint="eastAsia" w:ascii="宋体" w:hAnsi="宋体" w:cs="宋体"/>
                <w:color w:val="auto"/>
                <w:sz w:val="24"/>
                <w:lang w:val="en-US" w:eastAsia="zh-CN"/>
              </w:rPr>
              <w:t>得1分</w:t>
            </w:r>
            <w:r>
              <w:rPr>
                <w:rFonts w:hint="eastAsia" w:ascii="宋体" w:hAnsi="宋体" w:eastAsia="宋体" w:cs="宋体"/>
                <w:color w:val="auto"/>
                <w:sz w:val="24"/>
              </w:rPr>
              <w:t>、环境管理体系认证证书</w:t>
            </w:r>
            <w:r>
              <w:rPr>
                <w:rFonts w:hint="eastAsia" w:ascii="宋体" w:hAnsi="宋体" w:cs="宋体"/>
                <w:color w:val="auto"/>
                <w:sz w:val="24"/>
                <w:lang w:eastAsia="zh-CN"/>
              </w:rPr>
              <w:t>的</w:t>
            </w:r>
            <w:r>
              <w:rPr>
                <w:rFonts w:hint="eastAsia" w:ascii="宋体" w:hAnsi="宋体" w:cs="宋体"/>
                <w:color w:val="auto"/>
                <w:sz w:val="24"/>
                <w:lang w:val="en-US" w:eastAsia="zh-CN"/>
              </w:rPr>
              <w:t>得1分</w:t>
            </w:r>
            <w:r>
              <w:rPr>
                <w:rFonts w:hint="eastAsia" w:ascii="宋体" w:hAnsi="宋体" w:eastAsia="宋体" w:cs="宋体"/>
                <w:color w:val="auto"/>
                <w:sz w:val="24"/>
              </w:rPr>
              <w:t>、职业健康体系认证证书的得</w:t>
            </w:r>
            <w:r>
              <w:rPr>
                <w:rFonts w:hint="eastAsia" w:ascii="宋体" w:hAnsi="宋体" w:cs="宋体"/>
                <w:color w:val="auto"/>
                <w:sz w:val="24"/>
                <w:lang w:val="en-US" w:eastAsia="zh-CN"/>
              </w:rPr>
              <w:t>1</w:t>
            </w:r>
            <w:r>
              <w:rPr>
                <w:rFonts w:hint="eastAsia" w:ascii="宋体" w:hAnsi="宋体" w:eastAsia="宋体" w:cs="宋体"/>
                <w:color w:val="auto"/>
                <w:sz w:val="24"/>
              </w:rPr>
              <w:t>分，</w:t>
            </w:r>
            <w:r>
              <w:rPr>
                <w:rFonts w:hint="eastAsia" w:ascii="宋体" w:hAnsi="宋体" w:cs="宋体"/>
                <w:color w:val="auto"/>
                <w:sz w:val="24"/>
                <w:lang w:val="en-US" w:eastAsia="zh-CN"/>
              </w:rPr>
              <w:t>最高得3分。</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textAlignment w:val="center"/>
              <w:rPr>
                <w:rFonts w:hint="default" w:ascii="宋体" w:hAnsi="宋体" w:eastAsia="宋体" w:cs="宋体"/>
                <w:color w:val="auto"/>
                <w:sz w:val="24"/>
                <w:lang w:val="en-US"/>
              </w:rPr>
            </w:pPr>
            <w:r>
              <w:rPr>
                <w:rFonts w:hint="eastAsia" w:ascii="宋体" w:hAnsi="宋体" w:eastAsia="宋体" w:cs="宋体"/>
                <w:b/>
                <w:bCs/>
                <w:color w:val="auto"/>
                <w:sz w:val="24"/>
              </w:rPr>
              <w:t>（提供证书复印件并加盖投标人公章</w:t>
            </w:r>
            <w:r>
              <w:rPr>
                <w:rFonts w:hint="eastAsia" w:ascii="宋体" w:hAnsi="宋体" w:cs="宋体"/>
                <w:b/>
                <w:bCs/>
                <w:color w:val="auto"/>
                <w:szCs w:val="21"/>
                <w:highlight w:val="none"/>
                <w:lang w:eastAsia="zh-CN"/>
              </w:rPr>
              <w:t>和</w:t>
            </w:r>
            <w:r>
              <w:rPr>
                <w:rFonts w:hint="eastAsia" w:ascii="宋体" w:hAnsi="宋体" w:cs="宋体"/>
                <w:b/>
                <w:bCs/>
                <w:color w:val="auto"/>
                <w:szCs w:val="21"/>
                <w:highlight w:val="none"/>
              </w:rPr>
              <w:t>在投标文件中提供有效期内的证书扫描件及全国认证认可信息公共服务平台网站http://www.cnca.gov.cn/查询页面截图，否则不得分。</w:t>
            </w:r>
            <w:r>
              <w:rPr>
                <w:rFonts w:hint="eastAsia" w:ascii="宋体" w:hAnsi="宋体" w:eastAsia="宋体" w:cs="宋体"/>
                <w:b/>
                <w:bCs/>
                <w:color w:val="auto"/>
                <w:sz w:val="24"/>
              </w:rPr>
              <w:t>）</w:t>
            </w:r>
          </w:p>
        </w:tc>
        <w:tc>
          <w:tcPr>
            <w:tcW w:w="96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3分</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sz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3"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cs="宋体"/>
                <w:b/>
                <w:bCs/>
                <w:color w:val="auto"/>
                <w:kern w:val="0"/>
                <w:sz w:val="24"/>
                <w:lang w:val="en-US" w:eastAsia="zh-CN" w:bidi="ar"/>
              </w:rPr>
            </w:pPr>
          </w:p>
        </w:tc>
        <w:tc>
          <w:tcPr>
            <w:tcW w:w="1213" w:type="dxa"/>
            <w:vMerge w:val="continue"/>
            <w:noWrap w:val="0"/>
            <w:vAlign w:val="center"/>
          </w:tcPr>
          <w:p>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b/>
                <w:bCs/>
                <w:color w:val="auto"/>
                <w:sz w:val="24"/>
              </w:rPr>
            </w:pPr>
          </w:p>
        </w:tc>
        <w:tc>
          <w:tcPr>
            <w:tcW w:w="6020"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Chars="0" w:firstLine="480" w:firstLineChars="200"/>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投标人依据GB/T19277.1-2011《受控堆肥条件下材料最终需氧生物分解能力的测定采用测定释放的二氧化碳的方法 第1部分∶通用方法》对所投产品的篮架、篮板保护套经受控需氧堆肥试验检测，且试验结果为：试样45d的生物分解率不低于8%，180d的生物分解率不低于20%；参比材料45d生物分解率不低于70%，180d的生物分解率不低于90%</w:t>
            </w:r>
            <w:r>
              <w:rPr>
                <w:rFonts w:hint="eastAsia" w:ascii="宋体" w:hAnsi="宋体" w:cs="宋体"/>
                <w:sz w:val="24"/>
                <w:szCs w:val="24"/>
                <w:lang w:val="en-US" w:eastAsia="zh-CN"/>
              </w:rPr>
              <w:t>的得2分，</w:t>
            </w:r>
            <w:r>
              <w:rPr>
                <w:rFonts w:hint="eastAsia" w:ascii="宋体" w:hAnsi="宋体" w:eastAsia="宋体" w:cs="宋体"/>
                <w:b/>
                <w:bCs/>
                <w:sz w:val="24"/>
                <w:szCs w:val="24"/>
                <w:lang w:val="en-US" w:eastAsia="zh-CN"/>
              </w:rPr>
              <w:t>提供检测报告复印件</w:t>
            </w:r>
            <w:r>
              <w:rPr>
                <w:rFonts w:hint="eastAsia" w:ascii="宋体" w:hAnsi="宋体" w:cs="宋体"/>
                <w:b/>
                <w:bCs/>
                <w:sz w:val="24"/>
                <w:szCs w:val="24"/>
                <w:lang w:val="en-US" w:eastAsia="zh-CN"/>
              </w:rPr>
              <w:t>加</w:t>
            </w:r>
            <w:r>
              <w:rPr>
                <w:rFonts w:hint="eastAsia" w:ascii="宋体" w:hAnsi="宋体" w:eastAsia="宋体" w:cs="宋体"/>
                <w:b/>
                <w:bCs/>
                <w:sz w:val="24"/>
                <w:szCs w:val="24"/>
                <w:lang w:val="en-US" w:eastAsia="zh-CN"/>
              </w:rPr>
              <w:t>盖</w:t>
            </w:r>
            <w:r>
              <w:rPr>
                <w:rFonts w:hint="eastAsia" w:ascii="宋体" w:hAnsi="宋体" w:cs="宋体"/>
                <w:b/>
                <w:bCs/>
                <w:sz w:val="24"/>
                <w:szCs w:val="24"/>
                <w:lang w:val="en-US" w:eastAsia="zh-CN"/>
              </w:rPr>
              <w:t>制造商</w:t>
            </w:r>
            <w:r>
              <w:rPr>
                <w:rFonts w:hint="eastAsia" w:ascii="宋体" w:hAnsi="宋体" w:eastAsia="宋体" w:cs="宋体"/>
                <w:b/>
                <w:bCs/>
                <w:sz w:val="24"/>
                <w:szCs w:val="24"/>
                <w:lang w:val="en-US" w:eastAsia="zh-CN"/>
              </w:rPr>
              <w:t>公章</w:t>
            </w:r>
            <w:r>
              <w:rPr>
                <w:rFonts w:hint="eastAsia" w:ascii="宋体" w:hAnsi="宋体" w:cs="宋体"/>
                <w:b/>
                <w:bCs/>
                <w:sz w:val="24"/>
                <w:szCs w:val="24"/>
                <w:lang w:val="en-US" w:eastAsia="zh-CN"/>
              </w:rPr>
              <w:t>，</w:t>
            </w:r>
            <w:r>
              <w:rPr>
                <w:rFonts w:hint="eastAsia" w:ascii="宋体" w:hAnsi="宋体" w:eastAsia="宋体" w:cs="宋体"/>
                <w:sz w:val="24"/>
                <w:szCs w:val="24"/>
                <w:lang w:val="en-US" w:eastAsia="zh-CN"/>
              </w:rPr>
              <w:t>不提供或提供不全不得分。</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依据GB/T3325-2017《金属家具通用技术条件》对投标人所投产品金属喷漆（塑）涂层附着力进行检测，附着力达到0级的得3分，达到1级的得2分，达到2级的得1分，2级以上的不得分，提供有资质检测机构出具的带有“CMA和CNAS”标识的检测报告复印件</w:t>
            </w:r>
            <w:r>
              <w:rPr>
                <w:rFonts w:hint="eastAsia" w:ascii="宋体" w:hAnsi="宋体" w:cs="宋体"/>
                <w:b/>
                <w:bCs/>
                <w:sz w:val="24"/>
                <w:szCs w:val="24"/>
                <w:lang w:val="en-US" w:eastAsia="zh-CN"/>
              </w:rPr>
              <w:t>加</w:t>
            </w:r>
            <w:r>
              <w:rPr>
                <w:rFonts w:hint="eastAsia" w:ascii="宋体" w:hAnsi="宋体" w:eastAsia="宋体" w:cs="宋体"/>
                <w:b/>
                <w:bCs/>
                <w:sz w:val="24"/>
                <w:szCs w:val="24"/>
                <w:lang w:val="en-US" w:eastAsia="zh-CN"/>
              </w:rPr>
              <w:t>盖</w:t>
            </w:r>
            <w:r>
              <w:rPr>
                <w:rFonts w:hint="eastAsia" w:ascii="宋体" w:hAnsi="宋体" w:cs="宋体"/>
                <w:b/>
                <w:bCs/>
                <w:sz w:val="24"/>
                <w:szCs w:val="24"/>
                <w:lang w:val="en-US" w:eastAsia="zh-CN"/>
              </w:rPr>
              <w:t>制造商</w:t>
            </w:r>
            <w:r>
              <w:rPr>
                <w:rFonts w:hint="eastAsia" w:ascii="宋体" w:hAnsi="宋体" w:eastAsia="宋体" w:cs="宋体"/>
                <w:b/>
                <w:bCs/>
                <w:sz w:val="24"/>
                <w:szCs w:val="24"/>
                <w:lang w:val="en-US" w:eastAsia="zh-CN"/>
              </w:rPr>
              <w:t>公章</w:t>
            </w:r>
            <w:r>
              <w:rPr>
                <w:rFonts w:hint="eastAsia" w:ascii="宋体" w:hAnsi="宋体" w:eastAsia="宋体" w:cs="宋体"/>
                <w:sz w:val="24"/>
                <w:szCs w:val="24"/>
                <w:lang w:val="en-US" w:eastAsia="zh-CN"/>
              </w:rPr>
              <w:t>，不提供或提供不符合要求的不得分；</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Chars="0" w:firstLine="480" w:firstLineChars="200"/>
              <w:textAlignment w:val="center"/>
              <w:rPr>
                <w:rFonts w:hint="eastAsia" w:ascii="宋体" w:hAnsi="宋体" w:eastAsia="宋体" w:cs="宋体"/>
                <w:color w:val="auto"/>
                <w:sz w:val="24"/>
                <w:highlight w:val="green"/>
                <w:lang w:val="en-US" w:eastAsia="zh-CN"/>
              </w:rPr>
            </w:pPr>
            <w:r>
              <w:rPr>
                <w:rFonts w:hint="eastAsia" w:ascii="宋体" w:hAnsi="宋体" w:cs="宋体"/>
                <w:b w:val="0"/>
                <w:bCs w:val="0"/>
                <w:kern w:val="0"/>
                <w:sz w:val="24"/>
                <w:szCs w:val="24"/>
                <w:lang w:val="en-US" w:eastAsia="zh-CN" w:bidi="ar-SA"/>
              </w:rPr>
              <w:t>（3）</w:t>
            </w:r>
            <w:r>
              <w:rPr>
                <w:rFonts w:hint="eastAsia" w:ascii="宋体" w:hAnsi="宋体" w:eastAsia="宋体" w:cs="宋体"/>
                <w:b w:val="0"/>
                <w:bCs w:val="0"/>
                <w:kern w:val="0"/>
                <w:sz w:val="24"/>
                <w:szCs w:val="24"/>
                <w:lang w:val="en-US" w:eastAsia="zh-CN" w:bidi="ar-SA"/>
              </w:rPr>
              <w:t>所投体育器材</w:t>
            </w:r>
            <w:r>
              <w:rPr>
                <w:rFonts w:hint="eastAsia" w:ascii="宋体" w:hAnsi="宋体" w:cs="宋体"/>
                <w:b w:val="0"/>
                <w:bCs w:val="0"/>
                <w:kern w:val="0"/>
                <w:sz w:val="24"/>
                <w:szCs w:val="24"/>
                <w:lang w:val="en-US" w:eastAsia="zh-CN" w:bidi="ar-SA"/>
              </w:rPr>
              <w:t>序号3青少年升降式篮球架、序号4电动液压篮球架、序号5</w:t>
            </w:r>
            <w:r>
              <w:rPr>
                <w:rFonts w:hint="eastAsia" w:ascii="宋体" w:hAnsi="宋体" w:cs="宋体"/>
                <w:b w:val="0"/>
                <w:bCs w:val="0"/>
                <w:kern w:val="0"/>
              </w:rPr>
              <w:t>固定式篮球架</w:t>
            </w:r>
            <w:r>
              <w:rPr>
                <w:rFonts w:hint="eastAsia" w:ascii="宋体" w:hAnsi="宋体" w:eastAsia="宋体" w:cs="宋体"/>
                <w:b w:val="0"/>
                <w:bCs w:val="0"/>
                <w:kern w:val="0"/>
                <w:sz w:val="24"/>
                <w:szCs w:val="24"/>
                <w:lang w:val="en-US" w:eastAsia="zh-CN" w:bidi="ar-SA"/>
              </w:rPr>
              <w:t>具有产品责任险、公众责任险、产品质量险、人身意外险、雇主责任险，且每项保险累计赔偿额≥2000万元的得4分，每项保险累计赔偿额≥1500万元，＜2000万元的得3分，每项保险累计赔偿额（≥1000万元，＜1500万元）的得2分，每项保险累计赔偿额（＜1000万元）的得1分，缺一项保险种类则不得分。若每项保险累计最高赔偿限额不在一个区间的，以累计赔偿限额最低的保险险种作为基准。（须提供有效期内保单复印件加盖产品制造商公章扫描件，未提供或提供不全的不得分）</w:t>
            </w:r>
          </w:p>
        </w:tc>
        <w:tc>
          <w:tcPr>
            <w:tcW w:w="96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9分</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613"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color w:val="auto"/>
                <w:sz w:val="24"/>
                <w:lang w:eastAsia="zh-CN"/>
              </w:rPr>
            </w:pPr>
            <w:r>
              <w:rPr>
                <w:rFonts w:hint="eastAsia" w:ascii="宋体" w:hAnsi="宋体" w:cs="宋体"/>
                <w:b/>
                <w:bCs/>
                <w:color w:val="auto"/>
                <w:kern w:val="0"/>
                <w:sz w:val="24"/>
                <w:lang w:val="en-US" w:eastAsia="zh-CN" w:bidi="ar"/>
              </w:rPr>
              <w:t>9</w:t>
            </w:r>
          </w:p>
        </w:tc>
        <w:tc>
          <w:tcPr>
            <w:tcW w:w="1213"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业绩证明</w:t>
            </w:r>
          </w:p>
        </w:tc>
        <w:tc>
          <w:tcPr>
            <w:tcW w:w="602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投标人提供自20</w:t>
            </w:r>
            <w:r>
              <w:rPr>
                <w:rFonts w:hint="eastAsia" w:ascii="宋体" w:hAnsi="宋体" w:cs="宋体"/>
                <w:color w:val="auto"/>
                <w:kern w:val="0"/>
                <w:sz w:val="24"/>
                <w:lang w:val="en-US" w:eastAsia="zh-CN" w:bidi="ar"/>
              </w:rPr>
              <w:t>21</w:t>
            </w:r>
            <w:r>
              <w:rPr>
                <w:rFonts w:hint="eastAsia" w:ascii="宋体" w:hAnsi="宋体" w:eastAsia="宋体" w:cs="宋体"/>
                <w:color w:val="auto"/>
                <w:kern w:val="0"/>
                <w:sz w:val="24"/>
                <w:lang w:bidi="ar"/>
              </w:rPr>
              <w:t>年1月1日以来（含）（时间以合同签订时间为准）</w:t>
            </w:r>
            <w:r>
              <w:rPr>
                <w:rFonts w:hint="eastAsia" w:ascii="宋体" w:hAnsi="宋体" w:cs="宋体"/>
                <w:color w:val="auto"/>
                <w:kern w:val="0"/>
                <w:sz w:val="24"/>
                <w:lang w:val="en-US" w:eastAsia="zh-CN" w:bidi="ar"/>
              </w:rPr>
              <w:t>类似项目</w:t>
            </w:r>
            <w:r>
              <w:rPr>
                <w:rFonts w:hint="eastAsia" w:ascii="宋体" w:hAnsi="宋体" w:eastAsia="宋体" w:cs="宋体"/>
                <w:color w:val="auto"/>
                <w:kern w:val="0"/>
                <w:sz w:val="24"/>
                <w:lang w:bidi="ar"/>
              </w:rPr>
              <w:t>业绩合同的</w:t>
            </w:r>
            <w:r>
              <w:rPr>
                <w:rFonts w:hint="eastAsia" w:ascii="宋体" w:hAnsi="宋体" w:cs="宋体"/>
                <w:color w:val="auto"/>
                <w:kern w:val="0"/>
                <w:sz w:val="24"/>
                <w:lang w:eastAsia="zh-CN" w:bidi="ar"/>
              </w:rPr>
              <w:t>（包含核心产品）</w:t>
            </w:r>
            <w:r>
              <w:rPr>
                <w:rFonts w:hint="eastAsia" w:ascii="宋体" w:hAnsi="宋体" w:eastAsia="宋体" w:cs="宋体"/>
                <w:color w:val="auto"/>
                <w:kern w:val="0"/>
                <w:sz w:val="24"/>
                <w:lang w:bidi="ar"/>
              </w:rPr>
              <w:t>，每提供一个得1分，最多得3分；</w:t>
            </w:r>
          </w:p>
          <w:p>
            <w:pPr>
              <w:keepNext w:val="0"/>
              <w:keepLines w:val="0"/>
              <w:pageBreakBefore w:val="0"/>
              <w:widowControl/>
              <w:kinsoku/>
              <w:wordWrap/>
              <w:overflowPunct/>
              <w:topLinePunct w:val="0"/>
              <w:autoSpaceDE/>
              <w:autoSpaceDN/>
              <w:bidi w:val="0"/>
              <w:adjustRightInd w:val="0"/>
              <w:snapToGrid/>
              <w:spacing w:line="360" w:lineRule="auto"/>
              <w:textAlignment w:val="center"/>
              <w:rPr>
                <w:rFonts w:hint="eastAsia" w:ascii="宋体" w:hAnsi="宋体" w:eastAsia="宋体" w:cs="宋体"/>
                <w:color w:val="auto"/>
                <w:sz w:val="24"/>
              </w:rPr>
            </w:pPr>
            <w:r>
              <w:rPr>
                <w:rFonts w:hint="eastAsia" w:ascii="宋体" w:hAnsi="宋体" w:eastAsia="宋体" w:cs="宋体"/>
                <w:b/>
                <w:bCs/>
                <w:color w:val="auto"/>
                <w:kern w:val="0"/>
                <w:sz w:val="24"/>
                <w:lang w:bidi="ar"/>
              </w:rPr>
              <w:t>投标文件中提供合同复印件加盖</w:t>
            </w:r>
            <w:r>
              <w:rPr>
                <w:rFonts w:hint="eastAsia" w:ascii="宋体" w:hAnsi="宋体"/>
                <w:b/>
                <w:bCs/>
                <w:color w:val="000000" w:themeColor="text1"/>
                <w:lang w:val="en-US" w:eastAsia="zh-CN"/>
                <w14:textFill>
                  <w14:solidFill>
                    <w14:schemeClr w14:val="tx1"/>
                  </w14:solidFill>
                </w14:textFill>
              </w:rPr>
              <w:t>投标单位</w:t>
            </w:r>
            <w:r>
              <w:rPr>
                <w:rFonts w:hint="eastAsia" w:ascii="宋体" w:hAnsi="宋体" w:eastAsia="宋体" w:cs="宋体"/>
                <w:b/>
                <w:bCs/>
                <w:color w:val="auto"/>
                <w:kern w:val="0"/>
                <w:sz w:val="24"/>
                <w:lang w:bidi="ar"/>
              </w:rPr>
              <w:t>公章。</w:t>
            </w:r>
          </w:p>
        </w:tc>
        <w:tc>
          <w:tcPr>
            <w:tcW w:w="96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bidi="ar"/>
              </w:rPr>
              <w:t>3</w:t>
            </w:r>
            <w:r>
              <w:rPr>
                <w:rFonts w:hint="eastAsia" w:ascii="宋体" w:hAnsi="宋体" w:cs="宋体"/>
                <w:color w:val="auto"/>
                <w:kern w:val="0"/>
                <w:sz w:val="24"/>
                <w:lang w:eastAsia="zh-CN" w:bidi="ar"/>
              </w:rPr>
              <w:t>分</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sz w:val="24"/>
                <w:lang w:eastAsia="zh-CN"/>
              </w:rPr>
              <w:t>客观分</w:t>
            </w:r>
          </w:p>
        </w:tc>
      </w:tr>
    </w:tbl>
    <w:p>
      <w:pPr>
        <w:pStyle w:val="132"/>
        <w:spacing w:before="0"/>
        <w:ind w:firstLine="482"/>
        <w:rPr>
          <w:rFonts w:hint="eastAsia" w:ascii="宋体" w:hAnsi="宋体" w:eastAsia="宋体" w:cs="宋体"/>
          <w:b/>
          <w:bCs/>
          <w:color w:val="auto"/>
          <w:kern w:val="0"/>
          <w:szCs w:val="24"/>
        </w:rPr>
      </w:pPr>
      <w:r>
        <w:rPr>
          <w:rFonts w:hint="eastAsia" w:ascii="宋体" w:hAnsi="宋体" w:eastAsia="宋体" w:cs="宋体"/>
          <w:b/>
          <w:bCs/>
          <w:color w:val="auto"/>
          <w:kern w:val="0"/>
          <w:szCs w:val="24"/>
        </w:rPr>
        <w:t>备注：投标人编制投标文件（商务技术文件部分）时，建议按此目录（序号和内容）提供评标标准相应的商务技术资料。 </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2、技术分+商务分=评标委员会所有成员评分合计数/评标委员会组成人员数（精确到小数点后二位）；</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rPr>
          <w:rFonts w:hint="eastAsia" w:ascii="宋体" w:hAnsi="宋体" w:eastAsia="宋体" w:cs="宋体"/>
          <w:color w:val="auto"/>
          <w:sz w:val="24"/>
        </w:rPr>
      </w:pPr>
      <w:r>
        <w:rPr>
          <w:rFonts w:hint="eastAsia" w:ascii="宋体" w:hAnsi="宋体" w:eastAsia="宋体" w:cs="宋体"/>
          <w:b/>
          <w:bCs/>
          <w:color w:val="auto"/>
          <w:sz w:val="24"/>
        </w:rPr>
        <w:t>3、价格分（30分）</w:t>
      </w:r>
      <w:r>
        <w:rPr>
          <w:rFonts w:hint="eastAsia" w:ascii="宋体" w:hAnsi="宋体" w:eastAsia="宋体" w:cs="宋体"/>
          <w:color w:val="auto"/>
          <w:sz w:val="24"/>
        </w:rPr>
        <w:t>采用低价优先法计算，即满足招标文件要求且投标价格最低的投标报价为评标基准价，其他投标人的价格分按照下列公式计算：价格分=（评标基准价/投标报价）×30%×100（精确到小数点后二位）；</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rPr>
          <w:rFonts w:hint="eastAsia"/>
        </w:rPr>
      </w:pPr>
      <w:r>
        <w:rPr>
          <w:rFonts w:hint="eastAsia" w:ascii="宋体" w:hAnsi="宋体" w:eastAsia="宋体" w:cs="宋体"/>
          <w:b/>
          <w:bCs/>
          <w:color w:val="auto"/>
          <w:sz w:val="24"/>
        </w:rPr>
        <w:t>4、投标人评标综合得分=技术分+商务分+价格分（精确到小数点后二位）；</w:t>
      </w:r>
    </w:p>
    <w:p>
      <w:pPr>
        <w:pStyle w:val="2"/>
        <w:jc w:val="left"/>
        <w:rPr>
          <w:rFonts w:hint="eastAsia" w:ascii="宋体" w:hAnsi="宋体" w:eastAsia="宋体" w:cs="宋体"/>
          <w:color w:val="auto"/>
        </w:rPr>
      </w:pPr>
      <w:r>
        <w:rPr>
          <w:rFonts w:hint="eastAsia" w:ascii="宋体" w:hAnsi="宋体" w:eastAsia="宋体" w:cs="宋体"/>
          <w:color w:val="auto"/>
        </w:rPr>
        <w:t>一、评标方法</w:t>
      </w:r>
    </w:p>
    <w:p>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pPr>
        <w:pStyle w:val="2"/>
        <w:jc w:val="left"/>
        <w:rPr>
          <w:rFonts w:hint="eastAsia" w:ascii="宋体" w:hAnsi="宋体" w:eastAsia="宋体" w:cs="宋体"/>
          <w:color w:val="auto"/>
        </w:rPr>
      </w:pPr>
      <w:r>
        <w:rPr>
          <w:rFonts w:hint="eastAsia" w:ascii="宋体" w:hAnsi="宋体" w:eastAsia="宋体" w:cs="宋体"/>
          <w:color w:val="auto"/>
        </w:rPr>
        <w:t>二、评标标准</w:t>
      </w:r>
    </w:p>
    <w:p>
      <w:pPr>
        <w:spacing w:line="360" w:lineRule="auto"/>
        <w:ind w:firstLine="472" w:firstLineChars="196"/>
        <w:rPr>
          <w:rFonts w:hint="eastAsia" w:ascii="宋体" w:hAnsi="宋体" w:eastAsia="宋体" w:cs="宋体"/>
          <w:b/>
          <w:sz w:val="24"/>
        </w:rPr>
      </w:pPr>
      <w:r>
        <w:rPr>
          <w:rFonts w:hint="eastAsia" w:ascii="宋体" w:hAnsi="宋体" w:eastAsia="宋体" w:cs="宋体"/>
          <w:b/>
          <w:color w:val="auto"/>
          <w:sz w:val="24"/>
        </w:rPr>
        <w:t>2.</w:t>
      </w:r>
      <w:r>
        <w:rPr>
          <w:rFonts w:hint="eastAsia" w:ascii="宋体" w:hAnsi="宋体" w:eastAsia="宋体" w:cs="宋体"/>
          <w:color w:val="auto"/>
        </w:rPr>
        <w:t xml:space="preserve"> </w:t>
      </w:r>
      <w:r>
        <w:rPr>
          <w:rFonts w:hint="eastAsia" w:ascii="宋体" w:hAnsi="宋体" w:eastAsia="宋体" w:cs="宋体"/>
          <w:b/>
          <w:color w:val="auto"/>
          <w:sz w:val="24"/>
        </w:rPr>
        <w:t>评标标准：</w:t>
      </w:r>
      <w:r>
        <w:rPr>
          <w:rFonts w:hint="eastAsia" w:ascii="宋体" w:hAnsi="宋体" w:eastAsia="宋体" w:cs="宋体"/>
          <w:color w:val="auto"/>
          <w:kern w:val="0"/>
          <w:sz w:val="24"/>
        </w:rPr>
        <w:t>见评标办法前附表。</w:t>
      </w:r>
    </w:p>
    <w:p>
      <w:pPr>
        <w:pStyle w:val="2"/>
        <w:jc w:val="left"/>
        <w:rPr>
          <w:rFonts w:hint="eastAsia" w:ascii="宋体" w:hAnsi="宋体" w:eastAsia="宋体" w:cs="宋体"/>
          <w:b/>
          <w:sz w:val="32"/>
          <w:szCs w:val="32"/>
        </w:rPr>
      </w:pPr>
      <w:r>
        <w:rPr>
          <w:rFonts w:hint="eastAsia" w:ascii="宋体" w:hAnsi="宋体" w:eastAsia="宋体" w:cs="宋体"/>
          <w:b/>
          <w:sz w:val="32"/>
          <w:szCs w:val="32"/>
        </w:rPr>
        <w:t>三、评标程序</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pPr>
        <w:pStyle w:val="132"/>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2"/>
        <w:jc w:val="both"/>
        <w:rPr>
          <w:rFonts w:hint="eastAsia" w:ascii="宋体" w:hAnsi="宋体" w:eastAsia="宋体" w:cs="宋体"/>
          <w:b/>
          <w:sz w:val="32"/>
        </w:rPr>
      </w:pPr>
      <w:r>
        <w:rPr>
          <w:rFonts w:hint="eastAsia" w:ascii="宋体" w:hAnsi="宋体" w:eastAsia="宋体" w:cs="宋体"/>
          <w:b/>
          <w:sz w:val="32"/>
        </w:rPr>
        <w:t>四、评标中的其他事项</w:t>
      </w:r>
    </w:p>
    <w:p>
      <w:pPr>
        <w:pStyle w:val="132"/>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1021"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pPr>
        <w:spacing w:line="360" w:lineRule="auto"/>
        <w:ind w:firstLine="240" w:firstLineChars="100"/>
        <w:rPr>
          <w:rFonts w:hint="eastAsia" w:ascii="宋体" w:hAnsi="宋体" w:eastAsia="宋体" w:cs="宋体"/>
          <w:kern w:val="0"/>
          <w:lang w:val="en-US"/>
        </w:rPr>
      </w:pPr>
      <w:r>
        <w:rPr>
          <w:rFonts w:hint="eastAsia" w:ascii="宋体" w:hAnsi="宋体" w:eastAsia="宋体" w:cs="宋体"/>
          <w:kern w:val="0"/>
          <w:lang w:val="en-US"/>
        </w:rPr>
        <w:t>4.2.13 投标文件不满足招标文件的其它实质性要求的；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pPr>
        <w:pStyle w:val="26"/>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pPr>
        <w:pStyle w:val="26"/>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pPr>
        <w:pStyle w:val="26"/>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pPr>
        <w:pStyle w:val="26"/>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pPr>
        <w:pStyle w:val="26"/>
        <w:snapToGrid w:val="0"/>
        <w:spacing w:line="360" w:lineRule="auto"/>
        <w:rPr>
          <w:rFonts w:hint="eastAsia" w:ascii="宋体" w:hAnsi="宋体" w:eastAsia="宋体" w:cs="宋体"/>
        </w:rPr>
      </w:pPr>
      <w:r>
        <w:rPr>
          <w:rFonts w:hint="eastAsia" w:ascii="宋体" w:hAnsi="宋体" w:eastAsia="宋体" w:cs="宋体"/>
        </w:rPr>
        <w:t>废标后，</w:t>
      </w:r>
      <w:r>
        <w:rPr>
          <w:rFonts w:hint="eastAsia" w:ascii="宋体" w:hAnsi="宋体" w:eastAsia="宋体" w:cs="宋体"/>
          <w:lang w:eastAsia="zh-CN"/>
        </w:rPr>
        <w:t>采购代理机构</w:t>
      </w:r>
      <w:r>
        <w:rPr>
          <w:rFonts w:hint="eastAsia" w:ascii="宋体" w:hAnsi="宋体" w:eastAsia="宋体" w:cs="宋体"/>
        </w:rPr>
        <w:t>应当将废标理由通知所有投标人。</w:t>
      </w:r>
    </w:p>
    <w:p>
      <w:pPr>
        <w:pStyle w:val="26"/>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lang w:eastAsia="zh-CN"/>
        </w:rPr>
        <w:t>采购代理机构</w:t>
      </w:r>
      <w:r>
        <w:rPr>
          <w:rFonts w:hint="eastAsia" w:ascii="宋体" w:hAnsi="宋体" w:eastAsia="宋体" w:cs="宋体"/>
        </w:rPr>
        <w:t>沟通并作书面记录。采购人、</w:t>
      </w:r>
      <w:r>
        <w:rPr>
          <w:rFonts w:hint="eastAsia" w:ascii="宋体" w:hAnsi="宋体" w:eastAsia="宋体" w:cs="宋体"/>
          <w:lang w:eastAsia="zh-CN"/>
        </w:rPr>
        <w:t>采购代理机构</w:t>
      </w:r>
      <w:r>
        <w:rPr>
          <w:rFonts w:hint="eastAsia" w:ascii="宋体" w:hAnsi="宋体" w:eastAsia="宋体" w:cs="宋体"/>
        </w:rPr>
        <w:t>确认后，将修改招标文件，重新组织采购活动。</w:t>
      </w:r>
    </w:p>
    <w:p>
      <w:pPr>
        <w:pStyle w:val="26"/>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pPr>
        <w:pStyle w:val="26"/>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pPr>
        <w:pStyle w:val="26"/>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pPr>
        <w:pStyle w:val="26"/>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p>
    <w:p>
      <w:pPr>
        <w:rPr>
          <w:rFonts w:hint="eastAsia" w:ascii="宋体" w:hAnsi="宋体" w:eastAsia="宋体" w:cs="宋体"/>
        </w:rPr>
      </w:pPr>
    </w:p>
    <w:bookmarkEnd w:id="30"/>
    <w:p>
      <w:pPr>
        <w:spacing w:line="240" w:lineRule="auto"/>
        <w:ind w:left="0" w:leftChars="0" w:firstLine="0" w:firstLineChars="0"/>
        <w:outlineLvl w:val="9"/>
        <w:rPr>
          <w:rFonts w:hint="eastAsia" w:ascii="宋体" w:hAnsi="宋体" w:eastAsia="宋体" w:cs="宋体"/>
        </w:rPr>
      </w:pPr>
      <w:bookmarkStart w:id="33" w:name="第五部分"/>
      <w:bookmarkStart w:id="34" w:name="_Toc86217003"/>
    </w:p>
    <w:p>
      <w:pPr>
        <w:spacing w:line="240" w:lineRule="auto"/>
        <w:ind w:left="0" w:leftChars="0" w:firstLine="0" w:firstLineChars="0"/>
        <w:outlineLvl w:val="9"/>
        <w:rPr>
          <w:rFonts w:hint="eastAsia" w:ascii="宋体" w:hAnsi="宋体" w:eastAsia="宋体" w:cs="宋体"/>
        </w:rPr>
      </w:pPr>
      <w:r>
        <w:rPr>
          <w:rFonts w:hint="eastAsia" w:ascii="宋体" w:hAnsi="宋体" w:eastAsia="宋体" w:cs="宋体"/>
        </w:rPr>
        <w:t xml:space="preserve">    </w:t>
      </w:r>
    </w:p>
    <w:p>
      <w:pPr>
        <w:pStyle w:val="80"/>
        <w:rPr>
          <w:rFonts w:hint="eastAsia" w:ascii="宋体" w:hAnsi="宋体" w:eastAsia="宋体" w:cs="宋体"/>
        </w:rPr>
      </w:pPr>
    </w:p>
    <w:p>
      <w:pPr>
        <w:pStyle w:val="80"/>
        <w:rPr>
          <w:rFonts w:hint="eastAsia" w:ascii="宋体" w:hAnsi="宋体" w:eastAsia="宋体" w:cs="宋体"/>
        </w:rPr>
      </w:pPr>
    </w:p>
    <w:p>
      <w:pPr>
        <w:pStyle w:val="80"/>
        <w:rPr>
          <w:rFonts w:hint="eastAsia" w:ascii="宋体" w:hAnsi="宋体" w:eastAsia="宋体" w:cs="宋体"/>
        </w:rPr>
      </w:pPr>
    </w:p>
    <w:p>
      <w:pPr>
        <w:pStyle w:val="80"/>
        <w:rPr>
          <w:rFonts w:hint="eastAsia" w:ascii="宋体" w:hAnsi="宋体" w:eastAsia="宋体" w:cs="宋体"/>
        </w:rPr>
      </w:pPr>
    </w:p>
    <w:p>
      <w:pPr>
        <w:pStyle w:val="80"/>
        <w:rPr>
          <w:rFonts w:hint="eastAsia" w:ascii="宋体" w:hAnsi="宋体" w:eastAsia="宋体" w:cs="宋体"/>
        </w:rPr>
      </w:pPr>
    </w:p>
    <w:p>
      <w:pPr>
        <w:spacing w:line="240" w:lineRule="auto"/>
        <w:ind w:left="0" w:leftChars="0" w:firstLine="0" w:firstLineChars="0"/>
        <w:jc w:val="center"/>
        <w:outlineLvl w:val="9"/>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pPr>
        <w:rPr>
          <w:rFonts w:hint="eastAsia" w:ascii="宋体" w:hAnsi="宋体" w:eastAsia="宋体" w:cs="宋体"/>
          <w:sz w:val="24"/>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w:t>
      </w:r>
    </w:p>
    <w:p>
      <w:pPr>
        <w:pStyle w:val="703"/>
        <w:ind w:left="0" w:leftChars="0" w:firstLine="0" w:firstLineChars="0"/>
        <w:rPr>
          <w:rFonts w:hint="eastAsia" w:ascii="宋体" w:hAnsi="宋体" w:eastAsia="宋体" w:cs="宋体"/>
          <w:szCs w:val="24"/>
        </w:rPr>
      </w:pPr>
    </w:p>
    <w:p>
      <w:pPr>
        <w:pStyle w:val="703"/>
        <w:jc w:val="center"/>
        <w:rPr>
          <w:rFonts w:hint="eastAsia" w:ascii="宋体" w:hAnsi="宋体" w:eastAsia="宋体" w:cs="宋体"/>
          <w:szCs w:val="24"/>
        </w:rPr>
      </w:pPr>
    </w:p>
    <w:p>
      <w:pPr>
        <w:pStyle w:val="703"/>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pPr>
        <w:pStyle w:val="703"/>
        <w:rPr>
          <w:rFonts w:hint="eastAsia" w:ascii="宋体" w:hAnsi="宋体" w:eastAsia="宋体" w:cs="宋体"/>
          <w:szCs w:val="24"/>
        </w:rPr>
      </w:pP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cs="宋体"/>
          <w:sz w:val="24"/>
          <w:u w:val="single"/>
          <w:lang w:eastAsia="zh-CN"/>
        </w:rPr>
        <w:t>杜甫小学和杜甫二小（筹）体育器材项目采购</w:t>
      </w:r>
      <w:r>
        <w:rPr>
          <w:rFonts w:hint="eastAsia" w:ascii="宋体" w:hAnsi="宋体" w:eastAsia="宋体" w:cs="宋体"/>
          <w:sz w:val="24"/>
          <w:u w:val="single"/>
        </w:rPr>
        <w:t xml:space="preserve">    </w:t>
      </w:r>
    </w:p>
    <w:p>
      <w:pPr>
        <w:pStyle w:val="600"/>
        <w:spacing w:before="120" w:line="22" w:lineRule="atLeast"/>
        <w:rPr>
          <w:rFonts w:hint="eastAsia" w:ascii="宋体" w:hAnsi="宋体" w:eastAsia="宋体" w:cs="宋体"/>
          <w:szCs w:val="24"/>
        </w:rPr>
      </w:pPr>
    </w:p>
    <w:p>
      <w:pPr>
        <w:pStyle w:val="600"/>
        <w:spacing w:before="120" w:line="22" w:lineRule="atLeast"/>
        <w:rPr>
          <w:rFonts w:hint="eastAsia" w:ascii="宋体" w:hAnsi="宋体" w:eastAsia="宋体" w:cs="宋体"/>
          <w:szCs w:val="24"/>
        </w:rPr>
      </w:pPr>
    </w:p>
    <w:p>
      <w:pPr>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lang w:eastAsia="zh-CN"/>
        </w:rPr>
        <w:t>杭州市余杭区理想实验学校</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jc w:val="left"/>
        <w:rPr>
          <w:rFonts w:hint="eastAsia" w:ascii="宋体" w:hAnsi="宋体" w:eastAsia="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杭州市余杭区理想实验学校</w:t>
      </w:r>
      <w:r>
        <w:rPr>
          <w:rFonts w:hint="eastAsia" w:ascii="宋体" w:hAnsi="宋体" w:eastAsia="宋体" w:cs="宋体"/>
          <w:color w:val="auto"/>
          <w:sz w:val="24"/>
          <w:u w:val="single"/>
        </w:rPr>
        <w:t xml:space="preserve">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公开招标</w:t>
      </w:r>
      <w:r>
        <w:rPr>
          <w:rFonts w:hint="eastAsia" w:ascii="宋体" w:hAnsi="宋体" w:eastAsia="宋体" w:cs="宋体"/>
          <w:color w:val="auto"/>
          <w:sz w:val="24"/>
          <w:u w:val="single"/>
        </w:rPr>
        <w:t xml:space="preserve">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杜甫小学和杜甫二小（筹）体育器材项目采购</w:t>
      </w:r>
      <w:r>
        <w:rPr>
          <w:rFonts w:hint="eastAsia" w:ascii="宋体" w:hAnsi="宋体" w:eastAsia="宋体" w:cs="宋体"/>
          <w:color w:val="auto"/>
          <w:sz w:val="24"/>
          <w:u w:val="single"/>
          <w:lang w:eastAsia="zh-CN"/>
        </w:rPr>
        <w:t>（</w:t>
      </w:r>
      <w:r>
        <w:rPr>
          <w:rFonts w:hint="eastAsia" w:ascii="宋体" w:hAnsi="宋体" w:cs="宋体"/>
          <w:color w:val="auto"/>
          <w:sz w:val="24"/>
          <w:u w:val="single"/>
          <w:lang w:eastAsia="zh-CN"/>
        </w:rPr>
        <w:t>XTDZFCG2024-001</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项目进行了采购。经</w:t>
      </w:r>
      <w:r>
        <w:rPr>
          <w:rFonts w:hint="eastAsia" w:ascii="宋体" w:hAnsi="宋体" w:eastAsia="宋体" w:cs="宋体"/>
          <w:sz w:val="24"/>
          <w:u w:val="single"/>
        </w:rPr>
        <w:t xml:space="preserve">  （相关评定主体名称）   </w:t>
      </w:r>
      <w:r>
        <w:rPr>
          <w:rFonts w:hint="eastAsia" w:ascii="宋体" w:hAnsi="宋体" w:eastAsia="宋体" w:cs="宋体"/>
          <w:sz w:val="24"/>
        </w:rPr>
        <w:t>评定，</w:t>
      </w:r>
      <w:r>
        <w:rPr>
          <w:rFonts w:hint="eastAsia" w:ascii="宋体" w:hAnsi="宋体" w:eastAsia="宋体" w:cs="宋体"/>
          <w:sz w:val="24"/>
          <w:u w:val="single"/>
        </w:rPr>
        <w:t xml:space="preserve">  （中标或者成交供应商名称）</w:t>
      </w:r>
      <w:r>
        <w:rPr>
          <w:rFonts w:hint="eastAsia" w:ascii="宋体" w:hAnsi="宋体" w:eastAsia="宋体" w:cs="宋体"/>
          <w:sz w:val="24"/>
        </w:rPr>
        <w:t>为该项目中标或者成交供应商。现于中标或者成交通知书发出之日起10个工作日内，按照采购文件等确定的事项签订本合同。合同签订依据为相关法律法规文件、招标文件、乙方投标文件等，合同条款有与前者冲突的，以前者为准。</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 xml:space="preserve"> </w:t>
      </w:r>
      <w:r>
        <w:rPr>
          <w:rFonts w:hint="eastAsia" w:ascii="宋体" w:hAnsi="宋体" w:cs="宋体"/>
          <w:sz w:val="24"/>
          <w:u w:val="single"/>
          <w:lang w:eastAsia="zh-CN"/>
        </w:rPr>
        <w:t>杭州市余杭区理想实验学校</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（中标或者成交供应商名称）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pPr>
        <w:spacing w:line="600" w:lineRule="exact"/>
        <w:ind w:firstLine="482" w:firstLineChars="200"/>
        <w:outlineLvl w:val="9"/>
        <w:rPr>
          <w:rFonts w:hint="eastAsia" w:ascii="宋体" w:hAnsi="宋体" w:eastAsia="宋体" w:cs="宋体"/>
          <w:b/>
          <w:bCs/>
        </w:rPr>
      </w:pPr>
      <w:bookmarkStart w:id="35" w:name="_Toc24059"/>
      <w:bookmarkStart w:id="36" w:name="_Toc2232"/>
      <w:bookmarkStart w:id="37" w:name="_Toc3029"/>
      <w:r>
        <w:rPr>
          <w:rFonts w:hint="eastAsia" w:ascii="宋体" w:hAnsi="宋体" w:eastAsia="宋体" w:cs="宋体"/>
          <w:b/>
          <w:bCs/>
        </w:rPr>
        <w:t>1.1 合同组成部分</w:t>
      </w:r>
      <w:bookmarkEnd w:id="35"/>
      <w:bookmarkEnd w:id="36"/>
      <w:bookmarkEnd w:id="37"/>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1.1.2 中标或者成交通知书；</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1.1.3 投标或者响应文件（含澄清或者说明文件）；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1.1.4 采购文件（含澄清或者修改文件）；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pPr>
        <w:spacing w:line="600" w:lineRule="exact"/>
        <w:ind w:firstLine="482" w:firstLineChars="200"/>
        <w:outlineLvl w:val="9"/>
        <w:rPr>
          <w:rFonts w:hint="eastAsia" w:ascii="宋体" w:hAnsi="宋体" w:eastAsia="宋体" w:cs="宋体"/>
          <w:b/>
          <w:sz w:val="24"/>
        </w:rPr>
      </w:pPr>
      <w:bookmarkStart w:id="38" w:name="_Toc24300"/>
      <w:bookmarkStart w:id="39" w:name="_Toc27126"/>
      <w:bookmarkStart w:id="40" w:name="_Toc21295"/>
      <w:r>
        <w:rPr>
          <w:rFonts w:hint="eastAsia" w:ascii="宋体" w:hAnsi="宋体" w:eastAsia="宋体" w:cs="宋体"/>
          <w:b/>
          <w:sz w:val="24"/>
        </w:rPr>
        <w:t>1.2 货物</w:t>
      </w:r>
      <w:bookmarkEnd w:id="38"/>
      <w:bookmarkEnd w:id="39"/>
      <w:bookmarkEnd w:id="40"/>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1.2.1 货物名称、品牌、规格型号：</w:t>
      </w:r>
      <w:r>
        <w:rPr>
          <w:rFonts w:hint="eastAsia" w:ascii="宋体" w:hAnsi="宋体" w:eastAsia="宋体" w:cs="宋体"/>
          <w:sz w:val="24"/>
          <w:u w:val="single"/>
          <w:lang w:eastAsia="zh-CN"/>
        </w:rPr>
        <w:t>详见招标文件</w:t>
      </w:r>
      <w:r>
        <w:rPr>
          <w:rFonts w:hint="eastAsia" w:ascii="宋体" w:hAnsi="宋体" w:eastAsia="宋体" w:cs="宋体"/>
          <w:sz w:val="24"/>
          <w:u w:val="single"/>
          <w:lang w:val="en-US" w:eastAsia="zh-CN"/>
        </w:rPr>
        <w:t xml:space="preserve"> 第三部分采购需求</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1.2.2 货物数量：</w:t>
      </w:r>
      <w:r>
        <w:rPr>
          <w:rFonts w:hint="eastAsia" w:ascii="宋体" w:hAnsi="宋体" w:eastAsia="宋体" w:cs="宋体"/>
          <w:sz w:val="24"/>
          <w:u w:val="single"/>
          <w:lang w:eastAsia="zh-CN"/>
        </w:rPr>
        <w:t>详见采购清单</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1.2.3 货物质量：</w:t>
      </w:r>
      <w:r>
        <w:rPr>
          <w:rFonts w:hint="eastAsia" w:ascii="宋体" w:hAnsi="宋体" w:eastAsia="宋体" w:cs="宋体"/>
          <w:sz w:val="24"/>
          <w:u w:val="single"/>
          <w:lang w:eastAsia="zh-CN"/>
        </w:rPr>
        <w:t>合格</w:t>
      </w:r>
      <w:r>
        <w:rPr>
          <w:rFonts w:hint="eastAsia" w:ascii="宋体" w:hAnsi="宋体" w:eastAsia="宋体" w:cs="宋体"/>
          <w:sz w:val="24"/>
          <w:u w:val="single"/>
        </w:rPr>
        <w:t>；</w:t>
      </w:r>
    </w:p>
    <w:p>
      <w:pPr>
        <w:spacing w:line="600" w:lineRule="exact"/>
        <w:ind w:firstLine="482" w:firstLineChars="200"/>
        <w:outlineLvl w:val="9"/>
        <w:rPr>
          <w:rFonts w:hint="eastAsia" w:ascii="宋体" w:hAnsi="宋体" w:eastAsia="宋体" w:cs="宋体"/>
          <w:b/>
          <w:sz w:val="24"/>
        </w:rPr>
      </w:pPr>
      <w:bookmarkStart w:id="41" w:name="_Toc23292"/>
      <w:bookmarkStart w:id="42" w:name="_Toc21551"/>
      <w:bookmarkStart w:id="43" w:name="_Toc21631"/>
      <w:r>
        <w:rPr>
          <w:rFonts w:hint="eastAsia" w:ascii="宋体" w:hAnsi="宋体" w:eastAsia="宋体" w:cs="宋体"/>
          <w:b/>
          <w:sz w:val="24"/>
        </w:rPr>
        <w:t xml:space="preserve">1.3 </w:t>
      </w:r>
      <w:r>
        <w:rPr>
          <w:rFonts w:hint="eastAsia" w:ascii="宋体" w:hAnsi="宋体" w:eastAsia="宋体" w:cs="宋体"/>
          <w:b/>
          <w:bCs/>
          <w:sz w:val="24"/>
        </w:rPr>
        <w:t>价款</w:t>
      </w:r>
      <w:bookmarkEnd w:id="41"/>
      <w:bookmarkEnd w:id="42"/>
      <w:bookmarkEnd w:id="43"/>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分项价格：</w:t>
      </w:r>
    </w:p>
    <w:tbl>
      <w:tblPr>
        <w:tblStyle w:val="6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4051"/>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405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3038"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jc w:val="center"/>
              <w:rPr>
                <w:rFonts w:hint="eastAsia" w:ascii="宋体" w:hAnsi="宋体" w:eastAsia="宋体" w:cs="宋体"/>
                <w:sz w:val="24"/>
                <w:szCs w:val="24"/>
              </w:rPr>
            </w:pPr>
            <w:r>
              <w:rPr>
                <w:rFonts w:hint="eastAsia" w:ascii="宋体" w:hAnsi="宋体" w:eastAsia="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c>
          <w:tcPr>
            <w:tcW w:w="405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c>
          <w:tcPr>
            <w:tcW w:w="3038"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c>
          <w:tcPr>
            <w:tcW w:w="405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c>
          <w:tcPr>
            <w:tcW w:w="3038"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c>
          <w:tcPr>
            <w:tcW w:w="405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c>
          <w:tcPr>
            <w:tcW w:w="3038"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c>
          <w:tcPr>
            <w:tcW w:w="405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c>
          <w:tcPr>
            <w:tcW w:w="3038"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481" w:type="dxa"/>
            <w:gridSpan w:val="2"/>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3038"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sz w:val="24"/>
                <w:szCs w:val="24"/>
              </w:rPr>
            </w:pPr>
          </w:p>
        </w:tc>
      </w:tr>
    </w:tbl>
    <w:p>
      <w:pPr>
        <w:spacing w:line="600" w:lineRule="exact"/>
        <w:ind w:firstLine="482" w:firstLineChars="200"/>
        <w:outlineLvl w:val="9"/>
        <w:rPr>
          <w:rFonts w:hint="eastAsia" w:ascii="宋体" w:hAnsi="宋体" w:eastAsia="宋体" w:cs="宋体"/>
          <w:b/>
        </w:rPr>
      </w:pPr>
      <w:bookmarkStart w:id="44" w:name="_Toc1814"/>
      <w:bookmarkStart w:id="45" w:name="_Toc10340"/>
      <w:bookmarkStart w:id="46" w:name="_Toc22618"/>
      <w:r>
        <w:rPr>
          <w:rFonts w:hint="eastAsia" w:ascii="宋体" w:hAnsi="宋体" w:eastAsia="宋体" w:cs="宋体"/>
          <w:b/>
        </w:rPr>
        <w:t>1.4履约保证金</w:t>
      </w:r>
    </w:p>
    <w:p>
      <w:pPr>
        <w:pStyle w:val="963"/>
        <w:spacing w:before="0" w:beforeAutospacing="0" w:after="0" w:afterAutospacing="0" w:line="360" w:lineRule="auto"/>
        <w:ind w:firstLine="480"/>
        <w:rPr>
          <w:rFonts w:hint="eastAsia" w:ascii="宋体" w:hAnsi="宋体" w:eastAsia="宋体" w:cs="宋体"/>
        </w:rPr>
      </w:pPr>
    </w:p>
    <w:p>
      <w:pPr>
        <w:pStyle w:val="963"/>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否   </w:t>
      </w:r>
      <w:r>
        <w:rPr>
          <w:rFonts w:hint="eastAsia" w:ascii="宋体" w:hAnsi="宋体" w:eastAsia="宋体" w:cs="宋体"/>
        </w:rPr>
        <w:t>（是/否）需要支付履约保证金。若需要支付履约保证金的，则：</w:t>
      </w:r>
    </w:p>
    <w:p>
      <w:pPr>
        <w:spacing w:line="600" w:lineRule="exact"/>
        <w:ind w:firstLine="480" w:firstLineChars="200"/>
        <w:outlineLvl w:val="9"/>
        <w:rPr>
          <w:rFonts w:hint="eastAsia" w:ascii="宋体" w:hAnsi="宋体" w:eastAsia="宋体" w:cs="宋体"/>
          <w:kern w:val="0"/>
          <w:sz w:val="24"/>
        </w:rPr>
      </w:pPr>
      <w:r>
        <w:rPr>
          <w:rFonts w:hint="eastAsia" w:ascii="宋体" w:hAnsi="宋体" w:eastAsia="宋体" w:cs="宋体"/>
          <w:kern w:val="0"/>
          <w:sz w:val="24"/>
        </w:rPr>
        <w:t>1.4.1履约保证金的比例为合同金额的</w:t>
      </w:r>
      <w:r>
        <w:rPr>
          <w:rFonts w:hint="eastAsia" w:ascii="宋体" w:hAnsi="宋体" w:eastAsia="宋体" w:cs="宋体"/>
          <w:kern w:val="0"/>
          <w:sz w:val="24"/>
          <w:u w:val="single"/>
        </w:rPr>
        <w:t xml:space="preserve">   </w:t>
      </w:r>
      <w:r>
        <w:rPr>
          <w:rFonts w:hint="eastAsia" w:ascii="宋体" w:hAnsi="宋体" w:cs="宋体"/>
          <w:kern w:val="0"/>
          <w:sz w:val="24"/>
          <w:u w:val="single"/>
          <w:lang w:val="en-US" w:eastAsia="zh-CN"/>
        </w:rPr>
        <w:t>/</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spacing w:line="600" w:lineRule="exact"/>
        <w:ind w:firstLine="480" w:firstLineChars="200"/>
        <w:outlineLvl w:val="9"/>
        <w:rPr>
          <w:rFonts w:hint="eastAsia" w:ascii="宋体" w:hAnsi="宋体" w:eastAsia="宋体" w:cs="宋体"/>
          <w:kern w:val="0"/>
          <w:sz w:val="24"/>
        </w:rPr>
      </w:pPr>
      <w:r>
        <w:rPr>
          <w:rFonts w:hint="eastAsia" w:ascii="宋体" w:hAnsi="宋体" w:eastAsia="宋体" w:cs="宋体"/>
          <w:kern w:val="0"/>
          <w:sz w:val="24"/>
        </w:rPr>
        <w:t>1.4.2履约保证金支付方式详见</w:t>
      </w:r>
      <w:r>
        <w:rPr>
          <w:rFonts w:hint="eastAsia" w:ascii="宋体" w:hAnsi="宋体" w:eastAsia="宋体" w:cs="宋体"/>
          <w:kern w:val="0"/>
          <w:sz w:val="24"/>
          <w:u w:val="single"/>
        </w:rPr>
        <w:t xml:space="preserve">   </w:t>
      </w:r>
      <w:r>
        <w:rPr>
          <w:rFonts w:hint="eastAsia" w:ascii="宋体" w:hAnsi="宋体" w:cs="宋体"/>
          <w:kern w:val="0"/>
          <w:sz w:val="24"/>
          <w:u w:val="single"/>
          <w:lang w:val="en-US" w:eastAsia="zh-CN"/>
        </w:rPr>
        <w:t>/</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spacing w:line="600" w:lineRule="exact"/>
        <w:ind w:firstLine="0"/>
        <w:rPr>
          <w:rFonts w:hint="eastAsia" w:ascii="宋体" w:hAnsi="宋体" w:eastAsia="宋体" w:cs="宋体"/>
          <w:lang w:val="en-US"/>
        </w:rPr>
      </w:pPr>
      <w:r>
        <w:rPr>
          <w:rFonts w:hint="eastAsia" w:ascii="宋体" w:hAnsi="宋体" w:eastAsia="宋体" w:cs="宋体"/>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600" w:lineRule="exact"/>
        <w:ind w:firstLine="480" w:firstLineChars="200"/>
        <w:outlineLvl w:val="9"/>
        <w:rPr>
          <w:rFonts w:hint="eastAsia" w:ascii="宋体" w:hAnsi="宋体" w:eastAsia="宋体" w:cs="宋体"/>
        </w:rPr>
      </w:pPr>
      <w:r>
        <w:rPr>
          <w:rFonts w:hint="eastAsia" w:ascii="宋体" w:hAnsi="宋体" w:eastAsia="宋体" w:cs="宋体"/>
          <w:kern w:val="0"/>
          <w:sz w:val="24"/>
        </w:rPr>
        <w:t>1.4.4 甲方在项目验收结束后及时退还履约保证金。甲方在项目通过验收之日起</w:t>
      </w:r>
      <w:r>
        <w:rPr>
          <w:rFonts w:hint="eastAsia" w:ascii="宋体" w:hAnsi="宋体" w:eastAsia="宋体" w:cs="宋体"/>
          <w:kern w:val="0"/>
          <w:sz w:val="24"/>
          <w:u w:val="single"/>
        </w:rPr>
        <w:t xml:space="preserve">       </w:t>
      </w:r>
      <w:r>
        <w:rPr>
          <w:rFonts w:hint="eastAsia" w:ascii="宋体" w:hAnsi="宋体" w:eastAsia="宋体" w:cs="宋体"/>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u w:val="single"/>
        </w:rPr>
        <w:t xml:space="preserve">  0.05（可根据情况修改）</w:t>
      </w:r>
      <w:r>
        <w:rPr>
          <w:rFonts w:hint="eastAsia" w:ascii="宋体" w:hAnsi="宋体" w:eastAsia="宋体" w:cs="宋体"/>
          <w:sz w:val="24"/>
          <w:u w:val="single"/>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%计算，最高限额为本合同履约保证金的</w:t>
      </w:r>
      <w:r>
        <w:rPr>
          <w:rFonts w:hint="eastAsia" w:ascii="宋体" w:hAnsi="宋体" w:eastAsia="宋体" w:cs="宋体"/>
          <w:kern w:val="0"/>
          <w:sz w:val="24"/>
          <w:u w:val="single"/>
        </w:rPr>
        <w:t xml:space="preserve">  20  </w:t>
      </w:r>
      <w:r>
        <w:rPr>
          <w:rFonts w:hint="eastAsia" w:ascii="宋体" w:hAnsi="宋体" w:eastAsia="宋体" w:cs="宋体"/>
          <w:kern w:val="0"/>
          <w:sz w:val="24"/>
        </w:rPr>
        <w:t xml:space="preserve"> %。</w:t>
      </w:r>
    </w:p>
    <w:p>
      <w:pPr>
        <w:spacing w:line="600" w:lineRule="exact"/>
        <w:ind w:firstLine="482" w:firstLineChars="200"/>
        <w:outlineLvl w:val="9"/>
        <w:rPr>
          <w:rFonts w:hint="eastAsia" w:ascii="宋体" w:hAnsi="宋体" w:eastAsia="宋体" w:cs="宋体"/>
          <w:b/>
          <w:sz w:val="24"/>
        </w:rPr>
      </w:pPr>
      <w:r>
        <w:rPr>
          <w:rFonts w:hint="eastAsia" w:ascii="宋体" w:hAnsi="宋体" w:eastAsia="宋体" w:cs="宋体"/>
          <w:b/>
          <w:sz w:val="24"/>
        </w:rPr>
        <w:t>1.5</w:t>
      </w:r>
      <w:bookmarkEnd w:id="44"/>
      <w:bookmarkEnd w:id="45"/>
      <w:bookmarkEnd w:id="46"/>
      <w:r>
        <w:rPr>
          <w:rFonts w:hint="eastAsia" w:ascii="宋体" w:hAnsi="宋体" w:eastAsia="宋体" w:cs="宋体"/>
          <w:b/>
          <w:bCs/>
          <w:sz w:val="24"/>
        </w:rPr>
        <w:t>预付款</w:t>
      </w:r>
    </w:p>
    <w:p>
      <w:pPr>
        <w:spacing w:line="6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1.5.1预付款比例、支付方式、时间</w:t>
      </w:r>
      <w:r>
        <w:rPr>
          <w:rFonts w:hint="eastAsia" w:ascii="宋体" w:hAnsi="宋体" w:eastAsia="宋体" w:cs="宋体"/>
        </w:rPr>
        <w:t>详见</w:t>
      </w:r>
      <w:r>
        <w:rPr>
          <w:rFonts w:hint="eastAsia" w:ascii="宋体" w:hAnsi="宋体" w:eastAsia="宋体" w:cs="宋体"/>
          <w:u w:val="single"/>
        </w:rPr>
        <w:t xml:space="preserve"> </w:t>
      </w:r>
      <w:r>
        <w:rPr>
          <w:rFonts w:hint="eastAsia" w:ascii="宋体" w:hAnsi="宋体" w:cs="宋体"/>
          <w:u w:val="single"/>
          <w:lang w:eastAsia="zh-CN"/>
        </w:rPr>
        <w:t>采购需求</w:t>
      </w:r>
      <w:r>
        <w:rPr>
          <w:rFonts w:hint="eastAsia" w:ascii="宋体" w:hAnsi="宋体" w:eastAsia="宋体" w:cs="宋体"/>
          <w:b/>
          <w:i/>
          <w:sz w:val="24"/>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w:t>
      </w:r>
    </w:p>
    <w:p>
      <w:pPr>
        <w:pStyle w:val="963"/>
        <w:spacing w:before="0" w:beforeAutospacing="0" w:after="0" w:afterAutospacing="0" w:line="600" w:lineRule="exact"/>
        <w:ind w:firstLine="480"/>
        <w:rPr>
          <w:rFonts w:hint="eastAsia" w:ascii="宋体" w:hAnsi="宋体" w:eastAsia="宋体" w:cs="宋体"/>
        </w:rPr>
      </w:pPr>
      <w:r>
        <w:rPr>
          <w:rFonts w:hint="eastAsia" w:ascii="宋体" w:hAnsi="宋体" w:eastAsia="宋体" w:cs="宋体"/>
        </w:rPr>
        <w:t>1.5.2预付款的扣回方式详见</w:t>
      </w:r>
      <w:r>
        <w:rPr>
          <w:rFonts w:hint="eastAsia" w:ascii="宋体" w:hAnsi="宋体" w:eastAsia="宋体" w:cs="宋体"/>
          <w:u w:val="single"/>
        </w:rPr>
        <w:t xml:space="preserve">    </w:t>
      </w:r>
      <w:r>
        <w:rPr>
          <w:rFonts w:hint="eastAsia" w:ascii="宋体" w:hAnsi="宋体" w:eastAsia="宋体" w:cs="宋体"/>
          <w:b/>
          <w:i/>
          <w:sz w:val="24"/>
          <w:u w:val="single"/>
          <w:lang w:val="en-US" w:eastAsia="zh-CN"/>
        </w:rPr>
        <w:t xml:space="preserve"> </w:t>
      </w:r>
      <w:r>
        <w:rPr>
          <w:rFonts w:hint="eastAsia" w:cs="宋体"/>
          <w:b/>
          <w:i/>
          <w:sz w:val="24"/>
          <w:u w:val="single"/>
          <w:lang w:val="en-US" w:eastAsia="zh-CN"/>
        </w:rPr>
        <w:t>无</w:t>
      </w:r>
      <w:r>
        <w:rPr>
          <w:rFonts w:hint="eastAsia" w:ascii="宋体" w:hAnsi="宋体" w:eastAsia="宋体" w:cs="宋体"/>
          <w:b/>
          <w:i/>
          <w:sz w:val="24"/>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w:t>
      </w:r>
    </w:p>
    <w:p>
      <w:pPr>
        <w:pStyle w:val="963"/>
        <w:spacing w:before="0" w:beforeAutospacing="0" w:after="0" w:afterAutospacing="0" w:line="600" w:lineRule="exact"/>
        <w:ind w:firstLine="480"/>
        <w:rPr>
          <w:rFonts w:hint="eastAsia" w:ascii="宋体" w:hAnsi="宋体" w:eastAsia="宋体" w:cs="宋体"/>
          <w:u w:val="single"/>
        </w:rPr>
      </w:pPr>
      <w:r>
        <w:rPr>
          <w:rFonts w:hint="eastAsia" w:ascii="宋体" w:hAnsi="宋体" w:eastAsia="宋体" w:cs="宋体"/>
        </w:rPr>
        <w:t>1.5.3预付款的担保措施详见</w:t>
      </w:r>
      <w:r>
        <w:rPr>
          <w:rFonts w:hint="eastAsia" w:ascii="宋体" w:hAnsi="宋体" w:eastAsia="宋体" w:cs="宋体"/>
          <w:u w:val="single"/>
        </w:rPr>
        <w:t xml:space="preserve">    </w:t>
      </w:r>
      <w:r>
        <w:rPr>
          <w:rFonts w:hint="eastAsia" w:ascii="宋体" w:hAnsi="宋体" w:eastAsia="宋体" w:cs="宋体"/>
          <w:b/>
          <w:i/>
          <w:sz w:val="24"/>
          <w:u w:val="single"/>
          <w:lang w:val="en-US" w:eastAsia="zh-CN"/>
        </w:rPr>
        <w:t xml:space="preserve">  </w:t>
      </w:r>
      <w:r>
        <w:rPr>
          <w:rFonts w:hint="eastAsia" w:cs="宋体"/>
          <w:b/>
          <w:i/>
          <w:sz w:val="24"/>
          <w:u w:val="single"/>
          <w:lang w:val="en-US" w:eastAsia="zh-CN"/>
        </w:rPr>
        <w:t>无</w:t>
      </w:r>
      <w:r>
        <w:rPr>
          <w:rFonts w:hint="eastAsia" w:ascii="宋体" w:hAnsi="宋体" w:eastAsia="宋体" w:cs="宋体"/>
          <w:b/>
          <w:i/>
          <w:sz w:val="24"/>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w:t>
      </w:r>
    </w:p>
    <w:p>
      <w:pPr>
        <w:spacing w:line="600" w:lineRule="exact"/>
        <w:ind w:firstLine="482" w:firstLineChars="200"/>
        <w:outlineLvl w:val="9"/>
        <w:rPr>
          <w:rFonts w:hint="eastAsia" w:ascii="宋体" w:hAnsi="宋体" w:eastAsia="宋体" w:cs="宋体"/>
          <w:b/>
          <w:bCs/>
        </w:rPr>
      </w:pPr>
      <w:r>
        <w:rPr>
          <w:rFonts w:hint="eastAsia" w:ascii="宋体" w:hAnsi="宋体" w:eastAsia="宋体" w:cs="宋体"/>
          <w:b/>
          <w:bCs/>
        </w:rPr>
        <w:t>1.6资金支付</w:t>
      </w:r>
    </w:p>
    <w:p>
      <w:pPr>
        <w:pStyle w:val="963"/>
        <w:spacing w:before="0" w:beforeAutospacing="0" w:after="0" w:afterAutospacing="0" w:line="600" w:lineRule="exact"/>
        <w:ind w:firstLine="480"/>
        <w:rPr>
          <w:rFonts w:hint="eastAsia" w:ascii="宋体" w:hAnsi="宋体" w:eastAsia="宋体" w:cs="宋体"/>
        </w:rPr>
      </w:pPr>
      <w:r>
        <w:rPr>
          <w:rFonts w:hint="eastAsia" w:ascii="宋体" w:hAnsi="宋体" w:eastAsia="宋体" w:cs="宋体"/>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600" w:lineRule="exact"/>
        <w:ind w:firstLine="0" w:firstLineChars="0"/>
        <w:outlineLvl w:val="9"/>
        <w:rPr>
          <w:rFonts w:hint="eastAsia" w:ascii="宋体" w:hAnsi="宋体" w:eastAsia="宋体" w:cs="宋体"/>
          <w:sz w:val="24"/>
        </w:rPr>
      </w:pPr>
      <w:r>
        <w:rPr>
          <w:rFonts w:hint="eastAsia" w:ascii="宋体" w:hAnsi="宋体" w:eastAsia="宋体" w:cs="宋体"/>
          <w:sz w:val="24"/>
        </w:rPr>
        <w:t>1.6.2资金支付的方式、时间和条件详见合同专用条款。以经塘栖镇根据政府采购法等相关规定审核通过的合同相应条款为准。</w:t>
      </w:r>
    </w:p>
    <w:p>
      <w:pPr>
        <w:spacing w:line="600" w:lineRule="exact"/>
        <w:ind w:firstLine="482" w:firstLineChars="200"/>
        <w:outlineLvl w:val="9"/>
        <w:rPr>
          <w:rFonts w:hint="eastAsia" w:ascii="宋体" w:hAnsi="宋体" w:eastAsia="宋体" w:cs="宋体"/>
          <w:b/>
          <w:sz w:val="24"/>
        </w:rPr>
      </w:pPr>
      <w:bookmarkStart w:id="47" w:name="_Toc19304"/>
      <w:bookmarkStart w:id="48" w:name="_Toc2846"/>
      <w:bookmarkStart w:id="49" w:name="_Toc32071"/>
      <w:r>
        <w:rPr>
          <w:rFonts w:hint="eastAsia" w:ascii="宋体" w:hAnsi="宋体" w:eastAsia="宋体" w:cs="宋体"/>
          <w:b/>
          <w:sz w:val="24"/>
        </w:rPr>
        <w:t>1.7</w:t>
      </w:r>
      <w:r>
        <w:rPr>
          <w:rFonts w:hint="eastAsia" w:ascii="宋体" w:hAnsi="宋体" w:eastAsia="宋体" w:cs="宋体"/>
          <w:b/>
          <w:bCs/>
          <w:sz w:val="24"/>
        </w:rPr>
        <w:t>货物</w:t>
      </w:r>
      <w:r>
        <w:rPr>
          <w:rFonts w:hint="eastAsia" w:ascii="宋体" w:hAnsi="宋体" w:eastAsia="宋体" w:cs="宋体"/>
          <w:b/>
          <w:sz w:val="24"/>
        </w:rPr>
        <w:t>交付期限、地点和方式</w:t>
      </w:r>
      <w:bookmarkEnd w:id="47"/>
      <w:bookmarkEnd w:id="48"/>
      <w:bookmarkEnd w:id="49"/>
    </w:p>
    <w:p>
      <w:pPr>
        <w:spacing w:line="600" w:lineRule="exact"/>
        <w:ind w:firstLine="480" w:firstLineChars="200"/>
        <w:rPr>
          <w:rFonts w:hint="eastAsia" w:ascii="宋体" w:hAnsi="宋体" w:eastAsia="宋体" w:cs="宋体"/>
          <w:sz w:val="24"/>
          <w:u w:val="single"/>
        </w:rPr>
      </w:pPr>
      <w:r>
        <w:rPr>
          <w:rFonts w:hint="eastAsia" w:ascii="宋体" w:hAnsi="宋体" w:eastAsia="宋体" w:cs="宋体"/>
          <w:sz w:val="24"/>
        </w:rPr>
        <w:t>1.7.1 交付期限：详见</w:t>
      </w:r>
      <w:r>
        <w:rPr>
          <w:rFonts w:hint="eastAsia" w:ascii="宋体" w:hAnsi="宋体" w:eastAsia="宋体" w:cs="宋体"/>
          <w:b/>
          <w:i/>
          <w:sz w:val="24"/>
          <w:u w:val="single"/>
          <w:lang w:val="en-US" w:eastAsia="zh-CN"/>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1.7.2 交付地点：</w:t>
      </w:r>
      <w:r>
        <w:rPr>
          <w:rFonts w:hint="eastAsia" w:ascii="宋体" w:hAnsi="宋体" w:eastAsia="宋体" w:cs="宋体"/>
          <w:b/>
          <w:i/>
          <w:sz w:val="24"/>
          <w:u w:val="single"/>
          <w:lang w:val="en-US" w:eastAsia="zh-CN"/>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 交付方式：</w:t>
      </w:r>
      <w:r>
        <w:rPr>
          <w:rFonts w:hint="eastAsia" w:ascii="宋体" w:hAnsi="宋体" w:eastAsia="宋体" w:cs="宋体"/>
          <w:b/>
          <w:i/>
          <w:sz w:val="24"/>
          <w:u w:val="single"/>
          <w:lang w:val="en-US" w:eastAsia="zh-CN"/>
        </w:rPr>
        <w:t xml:space="preserve">              </w:t>
      </w:r>
      <w:r>
        <w:rPr>
          <w:rFonts w:hint="eastAsia" w:ascii="宋体" w:hAnsi="宋体" w:eastAsia="宋体" w:cs="宋体"/>
          <w:sz w:val="24"/>
        </w:rPr>
        <w:t>。</w:t>
      </w:r>
    </w:p>
    <w:p>
      <w:pPr>
        <w:spacing w:line="600" w:lineRule="exact"/>
        <w:ind w:firstLine="482" w:firstLineChars="200"/>
        <w:outlineLvl w:val="9"/>
        <w:rPr>
          <w:rFonts w:hint="eastAsia" w:ascii="宋体" w:hAnsi="宋体" w:eastAsia="宋体" w:cs="宋体"/>
          <w:b/>
          <w:sz w:val="24"/>
        </w:rPr>
      </w:pPr>
      <w:bookmarkStart w:id="50" w:name="_Toc19554"/>
      <w:bookmarkStart w:id="51" w:name="_Toc27250"/>
      <w:bookmarkStart w:id="52" w:name="_Toc21423"/>
      <w:r>
        <w:rPr>
          <w:rFonts w:hint="eastAsia" w:ascii="宋体" w:hAnsi="宋体" w:eastAsia="宋体" w:cs="宋体"/>
          <w:b/>
          <w:sz w:val="24"/>
        </w:rPr>
        <w:t>1.8违约责任</w:t>
      </w:r>
      <w:bookmarkEnd w:id="50"/>
      <w:bookmarkEnd w:id="51"/>
      <w:bookmarkEnd w:id="52"/>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0.05</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80" w:leftChars="-200" w:right="-480" w:rightChars="-200" w:firstLine="960" w:firstLineChars="400"/>
        <w:rPr>
          <w:rFonts w:hint="eastAsia" w:ascii="宋体" w:hAnsi="宋体" w:eastAsia="宋体" w:cs="宋体"/>
        </w:rPr>
      </w:pPr>
      <w:r>
        <w:rPr>
          <w:rFonts w:hint="eastAsia" w:ascii="宋体" w:hAnsi="宋体" w:eastAsia="宋体" w:cs="宋体"/>
          <w:sz w:val="24"/>
        </w:rPr>
        <w:t>1.8.6违约责任</w:t>
      </w:r>
      <w:r>
        <w:rPr>
          <w:rFonts w:hint="eastAsia" w:ascii="宋体" w:hAnsi="宋体" w:eastAsia="宋体" w:cs="宋体"/>
          <w:b/>
          <w:i/>
          <w:sz w:val="24"/>
          <w:u w:val="single"/>
          <w:lang w:val="en-US" w:eastAsia="zh-CN"/>
        </w:rPr>
        <w:t xml:space="preserve">       </w:t>
      </w:r>
      <w:r>
        <w:rPr>
          <w:rFonts w:hint="eastAsia" w:ascii="宋体" w:hAnsi="宋体" w:eastAsia="宋体" w:cs="宋体"/>
          <w:sz w:val="24"/>
        </w:rPr>
        <w:t>另有约定的，从其约定。</w:t>
      </w:r>
    </w:p>
    <w:p>
      <w:pPr>
        <w:spacing w:line="600" w:lineRule="exact"/>
        <w:ind w:firstLine="482" w:firstLineChars="200"/>
        <w:outlineLvl w:val="9"/>
        <w:rPr>
          <w:rFonts w:hint="eastAsia" w:ascii="宋体" w:hAnsi="宋体" w:eastAsia="宋体" w:cs="宋体"/>
          <w:b/>
          <w:sz w:val="24"/>
        </w:rPr>
      </w:pPr>
      <w:bookmarkStart w:id="53" w:name="_Toc15583"/>
      <w:bookmarkStart w:id="54" w:name="_Toc28375"/>
      <w:bookmarkStart w:id="55" w:name="_Toc16021"/>
      <w:r>
        <w:rPr>
          <w:rFonts w:hint="eastAsia" w:ascii="宋体" w:hAnsi="宋体" w:eastAsia="宋体" w:cs="宋体"/>
          <w:b/>
          <w:sz w:val="24"/>
        </w:rPr>
        <w:t>1.9合同</w:t>
      </w:r>
      <w:r>
        <w:rPr>
          <w:rFonts w:hint="eastAsia" w:ascii="宋体" w:hAnsi="宋体" w:eastAsia="宋体" w:cs="宋体"/>
          <w:b/>
          <w:bCs/>
          <w:sz w:val="24"/>
        </w:rPr>
        <w:t>争议</w:t>
      </w:r>
      <w:r>
        <w:rPr>
          <w:rFonts w:hint="eastAsia" w:ascii="宋体" w:hAnsi="宋体" w:eastAsia="宋体" w:cs="宋体"/>
          <w:b/>
          <w:sz w:val="24"/>
        </w:rPr>
        <w:t>的解决</w:t>
      </w:r>
      <w:bookmarkEnd w:id="53"/>
      <w:bookmarkEnd w:id="54"/>
      <w:bookmarkEnd w:id="55"/>
    </w:p>
    <w:p>
      <w:pPr>
        <w:spacing w:line="560" w:lineRule="exact"/>
        <w:ind w:left="-70" w:leftChars="-29" w:right="-480" w:rightChars="-200" w:firstLine="240" w:firstLineChars="1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sz w:val="24"/>
          <w:u w:val="single"/>
        </w:rPr>
        <w:t xml:space="preserve">   </w:t>
      </w:r>
      <w:r>
        <w:rPr>
          <w:rFonts w:hint="eastAsia" w:ascii="宋体" w:hAnsi="宋体" w:eastAsia="宋体" w:cs="宋体"/>
          <w:b/>
          <w:i/>
          <w:sz w:val="24"/>
          <w:u w:val="single"/>
          <w:lang w:val="en-US" w:eastAsia="zh-CN"/>
        </w:rPr>
        <w:t>1.9.1或1.9.2</w:t>
      </w:r>
      <w:r>
        <w:rPr>
          <w:rFonts w:hint="eastAsia" w:ascii="宋体" w:hAnsi="宋体" w:eastAsia="宋体" w:cs="宋体"/>
          <w:b/>
          <w:i/>
          <w:sz w:val="24"/>
          <w:u w:val="single"/>
        </w:rPr>
        <w:t xml:space="preserve">   </w:t>
      </w:r>
      <w:r>
        <w:rPr>
          <w:rFonts w:hint="eastAsia" w:ascii="宋体" w:hAnsi="宋体" w:eastAsia="宋体" w:cs="宋体"/>
          <w:sz w:val="24"/>
        </w:rPr>
        <w:t>条款规定的方式解决：</w:t>
      </w:r>
    </w:p>
    <w:p>
      <w:pPr>
        <w:spacing w:line="560" w:lineRule="exact"/>
        <w:ind w:left="-480" w:leftChars="-200" w:right="-480" w:rightChars="-200" w:firstLine="840" w:firstLineChars="350"/>
        <w:rPr>
          <w:rFonts w:hint="eastAsia" w:ascii="宋体" w:hAnsi="宋体" w:eastAsia="宋体" w:cs="宋体"/>
          <w:sz w:val="24"/>
        </w:rPr>
      </w:pPr>
      <w:r>
        <w:rPr>
          <w:rFonts w:hint="eastAsia" w:ascii="宋体" w:hAnsi="宋体" w:eastAsia="宋体" w:cs="宋体"/>
          <w:sz w:val="24"/>
        </w:rPr>
        <w:t>1.9.1 将争议提交</w:t>
      </w:r>
      <w:r>
        <w:rPr>
          <w:rFonts w:hint="eastAsia" w:ascii="宋体" w:hAnsi="宋体" w:eastAsia="宋体" w:cs="宋体"/>
          <w:b/>
          <w:i/>
          <w:sz w:val="24"/>
          <w:u w:val="single"/>
          <w:lang w:eastAsia="zh-CN"/>
        </w:rPr>
        <w:t>杭州市</w:t>
      </w:r>
      <w:r>
        <w:rPr>
          <w:rFonts w:hint="eastAsia" w:ascii="宋体" w:hAnsi="宋体" w:cs="宋体"/>
          <w:b/>
          <w:i/>
          <w:sz w:val="24"/>
          <w:u w:val="single"/>
          <w:lang w:val="en-US" w:eastAsia="zh-CN"/>
        </w:rPr>
        <w:t>余杭</w:t>
      </w:r>
      <w:r>
        <w:rPr>
          <w:rFonts w:hint="eastAsia" w:ascii="宋体" w:hAnsi="宋体" w:eastAsia="宋体" w:cs="宋体"/>
          <w:b/>
          <w:i/>
          <w:sz w:val="24"/>
          <w:u w:val="single"/>
          <w:lang w:eastAsia="zh-CN"/>
        </w:rPr>
        <w:t>区</w:t>
      </w:r>
      <w:r>
        <w:rPr>
          <w:rFonts w:hint="eastAsia" w:ascii="宋体" w:hAnsi="宋体" w:eastAsia="宋体" w:cs="宋体"/>
          <w:sz w:val="24"/>
        </w:rPr>
        <w:t>仲裁委员会依申请仲裁时其现行有效的仲裁规则裁决；</w:t>
      </w:r>
    </w:p>
    <w:p>
      <w:pPr>
        <w:spacing w:line="560" w:lineRule="exact"/>
        <w:ind w:left="-480" w:leftChars="-200" w:right="-480" w:rightChars="-200" w:firstLine="840" w:firstLineChars="350"/>
        <w:rPr>
          <w:rFonts w:hint="eastAsia" w:ascii="宋体" w:hAnsi="宋体" w:eastAsia="宋体" w:cs="宋体"/>
          <w:sz w:val="24"/>
        </w:rPr>
      </w:pPr>
      <w:r>
        <w:rPr>
          <w:rFonts w:hint="eastAsia" w:ascii="宋体" w:hAnsi="宋体" w:eastAsia="宋体" w:cs="宋体"/>
          <w:sz w:val="24"/>
        </w:rPr>
        <w:t>1.9.2 向</w:t>
      </w:r>
      <w:r>
        <w:rPr>
          <w:rFonts w:hint="eastAsia" w:ascii="宋体" w:hAnsi="宋体" w:eastAsia="宋体" w:cs="宋体"/>
          <w:b/>
          <w:i/>
          <w:sz w:val="24"/>
          <w:u w:val="single"/>
          <w:lang w:eastAsia="zh-CN"/>
        </w:rPr>
        <w:t>杭州市</w:t>
      </w:r>
      <w:r>
        <w:rPr>
          <w:rFonts w:hint="eastAsia" w:ascii="宋体" w:hAnsi="宋体" w:cs="宋体"/>
          <w:b/>
          <w:i/>
          <w:sz w:val="24"/>
          <w:u w:val="single"/>
          <w:lang w:val="en-US" w:eastAsia="zh-CN"/>
        </w:rPr>
        <w:t>余杭</w:t>
      </w:r>
      <w:r>
        <w:rPr>
          <w:rFonts w:hint="eastAsia" w:ascii="宋体" w:hAnsi="宋体" w:eastAsia="宋体" w:cs="宋体"/>
          <w:b/>
          <w:i/>
          <w:sz w:val="24"/>
          <w:u w:val="single"/>
          <w:lang w:eastAsia="zh-CN"/>
        </w:rPr>
        <w:t>区</w:t>
      </w:r>
      <w:r>
        <w:rPr>
          <w:rFonts w:hint="eastAsia" w:ascii="宋体" w:hAnsi="宋体" w:eastAsia="宋体" w:cs="宋体"/>
          <w:sz w:val="24"/>
        </w:rPr>
        <w:t>人民法院起诉。</w:t>
      </w:r>
    </w:p>
    <w:p>
      <w:pPr>
        <w:spacing w:line="600" w:lineRule="exact"/>
        <w:ind w:firstLine="482" w:firstLineChars="200"/>
        <w:outlineLvl w:val="9"/>
        <w:rPr>
          <w:rFonts w:hint="eastAsia" w:ascii="宋体" w:hAnsi="宋体" w:eastAsia="宋体" w:cs="宋体"/>
          <w:b/>
          <w:sz w:val="24"/>
        </w:rPr>
      </w:pPr>
      <w:bookmarkStart w:id="56" w:name="_Toc7245"/>
      <w:bookmarkStart w:id="57" w:name="_Toc11173"/>
      <w:bookmarkStart w:id="58" w:name="_Toc15322"/>
      <w:r>
        <w:rPr>
          <w:rFonts w:hint="eastAsia" w:ascii="宋体" w:hAnsi="宋体" w:eastAsia="宋体" w:cs="宋体"/>
          <w:b/>
          <w:sz w:val="24"/>
        </w:rPr>
        <w:t xml:space="preserve">2.0 </w:t>
      </w:r>
      <w:r>
        <w:rPr>
          <w:rFonts w:hint="eastAsia" w:ascii="宋体" w:hAnsi="宋体" w:eastAsia="宋体" w:cs="宋体"/>
          <w:b/>
          <w:bCs/>
          <w:sz w:val="24"/>
        </w:rPr>
        <w:t>合同</w:t>
      </w:r>
      <w:r>
        <w:rPr>
          <w:rFonts w:hint="eastAsia" w:ascii="宋体" w:hAnsi="宋体" w:eastAsia="宋体" w:cs="宋体"/>
          <w:b/>
          <w:sz w:val="24"/>
        </w:rPr>
        <w:t>生效</w:t>
      </w:r>
      <w:bookmarkEnd w:id="56"/>
      <w:bookmarkEnd w:id="57"/>
      <w:bookmarkEnd w:id="58"/>
    </w:p>
    <w:p>
      <w:pPr>
        <w:spacing w:line="560" w:lineRule="exact"/>
        <w:ind w:firstLine="480" w:firstLineChars="200"/>
        <w:rPr>
          <w:rFonts w:hint="eastAsia" w:ascii="宋体" w:hAnsi="宋体" w:eastAsia="宋体" w:cs="宋体"/>
          <w:b/>
          <w:sz w:val="24"/>
        </w:rPr>
      </w:pPr>
      <w:r>
        <w:rPr>
          <w:rFonts w:hint="eastAsia" w:ascii="宋体" w:hAnsi="宋体" w:eastAsia="宋体" w:cs="宋体"/>
          <w:sz w:val="24"/>
        </w:rPr>
        <w:t>本合同自双方当事人盖章签字时生效。</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住所：                                   住所：</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法定代表人或                             法定代表人</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授权代表（签字）：                        或授权代表（签字）: </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联系人：                                 联系人：</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邮政编码：                               邮政编码：</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电话:                                    电话: </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传真:                                    传真:</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lang w:val="zh-CN"/>
        </w:rPr>
        <w:t>电子邮箱：                               电子邮箱：</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开户银行：                               开户银行：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开户名称：                               开户名称：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pPr>
        <w:rPr>
          <w:rFonts w:hint="eastAsia" w:ascii="宋体" w:hAnsi="宋体" w:eastAsia="宋体" w:cs="宋体"/>
        </w:rPr>
      </w:pPr>
    </w:p>
    <w:p>
      <w:pPr>
        <w:rPr>
          <w:rFonts w:hint="eastAsia" w:ascii="宋体" w:hAnsi="宋体" w:eastAsia="宋体" w:cs="宋体"/>
          <w:sz w:val="24"/>
        </w:rPr>
      </w:pPr>
    </w:p>
    <w:p>
      <w:pPr>
        <w:rPr>
          <w:rFonts w:hint="eastAsia" w:ascii="宋体" w:hAnsi="宋体" w:eastAsia="宋体" w:cs="宋体"/>
        </w:rPr>
      </w:pPr>
      <w:r>
        <w:rPr>
          <w:rFonts w:hint="eastAsia" w:ascii="宋体" w:hAnsi="宋体" w:eastAsia="宋体" w:cs="宋体"/>
          <w:b/>
          <w:sz w:val="24"/>
          <w:szCs w:val="32"/>
        </w:rPr>
        <w:t>此仅为合同书样本，中标单位需根据实际情况和采购人签订相应的合同！</w:t>
      </w:r>
    </w:p>
    <w:p>
      <w:pPr>
        <w:rPr>
          <w:rFonts w:hint="eastAsia" w:ascii="宋体" w:hAnsi="宋体" w:eastAsia="宋体" w:cs="宋体"/>
          <w:sz w:val="24"/>
        </w:rPr>
      </w:pPr>
    </w:p>
    <w:p>
      <w:pPr>
        <w:rPr>
          <w:rFonts w:hint="eastAsia" w:ascii="宋体" w:hAnsi="宋体" w:eastAsia="宋体" w:cs="宋体"/>
        </w:rPr>
      </w:pPr>
    </w:p>
    <w:p>
      <w:pPr>
        <w:rPr>
          <w:rFonts w:hint="eastAsia" w:ascii="宋体" w:hAnsi="宋体" w:eastAsia="宋体" w:cs="宋体"/>
          <w:sz w:val="24"/>
        </w:rPr>
      </w:pPr>
    </w:p>
    <w:p>
      <w:pPr>
        <w:rPr>
          <w:rFonts w:hint="eastAsia" w:ascii="宋体" w:hAnsi="宋体" w:eastAsia="宋体" w:cs="宋体"/>
        </w:rPr>
      </w:pPr>
    </w:p>
    <w:p>
      <w:pPr>
        <w:spacing w:line="240" w:lineRule="auto"/>
        <w:ind w:left="0" w:firstLine="0" w:firstLineChars="0"/>
        <w:outlineLvl w:val="9"/>
        <w:rPr>
          <w:rFonts w:hint="eastAsia" w:ascii="宋体" w:hAnsi="宋体" w:eastAsia="宋体" w:cs="宋体"/>
          <w:b/>
          <w:sz w:val="36"/>
          <w:szCs w:val="20"/>
        </w:rPr>
      </w:pPr>
      <w:r>
        <w:rPr>
          <w:rFonts w:hint="eastAsia" w:ascii="宋体" w:hAnsi="宋体" w:eastAsia="宋体" w:cs="宋体"/>
          <w:b/>
          <w:sz w:val="36"/>
          <w:szCs w:val="20"/>
        </w:rPr>
        <w:br w:type="page"/>
      </w:r>
    </w:p>
    <w:p>
      <w:pPr>
        <w:spacing w:line="360" w:lineRule="auto"/>
        <w:ind w:left="720" w:firstLine="1084" w:firstLineChars="300"/>
        <w:jc w:val="both"/>
        <w:outlineLvl w:val="0"/>
        <w:rPr>
          <w:rFonts w:hint="eastAsia" w:ascii="宋体" w:hAnsi="宋体" w:eastAsia="宋体" w:cs="宋体"/>
          <w:b/>
          <w:sz w:val="36"/>
          <w:szCs w:val="20"/>
        </w:rPr>
      </w:pPr>
    </w:p>
    <w:p>
      <w:pPr>
        <w:spacing w:line="360" w:lineRule="auto"/>
        <w:ind w:left="720" w:firstLine="1084" w:firstLineChars="300"/>
        <w:jc w:val="both"/>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33"/>
      <w:r>
        <w:rPr>
          <w:rFonts w:hint="eastAsia" w:ascii="宋体" w:hAnsi="宋体" w:eastAsia="宋体" w:cs="宋体"/>
          <w:b/>
          <w:sz w:val="36"/>
          <w:szCs w:val="20"/>
        </w:rPr>
        <w:t xml:space="preserve"> </w:t>
      </w:r>
      <w:bookmarkEnd w:id="34"/>
      <w:r>
        <w:rPr>
          <w:rFonts w:hint="eastAsia" w:ascii="宋体" w:hAnsi="宋体" w:eastAsia="宋体" w:cs="宋体"/>
          <w:b/>
          <w:sz w:val="36"/>
          <w:szCs w:val="20"/>
        </w:rPr>
        <w:t>应提交的有关格式范例</w:t>
      </w:r>
    </w:p>
    <w:p>
      <w:pPr>
        <w:spacing w:line="240" w:lineRule="auto"/>
        <w:jc w:val="left"/>
        <w:outlineLvl w:val="9"/>
        <w:rPr>
          <w:rFonts w:hint="eastAsia" w:ascii="宋体" w:hAnsi="宋体" w:eastAsia="宋体" w:cs="宋体"/>
        </w:rPr>
      </w:pPr>
    </w:p>
    <w:p>
      <w:pPr>
        <w:shd w:val="clear"/>
        <w:bidi w:val="0"/>
        <w:jc w:val="center"/>
        <w:rPr>
          <w:rFonts w:hint="eastAsia" w:ascii="宋体" w:hAnsi="宋体" w:eastAsia="宋体" w:cs="宋体"/>
          <w:sz w:val="36"/>
          <w:szCs w:val="36"/>
        </w:rPr>
      </w:pPr>
      <w:r>
        <w:rPr>
          <w:rFonts w:hint="eastAsia" w:ascii="宋体" w:hAnsi="宋体" w:eastAsia="宋体" w:cs="宋体"/>
          <w:sz w:val="36"/>
          <w:szCs w:val="36"/>
        </w:rPr>
        <w:t>电子备份投标文件的外包装封面格式</w:t>
      </w:r>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bookmarkStart w:id="59" w:name="_Toc13184"/>
      <w:r>
        <w:rPr>
          <w:rFonts w:hint="eastAsia" w:ascii="宋体" w:hAnsi="宋体" w:eastAsia="宋体" w:cs="宋体"/>
          <w:sz w:val="36"/>
          <w:szCs w:val="36"/>
        </w:rPr>
        <w:t>电子备份投标文件</w:t>
      </w:r>
      <w:bookmarkEnd w:id="59"/>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bookmarkStart w:id="60" w:name="_Toc18701"/>
      <w:r>
        <w:rPr>
          <w:rFonts w:hint="eastAsia" w:ascii="宋体" w:hAnsi="宋体" w:eastAsia="宋体" w:cs="宋体"/>
          <w:sz w:val="36"/>
          <w:szCs w:val="36"/>
        </w:rPr>
        <w:t>项目名称：</w:t>
      </w:r>
      <w:bookmarkEnd w:id="60"/>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bookmarkStart w:id="61" w:name="_Toc20693"/>
      <w:r>
        <w:rPr>
          <w:rFonts w:hint="eastAsia" w:ascii="宋体" w:hAnsi="宋体" w:eastAsia="宋体" w:cs="宋体"/>
          <w:sz w:val="36"/>
          <w:szCs w:val="36"/>
        </w:rPr>
        <w:t>项目编号：</w:t>
      </w:r>
      <w:bookmarkEnd w:id="61"/>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bookmarkStart w:id="62" w:name="_Toc27616"/>
      <w:r>
        <w:rPr>
          <w:rFonts w:hint="eastAsia" w:ascii="宋体" w:hAnsi="宋体" w:eastAsia="宋体" w:cs="宋体"/>
          <w:sz w:val="36"/>
          <w:szCs w:val="36"/>
        </w:rPr>
        <w:t>投标人名称：（盖章）</w:t>
      </w:r>
      <w:bookmarkEnd w:id="62"/>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bookmarkStart w:id="63" w:name="_Toc8328"/>
      <w:r>
        <w:rPr>
          <w:rFonts w:hint="eastAsia" w:ascii="宋体" w:hAnsi="宋体" w:eastAsia="宋体" w:cs="宋体"/>
          <w:sz w:val="36"/>
          <w:szCs w:val="36"/>
        </w:rPr>
        <w:t>投标人地址：</w:t>
      </w:r>
      <w:bookmarkEnd w:id="63"/>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sz w:val="36"/>
          <w:szCs w:val="36"/>
        </w:rPr>
      </w:pPr>
      <w:bookmarkStart w:id="64" w:name="_Toc23143"/>
      <w:r>
        <w:rPr>
          <w:rFonts w:hint="eastAsia" w:ascii="宋体" w:hAnsi="宋体" w:eastAsia="宋体" w:cs="宋体"/>
          <w:sz w:val="36"/>
          <w:szCs w:val="36"/>
        </w:rPr>
        <w:t>在</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ab/>
      </w:r>
      <w:r>
        <w:rPr>
          <w:rFonts w:hint="eastAsia" w:ascii="宋体" w:hAnsi="宋体" w:eastAsia="宋体" w:cs="宋体"/>
          <w:sz w:val="36"/>
          <w:szCs w:val="36"/>
        </w:rPr>
        <w:t xml:space="preserve">年 </w:t>
      </w:r>
      <w:r>
        <w:rPr>
          <w:rFonts w:hint="eastAsia" w:ascii="宋体" w:hAnsi="宋体" w:eastAsia="宋体" w:cs="宋体"/>
          <w:sz w:val="36"/>
          <w:szCs w:val="36"/>
        </w:rPr>
        <w:tab/>
      </w:r>
      <w:r>
        <w:rPr>
          <w:rFonts w:hint="eastAsia" w:ascii="宋体" w:hAnsi="宋体" w:eastAsia="宋体" w:cs="宋体"/>
          <w:sz w:val="36"/>
          <w:szCs w:val="36"/>
        </w:rPr>
        <w:t>月</w:t>
      </w:r>
      <w:r>
        <w:rPr>
          <w:rFonts w:hint="eastAsia" w:ascii="宋体" w:hAnsi="宋体" w:eastAsia="宋体" w:cs="宋体"/>
          <w:sz w:val="36"/>
          <w:szCs w:val="36"/>
        </w:rPr>
        <w:tab/>
      </w:r>
      <w:r>
        <w:rPr>
          <w:rFonts w:hint="eastAsia" w:ascii="宋体" w:hAnsi="宋体" w:eastAsia="宋体" w:cs="宋体"/>
          <w:sz w:val="36"/>
          <w:szCs w:val="36"/>
        </w:rPr>
        <w:t xml:space="preserve"> 日</w:t>
      </w:r>
      <w:r>
        <w:rPr>
          <w:rFonts w:hint="eastAsia" w:ascii="宋体" w:hAnsi="宋体" w:eastAsia="宋体" w:cs="宋体"/>
          <w:sz w:val="36"/>
          <w:szCs w:val="36"/>
        </w:rPr>
        <w:tab/>
      </w:r>
      <w:r>
        <w:rPr>
          <w:rFonts w:hint="eastAsia" w:ascii="宋体" w:hAnsi="宋体" w:eastAsia="宋体" w:cs="宋体"/>
          <w:sz w:val="36"/>
          <w:szCs w:val="36"/>
        </w:rPr>
        <w:t xml:space="preserve"> 时</w:t>
      </w:r>
      <w:r>
        <w:rPr>
          <w:rFonts w:hint="eastAsia" w:ascii="宋体" w:hAnsi="宋体" w:eastAsia="宋体" w:cs="宋体"/>
          <w:sz w:val="36"/>
          <w:szCs w:val="36"/>
        </w:rPr>
        <w:tab/>
      </w:r>
      <w:r>
        <w:rPr>
          <w:rFonts w:hint="eastAsia" w:ascii="宋体" w:hAnsi="宋体" w:eastAsia="宋体" w:cs="宋体"/>
          <w:sz w:val="36"/>
          <w:szCs w:val="36"/>
        </w:rPr>
        <w:t xml:space="preserve"> 分之前不得启封。</w:t>
      </w:r>
      <w:bookmarkEnd w:id="64"/>
    </w:p>
    <w:p>
      <w:pPr>
        <w:shd w:val="clear"/>
        <w:bidi w:val="0"/>
        <w:jc w:val="center"/>
        <w:rPr>
          <w:rFonts w:hint="eastAsia" w:ascii="宋体" w:hAnsi="宋体" w:eastAsia="宋体" w:cs="宋体"/>
          <w:sz w:val="36"/>
          <w:szCs w:val="36"/>
        </w:rPr>
      </w:pPr>
    </w:p>
    <w:p>
      <w:pPr>
        <w:shd w:val="clear"/>
        <w:bidi w:val="0"/>
        <w:jc w:val="center"/>
        <w:rPr>
          <w:rFonts w:hint="eastAsia" w:ascii="宋体" w:hAnsi="宋体" w:eastAsia="宋体" w:cs="宋体"/>
          <w:b/>
          <w:bCs/>
          <w:color w:val="auto"/>
          <w:szCs w:val="48"/>
          <w:highlight w:val="none"/>
        </w:rPr>
      </w:pPr>
      <w:bookmarkStart w:id="65" w:name="_Toc10680"/>
      <w:r>
        <w:rPr>
          <w:rFonts w:hint="eastAsia" w:ascii="宋体" w:hAnsi="宋体" w:eastAsia="宋体" w:cs="宋体"/>
          <w:sz w:val="36"/>
          <w:szCs w:val="36"/>
        </w:rPr>
        <w:t>年</w:t>
      </w:r>
      <w:r>
        <w:rPr>
          <w:rFonts w:hint="eastAsia" w:ascii="宋体" w:hAnsi="宋体" w:eastAsia="宋体" w:cs="宋体"/>
          <w:sz w:val="36"/>
          <w:szCs w:val="36"/>
        </w:rPr>
        <w:tab/>
      </w:r>
      <w:r>
        <w:rPr>
          <w:rFonts w:hint="eastAsia" w:ascii="宋体" w:hAnsi="宋体" w:eastAsia="宋体" w:cs="宋体"/>
          <w:sz w:val="36"/>
          <w:szCs w:val="36"/>
        </w:rPr>
        <w:t xml:space="preserve">  月   </w:t>
      </w:r>
      <w:r>
        <w:rPr>
          <w:rFonts w:hint="eastAsia" w:ascii="宋体" w:hAnsi="宋体" w:eastAsia="宋体" w:cs="宋体"/>
          <w:sz w:val="36"/>
          <w:szCs w:val="36"/>
        </w:rPr>
        <w:tab/>
      </w:r>
      <w:r>
        <w:rPr>
          <w:rFonts w:hint="eastAsia" w:ascii="宋体" w:hAnsi="宋体" w:eastAsia="宋体" w:cs="宋体"/>
          <w:sz w:val="36"/>
          <w:szCs w:val="36"/>
        </w:rPr>
        <w:t>日</w:t>
      </w:r>
      <w:bookmarkEnd w:id="65"/>
    </w:p>
    <w:p>
      <w:pPr>
        <w:spacing w:line="240" w:lineRule="auto"/>
        <w:jc w:val="left"/>
        <w:outlineLvl w:val="9"/>
        <w:rPr>
          <w:rFonts w:hint="eastAsia" w:ascii="宋体" w:hAnsi="宋体" w:eastAsia="宋体" w:cs="宋体"/>
        </w:rPr>
      </w:pPr>
    </w:p>
    <w:p>
      <w:pPr>
        <w:spacing w:line="240" w:lineRule="auto"/>
        <w:jc w:val="left"/>
        <w:outlineLvl w:val="9"/>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shd w:val="clea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pPr>
        <w:shd w:val="clear"/>
        <w:spacing w:line="360" w:lineRule="auto"/>
        <w:jc w:val="left"/>
        <w:outlineLvl w:val="9"/>
        <w:rPr>
          <w:rFonts w:hint="eastAsia" w:ascii="宋体" w:hAnsi="宋体" w:eastAsia="宋体" w:cs="宋体"/>
        </w:rPr>
      </w:pPr>
    </w:p>
    <w:p>
      <w:pPr>
        <w:shd w:val="clear"/>
        <w:snapToGrid/>
        <w:spacing w:line="360" w:lineRule="auto"/>
        <w:jc w:val="center"/>
        <w:outlineLvl w:val="9"/>
        <w:rPr>
          <w:rFonts w:hint="eastAsia" w:ascii="宋体" w:hAnsi="宋体" w:eastAsia="宋体" w:cs="宋体"/>
          <w:b/>
          <w:bCs/>
          <w:sz w:val="36"/>
          <w:szCs w:val="44"/>
        </w:rPr>
      </w:pPr>
      <w:r>
        <w:rPr>
          <w:rFonts w:hint="eastAsia" w:ascii="宋体" w:hAnsi="宋体" w:eastAsia="宋体" w:cs="宋体"/>
          <w:b/>
          <w:bCs/>
          <w:sz w:val="36"/>
          <w:szCs w:val="44"/>
        </w:rPr>
        <w:t>（项目名称）</w:t>
      </w:r>
    </w:p>
    <w:p>
      <w:pPr>
        <w:shd w:val="clear"/>
        <w:snapToGrid/>
        <w:spacing w:line="360" w:lineRule="auto"/>
        <w:jc w:val="left"/>
        <w:outlineLvl w:val="9"/>
        <w:rPr>
          <w:rFonts w:hint="eastAsia" w:ascii="宋体" w:hAnsi="宋体" w:eastAsia="宋体" w:cs="宋体"/>
        </w:rPr>
      </w:pPr>
    </w:p>
    <w:p>
      <w:pPr>
        <w:shd w:val="clear"/>
        <w:snapToGrid/>
        <w:spacing w:line="360" w:lineRule="auto"/>
        <w:jc w:val="center"/>
        <w:outlineLvl w:val="9"/>
        <w:rPr>
          <w:rFonts w:hint="eastAsia" w:ascii="宋体" w:hAnsi="宋体" w:eastAsia="宋体" w:cs="宋体"/>
          <w:b/>
          <w:bCs/>
          <w:sz w:val="52"/>
          <w:szCs w:val="52"/>
        </w:rPr>
      </w:pPr>
      <w:r>
        <w:rPr>
          <w:rFonts w:hint="eastAsia" w:ascii="宋体" w:hAnsi="宋体" w:eastAsia="宋体" w:cs="宋体"/>
          <w:b/>
          <w:bCs/>
          <w:sz w:val="52"/>
          <w:szCs w:val="52"/>
        </w:rPr>
        <w:t>资  格  文  件</w:t>
      </w:r>
    </w:p>
    <w:p>
      <w:pPr>
        <w:widowControl/>
        <w:shd w:val="clear"/>
        <w:spacing w:line="360" w:lineRule="auto"/>
        <w:ind w:right="0"/>
        <w:jc w:val="center"/>
        <w:outlineLvl w:val="9"/>
        <w:rPr>
          <w:rFonts w:hint="eastAsia" w:ascii="宋体" w:hAnsi="宋体" w:eastAsia="宋体" w:cs="宋体"/>
          <w:b/>
          <w:bCs/>
          <w:sz w:val="32"/>
          <w:szCs w:val="32"/>
        </w:rPr>
      </w:pPr>
      <w:r>
        <w:rPr>
          <w:rFonts w:hint="eastAsia" w:ascii="宋体" w:hAnsi="宋体" w:eastAsia="宋体" w:cs="宋体"/>
          <w:b/>
          <w:bCs/>
          <w:sz w:val="32"/>
          <w:szCs w:val="32"/>
        </w:rPr>
        <w:t>（线上电子招投标）</w:t>
      </w:r>
    </w:p>
    <w:p>
      <w:pPr>
        <w:shd w:val="clear"/>
        <w:spacing w:line="360" w:lineRule="auto"/>
        <w:jc w:val="center"/>
        <w:rPr>
          <w:rFonts w:hint="eastAsia" w:ascii="宋体" w:hAnsi="宋体" w:eastAsia="宋体" w:cs="宋体"/>
          <w:b/>
          <w:bCs/>
          <w:sz w:val="32"/>
          <w:szCs w:val="32"/>
        </w:rPr>
      </w:pPr>
    </w:p>
    <w:p>
      <w:pPr>
        <w:shd w:val="clear"/>
        <w:snapToGrid/>
        <w:spacing w:line="360" w:lineRule="auto"/>
        <w:jc w:val="center"/>
        <w:outlineLvl w:val="9"/>
        <w:rPr>
          <w:rFonts w:hint="eastAsia" w:ascii="宋体" w:hAnsi="宋体" w:eastAsia="宋体" w:cs="宋体"/>
          <w:b/>
          <w:bCs/>
          <w:sz w:val="32"/>
          <w:szCs w:val="32"/>
          <w:lang w:eastAsia="zh-CN"/>
        </w:rPr>
      </w:pPr>
      <w:r>
        <w:rPr>
          <w:rFonts w:hint="eastAsia" w:ascii="宋体" w:hAnsi="宋体" w:eastAsia="宋体" w:cs="宋体"/>
          <w:b/>
          <w:bCs/>
          <w:sz w:val="32"/>
          <w:szCs w:val="32"/>
        </w:rPr>
        <w:t>招标编号：</w:t>
      </w:r>
      <w:r>
        <w:rPr>
          <w:rFonts w:hint="eastAsia" w:ascii="宋体" w:hAnsi="宋体" w:cs="宋体"/>
          <w:b/>
          <w:bCs/>
          <w:sz w:val="32"/>
          <w:szCs w:val="32"/>
          <w:lang w:eastAsia="zh-CN"/>
        </w:rPr>
        <w:t>XTDZFCG2024-001</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pPr>
        <w:shd w:val="clear"/>
        <w:snapToGrid w:val="0"/>
        <w:spacing w:line="360" w:lineRule="auto"/>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spacing w:line="240" w:lineRule="auto"/>
        <w:jc w:val="center"/>
        <w:outlineLvl w:val="9"/>
        <w:rPr>
          <w:rFonts w:hint="eastAsia" w:ascii="宋体" w:hAnsi="宋体" w:eastAsia="宋体" w:cs="宋体"/>
        </w:rPr>
      </w:pPr>
      <w:r>
        <w:rPr>
          <w:rFonts w:hint="eastAsia" w:ascii="宋体" w:hAnsi="宋体" w:eastAsia="宋体" w:cs="宋体"/>
          <w:color w:val="auto"/>
          <w:sz w:val="32"/>
          <w:szCs w:val="32"/>
          <w:highlight w:val="none"/>
        </w:rPr>
        <w:t>年   月   日</w:t>
      </w:r>
    </w:p>
    <w:p>
      <w:pPr>
        <w:spacing w:line="240" w:lineRule="auto"/>
        <w:jc w:val="left"/>
        <w:outlineLvl w:val="9"/>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pPr>
        <w:spacing w:line="240" w:lineRule="auto"/>
        <w:jc w:val="center"/>
        <w:outlineLvl w:val="9"/>
        <w:rPr>
          <w:rFonts w:hint="eastAsia" w:ascii="宋体" w:hAnsi="宋体" w:eastAsia="宋体" w:cs="宋体"/>
          <w:b/>
          <w:bCs/>
          <w:sz w:val="36"/>
          <w:szCs w:val="36"/>
        </w:rPr>
      </w:pPr>
      <w:r>
        <w:rPr>
          <w:rFonts w:hint="eastAsia" w:ascii="宋体" w:hAnsi="宋体" w:eastAsia="宋体" w:cs="宋体"/>
          <w:b/>
          <w:bCs/>
          <w:sz w:val="36"/>
          <w:szCs w:val="36"/>
        </w:rPr>
        <w:t>目录</w:t>
      </w:r>
    </w:p>
    <w:p>
      <w:pPr>
        <w:spacing w:line="240" w:lineRule="auto"/>
        <w:jc w:val="left"/>
        <w:outlineLvl w:val="9"/>
        <w:rPr>
          <w:rFonts w:hint="eastAsia" w:ascii="宋体" w:hAnsi="宋体" w:eastAsia="宋体" w:cs="宋体"/>
        </w:rPr>
      </w:pPr>
    </w:p>
    <w:p>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pPr>
        <w:snapToGrid w:val="0"/>
        <w:spacing w:line="360" w:lineRule="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（2）</w:t>
      </w: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r>
        <w:rPr>
          <w:rFonts w:hint="eastAsia" w:ascii="宋体" w:hAnsi="宋体" w:eastAsia="宋体" w:cs="宋体"/>
          <w:sz w:val="24"/>
          <w:highlight w:val="none"/>
        </w:rPr>
        <w:t>………………………………………（页码）</w:t>
      </w:r>
    </w:p>
    <w:p>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w:t>
      </w:r>
      <w:r>
        <w:rPr>
          <w:rFonts w:hint="eastAsia" w:ascii="宋体" w:hAnsi="宋体" w:cs="宋体"/>
          <w:snapToGrid w:val="0"/>
          <w:kern w:val="28"/>
          <w:sz w:val="24"/>
          <w:szCs w:val="20"/>
          <w:lang w:val="en-US" w:eastAsia="zh-CN"/>
        </w:rPr>
        <w:t>3</w:t>
      </w:r>
      <w:r>
        <w:rPr>
          <w:rFonts w:hint="eastAsia" w:ascii="宋体" w:hAnsi="宋体" w:eastAsia="宋体" w:cs="宋体"/>
          <w:snapToGrid w:val="0"/>
          <w:kern w:val="28"/>
          <w:sz w:val="24"/>
          <w:szCs w:val="20"/>
        </w:rPr>
        <w:t>）联合协议</w:t>
      </w:r>
      <w:r>
        <w:rPr>
          <w:rFonts w:hint="eastAsia" w:ascii="宋体" w:hAnsi="宋体" w:eastAsia="宋体" w:cs="宋体"/>
          <w:sz w:val="24"/>
        </w:rPr>
        <w:t>………………………………………………………………（页码）</w:t>
      </w:r>
    </w:p>
    <w:p>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）落实政府采购政策需满足的资格要求………………………………（页码）</w:t>
      </w:r>
    </w:p>
    <w:p>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）本项目的特定资格要求………………………………………………（页码）</w:t>
      </w:r>
    </w:p>
    <w:p>
      <w:pPr>
        <w:snapToGrid w:val="0"/>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pStyle w:val="2"/>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一、符合参加政府采购活动应当具备的一般条件的承诺函</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u w:val="single"/>
          <w:lang w:val="en-US" w:eastAsia="zh-CN"/>
        </w:rPr>
        <w:t xml:space="preserve">  </w:t>
      </w:r>
      <w:r>
        <w:rPr>
          <w:rFonts w:hint="eastAsia" w:ascii="宋体" w:hAnsi="宋体" w:eastAsia="宋体" w:cs="宋体"/>
          <w:b/>
          <w:bCs/>
          <w:color w:val="auto"/>
          <w:sz w:val="24"/>
          <w:u w:val="single"/>
        </w:rPr>
        <w:t>（项目名称）</w:t>
      </w:r>
      <w:r>
        <w:rPr>
          <w:rFonts w:hint="eastAsia" w:ascii="宋体" w:hAnsi="宋体" w:cs="宋体"/>
          <w:b/>
          <w:bCs/>
          <w:color w:val="auto"/>
          <w:sz w:val="24"/>
          <w:u w:val="single"/>
          <w:lang w:val="en-US" w:eastAsia="zh-CN"/>
        </w:rPr>
        <w:t xml:space="preserve">    </w:t>
      </w:r>
      <w:r>
        <w:rPr>
          <w:rFonts w:hint="eastAsia" w:ascii="宋体" w:hAnsi="宋体" w:eastAsia="宋体" w:cs="宋体"/>
          <w:color w:val="auto"/>
          <w:sz w:val="24"/>
        </w:rPr>
        <w:t>【招标编号：</w:t>
      </w:r>
      <w:r>
        <w:rPr>
          <w:rFonts w:hint="eastAsia" w:ascii="宋体" w:hAnsi="宋体" w:eastAsia="宋体" w:cs="宋体"/>
          <w:color w:val="auto"/>
          <w:sz w:val="24"/>
          <w:u w:val="single"/>
        </w:rPr>
        <w:t>（采购编号）</w:t>
      </w:r>
      <w:r>
        <w:rPr>
          <w:rFonts w:hint="eastAsia" w:ascii="宋体" w:hAnsi="宋体" w:eastAsia="宋体" w:cs="宋体"/>
          <w:color w:val="auto"/>
          <w:sz w:val="24"/>
        </w:rPr>
        <w:t>】政府采购活动，郑重承诺：</w:t>
      </w:r>
    </w:p>
    <w:p>
      <w:pPr>
        <w:snapToGrid w:val="0"/>
        <w:spacing w:line="360" w:lineRule="auto"/>
        <w:ind w:firstLine="360" w:firstLineChars="150"/>
        <w:rPr>
          <w:rFonts w:hint="eastAsia" w:ascii="宋体" w:hAnsi="宋体" w:eastAsia="宋体" w:cs="宋体"/>
          <w:sz w:val="24"/>
        </w:rPr>
      </w:pPr>
      <w:r>
        <w:rPr>
          <w:rFonts w:hint="eastAsia" w:ascii="宋体" w:hAnsi="宋体" w:eastAsia="宋体" w:cs="宋体"/>
          <w:color w:val="auto"/>
          <w:sz w:val="24"/>
        </w:rPr>
        <w:t>（一）具备《中华人民共和国政府采购法》第二十二条第一款规定的</w:t>
      </w:r>
      <w:r>
        <w:rPr>
          <w:rFonts w:hint="eastAsia" w:ascii="宋体" w:hAnsi="宋体" w:eastAsia="宋体" w:cs="宋体"/>
          <w:sz w:val="24"/>
        </w:rPr>
        <w:t>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pStyle w:val="2"/>
        <w:rPr>
          <w:rFonts w:hint="eastAsia" w:ascii="宋体" w:hAnsi="宋体" w:eastAsia="宋体" w:cs="宋体"/>
          <w:b/>
          <w:bCs w:val="0"/>
          <w:kern w:val="0"/>
          <w:sz w:val="32"/>
          <w:szCs w:val="32"/>
          <w:highlight w:val="none"/>
          <w:lang w:val="en-US" w:eastAsia="zh-CN" w:bidi="ar-SA"/>
        </w:rPr>
      </w:pPr>
      <w:r>
        <w:rPr>
          <w:rFonts w:hint="eastAsia" w:ascii="宋体" w:hAnsi="宋体" w:eastAsia="宋体" w:cs="宋体"/>
          <w:b/>
          <w:bCs w:val="0"/>
          <w:kern w:val="0"/>
          <w:sz w:val="32"/>
          <w:szCs w:val="32"/>
          <w:highlight w:val="none"/>
          <w:lang w:val="en-US" w:eastAsia="zh-CN" w:bidi="ar-SA"/>
        </w:rPr>
        <w:t>二、提供法人或者其他组织机构的营业执照（扫描件或复印件加盖公章）或事业法人登记证书或其他工商等登记证明材料</w:t>
      </w:r>
    </w:p>
    <w:p>
      <w:pPr>
        <w:widowControl/>
        <w:spacing w:line="360" w:lineRule="auto"/>
        <w:ind w:firstLine="643" w:firstLineChars="200"/>
        <w:jc w:val="center"/>
        <w:rPr>
          <w:rFonts w:hint="eastAsia" w:ascii="宋体" w:hAnsi="宋体" w:eastAsia="宋体" w:cs="宋体"/>
          <w:b/>
          <w:kern w:val="0"/>
          <w:sz w:val="32"/>
          <w:szCs w:val="32"/>
        </w:rPr>
      </w:pPr>
    </w:p>
    <w:p>
      <w:pPr>
        <w:pStyle w:val="2"/>
        <w:rPr>
          <w:rFonts w:hint="eastAsia"/>
        </w:rPr>
      </w:pPr>
    </w:p>
    <w:p>
      <w:pPr>
        <w:pStyle w:val="2"/>
        <w:rPr>
          <w:rFonts w:hint="eastAsia" w:ascii="宋体" w:hAnsi="宋体" w:eastAsia="宋体" w:cs="宋体"/>
          <w:b/>
          <w:kern w:val="0"/>
          <w:sz w:val="32"/>
          <w:szCs w:val="32"/>
        </w:rPr>
      </w:pPr>
      <w:r>
        <w:rPr>
          <w:rFonts w:hint="eastAsia" w:ascii="宋体" w:hAnsi="宋体" w:cs="宋体"/>
          <w:b/>
          <w:kern w:val="0"/>
          <w:sz w:val="32"/>
          <w:szCs w:val="32"/>
          <w:lang w:val="en-US" w:eastAsia="zh-CN"/>
        </w:rPr>
        <w:t>三</w:t>
      </w:r>
      <w:r>
        <w:rPr>
          <w:rFonts w:hint="eastAsia" w:ascii="宋体" w:hAnsi="宋体" w:eastAsia="宋体" w:cs="宋体"/>
          <w:b/>
          <w:kern w:val="0"/>
          <w:sz w:val="32"/>
          <w:szCs w:val="32"/>
        </w:rPr>
        <w:t>、联合协</w:t>
      </w:r>
      <w:r>
        <w:rPr>
          <w:rFonts w:hint="eastAsia" w:ascii="宋体" w:hAnsi="宋体" w:eastAsia="宋体" w:cs="宋体"/>
          <w:b/>
          <w:color w:val="auto"/>
          <w:kern w:val="0"/>
          <w:sz w:val="32"/>
          <w:szCs w:val="32"/>
        </w:rPr>
        <w:t>议（如果有）</w:t>
      </w:r>
    </w:p>
    <w:p>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pStyle w:val="2"/>
        <w:rPr>
          <w:rFonts w:hint="eastAsia" w:ascii="宋体" w:hAnsi="宋体" w:eastAsia="宋体" w:cs="宋体"/>
          <w:b/>
          <w:kern w:val="0"/>
          <w:sz w:val="32"/>
          <w:szCs w:val="32"/>
        </w:rPr>
      </w:pPr>
    </w:p>
    <w:p>
      <w:pPr>
        <w:rPr>
          <w:rFonts w:hint="eastAsia" w:ascii="宋体" w:hAnsi="宋体" w:eastAsia="宋体" w:cs="宋体"/>
          <w:b/>
          <w:kern w:val="0"/>
          <w:sz w:val="32"/>
          <w:szCs w:val="32"/>
        </w:rPr>
      </w:pPr>
    </w:p>
    <w:p>
      <w:pPr>
        <w:pStyle w:val="2"/>
        <w:rPr>
          <w:rFonts w:hint="eastAsia" w:ascii="宋体" w:hAnsi="宋体" w:eastAsia="宋体" w:cs="宋体"/>
          <w:b/>
          <w:kern w:val="0"/>
          <w:sz w:val="32"/>
          <w:szCs w:val="32"/>
        </w:rPr>
      </w:pPr>
    </w:p>
    <w:p>
      <w:pPr>
        <w:rPr>
          <w:rFonts w:hint="eastAsia" w:ascii="宋体" w:hAnsi="宋体" w:eastAsia="宋体" w:cs="宋体"/>
          <w:b/>
          <w:kern w:val="0"/>
          <w:sz w:val="32"/>
          <w:szCs w:val="32"/>
        </w:rPr>
      </w:pPr>
    </w:p>
    <w:p>
      <w:pPr>
        <w:pStyle w:val="2"/>
        <w:rPr>
          <w:rFonts w:hint="eastAsia" w:ascii="宋体" w:hAnsi="宋体" w:eastAsia="宋体" w:cs="宋体"/>
          <w:b/>
          <w:kern w:val="0"/>
          <w:sz w:val="32"/>
          <w:szCs w:val="32"/>
        </w:rPr>
      </w:pPr>
    </w:p>
    <w:p>
      <w:pPr>
        <w:rPr>
          <w:rFonts w:hint="eastAsia" w:ascii="宋体" w:hAnsi="宋体" w:eastAsia="宋体" w:cs="宋体"/>
          <w:b/>
          <w:kern w:val="0"/>
          <w:sz w:val="32"/>
          <w:szCs w:val="32"/>
        </w:rPr>
      </w:pPr>
    </w:p>
    <w:p>
      <w:pPr>
        <w:pStyle w:val="2"/>
        <w:rPr>
          <w:rFonts w:hint="eastAsia" w:ascii="宋体" w:hAnsi="宋体" w:eastAsia="宋体" w:cs="宋体"/>
          <w:b/>
          <w:kern w:val="0"/>
          <w:sz w:val="32"/>
          <w:szCs w:val="32"/>
        </w:rPr>
      </w:pPr>
    </w:p>
    <w:p>
      <w:pPr>
        <w:rPr>
          <w:rFonts w:hint="eastAsia" w:ascii="宋体" w:hAnsi="宋体" w:eastAsia="宋体" w:cs="宋体"/>
          <w:b/>
          <w:kern w:val="0"/>
          <w:sz w:val="32"/>
          <w:szCs w:val="32"/>
        </w:rPr>
      </w:pPr>
    </w:p>
    <w:p>
      <w:pPr>
        <w:pStyle w:val="2"/>
        <w:rPr>
          <w:rFonts w:hint="eastAsia" w:ascii="宋体" w:hAnsi="宋体" w:eastAsia="宋体" w:cs="宋体"/>
          <w:b/>
          <w:kern w:val="0"/>
          <w:sz w:val="32"/>
          <w:szCs w:val="32"/>
        </w:rPr>
      </w:pPr>
    </w:p>
    <w:p>
      <w:pPr>
        <w:rPr>
          <w:rFonts w:hint="eastAsia" w:ascii="宋体" w:hAnsi="宋体" w:eastAsia="宋体" w:cs="宋体"/>
          <w:b/>
          <w:kern w:val="0"/>
          <w:sz w:val="32"/>
          <w:szCs w:val="32"/>
        </w:rPr>
      </w:pPr>
    </w:p>
    <w:p>
      <w:pPr>
        <w:pStyle w:val="2"/>
        <w:rPr>
          <w:rFonts w:hint="eastAsia" w:ascii="宋体" w:hAnsi="宋体" w:eastAsia="宋体" w:cs="宋体"/>
          <w:b/>
          <w:kern w:val="0"/>
          <w:sz w:val="32"/>
          <w:szCs w:val="32"/>
        </w:rPr>
      </w:pPr>
    </w:p>
    <w:p>
      <w:pPr>
        <w:rPr>
          <w:rFonts w:hint="eastAsia" w:ascii="宋体" w:hAnsi="宋体" w:eastAsia="宋体" w:cs="宋体"/>
          <w:b/>
          <w:kern w:val="0"/>
          <w:sz w:val="32"/>
          <w:szCs w:val="32"/>
        </w:rPr>
      </w:pPr>
    </w:p>
    <w:p>
      <w:pPr>
        <w:pStyle w:val="2"/>
        <w:rPr>
          <w:rFonts w:hint="eastAsia" w:ascii="宋体" w:hAnsi="宋体" w:eastAsia="宋体" w:cs="宋体"/>
          <w:b/>
          <w:kern w:val="0"/>
          <w:sz w:val="32"/>
          <w:szCs w:val="32"/>
        </w:rPr>
      </w:pPr>
    </w:p>
    <w:p>
      <w:pPr>
        <w:rPr>
          <w:rFonts w:hint="eastAsia" w:ascii="宋体" w:hAnsi="宋体" w:eastAsia="宋体" w:cs="宋体"/>
          <w:b/>
          <w:kern w:val="0"/>
          <w:sz w:val="32"/>
          <w:szCs w:val="32"/>
        </w:rPr>
      </w:pPr>
    </w:p>
    <w:p>
      <w:pPr>
        <w:rPr>
          <w:rFonts w:hint="eastAsia"/>
        </w:rPr>
      </w:pPr>
    </w:p>
    <w:p>
      <w:pPr>
        <w:pStyle w:val="2"/>
        <w:rPr>
          <w:rFonts w:hint="eastAsia" w:ascii="宋体" w:hAnsi="宋体" w:eastAsia="宋体" w:cs="宋体"/>
        </w:rPr>
      </w:pPr>
      <w:r>
        <w:rPr>
          <w:rFonts w:hint="eastAsia" w:ascii="宋体" w:hAnsi="宋体" w:cs="宋体"/>
          <w:lang w:val="en-US" w:eastAsia="zh-CN"/>
        </w:rPr>
        <w:t>四</w:t>
      </w:r>
      <w:r>
        <w:rPr>
          <w:rFonts w:hint="eastAsia" w:ascii="宋体" w:hAnsi="宋体" w:eastAsia="宋体" w:cs="宋体"/>
        </w:rPr>
        <w:t>、落实政府采购政策需满足的资格要求</w:t>
      </w:r>
    </w:p>
    <w:p>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sz w:val="24"/>
          <w:lang w:eastAsia="zh-CN"/>
        </w:rPr>
      </w:pPr>
      <w:r>
        <w:rPr>
          <w:rFonts w:hint="eastAsia" w:ascii="宋体" w:hAnsi="宋体" w:eastAsia="宋体" w:cs="宋体"/>
          <w:b/>
          <w:sz w:val="24"/>
        </w:rPr>
        <w:t>A</w:t>
      </w:r>
      <w:r>
        <w:rPr>
          <w:rFonts w:hint="eastAsia" w:ascii="宋体" w:hAnsi="宋体" w:eastAsia="宋体" w:cs="宋体"/>
          <w:sz w:val="24"/>
        </w:rPr>
        <w:t>.</w:t>
      </w:r>
      <w:r>
        <w:rPr>
          <w:rFonts w:hint="eastAsia" w:ascii="宋体" w:hAnsi="宋体" w:cs="宋体"/>
          <w:b/>
          <w:sz w:val="24"/>
          <w:lang w:eastAsia="zh-CN"/>
        </w:rPr>
        <w:t>本项目为专门面向中小企业项目。</w:t>
      </w:r>
      <w:r>
        <w:rPr>
          <w:rFonts w:hint="eastAsia" w:ascii="宋体" w:hAnsi="宋体" w:eastAsia="宋体" w:cs="宋体"/>
          <w:sz w:val="24"/>
        </w:rPr>
        <w:t>货物全部由符合政策要求的</w:t>
      </w:r>
      <w:r>
        <w:rPr>
          <w:rFonts w:hint="eastAsia" w:ascii="宋体" w:hAnsi="宋体" w:cs="宋体"/>
          <w:sz w:val="24"/>
          <w:lang w:eastAsia="zh-CN"/>
        </w:rPr>
        <w:t>中</w:t>
      </w:r>
      <w:r>
        <w:rPr>
          <w:rFonts w:hint="eastAsia" w:ascii="宋体" w:hAnsi="宋体" w:eastAsia="宋体" w:cs="宋体"/>
          <w:sz w:val="24"/>
        </w:rPr>
        <w:t xml:space="preserve">小微企业制造的，提供相应的中小企业声明函（附件7）。 </w:t>
      </w:r>
      <w:r>
        <w:rPr>
          <w:rFonts w:hint="eastAsia" w:ascii="宋体" w:hAnsi="宋体" w:cs="宋体"/>
          <w:sz w:val="24"/>
          <w:lang w:eastAsia="zh-CN"/>
        </w:rPr>
        <w:t>否则投标无效。</w:t>
      </w:r>
    </w:p>
    <w:p>
      <w:pPr>
        <w:widowControl/>
        <w:spacing w:line="360" w:lineRule="auto"/>
        <w:ind w:firstLine="480"/>
        <w:jc w:val="left"/>
        <w:rPr>
          <w:rFonts w:hint="eastAsia" w:ascii="宋体" w:hAnsi="宋体" w:eastAsia="宋体" w:cs="宋体"/>
          <w:sz w:val="24"/>
        </w:rPr>
      </w:pPr>
    </w:p>
    <w:p>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rPr>
      </w:pPr>
    </w:p>
    <w:p>
      <w:pPr>
        <w:pStyle w:val="2"/>
        <w:rPr>
          <w:rFonts w:hint="eastAsia" w:ascii="宋体" w:hAnsi="宋体" w:eastAsia="宋体" w:cs="宋体"/>
        </w:rPr>
      </w:pPr>
      <w:r>
        <w:rPr>
          <w:rFonts w:hint="eastAsia" w:ascii="宋体" w:hAnsi="宋体" w:cs="宋体"/>
          <w:lang w:val="en-US" w:eastAsia="zh-CN"/>
        </w:rPr>
        <w:t>五</w:t>
      </w:r>
      <w:r>
        <w:rPr>
          <w:rFonts w:hint="eastAsia" w:ascii="宋体" w:hAnsi="宋体" w:eastAsia="宋体" w:cs="宋体"/>
        </w:rPr>
        <w:t>、本项目的特定资格要求</w:t>
      </w:r>
    </w:p>
    <w:p>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无</w:t>
      </w:r>
      <w:r>
        <w:rPr>
          <w:rFonts w:hint="eastAsia" w:ascii="宋体" w:hAnsi="宋体" w:cs="宋体"/>
          <w:sz w:val="24"/>
          <w:lang w:eastAsia="zh-CN"/>
        </w:rPr>
        <w:t>。</w:t>
      </w:r>
    </w:p>
    <w:p>
      <w:pPr>
        <w:shd w:val="clear"/>
        <w:spacing w:line="360" w:lineRule="auto"/>
        <w:jc w:val="center"/>
        <w:outlineLvl w:val="9"/>
        <w:rPr>
          <w:rFonts w:hint="eastAsia" w:ascii="宋体" w:hAnsi="宋体" w:eastAsia="宋体" w:cs="宋体"/>
          <w:b/>
          <w:color w:val="auto"/>
          <w:kern w:val="0"/>
          <w:sz w:val="44"/>
          <w:szCs w:val="44"/>
          <w:highlight w:val="none"/>
        </w:rPr>
      </w:pPr>
    </w:p>
    <w:p>
      <w:pPr>
        <w:shd w:val="clear"/>
        <w:spacing w:line="360" w:lineRule="auto"/>
        <w:jc w:val="center"/>
        <w:outlineLvl w:val="9"/>
        <w:rPr>
          <w:rFonts w:hint="eastAsia" w:ascii="宋体" w:hAnsi="宋体" w:eastAsia="宋体" w:cs="宋体"/>
          <w:b/>
          <w:color w:val="auto"/>
          <w:kern w:val="0"/>
          <w:sz w:val="44"/>
          <w:szCs w:val="44"/>
          <w:highlight w:val="none"/>
        </w:rPr>
      </w:pPr>
    </w:p>
    <w:p>
      <w:pPr>
        <w:shd w:val="clea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pPr>
        <w:shd w:val="clear"/>
        <w:spacing w:line="360" w:lineRule="auto"/>
        <w:jc w:val="left"/>
        <w:outlineLvl w:val="9"/>
        <w:rPr>
          <w:rFonts w:hint="eastAsia" w:ascii="宋体" w:hAnsi="宋体" w:eastAsia="宋体" w:cs="宋体"/>
        </w:rPr>
      </w:pPr>
    </w:p>
    <w:p>
      <w:pPr>
        <w:shd w:val="clear"/>
        <w:snapToGrid/>
        <w:spacing w:line="360" w:lineRule="auto"/>
        <w:jc w:val="center"/>
        <w:outlineLvl w:val="9"/>
        <w:rPr>
          <w:rFonts w:hint="eastAsia" w:ascii="宋体" w:hAnsi="宋体" w:eastAsia="宋体" w:cs="宋体"/>
          <w:b/>
          <w:bCs/>
          <w:sz w:val="36"/>
          <w:szCs w:val="44"/>
        </w:rPr>
      </w:pPr>
      <w:r>
        <w:rPr>
          <w:rFonts w:hint="eastAsia" w:ascii="宋体" w:hAnsi="宋体" w:eastAsia="宋体" w:cs="宋体"/>
          <w:b/>
          <w:bCs/>
          <w:sz w:val="36"/>
          <w:szCs w:val="44"/>
        </w:rPr>
        <w:t>（项目名称）</w:t>
      </w:r>
    </w:p>
    <w:p>
      <w:pPr>
        <w:shd w:val="clear"/>
        <w:snapToGrid/>
        <w:spacing w:line="360" w:lineRule="auto"/>
        <w:jc w:val="left"/>
        <w:outlineLvl w:val="9"/>
        <w:rPr>
          <w:rFonts w:hint="eastAsia" w:ascii="宋体" w:hAnsi="宋体" w:eastAsia="宋体" w:cs="宋体"/>
        </w:rPr>
      </w:pPr>
    </w:p>
    <w:p>
      <w:pPr>
        <w:shd w:val="clear"/>
        <w:snapToGrid/>
        <w:spacing w:line="360" w:lineRule="auto"/>
        <w:jc w:val="center"/>
        <w:outlineLvl w:val="9"/>
        <w:rPr>
          <w:rFonts w:hint="eastAsia" w:ascii="宋体" w:hAnsi="宋体" w:eastAsia="宋体" w:cs="宋体"/>
          <w:b/>
          <w:bCs/>
          <w:sz w:val="52"/>
          <w:szCs w:val="52"/>
        </w:rPr>
      </w:pPr>
      <w:r>
        <w:rPr>
          <w:rFonts w:hint="eastAsia" w:ascii="宋体" w:hAnsi="宋体" w:eastAsia="宋体" w:cs="宋体"/>
          <w:b/>
          <w:bCs/>
          <w:sz w:val="52"/>
          <w:szCs w:val="52"/>
        </w:rPr>
        <w:t>商 务 技 术 文 件</w:t>
      </w:r>
    </w:p>
    <w:p>
      <w:pPr>
        <w:widowControl/>
        <w:shd w:val="clear"/>
        <w:spacing w:line="360" w:lineRule="auto"/>
        <w:ind w:right="0"/>
        <w:jc w:val="center"/>
        <w:outlineLvl w:val="9"/>
        <w:rPr>
          <w:rFonts w:hint="eastAsia" w:ascii="宋体" w:hAnsi="宋体" w:eastAsia="宋体" w:cs="宋体"/>
          <w:b/>
          <w:bCs/>
          <w:sz w:val="32"/>
          <w:szCs w:val="32"/>
        </w:rPr>
      </w:pPr>
      <w:r>
        <w:rPr>
          <w:rFonts w:hint="eastAsia" w:ascii="宋体" w:hAnsi="宋体" w:eastAsia="宋体" w:cs="宋体"/>
          <w:b/>
          <w:bCs/>
          <w:sz w:val="32"/>
          <w:szCs w:val="32"/>
        </w:rPr>
        <w:t>（线上电子招投标）</w:t>
      </w:r>
    </w:p>
    <w:p>
      <w:pPr>
        <w:shd w:val="clear"/>
        <w:spacing w:line="360" w:lineRule="auto"/>
        <w:jc w:val="center"/>
        <w:rPr>
          <w:rFonts w:hint="eastAsia" w:ascii="宋体" w:hAnsi="宋体" w:eastAsia="宋体" w:cs="宋体"/>
          <w:b/>
          <w:bCs/>
          <w:sz w:val="32"/>
          <w:szCs w:val="32"/>
        </w:rPr>
      </w:pPr>
    </w:p>
    <w:p>
      <w:pPr>
        <w:shd w:val="clear"/>
        <w:snapToGrid/>
        <w:spacing w:line="360" w:lineRule="auto"/>
        <w:jc w:val="center"/>
        <w:outlineLvl w:val="9"/>
        <w:rPr>
          <w:rFonts w:hint="eastAsia" w:ascii="宋体" w:hAnsi="宋体" w:eastAsia="宋体" w:cs="宋体"/>
          <w:b/>
          <w:bCs/>
          <w:sz w:val="32"/>
          <w:szCs w:val="32"/>
          <w:lang w:eastAsia="zh-CN"/>
        </w:rPr>
      </w:pPr>
      <w:r>
        <w:rPr>
          <w:rFonts w:hint="eastAsia" w:ascii="宋体" w:hAnsi="宋体" w:eastAsia="宋体" w:cs="宋体"/>
          <w:b/>
          <w:bCs/>
          <w:sz w:val="32"/>
          <w:szCs w:val="32"/>
        </w:rPr>
        <w:t>招标编号：</w:t>
      </w:r>
      <w:r>
        <w:rPr>
          <w:rFonts w:hint="eastAsia" w:ascii="宋体" w:hAnsi="宋体" w:cs="宋体"/>
          <w:b/>
          <w:bCs/>
          <w:sz w:val="32"/>
          <w:szCs w:val="32"/>
          <w:lang w:eastAsia="zh-CN"/>
        </w:rPr>
        <w:t>XTDZFCG2024-001</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pPr>
        <w:shd w:val="clear"/>
        <w:snapToGrid w:val="0"/>
        <w:spacing w:line="360" w:lineRule="auto"/>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jc w:val="center"/>
        <w:rPr>
          <w:rFonts w:hint="eastAsia" w:ascii="宋体" w:hAnsi="宋体" w:eastAsia="宋体" w:cs="宋体"/>
        </w:rPr>
      </w:pPr>
      <w:r>
        <w:rPr>
          <w:rFonts w:hint="eastAsia" w:ascii="宋体" w:hAnsi="宋体" w:eastAsia="宋体" w:cs="宋体"/>
          <w:color w:val="auto"/>
          <w:sz w:val="32"/>
          <w:szCs w:val="32"/>
          <w:highlight w:val="none"/>
        </w:rPr>
        <w:t>年   月   日</w:t>
      </w:r>
    </w:p>
    <w:p>
      <w:pPr>
        <w:pStyle w:val="3"/>
        <w:jc w:val="center"/>
        <w:rPr>
          <w:rFonts w:hint="eastAsia" w:ascii="宋体" w:hAnsi="宋体" w:eastAsia="宋体" w:cs="宋体"/>
        </w:rPr>
      </w:pPr>
      <w:r>
        <w:rPr>
          <w:rFonts w:hint="eastAsia" w:ascii="宋体" w:hAnsi="宋体" w:eastAsia="宋体" w:cs="宋体"/>
        </w:rPr>
        <w:t>商务技术文件部分</w:t>
      </w:r>
    </w:p>
    <w:p>
      <w:pPr>
        <w:spacing w:line="240" w:lineRule="auto"/>
        <w:jc w:val="center"/>
        <w:outlineLvl w:val="9"/>
        <w:rPr>
          <w:rFonts w:hint="eastAsia" w:ascii="宋体" w:hAnsi="宋体" w:eastAsia="宋体" w:cs="宋体"/>
          <w:b/>
          <w:bCs/>
          <w:sz w:val="36"/>
          <w:szCs w:val="36"/>
        </w:rPr>
      </w:pPr>
      <w:r>
        <w:rPr>
          <w:rFonts w:hint="eastAsia" w:ascii="宋体" w:hAnsi="宋体" w:eastAsia="宋体" w:cs="宋体"/>
          <w:b/>
          <w:bCs/>
          <w:sz w:val="36"/>
          <w:szCs w:val="36"/>
        </w:rPr>
        <w:t>目录</w:t>
      </w:r>
    </w:p>
    <w:p>
      <w:pPr>
        <w:shd w:val="clear"/>
        <w:snapToGrid w:val="0"/>
        <w:spacing w:line="360" w:lineRule="auto"/>
        <w:ind w:left="547"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pPr>
        <w:shd w:val="clear"/>
        <w:snapToGrid w:val="0"/>
        <w:spacing w:line="360" w:lineRule="auto"/>
        <w:ind w:left="547" w:leftChars="228"/>
        <w:rPr>
          <w:rFonts w:hint="eastAsia" w:ascii="宋体" w:hAnsi="宋体" w:eastAsia="宋体" w:cs="宋体"/>
        </w:rPr>
      </w:pPr>
      <w:r>
        <w:rPr>
          <w:rFonts w:hint="eastAsia" w:ascii="宋体" w:hAnsi="宋体" w:eastAsia="宋体" w:cs="宋体"/>
          <w:sz w:val="24"/>
        </w:rPr>
        <w:t>（3）分包意向协议</w:t>
      </w:r>
      <w:r>
        <w:rPr>
          <w:rFonts w:hint="eastAsia" w:ascii="宋体" w:hAnsi="宋体" w:eastAsia="宋体" w:cs="宋体"/>
        </w:rPr>
        <w:t>……………………………………………………………（页码）</w:t>
      </w:r>
    </w:p>
    <w:p>
      <w:pPr>
        <w:shd w:val="clea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pPr>
        <w:shd w:val="clear"/>
        <w:snapToGrid w:val="0"/>
        <w:spacing w:line="360" w:lineRule="auto"/>
        <w:ind w:left="547" w:leftChars="228"/>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…………………………………………（页码）</w:t>
      </w:r>
      <w:r>
        <w:rPr>
          <w:rFonts w:hint="eastAsia" w:ascii="宋体" w:hAnsi="宋体" w:eastAsia="宋体" w:cs="宋体"/>
          <w:sz w:val="24"/>
        </w:rPr>
        <w:t>（6）商务技术偏离表</w:t>
      </w:r>
      <w:r>
        <w:rPr>
          <w:rFonts w:hint="eastAsia" w:ascii="宋体" w:hAnsi="宋体" w:eastAsia="宋体" w:cs="宋体"/>
        </w:rPr>
        <w:t>…………………………………………………………（页码）</w:t>
      </w:r>
    </w:p>
    <w:p>
      <w:pPr>
        <w:shd w:val="clear"/>
        <w:snapToGrid w:val="0"/>
        <w:spacing w:line="360" w:lineRule="auto"/>
        <w:ind w:left="547" w:leftChars="228"/>
        <w:rPr>
          <w:rFonts w:hint="eastAsia" w:ascii="宋体" w:hAnsi="宋体" w:eastAsia="宋体" w:cs="宋体"/>
        </w:rPr>
      </w:pPr>
      <w:r>
        <w:rPr>
          <w:rFonts w:hint="eastAsia" w:ascii="宋体" w:hAnsi="宋体" w:eastAsia="宋体" w:cs="宋体"/>
          <w:sz w:val="24"/>
        </w:rPr>
        <w:t>（7）投标标的清单</w:t>
      </w:r>
      <w:r>
        <w:rPr>
          <w:rFonts w:hint="eastAsia" w:ascii="宋体" w:hAnsi="宋体" w:eastAsia="宋体" w:cs="宋体"/>
        </w:rPr>
        <w:t>……………………………………………………………（页码）</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r>
        <w:rPr>
          <w:rFonts w:hint="eastAsia" w:ascii="宋体" w:hAnsi="宋体" w:eastAsia="宋体" w:cs="宋体"/>
        </w:rPr>
        <w:t>………………………………………（页码）</w:t>
      </w:r>
    </w:p>
    <w:p>
      <w:pPr>
        <w:shd w:val="clear"/>
        <w:snapToGrid w:val="0"/>
        <w:spacing w:line="360" w:lineRule="auto"/>
        <w:ind w:left="547"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9</w:t>
      </w:r>
      <w:r>
        <w:rPr>
          <w:rFonts w:hint="eastAsia" w:ascii="宋体" w:hAnsi="宋体" w:eastAsia="宋体" w:cs="宋体"/>
          <w:sz w:val="24"/>
          <w:lang w:val="zh-CN"/>
        </w:rPr>
        <w:t>）确认声明书</w:t>
      </w:r>
      <w:r>
        <w:rPr>
          <w:rFonts w:hint="eastAsia" w:ascii="宋体" w:hAnsi="宋体" w:eastAsia="宋体" w:cs="宋体"/>
        </w:rPr>
        <w:t>………………………………………………………………（页码）</w:t>
      </w: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spacing w:line="240" w:lineRule="auto"/>
        <w:jc w:val="left"/>
        <w:outlineLvl w:val="9"/>
        <w:rPr>
          <w:rFonts w:hint="eastAsia" w:ascii="宋体" w:hAnsi="宋体" w:eastAsia="宋体" w:cs="宋体"/>
        </w:rPr>
      </w:pPr>
    </w:p>
    <w:p>
      <w:pPr>
        <w:snapToGrid/>
        <w:spacing w:line="240" w:lineRule="auto"/>
        <w:jc w:val="left"/>
        <w:outlineLvl w:val="9"/>
        <w:rPr>
          <w:rFonts w:hint="eastAsia" w:ascii="宋体" w:hAnsi="宋体" w:eastAsia="宋体" w:cs="宋体"/>
        </w:rPr>
      </w:pPr>
    </w:p>
    <w:p>
      <w:pPr>
        <w:rPr>
          <w:rFonts w:hint="eastAsia" w:ascii="宋体" w:hAnsi="宋体" w:eastAsia="宋体" w:cs="宋体"/>
        </w:rPr>
      </w:pPr>
    </w:p>
    <w:p>
      <w:pPr>
        <w:snapToGrid/>
        <w:spacing w:line="240" w:lineRule="auto"/>
        <w:jc w:val="left"/>
        <w:outlineLvl w:val="9"/>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2"/>
        <w:rPr>
          <w:rFonts w:hint="eastAsia" w:ascii="宋体" w:hAnsi="宋体" w:eastAsia="宋体" w:cs="宋体"/>
        </w:rPr>
      </w:pPr>
      <w:r>
        <w:rPr>
          <w:rFonts w:hint="eastAsia" w:ascii="宋体" w:hAnsi="宋体" w:eastAsia="宋体" w:cs="宋体"/>
        </w:rPr>
        <w:t>一、投标函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pPr>
        <w:snapToGrid w:val="0"/>
        <w:spacing w:line="360" w:lineRule="auto"/>
        <w:ind w:left="24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联合协议（如果有)；</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napToGrid w:val="0"/>
        <w:spacing w:line="360" w:lineRule="auto"/>
        <w:ind w:left="24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8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sz w:val="24"/>
        </w:rPr>
      </w:pPr>
      <w:r>
        <w:rPr>
          <w:rFonts w:hint="eastAsia" w:ascii="宋体" w:hAnsi="宋体" w:cs="宋体"/>
          <w:color w:val="auto"/>
          <w:sz w:val="24"/>
        </w:rPr>
        <w:t xml:space="preserve">投标人名称（电子签名）：   </w:t>
      </w:r>
      <w:r>
        <w:rPr>
          <w:rFonts w:hint="eastAsia" w:ascii="宋体" w:hAnsi="宋体" w:cs="宋体"/>
          <w:sz w:val="24"/>
        </w:rPr>
        <w:t xml:space="preserve">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8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pStyle w:val="2"/>
        <w:rPr>
          <w:lang w:val="zh-CN"/>
        </w:rPr>
      </w:pPr>
      <w:r>
        <w:rPr>
          <w:rFonts w:hint="eastAsia"/>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w:t>
      </w:r>
      <w:r>
        <w:rPr>
          <w:rFonts w:hint="eastAsia" w:ascii="宋体" w:hAnsi="宋体" w:cs="宋体"/>
          <w:color w:val="auto"/>
          <w:sz w:val="24"/>
          <w:lang w:eastAsia="zh-CN"/>
        </w:rPr>
        <w:t>：</w:t>
      </w:r>
      <w:r>
        <w:rPr>
          <w:rFonts w:hint="eastAsia" w:ascii="宋体" w:hAnsi="宋体" w:cs="宋体"/>
          <w:color w:val="auto"/>
          <w:sz w:val="24"/>
          <w:lang w:val="en-US" w:eastAsia="zh-CN"/>
        </w:rPr>
        <w:t xml:space="preserve">      </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both"/>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0"/>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Ansi="宋体" w:cs="宋体"/>
                <w:bCs/>
                <w:sz w:val="24"/>
              </w:rPr>
            </w:pPr>
            <w:r>
              <w:rPr>
                <w:rFonts w:hint="eastAsia" w:hAnsi="宋体" w:cs="宋体"/>
                <w:bCs/>
                <w:sz w:val="24"/>
              </w:rPr>
              <w:t>正面：                                 反面：</w:t>
            </w:r>
          </w:p>
          <w:p>
            <w:pPr>
              <w:pStyle w:val="150"/>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pStyle w:val="2"/>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auto"/>
          <w:kern w:val="0"/>
          <w:sz w:val="32"/>
          <w:szCs w:val="32"/>
        </w:rPr>
        <w:t>（如果有）</w:t>
      </w:r>
    </w:p>
    <w:p>
      <w:pPr>
        <w:widowControl/>
        <w:spacing w:line="360" w:lineRule="auto"/>
        <w:ind w:firstLine="120" w:firstLineChars="50"/>
        <w:jc w:val="left"/>
        <w:rPr>
          <w:rFonts w:ascii="宋体" w:hAnsi="宋体" w:cs="宋体"/>
          <w:sz w:val="24"/>
        </w:rPr>
      </w:pPr>
      <w:bookmarkStart w:id="66"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66"/>
    <w:p>
      <w:pPr>
        <w:snapToGrid w:val="0"/>
        <w:spacing w:line="360" w:lineRule="auto"/>
        <w:rPr>
          <w:rFonts w:ascii="宋体" w:hAnsi="宋体" w:cs="宋体"/>
          <w:kern w:val="0"/>
          <w:sz w:val="24"/>
        </w:rPr>
      </w:pPr>
    </w:p>
    <w:p>
      <w:pPr>
        <w:jc w:val="center"/>
        <w:rPr>
          <w:rFonts w:ascii="宋体" w:hAnsi="宋体" w:cs="宋体"/>
          <w:b/>
          <w:kern w:val="0"/>
          <w:sz w:val="32"/>
          <w:szCs w:val="32"/>
        </w:rPr>
      </w:pPr>
    </w:p>
    <w:p>
      <w:pPr>
        <w:rPr>
          <w:lang w:val="en-US"/>
        </w:rPr>
      </w:pPr>
    </w:p>
    <w:p>
      <w:pPr>
        <w:rPr>
          <w:lang w:val="en-US"/>
        </w:rPr>
      </w:pPr>
    </w:p>
    <w:p>
      <w:pPr>
        <w:jc w:val="center"/>
        <w:rPr>
          <w:rFonts w:ascii="宋体" w:hAnsi="宋体" w:cs="宋体"/>
          <w:b/>
          <w:kern w:val="0"/>
          <w:sz w:val="32"/>
          <w:szCs w:val="32"/>
        </w:rPr>
      </w:pPr>
    </w:p>
    <w:p>
      <w:pPr>
        <w:pStyle w:val="2"/>
      </w:pPr>
      <w:r>
        <w:rPr>
          <w:rFonts w:hint="eastAsia"/>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pStyle w:val="2"/>
      </w:pPr>
      <w:r>
        <w:rPr>
          <w:rFonts w:hint="eastAsia"/>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
      <w:pPr>
        <w:jc w:val="center"/>
        <w:rPr>
          <w:rFonts w:ascii="宋体" w:hAnsi="宋体" w:cs="宋体"/>
          <w:b/>
          <w:kern w:val="0"/>
          <w:sz w:val="32"/>
          <w:szCs w:val="32"/>
        </w:rPr>
      </w:pPr>
    </w:p>
    <w:p>
      <w:pPr>
        <w:pStyle w:val="80"/>
        <w:rPr>
          <w:rFonts w:ascii="宋体" w:hAnsi="宋体" w:cs="宋体"/>
          <w:b/>
          <w:kern w:val="0"/>
          <w:sz w:val="32"/>
          <w:szCs w:val="32"/>
        </w:rPr>
      </w:pPr>
    </w:p>
    <w:p>
      <w:pPr>
        <w:pStyle w:val="80"/>
        <w:rPr>
          <w:rFonts w:ascii="宋体" w:hAnsi="宋体" w:cs="宋体"/>
          <w:b/>
          <w:kern w:val="0"/>
          <w:sz w:val="32"/>
          <w:szCs w:val="32"/>
        </w:rPr>
      </w:pPr>
    </w:p>
    <w:p>
      <w:pPr>
        <w:pStyle w:val="80"/>
        <w:rPr>
          <w:rFonts w:ascii="宋体" w:hAnsi="宋体" w:cs="宋体"/>
          <w:b/>
          <w:kern w:val="0"/>
          <w:sz w:val="32"/>
          <w:szCs w:val="32"/>
        </w:rPr>
      </w:pPr>
    </w:p>
    <w:p>
      <w:pPr>
        <w:pStyle w:val="80"/>
        <w:rPr>
          <w:rFonts w:ascii="宋体" w:hAnsi="宋体" w:cs="宋体"/>
          <w:b/>
          <w:kern w:val="0"/>
          <w:sz w:val="32"/>
          <w:szCs w:val="32"/>
        </w:rPr>
      </w:pPr>
    </w:p>
    <w:p>
      <w:pPr>
        <w:pStyle w:val="80"/>
        <w:rPr>
          <w:rFonts w:ascii="宋体" w:hAnsi="宋体" w:cs="宋体"/>
          <w:b/>
          <w:kern w:val="0"/>
          <w:sz w:val="32"/>
          <w:szCs w:val="32"/>
        </w:rPr>
      </w:pPr>
    </w:p>
    <w:p>
      <w:pPr>
        <w:pStyle w:val="80"/>
        <w:rPr>
          <w:rFonts w:ascii="宋体" w:hAnsi="宋体" w:cs="宋体"/>
          <w:b/>
          <w:kern w:val="0"/>
          <w:sz w:val="32"/>
          <w:szCs w:val="32"/>
        </w:rPr>
      </w:pPr>
    </w:p>
    <w:p>
      <w:pPr>
        <w:pStyle w:val="80"/>
        <w:rPr>
          <w:rFonts w:ascii="宋体" w:hAnsi="宋体" w:cs="宋体"/>
          <w:b/>
          <w:kern w:val="0"/>
          <w:sz w:val="32"/>
          <w:szCs w:val="32"/>
        </w:rPr>
      </w:pPr>
    </w:p>
    <w:p>
      <w:pPr>
        <w:pStyle w:val="80"/>
        <w:rPr>
          <w:rFonts w:ascii="宋体" w:hAnsi="宋体" w:cs="宋体"/>
          <w:b/>
          <w:kern w:val="0"/>
          <w:sz w:val="32"/>
          <w:szCs w:val="32"/>
        </w:rPr>
      </w:pPr>
    </w:p>
    <w:p>
      <w:pPr>
        <w:pStyle w:val="80"/>
        <w:rPr>
          <w:rFonts w:ascii="宋体" w:hAnsi="宋体" w:cs="宋体"/>
          <w:b/>
          <w:kern w:val="0"/>
          <w:sz w:val="32"/>
          <w:szCs w:val="32"/>
        </w:rPr>
      </w:pPr>
    </w:p>
    <w:p>
      <w:pPr>
        <w:pStyle w:val="80"/>
        <w:rPr>
          <w:rFonts w:ascii="宋体" w:hAnsi="宋体" w:cs="宋体"/>
          <w:b/>
          <w:kern w:val="0"/>
          <w:sz w:val="32"/>
          <w:szCs w:val="32"/>
        </w:rPr>
      </w:pPr>
    </w:p>
    <w:p>
      <w:pPr>
        <w:pStyle w:val="80"/>
        <w:rPr>
          <w:rFonts w:ascii="宋体" w:hAnsi="宋体" w:cs="宋体"/>
          <w:b/>
          <w:kern w:val="0"/>
          <w:sz w:val="32"/>
          <w:szCs w:val="32"/>
        </w:rPr>
      </w:pPr>
    </w:p>
    <w:p>
      <w:pPr>
        <w:pStyle w:val="80"/>
        <w:rPr>
          <w:rFonts w:ascii="宋体" w:hAnsi="宋体" w:cs="宋体"/>
          <w:b/>
          <w:kern w:val="0"/>
          <w:sz w:val="32"/>
          <w:szCs w:val="32"/>
        </w:rPr>
      </w:pPr>
    </w:p>
    <w:p>
      <w:pPr>
        <w:pStyle w:val="80"/>
        <w:rPr>
          <w:rFonts w:ascii="宋体" w:hAnsi="宋体" w:cs="宋体"/>
          <w:b/>
          <w:kern w:val="0"/>
          <w:sz w:val="32"/>
          <w:szCs w:val="32"/>
        </w:rPr>
      </w:pPr>
    </w:p>
    <w:p>
      <w:pPr>
        <w:pStyle w:val="80"/>
        <w:rPr>
          <w:rFonts w:ascii="宋体" w:hAnsi="宋体" w:cs="宋体"/>
          <w:b/>
          <w:kern w:val="0"/>
          <w:sz w:val="32"/>
          <w:szCs w:val="32"/>
        </w:rPr>
      </w:pPr>
    </w:p>
    <w:p>
      <w:pPr>
        <w:pStyle w:val="80"/>
        <w:rPr>
          <w:rFonts w:ascii="宋体" w:hAnsi="宋体" w:cs="宋体"/>
          <w:b/>
          <w:kern w:val="0"/>
          <w:sz w:val="32"/>
          <w:szCs w:val="32"/>
        </w:rPr>
      </w:pPr>
    </w:p>
    <w:p>
      <w:pPr>
        <w:pStyle w:val="80"/>
        <w:rPr>
          <w:rFonts w:ascii="宋体" w:hAnsi="宋体" w:cs="宋体"/>
          <w:b/>
          <w:kern w:val="0"/>
          <w:sz w:val="32"/>
          <w:szCs w:val="32"/>
        </w:rPr>
      </w:pPr>
    </w:p>
    <w:p>
      <w:pPr>
        <w:pStyle w:val="80"/>
        <w:rPr>
          <w:rFonts w:ascii="宋体" w:hAnsi="宋体" w:cs="宋体"/>
          <w:b/>
          <w:kern w:val="0"/>
          <w:sz w:val="32"/>
          <w:szCs w:val="32"/>
        </w:rPr>
      </w:pPr>
    </w:p>
    <w:p>
      <w:pPr>
        <w:pStyle w:val="80"/>
        <w:rPr>
          <w:rFonts w:ascii="宋体" w:hAnsi="宋体" w:cs="宋体"/>
          <w:b/>
          <w:kern w:val="0"/>
          <w:sz w:val="32"/>
          <w:szCs w:val="32"/>
        </w:rPr>
      </w:pPr>
    </w:p>
    <w:p>
      <w:pPr>
        <w:pStyle w:val="80"/>
        <w:rPr>
          <w:rFonts w:ascii="宋体" w:hAnsi="宋体" w:cs="宋体"/>
          <w:b/>
          <w:kern w:val="0"/>
          <w:sz w:val="32"/>
          <w:szCs w:val="32"/>
        </w:rPr>
      </w:pPr>
    </w:p>
    <w:p>
      <w:pPr>
        <w:pStyle w:val="80"/>
        <w:rPr>
          <w:rFonts w:ascii="宋体" w:hAnsi="宋体" w:cs="宋体"/>
          <w:b/>
          <w:kern w:val="0"/>
          <w:sz w:val="32"/>
          <w:szCs w:val="32"/>
        </w:rPr>
      </w:pPr>
    </w:p>
    <w:p>
      <w:pPr>
        <w:pStyle w:val="80"/>
        <w:rPr>
          <w:rFonts w:ascii="宋体" w:hAnsi="宋体" w:cs="宋体"/>
          <w:b/>
          <w:kern w:val="0"/>
          <w:sz w:val="32"/>
          <w:szCs w:val="32"/>
        </w:rPr>
      </w:pPr>
    </w:p>
    <w:p>
      <w:pPr>
        <w:jc w:val="center"/>
        <w:rPr>
          <w:rFonts w:ascii="宋体" w:hAnsi="宋体" w:cs="宋体"/>
          <w:b/>
          <w:kern w:val="0"/>
          <w:sz w:val="32"/>
          <w:szCs w:val="32"/>
        </w:rPr>
      </w:pPr>
    </w:p>
    <w:p>
      <w:pPr>
        <w:pStyle w:val="2"/>
      </w:pPr>
      <w:r>
        <w:rPr>
          <w:rFonts w:hint="eastAsia"/>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pStyle w:val="2"/>
      </w:pPr>
      <w:r>
        <w:rPr>
          <w:rFonts w:hint="eastAsia"/>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spacing w:line="360" w:lineRule="auto"/>
        <w:ind w:right="420"/>
        <w:rPr>
          <w:rFonts w:ascii="宋体" w:hAnsi="宋体" w:cs="宋体"/>
          <w:sz w:val="24"/>
        </w:rPr>
      </w:pPr>
      <w:r>
        <w:rPr>
          <w:rFonts w:hint="eastAsia" w:ascii="宋体" w:hAnsi="宋体" w:cs="宋体"/>
          <w:sz w:val="24"/>
        </w:rPr>
        <w:t>注：我方承诺除商务技术偏离表列出的偏离外，我方响应招标文件的全部要求。对投标文件中材料的真实性、合法性负责。</w:t>
      </w:r>
    </w:p>
    <w:p>
      <w:pPr>
        <w:jc w:val="center"/>
        <w:rPr>
          <w:rFonts w:ascii="宋体" w:hAnsi="宋体" w:cs="宋体"/>
          <w:b/>
          <w:kern w:val="0"/>
          <w:sz w:val="32"/>
          <w:szCs w:val="32"/>
        </w:rPr>
      </w:pPr>
    </w:p>
    <w:p>
      <w:pPr>
        <w:spacing w:line="360" w:lineRule="auto"/>
        <w:ind w:right="420"/>
        <w:rPr>
          <w:rFonts w:hint="eastAsia"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autoSpaceDE w:val="0"/>
        <w:autoSpaceDN w:val="0"/>
        <w:spacing w:line="360" w:lineRule="auto"/>
        <w:ind w:left="2" w:leftChars="1" w:right="1120" w:firstLine="5280" w:firstLineChars="22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528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pStyle w:val="2"/>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5280" w:firstLineChars="22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528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pPr>
    </w:p>
    <w:p>
      <w:r>
        <w:br w:type="page"/>
      </w:r>
    </w:p>
    <w:p>
      <w:pPr>
        <w:pStyle w:val="2"/>
        <w:shd w:val="clear"/>
        <w:rPr>
          <w:sz w:val="28"/>
          <w:szCs w:val="28"/>
        </w:rPr>
      </w:pPr>
      <w:r>
        <w:rPr>
          <w:rFonts w:hint="eastAsia"/>
          <w:sz w:val="28"/>
          <w:szCs w:val="28"/>
        </w:rPr>
        <w:t>九、确认声明书（将以下表格填写完成后，与投标文件同步制作递交）</w:t>
      </w:r>
    </w:p>
    <w:p>
      <w:pPr>
        <w:pStyle w:val="969"/>
        <w:shd w:val="clear"/>
        <w:snapToGrid w:val="0"/>
        <w:spacing w:before="120" w:after="120"/>
        <w:jc w:val="center"/>
        <w:rPr>
          <w:rFonts w:hint="eastAsia" w:ascii="宋体" w:hAnsi="宋体" w:eastAsia="宋体" w:cs="宋体"/>
          <w:kern w:val="0"/>
          <w:sz w:val="21"/>
          <w:szCs w:val="21"/>
        </w:rPr>
      </w:pPr>
      <w:r>
        <w:rPr>
          <w:rFonts w:hint="eastAsia" w:ascii="宋体" w:hAnsi="宋体" w:eastAsia="宋体" w:cs="宋体"/>
          <w:b/>
        </w:rPr>
        <w:t>（要求在电子投标文件解密后，自行核实下述承诺内容，如有不符，重新联系代理公司重新按新的内容邮箱递交）</w:t>
      </w:r>
    </w:p>
    <w:p>
      <w:pPr>
        <w:pStyle w:val="969"/>
        <w:shd w:val="clear"/>
        <w:snapToGrid w:val="0"/>
        <w:spacing w:before="120" w:after="120"/>
        <w:jc w:val="center"/>
        <w:rPr>
          <w:rFonts w:hint="eastAsia" w:ascii="宋体" w:hAnsi="宋体" w:eastAsia="宋体" w:cs="宋体"/>
          <w:b/>
        </w:rPr>
      </w:pPr>
    </w:p>
    <w:p>
      <w:pPr>
        <w:pStyle w:val="969"/>
        <w:shd w:val="clear"/>
        <w:snapToGrid w:val="0"/>
        <w:spacing w:before="120" w:after="120"/>
        <w:jc w:val="center"/>
        <w:rPr>
          <w:rFonts w:hint="eastAsia" w:ascii="宋体" w:hAnsi="宋体" w:eastAsia="宋体" w:cs="宋体"/>
          <w:b/>
        </w:rPr>
      </w:pPr>
      <w:r>
        <w:rPr>
          <w:rFonts w:hint="eastAsia" w:ascii="宋体" w:hAnsi="宋体" w:eastAsia="宋体" w:cs="宋体"/>
          <w:b/>
        </w:rPr>
        <w:t>政府采购活动现场确认声明书</w:t>
      </w:r>
    </w:p>
    <w:p>
      <w:pPr>
        <w:pStyle w:val="969"/>
        <w:shd w:val="clear"/>
        <w:snapToGrid w:val="0"/>
        <w:spacing w:before="120" w:after="120" w:line="380" w:lineRule="exact"/>
        <w:rPr>
          <w:rFonts w:hint="eastAsia" w:ascii="宋体" w:hAnsi="宋体" w:eastAsia="宋体" w:cs="宋体"/>
          <w:b/>
        </w:rPr>
      </w:pPr>
      <w:r>
        <w:rPr>
          <w:rFonts w:hint="eastAsia" w:ascii="宋体" w:hAnsi="宋体" w:eastAsia="宋体" w:cs="宋体"/>
          <w:kern w:val="0"/>
          <w:u w:val="single"/>
        </w:rPr>
        <w:t xml:space="preserve">                        </w:t>
      </w:r>
      <w:r>
        <w:rPr>
          <w:rFonts w:hint="eastAsia" w:ascii="宋体" w:hAnsi="宋体" w:eastAsia="宋体" w:cs="宋体"/>
          <w:kern w:val="0"/>
        </w:rPr>
        <w:t>：</w:t>
      </w:r>
    </w:p>
    <w:p>
      <w:pPr>
        <w:pStyle w:val="969"/>
        <w:shd w:val="clear"/>
        <w:snapToGrid w:val="0"/>
        <w:spacing w:before="120" w:after="120" w:line="380" w:lineRule="exact"/>
        <w:ind w:firstLine="504" w:firstLineChars="200"/>
        <w:rPr>
          <w:rFonts w:hint="eastAsia" w:ascii="宋体" w:hAnsi="宋体" w:eastAsia="宋体" w:cs="宋体"/>
          <w:spacing w:val="6"/>
        </w:rPr>
      </w:pPr>
      <w:r>
        <w:rPr>
          <w:rFonts w:hint="eastAsia" w:ascii="宋体" w:hAnsi="宋体" w:eastAsia="宋体" w:cs="宋体"/>
          <w:spacing w:val="6"/>
        </w:rPr>
        <w:t>本人经由</w:t>
      </w:r>
      <w:r>
        <w:rPr>
          <w:rFonts w:hint="eastAsia" w:ascii="宋体" w:hAnsi="宋体" w:eastAsia="宋体" w:cs="宋体"/>
          <w:spacing w:val="6"/>
          <w:u w:val="single"/>
        </w:rPr>
        <w:t xml:space="preserve">                  （单位）</w:t>
      </w:r>
      <w:r>
        <w:rPr>
          <w:rFonts w:hint="eastAsia" w:ascii="宋体" w:hAnsi="宋体" w:eastAsia="宋体" w:cs="宋体"/>
          <w:spacing w:val="6"/>
        </w:rPr>
        <w:t>负责人</w:t>
      </w:r>
      <w:r>
        <w:rPr>
          <w:rFonts w:hint="eastAsia" w:ascii="宋体" w:hAnsi="宋体" w:eastAsia="宋体" w:cs="宋体"/>
          <w:spacing w:val="6"/>
          <w:u w:val="single"/>
        </w:rPr>
        <w:t xml:space="preserve">        （姓名）</w:t>
      </w:r>
      <w:r>
        <w:rPr>
          <w:rFonts w:hint="eastAsia" w:ascii="宋体" w:hAnsi="宋体" w:eastAsia="宋体" w:cs="宋体"/>
          <w:spacing w:val="6"/>
        </w:rPr>
        <w:t>合法授权参加</w:t>
      </w:r>
      <w:r>
        <w:rPr>
          <w:rFonts w:hint="eastAsia" w:ascii="宋体" w:hAnsi="宋体" w:eastAsia="宋体" w:cs="宋体"/>
          <w:spacing w:val="6"/>
          <w:u w:val="single"/>
        </w:rPr>
        <w:t xml:space="preserve">                </w:t>
      </w:r>
      <w:r>
        <w:rPr>
          <w:rFonts w:hint="eastAsia" w:ascii="宋体" w:hAnsi="宋体" w:eastAsia="宋体" w:cs="宋体"/>
          <w:spacing w:val="6"/>
        </w:rPr>
        <w:t>项目（编号：</w:t>
      </w:r>
      <w:r>
        <w:rPr>
          <w:rFonts w:hint="eastAsia" w:ascii="宋体" w:hAnsi="宋体" w:eastAsia="宋体" w:cs="宋体"/>
          <w:spacing w:val="6"/>
          <w:u w:val="single"/>
        </w:rPr>
        <w:t xml:space="preserve">        </w:t>
      </w:r>
      <w:r>
        <w:rPr>
          <w:rFonts w:hint="eastAsia" w:ascii="宋体" w:hAnsi="宋体" w:eastAsia="宋体" w:cs="宋体"/>
          <w:spacing w:val="6"/>
        </w:rPr>
        <w:t xml:space="preserve">）政府采购活动，经与本单位法人代表（负责人）联系确认，现就有关公平竞争事项郑重声明如下： </w:t>
      </w:r>
    </w:p>
    <w:p>
      <w:pPr>
        <w:pStyle w:val="970"/>
        <w:widowControl/>
        <w:numPr>
          <w:ilvl w:val="0"/>
          <w:numId w:val="13"/>
        </w:numPr>
        <w:shd w:val="clear"/>
        <w:snapToGrid w:val="0"/>
        <w:spacing w:line="380" w:lineRule="exact"/>
        <w:ind w:firstLine="453" w:firstLineChars="189"/>
        <w:rPr>
          <w:rFonts w:hint="eastAsia" w:ascii="宋体" w:hAnsi="宋体" w:eastAsia="宋体" w:cs="宋体"/>
          <w:kern w:val="0"/>
          <w:sz w:val="24"/>
          <w:szCs w:val="24"/>
        </w:rPr>
      </w:pPr>
      <w:r>
        <w:rPr>
          <w:rFonts w:ascii="宋体" w:hAnsi="宋体" w:eastAsia="宋体" w:cs="宋体"/>
          <w:kern w:val="0"/>
          <w:sz w:val="24"/>
          <w:szCs w:val="24"/>
        </w:rPr>
        <w:t>本单位与采购人之间 □不存在利害关系 □存在下列利害关系</w:t>
      </w:r>
      <w:r>
        <w:rPr>
          <w:rFonts w:ascii="宋体" w:hAnsi="宋体" w:eastAsia="宋体" w:cs="宋体"/>
          <w:kern w:val="0"/>
          <w:sz w:val="24"/>
          <w:szCs w:val="24"/>
          <w:u w:val="single"/>
        </w:rPr>
        <w:t xml:space="preserve">           </w:t>
      </w:r>
      <w:r>
        <w:rPr>
          <w:rFonts w:ascii="宋体" w:hAnsi="宋体" w:eastAsia="宋体" w:cs="宋体"/>
          <w:kern w:val="0"/>
          <w:sz w:val="24"/>
          <w:szCs w:val="24"/>
        </w:rPr>
        <w:t>：</w:t>
      </w:r>
    </w:p>
    <w:p>
      <w:pPr>
        <w:pStyle w:val="970"/>
        <w:widowControl/>
        <w:shd w:val="clear"/>
        <w:snapToGrid w:val="0"/>
        <w:spacing w:line="380" w:lineRule="exact"/>
        <w:rPr>
          <w:rFonts w:hint="eastAsia" w:ascii="宋体" w:hAnsi="宋体" w:eastAsia="宋体" w:cs="宋体"/>
          <w:kern w:val="0"/>
          <w:sz w:val="24"/>
          <w:szCs w:val="24"/>
        </w:rPr>
      </w:pPr>
      <w:r>
        <w:rPr>
          <w:rFonts w:ascii="宋体" w:hAnsi="宋体" w:eastAsia="宋体" w:cs="宋体"/>
          <w:kern w:val="0"/>
          <w:sz w:val="24"/>
          <w:szCs w:val="24"/>
        </w:rPr>
        <w:t xml:space="preserve">  A.投资关系    B.行政隶属关系    C.业务指导关系</w:t>
      </w:r>
    </w:p>
    <w:p>
      <w:pPr>
        <w:pStyle w:val="970"/>
        <w:widowControl/>
        <w:shd w:val="clear"/>
        <w:snapToGrid w:val="0"/>
        <w:spacing w:line="380" w:lineRule="exact"/>
        <w:rPr>
          <w:rFonts w:hint="eastAsia" w:ascii="宋体" w:hAnsi="宋体" w:eastAsia="宋体" w:cs="宋体"/>
          <w:kern w:val="0"/>
          <w:sz w:val="24"/>
          <w:szCs w:val="24"/>
        </w:rPr>
      </w:pPr>
      <w:r>
        <w:rPr>
          <w:rFonts w:ascii="宋体" w:hAnsi="宋体" w:eastAsia="宋体" w:cs="宋体"/>
          <w:kern w:val="0"/>
          <w:sz w:val="24"/>
          <w:szCs w:val="24"/>
        </w:rPr>
        <w:t xml:space="preserve">  D.其他可能</w:t>
      </w:r>
      <w:r>
        <w:rPr>
          <w:rFonts w:ascii="宋体" w:hAnsi="宋体" w:eastAsia="宋体" w:cs="宋体"/>
          <w:sz w:val="24"/>
          <w:szCs w:val="24"/>
        </w:rPr>
        <w:t>影响采购公正的</w:t>
      </w:r>
      <w:r>
        <w:rPr>
          <w:rFonts w:ascii="宋体" w:hAnsi="宋体" w:eastAsia="宋体" w:cs="宋体"/>
          <w:kern w:val="0"/>
          <w:sz w:val="24"/>
          <w:szCs w:val="24"/>
        </w:rPr>
        <w:t>利害关系</w:t>
      </w:r>
      <w:r>
        <w:rPr>
          <w:rFonts w:ascii="宋体" w:hAnsi="宋体" w:eastAsia="宋体" w:cs="宋体"/>
          <w:kern w:val="0"/>
          <w:sz w:val="24"/>
          <w:szCs w:val="24"/>
          <w:u w:val="single"/>
        </w:rPr>
        <w:t xml:space="preserve">（如有，请如实说明）                 </w:t>
      </w:r>
      <w:r>
        <w:rPr>
          <w:rFonts w:ascii="宋体" w:hAnsi="宋体" w:eastAsia="宋体" w:cs="宋体"/>
          <w:kern w:val="0"/>
          <w:sz w:val="24"/>
          <w:szCs w:val="24"/>
        </w:rPr>
        <w:t>。</w:t>
      </w:r>
    </w:p>
    <w:p>
      <w:pPr>
        <w:pStyle w:val="970"/>
        <w:widowControl/>
        <w:shd w:val="clear"/>
        <w:snapToGrid w:val="0"/>
        <w:spacing w:line="380" w:lineRule="exact"/>
        <w:rPr>
          <w:rFonts w:hint="eastAsia" w:ascii="宋体" w:hAnsi="宋体" w:eastAsia="宋体" w:cs="宋体"/>
          <w:kern w:val="0"/>
          <w:sz w:val="24"/>
          <w:szCs w:val="24"/>
        </w:rPr>
      </w:pPr>
      <w:r>
        <w:rPr>
          <w:rFonts w:ascii="宋体" w:hAnsi="宋体" w:eastAsia="宋体" w:cs="宋体"/>
          <w:spacing w:val="6"/>
          <w:sz w:val="24"/>
          <w:szCs w:val="24"/>
        </w:rPr>
        <w:t xml:space="preserve">  二、</w:t>
      </w:r>
      <w:r>
        <w:rPr>
          <w:rFonts w:ascii="宋体" w:hAnsi="宋体" w:eastAsia="宋体" w:cs="宋体"/>
          <w:kern w:val="0"/>
          <w:sz w:val="24"/>
          <w:szCs w:val="24"/>
        </w:rPr>
        <w:t>现已清楚知道参加本项目采购活动的其他所有供应商名称，本单位 □与其他所有供应商之间均不存在利害关系 □与</w:t>
      </w:r>
      <w:r>
        <w:rPr>
          <w:rFonts w:ascii="宋体" w:hAnsi="宋体" w:eastAsia="宋体" w:cs="宋体"/>
          <w:kern w:val="0"/>
          <w:sz w:val="24"/>
          <w:szCs w:val="24"/>
          <w:u w:val="single"/>
        </w:rPr>
        <w:t xml:space="preserve">           （供应商名称）</w:t>
      </w:r>
      <w:r>
        <w:rPr>
          <w:rFonts w:ascii="宋体" w:hAnsi="宋体" w:eastAsia="宋体" w:cs="宋体"/>
          <w:kern w:val="0"/>
          <w:sz w:val="24"/>
          <w:szCs w:val="24"/>
        </w:rPr>
        <w:t>之间存在下列利害关系</w:t>
      </w:r>
      <w:r>
        <w:rPr>
          <w:rFonts w:ascii="宋体" w:hAnsi="宋体" w:eastAsia="宋体" w:cs="宋体"/>
          <w:kern w:val="0"/>
          <w:sz w:val="24"/>
          <w:szCs w:val="24"/>
          <w:u w:val="single"/>
        </w:rPr>
        <w:t xml:space="preserve">          </w:t>
      </w:r>
      <w:r>
        <w:rPr>
          <w:rFonts w:ascii="宋体" w:hAnsi="宋体" w:eastAsia="宋体" w:cs="宋体"/>
          <w:kern w:val="0"/>
          <w:sz w:val="24"/>
          <w:szCs w:val="24"/>
        </w:rPr>
        <w:t>：</w:t>
      </w:r>
    </w:p>
    <w:p>
      <w:pPr>
        <w:pStyle w:val="969"/>
        <w:shd w:val="clear"/>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A.法定代表人或负责人或实际控制人是同一人</w:t>
      </w:r>
    </w:p>
    <w:p>
      <w:pPr>
        <w:pStyle w:val="969"/>
        <w:shd w:val="clear"/>
        <w:adjustRightInd/>
        <w:snapToGrid w:val="0"/>
        <w:spacing w:before="120" w:after="120" w:line="300" w:lineRule="exact"/>
        <w:rPr>
          <w:rFonts w:hint="eastAsia" w:ascii="宋体" w:hAnsi="宋体" w:eastAsia="宋体" w:cs="宋体"/>
          <w:spacing w:val="6"/>
        </w:rPr>
      </w:pPr>
      <w:r>
        <w:rPr>
          <w:rFonts w:hint="eastAsia" w:ascii="宋体" w:hAnsi="宋体" w:eastAsia="宋体" w:cs="宋体"/>
          <w:kern w:val="0"/>
        </w:rPr>
        <w:t xml:space="preserve">  B.法定代表人或负责人或实际控制人是夫妻关系</w:t>
      </w:r>
    </w:p>
    <w:p>
      <w:pPr>
        <w:pStyle w:val="969"/>
        <w:shd w:val="clear"/>
        <w:adjustRightInd/>
        <w:snapToGrid w:val="0"/>
        <w:spacing w:before="120" w:after="120" w:line="300" w:lineRule="exact"/>
        <w:rPr>
          <w:rFonts w:hint="eastAsia" w:ascii="宋体" w:hAnsi="宋体" w:eastAsia="宋体" w:cs="宋体"/>
          <w:spacing w:val="6"/>
        </w:rPr>
      </w:pPr>
      <w:r>
        <w:rPr>
          <w:rFonts w:hint="eastAsia" w:ascii="宋体" w:hAnsi="宋体" w:eastAsia="宋体" w:cs="宋体"/>
          <w:kern w:val="0"/>
        </w:rPr>
        <w:t xml:space="preserve">  C.法定代表人或负责人或实际控制人是直系血亲关系</w:t>
      </w:r>
    </w:p>
    <w:p>
      <w:pPr>
        <w:pStyle w:val="969"/>
        <w:shd w:val="clear"/>
        <w:adjustRightInd/>
        <w:snapToGrid w:val="0"/>
        <w:spacing w:before="120" w:after="120" w:line="300" w:lineRule="exact"/>
        <w:rPr>
          <w:rFonts w:hint="eastAsia" w:ascii="宋体" w:hAnsi="宋体" w:eastAsia="宋体" w:cs="宋体"/>
          <w:spacing w:val="6"/>
        </w:rPr>
      </w:pPr>
      <w:r>
        <w:rPr>
          <w:rFonts w:hint="eastAsia" w:ascii="宋体" w:hAnsi="宋体" w:eastAsia="宋体" w:cs="宋体"/>
          <w:kern w:val="0"/>
        </w:rPr>
        <w:t xml:space="preserve">  D.法定代表人或负责人或实际控制人存在三代以内旁系血亲关系</w:t>
      </w:r>
    </w:p>
    <w:p>
      <w:pPr>
        <w:pStyle w:val="969"/>
        <w:shd w:val="clear"/>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E.法定代表人或负责人或实际控制人存在近姻亲关系</w:t>
      </w:r>
    </w:p>
    <w:p>
      <w:pPr>
        <w:pStyle w:val="969"/>
        <w:shd w:val="clear"/>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F.法定代表人或负责人或实际控制人存在股份控制或实际控制关系</w:t>
      </w:r>
    </w:p>
    <w:p>
      <w:pPr>
        <w:pStyle w:val="969"/>
        <w:shd w:val="clear"/>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G.存在共同直接或间接投资设立子公司、联营企业和合营企业情况</w:t>
      </w:r>
    </w:p>
    <w:p>
      <w:pPr>
        <w:pStyle w:val="969"/>
        <w:shd w:val="clear"/>
        <w:adjustRightInd/>
        <w:snapToGrid w:val="0"/>
        <w:spacing w:before="120" w:after="120" w:line="300" w:lineRule="exact"/>
        <w:rPr>
          <w:rFonts w:hint="eastAsia" w:ascii="宋体" w:hAnsi="宋体" w:eastAsia="宋体" w:cs="宋体"/>
        </w:rPr>
      </w:pPr>
      <w:r>
        <w:rPr>
          <w:rFonts w:hint="eastAsia" w:ascii="宋体" w:hAnsi="宋体" w:eastAsia="宋体" w:cs="宋体"/>
          <w:kern w:val="0"/>
        </w:rPr>
        <w:t xml:space="preserve">  H.存在分级代理或代销关系、同一生产制造商关系、</w:t>
      </w:r>
      <w:r>
        <w:rPr>
          <w:rFonts w:hint="eastAsia" w:ascii="宋体" w:hAnsi="宋体" w:eastAsia="宋体" w:cs="宋体"/>
        </w:rPr>
        <w:t>管理关系、重要业务（占主营业务收入50%以上）或重要财务往来关系（如融资）等其他实质性控制关系</w:t>
      </w:r>
    </w:p>
    <w:p>
      <w:pPr>
        <w:pStyle w:val="969"/>
        <w:shd w:val="clear"/>
        <w:snapToGrid w:val="0"/>
        <w:spacing w:before="120" w:after="120" w:line="380" w:lineRule="exact"/>
        <w:rPr>
          <w:rFonts w:hint="eastAsia" w:ascii="宋体" w:hAnsi="宋体" w:eastAsia="宋体" w:cs="宋体"/>
          <w:spacing w:val="6"/>
        </w:rPr>
      </w:pPr>
      <w:r>
        <w:rPr>
          <w:rFonts w:hint="eastAsia" w:ascii="宋体" w:hAnsi="宋体" w:eastAsia="宋体" w:cs="宋体"/>
        </w:rPr>
        <w:t xml:space="preserve">    I</w:t>
      </w:r>
      <w:r>
        <w:rPr>
          <w:rFonts w:hint="eastAsia" w:ascii="宋体" w:hAnsi="宋体" w:eastAsia="宋体" w:cs="宋体"/>
          <w:kern w:val="0"/>
        </w:rPr>
        <w:t>.</w:t>
      </w:r>
      <w:r>
        <w:rPr>
          <w:rFonts w:hint="eastAsia" w:ascii="宋体" w:hAnsi="宋体" w:eastAsia="宋体" w:cs="宋体"/>
        </w:rPr>
        <w:t>其他利害关系情况</w:t>
      </w:r>
      <w:r>
        <w:rPr>
          <w:rFonts w:hint="eastAsia" w:ascii="宋体" w:hAnsi="宋体" w:eastAsia="宋体" w:cs="宋体"/>
          <w:u w:val="single"/>
        </w:rPr>
        <w:t xml:space="preserve">                              </w:t>
      </w:r>
      <w:r>
        <w:rPr>
          <w:rFonts w:hint="eastAsia" w:ascii="宋体" w:hAnsi="宋体" w:eastAsia="宋体" w:cs="宋体"/>
          <w:kern w:val="0"/>
        </w:rPr>
        <w:t>。</w:t>
      </w:r>
    </w:p>
    <w:p>
      <w:pPr>
        <w:pStyle w:val="970"/>
        <w:widowControl/>
        <w:numPr>
          <w:ilvl w:val="0"/>
          <w:numId w:val="14"/>
        </w:numPr>
        <w:shd w:val="clear"/>
        <w:snapToGrid w:val="0"/>
        <w:spacing w:line="380" w:lineRule="exact"/>
        <w:ind w:firstLine="453" w:firstLineChars="189"/>
        <w:rPr>
          <w:rFonts w:hint="eastAsia" w:ascii="宋体" w:hAnsi="宋体" w:eastAsia="宋体" w:cs="宋体"/>
          <w:kern w:val="0"/>
          <w:sz w:val="24"/>
          <w:szCs w:val="24"/>
        </w:rPr>
      </w:pPr>
      <w:r>
        <w:rPr>
          <w:rFonts w:ascii="宋体" w:hAnsi="宋体" w:eastAsia="宋体" w:cs="宋体"/>
          <w:sz w:val="24"/>
          <w:szCs w:val="24"/>
        </w:rPr>
        <w:t>现已清楚知道并</w:t>
      </w:r>
      <w:r>
        <w:rPr>
          <w:rFonts w:ascii="宋体" w:hAnsi="宋体" w:eastAsia="宋体" w:cs="宋体"/>
          <w:kern w:val="0"/>
          <w:sz w:val="24"/>
          <w:szCs w:val="24"/>
        </w:rPr>
        <w:t>严格遵守政府采购法律法规和现场纪律。</w:t>
      </w:r>
    </w:p>
    <w:p>
      <w:pPr>
        <w:pStyle w:val="970"/>
        <w:widowControl/>
        <w:numPr>
          <w:ilvl w:val="0"/>
          <w:numId w:val="14"/>
        </w:numPr>
        <w:shd w:val="clear"/>
        <w:snapToGrid w:val="0"/>
        <w:spacing w:line="380" w:lineRule="exact"/>
        <w:ind w:firstLine="453" w:firstLineChars="189"/>
        <w:rPr>
          <w:rFonts w:hint="eastAsia" w:ascii="宋体" w:hAnsi="宋体" w:eastAsia="宋体" w:cs="宋体"/>
          <w:sz w:val="24"/>
          <w:szCs w:val="24"/>
        </w:rPr>
      </w:pPr>
      <w:r>
        <w:rPr>
          <w:rFonts w:ascii="宋体" w:hAnsi="宋体" w:eastAsia="宋体" w:cs="宋体"/>
          <w:kern w:val="0"/>
          <w:sz w:val="24"/>
          <w:szCs w:val="24"/>
        </w:rPr>
        <w:t>我发现</w:t>
      </w:r>
      <w:r>
        <w:rPr>
          <w:rFonts w:ascii="宋体" w:hAnsi="宋体" w:eastAsia="宋体" w:cs="宋体"/>
          <w:kern w:val="0"/>
          <w:sz w:val="24"/>
          <w:szCs w:val="24"/>
          <w:u w:val="single"/>
        </w:rPr>
        <w:t xml:space="preserve">                    </w:t>
      </w:r>
      <w:r>
        <w:rPr>
          <w:rFonts w:ascii="宋体" w:hAnsi="宋体" w:eastAsia="宋体" w:cs="宋体"/>
          <w:kern w:val="0"/>
          <w:sz w:val="24"/>
          <w:szCs w:val="24"/>
        </w:rPr>
        <w:t>供应商之间存在或可能存在上述第二条第</w:t>
      </w:r>
      <w:r>
        <w:rPr>
          <w:rFonts w:ascii="宋体" w:hAnsi="宋体" w:eastAsia="宋体" w:cs="宋体"/>
          <w:kern w:val="0"/>
          <w:sz w:val="24"/>
          <w:szCs w:val="24"/>
          <w:u w:val="single"/>
        </w:rPr>
        <w:t xml:space="preserve">        </w:t>
      </w:r>
      <w:r>
        <w:rPr>
          <w:rFonts w:ascii="宋体" w:hAnsi="宋体" w:eastAsia="宋体" w:cs="宋体"/>
          <w:kern w:val="0"/>
          <w:sz w:val="24"/>
          <w:szCs w:val="24"/>
        </w:rPr>
        <w:t>项利害关系。</w:t>
      </w:r>
    </w:p>
    <w:p>
      <w:pPr>
        <w:pStyle w:val="969"/>
        <w:shd w:val="clear"/>
        <w:snapToGrid w:val="0"/>
        <w:spacing w:before="120" w:after="120"/>
        <w:ind w:firstLine="480" w:firstLineChars="200"/>
        <w:rPr>
          <w:rFonts w:hint="eastAsia" w:ascii="宋体" w:hAnsi="宋体" w:eastAsia="宋体" w:cs="宋体"/>
        </w:rPr>
      </w:pPr>
      <w:r>
        <w:rPr>
          <w:rFonts w:hint="eastAsia" w:ascii="宋体" w:hAnsi="宋体" w:eastAsia="宋体" w:cs="宋体"/>
        </w:rPr>
        <w:t xml:space="preserve">                                          供应商盖章：</w:t>
      </w:r>
    </w:p>
    <w:p>
      <w:pPr>
        <w:pStyle w:val="969"/>
        <w:shd w:val="clear"/>
        <w:snapToGrid w:val="0"/>
        <w:spacing w:before="120" w:after="120"/>
        <w:ind w:firstLine="5520" w:firstLineChars="2300"/>
        <w:rPr>
          <w:rFonts w:hint="eastAsia" w:ascii="宋体" w:hAnsi="宋体" w:eastAsia="宋体" w:cs="宋体"/>
        </w:rPr>
      </w:pPr>
      <w:r>
        <w:rPr>
          <w:rFonts w:hint="eastAsia" w:ascii="宋体" w:hAnsi="宋体" w:eastAsia="宋体" w:cs="宋体"/>
        </w:rPr>
        <w:t>授权委托代表签名：</w:t>
      </w:r>
    </w:p>
    <w:p>
      <w:pPr>
        <w:shd w:val="clear"/>
        <w:spacing w:line="360" w:lineRule="auto"/>
        <w:ind w:right="420"/>
        <w:rPr>
          <w:rFonts w:hint="eastAsia" w:ascii="宋体" w:hAnsi="宋体" w:cs="宋体"/>
          <w:sz w:val="24"/>
        </w:rPr>
      </w:pPr>
      <w:r>
        <w:rPr>
          <w:rFonts w:hint="eastAsia" w:ascii="宋体" w:hAnsi="宋体" w:eastAsia="宋体" w:cs="宋体"/>
          <w:sz w:val="24"/>
        </w:rPr>
        <w:t xml:space="preserve">                                               年    月    日</w:t>
      </w:r>
    </w:p>
    <w:p>
      <w:pPr>
        <w:pStyle w:val="2"/>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hd w:val="clear"/>
        <w:spacing w:line="360" w:lineRule="auto"/>
        <w:jc w:val="center"/>
        <w:outlineLvl w:val="9"/>
        <w:rPr>
          <w:rFonts w:hint="eastAsia" w:ascii="宋体" w:hAnsi="宋体" w:eastAsia="宋体" w:cs="宋体"/>
          <w:b/>
          <w:color w:val="auto"/>
          <w:kern w:val="0"/>
          <w:sz w:val="44"/>
          <w:szCs w:val="44"/>
          <w:highlight w:val="none"/>
          <w:lang w:eastAsia="zh-CN"/>
        </w:rPr>
      </w:pPr>
    </w:p>
    <w:p>
      <w:pPr>
        <w:shd w:val="clea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pPr>
        <w:shd w:val="clear"/>
        <w:spacing w:line="360" w:lineRule="auto"/>
        <w:jc w:val="left"/>
        <w:outlineLvl w:val="9"/>
      </w:pPr>
    </w:p>
    <w:p>
      <w:pPr>
        <w:shd w:val="clear"/>
        <w:snapToGrid/>
        <w:spacing w:line="360" w:lineRule="auto"/>
        <w:jc w:val="center"/>
        <w:outlineLvl w:val="9"/>
        <w:rPr>
          <w:rFonts w:hint="eastAsia" w:ascii="Times New Roman" w:hAnsi="Times New Roman" w:eastAsia="宋体" w:cs="Times New Roman"/>
          <w:b/>
          <w:bCs/>
          <w:sz w:val="36"/>
          <w:szCs w:val="44"/>
        </w:rPr>
      </w:pPr>
      <w:r>
        <w:rPr>
          <w:rFonts w:hint="default" w:ascii="Times New Roman" w:hAnsi="Times New Roman" w:eastAsia="宋体" w:cs="Times New Roman"/>
          <w:b/>
          <w:bCs/>
          <w:sz w:val="36"/>
          <w:szCs w:val="44"/>
        </w:rPr>
        <w:t>（项目名称）</w:t>
      </w:r>
    </w:p>
    <w:p>
      <w:pPr>
        <w:shd w:val="clear"/>
        <w:snapToGrid/>
        <w:spacing w:line="360" w:lineRule="auto"/>
        <w:jc w:val="left"/>
        <w:outlineLvl w:val="9"/>
        <w:rPr>
          <w:rFonts w:hint="eastAsia" w:ascii="宋体" w:hAnsi="宋体" w:eastAsia="宋体" w:cs="宋体"/>
        </w:rPr>
      </w:pPr>
    </w:p>
    <w:p>
      <w:pPr>
        <w:shd w:val="clear"/>
        <w:snapToGrid/>
        <w:spacing w:line="360" w:lineRule="auto"/>
        <w:jc w:val="center"/>
        <w:outlineLvl w:val="9"/>
        <w:rPr>
          <w:rFonts w:hint="eastAsia" w:ascii="Times New Roman" w:hAnsi="Times New Roman" w:eastAsia="宋体" w:cs="Times New Roman"/>
          <w:b/>
          <w:bCs/>
          <w:sz w:val="52"/>
          <w:szCs w:val="52"/>
        </w:rPr>
      </w:pPr>
      <w:r>
        <w:rPr>
          <w:rFonts w:hint="default" w:ascii="Times New Roman" w:hAnsi="Times New Roman" w:eastAsia="宋体" w:cs="Times New Roman"/>
          <w:b/>
          <w:bCs/>
          <w:sz w:val="52"/>
          <w:szCs w:val="52"/>
        </w:rPr>
        <w:t>报 价 文 件</w:t>
      </w:r>
    </w:p>
    <w:p>
      <w:pPr>
        <w:widowControl/>
        <w:shd w:val="clear"/>
        <w:spacing w:line="360" w:lineRule="auto"/>
        <w:ind w:right="0"/>
        <w:jc w:val="center"/>
        <w:outlineLvl w:val="9"/>
        <w:rPr>
          <w:rFonts w:hint="eastAsia" w:ascii="宋体" w:hAnsi="宋体" w:eastAsia="宋体" w:cs="宋体"/>
          <w:b/>
          <w:bCs/>
          <w:sz w:val="32"/>
          <w:szCs w:val="32"/>
        </w:rPr>
      </w:pPr>
      <w:r>
        <w:rPr>
          <w:rFonts w:hint="eastAsia" w:ascii="宋体" w:hAnsi="宋体" w:eastAsia="宋体" w:cs="宋体"/>
          <w:b/>
          <w:bCs/>
          <w:sz w:val="32"/>
          <w:szCs w:val="32"/>
        </w:rPr>
        <w:t>（线上电子招投标）</w:t>
      </w:r>
    </w:p>
    <w:p>
      <w:pPr>
        <w:shd w:val="clear"/>
        <w:spacing w:line="360" w:lineRule="auto"/>
        <w:jc w:val="center"/>
        <w:rPr>
          <w:rFonts w:hint="eastAsia" w:ascii="宋体" w:hAnsi="宋体" w:eastAsia="宋体" w:cs="宋体"/>
          <w:b/>
          <w:bCs/>
          <w:sz w:val="32"/>
          <w:szCs w:val="32"/>
        </w:rPr>
      </w:pPr>
    </w:p>
    <w:p>
      <w:pPr>
        <w:shd w:val="clear"/>
        <w:snapToGrid/>
        <w:spacing w:line="360" w:lineRule="auto"/>
        <w:jc w:val="center"/>
        <w:outlineLvl w:val="9"/>
        <w:rPr>
          <w:rFonts w:hint="eastAsia" w:ascii="宋体" w:hAnsi="宋体" w:eastAsia="宋体" w:cs="宋体"/>
          <w:b/>
          <w:bCs/>
          <w:sz w:val="32"/>
          <w:szCs w:val="32"/>
          <w:lang w:eastAsia="zh-CN"/>
        </w:rPr>
      </w:pPr>
      <w:r>
        <w:rPr>
          <w:rFonts w:hint="eastAsia" w:ascii="宋体" w:hAnsi="宋体" w:eastAsia="宋体" w:cs="宋体"/>
          <w:b/>
          <w:bCs/>
          <w:sz w:val="32"/>
          <w:szCs w:val="32"/>
        </w:rPr>
        <w:t>招标编号：</w:t>
      </w:r>
      <w:r>
        <w:rPr>
          <w:rFonts w:hint="eastAsia" w:ascii="宋体" w:hAnsi="宋体" w:cs="宋体"/>
          <w:b/>
          <w:bCs/>
          <w:sz w:val="32"/>
          <w:szCs w:val="32"/>
          <w:lang w:eastAsia="zh-CN"/>
        </w:rPr>
        <w:t>XTDZFCG2024-001</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pPr>
        <w:shd w:val="clear"/>
        <w:snapToGrid w:val="0"/>
        <w:spacing w:line="360" w:lineRule="auto"/>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jc w:val="center"/>
        <w:rPr>
          <w:rFonts w:hint="eastAsia"/>
        </w:rPr>
      </w:pPr>
      <w:r>
        <w:rPr>
          <w:rFonts w:hint="eastAsia" w:ascii="宋体" w:hAnsi="宋体" w:eastAsia="宋体" w:cs="宋体"/>
          <w:color w:val="auto"/>
          <w:sz w:val="32"/>
          <w:szCs w:val="32"/>
          <w:highlight w:val="none"/>
        </w:rPr>
        <w:t>年   月   日</w:t>
      </w:r>
    </w:p>
    <w:p>
      <w:pPr>
        <w:pStyle w:val="3"/>
        <w:jc w:val="center"/>
      </w:pPr>
      <w:r>
        <w:rPr>
          <w:rFonts w:hint="eastAsia"/>
        </w:rPr>
        <w:t>报价文件部分</w:t>
      </w:r>
    </w:p>
    <w:p>
      <w:pPr>
        <w:spacing w:line="240" w:lineRule="auto"/>
        <w:jc w:val="center"/>
        <w:outlineLvl w:val="9"/>
        <w:rPr>
          <w:b/>
          <w:bCs/>
          <w:sz w:val="36"/>
          <w:szCs w:val="36"/>
        </w:rPr>
      </w:pPr>
      <w:r>
        <w:rPr>
          <w:rFonts w:hint="eastAsia"/>
          <w:b/>
          <w:bCs/>
          <w:sz w:val="36"/>
          <w:szCs w:val="36"/>
        </w:rPr>
        <w:t>目录</w:t>
      </w:r>
    </w:p>
    <w:p>
      <w:pPr>
        <w:spacing w:line="240" w:lineRule="auto"/>
        <w:jc w:val="left"/>
        <w:outlineLvl w:val="9"/>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w:t>
      </w:r>
      <w:r>
        <w:rPr>
          <w:rFonts w:hint="eastAsia" w:ascii="宋体" w:hAnsi="宋体" w:cs="宋体"/>
          <w:sz w:val="24"/>
          <w:lang w:eastAsia="zh-CN"/>
        </w:rPr>
        <w:t>（如需）</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2"/>
        <w:rPr>
          <w:rFonts w:hint="eastAsia"/>
          <w:color w:val="auto"/>
        </w:rPr>
      </w:pPr>
    </w:p>
    <w:p>
      <w:pPr>
        <w:pStyle w:val="2"/>
        <w:numPr>
          <w:ilvl w:val="0"/>
          <w:numId w:val="15"/>
        </w:numPr>
        <w:rPr>
          <w:rFonts w:hint="eastAsia"/>
          <w:color w:val="auto"/>
        </w:rPr>
      </w:pPr>
      <w:r>
        <w:rPr>
          <w:rFonts w:hint="eastAsia"/>
          <w:color w:val="auto"/>
        </w:rPr>
        <w:t>开标一览表（报价表）</w:t>
      </w:r>
    </w:p>
    <w:p>
      <w:pPr>
        <w:numPr>
          <w:ilvl w:val="0"/>
          <w:numId w:val="0"/>
        </w:num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rPr>
        <w:t>（项目名称）</w:t>
      </w:r>
      <w:r>
        <w:rPr>
          <w:rFonts w:hint="eastAsia" w:ascii="宋体" w:hAnsi="宋体" w:cs="宋体"/>
          <w:color w:val="auto"/>
          <w:kern w:val="0"/>
          <w:sz w:val="24"/>
          <w:u w:val="single"/>
          <w:lang w:val="zh-CN"/>
        </w:rPr>
        <w:t>【招标编号：</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hint="eastAsia"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7"/>
        <w:gridCol w:w="2640"/>
        <w:gridCol w:w="4033"/>
        <w:gridCol w:w="16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1097" w:type="dxa"/>
            <w:tcBorders>
              <w:right w:val="single" w:color="auto" w:sz="4" w:space="0"/>
            </w:tcBorders>
            <w:vAlign w:val="center"/>
          </w:tcPr>
          <w:p>
            <w:pPr>
              <w:shd w:val="clea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cs="宋体"/>
                <w:b/>
                <w:bCs/>
                <w:color w:val="auto"/>
                <w:sz w:val="24"/>
                <w:szCs w:val="22"/>
                <w:highlight w:val="none"/>
                <w:lang w:eastAsia="zh-CN"/>
              </w:rPr>
              <w:t>序号</w:t>
            </w:r>
          </w:p>
        </w:tc>
        <w:tc>
          <w:tcPr>
            <w:tcW w:w="2640" w:type="dxa"/>
            <w:tcBorders>
              <w:left w:val="single" w:color="auto" w:sz="4" w:space="0"/>
              <w:right w:val="single" w:color="auto" w:sz="4" w:space="0"/>
            </w:tcBorders>
            <w:vAlign w:val="center"/>
          </w:tcPr>
          <w:p>
            <w:pPr>
              <w:shd w:val="clea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cs="宋体"/>
                <w:b/>
                <w:bCs/>
                <w:color w:val="auto"/>
                <w:sz w:val="24"/>
                <w:szCs w:val="22"/>
                <w:highlight w:val="none"/>
                <w:lang w:eastAsia="zh-CN"/>
              </w:rPr>
              <w:t>分项内容</w:t>
            </w:r>
          </w:p>
        </w:tc>
        <w:tc>
          <w:tcPr>
            <w:tcW w:w="4033" w:type="dxa"/>
            <w:tcBorders>
              <w:left w:val="single" w:color="auto" w:sz="4" w:space="0"/>
              <w:right w:val="single" w:color="auto" w:sz="4" w:space="0"/>
            </w:tcBorders>
            <w:vAlign w:val="center"/>
          </w:tcPr>
          <w:p>
            <w:pPr>
              <w:shd w:val="clea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总</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lang w:val="en-US" w:eastAsia="zh-CN"/>
              </w:rPr>
              <w:t>元）</w:t>
            </w:r>
          </w:p>
        </w:tc>
        <w:tc>
          <w:tcPr>
            <w:tcW w:w="1630" w:type="dxa"/>
            <w:tcBorders>
              <w:left w:val="single" w:color="auto" w:sz="4" w:space="0"/>
              <w:right w:val="single" w:color="auto" w:sz="4" w:space="0"/>
            </w:tcBorders>
            <w:vAlign w:val="center"/>
          </w:tcPr>
          <w:p>
            <w:pPr>
              <w:shd w:val="clea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1097" w:type="dxa"/>
            <w:tcBorders>
              <w:right w:val="single" w:color="auto" w:sz="4" w:space="0"/>
            </w:tcBorders>
            <w:vAlign w:val="center"/>
          </w:tcPr>
          <w:p>
            <w:pPr>
              <w:shd w:val="clear"/>
              <w:spacing w:line="360" w:lineRule="auto"/>
              <w:jc w:val="center"/>
              <w:rPr>
                <w:rFonts w:hint="default" w:ascii="宋体" w:hAnsi="宋体" w:eastAsia="宋体" w:cs="宋体"/>
                <w:color w:val="auto"/>
                <w:sz w:val="24"/>
                <w:szCs w:val="22"/>
                <w:highlight w:val="none"/>
                <w:u w:val="none"/>
                <w:lang w:val="en-US" w:eastAsia="zh-CN"/>
              </w:rPr>
            </w:pPr>
            <w:r>
              <w:rPr>
                <w:rFonts w:hint="eastAsia" w:ascii="宋体" w:hAnsi="宋体" w:cs="宋体"/>
                <w:color w:val="auto"/>
                <w:sz w:val="24"/>
                <w:szCs w:val="22"/>
                <w:highlight w:val="none"/>
                <w:u w:val="none"/>
                <w:lang w:val="en-US" w:eastAsia="zh-CN"/>
              </w:rPr>
              <w:t>1</w:t>
            </w:r>
          </w:p>
        </w:tc>
        <w:tc>
          <w:tcPr>
            <w:tcW w:w="2640" w:type="dxa"/>
            <w:tcBorders>
              <w:left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szCs w:val="22"/>
                <w:highlight w:val="none"/>
                <w:lang w:eastAsia="zh-CN"/>
              </w:rPr>
            </w:pPr>
            <w:r>
              <w:rPr>
                <w:rFonts w:hint="eastAsia" w:ascii="宋体" w:hAnsi="宋体"/>
                <w:sz w:val="24"/>
                <w:lang w:val="en-US" w:eastAsia="zh-CN"/>
              </w:rPr>
              <w:t>杜甫小学投标总报价</w:t>
            </w:r>
          </w:p>
        </w:tc>
        <w:tc>
          <w:tcPr>
            <w:tcW w:w="4033" w:type="dxa"/>
            <w:tcBorders>
              <w:left w:val="single" w:color="auto" w:sz="4" w:space="0"/>
              <w:right w:val="single" w:color="auto" w:sz="4" w:space="0"/>
            </w:tcBorders>
            <w:vAlign w:val="center"/>
          </w:tcPr>
          <w:p>
            <w:pPr>
              <w:shd w:val="clea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pPr>
              <w:shd w:val="clear"/>
              <w:spacing w:line="360" w:lineRule="auto"/>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630" w:type="dxa"/>
            <w:vMerge w:val="restart"/>
            <w:tcBorders>
              <w:left w:val="single" w:color="auto" w:sz="4" w:space="0"/>
              <w:right w:val="single" w:color="auto" w:sz="4" w:space="0"/>
            </w:tcBorders>
            <w:vAlign w:val="center"/>
          </w:tcPr>
          <w:p>
            <w:pPr>
              <w:shd w:val="clea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下附：报价各模块报价明细清单；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1097" w:type="dxa"/>
            <w:tcBorders>
              <w:right w:val="single" w:color="auto" w:sz="4" w:space="0"/>
            </w:tcBorders>
            <w:vAlign w:val="center"/>
          </w:tcPr>
          <w:p>
            <w:pPr>
              <w:shd w:val="clear"/>
              <w:spacing w:line="360" w:lineRule="auto"/>
              <w:jc w:val="center"/>
              <w:rPr>
                <w:rFonts w:hint="default" w:ascii="宋体" w:hAnsi="宋体" w:cs="宋体"/>
                <w:color w:val="auto"/>
                <w:sz w:val="24"/>
                <w:szCs w:val="22"/>
                <w:highlight w:val="none"/>
                <w:u w:val="none"/>
                <w:lang w:val="en-US" w:eastAsia="zh-CN"/>
              </w:rPr>
            </w:pPr>
            <w:r>
              <w:rPr>
                <w:rFonts w:hint="eastAsia" w:ascii="宋体" w:hAnsi="宋体" w:cs="宋体"/>
                <w:color w:val="auto"/>
                <w:sz w:val="24"/>
                <w:szCs w:val="22"/>
                <w:highlight w:val="none"/>
                <w:u w:val="none"/>
                <w:lang w:val="en-US" w:eastAsia="zh-CN"/>
              </w:rPr>
              <w:t>2</w:t>
            </w:r>
          </w:p>
        </w:tc>
        <w:tc>
          <w:tcPr>
            <w:tcW w:w="2640" w:type="dxa"/>
            <w:tcBorders>
              <w:left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szCs w:val="22"/>
                <w:highlight w:val="none"/>
                <w:lang w:eastAsia="zh-CN"/>
              </w:rPr>
            </w:pPr>
            <w:r>
              <w:rPr>
                <w:rFonts w:hint="eastAsia" w:ascii="宋体" w:hAnsi="宋体"/>
                <w:sz w:val="24"/>
                <w:lang w:val="en-US" w:eastAsia="zh-CN"/>
              </w:rPr>
              <w:t>杜甫二小投标总报价</w:t>
            </w:r>
          </w:p>
        </w:tc>
        <w:tc>
          <w:tcPr>
            <w:tcW w:w="4033" w:type="dxa"/>
            <w:tcBorders>
              <w:left w:val="single" w:color="auto" w:sz="4" w:space="0"/>
              <w:right w:val="single" w:color="auto" w:sz="4" w:space="0"/>
            </w:tcBorders>
            <w:vAlign w:val="center"/>
          </w:tcPr>
          <w:p>
            <w:pPr>
              <w:shd w:val="clea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pPr>
              <w:shd w:val="clear"/>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630" w:type="dxa"/>
            <w:vMerge w:val="continue"/>
            <w:tcBorders>
              <w:left w:val="single" w:color="auto" w:sz="4" w:space="0"/>
              <w:right w:val="single" w:color="auto" w:sz="4" w:space="0"/>
            </w:tcBorders>
            <w:vAlign w:val="center"/>
          </w:tcPr>
          <w:p>
            <w:pPr>
              <w:shd w:val="clear"/>
              <w:spacing w:line="360" w:lineRule="auto"/>
              <w:rPr>
                <w:rFonts w:hint="eastAsia" w:ascii="宋体" w:hAnsi="宋体" w:eastAsia="宋体" w:cs="宋体"/>
                <w:color w:val="auto"/>
                <w:sz w:val="24"/>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33" w:hRule="atLeast"/>
          <w:jc w:val="center"/>
        </w:trPr>
        <w:tc>
          <w:tcPr>
            <w:tcW w:w="1097" w:type="dxa"/>
            <w:tcBorders>
              <w:right w:val="single" w:color="auto" w:sz="4" w:space="0"/>
            </w:tcBorders>
            <w:vAlign w:val="center"/>
          </w:tcPr>
          <w:p>
            <w:pPr>
              <w:shd w:val="clear"/>
              <w:spacing w:line="360" w:lineRule="auto"/>
              <w:jc w:val="center"/>
              <w:rPr>
                <w:rFonts w:hint="default" w:ascii="宋体" w:hAnsi="宋体" w:cs="宋体"/>
                <w:color w:val="auto"/>
                <w:sz w:val="24"/>
                <w:szCs w:val="22"/>
                <w:highlight w:val="none"/>
                <w:u w:val="none"/>
                <w:lang w:val="en-US" w:eastAsia="zh-CN"/>
              </w:rPr>
            </w:pPr>
            <w:r>
              <w:rPr>
                <w:rFonts w:hint="eastAsia" w:ascii="宋体" w:hAnsi="宋体" w:cs="宋体"/>
                <w:color w:val="auto"/>
                <w:sz w:val="24"/>
                <w:szCs w:val="22"/>
                <w:highlight w:val="none"/>
                <w:u w:val="none"/>
                <w:lang w:val="en-US" w:eastAsia="zh-CN"/>
              </w:rPr>
              <w:t>3</w:t>
            </w:r>
          </w:p>
        </w:tc>
        <w:tc>
          <w:tcPr>
            <w:tcW w:w="2640" w:type="dxa"/>
            <w:tcBorders>
              <w:left w:val="single" w:color="auto" w:sz="4" w:space="0"/>
              <w:right w:val="single" w:color="auto" w:sz="4" w:space="0"/>
            </w:tcBorders>
            <w:vAlign w:val="center"/>
          </w:tcPr>
          <w:p>
            <w:pPr>
              <w:shd w:val="clear"/>
              <w:spacing w:line="360" w:lineRule="auto"/>
              <w:jc w:val="center"/>
              <w:rPr>
                <w:rFonts w:hint="eastAsia" w:ascii="宋体" w:hAnsi="宋体"/>
                <w:sz w:val="24"/>
                <w:lang w:val="en-US" w:eastAsia="zh-CN"/>
              </w:rPr>
            </w:pPr>
            <w:r>
              <w:rPr>
                <w:rFonts w:hint="eastAsia" w:ascii="宋体" w:hAnsi="宋体"/>
                <w:sz w:val="24"/>
                <w:lang w:val="en-US" w:eastAsia="zh-CN"/>
              </w:rPr>
              <w:t>本项目投标总报价</w:t>
            </w:r>
          </w:p>
        </w:tc>
        <w:tc>
          <w:tcPr>
            <w:tcW w:w="4033" w:type="dxa"/>
            <w:tcBorders>
              <w:left w:val="single" w:color="auto" w:sz="4" w:space="0"/>
              <w:right w:val="single" w:color="auto" w:sz="4" w:space="0"/>
            </w:tcBorders>
            <w:vAlign w:val="center"/>
          </w:tcPr>
          <w:p>
            <w:pPr>
              <w:shd w:val="clea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pPr>
              <w:shd w:val="clea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630" w:type="dxa"/>
            <w:tcBorders>
              <w:left w:val="single" w:color="auto" w:sz="4" w:space="0"/>
              <w:right w:val="single" w:color="auto" w:sz="4" w:space="0"/>
            </w:tcBorders>
            <w:vAlign w:val="center"/>
          </w:tcPr>
          <w:p>
            <w:pPr>
              <w:shd w:val="clea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val="en-US" w:eastAsia="zh-CN"/>
              </w:rPr>
              <w:t>/</w:t>
            </w:r>
          </w:p>
        </w:tc>
      </w:tr>
    </w:tbl>
    <w:p>
      <w:pPr>
        <w:rPr>
          <w:color w:val="auto"/>
          <w:lang w:val="zh-CN"/>
        </w:rPr>
      </w:pPr>
    </w:p>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szCs w:val="22"/>
          <w:lang w:val="en-US" w:eastAsia="zh-CN"/>
        </w:rPr>
        <w:t>3</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hd w:val="clea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b w:val="0"/>
          <w:bCs/>
          <w:color w:val="auto"/>
          <w:kern w:val="0"/>
          <w:sz w:val="24"/>
          <w:lang w:val="zh-CN"/>
        </w:rPr>
        <w:t>注：投标人提供的中小企业声明函内容不实的，属于提供虚假材料谋取中标、成交，依照《中华人民共和国政府采购法》等国家有关规定追究相应责任。</w:t>
      </w:r>
    </w:p>
    <w:p>
      <w:pPr>
        <w:shd w:val="clear"/>
        <w:spacing w:line="360" w:lineRule="auto"/>
        <w:ind w:firstLine="0" w:firstLineChars="0"/>
        <w:jc w:val="both"/>
        <w:rPr>
          <w:rFonts w:hint="eastAsia" w:ascii="宋体" w:hAnsi="宋体" w:cs="宋体"/>
          <w:bCs/>
          <w:color w:val="auto"/>
          <w:kern w:val="0"/>
          <w:sz w:val="24"/>
        </w:rPr>
      </w:pPr>
    </w:p>
    <w:p>
      <w:pPr>
        <w:shd w:val="clear"/>
        <w:spacing w:line="360" w:lineRule="auto"/>
        <w:ind w:firstLine="0" w:firstLineChars="0"/>
        <w:jc w:val="right"/>
        <w:rPr>
          <w:rFonts w:ascii="宋体" w:hAnsi="宋体" w:cs="宋体"/>
          <w:bCs/>
          <w:color w:val="auto"/>
          <w:kern w:val="0"/>
          <w:sz w:val="24"/>
        </w:rPr>
      </w:pPr>
      <w:r>
        <w:rPr>
          <w:rFonts w:hint="eastAsia" w:ascii="宋体" w:hAnsi="宋体" w:cs="宋体"/>
          <w:bCs/>
          <w:color w:val="auto"/>
          <w:kern w:val="0"/>
          <w:sz w:val="24"/>
        </w:rPr>
        <w:t xml:space="preserve">投标人名称（电子签名）：                                                                                                                                                                                                               </w:t>
      </w:r>
    </w:p>
    <w:p>
      <w:pPr>
        <w:shd w:val="clear"/>
        <w:spacing w:line="360" w:lineRule="auto"/>
        <w:ind w:firstLine="480" w:firstLineChars="200"/>
        <w:jc w:val="right"/>
        <w:rPr>
          <w:rFonts w:hint="eastAsia" w:ascii="宋体" w:hAnsi="宋体" w:cs="宋体"/>
          <w:bCs/>
          <w:color w:val="auto"/>
          <w:kern w:val="0"/>
          <w:sz w:val="24"/>
        </w:rPr>
      </w:pPr>
      <w:r>
        <w:rPr>
          <w:rFonts w:hint="eastAsia" w:ascii="宋体" w:hAnsi="宋体" w:cs="宋体"/>
          <w:bCs/>
          <w:color w:val="auto"/>
          <w:kern w:val="0"/>
          <w:sz w:val="24"/>
        </w:rPr>
        <w:t>日期：   年   月   日</w:t>
      </w:r>
    </w:p>
    <w:p>
      <w:pPr>
        <w:rPr>
          <w:color w:val="auto"/>
          <w:lang w:val="zh-CN"/>
        </w:rPr>
      </w:pPr>
    </w:p>
    <w:p>
      <w:pPr>
        <w:rPr>
          <w:rFonts w:hint="eastAsia"/>
          <w:color w:val="auto"/>
          <w:lang w:val="en-US" w:eastAsia="zh-CN"/>
        </w:rPr>
      </w:pPr>
    </w:p>
    <w:p>
      <w:pPr>
        <w:rPr>
          <w:rFonts w:hint="eastAsia"/>
          <w:color w:val="auto"/>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b/>
          <w:bCs/>
          <w:color w:val="auto"/>
          <w:kern w:val="0"/>
          <w:sz w:val="24"/>
          <w:highlight w:val="none"/>
          <w:lang w:val="en-US" w:eastAsia="zh-CN"/>
        </w:rPr>
      </w:pPr>
    </w:p>
    <w:p>
      <w:pPr>
        <w:shd w:val="clear"/>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kern w:val="0"/>
          <w:sz w:val="24"/>
          <w:highlight w:val="none"/>
          <w:lang w:val="en-US" w:eastAsia="zh-CN"/>
        </w:rPr>
        <w:t>附：</w:t>
      </w:r>
      <w:r>
        <w:rPr>
          <w:rFonts w:hint="eastAsia" w:ascii="宋体" w:hAnsi="宋体" w:eastAsia="宋体" w:cs="宋体"/>
          <w:color w:val="auto"/>
          <w:sz w:val="24"/>
          <w:szCs w:val="22"/>
          <w:highlight w:val="none"/>
          <w:lang w:val="en-US" w:eastAsia="zh-CN"/>
        </w:rPr>
        <w:t>报价明细清单</w:t>
      </w:r>
    </w:p>
    <w:p>
      <w:pPr>
        <w:shd w:val="clear"/>
        <w:rPr>
          <w:rFonts w:hint="eastAsia"/>
          <w:color w:val="auto"/>
          <w:lang w:val="en-US" w:eastAsia="zh-CN"/>
        </w:rPr>
      </w:pPr>
    </w:p>
    <w:p>
      <w:pPr>
        <w:rPr>
          <w:rFonts w:hint="eastAsia"/>
          <w:color w:val="auto"/>
          <w:lang w:val="en-US" w:eastAsia="zh-CN"/>
        </w:rPr>
      </w:pPr>
      <w:r>
        <w:rPr>
          <w:rFonts w:hint="eastAsia" w:ascii="宋体" w:hAnsi="宋体" w:cs="宋体"/>
          <w:color w:val="auto"/>
          <w:highlight w:val="none"/>
          <w:lang w:val="en-US" w:eastAsia="zh-CN"/>
        </w:rPr>
        <w:t>分项内容</w:t>
      </w:r>
      <w:r>
        <w:rPr>
          <w:rFonts w:hint="eastAsia" w:ascii="宋体" w:hAnsi="宋体" w:eastAsia="宋体" w:cs="宋体"/>
          <w:color w:val="auto"/>
          <w:highlight w:val="none"/>
          <w:lang w:val="en-US" w:eastAsia="zh-CN"/>
        </w:rPr>
        <w:t xml:space="preserve">： </w:t>
      </w:r>
      <w:r>
        <w:rPr>
          <w:rFonts w:hint="eastAsia" w:ascii="宋体" w:hAnsi="宋体"/>
          <w:sz w:val="24"/>
          <w:lang w:val="en-US" w:eastAsia="zh-CN"/>
        </w:rPr>
        <w:t>杜甫小学</w:t>
      </w:r>
      <w:r>
        <w:rPr>
          <w:rFonts w:hint="eastAsia" w:ascii="宋体" w:hAnsi="宋体"/>
          <w:sz w:val="24"/>
        </w:rPr>
        <w:t>体育器材采购</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en-US"/>
        </w:rPr>
        <w:t xml:space="preserve"> </w:t>
      </w:r>
    </w:p>
    <w:tbl>
      <w:tblPr>
        <w:tblStyle w:val="63"/>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455"/>
        <w:gridCol w:w="1292"/>
        <w:gridCol w:w="1512"/>
        <w:gridCol w:w="871"/>
        <w:gridCol w:w="915"/>
        <w:gridCol w:w="156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7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55"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2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品牌</w:t>
            </w:r>
          </w:p>
        </w:tc>
        <w:tc>
          <w:tcPr>
            <w:tcW w:w="151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871"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915"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56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1141"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455" w:type="dxa"/>
            <w:vAlign w:val="center"/>
          </w:tcPr>
          <w:p>
            <w:pPr>
              <w:snapToGrid w:val="0"/>
              <w:spacing w:line="360" w:lineRule="auto"/>
              <w:jc w:val="center"/>
              <w:rPr>
                <w:rFonts w:ascii="宋体" w:hAnsi="宋体" w:cs="宋体"/>
                <w:color w:val="auto"/>
                <w:sz w:val="24"/>
              </w:rPr>
            </w:pPr>
          </w:p>
        </w:tc>
        <w:tc>
          <w:tcPr>
            <w:tcW w:w="1292" w:type="dxa"/>
            <w:vAlign w:val="center"/>
          </w:tcPr>
          <w:p>
            <w:pPr>
              <w:snapToGrid w:val="0"/>
              <w:spacing w:line="360" w:lineRule="auto"/>
              <w:jc w:val="center"/>
              <w:rPr>
                <w:rFonts w:ascii="宋体" w:hAnsi="宋体" w:cs="宋体"/>
                <w:color w:val="auto"/>
                <w:sz w:val="24"/>
              </w:rPr>
            </w:pPr>
          </w:p>
        </w:tc>
        <w:tc>
          <w:tcPr>
            <w:tcW w:w="1512"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hint="eastAsia" w:ascii="宋体" w:hAnsi="宋体" w:eastAsia="宋体" w:cs="宋体"/>
                <w:color w:val="auto"/>
                <w:sz w:val="24"/>
                <w:lang w:val="en-US" w:eastAsia="zh-CN"/>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455" w:type="dxa"/>
            <w:vAlign w:val="center"/>
          </w:tcPr>
          <w:p>
            <w:pPr>
              <w:snapToGrid w:val="0"/>
              <w:spacing w:line="360" w:lineRule="auto"/>
              <w:jc w:val="center"/>
              <w:rPr>
                <w:rFonts w:ascii="宋体" w:hAnsi="宋体" w:cs="宋体"/>
                <w:color w:val="auto"/>
                <w:sz w:val="24"/>
              </w:rPr>
            </w:pPr>
          </w:p>
        </w:tc>
        <w:tc>
          <w:tcPr>
            <w:tcW w:w="1292" w:type="dxa"/>
            <w:vAlign w:val="center"/>
          </w:tcPr>
          <w:p>
            <w:pPr>
              <w:snapToGrid w:val="0"/>
              <w:spacing w:line="360" w:lineRule="auto"/>
              <w:jc w:val="center"/>
              <w:rPr>
                <w:rFonts w:ascii="宋体" w:hAnsi="宋体" w:cs="宋体"/>
                <w:color w:val="auto"/>
                <w:sz w:val="24"/>
              </w:rPr>
            </w:pPr>
          </w:p>
        </w:tc>
        <w:tc>
          <w:tcPr>
            <w:tcW w:w="1512"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p>
        </w:tc>
        <w:tc>
          <w:tcPr>
            <w:tcW w:w="1455" w:type="dxa"/>
            <w:vAlign w:val="center"/>
          </w:tcPr>
          <w:p>
            <w:pPr>
              <w:snapToGri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w:t>
            </w:r>
          </w:p>
        </w:tc>
        <w:tc>
          <w:tcPr>
            <w:tcW w:w="1292" w:type="dxa"/>
            <w:vAlign w:val="center"/>
          </w:tcPr>
          <w:p>
            <w:pPr>
              <w:snapToGrid w:val="0"/>
              <w:spacing w:line="360" w:lineRule="auto"/>
              <w:jc w:val="center"/>
              <w:rPr>
                <w:rFonts w:ascii="宋体" w:hAnsi="宋体" w:cs="宋体"/>
                <w:color w:val="auto"/>
                <w:sz w:val="24"/>
              </w:rPr>
            </w:pPr>
          </w:p>
        </w:tc>
        <w:tc>
          <w:tcPr>
            <w:tcW w:w="1512"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p>
        </w:tc>
        <w:tc>
          <w:tcPr>
            <w:tcW w:w="1455" w:type="dxa"/>
            <w:vAlign w:val="center"/>
          </w:tcPr>
          <w:p>
            <w:pPr>
              <w:snapToGrid w:val="0"/>
              <w:spacing w:line="360" w:lineRule="auto"/>
              <w:jc w:val="center"/>
              <w:rPr>
                <w:rFonts w:ascii="宋体" w:hAnsi="宋体" w:cs="宋体"/>
                <w:color w:val="auto"/>
                <w:sz w:val="24"/>
              </w:rPr>
            </w:pPr>
          </w:p>
        </w:tc>
        <w:tc>
          <w:tcPr>
            <w:tcW w:w="1292" w:type="dxa"/>
            <w:vAlign w:val="center"/>
          </w:tcPr>
          <w:p>
            <w:pPr>
              <w:snapToGrid w:val="0"/>
              <w:spacing w:line="360" w:lineRule="auto"/>
              <w:jc w:val="center"/>
              <w:rPr>
                <w:rFonts w:ascii="宋体" w:hAnsi="宋体" w:cs="宋体"/>
                <w:color w:val="auto"/>
                <w:sz w:val="24"/>
              </w:rPr>
            </w:pPr>
          </w:p>
        </w:tc>
        <w:tc>
          <w:tcPr>
            <w:tcW w:w="1512"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p>
        </w:tc>
        <w:tc>
          <w:tcPr>
            <w:tcW w:w="1455" w:type="dxa"/>
            <w:vAlign w:val="center"/>
          </w:tcPr>
          <w:p>
            <w:pPr>
              <w:snapToGrid w:val="0"/>
              <w:spacing w:line="360" w:lineRule="auto"/>
              <w:jc w:val="center"/>
              <w:rPr>
                <w:rFonts w:ascii="宋体" w:hAnsi="宋体" w:cs="宋体"/>
                <w:color w:val="auto"/>
                <w:sz w:val="24"/>
              </w:rPr>
            </w:pPr>
          </w:p>
        </w:tc>
        <w:tc>
          <w:tcPr>
            <w:tcW w:w="1292" w:type="dxa"/>
            <w:vAlign w:val="center"/>
          </w:tcPr>
          <w:p>
            <w:pPr>
              <w:snapToGrid w:val="0"/>
              <w:spacing w:line="360" w:lineRule="auto"/>
              <w:jc w:val="center"/>
              <w:rPr>
                <w:rFonts w:ascii="宋体" w:hAnsi="宋体" w:cs="宋体"/>
                <w:color w:val="auto"/>
                <w:sz w:val="24"/>
              </w:rPr>
            </w:pPr>
          </w:p>
        </w:tc>
        <w:tc>
          <w:tcPr>
            <w:tcW w:w="1512"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38"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w:t>
            </w:r>
            <w:r>
              <w:rPr>
                <w:rFonts w:hint="eastAsia" w:ascii="宋体" w:hAnsi="宋体" w:cs="宋体"/>
                <w:b/>
                <w:color w:val="auto"/>
                <w:sz w:val="24"/>
                <w:lang w:eastAsia="zh-CN"/>
              </w:rPr>
              <w:t>总</w:t>
            </w:r>
            <w:r>
              <w:rPr>
                <w:rFonts w:hint="eastAsia" w:ascii="宋体" w:hAnsi="宋体" w:cs="宋体"/>
                <w:b/>
                <w:color w:val="auto"/>
                <w:sz w:val="24"/>
              </w:rPr>
              <w:t>报价（小写）</w:t>
            </w:r>
          </w:p>
        </w:tc>
        <w:tc>
          <w:tcPr>
            <w:tcW w:w="3346" w:type="dxa"/>
            <w:gridSpan w:val="3"/>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trHeight w:val="643" w:hRule="atLeast"/>
        </w:trPr>
        <w:tc>
          <w:tcPr>
            <w:tcW w:w="4838"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w:t>
            </w:r>
            <w:r>
              <w:rPr>
                <w:rFonts w:hint="eastAsia" w:ascii="宋体" w:hAnsi="宋体" w:cs="宋体"/>
                <w:b/>
                <w:color w:val="auto"/>
                <w:sz w:val="24"/>
                <w:lang w:eastAsia="zh-CN"/>
              </w:rPr>
              <w:t>总</w:t>
            </w:r>
            <w:r>
              <w:rPr>
                <w:rFonts w:hint="eastAsia" w:ascii="宋体" w:hAnsi="宋体" w:cs="宋体"/>
                <w:b/>
                <w:color w:val="auto"/>
                <w:sz w:val="24"/>
              </w:rPr>
              <w:t>报价（大写）</w:t>
            </w:r>
          </w:p>
        </w:tc>
        <w:tc>
          <w:tcPr>
            <w:tcW w:w="3346" w:type="dxa"/>
            <w:gridSpan w:val="3"/>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bl>
    <w:p>
      <w:pPr>
        <w:rPr>
          <w:rFonts w:hint="default"/>
          <w:color w:val="auto"/>
          <w:lang w:val="en-US" w:eastAsia="zh-CN"/>
        </w:rPr>
      </w:pPr>
    </w:p>
    <w:p>
      <w:pPr>
        <w:pStyle w:val="35"/>
        <w:shd w:val="clear"/>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pPr>
        <w:shd w:val="clea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pPr>
        <w:shd w:val="clea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pPr>
        <w:shd w:val="clea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pPr>
        <w:shd w:val="clear"/>
        <w:autoSpaceDE w:val="0"/>
        <w:autoSpaceDN w:val="0"/>
        <w:spacing w:line="360" w:lineRule="auto"/>
        <w:ind w:right="0" w:firstLine="0" w:firstLineChars="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firstLine="0" w:firstLineChars="0"/>
        <w:jc w:val="right"/>
        <w:rPr>
          <w:rFonts w:ascii="宋体" w:hAnsi="宋体" w:cs="宋体"/>
          <w:b/>
          <w:color w:val="auto"/>
          <w:kern w:val="0"/>
          <w:sz w:val="24"/>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1906" w:h="16838"/>
          <w:pgMar w:top="1247" w:right="1418" w:bottom="1276" w:left="1418" w:header="851" w:footer="992" w:gutter="0"/>
          <w:cols w:space="720" w:num="1"/>
          <w:titlePg/>
          <w:docGrid w:linePitch="312" w:charSpace="0"/>
        </w:sectPr>
      </w:pPr>
    </w:p>
    <w:p>
      <w:pPr>
        <w:shd w:val="clear"/>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kern w:val="0"/>
          <w:sz w:val="24"/>
          <w:highlight w:val="none"/>
          <w:lang w:val="en-US" w:eastAsia="zh-CN"/>
        </w:rPr>
        <w:t>附：</w:t>
      </w:r>
      <w:r>
        <w:rPr>
          <w:rFonts w:hint="eastAsia" w:ascii="宋体" w:hAnsi="宋体" w:eastAsia="宋体" w:cs="宋体"/>
          <w:color w:val="auto"/>
          <w:sz w:val="24"/>
          <w:szCs w:val="22"/>
          <w:highlight w:val="none"/>
          <w:lang w:val="en-US" w:eastAsia="zh-CN"/>
        </w:rPr>
        <w:t>报价明细清单</w:t>
      </w:r>
    </w:p>
    <w:p>
      <w:pPr>
        <w:shd w:val="clear"/>
        <w:rPr>
          <w:rFonts w:hint="eastAsia"/>
          <w:color w:val="auto"/>
          <w:lang w:val="en-US" w:eastAsia="zh-CN"/>
        </w:rPr>
      </w:pPr>
    </w:p>
    <w:p>
      <w:pPr>
        <w:rPr>
          <w:rFonts w:hint="eastAsia"/>
          <w:color w:val="auto"/>
          <w:lang w:val="en-US" w:eastAsia="zh-CN"/>
        </w:rPr>
      </w:pPr>
      <w:r>
        <w:rPr>
          <w:rFonts w:hint="eastAsia" w:ascii="宋体" w:hAnsi="宋体" w:cs="宋体"/>
          <w:color w:val="auto"/>
          <w:highlight w:val="none"/>
          <w:lang w:val="en-US" w:eastAsia="zh-CN"/>
        </w:rPr>
        <w:t>分项内容</w:t>
      </w:r>
      <w:r>
        <w:rPr>
          <w:rFonts w:hint="eastAsia" w:ascii="宋体" w:hAnsi="宋体" w:eastAsia="宋体" w:cs="宋体"/>
          <w:color w:val="auto"/>
          <w:highlight w:val="none"/>
          <w:lang w:val="en-US" w:eastAsia="zh-CN"/>
        </w:rPr>
        <w:t xml:space="preserve">： </w:t>
      </w:r>
      <w:r>
        <w:rPr>
          <w:rFonts w:hint="eastAsia" w:ascii="宋体" w:hAnsi="宋体"/>
          <w:sz w:val="24"/>
          <w:lang w:val="en-US" w:eastAsia="zh-CN"/>
        </w:rPr>
        <w:t>杜甫二小</w:t>
      </w:r>
      <w:r>
        <w:rPr>
          <w:rFonts w:hint="eastAsia" w:ascii="宋体" w:hAnsi="宋体"/>
          <w:sz w:val="24"/>
        </w:rPr>
        <w:t>体育器材采购</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en-US"/>
        </w:rPr>
        <w:t xml:space="preserve"> </w:t>
      </w:r>
    </w:p>
    <w:tbl>
      <w:tblPr>
        <w:tblStyle w:val="63"/>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455"/>
        <w:gridCol w:w="1292"/>
        <w:gridCol w:w="1512"/>
        <w:gridCol w:w="871"/>
        <w:gridCol w:w="915"/>
        <w:gridCol w:w="156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7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55"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2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品牌</w:t>
            </w:r>
          </w:p>
        </w:tc>
        <w:tc>
          <w:tcPr>
            <w:tcW w:w="151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871"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915"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56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1141"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455" w:type="dxa"/>
            <w:vAlign w:val="center"/>
          </w:tcPr>
          <w:p>
            <w:pPr>
              <w:snapToGrid w:val="0"/>
              <w:spacing w:line="360" w:lineRule="auto"/>
              <w:jc w:val="center"/>
              <w:rPr>
                <w:rFonts w:ascii="宋体" w:hAnsi="宋体" w:cs="宋体"/>
                <w:color w:val="auto"/>
                <w:sz w:val="24"/>
              </w:rPr>
            </w:pPr>
          </w:p>
        </w:tc>
        <w:tc>
          <w:tcPr>
            <w:tcW w:w="1292" w:type="dxa"/>
            <w:vAlign w:val="center"/>
          </w:tcPr>
          <w:p>
            <w:pPr>
              <w:snapToGrid w:val="0"/>
              <w:spacing w:line="360" w:lineRule="auto"/>
              <w:jc w:val="center"/>
              <w:rPr>
                <w:rFonts w:ascii="宋体" w:hAnsi="宋体" w:cs="宋体"/>
                <w:color w:val="auto"/>
                <w:sz w:val="24"/>
              </w:rPr>
            </w:pPr>
          </w:p>
        </w:tc>
        <w:tc>
          <w:tcPr>
            <w:tcW w:w="1512"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hint="eastAsia" w:ascii="宋体" w:hAnsi="宋体" w:eastAsia="宋体" w:cs="宋体"/>
                <w:color w:val="auto"/>
                <w:sz w:val="24"/>
                <w:lang w:val="en-US" w:eastAsia="zh-CN"/>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455" w:type="dxa"/>
            <w:vAlign w:val="center"/>
          </w:tcPr>
          <w:p>
            <w:pPr>
              <w:snapToGrid w:val="0"/>
              <w:spacing w:line="360" w:lineRule="auto"/>
              <w:jc w:val="center"/>
              <w:rPr>
                <w:rFonts w:ascii="宋体" w:hAnsi="宋体" w:cs="宋体"/>
                <w:color w:val="auto"/>
                <w:sz w:val="24"/>
              </w:rPr>
            </w:pPr>
          </w:p>
        </w:tc>
        <w:tc>
          <w:tcPr>
            <w:tcW w:w="1292" w:type="dxa"/>
            <w:vAlign w:val="center"/>
          </w:tcPr>
          <w:p>
            <w:pPr>
              <w:snapToGrid w:val="0"/>
              <w:spacing w:line="360" w:lineRule="auto"/>
              <w:jc w:val="center"/>
              <w:rPr>
                <w:rFonts w:ascii="宋体" w:hAnsi="宋体" w:cs="宋体"/>
                <w:color w:val="auto"/>
                <w:sz w:val="24"/>
              </w:rPr>
            </w:pPr>
          </w:p>
        </w:tc>
        <w:tc>
          <w:tcPr>
            <w:tcW w:w="1512"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p>
        </w:tc>
        <w:tc>
          <w:tcPr>
            <w:tcW w:w="1455" w:type="dxa"/>
            <w:vAlign w:val="center"/>
          </w:tcPr>
          <w:p>
            <w:pPr>
              <w:snapToGri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w:t>
            </w:r>
          </w:p>
        </w:tc>
        <w:tc>
          <w:tcPr>
            <w:tcW w:w="1292" w:type="dxa"/>
            <w:vAlign w:val="center"/>
          </w:tcPr>
          <w:p>
            <w:pPr>
              <w:snapToGrid w:val="0"/>
              <w:spacing w:line="360" w:lineRule="auto"/>
              <w:jc w:val="center"/>
              <w:rPr>
                <w:rFonts w:ascii="宋体" w:hAnsi="宋体" w:cs="宋体"/>
                <w:color w:val="auto"/>
                <w:sz w:val="24"/>
              </w:rPr>
            </w:pPr>
          </w:p>
        </w:tc>
        <w:tc>
          <w:tcPr>
            <w:tcW w:w="1512"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p>
        </w:tc>
        <w:tc>
          <w:tcPr>
            <w:tcW w:w="1455" w:type="dxa"/>
            <w:vAlign w:val="center"/>
          </w:tcPr>
          <w:p>
            <w:pPr>
              <w:snapToGrid w:val="0"/>
              <w:spacing w:line="360" w:lineRule="auto"/>
              <w:jc w:val="center"/>
              <w:rPr>
                <w:rFonts w:ascii="宋体" w:hAnsi="宋体" w:cs="宋体"/>
                <w:color w:val="auto"/>
                <w:sz w:val="24"/>
              </w:rPr>
            </w:pPr>
          </w:p>
        </w:tc>
        <w:tc>
          <w:tcPr>
            <w:tcW w:w="1292" w:type="dxa"/>
            <w:vAlign w:val="center"/>
          </w:tcPr>
          <w:p>
            <w:pPr>
              <w:snapToGrid w:val="0"/>
              <w:spacing w:line="360" w:lineRule="auto"/>
              <w:jc w:val="center"/>
              <w:rPr>
                <w:rFonts w:ascii="宋体" w:hAnsi="宋体" w:cs="宋体"/>
                <w:color w:val="auto"/>
                <w:sz w:val="24"/>
              </w:rPr>
            </w:pPr>
          </w:p>
        </w:tc>
        <w:tc>
          <w:tcPr>
            <w:tcW w:w="1512"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pPr>
              <w:spacing w:line="360" w:lineRule="auto"/>
              <w:jc w:val="center"/>
              <w:rPr>
                <w:rFonts w:ascii="宋体" w:hAnsi="宋体" w:cs="宋体"/>
                <w:color w:val="auto"/>
                <w:sz w:val="24"/>
              </w:rPr>
            </w:pPr>
          </w:p>
        </w:tc>
        <w:tc>
          <w:tcPr>
            <w:tcW w:w="1455" w:type="dxa"/>
            <w:vAlign w:val="center"/>
          </w:tcPr>
          <w:p>
            <w:pPr>
              <w:snapToGrid w:val="0"/>
              <w:spacing w:line="360" w:lineRule="auto"/>
              <w:jc w:val="center"/>
              <w:rPr>
                <w:rFonts w:ascii="宋体" w:hAnsi="宋体" w:cs="宋体"/>
                <w:color w:val="auto"/>
                <w:sz w:val="24"/>
              </w:rPr>
            </w:pPr>
          </w:p>
        </w:tc>
        <w:tc>
          <w:tcPr>
            <w:tcW w:w="1292" w:type="dxa"/>
            <w:vAlign w:val="center"/>
          </w:tcPr>
          <w:p>
            <w:pPr>
              <w:snapToGrid w:val="0"/>
              <w:spacing w:line="360" w:lineRule="auto"/>
              <w:jc w:val="center"/>
              <w:rPr>
                <w:rFonts w:ascii="宋体" w:hAnsi="宋体" w:cs="宋体"/>
                <w:color w:val="auto"/>
                <w:sz w:val="24"/>
              </w:rPr>
            </w:pPr>
          </w:p>
        </w:tc>
        <w:tc>
          <w:tcPr>
            <w:tcW w:w="1512" w:type="dxa"/>
            <w:vAlign w:val="center"/>
          </w:tcPr>
          <w:p>
            <w:pPr>
              <w:snapToGrid w:val="0"/>
              <w:spacing w:line="360" w:lineRule="auto"/>
              <w:jc w:val="center"/>
              <w:rPr>
                <w:rFonts w:ascii="宋体" w:hAnsi="宋体" w:cs="宋体"/>
                <w:color w:val="auto"/>
                <w:sz w:val="24"/>
              </w:rPr>
            </w:pPr>
          </w:p>
        </w:tc>
        <w:tc>
          <w:tcPr>
            <w:tcW w:w="871" w:type="dxa"/>
            <w:vAlign w:val="center"/>
          </w:tcPr>
          <w:p>
            <w:pPr>
              <w:snapToGrid w:val="0"/>
              <w:spacing w:line="360" w:lineRule="auto"/>
              <w:jc w:val="center"/>
              <w:rPr>
                <w:rFonts w:ascii="宋体" w:hAnsi="宋体" w:cs="宋体"/>
                <w:color w:val="auto"/>
                <w:sz w:val="24"/>
              </w:rPr>
            </w:pPr>
          </w:p>
        </w:tc>
        <w:tc>
          <w:tcPr>
            <w:tcW w:w="915" w:type="dxa"/>
            <w:vAlign w:val="center"/>
          </w:tcPr>
          <w:p>
            <w:pPr>
              <w:spacing w:line="360" w:lineRule="auto"/>
              <w:jc w:val="center"/>
              <w:rPr>
                <w:rFonts w:ascii="宋体" w:hAnsi="宋体" w:cs="宋体"/>
                <w:color w:val="auto"/>
                <w:sz w:val="24"/>
              </w:rPr>
            </w:pPr>
          </w:p>
        </w:tc>
        <w:tc>
          <w:tcPr>
            <w:tcW w:w="1560" w:type="dxa"/>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38"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w:t>
            </w:r>
            <w:r>
              <w:rPr>
                <w:rFonts w:hint="eastAsia" w:ascii="宋体" w:hAnsi="宋体" w:cs="宋体"/>
                <w:b/>
                <w:color w:val="auto"/>
                <w:sz w:val="24"/>
                <w:lang w:eastAsia="zh-CN"/>
              </w:rPr>
              <w:t>总</w:t>
            </w:r>
            <w:r>
              <w:rPr>
                <w:rFonts w:hint="eastAsia" w:ascii="宋体" w:hAnsi="宋体" w:cs="宋体"/>
                <w:b/>
                <w:color w:val="auto"/>
                <w:sz w:val="24"/>
              </w:rPr>
              <w:t>报价（小写）</w:t>
            </w:r>
          </w:p>
        </w:tc>
        <w:tc>
          <w:tcPr>
            <w:tcW w:w="3346" w:type="dxa"/>
            <w:gridSpan w:val="3"/>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838"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w:t>
            </w:r>
            <w:r>
              <w:rPr>
                <w:rFonts w:hint="eastAsia" w:ascii="宋体" w:hAnsi="宋体" w:cs="宋体"/>
                <w:b/>
                <w:color w:val="auto"/>
                <w:sz w:val="24"/>
                <w:lang w:eastAsia="zh-CN"/>
              </w:rPr>
              <w:t>总</w:t>
            </w:r>
            <w:r>
              <w:rPr>
                <w:rFonts w:hint="eastAsia" w:ascii="宋体" w:hAnsi="宋体" w:cs="宋体"/>
                <w:b/>
                <w:color w:val="auto"/>
                <w:sz w:val="24"/>
              </w:rPr>
              <w:t>报价（大写）</w:t>
            </w:r>
          </w:p>
        </w:tc>
        <w:tc>
          <w:tcPr>
            <w:tcW w:w="3346" w:type="dxa"/>
            <w:gridSpan w:val="3"/>
            <w:vAlign w:val="center"/>
          </w:tcPr>
          <w:p>
            <w:pPr>
              <w:spacing w:line="360" w:lineRule="auto"/>
              <w:jc w:val="center"/>
              <w:rPr>
                <w:rFonts w:ascii="宋体" w:hAnsi="宋体" w:cs="宋体"/>
                <w:color w:val="auto"/>
                <w:sz w:val="24"/>
              </w:rPr>
            </w:pPr>
          </w:p>
        </w:tc>
        <w:tc>
          <w:tcPr>
            <w:tcW w:w="1141" w:type="dxa"/>
            <w:vAlign w:val="center"/>
          </w:tcPr>
          <w:p>
            <w:pPr>
              <w:spacing w:line="360" w:lineRule="auto"/>
              <w:jc w:val="center"/>
              <w:rPr>
                <w:rFonts w:ascii="宋体" w:hAnsi="宋体" w:cs="宋体"/>
                <w:color w:val="auto"/>
                <w:sz w:val="24"/>
              </w:rPr>
            </w:pPr>
          </w:p>
        </w:tc>
      </w:tr>
    </w:tbl>
    <w:p>
      <w:pPr>
        <w:rPr>
          <w:rFonts w:hint="default"/>
          <w:color w:val="auto"/>
          <w:lang w:val="en-US" w:eastAsia="zh-CN"/>
        </w:rPr>
      </w:pPr>
    </w:p>
    <w:p>
      <w:pPr>
        <w:pStyle w:val="35"/>
        <w:shd w:val="clear"/>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pPr>
        <w:shd w:val="clea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pPr>
        <w:shd w:val="clea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pPr>
        <w:shd w:val="clea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pPr>
        <w:shd w:val="clear"/>
        <w:autoSpaceDE w:val="0"/>
        <w:autoSpaceDN w:val="0"/>
        <w:spacing w:line="360" w:lineRule="auto"/>
        <w:ind w:right="0" w:firstLine="0" w:firstLineChars="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pStyle w:val="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pStyle w:val="2"/>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80"/>
        <w:rPr>
          <w:rFonts w:hint="eastAsia" w:ascii="宋体" w:hAnsi="宋体" w:eastAsia="宋体" w:cs="宋体"/>
          <w:color w:val="auto"/>
          <w:kern w:val="0"/>
          <w:sz w:val="24"/>
          <w:highlight w:val="none"/>
          <w:lang w:val="zh-CN"/>
        </w:rPr>
      </w:pPr>
    </w:p>
    <w:p>
      <w:pPr>
        <w:pStyle w:val="80"/>
        <w:rPr>
          <w:rFonts w:hint="eastAsia" w:ascii="宋体" w:hAnsi="宋体" w:eastAsia="宋体" w:cs="宋体"/>
          <w:color w:val="auto"/>
          <w:kern w:val="0"/>
          <w:sz w:val="24"/>
          <w:highlight w:val="none"/>
          <w:lang w:val="zh-CN"/>
        </w:rPr>
      </w:pPr>
    </w:p>
    <w:p>
      <w:pPr>
        <w:pStyle w:val="80"/>
        <w:rPr>
          <w:rFonts w:hint="eastAsia" w:ascii="宋体" w:hAnsi="宋体" w:eastAsia="宋体" w:cs="宋体"/>
          <w:color w:val="auto"/>
          <w:kern w:val="0"/>
          <w:sz w:val="24"/>
          <w:highlight w:val="none"/>
          <w:lang w:val="zh-CN"/>
        </w:rPr>
      </w:pPr>
    </w:p>
    <w:p>
      <w:pPr>
        <w:pStyle w:val="2"/>
        <w:rPr>
          <w:color w:val="auto"/>
        </w:rPr>
      </w:pPr>
      <w:r>
        <w:rPr>
          <w:rFonts w:hint="eastAsia"/>
          <w:color w:val="auto"/>
        </w:rPr>
        <w:t>二、中小企业声明函</w:t>
      </w:r>
      <w:bookmarkStart w:id="67" w:name="_Hlk101259491"/>
      <w:r>
        <w:rPr>
          <w:rFonts w:hint="eastAsia"/>
          <w:color w:val="auto"/>
        </w:rPr>
        <w:t>（如果有）</w:t>
      </w:r>
      <w:bookmarkEnd w:id="67"/>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3"/>
        <w:keepNext w:val="0"/>
        <w:keepLines w:val="0"/>
        <w:pageBreakBefore/>
        <w:widowControl/>
        <w:spacing w:before="100" w:beforeAutospacing="1" w:after="100" w:afterAutospacing="1" w:line="360" w:lineRule="auto"/>
        <w:ind w:left="0" w:firstLine="0" w:firstLineChars="0"/>
        <w:rPr>
          <w:rFonts w:ascii="宋体" w:hAnsi="宋体" w:cs="宋体"/>
          <w:color w:val="auto"/>
        </w:rPr>
      </w:pPr>
      <w:bookmarkStart w:id="68" w:name="_Toc465665161"/>
      <w:r>
        <w:rPr>
          <w:rFonts w:hint="eastAsia" w:ascii="宋体" w:hAnsi="宋体" w:cs="宋体"/>
          <w:color w:val="auto"/>
        </w:rPr>
        <w:t>附件</w:t>
      </w:r>
      <w:bookmarkEnd w:id="68"/>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69" w:name="OLE_LINK13"/>
      <w:bookmarkStart w:id="70" w:name="OLE_LINK14"/>
      <w:r>
        <w:rPr>
          <w:rFonts w:hint="eastAsia" w:ascii="宋体" w:hAnsi="宋体" w:cs="宋体"/>
          <w:b/>
          <w:color w:val="auto"/>
          <w:spacing w:val="6"/>
          <w:sz w:val="32"/>
          <w:szCs w:val="32"/>
        </w:rPr>
        <w:t>残疾人福利性单位声明函</w:t>
      </w:r>
    </w:p>
    <w:bookmarkEnd w:id="69"/>
    <w:bookmarkEnd w:id="70"/>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w:t>
      </w:r>
      <w:r>
        <w:rPr>
          <w:rFonts w:hint="eastAsia" w:ascii="宋体" w:hAnsi="宋体" w:cs="宋体"/>
          <w:kern w:val="0"/>
          <w:sz w:val="24"/>
        </w:rPr>
        <w:t>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7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71"/>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w:t>
      </w:r>
      <w:r>
        <w:rPr>
          <w:rFonts w:hint="eastAsia" w:ascii="宋体" w:hAnsi="宋体" w:cs="宋体"/>
          <w:color w:val="auto"/>
          <w:kern w:val="0"/>
          <w:sz w:val="24"/>
          <w:lang w:val="zh-CN"/>
        </w:rPr>
        <w:t>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w:t>
      </w:r>
      <w:r>
        <w:rPr>
          <w:rFonts w:hint="eastAsia" w:ascii="宋体" w:hAnsi="宋体" w:cs="宋体"/>
          <w:kern w:val="0"/>
          <w:sz w:val="24"/>
          <w:lang w:val="zh-CN"/>
        </w:rPr>
        <w:t>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jc w:val="center"/>
      </w:pPr>
      <w:r>
        <w:rPr>
          <w:rFonts w:hint="eastAsia"/>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7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72"/>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655"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655"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861"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号）的规定，本公司（联合体）参</w:t>
      </w:r>
      <w:r>
        <w:rPr>
          <w:rFonts w:hint="eastAsia" w:ascii="宋体" w:hAnsi="宋体" w:cs="宋体"/>
          <w:color w:val="auto"/>
          <w:sz w:val="24"/>
        </w:rPr>
        <w:t xml:space="preserve">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w:t>
      </w:r>
      <w:r>
        <w:rPr>
          <w:rFonts w:hint="eastAsia" w:ascii="宋体" w:hAnsi="宋体" w:cs="宋体"/>
          <w:b/>
          <w:bCs/>
          <w:color w:val="auto"/>
          <w:sz w:val="24"/>
          <w:lang w:eastAsia="zh-CN"/>
        </w:rPr>
        <w:t>，</w:t>
      </w:r>
      <w:r>
        <w:rPr>
          <w:rFonts w:hint="eastAsia" w:ascii="宋体" w:hAnsi="宋体" w:cs="宋体"/>
          <w:b/>
          <w:bCs/>
          <w:color w:val="auto"/>
          <w:sz w:val="24"/>
          <w:lang w:val="en-US" w:eastAsia="zh-CN"/>
        </w:rPr>
        <w:t>投标供应商</w:t>
      </w:r>
      <w:r>
        <w:rPr>
          <w:rFonts w:hint="eastAsia" w:ascii="宋体" w:hAnsi="宋体" w:cs="宋体"/>
          <w:b/>
          <w:bCs/>
          <w:color w:val="auto"/>
          <w:sz w:val="24"/>
        </w:rPr>
        <w:t>为</w:t>
      </w:r>
      <w:r>
        <w:rPr>
          <w:rFonts w:hint="eastAsia" w:ascii="宋体" w:hAnsi="宋体" w:cs="宋体"/>
          <w:b/>
          <w:bCs/>
          <w:color w:val="auto"/>
          <w:sz w:val="24"/>
          <w:u w:val="single"/>
        </w:rPr>
        <w:t xml:space="preserve"> （企业名称）</w:t>
      </w:r>
      <w:r>
        <w:rPr>
          <w:rFonts w:hint="eastAsia" w:ascii="宋体" w:hAnsi="宋体" w:cs="宋体"/>
          <w:b/>
          <w:bCs/>
          <w:color w:val="auto"/>
          <w:sz w:val="24"/>
        </w:rPr>
        <w:t xml:space="preserve"> ，</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u w:val="single"/>
          <w:lang w:eastAsia="zh-CN"/>
        </w:rPr>
        <w:t>，</w:t>
      </w:r>
      <w:r>
        <w:rPr>
          <w:rFonts w:hint="eastAsia" w:ascii="宋体" w:hAnsi="宋体" w:cs="宋体"/>
          <w:color w:val="auto"/>
          <w:sz w:val="24"/>
        </w:rPr>
        <w:t xml:space="preserve"> 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0000FF"/>
          <w:u w:val="single"/>
          <w:lang w:eastAsia="zh-CN"/>
        </w:rPr>
        <w:t>采购清单设备（自行根据采购清单分别填写）</w:t>
      </w:r>
      <w:r>
        <w:rPr>
          <w:rFonts w:hint="eastAsia" w:ascii="宋体" w:hAnsi="宋体" w:cs="宋体"/>
          <w:color w:val="auto"/>
          <w:sz w:val="24"/>
        </w:rPr>
        <w:t xml:space="preserve"> ，属于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w:t>
      </w:r>
      <w:r>
        <w:rPr>
          <w:rFonts w:hint="eastAsia" w:ascii="宋体" w:hAnsi="宋体" w:cs="宋体"/>
          <w:b/>
          <w:bCs/>
          <w:color w:val="auto"/>
          <w:sz w:val="24"/>
        </w:rPr>
        <w:t>制造商</w:t>
      </w:r>
      <w:r>
        <w:rPr>
          <w:rFonts w:hint="eastAsia" w:ascii="宋体" w:hAnsi="宋体" w:cs="宋体"/>
          <w:color w:val="auto"/>
          <w:sz w:val="24"/>
        </w:rPr>
        <w:t>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lang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0000FF"/>
          <w:sz w:val="24"/>
          <w:u w:val="single"/>
          <w:lang w:val="en-US" w:eastAsia="zh-CN"/>
        </w:rPr>
        <w:t xml:space="preserve">采购清单设备（自行根据采购清单分别填写） </w:t>
      </w:r>
      <w:r>
        <w:rPr>
          <w:rFonts w:hint="eastAsia" w:ascii="宋体" w:hAnsi="宋体" w:cs="宋体"/>
          <w:color w:val="auto"/>
          <w:sz w:val="24"/>
          <w:u w:val="single"/>
          <w:lang w:val="en-US" w:eastAsia="zh-CN"/>
        </w:rPr>
        <w:t xml:space="preserve"> </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工业</w:t>
      </w:r>
      <w:r>
        <w:rPr>
          <w:rFonts w:hint="eastAsia" w:ascii="宋体" w:hAnsi="宋体" w:cs="宋体"/>
          <w:color w:val="auto"/>
          <w:sz w:val="24"/>
          <w:u w:val="single"/>
          <w:lang w:val="en-US" w:eastAsia="zh-CN"/>
        </w:rPr>
        <w:t xml:space="preserve"> </w:t>
      </w:r>
      <w:r>
        <w:rPr>
          <w:rFonts w:hint="eastAsia" w:ascii="宋体" w:hAnsi="宋体" w:cs="宋体"/>
          <w:color w:val="auto"/>
          <w:sz w:val="24"/>
        </w:rPr>
        <w:t>行业 ；</w:t>
      </w:r>
      <w:r>
        <w:rPr>
          <w:rFonts w:hint="eastAsia" w:ascii="宋体" w:hAnsi="宋体" w:cs="宋体"/>
          <w:b/>
          <w:bCs/>
          <w:color w:val="auto"/>
          <w:sz w:val="24"/>
        </w:rPr>
        <w:t>制造商</w:t>
      </w:r>
      <w:r>
        <w:rPr>
          <w:rFonts w:hint="eastAsia" w:ascii="宋体" w:hAnsi="宋体" w:cs="宋体"/>
          <w:color w:val="auto"/>
          <w:sz w:val="24"/>
        </w:rPr>
        <w:t>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微型企业）</w:t>
      </w:r>
      <w:r>
        <w:rPr>
          <w:rFonts w:hint="eastAsia" w:ascii="宋体" w:hAnsi="宋体" w:cs="宋体"/>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p>
    <w:tbl>
      <w:tblPr>
        <w:tblStyle w:val="63"/>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hd w:val="clear"/>
              <w:jc w:val="center"/>
              <w:textAlignment w:val="bottom"/>
              <w:rPr>
                <w:rFonts w:ascii="宋体" w:hAnsi="宋体" w:cs="宋体"/>
                <w:b/>
                <w:sz w:val="32"/>
                <w:szCs w:val="32"/>
              </w:rPr>
            </w:pPr>
            <w:r>
              <w:rPr>
                <w:rFonts w:hint="eastAsia" w:ascii="宋体" w:hAnsi="宋体" w:cs="宋体"/>
                <w:b/>
                <w:kern w:val="0"/>
                <w:sz w:val="32"/>
                <w:szCs w:val="32"/>
                <w:lang w:bidi="ar"/>
              </w:rPr>
              <w:t>中小微行业划型标准规定</w:t>
            </w:r>
            <w:r>
              <w:rPr>
                <w:rFonts w:hint="eastAsia" w:ascii="宋体" w:hAnsi="宋体" w:cs="宋体"/>
                <w:b/>
                <w:kern w:val="0"/>
                <w:sz w:val="24"/>
                <w:lang w:bidi="ar"/>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hd w:val="clear"/>
              <w:jc w:val="center"/>
              <w:textAlignment w:val="center"/>
              <w:rPr>
                <w:rFonts w:ascii="宋体" w:hAnsi="宋体" w:cs="宋体"/>
                <w:b/>
                <w:sz w:val="24"/>
              </w:rPr>
            </w:pPr>
            <w:r>
              <w:rPr>
                <w:rFonts w:hint="eastAsia" w:ascii="宋体" w:hAnsi="宋体" w:cs="宋体"/>
                <w:b/>
                <w:kern w:val="0"/>
                <w:sz w:val="24"/>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center"/>
              <w:textAlignment w:val="bottom"/>
              <w:rPr>
                <w:rFonts w:ascii="宋体" w:hAnsi="宋体" w:cs="宋体"/>
                <w:b/>
                <w:sz w:val="24"/>
              </w:rPr>
            </w:pPr>
            <w:r>
              <w:rPr>
                <w:rFonts w:hint="eastAsia" w:ascii="宋体" w:hAnsi="宋体" w:cs="宋体"/>
                <w:b/>
                <w:kern w:val="0"/>
                <w:sz w:val="24"/>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center"/>
              <w:textAlignment w:val="bottom"/>
              <w:rPr>
                <w:rFonts w:ascii="宋体" w:hAnsi="宋体" w:cs="宋体"/>
                <w:b/>
                <w:sz w:val="24"/>
              </w:rPr>
            </w:pPr>
            <w:r>
              <w:rPr>
                <w:rFonts w:hint="eastAsia" w:ascii="宋体" w:hAnsi="宋体" w:cs="宋体"/>
                <w:b/>
                <w:kern w:val="0"/>
                <w:sz w:val="24"/>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center"/>
              <w:textAlignment w:val="bottom"/>
              <w:rPr>
                <w:rFonts w:ascii="宋体" w:hAnsi="宋体" w:cs="宋体"/>
                <w:b/>
                <w:sz w:val="24"/>
              </w:rPr>
            </w:pPr>
            <w:r>
              <w:rPr>
                <w:rFonts w:hint="eastAsia" w:ascii="宋体" w:hAnsi="宋体" w:cs="宋体"/>
                <w:b/>
                <w:kern w:val="0"/>
                <w:sz w:val="24"/>
                <w:lang w:bidi="ar"/>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hd w:val="clear"/>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说明　1、企业类型的划分以统计部门的统计数据为依据。2、个体工商户和本规定以外的行业，参照本规定进行划型。3、本规定的中型企业标准上限即为大型企业标准的下限。</w:t>
            </w:r>
          </w:p>
        </w:tc>
      </w:tr>
    </w:tbl>
    <w:p>
      <w:pPr>
        <w:pStyle w:val="2"/>
        <w:sectPr>
          <w:pgSz w:w="16838" w:h="11906" w:orient="landscape"/>
          <w:pgMar w:top="1418" w:right="1276" w:bottom="1418" w:left="1247" w:header="851" w:footer="992" w:gutter="0"/>
          <w:cols w:space="720" w:num="1"/>
          <w:titlePg/>
          <w:docGrid w:linePitch="312" w:charSpace="0"/>
        </w:sectPr>
      </w:pPr>
    </w:p>
    <w:p>
      <w:pPr>
        <w:shd w:val="clear"/>
        <w:rPr>
          <w:b/>
          <w:sz w:val="48"/>
          <w:szCs w:val="48"/>
        </w:rPr>
      </w:pPr>
      <w:r>
        <w:rPr>
          <w:rFonts w:hint="eastAsia"/>
          <w:sz w:val="30"/>
          <w:szCs w:val="30"/>
        </w:rPr>
        <w:t>附件8（中标后提供）：</w:t>
      </w:r>
    </w:p>
    <w:p>
      <w:pPr>
        <w:shd w:val="clear"/>
        <w:jc w:val="center"/>
        <w:rPr>
          <w:b/>
          <w:sz w:val="48"/>
          <w:szCs w:val="48"/>
        </w:rPr>
      </w:pPr>
    </w:p>
    <w:p>
      <w:pPr>
        <w:shd w:val="clear"/>
        <w:jc w:val="center"/>
        <w:rPr>
          <w:b/>
          <w:sz w:val="48"/>
          <w:szCs w:val="48"/>
        </w:rPr>
      </w:pPr>
      <w:r>
        <w:rPr>
          <w:rFonts w:hint="eastAsia"/>
          <w:b/>
          <w:sz w:val="48"/>
          <w:szCs w:val="48"/>
        </w:rPr>
        <w:t>承 诺 书</w:t>
      </w:r>
    </w:p>
    <w:p>
      <w:pPr>
        <w:shd w:val="clear"/>
        <w:rPr>
          <w:sz w:val="30"/>
          <w:szCs w:val="30"/>
        </w:rPr>
      </w:pPr>
    </w:p>
    <w:p>
      <w:pPr>
        <w:shd w:val="clear"/>
        <w:rPr>
          <w:sz w:val="30"/>
          <w:szCs w:val="30"/>
        </w:rPr>
      </w:pPr>
      <w:r>
        <w:rPr>
          <w:rFonts w:hint="eastAsia"/>
          <w:sz w:val="30"/>
          <w:szCs w:val="30"/>
          <w:u w:val="single"/>
          <w:lang w:eastAsia="zh-CN"/>
        </w:rPr>
        <w:t>杭州新天地建设管理有限公司</w:t>
      </w:r>
      <w:r>
        <w:rPr>
          <w:rFonts w:hint="eastAsia"/>
          <w:sz w:val="30"/>
          <w:szCs w:val="30"/>
          <w:u w:val="single"/>
        </w:rPr>
        <w:t xml:space="preserve"> </w:t>
      </w:r>
      <w:r>
        <w:rPr>
          <w:rFonts w:hint="eastAsia"/>
          <w:sz w:val="30"/>
          <w:szCs w:val="30"/>
        </w:rPr>
        <w:t>：</w:t>
      </w:r>
    </w:p>
    <w:p>
      <w:pPr>
        <w:shd w:val="clear"/>
        <w:spacing w:line="780" w:lineRule="exact"/>
        <w:ind w:firstLine="600" w:firstLineChars="200"/>
        <w:rPr>
          <w:sz w:val="30"/>
          <w:szCs w:val="30"/>
        </w:rPr>
      </w:pPr>
      <w:r>
        <w:rPr>
          <w:rFonts w:hint="eastAsia"/>
          <w:sz w:val="30"/>
          <w:szCs w:val="30"/>
        </w:rPr>
        <w:t>我单位参与投标的</w:t>
      </w:r>
      <w:r>
        <w:rPr>
          <w:rFonts w:hint="eastAsia"/>
          <w:sz w:val="30"/>
          <w:szCs w:val="30"/>
          <w:u w:val="single"/>
        </w:rPr>
        <w:t xml:space="preserve">   （项目名称）   </w:t>
      </w:r>
      <w:r>
        <w:rPr>
          <w:rFonts w:hint="eastAsia"/>
          <w:sz w:val="30"/>
          <w:szCs w:val="30"/>
        </w:rPr>
        <w:t>有幸中标，考虑本项目备案事宜，故由我单位再提供纸质版电子投标文件一式三份（正本一份红章版，副本二份，可为正本复印件）递交给招标代理机构备案，本公司承诺：</w:t>
      </w:r>
    </w:p>
    <w:p>
      <w:pPr>
        <w:shd w:val="clear"/>
        <w:spacing w:line="780" w:lineRule="exact"/>
        <w:ind w:firstLine="600" w:firstLineChars="200"/>
        <w:rPr>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内容均一致，如不一致导致的任何法律责任自负。特此承诺！</w:t>
      </w:r>
    </w:p>
    <w:p>
      <w:pPr>
        <w:shd w:val="clear"/>
        <w:spacing w:line="780" w:lineRule="exact"/>
        <w:ind w:firstLine="450" w:firstLineChars="150"/>
        <w:rPr>
          <w:sz w:val="30"/>
          <w:szCs w:val="30"/>
        </w:rPr>
      </w:pPr>
    </w:p>
    <w:p>
      <w:pPr>
        <w:shd w:val="clear"/>
        <w:spacing w:line="780" w:lineRule="exact"/>
        <w:rPr>
          <w:sz w:val="30"/>
          <w:szCs w:val="30"/>
        </w:rPr>
      </w:pPr>
    </w:p>
    <w:p>
      <w:pPr>
        <w:shd w:val="clear"/>
        <w:spacing w:line="780" w:lineRule="exact"/>
        <w:rPr>
          <w:sz w:val="30"/>
          <w:szCs w:val="30"/>
        </w:rPr>
      </w:pPr>
    </w:p>
    <w:p>
      <w:pPr>
        <w:shd w:val="clear"/>
        <w:spacing w:line="780" w:lineRule="exact"/>
        <w:jc w:val="right"/>
        <w:rPr>
          <w:sz w:val="30"/>
          <w:szCs w:val="30"/>
        </w:rPr>
      </w:pPr>
      <w:r>
        <w:rPr>
          <w:rFonts w:hint="eastAsia"/>
          <w:sz w:val="30"/>
          <w:szCs w:val="30"/>
        </w:rPr>
        <w:t>投标人名称（盖公章）：</w:t>
      </w:r>
    </w:p>
    <w:p>
      <w:pPr>
        <w:shd w:val="clear"/>
        <w:spacing w:line="780" w:lineRule="exact"/>
        <w:ind w:firstLine="5850" w:firstLineChars="1950"/>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cs="宋体"/>
          <w:sz w:val="30"/>
          <w:szCs w:val="30"/>
          <w:lang w:val="en-US" w:eastAsia="zh-CN"/>
        </w:rPr>
        <w:t>4</w:t>
      </w:r>
      <w:r>
        <w:rPr>
          <w:rFonts w:hint="eastAsia" w:ascii="宋体" w:hAnsi="宋体" w:eastAsia="宋体" w:cs="宋体"/>
          <w:sz w:val="30"/>
          <w:szCs w:val="30"/>
        </w:rPr>
        <w:t>年   月   日</w:t>
      </w:r>
    </w:p>
    <w:p>
      <w:pPr>
        <w:shd w:val="clear"/>
      </w:pPr>
    </w:p>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73" w:name="_Toc164085800"/>
    <w:bookmarkStart w:id="74" w:name="_Toc36110187"/>
    <w:bookmarkStart w:id="75" w:name="_Toc91899912"/>
    <w:bookmarkStart w:id="76" w:name="_Toc131845147"/>
    <w:r>
      <w:rPr>
        <w:rFonts w:hint="eastAsia" w:ascii="仿宋_GB2312" w:eastAsia="仿宋_GB2312"/>
        <w:kern w:val="0"/>
        <w:szCs w:val="21"/>
      </w:rPr>
      <w:t xml:space="preserve"> 页</w:t>
    </w:r>
    <w:bookmarkEnd w:id="73"/>
    <w:bookmarkEnd w:id="74"/>
    <w:bookmarkEnd w:id="75"/>
    <w:bookmarkEnd w:id="7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t></w:t>
    </w:r>
    <w:r>
      <w:rPr>
        <w:rFonts w:hint="eastAsia"/>
      </w:rPr>
      <w:t xml:space="preserve">             </w:t>
    </w:r>
    <w:r>
      <w:rPr>
        <w:lang w:val="zh-CN"/>
      </w:rP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460D8"/>
    <w:multiLevelType w:val="singleLevel"/>
    <w:tmpl w:val="93F460D8"/>
    <w:lvl w:ilvl="0" w:tentative="0">
      <w:start w:val="1"/>
      <w:numFmt w:val="decimal"/>
      <w:suff w:val="nothing"/>
      <w:lvlText w:val="（%1）"/>
      <w:lvlJc w:val="left"/>
    </w:lvl>
  </w:abstractNum>
  <w:abstractNum w:abstractNumId="1">
    <w:nsid w:val="A0FB5A5E"/>
    <w:multiLevelType w:val="singleLevel"/>
    <w:tmpl w:val="A0FB5A5E"/>
    <w:lvl w:ilvl="0" w:tentative="0">
      <w:start w:val="17"/>
      <w:numFmt w:val="decimal"/>
      <w:suff w:val="nothing"/>
      <w:lvlText w:val="%1、"/>
      <w:lvlJc w:val="left"/>
    </w:lvl>
  </w:abstractNum>
  <w:abstractNum w:abstractNumId="2">
    <w:nsid w:val="A51190EC"/>
    <w:multiLevelType w:val="singleLevel"/>
    <w:tmpl w:val="A51190EC"/>
    <w:lvl w:ilvl="0" w:tentative="0">
      <w:start w:val="1"/>
      <w:numFmt w:val="chineseCounting"/>
      <w:suff w:val="nothing"/>
      <w:lvlText w:val="%1、"/>
      <w:lvlJc w:val="left"/>
      <w:rPr>
        <w:rFonts w:hint="eastAsia"/>
      </w:rPr>
    </w:lvl>
  </w:abstractNum>
  <w:abstractNum w:abstractNumId="3">
    <w:nsid w:val="B0317369"/>
    <w:multiLevelType w:val="singleLevel"/>
    <w:tmpl w:val="B0317369"/>
    <w:lvl w:ilvl="0" w:tentative="0">
      <w:start w:val="1"/>
      <w:numFmt w:val="decimal"/>
      <w:lvlText w:val="%1."/>
      <w:lvlJc w:val="left"/>
      <w:pPr>
        <w:tabs>
          <w:tab w:val="left" w:pos="312"/>
        </w:tabs>
      </w:pPr>
    </w:lvl>
  </w:abstractNum>
  <w:abstractNum w:abstractNumId="4">
    <w:nsid w:val="B1AA9089"/>
    <w:multiLevelType w:val="singleLevel"/>
    <w:tmpl w:val="B1AA9089"/>
    <w:lvl w:ilvl="0" w:tentative="0">
      <w:start w:val="3"/>
      <w:numFmt w:val="chineseCounting"/>
      <w:suff w:val="space"/>
      <w:lvlText w:val="第%1部分"/>
      <w:lvlJc w:val="left"/>
      <w:rPr>
        <w:rFonts w:hint="eastAsia"/>
      </w:rPr>
    </w:lvl>
  </w:abstractNum>
  <w:abstractNum w:abstractNumId="5">
    <w:nsid w:val="1B185CA3"/>
    <w:multiLevelType w:val="singleLevel"/>
    <w:tmpl w:val="1B185CA3"/>
    <w:lvl w:ilvl="0" w:tentative="0">
      <w:start w:val="2"/>
      <w:numFmt w:val="chineseCounting"/>
      <w:suff w:val="nothing"/>
      <w:lvlText w:val="%1、"/>
      <w:lvlJc w:val="left"/>
      <w:rPr>
        <w:rFonts w:hint="eastAsia"/>
      </w:rPr>
    </w:lvl>
  </w:abstractNum>
  <w:abstractNum w:abstractNumId="6">
    <w:nsid w:val="1E561B14"/>
    <w:multiLevelType w:val="singleLevel"/>
    <w:tmpl w:val="1E561B14"/>
    <w:lvl w:ilvl="0" w:tentative="0">
      <w:start w:val="1"/>
      <w:numFmt w:val="decimal"/>
      <w:suff w:val="nothing"/>
      <w:lvlText w:val="%1、"/>
      <w:lvlJc w:val="left"/>
    </w:lvl>
  </w:abstractNum>
  <w:abstractNum w:abstractNumId="7">
    <w:nsid w:val="3616B39D"/>
    <w:multiLevelType w:val="singleLevel"/>
    <w:tmpl w:val="3616B39D"/>
    <w:lvl w:ilvl="0" w:tentative="0">
      <w:start w:val="2"/>
      <w:numFmt w:val="decimal"/>
      <w:suff w:val="space"/>
      <w:lvlText w:val="%1."/>
      <w:lvlJc w:val="left"/>
      <w:pPr>
        <w:ind w:left="360" w:leftChars="0" w:firstLine="0" w:firstLineChars="0"/>
      </w:pPr>
    </w:lvl>
  </w:abstractNum>
  <w:abstractNum w:abstractNumId="8">
    <w:nsid w:val="423B9377"/>
    <w:multiLevelType w:val="singleLevel"/>
    <w:tmpl w:val="423B9377"/>
    <w:lvl w:ilvl="0" w:tentative="0">
      <w:start w:val="1"/>
      <w:numFmt w:val="decimal"/>
      <w:suff w:val="nothing"/>
      <w:lvlText w:val="%1、"/>
      <w:lvlJc w:val="left"/>
    </w:lvl>
  </w:abstractNum>
  <w:abstractNum w:abstractNumId="9">
    <w:nsid w:val="4DB79E2D"/>
    <w:multiLevelType w:val="singleLevel"/>
    <w:tmpl w:val="4DB79E2D"/>
    <w:lvl w:ilvl="0" w:tentative="0">
      <w:start w:val="1"/>
      <w:numFmt w:val="decimal"/>
      <w:suff w:val="nothing"/>
      <w:lvlText w:val="%1、"/>
      <w:lvlJc w:val="left"/>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5808E38D"/>
    <w:multiLevelType w:val="singleLevel"/>
    <w:tmpl w:val="5808E38D"/>
    <w:lvl w:ilvl="0" w:tentative="0">
      <w:start w:val="1"/>
      <w:numFmt w:val="decimal"/>
      <w:suff w:val="nothing"/>
      <w:lvlText w:val="%1、"/>
      <w:lvlJc w:val="left"/>
    </w:lvl>
  </w:abstractNum>
  <w:abstractNum w:abstractNumId="13">
    <w:nsid w:val="5DAA3287"/>
    <w:multiLevelType w:val="singleLevel"/>
    <w:tmpl w:val="5DAA3287"/>
    <w:lvl w:ilvl="0" w:tentative="0">
      <w:start w:val="1"/>
      <w:numFmt w:val="decimal"/>
      <w:suff w:val="nothing"/>
      <w:lvlText w:val="%1、"/>
      <w:lvlJc w:val="left"/>
    </w:lvl>
  </w:abstractNum>
  <w:abstractNum w:abstractNumId="14">
    <w:nsid w:val="75D91A69"/>
    <w:multiLevelType w:val="singleLevel"/>
    <w:tmpl w:val="75D91A69"/>
    <w:lvl w:ilvl="0" w:tentative="0">
      <w:start w:val="1"/>
      <w:numFmt w:val="decimal"/>
      <w:suff w:val="nothing"/>
      <w:lvlText w:val="%1、"/>
      <w:lvlJc w:val="left"/>
    </w:lvl>
  </w:abstractNum>
  <w:num w:numId="1">
    <w:abstractNumId w:val="0"/>
  </w:num>
  <w:num w:numId="2">
    <w:abstractNumId w:val="7"/>
  </w:num>
  <w:num w:numId="3">
    <w:abstractNumId w:val="4"/>
  </w:num>
  <w:num w:numId="4">
    <w:abstractNumId w:val="5"/>
  </w:num>
  <w:num w:numId="5">
    <w:abstractNumId w:val="6"/>
  </w:num>
  <w:num w:numId="6">
    <w:abstractNumId w:val="13"/>
  </w:num>
  <w:num w:numId="7">
    <w:abstractNumId w:val="14"/>
  </w:num>
  <w:num w:numId="8">
    <w:abstractNumId w:val="12"/>
  </w:num>
  <w:num w:numId="9">
    <w:abstractNumId w:val="1"/>
  </w:num>
  <w:num w:numId="10">
    <w:abstractNumId w:val="9"/>
  </w:num>
  <w:num w:numId="11">
    <w:abstractNumId w:val="8"/>
  </w:num>
  <w:num w:numId="12">
    <w:abstractNumId w:val="3"/>
  </w:num>
  <w:num w:numId="13">
    <w:abstractNumId w:val="1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OGIwNGUyNzJmYmQ0ODg3OTA3MTYxOWZiMjBjOD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628"/>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E93A91"/>
    <w:rsid w:val="02F36323"/>
    <w:rsid w:val="02F5619C"/>
    <w:rsid w:val="0326446A"/>
    <w:rsid w:val="032D5555"/>
    <w:rsid w:val="036634D2"/>
    <w:rsid w:val="03DD35E4"/>
    <w:rsid w:val="04035825"/>
    <w:rsid w:val="04076900"/>
    <w:rsid w:val="041A5A3B"/>
    <w:rsid w:val="042311BA"/>
    <w:rsid w:val="042B157A"/>
    <w:rsid w:val="048F763B"/>
    <w:rsid w:val="049F330E"/>
    <w:rsid w:val="04AA775C"/>
    <w:rsid w:val="04AF1889"/>
    <w:rsid w:val="04EF0EDB"/>
    <w:rsid w:val="04F66F48"/>
    <w:rsid w:val="05251E14"/>
    <w:rsid w:val="05A16594"/>
    <w:rsid w:val="05A7762D"/>
    <w:rsid w:val="060E5941"/>
    <w:rsid w:val="06110FAF"/>
    <w:rsid w:val="06493CA7"/>
    <w:rsid w:val="065A6178"/>
    <w:rsid w:val="066F1CF3"/>
    <w:rsid w:val="06930BB8"/>
    <w:rsid w:val="07245D42"/>
    <w:rsid w:val="07264C62"/>
    <w:rsid w:val="075B78E1"/>
    <w:rsid w:val="0779354C"/>
    <w:rsid w:val="08061376"/>
    <w:rsid w:val="082D50D7"/>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9018DF"/>
    <w:rsid w:val="0AA23286"/>
    <w:rsid w:val="0AA374A5"/>
    <w:rsid w:val="0AAB7649"/>
    <w:rsid w:val="0ABC5606"/>
    <w:rsid w:val="0B0E720F"/>
    <w:rsid w:val="0B30404E"/>
    <w:rsid w:val="0B4C6C14"/>
    <w:rsid w:val="0B547599"/>
    <w:rsid w:val="0B631A88"/>
    <w:rsid w:val="0B683D45"/>
    <w:rsid w:val="0B7F3F11"/>
    <w:rsid w:val="0B884417"/>
    <w:rsid w:val="0BF6188C"/>
    <w:rsid w:val="0BF73C91"/>
    <w:rsid w:val="0C170175"/>
    <w:rsid w:val="0C284498"/>
    <w:rsid w:val="0C571A41"/>
    <w:rsid w:val="0C5C1171"/>
    <w:rsid w:val="0C5E1CBC"/>
    <w:rsid w:val="0C615B50"/>
    <w:rsid w:val="0C8445DA"/>
    <w:rsid w:val="0C87121B"/>
    <w:rsid w:val="0CC007F7"/>
    <w:rsid w:val="0CC617AC"/>
    <w:rsid w:val="0CE618DF"/>
    <w:rsid w:val="0CFE707A"/>
    <w:rsid w:val="0D0359E8"/>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1A4A0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5687C"/>
    <w:rsid w:val="110F1D40"/>
    <w:rsid w:val="11266F33"/>
    <w:rsid w:val="116E041E"/>
    <w:rsid w:val="118963A1"/>
    <w:rsid w:val="119D2B0C"/>
    <w:rsid w:val="11C6522A"/>
    <w:rsid w:val="11E104CC"/>
    <w:rsid w:val="11E20309"/>
    <w:rsid w:val="12152F8F"/>
    <w:rsid w:val="12255233"/>
    <w:rsid w:val="12530213"/>
    <w:rsid w:val="127723A9"/>
    <w:rsid w:val="12862074"/>
    <w:rsid w:val="12883966"/>
    <w:rsid w:val="129E45B4"/>
    <w:rsid w:val="12D81596"/>
    <w:rsid w:val="13072A44"/>
    <w:rsid w:val="135F4BE2"/>
    <w:rsid w:val="139B1A0A"/>
    <w:rsid w:val="139D25C7"/>
    <w:rsid w:val="13BF3CE4"/>
    <w:rsid w:val="141008D8"/>
    <w:rsid w:val="14125FE6"/>
    <w:rsid w:val="142C24E0"/>
    <w:rsid w:val="146D271E"/>
    <w:rsid w:val="14982588"/>
    <w:rsid w:val="149A5AD9"/>
    <w:rsid w:val="14A7619D"/>
    <w:rsid w:val="150536C3"/>
    <w:rsid w:val="150C1963"/>
    <w:rsid w:val="151447A0"/>
    <w:rsid w:val="151A2866"/>
    <w:rsid w:val="154A6454"/>
    <w:rsid w:val="15762120"/>
    <w:rsid w:val="16692D8F"/>
    <w:rsid w:val="16A8729C"/>
    <w:rsid w:val="16B33777"/>
    <w:rsid w:val="16BC70A7"/>
    <w:rsid w:val="16C6339E"/>
    <w:rsid w:val="16F2564D"/>
    <w:rsid w:val="170708CD"/>
    <w:rsid w:val="172F2D79"/>
    <w:rsid w:val="17557BEF"/>
    <w:rsid w:val="17610CCD"/>
    <w:rsid w:val="17D349C1"/>
    <w:rsid w:val="18244F26"/>
    <w:rsid w:val="1830729E"/>
    <w:rsid w:val="1870062C"/>
    <w:rsid w:val="18817102"/>
    <w:rsid w:val="18830A15"/>
    <w:rsid w:val="18852B28"/>
    <w:rsid w:val="188B5321"/>
    <w:rsid w:val="18FE6C33"/>
    <w:rsid w:val="18FE79DD"/>
    <w:rsid w:val="19932372"/>
    <w:rsid w:val="19A20DD5"/>
    <w:rsid w:val="19AE03F1"/>
    <w:rsid w:val="1A071A03"/>
    <w:rsid w:val="1A1F16AE"/>
    <w:rsid w:val="1A3B5C77"/>
    <w:rsid w:val="1A984BAD"/>
    <w:rsid w:val="1AA71D59"/>
    <w:rsid w:val="1AB8220E"/>
    <w:rsid w:val="1AE4166C"/>
    <w:rsid w:val="1AEA2AB2"/>
    <w:rsid w:val="1AF06CFB"/>
    <w:rsid w:val="1AF11B8D"/>
    <w:rsid w:val="1B11359C"/>
    <w:rsid w:val="1B2A271F"/>
    <w:rsid w:val="1B530544"/>
    <w:rsid w:val="1B713184"/>
    <w:rsid w:val="1BA209CF"/>
    <w:rsid w:val="1BB4777D"/>
    <w:rsid w:val="1BD75AB8"/>
    <w:rsid w:val="1C0459C2"/>
    <w:rsid w:val="1C1B3B4A"/>
    <w:rsid w:val="1C88086E"/>
    <w:rsid w:val="1CE77A25"/>
    <w:rsid w:val="1D266CE1"/>
    <w:rsid w:val="1D3963AF"/>
    <w:rsid w:val="1D667745"/>
    <w:rsid w:val="1D686669"/>
    <w:rsid w:val="1D6A673C"/>
    <w:rsid w:val="1D9247AE"/>
    <w:rsid w:val="1DB567EC"/>
    <w:rsid w:val="1DF51A98"/>
    <w:rsid w:val="1E051CD9"/>
    <w:rsid w:val="1E3D060F"/>
    <w:rsid w:val="1E3F7D2E"/>
    <w:rsid w:val="1E4134E4"/>
    <w:rsid w:val="1E5062B3"/>
    <w:rsid w:val="1E523514"/>
    <w:rsid w:val="1E714A66"/>
    <w:rsid w:val="1E802593"/>
    <w:rsid w:val="1E8B6156"/>
    <w:rsid w:val="1EA3142C"/>
    <w:rsid w:val="1EA703CC"/>
    <w:rsid w:val="1EAE3076"/>
    <w:rsid w:val="1EB7330C"/>
    <w:rsid w:val="1F0A0FF3"/>
    <w:rsid w:val="1F19312F"/>
    <w:rsid w:val="1F5771FF"/>
    <w:rsid w:val="1F78111C"/>
    <w:rsid w:val="1FD52574"/>
    <w:rsid w:val="1FE868A9"/>
    <w:rsid w:val="1FEB1290"/>
    <w:rsid w:val="20034907"/>
    <w:rsid w:val="20173E4B"/>
    <w:rsid w:val="204E48BC"/>
    <w:rsid w:val="208921B3"/>
    <w:rsid w:val="20973DEB"/>
    <w:rsid w:val="20B26522"/>
    <w:rsid w:val="20B44310"/>
    <w:rsid w:val="211116EB"/>
    <w:rsid w:val="212E75DF"/>
    <w:rsid w:val="21332800"/>
    <w:rsid w:val="216133FC"/>
    <w:rsid w:val="216A34B2"/>
    <w:rsid w:val="21C34C7A"/>
    <w:rsid w:val="21D56769"/>
    <w:rsid w:val="21E52EF3"/>
    <w:rsid w:val="21FB5D7B"/>
    <w:rsid w:val="22015E94"/>
    <w:rsid w:val="220B1C3D"/>
    <w:rsid w:val="221D1D20"/>
    <w:rsid w:val="22334A87"/>
    <w:rsid w:val="224F1BA5"/>
    <w:rsid w:val="22BE6801"/>
    <w:rsid w:val="233500BF"/>
    <w:rsid w:val="23377FF7"/>
    <w:rsid w:val="236B425F"/>
    <w:rsid w:val="23836192"/>
    <w:rsid w:val="23901F29"/>
    <w:rsid w:val="239C0061"/>
    <w:rsid w:val="23B908A4"/>
    <w:rsid w:val="23E95BEF"/>
    <w:rsid w:val="23FD0064"/>
    <w:rsid w:val="245375B0"/>
    <w:rsid w:val="24642C0A"/>
    <w:rsid w:val="24702241"/>
    <w:rsid w:val="24B22173"/>
    <w:rsid w:val="24B95AD9"/>
    <w:rsid w:val="24BE24DA"/>
    <w:rsid w:val="24CF5825"/>
    <w:rsid w:val="24D663E6"/>
    <w:rsid w:val="24D76C7C"/>
    <w:rsid w:val="24D77F2B"/>
    <w:rsid w:val="252A4310"/>
    <w:rsid w:val="258B00E2"/>
    <w:rsid w:val="25A816FA"/>
    <w:rsid w:val="25A917A6"/>
    <w:rsid w:val="25BE27CC"/>
    <w:rsid w:val="25F74A5C"/>
    <w:rsid w:val="260366D1"/>
    <w:rsid w:val="2628662C"/>
    <w:rsid w:val="262D45DE"/>
    <w:rsid w:val="26516331"/>
    <w:rsid w:val="26871DC8"/>
    <w:rsid w:val="2688219C"/>
    <w:rsid w:val="268C1915"/>
    <w:rsid w:val="26A53EF9"/>
    <w:rsid w:val="26A94201"/>
    <w:rsid w:val="26AC274F"/>
    <w:rsid w:val="26ED012B"/>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8759CE"/>
    <w:rsid w:val="2BA50BF7"/>
    <w:rsid w:val="2BBF00EC"/>
    <w:rsid w:val="2BC37CFD"/>
    <w:rsid w:val="2BD5237F"/>
    <w:rsid w:val="2BE536CE"/>
    <w:rsid w:val="2BE758D9"/>
    <w:rsid w:val="2BF346BB"/>
    <w:rsid w:val="2C09049E"/>
    <w:rsid w:val="2C0A653C"/>
    <w:rsid w:val="2C191F85"/>
    <w:rsid w:val="2C5A5E2F"/>
    <w:rsid w:val="2CE82D6F"/>
    <w:rsid w:val="2CFA2CFE"/>
    <w:rsid w:val="2D343236"/>
    <w:rsid w:val="2D5306F0"/>
    <w:rsid w:val="2D575011"/>
    <w:rsid w:val="2DD15014"/>
    <w:rsid w:val="2DF72DE4"/>
    <w:rsid w:val="2E0220AF"/>
    <w:rsid w:val="2E4B082A"/>
    <w:rsid w:val="2E5D4E86"/>
    <w:rsid w:val="2E5D790B"/>
    <w:rsid w:val="2E9A3C18"/>
    <w:rsid w:val="2EBB0FEE"/>
    <w:rsid w:val="2EC63002"/>
    <w:rsid w:val="2F0A6B38"/>
    <w:rsid w:val="2F854F98"/>
    <w:rsid w:val="2F946CCB"/>
    <w:rsid w:val="2FD25781"/>
    <w:rsid w:val="2FDC745C"/>
    <w:rsid w:val="2FFD7934"/>
    <w:rsid w:val="305E6E2B"/>
    <w:rsid w:val="30733ACD"/>
    <w:rsid w:val="308C3862"/>
    <w:rsid w:val="309379D8"/>
    <w:rsid w:val="30A270F7"/>
    <w:rsid w:val="30DF1478"/>
    <w:rsid w:val="30EC586F"/>
    <w:rsid w:val="319C6071"/>
    <w:rsid w:val="31AC537E"/>
    <w:rsid w:val="31E3679B"/>
    <w:rsid w:val="31E732FD"/>
    <w:rsid w:val="32131AED"/>
    <w:rsid w:val="32517576"/>
    <w:rsid w:val="32BE5C2C"/>
    <w:rsid w:val="32EF1990"/>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101B33"/>
    <w:rsid w:val="363A3B40"/>
    <w:rsid w:val="365302AE"/>
    <w:rsid w:val="36607A0A"/>
    <w:rsid w:val="366E227C"/>
    <w:rsid w:val="366F2E0D"/>
    <w:rsid w:val="367B6A5C"/>
    <w:rsid w:val="36892A71"/>
    <w:rsid w:val="368A1BE8"/>
    <w:rsid w:val="36A74ADA"/>
    <w:rsid w:val="36AD60D5"/>
    <w:rsid w:val="36B224F9"/>
    <w:rsid w:val="36C66AB2"/>
    <w:rsid w:val="36EC0CC9"/>
    <w:rsid w:val="373F410B"/>
    <w:rsid w:val="37EE7094"/>
    <w:rsid w:val="38296C89"/>
    <w:rsid w:val="383002EB"/>
    <w:rsid w:val="38586797"/>
    <w:rsid w:val="385D15DF"/>
    <w:rsid w:val="38BC0149"/>
    <w:rsid w:val="38D87D1C"/>
    <w:rsid w:val="39636459"/>
    <w:rsid w:val="396B7F6C"/>
    <w:rsid w:val="39B417A9"/>
    <w:rsid w:val="39DD62F4"/>
    <w:rsid w:val="39FC5695"/>
    <w:rsid w:val="39FE6F51"/>
    <w:rsid w:val="3A006D8E"/>
    <w:rsid w:val="3A173836"/>
    <w:rsid w:val="3A3651E5"/>
    <w:rsid w:val="3A744481"/>
    <w:rsid w:val="3A8C7BEF"/>
    <w:rsid w:val="3A906246"/>
    <w:rsid w:val="3B2349B7"/>
    <w:rsid w:val="3B616CFF"/>
    <w:rsid w:val="3B6259F6"/>
    <w:rsid w:val="3B976654"/>
    <w:rsid w:val="3BC01EFC"/>
    <w:rsid w:val="3BCA786A"/>
    <w:rsid w:val="3BD31E2F"/>
    <w:rsid w:val="3BF15831"/>
    <w:rsid w:val="3C105946"/>
    <w:rsid w:val="3C332078"/>
    <w:rsid w:val="3C471448"/>
    <w:rsid w:val="3C5F759A"/>
    <w:rsid w:val="3C6C525A"/>
    <w:rsid w:val="3CCE23CB"/>
    <w:rsid w:val="3CD17D17"/>
    <w:rsid w:val="3D284345"/>
    <w:rsid w:val="3D3C7F39"/>
    <w:rsid w:val="3D440F09"/>
    <w:rsid w:val="3D4504A0"/>
    <w:rsid w:val="3D450D96"/>
    <w:rsid w:val="3D8734BB"/>
    <w:rsid w:val="3D9A11D4"/>
    <w:rsid w:val="3DA16D89"/>
    <w:rsid w:val="3DA364BE"/>
    <w:rsid w:val="3DAD47B4"/>
    <w:rsid w:val="3DE041CB"/>
    <w:rsid w:val="3E0D48F6"/>
    <w:rsid w:val="3E1868B4"/>
    <w:rsid w:val="3E377251"/>
    <w:rsid w:val="3E42664B"/>
    <w:rsid w:val="3E5A7334"/>
    <w:rsid w:val="3E713847"/>
    <w:rsid w:val="3E7B5D6B"/>
    <w:rsid w:val="3E843E66"/>
    <w:rsid w:val="3E8F51FE"/>
    <w:rsid w:val="3E926F87"/>
    <w:rsid w:val="3E9A59DE"/>
    <w:rsid w:val="3EAF4836"/>
    <w:rsid w:val="3EC33DFA"/>
    <w:rsid w:val="3F060E16"/>
    <w:rsid w:val="3F1D1096"/>
    <w:rsid w:val="3F2F0234"/>
    <w:rsid w:val="3F4C3262"/>
    <w:rsid w:val="3F6363FE"/>
    <w:rsid w:val="3F756B8F"/>
    <w:rsid w:val="3F95482B"/>
    <w:rsid w:val="4019356B"/>
    <w:rsid w:val="40536F5A"/>
    <w:rsid w:val="40592157"/>
    <w:rsid w:val="405C1B2B"/>
    <w:rsid w:val="406E1CAE"/>
    <w:rsid w:val="40A0133A"/>
    <w:rsid w:val="40C31A53"/>
    <w:rsid w:val="40FF545D"/>
    <w:rsid w:val="410067C8"/>
    <w:rsid w:val="4101224B"/>
    <w:rsid w:val="418F0D2A"/>
    <w:rsid w:val="41B02916"/>
    <w:rsid w:val="41D01505"/>
    <w:rsid w:val="42474939"/>
    <w:rsid w:val="424C3C57"/>
    <w:rsid w:val="42613FF3"/>
    <w:rsid w:val="42660D96"/>
    <w:rsid w:val="428667D2"/>
    <w:rsid w:val="42CD1CE0"/>
    <w:rsid w:val="42E1381E"/>
    <w:rsid w:val="42ED6459"/>
    <w:rsid w:val="42FE58DD"/>
    <w:rsid w:val="43174B3D"/>
    <w:rsid w:val="432F53AB"/>
    <w:rsid w:val="434B790E"/>
    <w:rsid w:val="4360274F"/>
    <w:rsid w:val="43977AB6"/>
    <w:rsid w:val="43A3342B"/>
    <w:rsid w:val="43C77C27"/>
    <w:rsid w:val="43DE09EE"/>
    <w:rsid w:val="44002FAD"/>
    <w:rsid w:val="44644ADA"/>
    <w:rsid w:val="449101DD"/>
    <w:rsid w:val="449D459A"/>
    <w:rsid w:val="44C772AC"/>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5E6FDD"/>
    <w:rsid w:val="477B778F"/>
    <w:rsid w:val="478203EC"/>
    <w:rsid w:val="47B025FA"/>
    <w:rsid w:val="4809698F"/>
    <w:rsid w:val="4811697D"/>
    <w:rsid w:val="487A3E25"/>
    <w:rsid w:val="488B5503"/>
    <w:rsid w:val="48937E21"/>
    <w:rsid w:val="489A0361"/>
    <w:rsid w:val="489D2726"/>
    <w:rsid w:val="48B94FF3"/>
    <w:rsid w:val="48E37AAB"/>
    <w:rsid w:val="48FD4B4C"/>
    <w:rsid w:val="490A68E0"/>
    <w:rsid w:val="491055FE"/>
    <w:rsid w:val="492E4B4B"/>
    <w:rsid w:val="495F5B3E"/>
    <w:rsid w:val="496F77D7"/>
    <w:rsid w:val="497654FD"/>
    <w:rsid w:val="499C3F72"/>
    <w:rsid w:val="49B64211"/>
    <w:rsid w:val="49F6167F"/>
    <w:rsid w:val="4A064FA0"/>
    <w:rsid w:val="4A16615C"/>
    <w:rsid w:val="4A4424D7"/>
    <w:rsid w:val="4A677B24"/>
    <w:rsid w:val="4AB82D0F"/>
    <w:rsid w:val="4AEB7664"/>
    <w:rsid w:val="4AFD7C19"/>
    <w:rsid w:val="4B0567D1"/>
    <w:rsid w:val="4B236AAE"/>
    <w:rsid w:val="4B530D73"/>
    <w:rsid w:val="4B707271"/>
    <w:rsid w:val="4B8137BE"/>
    <w:rsid w:val="4B9739F7"/>
    <w:rsid w:val="4BC6087B"/>
    <w:rsid w:val="4BEE2503"/>
    <w:rsid w:val="4C245A30"/>
    <w:rsid w:val="4CB6685F"/>
    <w:rsid w:val="4CBC3218"/>
    <w:rsid w:val="4CC367FE"/>
    <w:rsid w:val="4D077F3C"/>
    <w:rsid w:val="4D123355"/>
    <w:rsid w:val="4D2A3B31"/>
    <w:rsid w:val="4D312C52"/>
    <w:rsid w:val="4D905305"/>
    <w:rsid w:val="4D964A72"/>
    <w:rsid w:val="4D9C1254"/>
    <w:rsid w:val="4DFA13C4"/>
    <w:rsid w:val="4E016CE7"/>
    <w:rsid w:val="4E7567C2"/>
    <w:rsid w:val="4E793892"/>
    <w:rsid w:val="4E800872"/>
    <w:rsid w:val="4EC569ED"/>
    <w:rsid w:val="4ED50EA1"/>
    <w:rsid w:val="4EEC050C"/>
    <w:rsid w:val="4F104EC3"/>
    <w:rsid w:val="4F3F1118"/>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F393E"/>
    <w:rsid w:val="53544462"/>
    <w:rsid w:val="5397158E"/>
    <w:rsid w:val="53D212BE"/>
    <w:rsid w:val="53F20474"/>
    <w:rsid w:val="54013861"/>
    <w:rsid w:val="54110EFD"/>
    <w:rsid w:val="541C406E"/>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D111A"/>
    <w:rsid w:val="55DC29B6"/>
    <w:rsid w:val="55DD4241"/>
    <w:rsid w:val="5630441C"/>
    <w:rsid w:val="566B6D1E"/>
    <w:rsid w:val="567162F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5B5F9A"/>
    <w:rsid w:val="58917D2F"/>
    <w:rsid w:val="5894085C"/>
    <w:rsid w:val="58AE4F0C"/>
    <w:rsid w:val="58B85899"/>
    <w:rsid w:val="58E363A9"/>
    <w:rsid w:val="59166304"/>
    <w:rsid w:val="595E1678"/>
    <w:rsid w:val="596D5BD4"/>
    <w:rsid w:val="597E3DD8"/>
    <w:rsid w:val="59CF7269"/>
    <w:rsid w:val="59F80043"/>
    <w:rsid w:val="5A09252F"/>
    <w:rsid w:val="5A0B2778"/>
    <w:rsid w:val="5A2008B7"/>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13549"/>
    <w:rsid w:val="5D5A391C"/>
    <w:rsid w:val="5D5F10C0"/>
    <w:rsid w:val="5D891B7B"/>
    <w:rsid w:val="5DAD38EE"/>
    <w:rsid w:val="5E006862"/>
    <w:rsid w:val="5E0207B9"/>
    <w:rsid w:val="5E1834A1"/>
    <w:rsid w:val="5E261785"/>
    <w:rsid w:val="5E4A7017"/>
    <w:rsid w:val="5E552BBA"/>
    <w:rsid w:val="5E611C10"/>
    <w:rsid w:val="5E7A0F3F"/>
    <w:rsid w:val="5EDF494D"/>
    <w:rsid w:val="5EFC7377"/>
    <w:rsid w:val="5F06174D"/>
    <w:rsid w:val="5F3A3602"/>
    <w:rsid w:val="5F45733B"/>
    <w:rsid w:val="5F6277C6"/>
    <w:rsid w:val="5F6D0B1D"/>
    <w:rsid w:val="5F8D0B82"/>
    <w:rsid w:val="5FCC5339"/>
    <w:rsid w:val="5FE34A5B"/>
    <w:rsid w:val="5FFE1E36"/>
    <w:rsid w:val="601B0145"/>
    <w:rsid w:val="60232584"/>
    <w:rsid w:val="604777C8"/>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6E3017"/>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26F36"/>
    <w:rsid w:val="6A0B1C62"/>
    <w:rsid w:val="6A2406C8"/>
    <w:rsid w:val="6ADE0BD1"/>
    <w:rsid w:val="6AE96859"/>
    <w:rsid w:val="6B147746"/>
    <w:rsid w:val="6B24787C"/>
    <w:rsid w:val="6B3B6C4F"/>
    <w:rsid w:val="6B573233"/>
    <w:rsid w:val="6B5B6274"/>
    <w:rsid w:val="6B935D53"/>
    <w:rsid w:val="6BB00731"/>
    <w:rsid w:val="6C0F6B5B"/>
    <w:rsid w:val="6C196F71"/>
    <w:rsid w:val="6C226FCB"/>
    <w:rsid w:val="6C31226F"/>
    <w:rsid w:val="6C552F0B"/>
    <w:rsid w:val="6C8C67B7"/>
    <w:rsid w:val="6C9D744C"/>
    <w:rsid w:val="6CBB76FA"/>
    <w:rsid w:val="6D167928"/>
    <w:rsid w:val="6D26299B"/>
    <w:rsid w:val="6D4772EC"/>
    <w:rsid w:val="6D9078AF"/>
    <w:rsid w:val="6DAA3FEF"/>
    <w:rsid w:val="6DC0172B"/>
    <w:rsid w:val="6DCB690C"/>
    <w:rsid w:val="6DD41A5B"/>
    <w:rsid w:val="6DF43C2E"/>
    <w:rsid w:val="6DF51CA3"/>
    <w:rsid w:val="6E350624"/>
    <w:rsid w:val="6E8335BD"/>
    <w:rsid w:val="6E8E12EF"/>
    <w:rsid w:val="6E972936"/>
    <w:rsid w:val="6ED446C5"/>
    <w:rsid w:val="6F2A7D94"/>
    <w:rsid w:val="6F8331F1"/>
    <w:rsid w:val="6FAE1A09"/>
    <w:rsid w:val="6FD75BF8"/>
    <w:rsid w:val="707723D0"/>
    <w:rsid w:val="70F5661B"/>
    <w:rsid w:val="71073E35"/>
    <w:rsid w:val="71360107"/>
    <w:rsid w:val="713B688E"/>
    <w:rsid w:val="71D43752"/>
    <w:rsid w:val="71F1796A"/>
    <w:rsid w:val="72154626"/>
    <w:rsid w:val="72262B5D"/>
    <w:rsid w:val="72283FF7"/>
    <w:rsid w:val="722E7212"/>
    <w:rsid w:val="723A0474"/>
    <w:rsid w:val="725923E4"/>
    <w:rsid w:val="72864BF7"/>
    <w:rsid w:val="729023FC"/>
    <w:rsid w:val="72E07543"/>
    <w:rsid w:val="72F57A66"/>
    <w:rsid w:val="73C0646E"/>
    <w:rsid w:val="742222F5"/>
    <w:rsid w:val="74476126"/>
    <w:rsid w:val="74706664"/>
    <w:rsid w:val="747F3682"/>
    <w:rsid w:val="749C4185"/>
    <w:rsid w:val="74E7175C"/>
    <w:rsid w:val="75067759"/>
    <w:rsid w:val="752E6DCD"/>
    <w:rsid w:val="7551380D"/>
    <w:rsid w:val="75600BE5"/>
    <w:rsid w:val="7564475C"/>
    <w:rsid w:val="7583797F"/>
    <w:rsid w:val="75D20F1D"/>
    <w:rsid w:val="75DA2C18"/>
    <w:rsid w:val="75E178E3"/>
    <w:rsid w:val="75F54412"/>
    <w:rsid w:val="761D08E0"/>
    <w:rsid w:val="765D347C"/>
    <w:rsid w:val="76826699"/>
    <w:rsid w:val="768D0E10"/>
    <w:rsid w:val="76B95962"/>
    <w:rsid w:val="76C87133"/>
    <w:rsid w:val="76CD08D5"/>
    <w:rsid w:val="76DB4B92"/>
    <w:rsid w:val="76EF0CF1"/>
    <w:rsid w:val="77052AA4"/>
    <w:rsid w:val="77136511"/>
    <w:rsid w:val="7719677D"/>
    <w:rsid w:val="77251BE7"/>
    <w:rsid w:val="77340A39"/>
    <w:rsid w:val="77351FD0"/>
    <w:rsid w:val="77472422"/>
    <w:rsid w:val="777F31F2"/>
    <w:rsid w:val="77D1700D"/>
    <w:rsid w:val="77EC04CC"/>
    <w:rsid w:val="7801298E"/>
    <w:rsid w:val="78775729"/>
    <w:rsid w:val="78A42DB0"/>
    <w:rsid w:val="78A656AB"/>
    <w:rsid w:val="78B2245C"/>
    <w:rsid w:val="78D0477E"/>
    <w:rsid w:val="78E172CC"/>
    <w:rsid w:val="78EA1D1F"/>
    <w:rsid w:val="7904172F"/>
    <w:rsid w:val="790F7E27"/>
    <w:rsid w:val="792A231A"/>
    <w:rsid w:val="7931670F"/>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933A26"/>
    <w:rsid w:val="7BEE0103"/>
    <w:rsid w:val="7C0A0FE4"/>
    <w:rsid w:val="7C0C66DE"/>
    <w:rsid w:val="7C254906"/>
    <w:rsid w:val="7C590818"/>
    <w:rsid w:val="7C7C10F6"/>
    <w:rsid w:val="7C853BEA"/>
    <w:rsid w:val="7C8660E7"/>
    <w:rsid w:val="7C881368"/>
    <w:rsid w:val="7C9E3C5A"/>
    <w:rsid w:val="7CE27788"/>
    <w:rsid w:val="7D0C32F1"/>
    <w:rsid w:val="7D0F408D"/>
    <w:rsid w:val="7D2A3CEA"/>
    <w:rsid w:val="7D491C6C"/>
    <w:rsid w:val="7D5429C0"/>
    <w:rsid w:val="7D6E6D43"/>
    <w:rsid w:val="7D716DA2"/>
    <w:rsid w:val="7DB57A34"/>
    <w:rsid w:val="7DE60973"/>
    <w:rsid w:val="7DEF0916"/>
    <w:rsid w:val="7E1E5218"/>
    <w:rsid w:val="7E544F6A"/>
    <w:rsid w:val="7E9A4E1F"/>
    <w:rsid w:val="7EA7723A"/>
    <w:rsid w:val="7EF56FBB"/>
    <w:rsid w:val="7F0768EB"/>
    <w:rsid w:val="7F143BEC"/>
    <w:rsid w:val="7F3F04CF"/>
    <w:rsid w:val="7F715AF2"/>
    <w:rsid w:val="7F886E69"/>
    <w:rsid w:val="7FC80896"/>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center"/>
      <w:outlineLvl w:val="1"/>
    </w:pPr>
    <w:rPr>
      <w:rFonts w:ascii="仿宋_GB2312" w:hAnsi="仿宋_GB2312" w:eastAsia="宋体"/>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27"/>
    <w:link w:val="266"/>
    <w:autoRedefine/>
    <w:qFormat/>
    <w:uiPriority w:val="0"/>
    <w:pPr>
      <w:spacing w:line="480" w:lineRule="exact"/>
      <w:ind w:firstLine="480" w:firstLineChars="200"/>
    </w:pPr>
    <w:rPr>
      <w:rFonts w:ascii="宋体" w:hAnsi="宋体"/>
      <w:sz w:val="24"/>
    </w:rPr>
  </w:style>
  <w:style w:type="paragraph" w:styleId="27">
    <w:name w:val="Body Text First Indent 2"/>
    <w:basedOn w:val="26"/>
    <w:next w:val="1"/>
    <w:link w:val="122"/>
    <w:autoRedefine/>
    <w:qFormat/>
    <w:uiPriority w:val="0"/>
    <w:pPr>
      <w:adjustRightInd/>
      <w:spacing w:after="120" w:line="240" w:lineRule="auto"/>
      <w:ind w:left="420" w:leftChars="200" w:firstLine="210"/>
    </w:pPr>
    <w:rPr>
      <w:sz w:val="21"/>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6"/>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2"/>
    <w:autoRedefine/>
    <w:qFormat/>
    <w:uiPriority w:val="0"/>
    <w:pPr>
      <w:ind w:left="100" w:leftChars="2500"/>
    </w:pPr>
    <w:rPr>
      <w:rFonts w:ascii="宋体"/>
      <w:sz w:val="24"/>
      <w:szCs w:val="21"/>
      <w:lang w:val="zh-CN"/>
    </w:rPr>
  </w:style>
  <w:style w:type="paragraph" w:styleId="39">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5"/>
    <w:autoRedefine/>
    <w:qFormat/>
    <w:uiPriority w:val="0"/>
    <w:rPr>
      <w:lang w:val="zh-CN"/>
    </w:rPr>
  </w:style>
  <w:style w:type="paragraph" w:styleId="41">
    <w:name w:val="Balloon Text"/>
    <w:basedOn w:val="1"/>
    <w:link w:val="189"/>
    <w:autoRedefine/>
    <w:qFormat/>
    <w:uiPriority w:val="0"/>
    <w:rPr>
      <w:sz w:val="18"/>
      <w:szCs w:val="18"/>
    </w:rPr>
  </w:style>
  <w:style w:type="paragraph" w:styleId="42">
    <w:name w:val="footer"/>
    <w:basedOn w:val="1"/>
    <w:link w:val="384"/>
    <w:autoRedefine/>
    <w:qFormat/>
    <w:uiPriority w:val="99"/>
    <w:pPr>
      <w:tabs>
        <w:tab w:val="center" w:pos="4153"/>
        <w:tab w:val="right" w:pos="8306"/>
      </w:tabs>
      <w:snapToGrid w:val="0"/>
      <w:jc w:val="left"/>
    </w:pPr>
    <w:rPr>
      <w:sz w:val="18"/>
      <w:szCs w:val="18"/>
    </w:rPr>
  </w:style>
  <w:style w:type="paragraph" w:styleId="43">
    <w:name w:val="header"/>
    <w:basedOn w:val="1"/>
    <w:next w:val="44"/>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44">
    <w:name w:val="Quote1"/>
    <w:basedOn w:val="1"/>
    <w:next w:val="1"/>
    <w:autoRedefine/>
    <w:qFormat/>
    <w:uiPriority w:val="99"/>
    <w:pPr>
      <w:widowControl/>
      <w:wordWrap w:val="0"/>
      <w:spacing w:before="200" w:after="160"/>
      <w:ind w:left="864" w:right="864"/>
      <w:jc w:val="center"/>
    </w:pPr>
    <w:rPr>
      <w:rFonts w:ascii="宋体"/>
      <w:i/>
      <w:color w:val="404040"/>
    </w:rPr>
  </w:style>
  <w:style w:type="paragraph" w:styleId="45">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6"/>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3"/>
    <w:autoRedefine/>
    <w:qFormat/>
    <w:uiPriority w:val="0"/>
    <w:pPr>
      <w:spacing w:after="120" w:line="480" w:lineRule="auto"/>
    </w:p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7"/>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正文文本首行缩进 2"/>
    <w:basedOn w:val="26"/>
    <w:autoRedefine/>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2"/>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27"/>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50"/>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2"/>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8"/>
    <w:autoRedefine/>
    <w:qFormat/>
    <w:uiPriority w:val="0"/>
    <w:rPr>
      <w:rFonts w:ascii="宋体"/>
      <w:kern w:val="2"/>
      <w:sz w:val="24"/>
      <w:szCs w:val="21"/>
      <w:lang w:val="zh-CN"/>
    </w:rPr>
  </w:style>
  <w:style w:type="character" w:customStyle="1" w:styleId="183">
    <w:name w:val="标题 9 Char"/>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1"/>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2"/>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1"/>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9"/>
    <w:autoRedefine/>
    <w:qFormat/>
    <w:uiPriority w:val="0"/>
    <w:rPr>
      <w:rFonts w:ascii="黑体" w:hAnsi="Courier New" w:eastAsia="黑体"/>
    </w:rPr>
  </w:style>
  <w:style w:type="character" w:customStyle="1" w:styleId="303">
    <w:name w:val="正文文本 2 Char1"/>
    <w:link w:val="58"/>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39"/>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3"/>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24"/>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1"/>
    <w:autoRedefine/>
    <w:qFormat/>
    <w:uiPriority w:val="0"/>
    <w:rPr>
      <w:kern w:val="2"/>
      <w:sz w:val="21"/>
    </w:rPr>
  </w:style>
  <w:style w:type="character" w:customStyle="1" w:styleId="332">
    <w:name w:val="font31"/>
    <w:basedOn w:val="70"/>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autoRedefine/>
    <w:qFormat/>
    <w:uiPriority w:val="0"/>
    <w:rPr>
      <w:kern w:val="2"/>
      <w:sz w:val="21"/>
      <w:szCs w:val="24"/>
    </w:rPr>
  </w:style>
  <w:style w:type="character" w:customStyle="1" w:styleId="346">
    <w:name w:val="签名 Char"/>
    <w:link w:val="45"/>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basedOn w:val="70"/>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5"/>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2"/>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3"/>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6"/>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704"/>
    <w:next w:val="706"/>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704">
    <w:name w:val="正文1"/>
    <w:basedOn w:val="34"/>
    <w:next w:val="705"/>
    <w:autoRedefine/>
    <w:qFormat/>
    <w:uiPriority w:val="0"/>
    <w:pPr>
      <w:ind w:left="0" w:leftChars="0" w:firstLine="480" w:firstLineChars="200"/>
    </w:pPr>
    <w:rPr>
      <w:rFonts w:ascii="仿宋_GB2312" w:hAnsi="Courier New" w:eastAsia="仿宋_GB2312"/>
      <w:kern w:val="28"/>
      <w:sz w:val="24"/>
    </w:rPr>
  </w:style>
  <w:style w:type="paragraph" w:customStyle="1" w:styleId="705">
    <w:name w:val="标题 21"/>
    <w:basedOn w:val="704"/>
    <w:next w:val="704"/>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706">
    <w:name w:val="正文文本首行缩进 21"/>
    <w:basedOn w:val="703"/>
    <w:autoRedefine/>
    <w:qFormat/>
    <w:uiPriority w:val="99"/>
    <w:pPr>
      <w:spacing w:line="200" w:lineRule="atLeast"/>
      <w:ind w:firstLine="420"/>
    </w:pPr>
    <w:rPr>
      <w:rFonts w:hAnsi="Courier New"/>
      <w:spacing w:val="-4"/>
      <w:sz w:val="18"/>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autoRedefine/>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9"/>
    <w:autoRedefine/>
    <w:qFormat/>
    <w:uiPriority w:val="0"/>
    <w:pPr>
      <w:spacing w:after="120" w:line="480" w:lineRule="auto"/>
      <w:ind w:left="420" w:leftChars="200"/>
    </w:pPr>
    <w:rPr>
      <w:sz w:val="24"/>
      <w:szCs w:val="20"/>
    </w:rPr>
  </w:style>
  <w:style w:type="paragraph" w:customStyle="1" w:styleId="72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jc w:val="left"/>
    </w:pPr>
    <w:rPr>
      <w:szCs w:val="20"/>
    </w:rPr>
  </w:style>
  <w:style w:type="paragraph" w:customStyle="1" w:styleId="741">
    <w:name w:val="Char1 Char Char Char21"/>
    <w:basedOn w:val="1"/>
    <w:autoRedefine/>
    <w:qFormat/>
    <w:uiPriority w:val="0"/>
    <w:rPr>
      <w:rFonts w:ascii="Tahoma" w:hAnsi="Tahoma"/>
      <w:sz w:val="24"/>
      <w:szCs w:val="20"/>
    </w:rPr>
  </w:style>
  <w:style w:type="paragraph" w:customStyle="1" w:styleId="74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autoRedefine/>
    <w:qFormat/>
    <w:uiPriority w:val="0"/>
    <w:pPr>
      <w:spacing w:line="360" w:lineRule="auto"/>
      <w:ind w:firstLine="200" w:firstLineChars="200"/>
    </w:pPr>
    <w:rPr>
      <w:sz w:val="24"/>
    </w:rPr>
  </w:style>
  <w:style w:type="paragraph" w:customStyle="1" w:styleId="74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autoRedefine/>
    <w:qFormat/>
    <w:uiPriority w:val="0"/>
    <w:pPr>
      <w:adjustRightInd/>
      <w:ind w:firstLine="200" w:firstLineChars="200"/>
    </w:pPr>
    <w:rPr>
      <w:rFonts w:ascii="Tahoma" w:hAnsi="Tahoma"/>
      <w:sz w:val="24"/>
      <w:szCs w:val="20"/>
    </w:rPr>
  </w:style>
  <w:style w:type="paragraph" w:customStyle="1" w:styleId="750">
    <w:name w:val="_标题2"/>
    <w:basedOn w:val="717"/>
    <w:next w:val="717"/>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autoRedefine/>
    <w:qFormat/>
    <w:uiPriority w:val="0"/>
    <w:pPr>
      <w:adjustRightInd/>
      <w:spacing w:line="360" w:lineRule="auto"/>
    </w:pPr>
    <w:rPr>
      <w:rFonts w:ascii="宋体" w:hAnsi="宋体"/>
      <w:szCs w:val="20"/>
    </w:rPr>
  </w:style>
  <w:style w:type="paragraph" w:customStyle="1" w:styleId="7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autoRedefine/>
    <w:qFormat/>
    <w:uiPriority w:val="0"/>
    <w:pPr>
      <w:adjustRightInd/>
    </w:pPr>
    <w:rPr>
      <w:rFonts w:ascii="Tahoma" w:hAnsi="Tahoma"/>
      <w:sz w:val="24"/>
    </w:rPr>
  </w:style>
  <w:style w:type="paragraph" w:customStyle="1" w:styleId="758">
    <w:name w:val="Char Char Char Char11"/>
    <w:basedOn w:val="1"/>
    <w:autoRedefine/>
    <w:qFormat/>
    <w:uiPriority w:val="0"/>
    <w:rPr>
      <w:rFonts w:ascii="Tahoma" w:hAnsi="Tahoma"/>
      <w:sz w:val="24"/>
      <w:szCs w:val="20"/>
    </w:rPr>
  </w:style>
  <w:style w:type="paragraph" w:customStyle="1" w:styleId="75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 w:val="24"/>
      <w:szCs w:val="20"/>
    </w:rPr>
  </w:style>
  <w:style w:type="paragraph" w:customStyle="1" w:styleId="76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autoRedefine/>
    <w:qFormat/>
    <w:uiPriority w:val="34"/>
    <w:pPr>
      <w:adjustRightInd/>
      <w:ind w:firstLine="420" w:firstLineChars="20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 w:val="24"/>
      <w:szCs w:val="20"/>
    </w:rPr>
  </w:style>
  <w:style w:type="paragraph" w:customStyle="1" w:styleId="78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autoRedefine/>
    <w:qFormat/>
    <w:uiPriority w:val="0"/>
    <w:pPr>
      <w:widowControl/>
      <w:adjustRightInd/>
    </w:pPr>
    <w:rPr>
      <w:kern w:val="0"/>
      <w:szCs w:val="21"/>
    </w:rPr>
  </w:style>
  <w:style w:type="paragraph" w:customStyle="1" w:styleId="789">
    <w:name w:val="Char6"/>
    <w:basedOn w:val="1"/>
    <w:autoRedefine/>
    <w:qFormat/>
    <w:uiPriority w:val="0"/>
    <w:rPr>
      <w:rFonts w:ascii="仿宋_GB2312" w:eastAsia="仿宋_GB2312"/>
      <w:b/>
      <w:sz w:val="32"/>
      <w:szCs w:val="32"/>
    </w:rPr>
  </w:style>
  <w:style w:type="paragraph" w:customStyle="1" w:styleId="790">
    <w:name w:val="Char111"/>
    <w:basedOn w:val="1"/>
    <w:autoRedefine/>
    <w:qFormat/>
    <w:uiPriority w:val="0"/>
    <w:rPr>
      <w:rFonts w:ascii="仿宋_GB2312" w:eastAsia="仿宋_GB2312"/>
      <w:b/>
      <w:sz w:val="32"/>
      <w:szCs w:val="32"/>
    </w:rPr>
  </w:style>
  <w:style w:type="paragraph" w:customStyle="1" w:styleId="791">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autoRedefine/>
    <w:qFormat/>
    <w:uiPriority w:val="0"/>
    <w:pPr>
      <w:adjustRightInd/>
      <w:ind w:firstLine="200" w:firstLineChars="200"/>
    </w:pPr>
    <w:rPr>
      <w:rFonts w:ascii="Tahoma" w:hAnsi="Tahoma"/>
      <w:sz w:val="24"/>
      <w:szCs w:val="20"/>
    </w:rPr>
  </w:style>
  <w:style w:type="paragraph" w:customStyle="1" w:styleId="79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autoRedefine/>
    <w:qFormat/>
    <w:uiPriority w:val="0"/>
    <w:rPr>
      <w:rFonts w:ascii="仿宋_GB2312" w:eastAsia="仿宋_GB2312"/>
      <w:b/>
      <w:sz w:val="32"/>
      <w:szCs w:val="32"/>
    </w:rPr>
  </w:style>
  <w:style w:type="paragraph" w:customStyle="1" w:styleId="798">
    <w:name w:val="五级条标题"/>
    <w:basedOn w:val="799"/>
    <w:next w:val="641"/>
    <w:autoRedefine/>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6"/>
    <w:next w:val="641"/>
    <w:autoRedefine/>
    <w:qFormat/>
    <w:uiPriority w:val="0"/>
    <w:pPr>
      <w:tabs>
        <w:tab w:val="left" w:pos="2940"/>
        <w:tab w:val="clear" w:pos="2520"/>
      </w:tabs>
      <w:ind w:left="2940"/>
      <w:outlineLvl w:val="5"/>
    </w:pPr>
  </w:style>
  <w:style w:type="paragraph" w:customStyle="1" w:styleId="80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autoRedefine/>
    <w:qFormat/>
    <w:uiPriority w:val="0"/>
    <w:rPr>
      <w:rFonts w:ascii="仿宋_GB2312" w:eastAsia="仿宋_GB2312"/>
      <w:b/>
      <w:sz w:val="32"/>
      <w:szCs w:val="32"/>
    </w:rPr>
  </w:style>
  <w:style w:type="paragraph" w:customStyle="1" w:styleId="80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autoRedefine/>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6">
    <w:name w:val="单元格左对齐"/>
    <w:basedOn w:val="1"/>
    <w:autoRedefine/>
    <w:qFormat/>
    <w:uiPriority w:val="0"/>
    <w:pPr>
      <w:adjustRightInd/>
      <w:spacing w:line="360" w:lineRule="auto"/>
    </w:pPr>
    <w:rPr>
      <w:sz w:val="24"/>
    </w:rPr>
  </w:style>
  <w:style w:type="paragraph" w:customStyle="1" w:styleId="807">
    <w:name w:val="正文主体"/>
    <w:basedOn w:val="625"/>
    <w:autoRedefine/>
    <w:qFormat/>
    <w:uiPriority w:val="0"/>
  </w:style>
  <w:style w:type="paragraph" w:customStyle="1" w:styleId="80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autoRedefine/>
    <w:qFormat/>
    <w:uiPriority w:val="0"/>
    <w:pPr>
      <w:adjustRightInd/>
      <w:spacing w:line="360" w:lineRule="auto"/>
      <w:ind w:firstLine="480" w:firstLineChars="200"/>
    </w:pPr>
    <w:rPr>
      <w:sz w:val="24"/>
      <w:szCs w:val="20"/>
    </w:rPr>
  </w:style>
  <w:style w:type="paragraph" w:customStyle="1" w:styleId="812">
    <w:name w:val="P1"/>
    <w:basedOn w:val="1"/>
    <w:autoRedefine/>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autoRedefine/>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autoRedefine/>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autoRedefine/>
    <w:qFormat/>
    <w:uiPriority w:val="0"/>
    <w:pPr>
      <w:adjustRightInd/>
      <w:ind w:firstLine="200" w:firstLineChars="200"/>
    </w:pPr>
    <w:rPr>
      <w:rFonts w:ascii="Tahoma" w:hAnsi="Tahoma"/>
      <w:sz w:val="24"/>
      <w:szCs w:val="20"/>
    </w:rPr>
  </w:style>
  <w:style w:type="paragraph" w:customStyle="1" w:styleId="83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autoRedefine/>
    <w:qFormat/>
    <w:uiPriority w:val="0"/>
    <w:pPr>
      <w:tabs>
        <w:tab w:val="left" w:pos="0"/>
      </w:tabs>
      <w:ind w:left="900" w:firstLine="0" w:firstLineChars="0"/>
    </w:pPr>
  </w:style>
  <w:style w:type="paragraph" w:customStyle="1" w:styleId="840">
    <w:name w:val="Bulleted List"/>
    <w:basedOn w:val="1"/>
    <w:autoRedefine/>
    <w:qFormat/>
    <w:uiPriority w:val="0"/>
    <w:pPr>
      <w:tabs>
        <w:tab w:val="left" w:pos="1260"/>
      </w:tabs>
      <w:adjustRightInd/>
      <w:ind w:left="1260" w:hanging="420"/>
    </w:pPr>
  </w:style>
  <w:style w:type="paragraph" w:customStyle="1" w:styleId="841">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autoRedefine/>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autoRedefine/>
    <w:qFormat/>
    <w:uiPriority w:val="0"/>
    <w:rPr>
      <w:rFonts w:ascii="Tahoma" w:hAnsi="Tahoma" w:cs="仿宋_GB2312"/>
      <w:sz w:val="24"/>
      <w:szCs w:val="20"/>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18"/>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3"/>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39"/>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3"/>
    <w:autoRedefine/>
    <w:qFormat/>
    <w:uiPriority w:val="0"/>
    <w:rPr>
      <w:b w:val="0"/>
      <w:sz w:val="20"/>
    </w:rPr>
  </w:style>
  <w:style w:type="paragraph" w:customStyle="1" w:styleId="897">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autoRedefine/>
    <w:qFormat/>
    <w:uiPriority w:val="0"/>
    <w:pPr>
      <w:tabs>
        <w:tab w:val="left" w:pos="1080"/>
      </w:tabs>
      <w:ind w:left="1080" w:hanging="1080"/>
    </w:pPr>
  </w:style>
  <w:style w:type="paragraph" w:customStyle="1" w:styleId="900">
    <w:name w:val="数字标题1"/>
    <w:basedOn w:val="3"/>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4"/>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3"/>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Char"/>
    <w:link w:val="40"/>
    <w:autoRedefine/>
    <w:qFormat/>
    <w:uiPriority w:val="0"/>
    <w:rPr>
      <w:kern w:val="2"/>
      <w:sz w:val="21"/>
      <w:szCs w:val="24"/>
      <w:lang w:val="zh-CN"/>
    </w:rPr>
  </w:style>
  <w:style w:type="character" w:customStyle="1" w:styleId="936">
    <w:name w:val="无间隔 Char"/>
    <w:link w:val="484"/>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59"/>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Normal]"/>
    <w:autoRedefine/>
    <w:qFormat/>
    <w:uiPriority w:val="0"/>
    <w:rPr>
      <w:rFonts w:ascii="宋体" w:hAnsi="宋体" w:eastAsia="宋体" w:cs="Times New Roman"/>
      <w:sz w:val="24"/>
      <w:szCs w:val="22"/>
      <w:lang w:val="zh-CN" w:eastAsia="zh-CN" w:bidi="ar-SA"/>
    </w:rPr>
  </w:style>
  <w:style w:type="paragraph" w:customStyle="1" w:styleId="969">
    <w:name w:val="纯文本3"/>
    <w:basedOn w:val="1"/>
    <w:autoRedefine/>
    <w:qFormat/>
    <w:uiPriority w:val="0"/>
    <w:pPr>
      <w:spacing w:beforeLines="50" w:afterLines="50" w:line="400" w:lineRule="exact"/>
    </w:pPr>
    <w:rPr>
      <w:rFonts w:ascii="宋体" w:hAnsi="Courier New"/>
      <w:sz w:val="24"/>
    </w:rPr>
  </w:style>
  <w:style w:type="paragraph" w:customStyle="1" w:styleId="970">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1">
    <w:name w:val="DAS正文"/>
    <w:basedOn w:val="1"/>
    <w:autoRedefine/>
    <w:qFormat/>
    <w:uiPriority w:val="0"/>
    <w:pPr>
      <w:spacing w:line="360" w:lineRule="auto"/>
      <w:ind w:right="181" w:firstLine="480" w:firstLineChars="20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4" Type="http://schemas.openxmlformats.org/officeDocument/2006/relationships/fontTable" Target="fontTable.xml"/><Relationship Id="rId73" Type="http://schemas.openxmlformats.org/officeDocument/2006/relationships/customXml" Target="../customXml/item2.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image" Target="media/image43.png"/><Relationship Id="rId7" Type="http://schemas.openxmlformats.org/officeDocument/2006/relationships/footer" Target="footer3.xml"/><Relationship Id="rId69" Type="http://schemas.openxmlformats.org/officeDocument/2006/relationships/image" Target="media/image42.png"/><Relationship Id="rId68" Type="http://schemas.openxmlformats.org/officeDocument/2006/relationships/image" Target="media/image41.png"/><Relationship Id="rId67" Type="http://schemas.openxmlformats.org/officeDocument/2006/relationships/image" Target="media/image40.png"/><Relationship Id="rId66" Type="http://schemas.openxmlformats.org/officeDocument/2006/relationships/image" Target="media/image39.png"/><Relationship Id="rId65" Type="http://schemas.openxmlformats.org/officeDocument/2006/relationships/image" Target="media/image38.png"/><Relationship Id="rId64" Type="http://schemas.openxmlformats.org/officeDocument/2006/relationships/image" Target="media/image37.png"/><Relationship Id="rId63" Type="http://schemas.openxmlformats.org/officeDocument/2006/relationships/image" Target="media/image36.png"/><Relationship Id="rId62" Type="http://schemas.openxmlformats.org/officeDocument/2006/relationships/image" Target="media/image35.png"/><Relationship Id="rId61" Type="http://schemas.openxmlformats.org/officeDocument/2006/relationships/image" Target="media/image34.png"/><Relationship Id="rId60" Type="http://schemas.openxmlformats.org/officeDocument/2006/relationships/image" Target="media/image33.png"/><Relationship Id="rId6" Type="http://schemas.openxmlformats.org/officeDocument/2006/relationships/footer" Target="footer2.xml"/><Relationship Id="rId59" Type="http://schemas.openxmlformats.org/officeDocument/2006/relationships/image" Target="media/image32.png"/><Relationship Id="rId58" Type="http://schemas.openxmlformats.org/officeDocument/2006/relationships/image" Target="media/image31.png"/><Relationship Id="rId57" Type="http://schemas.openxmlformats.org/officeDocument/2006/relationships/image" Target="media/image30.png"/><Relationship Id="rId56" Type="http://schemas.openxmlformats.org/officeDocument/2006/relationships/image" Target="media/image29.png"/><Relationship Id="rId55" Type="http://schemas.openxmlformats.org/officeDocument/2006/relationships/image" Target="media/image28.png"/><Relationship Id="rId54" Type="http://schemas.openxmlformats.org/officeDocument/2006/relationships/image" Target="media/image27.png"/><Relationship Id="rId53" Type="http://schemas.openxmlformats.org/officeDocument/2006/relationships/image" Target="media/image26.png"/><Relationship Id="rId52" Type="http://schemas.openxmlformats.org/officeDocument/2006/relationships/image" Target="media/image25.png"/><Relationship Id="rId51" Type="http://schemas.openxmlformats.org/officeDocument/2006/relationships/image" Target="media/image24.png"/><Relationship Id="rId50" Type="http://schemas.openxmlformats.org/officeDocument/2006/relationships/image" Target="media/image23.png"/><Relationship Id="rId5" Type="http://schemas.openxmlformats.org/officeDocument/2006/relationships/footer" Target="footer1.xml"/><Relationship Id="rId49" Type="http://schemas.openxmlformats.org/officeDocument/2006/relationships/image" Target="media/image22.png"/><Relationship Id="rId48" Type="http://schemas.openxmlformats.org/officeDocument/2006/relationships/image" Target="media/image21.png"/><Relationship Id="rId47" Type="http://schemas.openxmlformats.org/officeDocument/2006/relationships/image" Target="media/image20.png"/><Relationship Id="rId46" Type="http://schemas.openxmlformats.org/officeDocument/2006/relationships/image" Target="media/image19.png"/><Relationship Id="rId45" Type="http://schemas.openxmlformats.org/officeDocument/2006/relationships/image" Target="media/image18.png"/><Relationship Id="rId44" Type="http://schemas.openxmlformats.org/officeDocument/2006/relationships/image" Target="media/image17.png"/><Relationship Id="rId43" Type="http://schemas.openxmlformats.org/officeDocument/2006/relationships/image" Target="media/image16.png"/><Relationship Id="rId42" Type="http://schemas.openxmlformats.org/officeDocument/2006/relationships/image" Target="media/image15.png"/><Relationship Id="rId41" Type="http://schemas.openxmlformats.org/officeDocument/2006/relationships/image" Target="media/image14.png"/><Relationship Id="rId40" Type="http://schemas.openxmlformats.org/officeDocument/2006/relationships/image" Target="media/image13.png"/><Relationship Id="rId4" Type="http://schemas.openxmlformats.org/officeDocument/2006/relationships/header" Target="header2.xml"/><Relationship Id="rId39" Type="http://schemas.openxmlformats.org/officeDocument/2006/relationships/image" Target="media/image12.png"/><Relationship Id="rId38" Type="http://schemas.openxmlformats.org/officeDocument/2006/relationships/image" Target="media/image11.png"/><Relationship Id="rId37" Type="http://schemas.openxmlformats.org/officeDocument/2006/relationships/image" Target="media/image10.png"/><Relationship Id="rId36" Type="http://schemas.openxmlformats.org/officeDocument/2006/relationships/image" Target="media/image9.png"/><Relationship Id="rId35" Type="http://schemas.openxmlformats.org/officeDocument/2006/relationships/image" Target="media/image8.png"/><Relationship Id="rId34" Type="http://schemas.openxmlformats.org/officeDocument/2006/relationships/image" Target="media/image7.png"/><Relationship Id="rId33" Type="http://schemas.openxmlformats.org/officeDocument/2006/relationships/image" Target="media/image6.png"/><Relationship Id="rId32" Type="http://schemas.openxmlformats.org/officeDocument/2006/relationships/image" Target="media/image5.png"/><Relationship Id="rId31" Type="http://schemas.openxmlformats.org/officeDocument/2006/relationships/image" Target="media/image4.png"/><Relationship Id="rId30" Type="http://schemas.openxmlformats.org/officeDocument/2006/relationships/image" Target="media/image3.png"/><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招标文件--耀华</Company>
  <Pages>114</Pages>
  <Words>57458</Words>
  <Characters>64540</Characters>
  <Lines>279</Lines>
  <Paragraphs>78</Paragraphs>
  <TotalTime>4</TotalTime>
  <ScaleCrop>false</ScaleCrop>
  <LinksUpToDate>false</LinksUpToDate>
  <CharactersWithSpaces>70887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cp:lastModifiedBy>hi</cp:lastModifiedBy>
  <cp:lastPrinted>2023-11-15T07:08:00Z</cp:lastPrinted>
  <dcterms:modified xsi:type="dcterms:W3CDTF">2024-05-07T01:44:19Z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B5C7624A61E84B89BD58E4D3D7E28735_13</vt:lpwstr>
  </property>
</Properties>
</file>