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15BF4">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1F5312FB">
      <w:pPr>
        <w:adjustRightInd/>
        <w:spacing w:line="360" w:lineRule="auto"/>
        <w:jc w:val="center"/>
        <w:rPr>
          <w:rFonts w:hint="eastAsia" w:ascii="宋体" w:hAnsi="宋体" w:eastAsia="宋体" w:cs="宋体"/>
          <w:b/>
          <w:color w:val="auto"/>
          <w:sz w:val="44"/>
          <w:szCs w:val="44"/>
          <w:highlight w:val="none"/>
        </w:rPr>
      </w:pPr>
    </w:p>
    <w:p w14:paraId="7B38F63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b/>
          <w:bCs/>
          <w:color w:val="auto"/>
          <w:sz w:val="48"/>
          <w:szCs w:val="48"/>
          <w:highlight w:val="none"/>
          <w:lang w:eastAsia="zh-CN"/>
        </w:rPr>
        <w:t>杭州市余杭区市场监督管理局产品商品检测服务采购项目</w:t>
      </w:r>
    </w:p>
    <w:p w14:paraId="2B6835B4">
      <w:pPr>
        <w:adjustRightInd/>
        <w:spacing w:line="360" w:lineRule="auto"/>
        <w:jc w:val="center"/>
        <w:rPr>
          <w:rFonts w:hint="eastAsia" w:ascii="宋体" w:hAnsi="宋体" w:eastAsia="宋体" w:cs="宋体"/>
          <w:b/>
          <w:bCs/>
          <w:color w:val="auto"/>
          <w:sz w:val="48"/>
          <w:szCs w:val="48"/>
          <w:highlight w:val="none"/>
        </w:rPr>
      </w:pPr>
    </w:p>
    <w:p w14:paraId="349C29D7">
      <w:pPr>
        <w:adjustRightInd/>
        <w:spacing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 xml:space="preserve">招 标 文 件 </w:t>
      </w:r>
    </w:p>
    <w:p w14:paraId="4C6D3A5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C327D8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：HZZHCG2025-012</w:t>
      </w:r>
    </w:p>
    <w:p w14:paraId="43323F7F">
      <w:pPr>
        <w:adjustRightInd/>
        <w:spacing w:line="360" w:lineRule="auto"/>
        <w:rPr>
          <w:rFonts w:hint="eastAsia" w:ascii="宋体" w:hAnsi="宋体" w:eastAsia="宋体" w:cs="宋体"/>
          <w:color w:val="auto"/>
          <w:sz w:val="28"/>
          <w:szCs w:val="20"/>
          <w:highlight w:val="none"/>
        </w:rPr>
      </w:pPr>
    </w:p>
    <w:p w14:paraId="089DDCBF">
      <w:pPr>
        <w:spacing w:line="360" w:lineRule="auto"/>
        <w:jc w:val="center"/>
        <w:rPr>
          <w:rFonts w:hint="eastAsia" w:ascii="宋体" w:hAnsi="宋体" w:eastAsia="宋体" w:cs="宋体"/>
          <w:b/>
          <w:color w:val="auto"/>
          <w:sz w:val="44"/>
          <w:szCs w:val="44"/>
          <w:highlight w:val="none"/>
        </w:rPr>
      </w:pPr>
    </w:p>
    <w:p w14:paraId="3B54D9E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A6BC2B0">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705A42FB">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67513B7B">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7EEA3C60">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杭州市余杭区市场监督管理局</w:t>
      </w:r>
      <w:r>
        <w:rPr>
          <w:rFonts w:hint="eastAsia" w:ascii="宋体" w:hAnsi="宋体" w:eastAsia="宋体" w:cs="宋体"/>
          <w:color w:val="auto"/>
          <w:sz w:val="36"/>
          <w:szCs w:val="36"/>
          <w:highlight w:val="none"/>
          <w:lang w:eastAsia="zh-CN"/>
        </w:rPr>
        <w:t xml:space="preserve"> </w:t>
      </w:r>
    </w:p>
    <w:p w14:paraId="07DFFCE0">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cs="宋体"/>
          <w:color w:val="auto"/>
          <w:sz w:val="36"/>
          <w:szCs w:val="36"/>
          <w:highlight w:val="none"/>
          <w:lang w:eastAsia="zh-CN"/>
        </w:rPr>
        <w:t>杭州正鸿工程咨询有限公司</w:t>
      </w:r>
    </w:p>
    <w:p w14:paraId="3673B9DC">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七月</w:t>
      </w:r>
    </w:p>
    <w:p w14:paraId="098021A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7779F93">
      <w:pPr>
        <w:rPr>
          <w:rFonts w:hint="eastAsia" w:ascii="宋体" w:hAnsi="宋体" w:eastAsia="宋体" w:cs="宋体"/>
          <w:color w:val="auto"/>
          <w:highlight w:val="none"/>
        </w:rPr>
      </w:pPr>
    </w:p>
    <w:p w14:paraId="781601C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8CF6A56">
      <w:pPr>
        <w:spacing w:line="360" w:lineRule="auto"/>
        <w:rPr>
          <w:rFonts w:hint="eastAsia" w:ascii="宋体" w:hAnsi="宋体" w:eastAsia="宋体" w:cs="宋体"/>
          <w:color w:val="auto"/>
          <w:sz w:val="32"/>
          <w:szCs w:val="32"/>
          <w:highlight w:val="none"/>
        </w:rPr>
      </w:pPr>
    </w:p>
    <w:p w14:paraId="4133B75D">
      <w:pPr>
        <w:spacing w:line="360" w:lineRule="auto"/>
        <w:rPr>
          <w:rFonts w:hint="eastAsia" w:ascii="宋体" w:hAnsi="宋体" w:eastAsia="宋体" w:cs="宋体"/>
          <w:color w:val="auto"/>
          <w:sz w:val="32"/>
          <w:szCs w:val="32"/>
          <w:highlight w:val="none"/>
        </w:rPr>
      </w:pPr>
    </w:p>
    <w:p w14:paraId="3A548D9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C3298D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96F410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AD84A6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E120EA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529325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B86F8D1">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90FA073">
      <w:pPr>
        <w:spacing w:line="360" w:lineRule="auto"/>
        <w:ind w:firstLine="549" w:firstLineChars="229"/>
        <w:rPr>
          <w:rFonts w:hint="eastAsia" w:ascii="宋体" w:hAnsi="宋体" w:eastAsia="宋体" w:cs="宋体"/>
          <w:color w:val="auto"/>
          <w:sz w:val="24"/>
          <w:highlight w:val="none"/>
        </w:rPr>
      </w:pPr>
    </w:p>
    <w:p w14:paraId="5F608633">
      <w:pPr>
        <w:spacing w:line="360" w:lineRule="auto"/>
        <w:ind w:firstLine="549" w:firstLineChars="229"/>
        <w:rPr>
          <w:rFonts w:hint="eastAsia" w:ascii="宋体" w:hAnsi="宋体" w:eastAsia="宋体" w:cs="宋体"/>
          <w:color w:val="auto"/>
          <w:sz w:val="24"/>
          <w:highlight w:val="none"/>
        </w:rPr>
      </w:pPr>
    </w:p>
    <w:p w14:paraId="4BEC8A76">
      <w:pPr>
        <w:spacing w:line="360" w:lineRule="auto"/>
        <w:ind w:firstLine="549" w:firstLineChars="229"/>
        <w:rPr>
          <w:rFonts w:hint="eastAsia" w:ascii="宋体" w:hAnsi="宋体" w:eastAsia="宋体" w:cs="宋体"/>
          <w:color w:val="auto"/>
          <w:sz w:val="24"/>
          <w:highlight w:val="none"/>
        </w:rPr>
      </w:pPr>
    </w:p>
    <w:p w14:paraId="1131BC31">
      <w:pPr>
        <w:spacing w:line="360" w:lineRule="auto"/>
        <w:ind w:firstLine="549" w:firstLineChars="229"/>
        <w:rPr>
          <w:rFonts w:hint="eastAsia" w:ascii="宋体" w:hAnsi="宋体" w:eastAsia="宋体" w:cs="宋体"/>
          <w:color w:val="auto"/>
          <w:sz w:val="24"/>
          <w:highlight w:val="none"/>
        </w:rPr>
      </w:pPr>
    </w:p>
    <w:p w14:paraId="5728B66D">
      <w:pPr>
        <w:spacing w:line="360" w:lineRule="auto"/>
        <w:ind w:firstLine="549" w:firstLineChars="229"/>
        <w:rPr>
          <w:rFonts w:hint="eastAsia" w:ascii="宋体" w:hAnsi="宋体" w:eastAsia="宋体" w:cs="宋体"/>
          <w:color w:val="auto"/>
          <w:sz w:val="24"/>
          <w:highlight w:val="none"/>
        </w:rPr>
      </w:pPr>
    </w:p>
    <w:p w14:paraId="1F1154F3">
      <w:pPr>
        <w:spacing w:line="360" w:lineRule="auto"/>
        <w:ind w:firstLine="549" w:firstLineChars="229"/>
        <w:rPr>
          <w:rFonts w:hint="eastAsia" w:ascii="宋体" w:hAnsi="宋体" w:eastAsia="宋体" w:cs="宋体"/>
          <w:color w:val="auto"/>
          <w:sz w:val="24"/>
          <w:highlight w:val="none"/>
        </w:rPr>
      </w:pPr>
    </w:p>
    <w:p w14:paraId="556BB981">
      <w:pPr>
        <w:spacing w:line="360" w:lineRule="auto"/>
        <w:ind w:firstLine="549" w:firstLineChars="229"/>
        <w:rPr>
          <w:rFonts w:hint="eastAsia" w:ascii="宋体" w:hAnsi="宋体" w:eastAsia="宋体" w:cs="宋体"/>
          <w:color w:val="auto"/>
          <w:sz w:val="24"/>
          <w:highlight w:val="none"/>
        </w:rPr>
      </w:pPr>
    </w:p>
    <w:p w14:paraId="736BD27E">
      <w:pPr>
        <w:spacing w:line="360" w:lineRule="auto"/>
        <w:ind w:firstLine="549" w:firstLineChars="229"/>
        <w:rPr>
          <w:rFonts w:hint="eastAsia" w:ascii="宋体" w:hAnsi="宋体" w:eastAsia="宋体" w:cs="宋体"/>
          <w:color w:val="auto"/>
          <w:sz w:val="24"/>
          <w:highlight w:val="none"/>
        </w:rPr>
      </w:pPr>
    </w:p>
    <w:p w14:paraId="072EEE39">
      <w:pPr>
        <w:spacing w:line="360" w:lineRule="auto"/>
        <w:ind w:firstLine="549" w:firstLineChars="229"/>
        <w:rPr>
          <w:rFonts w:hint="eastAsia" w:ascii="宋体" w:hAnsi="宋体" w:eastAsia="宋体" w:cs="宋体"/>
          <w:color w:val="auto"/>
          <w:sz w:val="24"/>
          <w:highlight w:val="none"/>
        </w:rPr>
      </w:pPr>
    </w:p>
    <w:p w14:paraId="6ED60CD3">
      <w:pPr>
        <w:spacing w:line="360" w:lineRule="auto"/>
        <w:ind w:firstLine="549" w:firstLineChars="229"/>
        <w:rPr>
          <w:rFonts w:hint="eastAsia" w:ascii="宋体" w:hAnsi="宋体" w:eastAsia="宋体" w:cs="宋体"/>
          <w:color w:val="auto"/>
          <w:sz w:val="24"/>
          <w:highlight w:val="none"/>
        </w:rPr>
      </w:pPr>
    </w:p>
    <w:p w14:paraId="78CD3ECB">
      <w:pPr>
        <w:spacing w:line="360" w:lineRule="auto"/>
        <w:ind w:firstLine="549" w:firstLineChars="229"/>
        <w:rPr>
          <w:rFonts w:hint="eastAsia" w:ascii="宋体" w:hAnsi="宋体" w:eastAsia="宋体" w:cs="宋体"/>
          <w:color w:val="auto"/>
          <w:sz w:val="24"/>
          <w:highlight w:val="none"/>
        </w:rPr>
      </w:pPr>
    </w:p>
    <w:p w14:paraId="03EFAE34">
      <w:pPr>
        <w:spacing w:line="360" w:lineRule="auto"/>
        <w:ind w:firstLine="549" w:firstLineChars="229"/>
        <w:rPr>
          <w:rFonts w:hint="eastAsia" w:ascii="宋体" w:hAnsi="宋体" w:eastAsia="宋体" w:cs="宋体"/>
          <w:color w:val="auto"/>
          <w:sz w:val="24"/>
          <w:highlight w:val="none"/>
        </w:rPr>
      </w:pPr>
    </w:p>
    <w:p w14:paraId="3DD2C9DE">
      <w:pPr>
        <w:spacing w:line="360" w:lineRule="auto"/>
        <w:rPr>
          <w:rFonts w:hint="eastAsia" w:ascii="宋体" w:hAnsi="宋体" w:eastAsia="宋体" w:cs="宋体"/>
          <w:color w:val="auto"/>
          <w:sz w:val="24"/>
          <w:highlight w:val="none"/>
        </w:rPr>
      </w:pPr>
    </w:p>
    <w:bookmarkEnd w:id="2"/>
    <w:p w14:paraId="2D06FFDA">
      <w:pPr>
        <w:pStyle w:val="2"/>
        <w:rPr>
          <w:rFonts w:hint="eastAsia" w:ascii="宋体" w:hAnsi="宋体" w:eastAsia="宋体" w:cs="宋体"/>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74" w:bottom="1247" w:left="1418" w:header="851" w:footer="992" w:gutter="0"/>
          <w:pgNumType w:fmt="decimal"/>
          <w:cols w:space="720" w:num="1"/>
          <w:titlePg/>
          <w:docGrid w:linePitch="312" w:charSpace="0"/>
        </w:sect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p>
    <w:p w14:paraId="3164F7F9">
      <w:pPr>
        <w:pStyle w:val="2"/>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第一部分 招标公告</w:t>
      </w:r>
    </w:p>
    <w:p w14:paraId="072E3F1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081A4EA">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杭州市余杭区市场监督管理局产品商品检测服务采购项目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"https://www.zcygov.cn/）获取（下载）招标文件，并于202%20年%20月%20日%20点%20分00秒" </w:instrText>
      </w:r>
      <w:r>
        <w:rPr>
          <w:rFonts w:hint="eastAsia" w:ascii="宋体" w:hAnsi="宋体" w:eastAsia="宋体" w:cs="宋体"/>
          <w:color w:val="auto"/>
          <w:highlight w:val="none"/>
          <w:u w:val="single"/>
        </w:rPr>
        <w:fldChar w:fldCharType="separate"/>
      </w:r>
      <w:r>
        <w:rPr>
          <w:rStyle w:val="77"/>
          <w:rFonts w:hint="eastAsia" w:ascii="宋体" w:hAnsi="宋体" w:eastAsia="宋体" w:cs="宋体"/>
          <w:color w:val="auto"/>
          <w:kern w:val="2"/>
          <w:sz w:val="24"/>
          <w:szCs w:val="24"/>
          <w:highlight w:val="none"/>
          <w:u w:val="single"/>
        </w:rPr>
        <w:t>https://www.zcygov.cn/）获取（下载）招标文件，并于20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08月05日14点00分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Style w:val="77"/>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2CB319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A03072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HZZHCG2025-012</w:t>
      </w:r>
    </w:p>
    <w:p w14:paraId="30BB761B">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 xml:space="preserve"> </w:t>
      </w:r>
      <w:r>
        <w:rPr>
          <w:rFonts w:hint="eastAsia" w:ascii="宋体" w:hAnsi="宋体" w:cs="宋体"/>
          <w:color w:val="auto"/>
          <w:sz w:val="24"/>
          <w:highlight w:val="none"/>
          <w:lang w:eastAsia="zh-CN"/>
        </w:rPr>
        <w:t>杭州市余杭区市场监督管理局产品商品检测服务采购项目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07E68C2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900000</w:t>
      </w:r>
      <w:r>
        <w:rPr>
          <w:rFonts w:hint="eastAsia" w:ascii="宋体" w:hAnsi="宋体" w:eastAsia="宋体" w:cs="宋体"/>
          <w:color w:val="auto"/>
          <w:sz w:val="24"/>
          <w:highlight w:val="none"/>
          <w:lang w:eastAsia="zh-CN"/>
        </w:rPr>
        <w:t>.00</w:t>
      </w:r>
    </w:p>
    <w:p w14:paraId="44C6F98D">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900000</w:t>
      </w:r>
      <w:r>
        <w:rPr>
          <w:rFonts w:hint="eastAsia" w:ascii="宋体" w:hAnsi="宋体" w:eastAsia="宋体" w:cs="宋体"/>
          <w:color w:val="auto"/>
          <w:sz w:val="24"/>
          <w:highlight w:val="none"/>
          <w:lang w:eastAsia="zh-CN"/>
        </w:rPr>
        <w:t>.00</w:t>
      </w:r>
    </w:p>
    <w:p w14:paraId="2CC4B31A">
      <w:pPr>
        <w:pStyle w:val="15"/>
        <w:spacing w:line="360" w:lineRule="auto"/>
        <w:ind w:firstLine="480"/>
        <w:rPr>
          <w:rFonts w:hint="eastAsia" w:ascii="宋体" w:hAnsi="宋体" w:eastAsia="宋体" w:cs="宋体"/>
          <w:b/>
          <w:color w:val="auto"/>
          <w:sz w:val="24"/>
          <w:szCs w:val="32"/>
          <w:highlight w:val="none"/>
        </w:rPr>
      </w:pPr>
      <w:r>
        <w:rPr>
          <w:rFonts w:hint="eastAsia" w:ascii="宋体" w:hAnsi="宋体" w:eastAsia="宋体" w:cs="宋体"/>
          <w:b/>
          <w:color w:val="auto"/>
          <w:sz w:val="24"/>
          <w:highlight w:val="none"/>
        </w:rPr>
        <w:t>采购需求：</w:t>
      </w:r>
      <w:r>
        <w:rPr>
          <w:rFonts w:hint="eastAsia" w:hAnsi="宋体" w:cs="宋体"/>
          <w:b w:val="0"/>
          <w:bCs/>
          <w:color w:val="auto"/>
          <w:sz w:val="24"/>
          <w:highlight w:val="none"/>
          <w:lang w:eastAsia="zh-CN"/>
        </w:rPr>
        <w:t>杭州市余杭区市场监督管理局</w:t>
      </w:r>
      <w:r>
        <w:rPr>
          <w:rFonts w:hint="eastAsia" w:ascii="宋体" w:hAnsi="宋体" w:eastAsia="宋体" w:cs="宋体"/>
          <w:b w:val="0"/>
          <w:bCs/>
          <w:color w:val="auto"/>
          <w:sz w:val="24"/>
          <w:highlight w:val="none"/>
          <w:lang w:eastAsia="zh-CN"/>
        </w:rPr>
        <w:t>的</w:t>
      </w:r>
      <w:r>
        <w:rPr>
          <w:rFonts w:hint="eastAsia" w:hAnsi="宋体" w:cs="宋体"/>
          <w:bCs/>
          <w:color w:val="auto"/>
          <w:kern w:val="2"/>
          <w:sz w:val="24"/>
          <w:szCs w:val="24"/>
          <w:highlight w:val="none"/>
          <w:lang w:eastAsia="zh-CN"/>
        </w:rPr>
        <w:t>杭州市余杭区市场监督管理局产品商品检测服务采购项目</w:t>
      </w:r>
      <w:r>
        <w:rPr>
          <w:rFonts w:hint="eastAsia" w:ascii="宋体" w:hAnsi="宋体" w:eastAsia="宋体" w:cs="宋体"/>
          <w:bCs/>
          <w:color w:val="auto"/>
          <w:kern w:val="2"/>
          <w:sz w:val="24"/>
          <w:szCs w:val="24"/>
          <w:highlight w:val="none"/>
          <w:lang w:eastAsia="zh-CN"/>
        </w:rPr>
        <w:t>，具体以招标文件第三部分采购需求为准，供应商可点击本公告下方“浏览采购文件”查看采购需求。</w:t>
      </w:r>
    </w:p>
    <w:p w14:paraId="52453E8F">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sz w:val="24"/>
          <w:highlight w:val="none"/>
        </w:rPr>
        <w:t>简要规格描述或项目基本概况介绍、用途：</w:t>
      </w:r>
      <w:r>
        <w:rPr>
          <w:rFonts w:hint="eastAsia" w:ascii="宋体" w:hAnsi="宋体" w:cs="宋体"/>
          <w:b w:val="0"/>
          <w:bCs/>
          <w:sz w:val="24"/>
          <w:highlight w:val="none"/>
          <w:lang w:eastAsia="zh-CN"/>
        </w:rPr>
        <w:t>杭州市余杭区市场监督管理局产品商品检测服务采购项目</w:t>
      </w:r>
      <w:r>
        <w:rPr>
          <w:rFonts w:hint="eastAsia" w:ascii="宋体" w:hAnsi="宋体" w:eastAsia="宋体" w:cs="宋体"/>
          <w:b w:val="0"/>
          <w:bCs/>
          <w:sz w:val="24"/>
          <w:highlight w:val="none"/>
        </w:rPr>
        <w:t>，具体以招标文件第三部分采购需求为准，供应商可点击本公告下方“浏览采购文件”查看采购需求。</w:t>
      </w:r>
    </w:p>
    <w:p w14:paraId="1E7B5C33">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szCs w:val="32"/>
          <w:highlight w:val="none"/>
        </w:rPr>
        <w:t>合同履约期限：</w:t>
      </w:r>
      <w:r>
        <w:rPr>
          <w:rFonts w:hint="eastAsia" w:ascii="宋体" w:hAnsi="宋体" w:eastAsia="宋体" w:cs="宋体"/>
          <w:b w:val="0"/>
          <w:bCs/>
          <w:color w:val="auto"/>
          <w:sz w:val="24"/>
          <w:highlight w:val="none"/>
          <w:lang w:val="en-US" w:eastAsia="zh-CN"/>
        </w:rPr>
        <w:t>详见招标文件“第三部分 采购需求”</w:t>
      </w:r>
      <w:r>
        <w:rPr>
          <w:rFonts w:hint="eastAsia" w:ascii="宋体" w:hAnsi="宋体" w:eastAsia="宋体" w:cs="宋体"/>
          <w:b/>
          <w:bCs/>
          <w:color w:val="auto"/>
          <w:sz w:val="24"/>
          <w:highlight w:val="none"/>
          <w:lang w:val="en-US" w:eastAsia="zh-CN"/>
        </w:rPr>
        <w:t>。</w:t>
      </w:r>
    </w:p>
    <w:p w14:paraId="10DE041E">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F58C60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23E1D3C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30AC511D">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119FB29B">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9739D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69D82506">
      <w:pPr>
        <w:spacing w:line="360" w:lineRule="auto"/>
        <w:ind w:firstLine="480" w:firstLineChars="200"/>
        <w:rPr>
          <w:rFonts w:hint="eastAsia" w:ascii="宋体" w:hAnsi="宋体" w:eastAsia="宋体" w:cs="宋体"/>
          <w:b w:val="0"/>
          <w:bCs w:val="0"/>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sym w:font="Wingdings" w:char="00A8"/>
      </w:r>
      <w:r>
        <w:rPr>
          <w:rFonts w:hint="eastAsia" w:ascii="宋体" w:hAnsi="宋体" w:eastAsia="宋体" w:cs="宋体"/>
          <w:b w:val="0"/>
          <w:bCs w:val="0"/>
          <w:snapToGrid w:val="0"/>
          <w:color w:val="auto"/>
          <w:kern w:val="28"/>
          <w:sz w:val="24"/>
          <w:szCs w:val="20"/>
          <w:highlight w:val="none"/>
        </w:rPr>
        <w:t>专门面向中小企业</w:t>
      </w:r>
    </w:p>
    <w:p w14:paraId="06BCD058">
      <w:pPr>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snapToGrid w:val="0"/>
          <w:color w:val="auto"/>
          <w:kern w:val="28"/>
          <w:sz w:val="24"/>
          <w:szCs w:val="20"/>
          <w:highlight w:val="none"/>
        </w:rPr>
        <w:sym w:font="Wingdings" w:char="00A8"/>
      </w:r>
      <w:r>
        <w:rPr>
          <w:rFonts w:hint="eastAsia" w:ascii="宋体" w:hAnsi="宋体" w:eastAsia="宋体" w:cs="宋体"/>
          <w:b w:val="0"/>
          <w:bCs w:val="0"/>
          <w:snapToGrid w:val="0"/>
          <w:color w:val="auto"/>
          <w:kern w:val="28"/>
          <w:sz w:val="24"/>
          <w:szCs w:val="20"/>
          <w:highlight w:val="none"/>
        </w:rPr>
        <w:t>服务全</w:t>
      </w:r>
      <w:r>
        <w:rPr>
          <w:rFonts w:hint="eastAsia" w:ascii="宋体" w:hAnsi="宋体" w:eastAsia="宋体" w:cs="宋体"/>
          <w:b w:val="0"/>
          <w:bCs w:val="0"/>
          <w:color w:val="auto"/>
          <w:sz w:val="24"/>
          <w:highlight w:val="none"/>
        </w:rPr>
        <w:t>部由符合政策要求的中小企业承接，提供中小企业声明函；</w:t>
      </w:r>
    </w:p>
    <w:p w14:paraId="5FC0E6FF">
      <w:pPr>
        <w:spacing w:line="360" w:lineRule="auto"/>
        <w:ind w:firstLine="960" w:firstLineChars="400"/>
        <w:rPr>
          <w:rFonts w:hint="eastAsia" w:ascii="宋体" w:hAnsi="宋体" w:eastAsia="宋体" w:cs="宋体"/>
          <w:b/>
          <w:bCs/>
          <w:color w:val="auto"/>
          <w:sz w:val="24"/>
          <w:highlight w:val="none"/>
        </w:rPr>
      </w:pPr>
      <w:bookmarkStart w:id="10" w:name="OLE_LINK5"/>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sz w:val="24"/>
          <w:highlight w:val="none"/>
        </w:rPr>
        <w:t>服务全部由符合政策要求的小微企业承接，提供</w:t>
      </w:r>
      <w:r>
        <w:rPr>
          <w:rFonts w:hint="eastAsia" w:ascii="宋体" w:hAnsi="宋体" w:eastAsia="宋体" w:cs="宋体"/>
          <w:b w:val="0"/>
          <w:bCs w:val="0"/>
          <w:color w:val="auto"/>
          <w:sz w:val="24"/>
          <w:highlight w:val="none"/>
          <w:lang w:val="en-US" w:eastAsia="zh-CN"/>
        </w:rPr>
        <w:t>小微</w:t>
      </w:r>
      <w:r>
        <w:rPr>
          <w:rFonts w:hint="eastAsia" w:ascii="宋体" w:hAnsi="宋体" w:eastAsia="宋体" w:cs="宋体"/>
          <w:b w:val="0"/>
          <w:bCs w:val="0"/>
          <w:color w:val="auto"/>
          <w:sz w:val="24"/>
          <w:highlight w:val="none"/>
        </w:rPr>
        <w:t>企业声明函；</w:t>
      </w:r>
      <w:bookmarkEnd w:id="10"/>
    </w:p>
    <w:p w14:paraId="3351BD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snapToGrid w:val="0"/>
          <w:color w:val="auto"/>
          <w:kern w:val="28"/>
          <w:sz w:val="24"/>
          <w:szCs w:val="20"/>
          <w:highlight w:val="none"/>
        </w:rPr>
        <w:sym w:font="Wingdings" w:char="00FE"/>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rPr>
        <w:t>%，小微企业合同金额应当达到</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110B87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879D00F">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4.本项目的特定资格要求：</w:t>
      </w:r>
      <w:r>
        <w:rPr>
          <w:rFonts w:hint="eastAsia" w:ascii="宋体" w:hAnsi="宋体" w:eastAsia="宋体" w:cs="宋体"/>
          <w:b/>
          <w:bCs/>
          <w:color w:val="auto"/>
          <w:sz w:val="24"/>
          <w:highlight w:val="none"/>
          <w:lang w:val="en-US" w:eastAsia="zh-CN"/>
        </w:rPr>
        <w:t>无。</w:t>
      </w:r>
    </w:p>
    <w:p w14:paraId="5D1A7F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9ABDED">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C12621F">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08月05日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5DA4722">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A66BDB3">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FFAC46A">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4B811DFD">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FDB9FFE">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08月05日14点00分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1BE28106">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58AF0F26">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08月05日14点00分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22936163">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val="en-US" w:eastAsia="zh-CN"/>
        </w:rPr>
        <w:t>登陆</w:t>
      </w:r>
      <w:r>
        <w:rPr>
          <w:rFonts w:hint="eastAsia" w:ascii="宋体" w:hAnsi="宋体" w:eastAsia="宋体" w:cs="宋体"/>
          <w:b w:val="0"/>
          <w:bCs/>
          <w:color w:val="auto"/>
          <w:sz w:val="24"/>
          <w:highlight w:val="none"/>
        </w:rPr>
        <w:t>政</w:t>
      </w:r>
      <w:r>
        <w:rPr>
          <w:rFonts w:hint="eastAsia" w:ascii="宋体" w:hAnsi="宋体" w:eastAsia="宋体" w:cs="宋体"/>
          <w:color w:val="auto"/>
          <w:sz w:val="24"/>
          <w:highlight w:val="none"/>
        </w:rPr>
        <w:t>采云平台（https://www.zcygov.cn/）开标大厅等候</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解密</w:t>
      </w:r>
      <w:r>
        <w:rPr>
          <w:rFonts w:hint="eastAsia" w:ascii="宋体" w:hAnsi="宋体" w:eastAsia="宋体" w:cs="宋体"/>
          <w:color w:val="auto"/>
          <w:sz w:val="24"/>
          <w:highlight w:val="none"/>
          <w:lang w:val="en-US" w:eastAsia="zh-CN"/>
        </w:rPr>
        <w:t>；</w:t>
      </w:r>
    </w:p>
    <w:p w14:paraId="0F4E3694">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w:t>
      </w:r>
      <w:bookmarkStart w:id="11" w:name="OLE_LINK8"/>
      <w:r>
        <w:rPr>
          <w:rFonts w:hint="eastAsia" w:ascii="宋体" w:hAnsi="宋体" w:eastAsia="宋体" w:cs="宋体"/>
          <w:b/>
          <w:color w:val="auto"/>
          <w:sz w:val="24"/>
          <w:highlight w:val="none"/>
        </w:rPr>
        <w:t>公告期限</w:t>
      </w:r>
      <w:bookmarkEnd w:id="11"/>
      <w:r>
        <w:rPr>
          <w:rFonts w:hint="eastAsia" w:ascii="宋体" w:hAnsi="宋体" w:eastAsia="宋体" w:cs="宋体"/>
          <w:b/>
          <w:color w:val="auto"/>
          <w:sz w:val="24"/>
          <w:highlight w:val="none"/>
        </w:rPr>
        <w:t xml:space="preserve"> </w:t>
      </w:r>
    </w:p>
    <w:p w14:paraId="6AB56979">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5CA398F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0A993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312D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6FFE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7B1F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0CE863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F8DD7CA">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1.采购人信息</w:t>
      </w:r>
    </w:p>
    <w:p w14:paraId="54E458F4">
      <w:pPr>
        <w:widowControl/>
        <w:wordWrap/>
        <w:spacing w:line="336"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杭州市余杭区市场监督管理局</w:t>
      </w:r>
    </w:p>
    <w:p w14:paraId="51DA6C64">
      <w:pPr>
        <w:wordWrap/>
        <w:snapToGrid w:val="0"/>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杭州市余杭区</w:t>
      </w:r>
      <w:r>
        <w:rPr>
          <w:rFonts w:hint="eastAsia" w:ascii="宋体" w:hAnsi="宋体" w:eastAsia="宋体" w:cs="宋体"/>
          <w:color w:val="auto"/>
          <w:sz w:val="24"/>
          <w:highlight w:val="none"/>
          <w:lang w:val="en-US" w:eastAsia="zh-CN"/>
        </w:rPr>
        <w:t>文一西路1500号5号楼</w:t>
      </w:r>
    </w:p>
    <w:p w14:paraId="3D24C7D9">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项目联系人</w:t>
      </w:r>
      <w:r>
        <w:rPr>
          <w:rFonts w:hint="eastAsia" w:ascii="宋体" w:hAnsi="宋体" w:eastAsia="宋体" w:cs="宋体"/>
          <w:b w:val="0"/>
          <w:bCs w:val="0"/>
          <w:color w:val="auto"/>
          <w:kern w:val="2"/>
          <w:sz w:val="24"/>
          <w:szCs w:val="24"/>
          <w:highlight w:val="none"/>
          <w:lang w:val="en-US" w:eastAsia="zh-CN" w:bidi="ar-SA"/>
        </w:rPr>
        <w:t>（询问）</w:t>
      </w:r>
      <w:r>
        <w:rPr>
          <w:rFonts w:hint="eastAsia" w:ascii="宋体" w:hAnsi="宋体" w:eastAsia="宋体" w:cs="宋体"/>
          <w:b w:val="0"/>
          <w:bCs w:val="0"/>
          <w:color w:val="auto"/>
          <w:sz w:val="24"/>
          <w:highlight w:val="none"/>
        </w:rPr>
        <w:t>：孟瑶</w:t>
      </w:r>
      <w:r>
        <w:rPr>
          <w:rFonts w:hint="eastAsia" w:ascii="宋体" w:hAnsi="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：0571-89517981</w:t>
      </w:r>
      <w:r>
        <w:rPr>
          <w:rFonts w:hint="eastAsia" w:ascii="宋体" w:hAnsi="宋体" w:cs="宋体"/>
          <w:color w:val="auto"/>
          <w:sz w:val="24"/>
          <w:highlight w:val="none"/>
          <w:lang w:val="en-US" w:eastAsia="zh-CN"/>
        </w:rPr>
        <w:t>  </w:t>
      </w:r>
      <w:r>
        <w:rPr>
          <w:rFonts w:hint="eastAsia" w:ascii="宋体" w:hAnsi="宋体" w:cs="宋体"/>
          <w:color w:val="000000"/>
          <w:sz w:val="24"/>
          <w:lang w:val="en-US" w:eastAsia="zh-CN"/>
        </w:rPr>
        <w:t xml:space="preserve"> </w:t>
      </w:r>
    </w:p>
    <w:p w14:paraId="74AD8175">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质疑联系人：徐庭巧</w:t>
      </w:r>
      <w:r>
        <w:rPr>
          <w:rFonts w:hint="eastAsia" w:ascii="宋体" w:hAnsi="宋体" w:cs="宋体"/>
          <w:b w:val="0"/>
          <w:bCs w:val="0"/>
          <w:color w:val="auto"/>
          <w:sz w:val="24"/>
          <w:highlight w:val="none"/>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w:t>
      </w:r>
      <w:r>
        <w:rPr>
          <w:rFonts w:hint="eastAsia" w:ascii="宋体" w:hAnsi="宋体" w:cs="宋体"/>
          <w:color w:val="000000"/>
          <w:sz w:val="24"/>
          <w:lang w:val="en-US" w:eastAsia="zh-CN"/>
        </w:rPr>
        <w:t>0571-89517914</w:t>
      </w:r>
    </w:p>
    <w:p w14:paraId="0FD82FAE">
      <w:pPr>
        <w:wordWrap/>
        <w:snapToGrid/>
        <w:spacing w:line="336" w:lineRule="auto"/>
        <w:ind w:firstLine="482" w:firstLineChars="200"/>
        <w:textAlignment w:val="auto"/>
        <w:rPr>
          <w:rFonts w:hint="eastAsia" w:ascii="宋体" w:hAnsi="宋体" w:eastAsia="宋体" w:cs="宋体"/>
          <w:b/>
          <w:bCs/>
          <w:color w:val="auto"/>
          <w:sz w:val="24"/>
          <w:highlight w:val="none"/>
          <w:lang w:val="en-US" w:eastAsia="zh-CN"/>
        </w:rPr>
      </w:pPr>
    </w:p>
    <w:p w14:paraId="28B1A836">
      <w:pPr>
        <w:wordWrap/>
        <w:snapToGrid/>
        <w:spacing w:line="336"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.采购代理机构信息            </w:t>
      </w:r>
    </w:p>
    <w:p w14:paraId="3ED39234">
      <w:pPr>
        <w:wordWrap/>
        <w:snapToGrid/>
        <w:spacing w:line="336"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杭州正鸿工程咨询有限公司</w:t>
      </w:r>
    </w:p>
    <w:p w14:paraId="69B27D3B">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杭州市余杭区仓前街道龙园路88号1幢1楼186室</w:t>
      </w:r>
    </w:p>
    <w:p w14:paraId="68FFBE80">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项目联系人（询问）：</w:t>
      </w:r>
      <w:r>
        <w:rPr>
          <w:rFonts w:hint="eastAsia" w:ascii="宋体" w:hAnsi="宋体" w:cs="宋体"/>
          <w:b w:val="0"/>
          <w:bCs w:val="0"/>
          <w:color w:val="auto"/>
          <w:kern w:val="2"/>
          <w:sz w:val="24"/>
          <w:szCs w:val="24"/>
          <w:highlight w:val="none"/>
          <w:lang w:val="en-US" w:eastAsia="zh-CN" w:bidi="ar-SA"/>
        </w:rPr>
        <w:t>贺胜杰</w:t>
      </w:r>
      <w:r>
        <w:rPr>
          <w:rFonts w:hint="eastAsia" w:ascii="宋体" w:hAnsi="宋体" w:eastAsia="宋体" w:cs="宋体"/>
          <w:b w:val="0"/>
          <w:bCs w:val="0"/>
          <w:color w:val="auto"/>
          <w:kern w:val="2"/>
          <w:sz w:val="24"/>
          <w:szCs w:val="24"/>
          <w:highlight w:val="none"/>
          <w:lang w:val="en-US" w:eastAsia="zh-CN" w:bidi="ar-SA"/>
        </w:rPr>
        <w:t xml:space="preserve">    联系方式</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13738009078</w:t>
      </w:r>
    </w:p>
    <w:p w14:paraId="4ED4CF15">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王工</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cs="宋体"/>
          <w:color w:val="auto"/>
          <w:sz w:val="24"/>
          <w:highlight w:val="none"/>
          <w:lang w:val="en-US" w:eastAsia="zh-CN"/>
        </w:rPr>
        <w:t>13805738712</w:t>
      </w:r>
    </w:p>
    <w:p w14:paraId="02176F56">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1D108368">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3FBE80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bookmarkStart w:id="12" w:name="OLE_LINK1"/>
      <w:r>
        <w:rPr>
          <w:rFonts w:hint="eastAsia" w:ascii="宋体" w:hAnsi="宋体" w:eastAsia="宋体" w:cs="宋体"/>
          <w:color w:val="auto"/>
          <w:sz w:val="24"/>
          <w:highlight w:val="none"/>
        </w:rPr>
        <w:t>杭州市余杭区财政局、浙江省政府采购行政裁决服务中心</w:t>
      </w:r>
      <w:bookmarkEnd w:id="12"/>
      <w:r>
        <w:rPr>
          <w:rFonts w:hint="eastAsia" w:ascii="宋体" w:hAnsi="宋体" w:eastAsia="宋体" w:cs="宋体"/>
          <w:color w:val="auto"/>
          <w:sz w:val="24"/>
          <w:highlight w:val="none"/>
        </w:rPr>
        <w:t>（杭州）</w:t>
      </w:r>
    </w:p>
    <w:p w14:paraId="33B41DA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lang w:eastAsia="zh-CN"/>
        </w:rPr>
        <w:t>杭州市上城区清泰街549号城建综合大楼11楼（快递仅限ems或顺丰）</w:t>
      </w:r>
    </w:p>
    <w:p w14:paraId="131FD20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匡老师          </w:t>
      </w: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 xml:space="preserve">0571-87807798 </w:t>
      </w:r>
      <w:r>
        <w:rPr>
          <w:rFonts w:hint="eastAsia" w:ascii="宋体" w:hAnsi="宋体" w:eastAsia="宋体" w:cs="宋体"/>
          <w:color w:val="auto"/>
          <w:sz w:val="24"/>
          <w:highlight w:val="none"/>
        </w:rPr>
        <w:t xml:space="preserve">   </w:t>
      </w:r>
    </w:p>
    <w:p w14:paraId="4FAF4D44">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24B1CBFC">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546F1AC">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569BE78">
      <w:pPr>
        <w:spacing w:line="360" w:lineRule="auto"/>
        <w:ind w:firstLine="723" w:firstLineChars="20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2815109">
      <w:pPr>
        <w:pStyle w:val="2"/>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第二部分</w:t>
      </w:r>
      <w:bookmarkEnd w:id="7"/>
      <w:r>
        <w:rPr>
          <w:rFonts w:hint="eastAsia" w:ascii="宋体" w:hAnsi="宋体" w:eastAsia="宋体" w:cs="宋体"/>
          <w:color w:val="auto"/>
          <w:sz w:val="36"/>
          <w:szCs w:val="20"/>
          <w:highlight w:val="none"/>
        </w:rPr>
        <w:t xml:space="preserve"> 投标人须知</w:t>
      </w:r>
      <w:bookmarkEnd w:id="8"/>
    </w:p>
    <w:p w14:paraId="4AD229A9">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9"/>
    <w:tbl>
      <w:tblPr>
        <w:tblStyle w:val="63"/>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784E7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03452EB5">
            <w:pPr>
              <w:snapToGrid w:val="0"/>
              <w:spacing w:before="0" w:beforeAutospacing="0" w:after="0" w:afterAutospacing="0" w:line="240" w:lineRule="auto"/>
              <w:ind w:left="0" w:right="0"/>
              <w:jc w:val="center"/>
              <w:rPr>
                <w:rFonts w:hint="eastAsia" w:ascii="宋体" w:hAnsi="宋体" w:eastAsia="宋体" w:cs="宋体"/>
                <w:b/>
                <w:color w:val="auto"/>
                <w:sz w:val="24"/>
                <w:szCs w:val="20"/>
                <w:highlight w:val="none"/>
              </w:rPr>
            </w:pPr>
            <w:bookmarkStart w:id="13" w:name="_Toc164416483"/>
            <w:bookmarkStart w:id="14" w:name="第三部分"/>
            <w:r>
              <w:rPr>
                <w:rFonts w:hint="eastAsia" w:ascii="宋体" w:hAnsi="宋体" w:eastAsia="宋体" w:cs="宋体"/>
                <w:b/>
                <w:color w:val="auto"/>
                <w:sz w:val="24"/>
                <w:szCs w:val="20"/>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7309AFE8">
            <w:pPr>
              <w:snapToGrid w:val="0"/>
              <w:spacing w:before="0" w:beforeAutospacing="0" w:after="0" w:afterAutospacing="0" w:line="24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3A4D016B">
            <w:pPr>
              <w:snapToGrid w:val="0"/>
              <w:spacing w:before="0" w:beforeAutospacing="0" w:after="0" w:afterAutospacing="0" w:line="24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本项目的特别规定</w:t>
            </w:r>
          </w:p>
        </w:tc>
      </w:tr>
      <w:tr w14:paraId="48BAE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287D7F1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596597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3A5EF4ED">
            <w:pPr>
              <w:spacing w:before="0" w:beforeAutospacing="0" w:after="0" w:afterAutospacing="0" w:line="360" w:lineRule="auto"/>
              <w:ind w:left="0" w:right="0" w:firstLine="241" w:firstLineChars="100"/>
              <w:jc w:val="both"/>
              <w:rPr>
                <w:rFonts w:hint="eastAsia" w:ascii="宋体" w:hAnsi="宋体" w:eastAsia="宋体" w:cs="宋体"/>
                <w:color w:val="auto"/>
                <w:sz w:val="24"/>
                <w:szCs w:val="20"/>
                <w:highlight w:val="none"/>
              </w:rPr>
            </w:pPr>
            <w:r>
              <w:rPr>
                <w:rFonts w:hint="eastAsia" w:ascii="宋体" w:hAnsi="宋体" w:eastAsia="宋体" w:cs="宋体"/>
                <w:b/>
                <w:bCs/>
                <w:color w:val="auto"/>
                <w:sz w:val="24"/>
                <w:szCs w:val="20"/>
                <w:highlight w:val="none"/>
              </w:rPr>
              <w:t>服务类</w:t>
            </w:r>
            <w:r>
              <w:rPr>
                <w:rFonts w:hint="eastAsia" w:ascii="宋体" w:hAnsi="宋体" w:eastAsia="宋体" w:cs="宋体"/>
                <w:b/>
                <w:bCs/>
                <w:color w:val="auto"/>
                <w:sz w:val="24"/>
                <w:szCs w:val="20"/>
                <w:highlight w:val="none"/>
                <w:lang w:val="en-US" w:eastAsia="zh-CN"/>
              </w:rPr>
              <w:t>；</w:t>
            </w:r>
          </w:p>
        </w:tc>
      </w:tr>
      <w:tr w14:paraId="713F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5" w:hRule="atLeast"/>
        </w:trPr>
        <w:tc>
          <w:tcPr>
            <w:tcW w:w="820" w:type="dxa"/>
            <w:tcBorders>
              <w:top w:val="single" w:color="auto" w:sz="4" w:space="0"/>
              <w:left w:val="single" w:color="auto" w:sz="4" w:space="0"/>
              <w:bottom w:val="single" w:color="auto" w:sz="4" w:space="0"/>
              <w:right w:val="single" w:color="auto" w:sz="4" w:space="0"/>
            </w:tcBorders>
            <w:vAlign w:val="center"/>
          </w:tcPr>
          <w:p w14:paraId="21797C9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0BAED485">
            <w:pPr>
              <w:snapToGrid w:val="0"/>
              <w:spacing w:before="0" w:beforeAutospacing="0" w:after="0" w:afterAutospacing="0" w:line="264"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376F17C0">
            <w:pPr>
              <w:numPr>
                <w:ilvl w:val="0"/>
                <w:numId w:val="0"/>
              </w:numPr>
              <w:snapToGrid w:val="0"/>
              <w:spacing w:before="0" w:beforeAutospacing="0" w:after="0" w:afterAutospacing="0" w:line="240" w:lineRule="auto"/>
              <w:ind w:left="0" w:right="0" w:firstLine="240" w:firstLineChars="10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标的：</w:t>
            </w:r>
            <w:r>
              <w:rPr>
                <w:rFonts w:hint="eastAsia" w:ascii="宋体" w:hAnsi="宋体" w:cs="宋体"/>
                <w:color w:val="auto"/>
                <w:kern w:val="0"/>
                <w:sz w:val="24"/>
                <w:szCs w:val="20"/>
                <w:highlight w:val="none"/>
                <w:u w:val="single"/>
                <w:lang w:eastAsia="zh-CN"/>
              </w:rPr>
              <w:t>杭州市余杭区市场监督管理局产品商品检测服务采购项目</w:t>
            </w:r>
            <w:r>
              <w:rPr>
                <w:rFonts w:hint="eastAsia" w:ascii="宋体" w:hAnsi="宋体" w:eastAsia="宋体" w:cs="宋体"/>
                <w:color w:val="auto"/>
                <w:kern w:val="0"/>
                <w:sz w:val="24"/>
                <w:szCs w:val="20"/>
                <w:highlight w:val="none"/>
                <w:u w:val="single"/>
                <w:lang w:eastAsia="zh-CN"/>
              </w:rPr>
              <w:t>；</w:t>
            </w:r>
            <w:r>
              <w:rPr>
                <w:rFonts w:hint="eastAsia" w:ascii="宋体" w:hAnsi="宋体" w:eastAsia="宋体" w:cs="宋体"/>
                <w:color w:val="auto"/>
                <w:kern w:val="0"/>
                <w:sz w:val="24"/>
                <w:szCs w:val="20"/>
                <w:highlight w:val="none"/>
              </w:rPr>
              <w:t>属于</w:t>
            </w:r>
            <w:r>
              <w:rPr>
                <w:rFonts w:hint="eastAsia" w:ascii="宋体" w:hAnsi="宋体" w:eastAsia="宋体" w:cs="宋体"/>
                <w:color w:val="auto"/>
                <w:kern w:val="0"/>
                <w:sz w:val="24"/>
                <w:szCs w:val="20"/>
                <w:highlight w:val="none"/>
                <w:u w:val="single"/>
                <w:lang w:val="en-US" w:eastAsia="zh-CN"/>
              </w:rPr>
              <w:t xml:space="preserve"> </w:t>
            </w:r>
            <w:r>
              <w:rPr>
                <w:rFonts w:hint="eastAsia" w:ascii="宋体" w:hAnsi="宋体" w:cs="宋体"/>
                <w:color w:val="auto"/>
                <w:kern w:val="0"/>
                <w:sz w:val="24"/>
                <w:szCs w:val="24"/>
                <w:highlight w:val="none"/>
                <w:u w:val="single"/>
              </w:rPr>
              <w:t>其他未列明</w:t>
            </w:r>
            <w:r>
              <w:rPr>
                <w:rFonts w:hint="eastAsia" w:ascii="宋体" w:hAnsi="宋体" w:eastAsia="宋体" w:cs="宋体"/>
                <w:color w:val="auto"/>
                <w:kern w:val="0"/>
                <w:sz w:val="24"/>
                <w:szCs w:val="20"/>
                <w:highlight w:val="none"/>
              </w:rPr>
              <w:t>；</w:t>
            </w:r>
          </w:p>
          <w:p w14:paraId="1C380441">
            <w:pPr>
              <w:pStyle w:val="623"/>
              <w:widowControl w:val="0"/>
              <w:numPr>
                <w:ilvl w:val="0"/>
                <w:numId w:val="0"/>
              </w:numPr>
              <w:tabs>
                <w:tab w:val="left" w:pos="1070"/>
              </w:tabs>
              <w:wordWrap/>
              <w:adjustRightInd w:val="0"/>
              <w:snapToGrid/>
              <w:spacing w:before="0" w:beforeAutospacing="0" w:after="0" w:afterAutospacing="0" w:line="240" w:lineRule="auto"/>
              <w:ind w:left="422" w:right="52" w:hanging="482" w:hangingChars="200"/>
              <w:jc w:val="both"/>
              <w:textAlignment w:val="auto"/>
              <w:rPr>
                <w:rFonts w:hint="eastAsia" w:ascii="宋体" w:hAnsi="宋体" w:eastAsia="宋体" w:cs="宋体"/>
                <w:b/>
                <w:bCs/>
                <w:color w:val="auto"/>
                <w:sz w:val="24"/>
                <w:szCs w:val="20"/>
                <w:highlight w:val="none"/>
                <w:shd w:val="clear" w:color="auto" w:fill="FFFFFF"/>
                <w:lang w:val="zh-CN" w:bidi="zh-CN"/>
              </w:rPr>
            </w:pPr>
            <w:r>
              <w:rPr>
                <w:rFonts w:hint="eastAsia" w:ascii="宋体" w:hAnsi="宋体" w:eastAsia="宋体" w:cs="宋体"/>
                <w:b/>
                <w:bCs/>
                <w:color w:val="auto"/>
                <w:sz w:val="24"/>
                <w:szCs w:val="20"/>
                <w:highlight w:val="none"/>
                <w:shd w:val="clear" w:color="auto" w:fill="FFFFFF"/>
                <w:lang w:val="zh-CN" w:bidi="zh-CN"/>
              </w:rPr>
              <w:t>　　</w:t>
            </w:r>
          </w:p>
          <w:p w14:paraId="3D47C133">
            <w:pPr>
              <w:pStyle w:val="623"/>
              <w:widowControl w:val="0"/>
              <w:tabs>
                <w:tab w:val="left" w:pos="1070"/>
              </w:tabs>
              <w:wordWrap/>
              <w:snapToGrid/>
              <w:spacing w:before="0" w:beforeAutospacing="0" w:after="0" w:afterAutospacing="0" w:line="360" w:lineRule="auto"/>
              <w:ind w:left="0" w:right="52"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根据《关于印发中小企业划型标准规定的通知》（工信部联企业〔2011〕300）第四条第（</w:t>
            </w:r>
            <w:r>
              <w:rPr>
                <w:rFonts w:hint="eastAsia" w:ascii="宋体" w:hAnsi="宋体" w:cs="宋体"/>
                <w:color w:val="auto"/>
                <w:sz w:val="24"/>
                <w:szCs w:val="24"/>
                <w:highlight w:val="none"/>
                <w:lang w:val="en-US" w:eastAsia="zh-CN"/>
              </w:rPr>
              <w:t>十六</w:t>
            </w:r>
            <w:r>
              <w:rPr>
                <w:rFonts w:hint="eastAsia" w:ascii="宋体" w:hAnsi="宋体" w:eastAsia="宋体" w:cs="宋体"/>
                <w:color w:val="auto"/>
                <w:sz w:val="24"/>
                <w:szCs w:val="24"/>
                <w:highlight w:val="none"/>
                <w:lang w:val="en-US" w:eastAsia="zh-CN"/>
              </w:rPr>
              <w:t>）项规定</w:t>
            </w:r>
            <w:bookmarkStart w:id="15" w:name="OLE_LINK11"/>
            <w:r>
              <w:rPr>
                <w:rFonts w:hint="eastAsia" w:ascii="宋体" w:hAnsi="宋体" w:eastAsia="宋体" w:cs="宋体"/>
                <w:color w:val="auto"/>
                <w:sz w:val="24"/>
                <w:szCs w:val="24"/>
                <w:highlight w:val="none"/>
                <w:lang w:val="en-US" w:eastAsia="zh-CN"/>
              </w:rPr>
              <w:t>：</w:t>
            </w:r>
            <w:bookmarkEnd w:id="15"/>
            <w:r>
              <w:rPr>
                <w:rFonts w:hint="eastAsia" w:ascii="宋体" w:hAnsi="宋体" w:eastAsia="宋体" w:cs="宋体"/>
                <w:b w:val="0"/>
                <w:bCs w:val="0"/>
                <w:color w:val="auto"/>
                <w:kern w:val="0"/>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2A27F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79EA8EA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2855CA6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6DDEFC65">
            <w:pPr>
              <w:snapToGrid/>
              <w:spacing w:before="0" w:beforeAutospacing="0" w:after="0" w:afterAutospacing="0" w:line="312"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rPr>
              <w:t>是否允许采购进口产品</w:t>
            </w:r>
            <w:r>
              <w:rPr>
                <w:rFonts w:hint="eastAsia" w:ascii="宋体" w:hAnsi="宋体" w:eastAsia="宋体" w:cs="宋体"/>
                <w:b/>
                <w:color w:val="auto"/>
                <w:sz w:val="24"/>
                <w:szCs w:val="20"/>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75F5DE39">
            <w:pPr>
              <w:spacing w:before="0" w:beforeAutospacing="0" w:after="0" w:afterAutospacing="0" w:line="312" w:lineRule="auto"/>
              <w:ind w:left="0" w:right="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sym w:font="Wingdings" w:char="F0FE"/>
            </w:r>
            <w:r>
              <w:rPr>
                <w:rFonts w:hint="eastAsia" w:ascii="宋体" w:hAnsi="宋体" w:eastAsia="宋体" w:cs="宋体"/>
                <w:color w:val="auto"/>
                <w:kern w:val="0"/>
                <w:sz w:val="24"/>
                <w:szCs w:val="20"/>
                <w:highlight w:val="none"/>
              </w:rPr>
              <w:t>本项目不允许采购进口产品。</w:t>
            </w:r>
          </w:p>
          <w:p w14:paraId="2DF2BADE">
            <w:pPr>
              <w:spacing w:before="0" w:beforeAutospacing="0" w:after="0" w:afterAutospacing="0" w:line="312"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kern w:val="0"/>
                <w:sz w:val="24"/>
                <w:szCs w:val="20"/>
                <w:highlight w:val="none"/>
              </w:rPr>
              <w:t>☐可以就</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kern w:val="0"/>
                <w:sz w:val="24"/>
                <w:szCs w:val="20"/>
                <w:highlight w:val="none"/>
              </w:rPr>
              <w:t>采购进口产品。</w:t>
            </w:r>
          </w:p>
        </w:tc>
      </w:tr>
      <w:tr w14:paraId="5318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6F54098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05FCC87">
            <w:pPr>
              <w:snapToGrid/>
              <w:spacing w:before="0" w:beforeAutospacing="0" w:after="0" w:afterAutospacing="0" w:line="360" w:lineRule="auto"/>
              <w:ind w:left="0" w:right="0" w:firstLine="482" w:firstLineChars="20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BBE798B">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sym w:font="Wingdings" w:char="00A8"/>
            </w:r>
            <w:r>
              <w:rPr>
                <w:rFonts w:hint="eastAsia" w:ascii="宋体" w:hAnsi="宋体" w:eastAsia="宋体" w:cs="宋体"/>
                <w:color w:val="auto"/>
                <w:kern w:val="0"/>
                <w:sz w:val="24"/>
                <w:szCs w:val="20"/>
                <w:highlight w:val="none"/>
              </w:rPr>
              <w:t xml:space="preserve"> A</w:t>
            </w:r>
            <w:r>
              <w:rPr>
                <w:rFonts w:hint="eastAsia" w:ascii="宋体" w:hAnsi="宋体" w:eastAsia="宋体" w:cs="宋体"/>
                <w:color w:val="auto"/>
                <w:sz w:val="24"/>
                <w:szCs w:val="20"/>
                <w:highlight w:val="none"/>
              </w:rPr>
              <w:t>同意将非主体、非关键性的</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工作分包。</w:t>
            </w:r>
          </w:p>
          <w:p w14:paraId="7DB22B7B">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sym w:font="Wingdings" w:char="00FE"/>
            </w:r>
            <w:r>
              <w:rPr>
                <w:rFonts w:hint="eastAsia" w:ascii="宋体" w:hAnsi="宋体" w:eastAsia="宋体" w:cs="宋体"/>
                <w:color w:val="auto"/>
                <w:kern w:val="0"/>
                <w:sz w:val="24"/>
                <w:szCs w:val="20"/>
                <w:highlight w:val="none"/>
              </w:rPr>
              <w:t xml:space="preserve"> B</w:t>
            </w:r>
            <w:r>
              <w:rPr>
                <w:rFonts w:hint="eastAsia" w:ascii="宋体" w:hAnsi="宋体" w:eastAsia="宋体" w:cs="宋体"/>
                <w:color w:val="auto"/>
                <w:sz w:val="24"/>
                <w:szCs w:val="20"/>
                <w:highlight w:val="none"/>
              </w:rPr>
              <w:t>不同意分包。</w:t>
            </w:r>
          </w:p>
        </w:tc>
      </w:tr>
      <w:tr w14:paraId="3EF79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50792E0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287EC3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2E1FB3A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24760CF0">
            <w:pPr>
              <w:snapToGrid/>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01178699">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sym w:font="Wingdings" w:char="00FE"/>
            </w:r>
            <w:r>
              <w:rPr>
                <w:rFonts w:hint="eastAsia" w:ascii="宋体" w:hAnsi="宋体" w:eastAsia="宋体" w:cs="宋体"/>
                <w:color w:val="auto"/>
                <w:kern w:val="0"/>
                <w:sz w:val="24"/>
                <w:szCs w:val="20"/>
                <w:highlight w:val="none"/>
              </w:rPr>
              <w:t>A</w:t>
            </w:r>
            <w:r>
              <w:rPr>
                <w:rFonts w:hint="eastAsia" w:ascii="宋体" w:hAnsi="宋体" w:eastAsia="宋体" w:cs="宋体"/>
                <w:color w:val="auto"/>
                <w:sz w:val="24"/>
                <w:szCs w:val="20"/>
                <w:highlight w:val="none"/>
              </w:rPr>
              <w:t>不组织</w:t>
            </w:r>
            <w:r>
              <w:rPr>
                <w:rFonts w:hint="eastAsia" w:ascii="宋体" w:hAnsi="宋体" w:eastAsia="宋体" w:cs="宋体"/>
                <w:color w:val="auto"/>
                <w:sz w:val="24"/>
                <w:szCs w:val="20"/>
                <w:highlight w:val="none"/>
                <w:lang w:eastAsia="zh-CN"/>
              </w:rPr>
              <w:t>，自行勘察</w:t>
            </w:r>
            <w:r>
              <w:rPr>
                <w:rFonts w:hint="eastAsia" w:ascii="宋体" w:hAnsi="宋体" w:eastAsia="宋体" w:cs="宋体"/>
                <w:color w:val="auto"/>
                <w:sz w:val="24"/>
                <w:szCs w:val="20"/>
                <w:highlight w:val="none"/>
              </w:rPr>
              <w:t>。</w:t>
            </w:r>
          </w:p>
          <w:p w14:paraId="2765ABBD">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0"/>
                <w:highlight w:val="none"/>
              </w:rPr>
              <w:t>☐B组织，</w:t>
            </w:r>
            <w:r>
              <w:rPr>
                <w:rFonts w:hint="eastAsia" w:ascii="宋体" w:hAnsi="宋体" w:eastAsia="宋体" w:cs="宋体"/>
                <w:color w:val="auto"/>
                <w:sz w:val="24"/>
                <w:szCs w:val="20"/>
                <w:highlight w:val="none"/>
              </w:rPr>
              <w:t>时间：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,地点：</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，联系人：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，联系方式：</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4"/>
                <w:highlight w:val="none"/>
              </w:rPr>
              <w:t>。</w:t>
            </w:r>
          </w:p>
          <w:p w14:paraId="29F51332">
            <w:pPr>
              <w:pStyle w:val="83"/>
              <w:widowControl/>
              <w:spacing w:before="0" w:beforeAutospacing="0" w:after="0" w:afterAutospacing="0"/>
              <w:ind w:left="0" w:right="0" w:firstLine="0" w:firstLineChars="0"/>
              <w:rPr>
                <w:rFonts w:hint="eastAsia" w:ascii="Times New Roman" w:hAnsi="Times New Roman" w:cs="Times New Roman"/>
                <w:sz w:val="20"/>
                <w:szCs w:val="20"/>
                <w:highlight w:val="none"/>
              </w:rPr>
            </w:pPr>
            <w:r>
              <w:rPr>
                <w:rFonts w:hint="eastAsia" w:ascii="宋体" w:hAnsi="宋体" w:eastAsia="宋体" w:cs="宋体"/>
                <w:color w:val="000000"/>
                <w:sz w:val="24"/>
                <w:szCs w:val="24"/>
                <w:highlight w:val="none"/>
                <w:lang w:eastAsia="zh-CN"/>
              </w:rPr>
              <w:t xml:space="preserve">☐C不统一组织，供应商在获取采购文件后，自行至项目现场考察。地点： ，联系人： ，联系方式： </w:t>
            </w:r>
          </w:p>
        </w:tc>
      </w:tr>
      <w:tr w14:paraId="77657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79C1201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39EB623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714CA438">
            <w:pPr>
              <w:snapToGrid/>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3523F8FB">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sym w:font="Wingdings" w:char="00FE"/>
            </w:r>
            <w:r>
              <w:rPr>
                <w:rFonts w:hint="eastAsia" w:ascii="宋体" w:hAnsi="宋体" w:eastAsia="宋体" w:cs="宋体"/>
                <w:color w:val="auto"/>
                <w:kern w:val="0"/>
                <w:sz w:val="24"/>
                <w:szCs w:val="20"/>
                <w:highlight w:val="none"/>
              </w:rPr>
              <w:t>A</w:t>
            </w:r>
            <w:r>
              <w:rPr>
                <w:rFonts w:hint="eastAsia" w:ascii="宋体" w:hAnsi="宋体" w:eastAsia="宋体" w:cs="宋体"/>
                <w:color w:val="auto"/>
                <w:sz w:val="24"/>
                <w:szCs w:val="20"/>
                <w:highlight w:val="none"/>
              </w:rPr>
              <w:t>不要求提供。</w:t>
            </w:r>
          </w:p>
          <w:p w14:paraId="325E5E09">
            <w:pPr>
              <w:spacing w:before="0" w:beforeAutospacing="0" w:after="0" w:afterAutospacing="0"/>
              <w:ind w:left="0" w:right="0"/>
              <w:rPr>
                <w:rFonts w:hint="eastAsia" w:ascii="宋体" w:hAnsi="宋体" w:eastAsia="宋体" w:cs="宋体"/>
                <w:sz w:val="20"/>
                <w:szCs w:val="20"/>
                <w:highlight w:val="none"/>
                <w:lang w:eastAsia="zh-CN"/>
              </w:rPr>
            </w:pPr>
            <w:r>
              <w:rPr>
                <w:rFonts w:hint="eastAsia" w:ascii="宋体" w:hAnsi="宋体" w:eastAsia="宋体" w:cs="宋体"/>
                <w:color w:val="auto"/>
                <w:kern w:val="0"/>
                <w:sz w:val="24"/>
                <w:szCs w:val="20"/>
                <w:highlight w:val="none"/>
              </w:rPr>
              <w:sym w:font="Wingdings" w:char="00A8"/>
            </w:r>
            <w:r>
              <w:rPr>
                <w:rFonts w:hint="eastAsia" w:ascii="宋体" w:hAnsi="宋体" w:eastAsia="宋体" w:cs="宋体"/>
                <w:color w:val="auto"/>
                <w:kern w:val="0"/>
                <w:sz w:val="24"/>
                <w:szCs w:val="20"/>
                <w:highlight w:val="none"/>
              </w:rPr>
              <w:t>B要求提供</w:t>
            </w:r>
            <w:r>
              <w:rPr>
                <w:rFonts w:hint="eastAsia" w:ascii="宋体" w:hAnsi="宋体" w:eastAsia="宋体" w:cs="宋体"/>
                <w:color w:val="auto"/>
                <w:kern w:val="0"/>
                <w:sz w:val="24"/>
                <w:szCs w:val="20"/>
                <w:highlight w:val="none"/>
                <w:lang w:eastAsia="zh-CN"/>
              </w:rPr>
              <w:t>。</w:t>
            </w:r>
          </w:p>
        </w:tc>
      </w:tr>
      <w:tr w14:paraId="5EF32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rPr>
        <w:tc>
          <w:tcPr>
            <w:tcW w:w="820" w:type="dxa"/>
            <w:tcBorders>
              <w:top w:val="single" w:color="auto" w:sz="4" w:space="0"/>
              <w:left w:val="single" w:color="auto" w:sz="4" w:space="0"/>
              <w:bottom w:val="single" w:color="auto" w:sz="4" w:space="0"/>
              <w:right w:val="single" w:color="auto" w:sz="4" w:space="0"/>
            </w:tcBorders>
            <w:vAlign w:val="center"/>
          </w:tcPr>
          <w:p w14:paraId="10F5A61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503D02FA">
            <w:pPr>
              <w:snapToGrid/>
              <w:spacing w:before="0" w:beforeAutospacing="0" w:after="0" w:afterAutospacing="0" w:line="360" w:lineRule="auto"/>
              <w:ind w:left="0" w:right="0"/>
              <w:jc w:val="center"/>
              <w:rPr>
                <w:rFonts w:hint="eastAsia" w:ascii="宋体" w:hAnsi="宋体" w:eastAsia="宋体" w:cs="宋体"/>
                <w:bCs/>
                <w:color w:val="auto"/>
                <w:sz w:val="24"/>
                <w:szCs w:val="20"/>
                <w:highlight w:val="none"/>
              </w:rPr>
            </w:pPr>
            <w:r>
              <w:rPr>
                <w:rFonts w:hint="eastAsia" w:ascii="宋体" w:hAnsi="宋体" w:eastAsia="宋体" w:cs="宋体"/>
                <w:b/>
                <w:color w:val="auto"/>
                <w:sz w:val="24"/>
                <w:szCs w:val="20"/>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30ECDA77">
            <w:pPr>
              <w:spacing w:before="0" w:beforeAutospacing="0" w:after="0" w:afterAutospacing="0" w:line="360" w:lineRule="auto"/>
              <w:ind w:left="0" w:right="0"/>
              <w:rPr>
                <w:rFonts w:hint="default" w:ascii="宋体" w:hAnsi="宋体" w:cs="宋体"/>
                <w:sz w:val="24"/>
                <w:szCs w:val="20"/>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szCs w:val="20"/>
              </w:rPr>
              <w:t>A</w:t>
            </w:r>
            <w:r>
              <w:rPr>
                <w:rFonts w:hint="eastAsia" w:ascii="宋体" w:hAnsi="宋体" w:cs="宋体"/>
                <w:sz w:val="24"/>
                <w:szCs w:val="20"/>
              </w:rPr>
              <w:t>不组织。</w:t>
            </w:r>
          </w:p>
          <w:p w14:paraId="4AA78287">
            <w:pPr>
              <w:spacing w:before="0" w:beforeAutospacing="0" w:after="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☐B组织。</w:t>
            </w:r>
          </w:p>
          <w:p w14:paraId="41EF8352">
            <w:pPr>
              <w:snapToGrid w:val="0"/>
              <w:spacing w:before="0" w:beforeAutospacing="0" w:after="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（1）在评标时安排每个投标人进行方案讲解演示。每个投标人时间不超过</w:t>
            </w:r>
            <w:r>
              <w:rPr>
                <w:rFonts w:hint="eastAsia" w:ascii="宋体" w:hAnsi="宋体" w:cs="宋体"/>
                <w:kern w:val="0"/>
                <w:sz w:val="24"/>
                <w:szCs w:val="20"/>
                <w:u w:val="single"/>
              </w:rPr>
              <w:t>20</w:t>
            </w:r>
            <w:r>
              <w:rPr>
                <w:rFonts w:hint="eastAsia" w:ascii="宋体" w:hAnsi="宋体" w:cs="宋体"/>
                <w:kern w:val="0"/>
                <w:sz w:val="24"/>
                <w:szCs w:val="20"/>
                <w:u w:val="single"/>
                <w:lang w:eastAsia="zh-CN"/>
              </w:rPr>
              <w:t>（</w:t>
            </w:r>
            <w:r>
              <w:rPr>
                <w:rFonts w:hint="eastAsia" w:ascii="宋体" w:hAnsi="宋体" w:cs="宋体"/>
                <w:kern w:val="0"/>
                <w:sz w:val="24"/>
                <w:szCs w:val="20"/>
                <w:u w:val="single"/>
                <w:lang w:val="en-US" w:eastAsia="zh-CN"/>
              </w:rPr>
              <w:t>编制时可根据项目情况进行调整</w:t>
            </w:r>
            <w:r>
              <w:rPr>
                <w:rFonts w:hint="eastAsia" w:ascii="宋体" w:hAnsi="宋体" w:cs="宋体"/>
                <w:kern w:val="0"/>
                <w:sz w:val="24"/>
                <w:szCs w:val="20"/>
                <w:u w:val="single"/>
                <w:lang w:eastAsia="zh-CN"/>
              </w:rPr>
              <w:t>）</w:t>
            </w:r>
            <w:r>
              <w:rPr>
                <w:rFonts w:hint="eastAsia" w:ascii="宋体" w:hAnsi="宋体" w:cs="宋体"/>
                <w:kern w:val="0"/>
                <w:sz w:val="24"/>
                <w:szCs w:val="20"/>
              </w:rPr>
              <w:t>分钟，讲解次序以投标文件解密时间先后次序为准，讲解演示人员不超过</w:t>
            </w:r>
            <w:r>
              <w:rPr>
                <w:rFonts w:hint="eastAsia" w:ascii="宋体" w:hAnsi="宋体" w:cs="宋体"/>
                <w:kern w:val="0"/>
                <w:sz w:val="24"/>
                <w:szCs w:val="20"/>
                <w:u w:val="single"/>
              </w:rPr>
              <w:t>3</w:t>
            </w:r>
            <w:r>
              <w:rPr>
                <w:rFonts w:hint="eastAsia" w:ascii="宋体" w:hAnsi="宋体" w:cs="宋体"/>
                <w:kern w:val="0"/>
                <w:sz w:val="24"/>
                <w:szCs w:val="20"/>
                <w:u w:val="single"/>
                <w:lang w:eastAsia="zh-CN"/>
              </w:rPr>
              <w:t>（</w:t>
            </w:r>
            <w:r>
              <w:rPr>
                <w:rFonts w:hint="eastAsia" w:ascii="宋体" w:hAnsi="宋体" w:cs="宋体"/>
                <w:kern w:val="0"/>
                <w:sz w:val="24"/>
                <w:szCs w:val="20"/>
                <w:u w:val="single"/>
                <w:lang w:val="en-US" w:eastAsia="zh-CN"/>
              </w:rPr>
              <w:t>编制时可根据项目情况进行调整</w:t>
            </w:r>
            <w:r>
              <w:rPr>
                <w:rFonts w:hint="eastAsia" w:ascii="宋体" w:hAnsi="宋体" w:cs="宋体"/>
                <w:kern w:val="0"/>
                <w:sz w:val="24"/>
                <w:szCs w:val="20"/>
                <w:u w:val="single"/>
                <w:lang w:eastAsia="zh-CN"/>
              </w:rPr>
              <w:t>）</w:t>
            </w:r>
            <w:r>
              <w:rPr>
                <w:rFonts w:hint="eastAsia" w:ascii="宋体" w:hAnsi="宋体" w:cs="宋体"/>
                <w:kern w:val="0"/>
                <w:sz w:val="24"/>
                <w:szCs w:val="20"/>
              </w:rPr>
              <w:t>人。讲解演示结束后按要求解答评标委员会提问。</w:t>
            </w:r>
          </w:p>
          <w:p w14:paraId="3C3A93FD">
            <w:pPr>
              <w:snapToGrid w:val="0"/>
              <w:spacing w:before="0" w:beforeAutospacing="0" w:after="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（2）方案讲解演示可选择以下其中一种方式：</w:t>
            </w:r>
          </w:p>
          <w:p w14:paraId="742BB7B5">
            <w:pPr>
              <w:snapToGrid w:val="0"/>
              <w:spacing w:before="0" w:beforeAutospacing="0" w:after="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方式一：政采云平台在线讲解演示。政采云平台在线讲解需投标人根据政采云平台操作要求做好准备工作，提前完善软硬件配置环境。</w:t>
            </w:r>
          </w:p>
          <w:p w14:paraId="4D9D1424">
            <w:pPr>
              <w:snapToGrid w:val="0"/>
              <w:spacing w:before="0" w:beforeAutospacing="0" w:after="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方式二：交易中心现场讲解演示。现场讲解地点为</w:t>
            </w:r>
            <w:r>
              <w:rPr>
                <w:rFonts w:hint="eastAsia" w:ascii="宋体" w:hAnsi="宋体" w:cs="宋体"/>
                <w:sz w:val="24"/>
                <w:szCs w:val="20"/>
                <w:u w:val="single"/>
              </w:rPr>
              <w:t xml:space="preserve"> </w:t>
            </w:r>
            <w:r>
              <w:rPr>
                <w:rFonts w:hint="eastAsia" w:ascii="宋体" w:hAnsi="宋体" w:cs="宋体"/>
                <w:color w:val="FF0000"/>
                <w:sz w:val="24"/>
                <w:szCs w:val="20"/>
                <w:u w:val="single"/>
              </w:rPr>
              <w:t xml:space="preserve">     </w:t>
            </w:r>
            <w:r>
              <w:rPr>
                <w:rFonts w:hint="eastAsia" w:ascii="宋体" w:hAnsi="宋体" w:cs="宋体"/>
                <w:sz w:val="24"/>
                <w:szCs w:val="20"/>
                <w:u w:val="single"/>
              </w:rPr>
              <w:t xml:space="preserve"> </w:t>
            </w:r>
            <w:r>
              <w:rPr>
                <w:rFonts w:hint="eastAsia" w:ascii="宋体" w:hAnsi="宋体" w:cs="宋体"/>
                <w:kern w:val="0"/>
                <w:sz w:val="24"/>
                <w:szCs w:val="20"/>
              </w:rPr>
              <w:t>，讲解演示所用电脑等设备由投标人自备。现场讲解演示人员进场时提供讲解人员名单（加盖公章或授权代表签名）及身份证明，否则不得讲解演示。</w:t>
            </w:r>
          </w:p>
          <w:p w14:paraId="2564ACF1">
            <w:pPr>
              <w:spacing w:before="0" w:beforeAutospacing="0" w:after="0" w:afterAutospacing="0"/>
              <w:ind w:left="0" w:right="0"/>
              <w:rPr>
                <w:rFonts w:hint="eastAsia" w:ascii="宋体" w:hAnsi="宋体" w:eastAsia="宋体" w:cs="宋体"/>
                <w:b/>
                <w:color w:val="auto"/>
                <w:kern w:val="0"/>
                <w:sz w:val="24"/>
                <w:szCs w:val="20"/>
                <w:highlight w:val="none"/>
                <w:lang w:val="zh-CN" w:eastAsia="zh-CN"/>
              </w:rPr>
            </w:pPr>
            <w:r>
              <w:rPr>
                <w:rFonts w:hint="eastAsia" w:ascii="宋体" w:hAnsi="宋体" w:cs="宋体"/>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14:paraId="6556C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5BC685F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8</w:t>
            </w:r>
          </w:p>
        </w:tc>
        <w:tc>
          <w:tcPr>
            <w:tcW w:w="1660" w:type="dxa"/>
            <w:vMerge w:val="restart"/>
            <w:tcBorders>
              <w:top w:val="single" w:color="000000" w:sz="8" w:space="0"/>
              <w:left w:val="single" w:color="auto" w:sz="4" w:space="0"/>
              <w:right w:val="single" w:color="000000" w:sz="8" w:space="0"/>
            </w:tcBorders>
            <w:vAlign w:val="center"/>
          </w:tcPr>
          <w:p w14:paraId="2D085778">
            <w:pPr>
              <w:snapToGrid/>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60D958CD">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（1）资格证明文件：见招标文件第二部分11.1。</w:t>
            </w:r>
          </w:p>
          <w:p w14:paraId="1896A71C">
            <w:pPr>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r>
              <w:rPr>
                <w:rFonts w:hint="eastAsia" w:ascii="宋体" w:hAnsi="宋体" w:eastAsia="宋体" w:cs="宋体"/>
                <w:color w:val="auto"/>
                <w:kern w:val="0"/>
                <w:sz w:val="24"/>
                <w:szCs w:val="20"/>
                <w:highlight w:val="none"/>
                <w:lang w:val="zh-CN"/>
              </w:rPr>
              <w:t>投标人未提供有效的资格证明文件的，视为投标人不具备招标文件中规定的资格要求，投标无效。</w:t>
            </w:r>
          </w:p>
        </w:tc>
      </w:tr>
      <w:tr w14:paraId="6720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758861A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660" w:type="dxa"/>
            <w:vMerge w:val="continue"/>
            <w:tcBorders>
              <w:left w:val="single" w:color="auto" w:sz="4" w:space="0"/>
              <w:bottom w:val="single" w:color="000000" w:sz="8" w:space="0"/>
              <w:right w:val="single" w:color="000000" w:sz="8" w:space="0"/>
            </w:tcBorders>
            <w:vAlign w:val="center"/>
          </w:tcPr>
          <w:p w14:paraId="5211D7A1">
            <w:pPr>
              <w:snapToGrid/>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2E2CAE9F">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（2）资信证明文件：根据招标文件第四部分评标标准提供。</w:t>
            </w:r>
          </w:p>
        </w:tc>
      </w:tr>
      <w:tr w14:paraId="05FCF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4432EB3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1CF6290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77E642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0A9FA1A4">
            <w:pPr>
              <w:snapToGrid/>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52DA86F8">
            <w:pPr>
              <w:snapToGrid/>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AFF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40F76A4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211C9DD1">
            <w:pPr>
              <w:snapToGrid/>
              <w:spacing w:before="0" w:beforeAutospacing="0" w:after="0" w:afterAutospacing="0" w:line="312"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1BD50701">
            <w:pPr>
              <w:snapToGrid w:val="0"/>
              <w:spacing w:before="0" w:beforeAutospacing="0" w:after="0" w:afterAutospacing="0" w:line="360" w:lineRule="auto"/>
              <w:ind w:left="0" w:right="0"/>
              <w:jc w:val="left"/>
              <w:rPr>
                <w:rFonts w:hint="eastAsia" w:ascii="宋体" w:hAnsi="宋体" w:eastAsia="宋体" w:cs="宋体"/>
                <w:b/>
                <w:color w:val="auto"/>
                <w:kern w:val="0"/>
                <w:sz w:val="24"/>
                <w:szCs w:val="20"/>
                <w:highlight w:val="none"/>
                <w:lang w:val="zh-CN"/>
              </w:rPr>
            </w:pPr>
            <w:r>
              <w:rPr>
                <w:rFonts w:hint="eastAsia" w:ascii="宋体" w:hAnsi="宋体" w:eastAsia="宋体" w:cs="宋体"/>
                <w:color w:val="auto"/>
                <w:kern w:val="0"/>
                <w:sz w:val="24"/>
                <w:szCs w:val="20"/>
                <w:highlight w:val="none"/>
                <w:lang w:val="zh-CN"/>
              </w:rPr>
              <w:t>有关本项目实施所需的所有费用（含税费）均计入报价。投标文件</w:t>
            </w:r>
            <w:r>
              <w:rPr>
                <w:rFonts w:hint="eastAsia" w:ascii="宋体" w:hAnsi="宋体" w:eastAsia="宋体" w:cs="宋体"/>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0"/>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0"/>
                <w:highlight w:val="none"/>
                <w:lang w:val="zh-CN"/>
              </w:rPr>
              <w:t>提醒：验收时检测费用由采购人承担，不包含在投标总价中。投标报价出现下列情形的，投标无效：</w:t>
            </w:r>
          </w:p>
          <w:p w14:paraId="5DB8FCC2">
            <w:pPr>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投标文件出现不是唯一的、有选择性投标报价的；</w:t>
            </w:r>
          </w:p>
          <w:p w14:paraId="29CF5F2F">
            <w:pPr>
              <w:pStyle w:val="85"/>
              <w:widowControl/>
              <w:snapToGrid w:val="0"/>
              <w:spacing w:before="0" w:beforeAutospacing="0" w:after="0" w:afterAutospacing="0" w:line="360" w:lineRule="auto"/>
              <w:ind w:left="239" w:leftChars="114" w:right="0" w:firstLine="482" w:firstLineChars="200"/>
              <w:jc w:val="left"/>
              <w:rPr>
                <w:rFonts w:hint="eastAsia" w:ascii="宋体" w:hAnsi="宋体" w:eastAsia="宋体" w:cs="宋体"/>
                <w:b/>
                <w:bCs w:val="0"/>
                <w:color w:val="auto"/>
                <w:kern w:val="0"/>
                <w:sz w:val="24"/>
                <w:szCs w:val="20"/>
                <w:highlight w:val="none"/>
                <w:lang w:val="zh-CN"/>
              </w:rPr>
            </w:pPr>
            <w:r>
              <w:rPr>
                <w:rFonts w:hint="eastAsia" w:ascii="宋体" w:hAnsi="宋体" w:eastAsia="宋体" w:cs="宋体"/>
                <w:b/>
                <w:bCs w:val="0"/>
                <w:color w:val="auto"/>
                <w:kern w:val="0"/>
                <w:sz w:val="24"/>
                <w:szCs w:val="20"/>
                <w:highlight w:val="none"/>
                <w:lang w:val="zh-CN"/>
              </w:rPr>
              <w:t>投标报价超过招标文件中规定的预算金额或者最高限价的；</w:t>
            </w:r>
          </w:p>
          <w:p w14:paraId="270B8E15">
            <w:pPr>
              <w:pStyle w:val="85"/>
              <w:widowControl/>
              <w:snapToGrid w:val="0"/>
              <w:spacing w:before="0" w:beforeAutospacing="0" w:after="0" w:afterAutospacing="0" w:line="360" w:lineRule="auto"/>
              <w:ind w:left="239" w:leftChars="114" w:right="0" w:firstLine="482" w:firstLineChars="200"/>
              <w:jc w:val="left"/>
              <w:rPr>
                <w:rFonts w:hint="eastAsia" w:ascii="宋体" w:hAnsi="宋体" w:eastAsia="宋体" w:cs="宋体"/>
                <w:b/>
                <w:bCs w:val="0"/>
                <w:color w:val="auto"/>
                <w:kern w:val="0"/>
                <w:sz w:val="24"/>
                <w:szCs w:val="20"/>
                <w:highlight w:val="none"/>
                <w:lang w:val="zh-CN"/>
              </w:rPr>
            </w:pPr>
            <w:r>
              <w:rPr>
                <w:rFonts w:hint="eastAsia" w:ascii="宋体" w:hAnsi="宋体" w:eastAsia="宋体" w:cs="宋体"/>
                <w:b/>
                <w:bCs w:val="0"/>
                <w:color w:val="auto"/>
                <w:kern w:val="0"/>
                <w:sz w:val="24"/>
                <w:szCs w:val="20"/>
                <w:highlight w:val="none"/>
                <w:lang w:val="zh-CN"/>
              </w:rPr>
              <w:t>投标报价高于该预算的作无效标处理。</w:t>
            </w:r>
          </w:p>
          <w:p w14:paraId="1772269D">
            <w:pPr>
              <w:spacing w:before="0" w:beforeAutospacing="0" w:after="0" w:afterAutospacing="0" w:line="360" w:lineRule="auto"/>
              <w:ind w:left="0" w:right="0" w:firstLine="723" w:firstLineChars="30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4FC14018">
            <w:pPr>
              <w:spacing w:before="0" w:beforeAutospacing="0" w:after="0" w:afterAutospacing="0" w:line="312" w:lineRule="auto"/>
              <w:ind w:left="0" w:right="0" w:firstLine="241" w:firstLineChars="100"/>
              <w:rPr>
                <w:rFonts w:hint="eastAsia" w:ascii="宋体" w:hAnsi="宋体" w:eastAsia="宋体" w:cs="宋体"/>
                <w:color w:val="auto"/>
                <w:sz w:val="24"/>
                <w:szCs w:val="20"/>
                <w:highlight w:val="none"/>
              </w:rPr>
            </w:pPr>
            <w:r>
              <w:rPr>
                <w:rFonts w:hint="eastAsia" w:ascii="宋体" w:hAnsi="宋体" w:eastAsia="宋体" w:cs="宋体"/>
                <w:b/>
                <w:color w:val="auto"/>
                <w:kern w:val="0"/>
                <w:sz w:val="24"/>
                <w:szCs w:val="20"/>
                <w:highlight w:val="none"/>
              </w:rPr>
              <w:t>投标人对根据修正原则修正后的报价不确认的</w:t>
            </w:r>
            <w:r>
              <w:rPr>
                <w:rFonts w:hint="eastAsia" w:ascii="宋体" w:hAnsi="宋体" w:eastAsia="宋体" w:cs="宋体"/>
                <w:b/>
                <w:color w:val="auto"/>
                <w:sz w:val="24"/>
                <w:szCs w:val="20"/>
                <w:highlight w:val="none"/>
              </w:rPr>
              <w:t>。</w:t>
            </w:r>
          </w:p>
        </w:tc>
      </w:tr>
      <w:tr w14:paraId="04C33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2BDE173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11</w:t>
            </w:r>
          </w:p>
        </w:tc>
        <w:tc>
          <w:tcPr>
            <w:tcW w:w="1660" w:type="dxa"/>
            <w:tcBorders>
              <w:top w:val="single" w:color="000000" w:sz="8" w:space="0"/>
              <w:left w:val="single" w:color="000000" w:sz="2" w:space="0"/>
              <w:right w:val="single" w:color="000000" w:sz="8" w:space="0"/>
            </w:tcBorders>
            <w:vAlign w:val="center"/>
          </w:tcPr>
          <w:p w14:paraId="4547E2F3">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4E798D3D">
            <w:pPr>
              <w:spacing w:before="0" w:beforeAutospacing="0" w:after="0" w:afterAutospacing="0" w:line="360" w:lineRule="auto"/>
              <w:ind w:left="0" w:right="0" w:firstLine="0" w:firstLineChars="0"/>
              <w:rPr>
                <w:rFonts w:hint="eastAsia" w:ascii="宋体" w:hAnsi="宋体" w:eastAsia="宋体" w:cs="宋体"/>
                <w:color w:val="auto"/>
                <w:sz w:val="24"/>
                <w:szCs w:val="20"/>
                <w:highlight w:val="none"/>
              </w:rPr>
            </w:pPr>
            <w:r>
              <w:rPr>
                <w:rFonts w:hint="eastAsia" w:ascii="宋体" w:hAnsi="宋体" w:eastAsia="宋体" w:cs="宋体"/>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996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2569260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4B2505F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67A83140">
            <w:pPr>
              <w:widowControl w:val="0"/>
              <w:adjustRightInd w:val="0"/>
              <w:snapToGrid w:val="0"/>
              <w:spacing w:before="0" w:beforeAutospacing="0" w:after="0" w:afterAutospacing="0" w:line="312" w:lineRule="auto"/>
              <w:ind w:left="0" w:right="0"/>
              <w:jc w:val="both"/>
              <w:rPr>
                <w:rFonts w:hint="eastAsia" w:ascii="宋体" w:hAnsi="宋体" w:eastAsia="宋体" w:cs="宋体"/>
                <w:sz w:val="24"/>
                <w:szCs w:val="20"/>
                <w:highlight w:val="none"/>
                <w:lang w:val="zh-CN"/>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密封包装后（建议快递邮寄形式）投标截止时间前递交一份（邮寄地址：</w:t>
            </w:r>
            <w:r>
              <w:rPr>
                <w:rFonts w:hint="eastAsia" w:ascii="宋体" w:hAnsi="宋体" w:cs="宋体"/>
                <w:kern w:val="2"/>
                <w:sz w:val="24"/>
                <w:szCs w:val="24"/>
                <w:highlight w:val="none"/>
                <w:u w:val="single"/>
                <w:lang w:val="en-US" w:eastAsia="zh-CN"/>
              </w:rPr>
              <w:t>杭州市临平区星桥街道远展街1号联融大厦22幢505室</w:t>
            </w:r>
            <w:r>
              <w:rPr>
                <w:rFonts w:hint="eastAsia" w:ascii="宋体" w:hAnsi="宋体" w:eastAsia="宋体" w:cs="宋体"/>
                <w:kern w:val="0"/>
                <w:sz w:val="24"/>
                <w:szCs w:val="24"/>
                <w:highlight w:val="none"/>
                <w:u w:val="single"/>
                <w:lang w:val="en-US" w:eastAsia="zh-CN"/>
              </w:rPr>
              <w:t>；</w:t>
            </w:r>
          </w:p>
          <w:p w14:paraId="79AF3C9C">
            <w:pPr>
              <w:pStyle w:val="35"/>
              <w:spacing w:before="0" w:beforeAutospacing="0" w:after="0" w:afterAutospacing="0" w:line="360" w:lineRule="auto"/>
              <w:ind w:left="0" w:right="0"/>
              <w:rPr>
                <w:rFonts w:hint="eastAsia" w:ascii="宋体" w:hAnsi="宋体" w:eastAsia="宋体" w:cs="宋体"/>
                <w:color w:val="auto"/>
                <w:kern w:val="28"/>
                <w:sz w:val="24"/>
                <w:szCs w:val="20"/>
                <w:highlight w:val="none"/>
              </w:rPr>
            </w:pPr>
            <w:r>
              <w:rPr>
                <w:rFonts w:hint="eastAsia" w:ascii="宋体" w:hAnsi="宋体" w:eastAsia="宋体" w:cs="宋体"/>
                <w:color w:val="auto"/>
                <w:kern w:val="28"/>
                <w:sz w:val="24"/>
                <w:szCs w:val="24"/>
                <w:highlight w:val="none"/>
              </w:rPr>
              <w:t>备份投标文件签收人员联系电话：</w:t>
            </w:r>
            <w:r>
              <w:rPr>
                <w:rFonts w:hint="eastAsia" w:ascii="Times New Roman" w:hAnsi="宋体" w:cs="宋体"/>
                <w:color w:val="auto"/>
                <w:sz w:val="24"/>
                <w:szCs w:val="20"/>
                <w:highlight w:val="none"/>
                <w:u w:val="single"/>
                <w:lang w:val="en-US" w:eastAsia="zh-CN"/>
              </w:rPr>
              <w:t>贺胜杰</w:t>
            </w:r>
            <w:r>
              <w:rPr>
                <w:rFonts w:hint="eastAsia" w:ascii="宋体" w:hAnsi="宋体" w:eastAsia="宋体" w:cs="宋体"/>
                <w:color w:val="auto"/>
                <w:sz w:val="24"/>
                <w:szCs w:val="20"/>
                <w:highlight w:val="none"/>
                <w:u w:val="single"/>
              </w:rPr>
              <w:t>收，</w:t>
            </w:r>
            <w:r>
              <w:rPr>
                <w:rFonts w:hint="eastAsia" w:ascii="Times New Roman" w:hAnsi="宋体" w:cs="宋体"/>
                <w:color w:val="auto"/>
                <w:sz w:val="24"/>
                <w:szCs w:val="20"/>
                <w:highlight w:val="none"/>
                <w:u w:val="single"/>
                <w:lang w:eastAsia="zh-CN"/>
              </w:rPr>
              <w:t>13738009078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3C8A2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45019B2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2E76809D">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1DF585D0">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联合体投标的，联合体各方分别提供与联合体协议中规定的分工内容相应的业绩证明材料，业绩数量以提供材料较少的一方为准。</w:t>
            </w:r>
          </w:p>
        </w:tc>
      </w:tr>
      <w:tr w14:paraId="6E398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77B34DC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4D2C6741">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40CE5B7F">
            <w:pPr>
              <w:widowControl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szCs w:val="20"/>
                <w:highlight w:val="none"/>
                <w:lang w:val="en-US"/>
              </w:rPr>
            </w:pPr>
            <w:r>
              <w:rPr>
                <w:rFonts w:hint="eastAsia" w:ascii="宋体" w:hAnsi="宋体" w:eastAsia="宋体" w:cs="宋体"/>
                <w:color w:val="auto"/>
                <w:kern w:val="0"/>
                <w:sz w:val="24"/>
                <w:szCs w:val="20"/>
                <w:highlight w:val="none"/>
              </w:rPr>
              <w:t>☐</w:t>
            </w:r>
            <w:r>
              <w:rPr>
                <w:rFonts w:hint="eastAsia" w:ascii="宋体" w:hAnsi="宋体" w:eastAsia="宋体" w:cs="宋体"/>
                <w:snapToGrid w:val="0"/>
                <w:color w:val="auto"/>
                <w:kern w:val="28"/>
                <w:sz w:val="24"/>
                <w:szCs w:val="20"/>
                <w:highlight w:val="none"/>
              </w:rPr>
              <w:t>联</w:t>
            </w:r>
            <w:r>
              <w:rPr>
                <w:rFonts w:hint="eastAsia" w:ascii="宋体" w:hAnsi="宋体" w:eastAsia="宋体" w:cs="宋体"/>
                <w:snapToGrid w:val="0"/>
                <w:color w:val="auto"/>
                <w:kern w:val="28"/>
                <w:sz w:val="24"/>
                <w:szCs w:val="20"/>
                <w:highlight w:val="none"/>
                <w:lang w:val="en-US"/>
              </w:rPr>
              <w:t>合体投标的，联合体各方均需按招标文件第四部分评标标准要求提供资信证明文件，否则视为不符合相关要求。</w:t>
            </w:r>
          </w:p>
          <w:p w14:paraId="51457E12">
            <w:pPr>
              <w:widowControl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rPr>
              <w:sym w:font="Wingdings" w:char="F0FE"/>
            </w:r>
            <w:r>
              <w:rPr>
                <w:rFonts w:hint="eastAsia" w:ascii="宋体" w:hAnsi="宋体" w:eastAsia="宋体" w:cs="宋体"/>
                <w:snapToGrid w:val="0"/>
                <w:color w:val="auto"/>
                <w:kern w:val="28"/>
                <w:sz w:val="24"/>
                <w:szCs w:val="20"/>
                <w:highlight w:val="none"/>
                <w:lang w:val="en-US"/>
              </w:rPr>
              <w:t>联合体投标的，联合体中有一方或者联合体成员根据分工按招标文件第四部分评标标准要求提供资信证明文件的，视为符合了相关要求。</w:t>
            </w:r>
          </w:p>
        </w:tc>
      </w:tr>
      <w:tr w14:paraId="39959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17E56825">
            <w:pPr>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62E95A9A">
            <w:pPr>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vAlign w:val="center"/>
          </w:tcPr>
          <w:p w14:paraId="21FE137F">
            <w:pPr>
              <w:widowControl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rPr>
              <w:t>本项目推荐的中标候选人数量：</w:t>
            </w:r>
            <w:r>
              <w:rPr>
                <w:rFonts w:hint="eastAsia" w:ascii="宋体" w:hAnsi="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lang w:val="en-US" w:eastAsia="zh-CN"/>
              </w:rPr>
              <w:t>。</w:t>
            </w:r>
          </w:p>
        </w:tc>
      </w:tr>
      <w:tr w14:paraId="06229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11B95C1C">
            <w:pPr>
              <w:snapToGrid w:val="0"/>
              <w:spacing w:before="0" w:beforeAutospacing="0" w:after="0" w:afterAutospacing="0" w:line="360" w:lineRule="auto"/>
              <w:ind w:left="0" w:right="0"/>
              <w:jc w:val="center"/>
              <w:rPr>
                <w:rFonts w:hint="default"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6AEECCF6">
            <w:pPr>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0"/>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63AC72F6">
            <w:pPr>
              <w:snapToGrid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0"/>
                <w:highlight w:val="none"/>
              </w:rPr>
              <w:t>中标后提供承诺书和纸质版投标文件一式三份（正本一份红章版，副本二份，可为正本复印件），承诺书详见附件。</w:t>
            </w:r>
          </w:p>
        </w:tc>
      </w:tr>
      <w:tr w14:paraId="23533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6E62B723">
            <w:pPr>
              <w:snapToGrid w:val="0"/>
              <w:spacing w:before="0" w:beforeAutospacing="0" w:after="0" w:afterAutospacing="0" w:line="360" w:lineRule="auto"/>
              <w:ind w:left="0" w:right="0"/>
              <w:jc w:val="center"/>
              <w:rPr>
                <w:rFonts w:hint="default"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1B0D273F">
            <w:pPr>
              <w:snapToGrid w:val="0"/>
              <w:spacing w:before="0" w:beforeAutospacing="0" w:after="0" w:afterAutospacing="0" w:line="360" w:lineRule="auto"/>
              <w:ind w:left="0" w:right="0"/>
              <w:jc w:val="center"/>
              <w:rPr>
                <w:rFonts w:hint="default"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招标代理服务费</w:t>
            </w:r>
          </w:p>
        </w:tc>
        <w:tc>
          <w:tcPr>
            <w:tcW w:w="6670" w:type="dxa"/>
            <w:tcBorders>
              <w:top w:val="single" w:color="auto" w:sz="4" w:space="0"/>
              <w:left w:val="single" w:color="auto" w:sz="4" w:space="0"/>
              <w:bottom w:val="single" w:color="auto" w:sz="4" w:space="0"/>
              <w:right w:val="single" w:color="auto" w:sz="4" w:space="0"/>
            </w:tcBorders>
            <w:vAlign w:val="center"/>
          </w:tcPr>
          <w:p w14:paraId="1F8CA75C">
            <w:pPr>
              <w:spacing w:before="0" w:beforeAutospacing="0" w:after="0" w:afterAutospacing="0" w:line="360" w:lineRule="auto"/>
              <w:ind w:left="0" w:right="0"/>
              <w:rPr>
                <w:rFonts w:hint="eastAsia" w:ascii="宋体" w:hAnsi="宋体" w:eastAsia="宋体" w:cs="宋体"/>
                <w:snapToGrid w:val="0"/>
                <w:color w:val="auto"/>
                <w:kern w:val="28"/>
                <w:sz w:val="24"/>
                <w:szCs w:val="20"/>
                <w:lang w:eastAsia="zh-CN"/>
              </w:rPr>
            </w:pPr>
            <w:r>
              <w:rPr>
                <w:rFonts w:hint="eastAsia" w:ascii="宋体" w:hAnsi="宋体" w:eastAsia="宋体" w:cs="宋体"/>
                <w:snapToGrid w:val="0"/>
                <w:color w:val="auto"/>
                <w:kern w:val="28"/>
                <w:sz w:val="24"/>
                <w:szCs w:val="20"/>
                <w:lang w:eastAsia="zh-CN"/>
              </w:rPr>
              <w:t>本次代理服务费由中标单位支付，代理费用付款按《招标代理服务收费管理暂行办法》的通知（</w:t>
            </w:r>
            <w:r>
              <w:rPr>
                <w:rFonts w:hint="eastAsia" w:ascii="宋体" w:hAnsi="宋体" w:cs="宋体"/>
                <w:snapToGrid w:val="0"/>
                <w:color w:val="auto"/>
                <w:kern w:val="28"/>
                <w:sz w:val="24"/>
                <w:szCs w:val="20"/>
                <w:lang w:eastAsia="zh-CN"/>
              </w:rPr>
              <w:t>余财政</w:t>
            </w:r>
            <w:r>
              <w:rPr>
                <w:rFonts w:hint="eastAsia" w:ascii="宋体" w:hAnsi="宋体" w:eastAsia="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2018</w:t>
            </w:r>
            <w:r>
              <w:rPr>
                <w:rFonts w:hint="eastAsia" w:ascii="宋体" w:hAnsi="宋体" w:eastAsia="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24</w:t>
            </w:r>
            <w:r>
              <w:rPr>
                <w:rFonts w:hint="eastAsia" w:ascii="宋体" w:hAnsi="宋体" w:eastAsia="宋体" w:cs="宋体"/>
                <w:snapToGrid w:val="0"/>
                <w:color w:val="auto"/>
                <w:kern w:val="28"/>
                <w:sz w:val="24"/>
                <w:szCs w:val="20"/>
                <w:lang w:eastAsia="zh-CN"/>
              </w:rPr>
              <w:t>号）文件直接支付给分散采购招标代理单位，投标人在报价时应综合考虑该笔费用。</w:t>
            </w:r>
          </w:p>
          <w:p w14:paraId="2E567F81">
            <w:pPr>
              <w:snapToGrid w:val="0"/>
              <w:spacing w:before="0" w:beforeAutospacing="0" w:after="0" w:afterAutospacing="0" w:line="360" w:lineRule="auto"/>
              <w:ind w:left="0" w:right="0"/>
              <w:jc w:val="left"/>
              <w:rPr>
                <w:rFonts w:hint="eastAsia" w:ascii="宋体" w:hAnsi="宋体" w:eastAsia="宋体" w:cs="宋体"/>
                <w:b/>
                <w:bCs/>
                <w:color w:val="auto"/>
                <w:sz w:val="24"/>
                <w:szCs w:val="20"/>
                <w:highlight w:val="none"/>
              </w:rPr>
            </w:pPr>
            <w:r>
              <w:rPr>
                <w:rFonts w:hint="eastAsia" w:ascii="宋体" w:hAnsi="宋体" w:eastAsia="宋体" w:cs="宋体"/>
                <w:snapToGrid w:val="0"/>
                <w:color w:val="auto"/>
                <w:kern w:val="28"/>
                <w:sz w:val="24"/>
                <w:szCs w:val="20"/>
                <w:highlight w:val="none"/>
              </w:rPr>
              <w:t>中标服务费的交纳方式：以转帐或支票的形式支付，开户名：</w:t>
            </w:r>
            <w:r>
              <w:rPr>
                <w:rFonts w:hint="eastAsia" w:ascii="宋体" w:hAnsi="宋体" w:eastAsia="宋体" w:cs="宋体"/>
                <w:snapToGrid w:val="0"/>
                <w:color w:val="auto"/>
                <w:kern w:val="28"/>
                <w:sz w:val="24"/>
                <w:szCs w:val="20"/>
                <w:highlight w:val="none"/>
                <w:lang w:eastAsia="zh-CN"/>
              </w:rPr>
              <w:t>杭州正鸿工程咨询有限公司</w:t>
            </w:r>
            <w:r>
              <w:rPr>
                <w:rFonts w:hint="eastAsia" w:ascii="宋体" w:hAnsi="宋体" w:eastAsia="宋体" w:cs="宋体"/>
                <w:snapToGrid w:val="0"/>
                <w:color w:val="auto"/>
                <w:kern w:val="28"/>
                <w:sz w:val="24"/>
                <w:szCs w:val="20"/>
                <w:highlight w:val="none"/>
              </w:rPr>
              <w:t>；开户行名称：</w:t>
            </w:r>
            <w:r>
              <w:rPr>
                <w:rFonts w:hint="eastAsia" w:ascii="宋体" w:hAnsi="宋体" w:eastAsia="宋体" w:cs="宋体"/>
                <w:snapToGrid w:val="0"/>
                <w:color w:val="auto"/>
                <w:kern w:val="28"/>
                <w:sz w:val="24"/>
                <w:szCs w:val="20"/>
                <w:highlight w:val="none"/>
                <w:lang w:val="en-US" w:eastAsia="zh-CN"/>
              </w:rPr>
              <w:t>杭州联合农村商业银行股份有限公司康桥支行</w:t>
            </w:r>
            <w:r>
              <w:rPr>
                <w:rFonts w:hint="eastAsia" w:ascii="宋体" w:hAnsi="宋体" w:eastAsia="宋体" w:cs="宋体"/>
                <w:snapToGrid w:val="0"/>
                <w:color w:val="auto"/>
                <w:kern w:val="28"/>
                <w:sz w:val="24"/>
                <w:szCs w:val="20"/>
                <w:highlight w:val="none"/>
              </w:rPr>
              <w:t xml:space="preserve"> 帐号：</w:t>
            </w:r>
            <w:r>
              <w:rPr>
                <w:rFonts w:hint="eastAsia" w:ascii="宋体" w:hAnsi="宋体" w:eastAsia="宋体" w:cs="宋体"/>
                <w:snapToGrid w:val="0"/>
                <w:color w:val="auto"/>
                <w:kern w:val="28"/>
                <w:sz w:val="24"/>
                <w:szCs w:val="20"/>
                <w:highlight w:val="none"/>
                <w:lang w:val="en-US" w:eastAsia="zh-CN"/>
              </w:rPr>
              <w:t>201000279863923</w:t>
            </w:r>
            <w:r>
              <w:rPr>
                <w:rFonts w:hint="eastAsia" w:ascii="宋体" w:hAnsi="宋体" w:eastAsia="宋体" w:cs="宋体"/>
                <w:snapToGrid w:val="0"/>
                <w:color w:val="auto"/>
                <w:kern w:val="28"/>
                <w:sz w:val="24"/>
                <w:szCs w:val="20"/>
                <w:highlight w:val="none"/>
              </w:rPr>
              <w:t>中标单位需在领取中标通知书时缴纳中标服务费，缴纳时注明招标编号。</w:t>
            </w:r>
            <w:r>
              <w:rPr>
                <w:rFonts w:hint="default" w:ascii="Times New Roman" w:hAnsi="Times New Roman" w:eastAsia="宋体" w:cs="Times New Roman"/>
                <w:kern w:val="2"/>
                <w:sz w:val="20"/>
                <w:szCs w:val="20"/>
                <w:lang w:val="en-US" w:eastAsia="zh-CN" w:bidi="ar-SA"/>
              </w:rPr>
              <w:drawing>
                <wp:inline distT="0" distB="0" distL="114300" distR="114300">
                  <wp:extent cx="4196715" cy="1572895"/>
                  <wp:effectExtent l="0" t="0" r="13335"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34">
                            <a:lum/>
                          </a:blip>
                          <a:stretch>
                            <a:fillRect/>
                          </a:stretch>
                        </pic:blipFill>
                        <pic:spPr>
                          <a:xfrm>
                            <a:off x="0" y="0"/>
                            <a:ext cx="4196715" cy="1572895"/>
                          </a:xfrm>
                          <a:prstGeom prst="rect">
                            <a:avLst/>
                          </a:prstGeom>
                          <a:noFill/>
                          <a:ln>
                            <a:noFill/>
                          </a:ln>
                        </pic:spPr>
                      </pic:pic>
                    </a:graphicData>
                  </a:graphic>
                </wp:inline>
              </w:drawing>
            </w:r>
          </w:p>
        </w:tc>
      </w:tr>
    </w:tbl>
    <w:p w14:paraId="203767EE">
      <w:pPr>
        <w:adjustRightInd/>
        <w:spacing w:line="360" w:lineRule="auto"/>
        <w:ind w:firstLine="0" w:firstLineChars="0"/>
        <w:jc w:val="center"/>
        <w:outlineLvl w:val="9"/>
        <w:rPr>
          <w:rFonts w:hint="eastAsia" w:ascii="宋体" w:hAnsi="宋体" w:eastAsia="宋体" w:cs="宋体"/>
          <w:b/>
          <w:color w:val="auto"/>
          <w:sz w:val="32"/>
          <w:szCs w:val="20"/>
          <w:highlight w:val="none"/>
        </w:rPr>
      </w:pPr>
    </w:p>
    <w:p w14:paraId="750D8B84">
      <w:pPr>
        <w:adjustRightInd/>
        <w:spacing w:line="240" w:lineRule="auto"/>
        <w:ind w:firstLine="0" w:firstLineChars="0"/>
        <w:jc w:val="left"/>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12B4DEC6">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3C9C557">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0635868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4D5D294">
      <w:pPr>
        <w:numPr>
          <w:ilvl w:val="0"/>
          <w:numId w:val="1"/>
        </w:numPr>
        <w:adjustRightInd/>
        <w:snapToGrid w:val="0"/>
        <w:spacing w:line="360" w:lineRule="auto"/>
        <w:ind w:left="360" w:firstLine="0"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4ED302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3918C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4FF401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686EF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4C533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C5BE3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5D32C8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6EB782C5">
      <w:pPr>
        <w:spacing w:line="360" w:lineRule="auto"/>
        <w:ind w:firstLine="241" w:firstLineChars="1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61515E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2F064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23128F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8583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60343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快递包装政府采购需求标准（试行）》。优先采购绿色包装产品、绿色物流配送服务以及循环利用产品。</w:t>
      </w:r>
    </w:p>
    <w:p w14:paraId="414401D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979F9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8CED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FF66E8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4F81E7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919D5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99C79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3C024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CDF0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2CDA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D16616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CD30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003CD4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4693754">
      <w:pPr>
        <w:adjustRightInd w:val="0"/>
        <w:snapToGrid w:val="0"/>
        <w:spacing w:line="360" w:lineRule="auto"/>
        <w:ind w:left="0" w:firstLine="480" w:firstLineChars="200"/>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6C486C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4EF0D31">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6E873EE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EB253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A63F06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D7DAF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84C3D3A">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FB84FA0">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C5858D3">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4D9E9214">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72A00B0">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597E68A">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52D76D2F">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06050D3">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297FC9AE">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725E38F7">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55CD349F">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7FCEA197">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ADF7EED">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76FD6921">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052805E2">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B48D3D8">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F69AF46">
      <w:pPr>
        <w:pStyle w:val="58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4269D68D">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547F8091">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53AE114">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DE9FCBE">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79DE7826">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4.4.5杭州市余杭区财政局</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政府采购项目投诉材料可寄送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地址：</w:t>
      </w:r>
      <w:r>
        <w:rPr>
          <w:rFonts w:hint="eastAsia" w:ascii="宋体" w:hAnsi="宋体" w:eastAsia="宋体" w:cs="宋体"/>
          <w:color w:val="auto"/>
          <w:sz w:val="24"/>
          <w:highlight w:val="none"/>
        </w:rPr>
        <w:t>杭州市上城区清泰街549号城建综合大楼11楼（快递仅限ems或顺丰）</w:t>
      </w:r>
      <w:r>
        <w:rPr>
          <w:rFonts w:hint="eastAsia" w:ascii="宋体" w:hAnsi="宋体" w:eastAsia="宋体" w:cs="宋体"/>
          <w:color w:val="auto"/>
          <w:highlight w:val="none"/>
        </w:rPr>
        <w:t>，收件人：</w:t>
      </w:r>
      <w:r>
        <w:rPr>
          <w:rFonts w:hint="eastAsia" w:ascii="宋体" w:hAnsi="宋体" w:eastAsia="宋体" w:cs="宋体"/>
          <w:color w:val="auto"/>
          <w:sz w:val="24"/>
          <w:highlight w:val="none"/>
          <w:lang w:val="en-US" w:eastAsia="zh-CN"/>
        </w:rPr>
        <w:t>朱女士、王女士</w:t>
      </w:r>
      <w:r>
        <w:rPr>
          <w:rFonts w:hint="eastAsia" w:ascii="宋体" w:hAnsi="宋体" w:eastAsia="宋体" w:cs="宋体"/>
          <w:color w:val="auto"/>
          <w:highlight w:val="none"/>
        </w:rPr>
        <w:t>，电话：</w:t>
      </w:r>
      <w:r>
        <w:rPr>
          <w:rFonts w:hint="eastAsia" w:ascii="宋体" w:hAnsi="宋体" w:eastAsia="宋体" w:cs="宋体"/>
          <w:color w:val="auto"/>
          <w:sz w:val="24"/>
          <w:highlight w:val="none"/>
          <w:lang w:eastAsia="zh-CN"/>
        </w:rPr>
        <w:t xml:space="preserve">0571-87227671,0571-87800218 </w:t>
      </w:r>
      <w:r>
        <w:rPr>
          <w:rFonts w:hint="eastAsia" w:ascii="宋体" w:hAnsi="宋体" w:eastAsia="宋体" w:cs="宋体"/>
          <w:color w:val="auto"/>
          <w:highlight w:val="none"/>
        </w:rPr>
        <w:t>。</w:t>
      </w:r>
    </w:p>
    <w:p w14:paraId="0938B7F9">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9DF579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64993B1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4FCE1507">
      <w:pPr>
        <w:pStyle w:val="98"/>
        <w:snapToGrid w:val="0"/>
        <w:spacing w:before="0"/>
        <w:ind w:firstLine="360"/>
        <w:rPr>
          <w:rFonts w:hint="eastAsia" w:ascii="宋体" w:hAnsi="宋体" w:eastAsia="宋体" w:cs="宋体"/>
          <w:color w:val="auto"/>
          <w:sz w:val="18"/>
          <w:szCs w:val="18"/>
          <w:highlight w:val="none"/>
        </w:rPr>
      </w:pPr>
    </w:p>
    <w:p w14:paraId="25244C46">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二、招标文件的构成、澄清、修改</w:t>
      </w:r>
    </w:p>
    <w:p w14:paraId="57A512EA">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2726927">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6FCC95A">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F511DCB">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EFE8A3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EB5E3E2">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FC6543E">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EFF0131">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E7DD8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A7B7399">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D7C2508">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5E8AE89F">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D44FCAF">
      <w:pPr>
        <w:pStyle w:val="26"/>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5CCCC83">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633CBD4">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00A74D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050FE8D">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4DC09B2">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2576112">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F90395E">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C403A31">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4F17959">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投标文件及投标人与采购有关的来往通知、函件和文件均应使用中文。</w:t>
      </w:r>
    </w:p>
    <w:p w14:paraId="6C54846C">
      <w:pPr>
        <w:pStyle w:val="35"/>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11. 投标文件的组成</w:t>
      </w:r>
    </w:p>
    <w:p w14:paraId="5178783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1AC85A4">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▲11.1.1符合参加政府采购活动应当具备的一般条件的承诺函；</w:t>
      </w:r>
    </w:p>
    <w:p w14:paraId="09EE61D9">
      <w:pPr>
        <w:snapToGrid w:val="0"/>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11.1.2</w:t>
      </w:r>
      <w:r>
        <w:rPr>
          <w:rFonts w:hint="eastAsia" w:ascii="宋体" w:hAnsi="宋体" w:eastAsia="宋体" w:cs="宋体"/>
          <w:b w:val="0"/>
          <w:bCs w:val="0"/>
          <w:snapToGrid w:val="0"/>
          <w:color w:val="auto"/>
          <w:kern w:val="28"/>
          <w:sz w:val="24"/>
          <w:szCs w:val="20"/>
          <w:highlight w:val="none"/>
        </w:rPr>
        <w:t>联合协议（如果有)；</w:t>
      </w:r>
    </w:p>
    <w:p w14:paraId="6C564105">
      <w:pPr>
        <w:snapToGrid w:val="0"/>
        <w:spacing w:line="360" w:lineRule="auto"/>
        <w:ind w:firstLine="720" w:firstLineChars="3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eastAsia="宋体" w:cs="宋体"/>
          <w:b/>
          <w:bCs/>
          <w:color w:val="auto"/>
          <w:sz w:val="24"/>
          <w:highlight w:val="none"/>
        </w:rPr>
        <w:t>11.1.3落实政府采购政策需满足的资格要求</w:t>
      </w:r>
      <w:r>
        <w:rPr>
          <w:rFonts w:hint="eastAsia" w:ascii="宋体" w:hAnsi="宋体" w:eastAsia="宋体" w:cs="宋体"/>
          <w:b/>
          <w:bCs/>
          <w:snapToGrid w:val="0"/>
          <w:color w:val="auto"/>
          <w:kern w:val="28"/>
          <w:sz w:val="24"/>
          <w:szCs w:val="20"/>
          <w:highlight w:val="none"/>
          <w:lang w:eastAsia="zh-CN"/>
        </w:rPr>
        <w:t>：</w:t>
      </w:r>
      <w:r>
        <w:rPr>
          <w:rFonts w:hint="eastAsia" w:ascii="宋体" w:hAnsi="宋体" w:eastAsia="宋体" w:cs="宋体"/>
          <w:b w:val="0"/>
          <w:bCs w:val="0"/>
          <w:color w:val="auto"/>
          <w:sz w:val="24"/>
          <w:highlight w:val="none"/>
          <w:lang w:eastAsia="zh-CN"/>
        </w:rPr>
        <w:t>本项目为专门面向</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企业采购的项目,投标单位应为</w:t>
      </w:r>
      <w:r>
        <w:rPr>
          <w:rFonts w:hint="eastAsia" w:ascii="宋体" w:hAnsi="宋体" w:eastAsia="宋体" w:cs="宋体"/>
          <w:b w:val="0"/>
          <w:bCs w:val="0"/>
          <w:color w:val="auto"/>
          <w:sz w:val="24"/>
          <w:highlight w:val="none"/>
          <w:lang w:val="en-US" w:eastAsia="zh-CN"/>
        </w:rPr>
        <w:t>中型、</w:t>
      </w:r>
      <w:r>
        <w:rPr>
          <w:rFonts w:hint="eastAsia" w:ascii="宋体" w:hAnsi="宋体" w:eastAsia="宋体" w:cs="宋体"/>
          <w:b w:val="0"/>
          <w:bCs w:val="0"/>
          <w:color w:val="auto"/>
          <w:sz w:val="24"/>
          <w:highlight w:val="none"/>
          <w:lang w:eastAsia="zh-CN"/>
        </w:rPr>
        <w:t>小型企业或微型企业或监狱企业和残疾人福利性单位</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投标时提供</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企业声明函（格式后附），否则其投标文件作无效投标处理。</w:t>
      </w:r>
    </w:p>
    <w:p w14:paraId="1F9BAF9F">
      <w:pPr>
        <w:adjustRightInd/>
        <w:spacing w:line="360" w:lineRule="auto"/>
        <w:ind w:firstLine="480" w:firstLineChars="200"/>
        <w:rPr>
          <w:rFonts w:hint="eastAsia"/>
          <w:highlight w:val="none"/>
          <w:lang w:eastAsia="zh-CN"/>
        </w:rPr>
      </w:pPr>
      <w:r>
        <w:rPr>
          <w:rFonts w:hint="eastAsia" w:ascii="宋体" w:hAnsi="宋体" w:cs="宋体"/>
          <w:bCs/>
          <w:sz w:val="24"/>
          <w:highlight w:val="none"/>
        </w:rPr>
        <w:t>▲</w:t>
      </w:r>
      <w:r>
        <w:rPr>
          <w:rFonts w:hint="eastAsia" w:ascii="宋体" w:hAnsi="宋体" w:cs="宋体"/>
          <w:sz w:val="24"/>
          <w:highlight w:val="none"/>
        </w:rPr>
        <w:t>1</w:t>
      </w:r>
      <w:r>
        <w:rPr>
          <w:rFonts w:ascii="宋体" w:hAnsi="宋体" w:cs="宋体"/>
          <w:sz w:val="24"/>
          <w:highlight w:val="none"/>
        </w:rPr>
        <w:t>1.1.</w:t>
      </w:r>
      <w:r>
        <w:rPr>
          <w:rFonts w:hint="eastAsia" w:ascii="宋体" w:hAnsi="宋体" w:cs="宋体"/>
          <w:sz w:val="24"/>
          <w:highlight w:val="none"/>
        </w:rPr>
        <w:t>4营业执照，</w:t>
      </w:r>
      <w:r>
        <w:rPr>
          <w:rFonts w:hint="eastAsia" w:ascii="宋体" w:hAnsi="宋体" w:cs="宋体"/>
          <w:bCs/>
          <w:sz w:val="24"/>
          <w:highlight w:val="none"/>
        </w:rPr>
        <w:t>有效营业执照</w:t>
      </w:r>
      <w:r>
        <w:rPr>
          <w:rFonts w:hint="eastAsia" w:cs="宋体"/>
          <w:bCs/>
          <w:sz w:val="24"/>
          <w:highlight w:val="none"/>
        </w:rPr>
        <w:t>或者其他组织机构的营业执照或事业法人登记证书或其他市场监督管理部门登记证明材料；</w:t>
      </w:r>
      <w:r>
        <w:rPr>
          <w:rFonts w:hint="eastAsia" w:cs="宋体"/>
          <w:b/>
          <w:sz w:val="24"/>
          <w:highlight w:val="none"/>
        </w:rPr>
        <w:t>提供营业执照或其他执照扫描件或复印件加盖公章；</w:t>
      </w:r>
    </w:p>
    <w:p w14:paraId="3C800994">
      <w:pPr>
        <w:snapToGrid w:val="0"/>
        <w:spacing w:line="360" w:lineRule="auto"/>
        <w:ind w:firstLine="723" w:firstLineChars="30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rPr>
        <w:t>11.1.</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本项目的特定资格要求</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无。</w:t>
      </w:r>
    </w:p>
    <w:p w14:paraId="7C5394E1">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注：上述资格条件审查材料未响应提供的，视为资格审查不通过。上述内容部分格式及内容详见“</w:t>
      </w:r>
      <w:r>
        <w:rPr>
          <w:rFonts w:hint="eastAsia" w:ascii="宋体" w:hAnsi="宋体" w:eastAsia="宋体" w:cs="宋体"/>
          <w:color w:val="auto"/>
          <w:sz w:val="24"/>
          <w:highlight w:val="none"/>
        </w:rPr>
        <w:t>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06755F07">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36FCDF1F">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▲11.2.1投标函；</w:t>
      </w:r>
      <w:r>
        <w:rPr>
          <w:rFonts w:hint="eastAsia" w:ascii="宋体" w:hAnsi="宋体" w:eastAsia="宋体" w:cs="宋体"/>
          <w:b/>
          <w:bCs/>
          <w:color w:val="auto"/>
          <w:sz w:val="24"/>
          <w:highlight w:val="none"/>
          <w:lang w:val="zh-CN"/>
        </w:rPr>
        <w:t xml:space="preserve"> </w:t>
      </w:r>
    </w:p>
    <w:p w14:paraId="4DC65E70">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▲11.2.2授权委托书或法定代表人（单位负责人、自然人本人）身份证明；</w:t>
      </w:r>
    </w:p>
    <w:p w14:paraId="1065B54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2229A2B">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▲11.2.4符合性审查资料；</w:t>
      </w:r>
    </w:p>
    <w:p w14:paraId="13026D10">
      <w:pPr>
        <w:snapToGrid w:val="0"/>
        <w:spacing w:line="360" w:lineRule="auto"/>
        <w:ind w:left="420" w:leftChars="200"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highlight w:val="none"/>
        </w:rPr>
        <w:t>11.2.5评标标准相应的商务技术资料；</w:t>
      </w:r>
      <w:r>
        <w:rPr>
          <w:rFonts w:hint="eastAsia" w:ascii="宋体" w:hAnsi="宋体" w:eastAsia="宋体" w:cs="宋体"/>
          <w:b w:val="0"/>
          <w:bCs w:val="0"/>
          <w:color w:val="auto"/>
          <w:sz w:val="24"/>
          <w:szCs w:val="24"/>
          <w:highlight w:val="none"/>
        </w:rPr>
        <w:t>（按招标文件第四部分评标办法前附表中“投标文件中评标标准相应的商务技术资料目录”提供资料）</w:t>
      </w:r>
    </w:p>
    <w:p w14:paraId="516C398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6A983A6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C03D144">
      <w:pPr>
        <w:snapToGrid w:val="0"/>
        <w:spacing w:line="360" w:lineRule="auto"/>
        <w:ind w:firstLine="720" w:firstLineChars="3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zh-CN"/>
        </w:rPr>
        <w:t>政府采购供应商廉洁自律承诺书；</w:t>
      </w:r>
    </w:p>
    <w:p w14:paraId="4FC01254">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注：上述内容部分格式及内容详见“第六部分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075BFB39">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8A153D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2C1909A">
      <w:pPr>
        <w:adjustRightInd w:val="0"/>
        <w:snapToGrid w:val="0"/>
        <w:spacing w:line="360" w:lineRule="auto"/>
        <w:ind w:left="0" w:firstLine="1200" w:firstLineChars="500"/>
        <w:jc w:val="both"/>
        <w:outlineLvl w:val="9"/>
        <w:rPr>
          <w:rFonts w:hint="eastAsia" w:ascii="宋体" w:hAnsi="宋体" w:eastAsia="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snapToGrid w:val="0"/>
          <w:color w:val="auto"/>
          <w:kern w:val="28"/>
          <w:sz w:val="24"/>
          <w:szCs w:val="20"/>
          <w:highlight w:val="none"/>
        </w:rPr>
        <w:t>（如果有)</w:t>
      </w:r>
      <w:r>
        <w:rPr>
          <w:rFonts w:hint="eastAsia" w:ascii="宋体" w:hAnsi="宋体" w:eastAsia="宋体" w:cs="宋体"/>
          <w:b w:val="0"/>
          <w:bCs w:val="0"/>
          <w:snapToGrid w:val="0"/>
          <w:color w:val="auto"/>
          <w:kern w:val="28"/>
          <w:sz w:val="24"/>
          <w:szCs w:val="20"/>
          <w:highlight w:val="none"/>
          <w:lang w:eastAsia="zh-CN"/>
        </w:rPr>
        <w:t>；</w:t>
      </w:r>
    </w:p>
    <w:p w14:paraId="3317416E">
      <w:pPr>
        <w:adjustRightInd w:val="0"/>
        <w:snapToGrid w:val="0"/>
        <w:spacing w:line="360" w:lineRule="auto"/>
        <w:ind w:left="0" w:firstLine="960" w:firstLineChars="400"/>
        <w:outlineLvl w:val="9"/>
        <w:rPr>
          <w:rFonts w:hint="eastAsia" w:ascii="宋体" w:hAnsi="宋体" w:eastAsia="宋体" w:cs="宋体"/>
          <w:b/>
          <w:bCs/>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eastAsia="宋体" w:cs="宋体"/>
          <w:b/>
          <w:bCs/>
          <w:color w:val="auto"/>
          <w:sz w:val="24"/>
          <w:szCs w:val="24"/>
          <w:highlight w:val="none"/>
          <w:lang w:val="en-US"/>
        </w:rPr>
        <w:t>如供应商报价低于项目预算50%的，应当提交本文档，详细阐述不影响产品</w:t>
      </w:r>
    </w:p>
    <w:p w14:paraId="373B5374">
      <w:pPr>
        <w:adjustRightInd w:val="0"/>
        <w:snapToGrid w:val="0"/>
        <w:spacing w:line="360" w:lineRule="auto"/>
        <w:ind w:left="0" w:firstLine="964" w:firstLineChars="4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rPr>
        <w:t>质量或者诚信履约的具体原因）</w:t>
      </w:r>
      <w:r>
        <w:rPr>
          <w:rFonts w:hint="eastAsia" w:ascii="宋体" w:hAnsi="宋体" w:eastAsia="宋体" w:cs="宋体"/>
          <w:b w:val="0"/>
          <w:bCs w:val="0"/>
          <w:color w:val="auto"/>
          <w:sz w:val="24"/>
          <w:szCs w:val="24"/>
          <w:highlight w:val="none"/>
          <w:lang w:val="en-US" w:eastAsia="zh-CN"/>
        </w:rPr>
        <w:t>；</w:t>
      </w:r>
    </w:p>
    <w:p w14:paraId="4FEC2DF4">
      <w:pPr>
        <w:snapToGrid w:val="0"/>
        <w:spacing w:line="360" w:lineRule="auto"/>
        <w:ind w:firstLine="1200" w:firstLineChars="5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eastAsia="zh-CN"/>
        </w:rPr>
        <w:t>）</w:t>
      </w:r>
    </w:p>
    <w:p w14:paraId="010484B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注：</w:t>
      </w:r>
      <w:r>
        <w:rPr>
          <w:rFonts w:hint="eastAsia" w:ascii="宋体" w:hAnsi="宋体" w:eastAsia="宋体" w:cs="宋体"/>
          <w:b/>
          <w:color w:val="auto"/>
          <w:sz w:val="24"/>
          <w:highlight w:val="none"/>
        </w:rPr>
        <w:t>投标文件含有采购人不能接受的附加条件的，投标无效；投标人提供虚假材料投标的，投标无效。</w:t>
      </w:r>
    </w:p>
    <w:p w14:paraId="6F123545">
      <w:pPr>
        <w:spacing w:line="360" w:lineRule="auto"/>
        <w:ind w:firstLine="723" w:firstLineChars="3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759C45BD">
      <w:pPr>
        <w:pStyle w:val="86"/>
        <w:spacing w:line="360" w:lineRule="auto"/>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7E87607E">
      <w:pPr>
        <w:pStyle w:val="98"/>
        <w:snapToGrid w:val="0"/>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465C30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81EBD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F9F852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64572CC">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912438E">
      <w:pPr>
        <w:pStyle w:val="9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F848734">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8B03DBF">
      <w:pPr>
        <w:pStyle w:val="9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967C380">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FBFC5C9">
      <w:pPr>
        <w:pStyle w:val="9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86AAF7">
      <w:pPr>
        <w:pStyle w:val="9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A59BEC6">
      <w:pPr>
        <w:pStyle w:val="9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26F3E69">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D058CC5">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457F9D47">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40768251">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D8A62CF">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6BD8CA1">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A70EA24">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090C84A4">
      <w:pPr>
        <w:pStyle w:val="1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4D80EE7">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58C99AD">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02ED91D">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A345071">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F12B7F2">
      <w:pPr>
        <w:pStyle w:val="98"/>
        <w:spacing w:before="0"/>
        <w:ind w:firstLine="643"/>
        <w:rPr>
          <w:rFonts w:hint="eastAsia" w:ascii="宋体" w:hAnsi="宋体" w:eastAsia="宋体" w:cs="宋体"/>
          <w:b/>
          <w:color w:val="auto"/>
          <w:sz w:val="32"/>
          <w:highlight w:val="none"/>
        </w:rPr>
      </w:pPr>
    </w:p>
    <w:p w14:paraId="4B767FBB">
      <w:pPr>
        <w:pStyle w:val="9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FD77CB1">
      <w:pPr>
        <w:pStyle w:val="251"/>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298BE28">
      <w:pPr>
        <w:pStyle w:val="251"/>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3DEFE13C">
      <w:pPr>
        <w:pStyle w:val="251"/>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5F49410C">
      <w:pPr>
        <w:pStyle w:val="251"/>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E329D40">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C51BEE7">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099443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14:paraId="01636B38">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457EA9E">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1B34937F">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1B524945">
      <w:pPr>
        <w:pStyle w:val="98"/>
        <w:adjustRightInd w:val="0"/>
        <w:snapToGrid w:val="0"/>
        <w:spacing w:before="0"/>
        <w:ind w:firstLine="480"/>
        <w:rPr>
          <w:rStyle w:val="79"/>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F5A4616">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EB3D18F">
      <w:pPr>
        <w:pStyle w:val="9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60E742A6">
      <w:pPr>
        <w:pStyle w:val="9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029DE60D">
      <w:pPr>
        <w:pStyle w:val="9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6B7966A">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254542A">
      <w:pPr>
        <w:pStyle w:val="98"/>
        <w:spacing w:before="0"/>
        <w:ind w:firstLine="0" w:firstLineChars="0"/>
        <w:rPr>
          <w:rFonts w:hint="eastAsia" w:ascii="宋体" w:hAnsi="宋体" w:eastAsia="宋体" w:cs="宋体"/>
          <w:color w:val="auto"/>
          <w:kern w:val="0"/>
          <w:szCs w:val="24"/>
          <w:highlight w:val="none"/>
        </w:rPr>
      </w:pPr>
    </w:p>
    <w:p w14:paraId="09FC31D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7B937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CF0BEFB">
      <w:pPr>
        <w:spacing w:line="360" w:lineRule="auto"/>
        <w:rPr>
          <w:rFonts w:hint="eastAsia" w:ascii="宋体" w:hAnsi="宋体" w:eastAsia="宋体" w:cs="宋体"/>
          <w:b/>
          <w:color w:val="auto"/>
          <w:sz w:val="24"/>
          <w:highlight w:val="none"/>
        </w:rPr>
      </w:pPr>
    </w:p>
    <w:p w14:paraId="74EBB18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DCE7439">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141D3E6">
      <w:pPr>
        <w:pStyle w:val="9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为提高政府采购效率，一般在收到评审报告当天确定中标或者成交供应商。中标、成交通知书和中标、成交结果公告应当在规定时间内同时发出。</w:t>
      </w:r>
    </w:p>
    <w:p w14:paraId="0434CF5C">
      <w:pPr>
        <w:pStyle w:val="9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6DCF81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562B8E0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B34E47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401182A">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3E2AE81">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520FB33">
      <w:pPr>
        <w:pStyle w:val="16"/>
        <w:spacing w:line="360" w:lineRule="auto"/>
        <w:ind w:left="479" w:hanging="479" w:hangingChars="199"/>
        <w:rPr>
          <w:rFonts w:hint="eastAsia" w:ascii="宋体" w:hAnsi="宋体" w:eastAsia="宋体" w:cs="宋体"/>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615D26F">
      <w:pPr>
        <w:pStyle w:val="98"/>
        <w:adjustRightInd w:val="0"/>
        <w:snapToGrid w:val="0"/>
        <w:spacing w:before="0"/>
        <w:rPr>
          <w:rStyle w:val="79"/>
          <w:rFonts w:hint="eastAsia" w:ascii="宋体" w:hAnsi="宋体" w:eastAsia="宋体" w:cs="宋体"/>
          <w:color w:val="auto"/>
          <w:highlight w:val="none"/>
        </w:rPr>
      </w:pP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1C209DA5">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2DEACD2B">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C12E2B">
      <w:pPr>
        <w:pStyle w:val="9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A10330">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E92F3D5">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29E789E">
      <w:pPr>
        <w:pStyle w:val="9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0CE1177F">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C17E70B">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9090615">
      <w:pPr>
        <w:spacing w:line="360" w:lineRule="auto"/>
        <w:ind w:left="0" w:firstLine="480" w:firstLineChars="200"/>
        <w:outlineLvl w:val="9"/>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349B11">
      <w:pPr>
        <w:pStyle w:val="16"/>
        <w:spacing w:line="360" w:lineRule="auto"/>
        <w:ind w:left="479" w:hanging="479" w:hangingChars="199"/>
        <w:rPr>
          <w:rFonts w:hint="eastAsia" w:ascii="宋体" w:hAnsi="宋体" w:eastAsia="宋体" w:cs="宋体"/>
          <w:b/>
          <w:bCs/>
          <w:snapToGrid w:val="0"/>
          <w:color w:val="auto"/>
          <w:kern w:val="28"/>
          <w:highlight w:val="none"/>
        </w:rPr>
      </w:pPr>
      <w:r>
        <w:rPr>
          <w:rFonts w:hint="eastAsia" w:ascii="宋体" w:hAnsi="宋体" w:eastAsia="宋体" w:cs="宋体"/>
          <w:b/>
          <w:bCs/>
          <w:snapToGrid w:val="0"/>
          <w:color w:val="auto"/>
          <w:kern w:val="28"/>
          <w:highlight w:val="none"/>
        </w:rPr>
        <w:t>27.预付款</w:t>
      </w:r>
    </w:p>
    <w:p w14:paraId="1D16F906">
      <w:pPr>
        <w:snapToGrid w:val="0"/>
        <w:spacing w:line="360" w:lineRule="auto"/>
        <w:ind w:firstLine="480" w:firstLineChars="200"/>
        <w:rPr>
          <w:rFonts w:hint="eastAsia" w:ascii="宋体" w:hAnsi="宋体" w:eastAsia="宋体" w:cs="宋体"/>
          <w:snapToGrid w:val="0"/>
          <w:color w:val="auto"/>
          <w:kern w:val="28"/>
          <w:sz w:val="24"/>
          <w:szCs w:val="24"/>
          <w:highlight w:val="none"/>
          <w:lang w:val="en-US"/>
        </w:rPr>
      </w:pPr>
      <w:r>
        <w:rPr>
          <w:rFonts w:hint="eastAsia" w:ascii="宋体" w:hAnsi="宋体" w:eastAsia="宋体" w:cs="宋体"/>
          <w:snapToGrid w:val="0"/>
          <w:color w:val="auto"/>
          <w:kern w:val="28"/>
          <w:sz w:val="24"/>
          <w:szCs w:val="24"/>
          <w:highlight w:val="none"/>
          <w:lang w:val="en-US"/>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01011B4">
      <w:pPr>
        <w:pStyle w:val="3"/>
        <w:rPr>
          <w:rFonts w:hint="eastAsia"/>
          <w:lang w:val="en-US"/>
        </w:rPr>
      </w:pPr>
    </w:p>
    <w:p w14:paraId="76445B16">
      <w:pPr>
        <w:snapToGrid w:val="0"/>
        <w:spacing w:line="360" w:lineRule="auto"/>
        <w:ind w:firstLine="3357" w:firstLineChars="1045"/>
        <w:rPr>
          <w:rFonts w:hint="eastAsia" w:ascii="宋体" w:hAnsi="宋体" w:eastAsia="宋体" w:cs="宋体"/>
          <w:b/>
          <w:color w:val="auto"/>
          <w:sz w:val="32"/>
          <w:highlight w:val="none"/>
        </w:rPr>
      </w:pPr>
    </w:p>
    <w:p w14:paraId="13E64622">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03997FE">
      <w:pPr>
        <w:pStyle w:val="98"/>
        <w:snapToGrid w:val="0"/>
        <w:spacing w:before="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7E836F47">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.1电子交易平台发生故障而无法登录访问的； </w:t>
      </w:r>
    </w:p>
    <w:p w14:paraId="58780086">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.2电子交易平台应用或数据库出现错误，不能进行正常操作的；</w:t>
      </w:r>
    </w:p>
    <w:p w14:paraId="3B0794EE">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.3电子交易平台发现严重安全漏洞，有潜在泄密危险的；</w:t>
      </w:r>
    </w:p>
    <w:p w14:paraId="76731B8A">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.4病毒发作导致不能进行正常操作的； </w:t>
      </w:r>
    </w:p>
    <w:p w14:paraId="6A0B3006">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.5其他无法保证电子交易的公平、公正和安全的情况。</w:t>
      </w:r>
    </w:p>
    <w:p w14:paraId="4D4B28DC">
      <w:pPr>
        <w:pStyle w:val="98"/>
        <w:snapToGrid w:val="0"/>
        <w:ind w:firstLine="0" w:firstLineChars="0"/>
        <w:rPr>
          <w:rFonts w:hint="eastAsia" w:ascii="宋体" w:hAnsi="宋体" w:eastAsia="宋体" w:cs="宋体"/>
          <w:color w:val="auto"/>
          <w:sz w:val="24"/>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BB333C1">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8D6A776">
      <w:pPr>
        <w:pStyle w:val="16"/>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val="en-US" w:eastAsia="zh-CN"/>
        </w:rPr>
        <w:t>30</w:t>
      </w:r>
      <w:r>
        <w:rPr>
          <w:rFonts w:hint="eastAsia" w:ascii="宋体" w:hAnsi="宋体" w:eastAsia="宋体" w:cs="宋体"/>
          <w:b/>
          <w:color w:val="auto"/>
          <w:highlight w:val="none"/>
        </w:rPr>
        <w:t>.验收</w:t>
      </w:r>
    </w:p>
    <w:p w14:paraId="6D0319E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E1556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.2采购人可以邀请参加本项目的其他投标人或者第三方机构参与验收。参与验收的</w:t>
      </w:r>
      <w:r>
        <w:rPr>
          <w:rFonts w:hint="eastAsia" w:ascii="宋体" w:hAnsi="宋体" w:eastAsia="宋体" w:cs="宋体"/>
          <w:color w:val="auto"/>
          <w:kern w:val="0"/>
          <w:sz w:val="24"/>
          <w:szCs w:val="24"/>
          <w:highlight w:val="none"/>
        </w:rPr>
        <w:t>投标人或者第三方机构的意见作为验收书的参考资料一并存档。</w:t>
      </w:r>
    </w:p>
    <w:p w14:paraId="667C2D52">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4C1F68">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D2AC95">
      <w:pPr>
        <w:adjustRightInd w:val="0"/>
        <w:snapToGrid w:val="0"/>
        <w:spacing w:line="360" w:lineRule="auto"/>
        <w:ind w:left="0" w:firstLine="480" w:firstLineChars="200"/>
        <w:jc w:val="left"/>
        <w:outlineLvl w:val="9"/>
        <w:rPr>
          <w:rFonts w:hint="eastAsia" w:ascii="宋体" w:hAnsi="宋体" w:eastAsia="宋体" w:cs="宋体"/>
          <w:b w:val="0"/>
          <w:bCs w:val="0"/>
          <w:color w:val="auto"/>
          <w:kern w:val="0"/>
          <w:sz w:val="24"/>
          <w:szCs w:val="24"/>
          <w:highlight w:val="none"/>
          <w:lang w:val="en-US"/>
        </w:rPr>
      </w:pP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520D459">
      <w:pPr>
        <w:spacing w:line="360" w:lineRule="auto"/>
        <w:rPr>
          <w:rFonts w:hint="eastAsia" w:ascii="宋体" w:hAnsi="宋体" w:eastAsia="宋体" w:cs="宋体"/>
          <w:highlight w:val="none"/>
        </w:rPr>
      </w:pPr>
    </w:p>
    <w:p w14:paraId="2683E53B">
      <w:pPr>
        <w:tabs>
          <w:tab w:val="left" w:pos="0"/>
        </w:tabs>
        <w:spacing w:line="360" w:lineRule="auto"/>
        <w:ind w:firstLine="480"/>
        <w:rPr>
          <w:rFonts w:hint="eastAsia" w:ascii="宋体" w:hAnsi="宋体" w:eastAsia="宋体" w:cs="宋体"/>
          <w:color w:val="auto"/>
          <w:kern w:val="0"/>
          <w:sz w:val="24"/>
          <w:szCs w:val="24"/>
          <w:highlight w:val="none"/>
        </w:rPr>
        <w:sectPr>
          <w:footerReference r:id="rId9" w:type="first"/>
          <w:footerReference r:id="rId8" w:type="default"/>
          <w:pgSz w:w="11906" w:h="16838"/>
          <w:pgMar w:top="1247" w:right="1474" w:bottom="1247" w:left="1418" w:header="851" w:footer="992" w:gutter="0"/>
          <w:pgNumType w:fmt="decimal" w:start="3"/>
          <w:cols w:space="720" w:num="1"/>
          <w:titlePg/>
          <w:docGrid w:linePitch="312" w:charSpace="0"/>
        </w:sectPr>
      </w:pPr>
    </w:p>
    <w:bookmarkEnd w:id="13"/>
    <w:bookmarkEnd w:id="14"/>
    <w:p w14:paraId="39AF635D">
      <w:pPr>
        <w:pStyle w:val="2"/>
        <w:rPr>
          <w:rFonts w:hint="eastAsia" w:ascii="宋体" w:hAnsi="宋体" w:eastAsia="宋体" w:cs="宋体"/>
          <w:b/>
          <w:color w:val="auto"/>
          <w:sz w:val="36"/>
          <w:szCs w:val="20"/>
          <w:highlight w:val="none"/>
        </w:rPr>
      </w:pPr>
      <w:bookmarkStart w:id="16" w:name="第四部分"/>
      <w:r>
        <w:rPr>
          <w:rFonts w:hint="eastAsia" w:ascii="宋体" w:hAnsi="宋体" w:eastAsia="宋体" w:cs="宋体"/>
          <w:color w:val="auto"/>
          <w:sz w:val="36"/>
          <w:szCs w:val="20"/>
          <w:highlight w:val="none"/>
        </w:rPr>
        <w:t>第三部分  采购需求</w:t>
      </w:r>
    </w:p>
    <w:p w14:paraId="13B15657">
      <w:pPr>
        <w:spacing w:before="75" w:line="360" w:lineRule="auto"/>
        <w:ind w:left="4"/>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rPr>
        <w:t>一</w:t>
      </w:r>
      <w:r>
        <w:rPr>
          <w:rFonts w:hint="eastAsia" w:ascii="宋体" w:hAnsi="宋体" w:eastAsia="宋体" w:cs="宋体"/>
          <w:b/>
          <w:bCs/>
          <w:spacing w:val="8"/>
          <w:sz w:val="24"/>
          <w:szCs w:val="24"/>
          <w:highlight w:val="none"/>
        </w:rPr>
        <w:t>、项目背景</w:t>
      </w:r>
    </w:p>
    <w:p w14:paraId="6BCFBCB3">
      <w:pPr>
        <w:spacing w:before="184" w:line="360" w:lineRule="auto"/>
        <w:ind w:firstLine="48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本项目采购内容为</w:t>
      </w:r>
      <w:r>
        <w:rPr>
          <w:rFonts w:hint="eastAsia" w:ascii="宋体" w:hAnsi="宋体" w:cs="宋体"/>
          <w:spacing w:val="12"/>
          <w:sz w:val="24"/>
          <w:szCs w:val="24"/>
          <w:highlight w:val="none"/>
          <w:lang w:eastAsia="zh-CN"/>
        </w:rPr>
        <w:t>杭州市余杭区市场监督管理局产品商品检测服务采购项目</w:t>
      </w:r>
      <w:r>
        <w:rPr>
          <w:rFonts w:hint="eastAsia" w:ascii="宋体" w:hAnsi="宋体" w:eastAsia="宋体" w:cs="宋体"/>
          <w:spacing w:val="12"/>
          <w:sz w:val="24"/>
          <w:szCs w:val="24"/>
          <w:highlight w:val="none"/>
        </w:rPr>
        <w:t>。项目</w:t>
      </w:r>
      <w:r>
        <w:rPr>
          <w:rFonts w:hint="eastAsia" w:ascii="宋体" w:hAnsi="宋体" w:eastAsia="宋体" w:cs="宋体"/>
          <w:spacing w:val="10"/>
          <w:sz w:val="24"/>
          <w:szCs w:val="24"/>
          <w:highlight w:val="none"/>
        </w:rPr>
        <w:t>检</w:t>
      </w:r>
      <w:r>
        <w:rPr>
          <w:rFonts w:hint="eastAsia" w:ascii="宋体" w:hAnsi="宋体" w:eastAsia="宋体" w:cs="宋体"/>
          <w:spacing w:val="14"/>
          <w:sz w:val="24"/>
          <w:szCs w:val="24"/>
          <w:highlight w:val="none"/>
        </w:rPr>
        <w:t>测范围</w:t>
      </w:r>
      <w:r>
        <w:rPr>
          <w:rFonts w:hint="eastAsia" w:ascii="宋体" w:hAnsi="宋体" w:cs="宋体"/>
          <w:spacing w:val="10"/>
          <w:sz w:val="24"/>
          <w:szCs w:val="24"/>
          <w:highlight w:val="none"/>
          <w:lang w:val="en-US" w:eastAsia="zh-CN"/>
        </w:rPr>
        <w:t>包括</w:t>
      </w:r>
      <w:r>
        <w:rPr>
          <w:rFonts w:hint="eastAsia" w:ascii="宋体" w:hAnsi="宋体" w:eastAsia="宋体" w:cs="宋体"/>
          <w:spacing w:val="7"/>
          <w:sz w:val="24"/>
          <w:szCs w:val="24"/>
          <w:highlight w:val="none"/>
        </w:rPr>
        <w:t>食品相关产品检测，电动自行车检测</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车用柴油检测，车用汽油检测，建材、</w:t>
      </w:r>
      <w:r>
        <w:rPr>
          <w:rFonts w:hint="eastAsia" w:ascii="宋体" w:hAnsi="宋体" w:eastAsia="宋体" w:cs="宋体"/>
          <w:spacing w:val="28"/>
          <w:sz w:val="24"/>
          <w:szCs w:val="24"/>
          <w:highlight w:val="none"/>
        </w:rPr>
        <w:t>装</w:t>
      </w:r>
      <w:r>
        <w:rPr>
          <w:rFonts w:hint="eastAsia" w:ascii="宋体" w:hAnsi="宋体" w:eastAsia="宋体" w:cs="宋体"/>
          <w:spacing w:val="22"/>
          <w:sz w:val="24"/>
          <w:szCs w:val="24"/>
          <w:highlight w:val="none"/>
        </w:rPr>
        <w:t>修</w:t>
      </w:r>
      <w:r>
        <w:rPr>
          <w:rFonts w:hint="eastAsia" w:ascii="宋体" w:hAnsi="宋体" w:eastAsia="宋体" w:cs="宋体"/>
          <w:spacing w:val="14"/>
          <w:sz w:val="24"/>
          <w:szCs w:val="24"/>
          <w:highlight w:val="none"/>
        </w:rPr>
        <w:t>装饰产品及工具检测，家用电器，轻工业品(纺织类、婴幼儿用品)</w:t>
      </w:r>
      <w:r>
        <w:rPr>
          <w:rFonts w:hint="eastAsia" w:ascii="宋体" w:hAnsi="宋体" w:cs="宋体"/>
          <w:spacing w:val="14"/>
          <w:sz w:val="24"/>
          <w:szCs w:val="24"/>
          <w:highlight w:val="none"/>
          <w:lang w:val="en-US" w:eastAsia="zh-CN"/>
        </w:rPr>
        <w:t>等</w:t>
      </w:r>
      <w:r>
        <w:rPr>
          <w:rFonts w:hint="eastAsia" w:ascii="宋体" w:hAnsi="宋体" w:eastAsia="宋体" w:cs="宋体"/>
          <w:spacing w:val="14"/>
          <w:sz w:val="24"/>
          <w:szCs w:val="24"/>
          <w:highlight w:val="none"/>
        </w:rPr>
        <w:t xml:space="preserve"> 。具体详</w:t>
      </w:r>
      <w:r>
        <w:rPr>
          <w:rFonts w:hint="eastAsia" w:ascii="宋体" w:hAnsi="宋体" w:eastAsia="宋体" w:cs="宋体"/>
          <w:spacing w:val="30"/>
          <w:sz w:val="24"/>
          <w:szCs w:val="24"/>
          <w:highlight w:val="none"/>
        </w:rPr>
        <w:t>见</w:t>
      </w:r>
      <w:r>
        <w:rPr>
          <w:rFonts w:hint="eastAsia" w:ascii="宋体" w:hAnsi="宋体" w:eastAsia="宋体" w:cs="宋体"/>
          <w:spacing w:val="20"/>
          <w:sz w:val="24"/>
          <w:szCs w:val="24"/>
          <w:highlight w:val="none"/>
        </w:rPr>
        <w:t>附件：检测项目汇总表(见附件)。</w:t>
      </w:r>
    </w:p>
    <w:p w14:paraId="5CD5A413">
      <w:pPr>
        <w:spacing w:before="198" w:line="360" w:lineRule="auto"/>
        <w:ind w:left="4"/>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二</w:t>
      </w:r>
      <w:r>
        <w:rPr>
          <w:rFonts w:hint="eastAsia" w:ascii="宋体" w:hAnsi="宋体" w:eastAsia="宋体" w:cs="宋体"/>
          <w:b/>
          <w:bCs/>
          <w:spacing w:val="-3"/>
          <w:sz w:val="24"/>
          <w:szCs w:val="24"/>
          <w:highlight w:val="none"/>
        </w:rPr>
        <w:t>、具体内容</w:t>
      </w: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rPr>
        <w:t>要求</w:t>
      </w:r>
    </w:p>
    <w:p w14:paraId="5DF9F7DA">
      <w:pPr>
        <w:spacing w:before="175" w:line="360" w:lineRule="auto"/>
        <w:ind w:left="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w:t>
      </w:r>
      <w:r>
        <w:rPr>
          <w:rFonts w:hint="eastAsia" w:ascii="宋体" w:hAnsi="宋体" w:eastAsia="宋体" w:cs="宋体"/>
          <w:spacing w:val="7"/>
          <w:sz w:val="24"/>
          <w:szCs w:val="24"/>
          <w:highlight w:val="none"/>
        </w:rPr>
        <w:t>、中标的第三方检测机构需将有效期内的资质认定证书复印件(含证书所附的“检</w:t>
      </w:r>
      <w:r>
        <w:rPr>
          <w:rFonts w:hint="eastAsia" w:ascii="宋体" w:hAnsi="宋体" w:eastAsia="宋体" w:cs="宋体"/>
          <w:spacing w:val="10"/>
          <w:sz w:val="24"/>
          <w:szCs w:val="24"/>
          <w:highlight w:val="none"/>
        </w:rPr>
        <w:t>测能</w:t>
      </w:r>
      <w:r>
        <w:rPr>
          <w:rFonts w:hint="eastAsia" w:ascii="宋体" w:hAnsi="宋体" w:eastAsia="宋体" w:cs="宋体"/>
          <w:spacing w:val="9"/>
          <w:sz w:val="24"/>
          <w:szCs w:val="24"/>
          <w:highlight w:val="none"/>
        </w:rPr>
        <w:t>力</w:t>
      </w:r>
      <w:r>
        <w:rPr>
          <w:rFonts w:hint="eastAsia" w:ascii="宋体" w:hAnsi="宋体" w:eastAsia="宋体" w:cs="宋体"/>
          <w:spacing w:val="5"/>
          <w:sz w:val="24"/>
          <w:szCs w:val="24"/>
          <w:highlight w:val="none"/>
        </w:rPr>
        <w:t>范围表” ，如具备实验室认可证书的也同时提供) 于合同签订后 5 个工作日内送</w:t>
      </w:r>
      <w:r>
        <w:rPr>
          <w:rFonts w:hint="eastAsia" w:ascii="宋体" w:hAnsi="宋体" w:eastAsia="宋体" w:cs="宋体"/>
          <w:spacing w:val="9"/>
          <w:sz w:val="24"/>
          <w:szCs w:val="24"/>
          <w:highlight w:val="none"/>
        </w:rPr>
        <w:t>杭州市余杭区市场监督管理局备案</w:t>
      </w:r>
      <w:r>
        <w:rPr>
          <w:rFonts w:hint="eastAsia" w:ascii="宋体" w:hAnsi="宋体" w:eastAsia="宋体" w:cs="宋体"/>
          <w:spacing w:val="6"/>
          <w:sz w:val="24"/>
          <w:szCs w:val="24"/>
          <w:highlight w:val="none"/>
        </w:rPr>
        <w:t>。</w:t>
      </w:r>
    </w:p>
    <w:p w14:paraId="4579E830">
      <w:pPr>
        <w:spacing w:before="176" w:line="360" w:lineRule="auto"/>
        <w:ind w:lef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 、杭州市余杭区市场监督管理局与确定承接委托任务的检测机构签订委托合同</w:t>
      </w:r>
      <w:r>
        <w:rPr>
          <w:rFonts w:hint="eastAsia" w:ascii="宋体" w:hAnsi="宋体" w:eastAsia="宋体" w:cs="宋体"/>
          <w:spacing w:val="5"/>
          <w:sz w:val="24"/>
          <w:szCs w:val="24"/>
          <w:highlight w:val="none"/>
        </w:rPr>
        <w:t>，</w:t>
      </w:r>
    </w:p>
    <w:p w14:paraId="08EF110E">
      <w:pPr>
        <w:spacing w:before="252" w:line="360" w:lineRule="auto"/>
        <w:ind w:left="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实行检测任务委托</w:t>
      </w:r>
      <w:r>
        <w:rPr>
          <w:rFonts w:hint="eastAsia" w:ascii="宋体" w:hAnsi="宋体" w:eastAsia="宋体" w:cs="宋体"/>
          <w:spacing w:val="3"/>
          <w:sz w:val="24"/>
          <w:szCs w:val="24"/>
          <w:highlight w:val="none"/>
        </w:rPr>
        <w:t>。</w:t>
      </w:r>
    </w:p>
    <w:p w14:paraId="45C065A6">
      <w:pPr>
        <w:spacing w:before="175" w:line="360" w:lineRule="auto"/>
        <w:ind w:left="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3、检</w:t>
      </w:r>
      <w:r>
        <w:rPr>
          <w:rFonts w:hint="eastAsia" w:ascii="宋体" w:hAnsi="宋体" w:eastAsia="宋体" w:cs="宋体"/>
          <w:spacing w:val="9"/>
          <w:sz w:val="24"/>
          <w:szCs w:val="24"/>
          <w:highlight w:val="none"/>
        </w:rPr>
        <w:t>测</w:t>
      </w:r>
      <w:r>
        <w:rPr>
          <w:rFonts w:hint="eastAsia" w:ascii="宋体" w:hAnsi="宋体" w:eastAsia="宋体" w:cs="宋体"/>
          <w:spacing w:val="6"/>
          <w:sz w:val="24"/>
          <w:szCs w:val="24"/>
          <w:highlight w:val="none"/>
        </w:rPr>
        <w:t>机构必须严格按质量管理规定和质量保证技术规定等规定对委托的检测任</w:t>
      </w:r>
      <w:r>
        <w:rPr>
          <w:rFonts w:hint="eastAsia" w:ascii="宋体" w:hAnsi="宋体" w:eastAsia="宋体" w:cs="宋体"/>
          <w:spacing w:val="16"/>
          <w:sz w:val="24"/>
          <w:szCs w:val="24"/>
          <w:highlight w:val="none"/>
        </w:rPr>
        <w:t>务</w:t>
      </w:r>
      <w:r>
        <w:rPr>
          <w:rFonts w:hint="eastAsia" w:ascii="宋体" w:hAnsi="宋体" w:eastAsia="宋体" w:cs="宋体"/>
          <w:spacing w:val="14"/>
          <w:sz w:val="24"/>
          <w:szCs w:val="24"/>
          <w:highlight w:val="none"/>
        </w:rPr>
        <w:t>实</w:t>
      </w:r>
      <w:r>
        <w:rPr>
          <w:rFonts w:hint="eastAsia" w:ascii="宋体" w:hAnsi="宋体" w:eastAsia="宋体" w:cs="宋体"/>
          <w:spacing w:val="8"/>
          <w:sz w:val="24"/>
          <w:szCs w:val="24"/>
          <w:highlight w:val="none"/>
        </w:rPr>
        <w:t>施全过程质量控制，并向杭州市余杭区市场监督管理局提供质控数据。</w:t>
      </w:r>
    </w:p>
    <w:p w14:paraId="41A7B85A">
      <w:pPr>
        <w:spacing w:before="176" w:line="360" w:lineRule="auto"/>
        <w:ind w:left="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4、</w:t>
      </w:r>
      <w:r>
        <w:rPr>
          <w:rFonts w:hint="eastAsia" w:ascii="宋体" w:hAnsi="宋体" w:eastAsia="宋体" w:cs="宋体"/>
          <w:spacing w:val="8"/>
          <w:sz w:val="24"/>
          <w:szCs w:val="24"/>
          <w:highlight w:val="none"/>
        </w:rPr>
        <w:t>承</w:t>
      </w:r>
      <w:r>
        <w:rPr>
          <w:rFonts w:hint="eastAsia" w:ascii="宋体" w:hAnsi="宋体" w:eastAsia="宋体" w:cs="宋体"/>
          <w:spacing w:val="6"/>
          <w:sz w:val="24"/>
          <w:szCs w:val="24"/>
          <w:highlight w:val="none"/>
        </w:rPr>
        <w:t>接委托任务的检测机构需在委托合同 (协议) 约定期限内向杭州市余杭区市</w:t>
      </w:r>
      <w:r>
        <w:rPr>
          <w:rFonts w:hint="eastAsia" w:ascii="宋体" w:hAnsi="宋体" w:eastAsia="宋体" w:cs="宋体"/>
          <w:spacing w:val="12"/>
          <w:sz w:val="24"/>
          <w:szCs w:val="24"/>
          <w:highlight w:val="none"/>
        </w:rPr>
        <w:t>场</w:t>
      </w:r>
      <w:r>
        <w:rPr>
          <w:rFonts w:hint="eastAsia" w:ascii="宋体" w:hAnsi="宋体" w:eastAsia="宋体" w:cs="宋体"/>
          <w:spacing w:val="11"/>
          <w:sz w:val="24"/>
          <w:szCs w:val="24"/>
          <w:highlight w:val="none"/>
        </w:rPr>
        <w:t>监</w:t>
      </w:r>
      <w:r>
        <w:rPr>
          <w:rFonts w:hint="eastAsia" w:ascii="宋体" w:hAnsi="宋体" w:eastAsia="宋体" w:cs="宋体"/>
          <w:spacing w:val="6"/>
          <w:sz w:val="24"/>
          <w:szCs w:val="24"/>
          <w:highlight w:val="none"/>
        </w:rPr>
        <w:t>督管理局递交委托检测报告。</w:t>
      </w:r>
    </w:p>
    <w:p w14:paraId="75B1E837">
      <w:pPr>
        <w:spacing w:before="177" w:line="360" w:lineRule="auto"/>
        <w:ind w:left="0"/>
        <w:rPr>
          <w:rFonts w:hint="eastAsia" w:ascii="宋体" w:hAnsi="宋体" w:eastAsia="宋体" w:cs="宋体"/>
          <w:spacing w:val="7"/>
          <w:sz w:val="24"/>
          <w:szCs w:val="24"/>
          <w:highlight w:val="none"/>
        </w:rPr>
      </w:pPr>
      <w:r>
        <w:rPr>
          <w:rFonts w:hint="eastAsia" w:ascii="宋体" w:hAnsi="宋体" w:eastAsia="宋体" w:cs="宋体"/>
          <w:spacing w:val="12"/>
          <w:sz w:val="24"/>
          <w:szCs w:val="24"/>
          <w:highlight w:val="none"/>
        </w:rPr>
        <w:t>5、未</w:t>
      </w:r>
      <w:r>
        <w:rPr>
          <w:rFonts w:hint="eastAsia" w:ascii="宋体" w:hAnsi="宋体" w:eastAsia="宋体" w:cs="宋体"/>
          <w:spacing w:val="8"/>
          <w:sz w:val="24"/>
          <w:szCs w:val="24"/>
          <w:highlight w:val="none"/>
        </w:rPr>
        <w:t>经</w:t>
      </w:r>
      <w:r>
        <w:rPr>
          <w:rFonts w:hint="eastAsia" w:ascii="宋体" w:hAnsi="宋体" w:eastAsia="宋体" w:cs="宋体"/>
          <w:spacing w:val="6"/>
          <w:sz w:val="24"/>
          <w:szCs w:val="24"/>
          <w:highlight w:val="none"/>
        </w:rPr>
        <w:t>采购人同意，各检测机构承接委托任务后不可再进行委托或分包，否则杭</w:t>
      </w:r>
      <w:r>
        <w:rPr>
          <w:rFonts w:hint="eastAsia" w:ascii="宋体" w:hAnsi="宋体" w:eastAsia="宋体" w:cs="宋体"/>
          <w:spacing w:val="14"/>
          <w:sz w:val="24"/>
          <w:szCs w:val="24"/>
          <w:highlight w:val="none"/>
        </w:rPr>
        <w:t>州市</w:t>
      </w:r>
      <w:r>
        <w:rPr>
          <w:rFonts w:hint="eastAsia" w:ascii="宋体" w:hAnsi="宋体" w:eastAsia="宋体" w:cs="宋体"/>
          <w:spacing w:val="9"/>
          <w:sz w:val="24"/>
          <w:szCs w:val="24"/>
          <w:highlight w:val="none"/>
        </w:rPr>
        <w:t>余</w:t>
      </w:r>
      <w:r>
        <w:rPr>
          <w:rFonts w:hint="eastAsia" w:ascii="宋体" w:hAnsi="宋体" w:eastAsia="宋体" w:cs="宋体"/>
          <w:spacing w:val="7"/>
          <w:sz w:val="24"/>
          <w:szCs w:val="24"/>
          <w:highlight w:val="none"/>
        </w:rPr>
        <w:t>杭区市场监督管理局将取消其中标资格。</w:t>
      </w:r>
    </w:p>
    <w:p w14:paraId="3816B35D">
      <w:pPr>
        <w:pStyle w:val="2"/>
        <w:jc w:val="left"/>
        <w:rPr>
          <w:rFonts w:hint="default" w:eastAsia="宋体"/>
          <w:b w:val="0"/>
          <w:bCs w:val="0"/>
          <w:lang w:val="en-US" w:eastAsia="zh-CN"/>
        </w:rPr>
      </w:pPr>
      <w:r>
        <w:rPr>
          <w:rFonts w:hint="eastAsia" w:ascii="宋体" w:hAnsi="宋体" w:cs="宋体"/>
          <w:b w:val="0"/>
          <w:bCs w:val="0"/>
          <w:spacing w:val="7"/>
          <w:sz w:val="24"/>
          <w:szCs w:val="24"/>
          <w:highlight w:val="none"/>
          <w:lang w:val="en-US" w:eastAsia="zh-CN"/>
        </w:rPr>
        <w:t>6、不合格产品涉及的企业复查工作由初检单位免费承担。</w:t>
      </w:r>
    </w:p>
    <w:p w14:paraId="629C889B">
      <w:pPr>
        <w:spacing w:before="118" w:line="360" w:lineRule="auto"/>
        <w:rPr>
          <w:rFonts w:hint="eastAsia" w:ascii="宋体" w:hAnsi="宋体" w:eastAsia="宋体" w:cs="宋体"/>
          <w:b/>
          <w:bCs/>
          <w:sz w:val="24"/>
          <w:szCs w:val="24"/>
          <w:highlight w:val="none"/>
        </w:rPr>
      </w:pPr>
      <w:r>
        <w:rPr>
          <w:rFonts w:hint="eastAsia" w:ascii="宋体" w:hAnsi="宋体" w:eastAsia="宋体" w:cs="宋体"/>
          <w:b/>
          <w:bCs/>
          <w:spacing w:val="-13"/>
          <w:sz w:val="24"/>
          <w:szCs w:val="24"/>
          <w:highlight w:val="none"/>
        </w:rPr>
        <w:t>三</w:t>
      </w:r>
      <w:r>
        <w:rPr>
          <w:rFonts w:hint="eastAsia" w:ascii="宋体" w:hAnsi="宋体" w:eastAsia="宋体" w:cs="宋体"/>
          <w:b/>
          <w:bCs/>
          <w:spacing w:val="-7"/>
          <w:sz w:val="24"/>
          <w:szCs w:val="24"/>
          <w:highlight w:val="none"/>
        </w:rPr>
        <w:t>、 工期要求：</w:t>
      </w:r>
    </w:p>
    <w:p w14:paraId="362E5EF7">
      <w:pPr>
        <w:spacing w:before="116" w:line="360" w:lineRule="auto"/>
        <w:ind w:left="0" w:right="82" w:firstLine="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本次招标</w:t>
      </w:r>
      <w:r>
        <w:rPr>
          <w:rFonts w:hint="eastAsia" w:ascii="宋体" w:hAnsi="宋体" w:eastAsia="宋体" w:cs="宋体"/>
          <w:spacing w:val="7"/>
          <w:sz w:val="24"/>
          <w:szCs w:val="24"/>
          <w:highlight w:val="none"/>
        </w:rPr>
        <w:t>资</w:t>
      </w:r>
      <w:r>
        <w:rPr>
          <w:rFonts w:hint="eastAsia" w:ascii="宋体" w:hAnsi="宋体" w:eastAsia="宋体" w:cs="宋体"/>
          <w:spacing w:val="6"/>
          <w:sz w:val="24"/>
          <w:szCs w:val="24"/>
          <w:highlight w:val="none"/>
        </w:rPr>
        <w:t>格中标服务期限为自合同签订之日</w:t>
      </w:r>
      <w:r>
        <w:rPr>
          <w:rFonts w:hint="eastAsia" w:ascii="宋体" w:hAnsi="宋体" w:cs="宋体"/>
          <w:spacing w:val="6"/>
          <w:sz w:val="24"/>
          <w:szCs w:val="24"/>
          <w:highlight w:val="none"/>
          <w:lang w:val="en-US" w:eastAsia="zh-CN"/>
        </w:rPr>
        <w:t>一年</w:t>
      </w:r>
      <w:r>
        <w:rPr>
          <w:rFonts w:hint="eastAsia" w:ascii="宋体" w:hAnsi="宋体" w:cs="宋体"/>
          <w:spacing w:val="6"/>
          <w:sz w:val="24"/>
          <w:szCs w:val="24"/>
          <w:highlight w:val="none"/>
          <w:lang w:eastAsia="zh-CN"/>
        </w:rPr>
        <w:t>，</w:t>
      </w:r>
      <w:r>
        <w:rPr>
          <w:rFonts w:hint="eastAsia" w:ascii="宋体" w:hAnsi="宋体" w:eastAsia="宋体" w:cs="宋体"/>
          <w:spacing w:val="6"/>
          <w:sz w:val="24"/>
          <w:szCs w:val="24"/>
          <w:highlight w:val="none"/>
        </w:rPr>
        <w:t>合同期满，另行</w:t>
      </w:r>
      <w:r>
        <w:rPr>
          <w:rFonts w:hint="eastAsia" w:ascii="宋体" w:hAnsi="宋体" w:eastAsia="宋体" w:cs="宋体"/>
          <w:spacing w:val="-6"/>
          <w:sz w:val="24"/>
          <w:szCs w:val="24"/>
          <w:highlight w:val="none"/>
        </w:rPr>
        <w:t>招</w:t>
      </w:r>
      <w:r>
        <w:rPr>
          <w:rFonts w:hint="eastAsia" w:ascii="宋体" w:hAnsi="宋体" w:eastAsia="宋体" w:cs="宋体"/>
          <w:spacing w:val="-4"/>
          <w:sz w:val="24"/>
          <w:szCs w:val="24"/>
          <w:highlight w:val="none"/>
        </w:rPr>
        <w:t>标。</w:t>
      </w:r>
    </w:p>
    <w:p w14:paraId="6323E087">
      <w:pPr>
        <w:spacing w:before="2" w:line="360" w:lineRule="auto"/>
        <w:ind w:left="0" w:right="80" w:firstLine="0"/>
        <w:rPr>
          <w:rFonts w:hint="eastAsia" w:ascii="宋体" w:hAnsi="宋体" w:eastAsia="宋体" w:cs="宋体"/>
          <w:sz w:val="24"/>
          <w:szCs w:val="24"/>
          <w:highlight w:val="none"/>
        </w:rPr>
      </w:pPr>
      <w:r>
        <w:rPr>
          <w:rFonts w:hint="eastAsia" w:ascii="宋体" w:hAnsi="宋体" w:cs="宋体"/>
          <w:spacing w:val="18"/>
          <w:sz w:val="24"/>
          <w:szCs w:val="24"/>
          <w:highlight w:val="none"/>
          <w:lang w:val="en-US" w:eastAsia="zh-CN"/>
        </w:rPr>
        <w:t>1、</w:t>
      </w:r>
      <w:r>
        <w:rPr>
          <w:rFonts w:hint="eastAsia" w:ascii="宋体" w:hAnsi="宋体" w:eastAsia="宋体" w:cs="宋体"/>
          <w:spacing w:val="9"/>
          <w:sz w:val="24"/>
          <w:szCs w:val="24"/>
          <w:highlight w:val="none"/>
        </w:rPr>
        <w:t xml:space="preserve"> 中标单位接到中标通知书后三十天内与本局签订书面合同。逾期不签的，视</w:t>
      </w:r>
      <w:r>
        <w:rPr>
          <w:rFonts w:hint="eastAsia" w:ascii="宋体" w:hAnsi="宋体" w:eastAsia="宋体" w:cs="宋体"/>
          <w:spacing w:val="-4"/>
          <w:sz w:val="24"/>
          <w:szCs w:val="24"/>
          <w:highlight w:val="none"/>
        </w:rPr>
        <w:t>为</w:t>
      </w:r>
      <w:r>
        <w:rPr>
          <w:rFonts w:hint="eastAsia" w:ascii="宋体" w:hAnsi="宋体" w:eastAsia="宋体" w:cs="宋体"/>
          <w:spacing w:val="-2"/>
          <w:sz w:val="24"/>
          <w:szCs w:val="24"/>
          <w:highlight w:val="none"/>
        </w:rPr>
        <w:t>放弃。</w:t>
      </w:r>
    </w:p>
    <w:p w14:paraId="650B0E2D">
      <w:pPr>
        <w:spacing w:before="2" w:line="360" w:lineRule="auto"/>
        <w:ind w:left="0" w:right="37" w:firstLine="0"/>
        <w:rPr>
          <w:rFonts w:hint="eastAsia" w:ascii="宋体" w:hAnsi="宋体" w:eastAsia="宋体" w:cs="宋体"/>
          <w:sz w:val="24"/>
          <w:szCs w:val="24"/>
          <w:highlight w:val="none"/>
        </w:rPr>
      </w:pPr>
      <w:r>
        <w:rPr>
          <w:rFonts w:hint="eastAsia" w:ascii="宋体" w:hAnsi="宋体" w:cs="宋体"/>
          <w:spacing w:val="20"/>
          <w:sz w:val="24"/>
          <w:szCs w:val="24"/>
          <w:highlight w:val="none"/>
          <w:lang w:val="en-US" w:eastAsia="zh-CN"/>
        </w:rPr>
        <w:t>2、</w:t>
      </w:r>
      <w:r>
        <w:rPr>
          <w:rFonts w:hint="eastAsia" w:ascii="宋体" w:hAnsi="宋体" w:eastAsia="宋体" w:cs="宋体"/>
          <w:spacing w:val="10"/>
          <w:sz w:val="24"/>
          <w:szCs w:val="24"/>
          <w:highlight w:val="none"/>
        </w:rPr>
        <w:t>中标单位须自行履行中标项目的全部工作事项，不得向他人转让中标项目，</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未</w:t>
      </w:r>
      <w:r>
        <w:rPr>
          <w:rFonts w:hint="eastAsia" w:ascii="宋体" w:hAnsi="宋体" w:eastAsia="宋体" w:cs="宋体"/>
          <w:spacing w:val="9"/>
          <w:sz w:val="24"/>
          <w:szCs w:val="24"/>
          <w:highlight w:val="none"/>
        </w:rPr>
        <w:t>经</w:t>
      </w:r>
      <w:r>
        <w:rPr>
          <w:rFonts w:hint="eastAsia" w:ascii="宋体" w:hAnsi="宋体" w:eastAsia="宋体" w:cs="宋体"/>
          <w:spacing w:val="7"/>
          <w:sz w:val="24"/>
          <w:szCs w:val="24"/>
          <w:highlight w:val="none"/>
        </w:rPr>
        <w:t>采购人同意，不得将中标项目分包给他人。</w:t>
      </w:r>
    </w:p>
    <w:p w14:paraId="1F8D476B">
      <w:pPr>
        <w:spacing w:line="360" w:lineRule="auto"/>
        <w:ind w:left="0"/>
        <w:rPr>
          <w:rFonts w:hint="eastAsia" w:ascii="宋体" w:hAnsi="宋体" w:eastAsia="宋体" w:cs="宋体"/>
          <w:sz w:val="24"/>
          <w:szCs w:val="24"/>
          <w:highlight w:val="none"/>
        </w:rPr>
        <w:sectPr>
          <w:footerReference r:id="rId10" w:type="default"/>
          <w:pgSz w:w="11906" w:h="16839"/>
          <w:pgMar w:top="400" w:right="1393" w:bottom="803" w:left="1481" w:header="0" w:footer="643" w:gutter="0"/>
          <w:pgNumType w:fmt="numberInDash"/>
          <w:cols w:space="720" w:num="1"/>
        </w:sectPr>
      </w:pPr>
      <w:r>
        <w:rPr>
          <w:rFonts w:hint="eastAsia" w:ascii="宋体" w:hAnsi="宋体" w:cs="宋体"/>
          <w:spacing w:val="18"/>
          <w:sz w:val="24"/>
          <w:szCs w:val="24"/>
          <w:highlight w:val="none"/>
          <w:lang w:val="en-US" w:eastAsia="zh-CN"/>
        </w:rPr>
        <w:t>3、</w:t>
      </w:r>
      <w:r>
        <w:rPr>
          <w:rFonts w:hint="eastAsia" w:ascii="宋体" w:hAnsi="宋体" w:eastAsia="宋体" w:cs="宋体"/>
          <w:spacing w:val="9"/>
          <w:sz w:val="24"/>
          <w:szCs w:val="24"/>
          <w:highlight w:val="none"/>
        </w:rPr>
        <w:t xml:space="preserve"> 在合同约定的服务期内，如中标单位提供的服务无法满足采购人的需要或未</w:t>
      </w:r>
    </w:p>
    <w:p w14:paraId="64A4F153">
      <w:pPr>
        <w:spacing w:before="74" w:line="360" w:lineRule="auto"/>
        <w:ind w:right="101"/>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达到</w:t>
      </w:r>
      <w:r>
        <w:rPr>
          <w:rFonts w:hint="eastAsia" w:ascii="宋体" w:hAnsi="宋体" w:eastAsia="宋体" w:cs="宋体"/>
          <w:spacing w:val="11"/>
          <w:sz w:val="24"/>
          <w:szCs w:val="24"/>
          <w:highlight w:val="none"/>
        </w:rPr>
        <w:t>投</w:t>
      </w:r>
      <w:r>
        <w:rPr>
          <w:rFonts w:hint="eastAsia" w:ascii="宋体" w:hAnsi="宋体" w:eastAsia="宋体" w:cs="宋体"/>
          <w:spacing w:val="8"/>
          <w:sz w:val="24"/>
          <w:szCs w:val="24"/>
          <w:highlight w:val="none"/>
        </w:rPr>
        <w:t>标承诺的标准，经采购人指出后仍未有改进的，采购人可单方解除合同， 由此</w:t>
      </w:r>
      <w:r>
        <w:rPr>
          <w:rFonts w:hint="eastAsia" w:ascii="宋体" w:hAnsi="宋体" w:eastAsia="宋体" w:cs="宋体"/>
          <w:spacing w:val="14"/>
          <w:sz w:val="24"/>
          <w:szCs w:val="24"/>
          <w:highlight w:val="none"/>
        </w:rPr>
        <w:t>造</w:t>
      </w:r>
      <w:r>
        <w:rPr>
          <w:rFonts w:hint="eastAsia" w:ascii="宋体" w:hAnsi="宋体" w:eastAsia="宋体" w:cs="宋体"/>
          <w:spacing w:val="8"/>
          <w:sz w:val="24"/>
          <w:szCs w:val="24"/>
          <w:highlight w:val="none"/>
        </w:rPr>
        <w:t>成</w:t>
      </w:r>
      <w:r>
        <w:rPr>
          <w:rFonts w:hint="eastAsia" w:ascii="宋体" w:hAnsi="宋体" w:eastAsia="宋体" w:cs="宋体"/>
          <w:spacing w:val="7"/>
          <w:sz w:val="24"/>
          <w:szCs w:val="24"/>
          <w:highlight w:val="none"/>
        </w:rPr>
        <w:t>采购人的一切损失均由中标单位承担。</w:t>
      </w:r>
    </w:p>
    <w:p w14:paraId="19750961">
      <w:pPr>
        <w:spacing w:line="360" w:lineRule="auto"/>
        <w:ind w:left="0" w:firstLine="0" w:firstLineChars="0"/>
        <w:rPr>
          <w:rFonts w:hint="eastAsia" w:ascii="宋体" w:hAnsi="宋体" w:eastAsia="宋体" w:cs="宋体"/>
          <w:sz w:val="24"/>
          <w:szCs w:val="24"/>
          <w:highlight w:val="none"/>
        </w:rPr>
      </w:pPr>
      <w:r>
        <w:rPr>
          <w:rFonts w:hint="eastAsia" w:ascii="宋体" w:hAnsi="宋体" w:cs="宋体"/>
          <w:spacing w:val="3"/>
          <w:sz w:val="24"/>
          <w:szCs w:val="24"/>
          <w:highlight w:val="none"/>
          <w:lang w:val="en-US" w:eastAsia="zh-CN"/>
        </w:rPr>
        <w:t>4、</w:t>
      </w:r>
      <w:r>
        <w:rPr>
          <w:rFonts w:hint="eastAsia" w:ascii="宋体" w:hAnsi="宋体" w:eastAsia="宋体" w:cs="宋体"/>
          <w:spacing w:val="3"/>
          <w:sz w:val="24"/>
          <w:szCs w:val="24"/>
          <w:highlight w:val="none"/>
        </w:rPr>
        <w:t>履</w:t>
      </w:r>
      <w:r>
        <w:rPr>
          <w:rFonts w:hint="eastAsia" w:ascii="宋体" w:hAnsi="宋体" w:cs="宋体"/>
          <w:spacing w:val="3"/>
          <w:sz w:val="24"/>
          <w:szCs w:val="24"/>
          <w:highlight w:val="none"/>
          <w:lang w:val="en-US" w:eastAsia="zh-CN"/>
        </w:rPr>
        <w:t>约</w:t>
      </w:r>
      <w:r>
        <w:rPr>
          <w:rFonts w:hint="eastAsia" w:ascii="宋体" w:hAnsi="宋体" w:eastAsia="宋体" w:cs="宋体"/>
          <w:spacing w:val="3"/>
          <w:sz w:val="24"/>
          <w:szCs w:val="24"/>
          <w:highlight w:val="none"/>
        </w:rPr>
        <w:t>期内每次委托检测都需按规定时间完成。</w:t>
      </w:r>
    </w:p>
    <w:p w14:paraId="3C2A5094">
      <w:pPr>
        <w:spacing w:before="115" w:line="360" w:lineRule="auto"/>
        <w:ind w:left="5"/>
        <w:rPr>
          <w:rFonts w:hint="eastAsia" w:ascii="宋体" w:hAnsi="宋体" w:eastAsia="宋体" w:cs="宋体"/>
          <w:b/>
          <w:bCs/>
          <w:sz w:val="24"/>
          <w:szCs w:val="24"/>
          <w:highlight w:val="none"/>
        </w:rPr>
      </w:pPr>
      <w:r>
        <w:rPr>
          <w:rFonts w:hint="eastAsia" w:ascii="宋体" w:hAnsi="宋体" w:cs="宋体"/>
          <w:b/>
          <w:bCs/>
          <w:spacing w:val="8"/>
          <w:sz w:val="24"/>
          <w:szCs w:val="24"/>
          <w:highlight w:val="none"/>
          <w:lang w:val="en-US" w:eastAsia="zh-CN"/>
        </w:rPr>
        <w:t>四</w:t>
      </w:r>
      <w:r>
        <w:rPr>
          <w:rFonts w:hint="eastAsia" w:ascii="宋体" w:hAnsi="宋体" w:eastAsia="宋体" w:cs="宋体"/>
          <w:b/>
          <w:bCs/>
          <w:spacing w:val="8"/>
          <w:sz w:val="24"/>
          <w:szCs w:val="24"/>
          <w:highlight w:val="none"/>
        </w:rPr>
        <w:t>、验收要求 (考核办法) ：</w:t>
      </w:r>
    </w:p>
    <w:p w14:paraId="6232D8AE">
      <w:pPr>
        <w:spacing w:before="92" w:line="360" w:lineRule="auto"/>
        <w:ind w:left="0" w:firstLine="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w:t>
      </w:r>
      <w:r>
        <w:rPr>
          <w:rFonts w:hint="eastAsia" w:ascii="宋体" w:hAnsi="宋体" w:eastAsia="宋体" w:cs="宋体"/>
          <w:spacing w:val="6"/>
          <w:sz w:val="24"/>
          <w:szCs w:val="24"/>
          <w:highlight w:val="none"/>
        </w:rPr>
        <w:t>、报告的完整性和及时性满足检测合同 (协议)要求，中标单位需按合同要求的</w:t>
      </w:r>
      <w:r>
        <w:rPr>
          <w:rFonts w:hint="eastAsia" w:ascii="宋体" w:hAnsi="宋体" w:eastAsia="宋体" w:cs="宋体"/>
          <w:spacing w:val="26"/>
          <w:sz w:val="24"/>
          <w:szCs w:val="24"/>
          <w:highlight w:val="none"/>
        </w:rPr>
        <w:t>检</w:t>
      </w:r>
      <w:r>
        <w:rPr>
          <w:rFonts w:hint="eastAsia" w:ascii="宋体" w:hAnsi="宋体" w:eastAsia="宋体" w:cs="宋体"/>
          <w:spacing w:val="13"/>
          <w:sz w:val="24"/>
          <w:szCs w:val="24"/>
          <w:highlight w:val="none"/>
        </w:rPr>
        <w:t>测项目和数量在约定时间内提供检测报告，报告需加盖资质认定标志(</w:t>
      </w:r>
      <w:r>
        <w:rPr>
          <w:rFonts w:hint="eastAsia" w:ascii="宋体" w:hAnsi="宋体" w:eastAsia="宋体" w:cs="宋体"/>
          <w:sz w:val="24"/>
          <w:szCs w:val="24"/>
          <w:highlight w:val="none"/>
        </w:rPr>
        <w:t>CMA</w:t>
      </w:r>
      <w:r>
        <w:rPr>
          <w:rFonts w:hint="eastAsia" w:ascii="宋体" w:hAnsi="宋体" w:eastAsia="宋体" w:cs="宋体"/>
          <w:spacing w:val="13"/>
          <w:sz w:val="24"/>
          <w:szCs w:val="24"/>
          <w:highlight w:val="none"/>
        </w:rPr>
        <w:t>章)，</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如报告未加盖资质认定标志或非因采购人因素造成不符合合同要求累计3次(</w:t>
      </w:r>
      <w:r>
        <w:rPr>
          <w:rFonts w:hint="eastAsia" w:ascii="宋体" w:hAnsi="宋体" w:eastAsia="宋体" w:cs="宋体"/>
          <w:spacing w:val="5"/>
          <w:sz w:val="24"/>
          <w:szCs w:val="24"/>
          <w:highlight w:val="none"/>
        </w:rPr>
        <w:t>含</w:t>
      </w:r>
      <w:r>
        <w:rPr>
          <w:rFonts w:hint="eastAsia" w:ascii="宋体" w:hAnsi="宋体" w:eastAsia="宋体" w:cs="宋体"/>
          <w:sz w:val="24"/>
          <w:szCs w:val="24"/>
          <w:highlight w:val="none"/>
        </w:rPr>
        <w:t>)</w:t>
      </w:r>
      <w:r>
        <w:rPr>
          <w:rFonts w:hint="eastAsia" w:ascii="宋体" w:hAnsi="宋体" w:eastAsia="宋体" w:cs="宋体"/>
          <w:spacing w:val="12"/>
          <w:sz w:val="24"/>
          <w:szCs w:val="24"/>
          <w:highlight w:val="none"/>
        </w:rPr>
        <w:t>以上</w:t>
      </w:r>
      <w:r>
        <w:rPr>
          <w:rFonts w:hint="eastAsia" w:ascii="宋体" w:hAnsi="宋体" w:eastAsia="宋体" w:cs="宋体"/>
          <w:spacing w:val="8"/>
          <w:sz w:val="24"/>
          <w:szCs w:val="24"/>
          <w:highlight w:val="none"/>
        </w:rPr>
        <w:t>的</w:t>
      </w:r>
      <w:r>
        <w:rPr>
          <w:rFonts w:hint="eastAsia" w:ascii="宋体" w:hAnsi="宋体" w:eastAsia="宋体" w:cs="宋体"/>
          <w:spacing w:val="6"/>
          <w:sz w:val="24"/>
          <w:szCs w:val="24"/>
          <w:highlight w:val="none"/>
        </w:rPr>
        <w:t>，采购人有权中止合同直至取消中标资格。</w:t>
      </w:r>
      <w:r>
        <w:rPr>
          <w:rFonts w:hint="eastAsia" w:ascii="仿宋" w:hAnsi="仿宋" w:eastAsia="仿宋" w:cs="仿宋"/>
          <w:bCs/>
          <w:snapToGrid w:val="0"/>
          <w:kern w:val="0"/>
          <w:sz w:val="24"/>
          <w:szCs w:val="24"/>
          <w:shd w:val="clear" w:color="auto" w:fill="FFFFFF"/>
          <w:lang w:val="en-US"/>
        </w:rPr>
        <w:t>若提前解除合同的</w:t>
      </w:r>
      <w:r>
        <w:rPr>
          <w:rFonts w:hint="default" w:ascii="仿宋" w:hAnsi="仿宋" w:eastAsia="仿宋" w:cs="仿宋"/>
          <w:bCs/>
          <w:snapToGrid w:val="0"/>
          <w:kern w:val="0"/>
          <w:sz w:val="24"/>
          <w:szCs w:val="24"/>
          <w:shd w:val="clear" w:color="auto" w:fill="FFFFFF"/>
          <w:lang w:val="en-US"/>
        </w:rPr>
        <w:t>，</w:t>
      </w:r>
      <w:r>
        <w:rPr>
          <w:rFonts w:hint="eastAsia" w:ascii="仿宋" w:hAnsi="仿宋" w:eastAsia="仿宋" w:cs="仿宋"/>
          <w:bCs/>
          <w:snapToGrid w:val="0"/>
          <w:kern w:val="0"/>
          <w:sz w:val="24"/>
          <w:szCs w:val="24"/>
          <w:shd w:val="clear" w:color="auto" w:fill="FFFFFF"/>
          <w:lang w:val="en-US" w:eastAsia="zh-CN"/>
        </w:rPr>
        <w:t>中标人</w:t>
      </w:r>
      <w:r>
        <w:rPr>
          <w:rFonts w:hint="eastAsia" w:ascii="仿宋" w:hAnsi="仿宋" w:eastAsia="仿宋" w:cs="仿宋"/>
          <w:bCs/>
          <w:snapToGrid w:val="0"/>
          <w:kern w:val="0"/>
          <w:sz w:val="24"/>
          <w:szCs w:val="24"/>
          <w:shd w:val="clear" w:color="auto" w:fill="FFFFFF"/>
          <w:lang w:val="en-US"/>
        </w:rPr>
        <w:t>应当自收到</w:t>
      </w:r>
      <w:r>
        <w:rPr>
          <w:rFonts w:hint="eastAsia" w:ascii="仿宋" w:hAnsi="仿宋" w:eastAsia="仿宋" w:cs="仿宋"/>
          <w:bCs/>
          <w:snapToGrid w:val="0"/>
          <w:kern w:val="0"/>
          <w:sz w:val="24"/>
          <w:szCs w:val="24"/>
          <w:shd w:val="clear" w:color="auto" w:fill="FFFFFF"/>
          <w:lang w:val="en-US" w:eastAsia="zh-CN"/>
        </w:rPr>
        <w:t>采购人</w:t>
      </w:r>
      <w:r>
        <w:rPr>
          <w:rFonts w:hint="eastAsia" w:ascii="仿宋" w:hAnsi="仿宋" w:eastAsia="仿宋" w:cs="仿宋"/>
          <w:bCs/>
          <w:snapToGrid w:val="0"/>
          <w:kern w:val="0"/>
          <w:sz w:val="24"/>
          <w:szCs w:val="24"/>
          <w:shd w:val="clear" w:color="auto" w:fill="FFFFFF"/>
          <w:lang w:val="en-US"/>
        </w:rPr>
        <w:t>解除通知之日起十个工作日内，按照已实际履行服务期间占合同原定服务期限的比例，退还</w:t>
      </w:r>
      <w:r>
        <w:rPr>
          <w:rFonts w:hint="eastAsia" w:ascii="仿宋" w:hAnsi="仿宋" w:eastAsia="仿宋" w:cs="仿宋"/>
          <w:bCs/>
          <w:snapToGrid w:val="0"/>
          <w:kern w:val="0"/>
          <w:sz w:val="24"/>
          <w:szCs w:val="24"/>
          <w:shd w:val="clear" w:color="auto" w:fill="FFFFFF"/>
          <w:lang w:val="en-US" w:eastAsia="zh-CN"/>
        </w:rPr>
        <w:t>采购人</w:t>
      </w:r>
      <w:r>
        <w:rPr>
          <w:rFonts w:hint="eastAsia" w:ascii="仿宋" w:hAnsi="仿宋" w:eastAsia="仿宋" w:cs="仿宋"/>
          <w:bCs/>
          <w:snapToGrid w:val="0"/>
          <w:kern w:val="0"/>
          <w:sz w:val="24"/>
          <w:szCs w:val="24"/>
          <w:shd w:val="clear" w:color="auto" w:fill="FFFFFF"/>
          <w:lang w:val="en-US"/>
        </w:rPr>
        <w:t>已支付的服务费中未履行部分对应的金额。若实际履行的服务期超出</w:t>
      </w:r>
      <w:r>
        <w:rPr>
          <w:rFonts w:hint="eastAsia" w:ascii="仿宋" w:hAnsi="仿宋" w:eastAsia="仿宋" w:cs="仿宋"/>
          <w:bCs/>
          <w:snapToGrid w:val="0"/>
          <w:kern w:val="0"/>
          <w:sz w:val="24"/>
          <w:szCs w:val="24"/>
          <w:shd w:val="clear" w:color="auto" w:fill="FFFFFF"/>
          <w:lang w:val="en-US" w:eastAsia="zh-CN"/>
        </w:rPr>
        <w:t>已支付</w:t>
      </w:r>
      <w:r>
        <w:rPr>
          <w:rFonts w:hint="eastAsia" w:ascii="仿宋" w:hAnsi="仿宋" w:eastAsia="仿宋" w:cs="仿宋"/>
          <w:bCs/>
          <w:snapToGrid w:val="0"/>
          <w:kern w:val="0"/>
          <w:sz w:val="24"/>
          <w:szCs w:val="24"/>
          <w:shd w:val="clear" w:color="auto" w:fill="FFFFFF"/>
          <w:lang w:val="en-US"/>
        </w:rPr>
        <w:t>费用涵盖范围的，</w:t>
      </w:r>
      <w:r>
        <w:rPr>
          <w:rFonts w:hint="eastAsia" w:ascii="仿宋" w:hAnsi="仿宋" w:eastAsia="仿宋" w:cs="仿宋"/>
          <w:bCs/>
          <w:snapToGrid w:val="0"/>
          <w:kern w:val="0"/>
          <w:sz w:val="24"/>
          <w:szCs w:val="24"/>
          <w:shd w:val="clear" w:color="auto" w:fill="FFFFFF"/>
          <w:lang w:val="en-US" w:eastAsia="zh-CN"/>
        </w:rPr>
        <w:t>按实结算后并不再支付未结算的费用</w:t>
      </w:r>
      <w:r>
        <w:rPr>
          <w:rFonts w:hint="eastAsia" w:ascii="仿宋" w:hAnsi="仿宋" w:eastAsia="仿宋" w:cs="仿宋"/>
          <w:bCs/>
          <w:snapToGrid w:val="0"/>
          <w:kern w:val="0"/>
          <w:sz w:val="24"/>
          <w:szCs w:val="24"/>
          <w:shd w:val="clear" w:color="auto" w:fill="FFFFFF"/>
          <w:lang w:val="en-US"/>
        </w:rPr>
        <w:t>。</w:t>
      </w:r>
    </w:p>
    <w:p w14:paraId="543AF515">
      <w:pPr>
        <w:spacing w:before="92" w:line="360" w:lineRule="auto"/>
        <w:ind w:left="0" w:right="99" w:firstLine="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2、报</w:t>
      </w:r>
      <w:r>
        <w:rPr>
          <w:rFonts w:hint="eastAsia" w:ascii="宋体" w:hAnsi="宋体" w:eastAsia="宋体" w:cs="宋体"/>
          <w:spacing w:val="7"/>
          <w:sz w:val="24"/>
          <w:szCs w:val="24"/>
          <w:highlight w:val="none"/>
        </w:rPr>
        <w:t>告</w:t>
      </w:r>
      <w:r>
        <w:rPr>
          <w:rFonts w:hint="eastAsia" w:ascii="宋体" w:hAnsi="宋体" w:eastAsia="宋体" w:cs="宋体"/>
          <w:spacing w:val="6"/>
          <w:sz w:val="24"/>
          <w:szCs w:val="24"/>
          <w:highlight w:val="none"/>
        </w:rPr>
        <w:t>的准确性应满足要求，</w:t>
      </w:r>
      <w:r>
        <w:rPr>
          <w:rFonts w:hint="eastAsia" w:ascii="宋体" w:hAnsi="宋体" w:eastAsia="宋体" w:cs="宋体"/>
          <w:spacing w:val="8"/>
          <w:sz w:val="24"/>
          <w:szCs w:val="24"/>
          <w:highlight w:val="none"/>
        </w:rPr>
        <w:t>确保检测数据的科学性、准确性和代表性，</w:t>
      </w:r>
      <w:r>
        <w:rPr>
          <w:rFonts w:hint="eastAsia" w:ascii="宋体" w:hAnsi="宋体" w:eastAsia="宋体" w:cs="宋体"/>
          <w:spacing w:val="7"/>
          <w:sz w:val="24"/>
          <w:szCs w:val="24"/>
          <w:highlight w:val="none"/>
        </w:rPr>
        <w:t>被发现有弄虚作假等严重违反《检验检测机构资质认定管理办法》行为的</w:t>
      </w:r>
      <w:r>
        <w:rPr>
          <w:rFonts w:hint="eastAsia" w:ascii="宋体" w:hAnsi="宋体" w:eastAsia="宋体" w:cs="宋体"/>
          <w:spacing w:val="11"/>
          <w:sz w:val="24"/>
          <w:szCs w:val="24"/>
          <w:highlight w:val="none"/>
        </w:rPr>
        <w:t>将被取消中标资格，其中涉嫌弄虚作假</w:t>
      </w:r>
      <w:r>
        <w:rPr>
          <w:rFonts w:hint="eastAsia" w:ascii="宋体" w:hAnsi="宋体" w:cs="宋体"/>
          <w:spacing w:val="11"/>
          <w:sz w:val="24"/>
          <w:szCs w:val="24"/>
          <w:highlight w:val="none"/>
          <w:lang w:val="en-US" w:eastAsia="zh-CN"/>
        </w:rPr>
        <w:t>行为</w:t>
      </w:r>
      <w:r>
        <w:rPr>
          <w:rFonts w:hint="eastAsia" w:ascii="宋体" w:hAnsi="宋体" w:eastAsia="宋体" w:cs="宋体"/>
          <w:spacing w:val="11"/>
          <w:sz w:val="24"/>
          <w:szCs w:val="24"/>
          <w:highlight w:val="none"/>
        </w:rPr>
        <w:t>的</w:t>
      </w:r>
      <w:r>
        <w:rPr>
          <w:rFonts w:hint="eastAsia" w:ascii="宋体" w:hAnsi="宋体" w:cs="宋体"/>
          <w:spacing w:val="11"/>
          <w:sz w:val="24"/>
          <w:szCs w:val="24"/>
          <w:highlight w:val="none"/>
          <w:lang w:eastAsia="zh-CN"/>
        </w:rPr>
        <w:t>，</w:t>
      </w:r>
      <w:r>
        <w:rPr>
          <w:rFonts w:hint="eastAsia" w:ascii="宋体" w:hAnsi="宋体" w:cs="宋体"/>
          <w:spacing w:val="11"/>
          <w:sz w:val="24"/>
          <w:szCs w:val="24"/>
          <w:highlight w:val="none"/>
          <w:lang w:val="en-US" w:eastAsia="zh-CN"/>
        </w:rPr>
        <w:t>若</w:t>
      </w:r>
      <w:r>
        <w:rPr>
          <w:rFonts w:hint="eastAsia" w:ascii="宋体" w:hAnsi="宋体" w:eastAsia="宋体" w:cs="宋体"/>
          <w:spacing w:val="11"/>
          <w:sz w:val="24"/>
          <w:szCs w:val="24"/>
          <w:highlight w:val="none"/>
        </w:rPr>
        <w:t>无有效证据证明其未弄虚</w:t>
      </w:r>
      <w:r>
        <w:rPr>
          <w:rFonts w:hint="eastAsia" w:ascii="宋体" w:hAnsi="宋体" w:eastAsia="宋体" w:cs="宋体"/>
          <w:spacing w:val="16"/>
          <w:sz w:val="24"/>
          <w:szCs w:val="24"/>
          <w:highlight w:val="none"/>
        </w:rPr>
        <w:t>作假</w:t>
      </w:r>
      <w:r>
        <w:rPr>
          <w:rFonts w:hint="eastAsia" w:ascii="宋体" w:hAnsi="宋体" w:eastAsia="宋体" w:cs="宋体"/>
          <w:spacing w:val="11"/>
          <w:sz w:val="24"/>
          <w:szCs w:val="24"/>
          <w:highlight w:val="none"/>
        </w:rPr>
        <w:t>的</w:t>
      </w:r>
      <w:r>
        <w:rPr>
          <w:rFonts w:hint="eastAsia" w:ascii="宋体" w:hAnsi="宋体" w:eastAsia="宋体" w:cs="宋体"/>
          <w:spacing w:val="8"/>
          <w:sz w:val="24"/>
          <w:szCs w:val="24"/>
          <w:highlight w:val="none"/>
        </w:rPr>
        <w:t>，采购人不承担该合同所需支付的任何费用，由此造成的损失由中标单位自行</w:t>
      </w:r>
      <w:r>
        <w:rPr>
          <w:rFonts w:hint="eastAsia" w:ascii="宋体" w:hAnsi="宋体" w:eastAsia="宋体" w:cs="宋体"/>
          <w:spacing w:val="-5"/>
          <w:sz w:val="24"/>
          <w:szCs w:val="24"/>
          <w:highlight w:val="none"/>
        </w:rPr>
        <w:t>承</w:t>
      </w:r>
      <w:r>
        <w:rPr>
          <w:rFonts w:hint="eastAsia" w:ascii="宋体" w:hAnsi="宋体" w:eastAsia="宋体" w:cs="宋体"/>
          <w:spacing w:val="-4"/>
          <w:sz w:val="24"/>
          <w:szCs w:val="24"/>
          <w:highlight w:val="none"/>
        </w:rPr>
        <w:t>担。</w:t>
      </w:r>
    </w:p>
    <w:p w14:paraId="4F4B111A">
      <w:pPr>
        <w:spacing w:before="93" w:line="360" w:lineRule="auto"/>
        <w:ind w:right="91" w:firstLine="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 、使用方法</w:t>
      </w:r>
      <w:r>
        <w:rPr>
          <w:rFonts w:hint="eastAsia" w:ascii="宋体" w:hAnsi="宋体" w:eastAsia="宋体" w:cs="宋体"/>
          <w:spacing w:val="2"/>
          <w:sz w:val="24"/>
          <w:szCs w:val="24"/>
          <w:highlight w:val="none"/>
        </w:rPr>
        <w:t xml:space="preserve">的合适性，优先使用 </w:t>
      </w:r>
      <w:r>
        <w:rPr>
          <w:rFonts w:hint="eastAsia" w:ascii="宋体" w:hAnsi="宋体" w:eastAsia="宋体" w:cs="宋体"/>
          <w:sz w:val="24"/>
          <w:szCs w:val="24"/>
          <w:highlight w:val="none"/>
        </w:rPr>
        <w:t>GB</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HJ</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DB</w:t>
      </w:r>
      <w:r>
        <w:rPr>
          <w:rFonts w:hint="eastAsia" w:ascii="宋体" w:hAnsi="宋体" w:eastAsia="宋体" w:cs="宋体"/>
          <w:spacing w:val="2"/>
          <w:sz w:val="24"/>
          <w:szCs w:val="24"/>
          <w:highlight w:val="none"/>
        </w:rPr>
        <w:t>33 (含推荐方法)方法标准，如某</w:t>
      </w:r>
      <w:r>
        <w:rPr>
          <w:rFonts w:hint="eastAsia" w:ascii="宋体" w:hAnsi="宋体" w:eastAsia="宋体" w:cs="宋体"/>
          <w:spacing w:val="12"/>
          <w:sz w:val="24"/>
          <w:szCs w:val="24"/>
          <w:highlight w:val="none"/>
        </w:rPr>
        <w:t>个指标有多个分析方法的，优先使用价格低廉的方法。如使用方法不正确，导致检</w:t>
      </w:r>
      <w:r>
        <w:rPr>
          <w:rFonts w:hint="eastAsia" w:ascii="宋体" w:hAnsi="宋体" w:eastAsia="宋体" w:cs="宋体"/>
          <w:spacing w:val="7"/>
          <w:sz w:val="24"/>
          <w:szCs w:val="24"/>
          <w:highlight w:val="none"/>
        </w:rPr>
        <w:t>测</w:t>
      </w:r>
      <w:r>
        <w:rPr>
          <w:rFonts w:hint="eastAsia" w:ascii="宋体" w:hAnsi="宋体" w:eastAsia="宋体" w:cs="宋体"/>
          <w:spacing w:val="16"/>
          <w:sz w:val="24"/>
          <w:szCs w:val="24"/>
          <w:highlight w:val="none"/>
        </w:rPr>
        <w:t>报告</w:t>
      </w:r>
      <w:r>
        <w:rPr>
          <w:rFonts w:hint="eastAsia" w:ascii="宋体" w:hAnsi="宋体" w:eastAsia="宋体" w:cs="宋体"/>
          <w:spacing w:val="12"/>
          <w:sz w:val="24"/>
          <w:szCs w:val="24"/>
          <w:highlight w:val="none"/>
        </w:rPr>
        <w:t>无</w:t>
      </w:r>
      <w:r>
        <w:rPr>
          <w:rFonts w:hint="eastAsia" w:ascii="宋体" w:hAnsi="宋体" w:eastAsia="宋体" w:cs="宋体"/>
          <w:spacing w:val="8"/>
          <w:sz w:val="24"/>
          <w:szCs w:val="24"/>
          <w:highlight w:val="none"/>
        </w:rPr>
        <w:t>效的，采购人不承担该检测报告所需支付的任何费用， 由此造成的损失由中标</w:t>
      </w:r>
      <w:r>
        <w:rPr>
          <w:rFonts w:hint="eastAsia" w:ascii="宋体" w:hAnsi="宋体" w:eastAsia="宋体" w:cs="宋体"/>
          <w:spacing w:val="4"/>
          <w:sz w:val="24"/>
          <w:szCs w:val="24"/>
          <w:highlight w:val="none"/>
        </w:rPr>
        <w:t>单</w:t>
      </w:r>
      <w:r>
        <w:rPr>
          <w:rFonts w:hint="eastAsia" w:ascii="宋体" w:hAnsi="宋体" w:eastAsia="宋体" w:cs="宋体"/>
          <w:spacing w:val="3"/>
          <w:sz w:val="24"/>
          <w:szCs w:val="24"/>
          <w:highlight w:val="none"/>
        </w:rPr>
        <w:t>位自行承担。</w:t>
      </w:r>
    </w:p>
    <w:p w14:paraId="24D17768">
      <w:pPr>
        <w:spacing w:before="93" w:line="360" w:lineRule="auto"/>
        <w:ind w:right="91" w:firstLine="0"/>
        <w:rPr>
          <w:rFonts w:hint="eastAsia" w:ascii="宋体" w:hAnsi="宋体" w:eastAsia="宋体" w:cs="宋体"/>
          <w:spacing w:val="12"/>
          <w:sz w:val="24"/>
          <w:szCs w:val="24"/>
          <w:highlight w:val="none"/>
        </w:rPr>
      </w:pPr>
      <w:r>
        <w:rPr>
          <w:rFonts w:hint="eastAsia" w:ascii="宋体" w:hAnsi="宋体" w:eastAsia="宋体" w:cs="宋体"/>
          <w:spacing w:val="4"/>
          <w:sz w:val="24"/>
          <w:szCs w:val="24"/>
          <w:highlight w:val="none"/>
        </w:rPr>
        <w:t>4 、</w:t>
      </w:r>
      <w:r>
        <w:rPr>
          <w:rFonts w:hint="eastAsia" w:ascii="宋体" w:hAnsi="宋体" w:eastAsia="宋体" w:cs="宋体"/>
          <w:spacing w:val="12"/>
          <w:sz w:val="24"/>
          <w:szCs w:val="24"/>
          <w:highlight w:val="none"/>
        </w:rPr>
        <w:t>中标单位须自行履行中标项目的全部工作事项，不得向他人转让中标项目，</w:t>
      </w:r>
      <w:r>
        <w:rPr>
          <w:rFonts w:hint="eastAsia" w:ascii="宋体" w:hAnsi="宋体" w:eastAsia="宋体" w:cs="宋体"/>
          <w:spacing w:val="12"/>
          <w:sz w:val="24"/>
          <w:szCs w:val="24"/>
          <w:highlight w:val="none"/>
          <w:lang w:eastAsia="zh-CN"/>
        </w:rPr>
        <w:t>未</w:t>
      </w:r>
      <w:r>
        <w:rPr>
          <w:rFonts w:hint="eastAsia" w:ascii="宋体" w:hAnsi="宋体" w:eastAsia="宋体" w:cs="宋体"/>
          <w:spacing w:val="12"/>
          <w:sz w:val="24"/>
          <w:szCs w:val="24"/>
          <w:highlight w:val="none"/>
        </w:rPr>
        <w:t>经采购人同意，不得将中标项目分包给他人，一经发现将取消其中标资格。</w:t>
      </w:r>
    </w:p>
    <w:p w14:paraId="04A39F0F">
      <w:pPr>
        <w:spacing w:before="93" w:line="360" w:lineRule="auto"/>
        <w:ind w:right="91" w:firstLine="0"/>
        <w:rPr>
          <w:rFonts w:hint="eastAsia" w:ascii="宋体" w:hAnsi="宋体" w:eastAsia="宋体" w:cs="宋体"/>
          <w:b/>
          <w:bCs/>
          <w:spacing w:val="12"/>
          <w:sz w:val="24"/>
          <w:szCs w:val="24"/>
          <w:highlight w:val="none"/>
        </w:rPr>
      </w:pPr>
      <w:r>
        <w:rPr>
          <w:rFonts w:hint="eastAsia" w:ascii="宋体" w:hAnsi="宋体" w:cs="宋体"/>
          <w:b/>
          <w:bCs/>
          <w:spacing w:val="12"/>
          <w:sz w:val="24"/>
          <w:szCs w:val="24"/>
          <w:highlight w:val="none"/>
          <w:lang w:val="en-US" w:eastAsia="zh-CN"/>
        </w:rPr>
        <w:t>五</w:t>
      </w:r>
      <w:r>
        <w:rPr>
          <w:rFonts w:hint="eastAsia" w:ascii="宋体" w:hAnsi="宋体" w:eastAsia="宋体" w:cs="宋体"/>
          <w:b/>
          <w:bCs/>
          <w:spacing w:val="12"/>
          <w:sz w:val="24"/>
          <w:szCs w:val="24"/>
          <w:highlight w:val="none"/>
        </w:rPr>
        <w:t>、履约保证金：</w:t>
      </w:r>
    </w:p>
    <w:p w14:paraId="4E6FD264">
      <w:pPr>
        <w:spacing w:before="67" w:line="360" w:lineRule="auto"/>
        <w:ind w:left="3" w:right="99" w:firstLine="500"/>
        <w:rPr>
          <w:rFonts w:hint="eastAsia" w:ascii="宋体" w:hAnsi="宋体" w:eastAsia="宋体" w:cs="宋体"/>
          <w:sz w:val="24"/>
          <w:szCs w:val="24"/>
          <w:highlight w:val="none"/>
        </w:rPr>
      </w:pPr>
      <w:r>
        <w:rPr>
          <w:rFonts w:hint="eastAsia" w:ascii="宋体" w:hAnsi="宋体" w:cs="宋体"/>
          <w:spacing w:val="10"/>
          <w:sz w:val="24"/>
          <w:szCs w:val="24"/>
          <w:highlight w:val="none"/>
          <w:lang w:val="en-US" w:eastAsia="zh-CN"/>
        </w:rPr>
        <w:t>无</w:t>
      </w:r>
    </w:p>
    <w:p w14:paraId="4B157BEB">
      <w:pPr>
        <w:spacing w:line="360" w:lineRule="auto"/>
        <w:rPr>
          <w:rFonts w:hint="eastAsia" w:ascii="宋体" w:hAnsi="宋体" w:eastAsia="宋体" w:cs="宋体"/>
          <w:b/>
          <w:bCs/>
          <w:sz w:val="24"/>
          <w:szCs w:val="24"/>
          <w:highlight w:val="none"/>
        </w:rPr>
      </w:pPr>
      <w:r>
        <w:rPr>
          <w:rFonts w:hint="eastAsia" w:ascii="宋体" w:hAnsi="宋体" w:cs="宋体"/>
          <w:b/>
          <w:bCs/>
          <w:spacing w:val="-10"/>
          <w:sz w:val="24"/>
          <w:szCs w:val="24"/>
          <w:highlight w:val="none"/>
          <w:lang w:val="en-US" w:eastAsia="zh-CN"/>
        </w:rPr>
        <w:t>六</w:t>
      </w:r>
      <w:r>
        <w:rPr>
          <w:rFonts w:hint="eastAsia" w:ascii="宋体" w:hAnsi="宋体" w:eastAsia="宋体" w:cs="宋体"/>
          <w:b/>
          <w:bCs/>
          <w:spacing w:val="-7"/>
          <w:sz w:val="24"/>
          <w:szCs w:val="24"/>
          <w:highlight w:val="none"/>
        </w:rPr>
        <w:t>、 费用支付：</w:t>
      </w:r>
    </w:p>
    <w:p w14:paraId="13582FB1">
      <w:pPr>
        <w:spacing w:before="115" w:line="360" w:lineRule="auto"/>
        <w:ind w:left="1" w:right="99" w:firstLine="502"/>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w:t>
      </w:r>
      <w:r>
        <w:rPr>
          <w:rFonts w:hint="eastAsia" w:ascii="宋体" w:hAnsi="宋体" w:cs="宋体"/>
          <w:sz w:val="24"/>
          <w:szCs w:val="24"/>
          <w:highlight w:val="none"/>
          <w:lang w:val="en-US" w:eastAsia="zh-CN"/>
        </w:rPr>
        <w:t>5个工作日内</w:t>
      </w:r>
      <w:r>
        <w:rPr>
          <w:rFonts w:hint="eastAsia" w:ascii="宋体" w:hAnsi="宋体" w:eastAsia="宋体" w:cs="宋体"/>
          <w:sz w:val="24"/>
          <w:szCs w:val="24"/>
          <w:highlight w:val="none"/>
        </w:rPr>
        <w:t>，支付合同总金额的</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0%预付款</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项目验收合格后支付至总合同金额的</w:t>
      </w:r>
      <w:r>
        <w:rPr>
          <w:rFonts w:hint="eastAsia" w:ascii="宋体" w:hAnsi="宋体" w:cs="宋体"/>
          <w:sz w:val="24"/>
          <w:szCs w:val="24"/>
          <w:highlight w:val="none"/>
          <w:lang w:val="en-US" w:eastAsia="zh-CN"/>
        </w:rPr>
        <w:t>100</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项目支付时中标供应商须提供正规税务发票。</w:t>
      </w:r>
    </w:p>
    <w:p w14:paraId="1C7A4083">
      <w:pPr>
        <w:spacing w:before="1" w:line="360" w:lineRule="auto"/>
        <w:ind w:left="5"/>
        <w:rPr>
          <w:rFonts w:hint="eastAsia" w:ascii="宋体" w:hAnsi="宋体" w:eastAsia="宋体" w:cs="宋体"/>
          <w:b/>
          <w:bCs/>
          <w:sz w:val="24"/>
          <w:szCs w:val="24"/>
          <w:highlight w:val="none"/>
        </w:rPr>
      </w:pPr>
      <w:r>
        <w:rPr>
          <w:rFonts w:hint="eastAsia" w:ascii="宋体" w:hAnsi="宋体" w:cs="宋体"/>
          <w:b/>
          <w:bCs/>
          <w:spacing w:val="1"/>
          <w:sz w:val="24"/>
          <w:szCs w:val="24"/>
          <w:highlight w:val="none"/>
          <w:lang w:val="en-US" w:eastAsia="zh-CN"/>
        </w:rPr>
        <w:t>七</w:t>
      </w:r>
      <w:r>
        <w:rPr>
          <w:rFonts w:hint="eastAsia" w:ascii="宋体" w:hAnsi="宋体" w:eastAsia="宋体" w:cs="宋体"/>
          <w:b/>
          <w:bCs/>
          <w:spacing w:val="1"/>
          <w:sz w:val="24"/>
          <w:szCs w:val="24"/>
          <w:highlight w:val="none"/>
        </w:rPr>
        <w:t>、 采购</w:t>
      </w:r>
      <w:r>
        <w:rPr>
          <w:rFonts w:hint="eastAsia" w:ascii="宋体" w:hAnsi="宋体" w:eastAsia="宋体" w:cs="宋体"/>
          <w:b/>
          <w:bCs/>
          <w:sz w:val="24"/>
          <w:szCs w:val="24"/>
          <w:highlight w:val="none"/>
        </w:rPr>
        <w:t>人认为必须说明的其他内容：</w:t>
      </w:r>
    </w:p>
    <w:p w14:paraId="036F4E7A">
      <w:pPr>
        <w:pStyle w:val="16"/>
        <w:widowControl w:val="0"/>
        <w:numPr>
          <w:ilvl w:val="0"/>
          <w:numId w:val="0"/>
        </w:numPr>
        <w:spacing w:before="1" w:after="120" w:line="360" w:lineRule="auto"/>
        <w:ind w:left="5" w:firstLine="482" w:firstLineChars="200"/>
        <w:jc w:val="both"/>
        <w:rPr>
          <w:rFonts w:hint="eastAsia" w:eastAsia="宋体" w:cs="宋体"/>
          <w:b/>
          <w:bCs/>
          <w:color w:val="auto"/>
          <w:sz w:val="24"/>
          <w:highlight w:val="none"/>
          <w:lang w:val="en-US" w:eastAsia="zh-CN"/>
        </w:rPr>
      </w:pPr>
      <w:r>
        <w:rPr>
          <w:rFonts w:hint="eastAsia" w:eastAsia="宋体" w:cs="宋体"/>
          <w:b/>
          <w:bCs/>
          <w:color w:val="auto"/>
          <w:sz w:val="24"/>
          <w:highlight w:val="none"/>
          <w:lang w:val="en-US" w:eastAsia="zh-CN"/>
        </w:rPr>
        <w:t>（</w:t>
      </w:r>
      <w:r>
        <w:rPr>
          <w:rFonts w:hint="eastAsia" w:cs="宋体"/>
          <w:b/>
          <w:bCs/>
          <w:color w:val="auto"/>
          <w:sz w:val="24"/>
          <w:highlight w:val="none"/>
          <w:lang w:val="en-US" w:eastAsia="zh-CN"/>
        </w:rPr>
        <w:t>1</w:t>
      </w:r>
      <w:r>
        <w:rPr>
          <w:rFonts w:hint="eastAsia" w:eastAsia="宋体" w:cs="宋体"/>
          <w:b/>
          <w:bCs/>
          <w:color w:val="auto"/>
          <w:sz w:val="24"/>
          <w:highlight w:val="none"/>
          <w:lang w:val="en-US" w:eastAsia="zh-CN"/>
        </w:rPr>
        <w:t>）检测项目因标准变化等原因，可能适当增减，包含但不限于目录内所列内容。检测目录外的检验项目需分包的，</w:t>
      </w:r>
      <w:r>
        <w:rPr>
          <w:rFonts w:hint="eastAsia" w:ascii="宋体" w:hAnsi="宋体" w:eastAsia="宋体" w:cs="宋体"/>
          <w:b/>
          <w:bCs/>
          <w:color w:val="auto"/>
          <w:sz w:val="24"/>
          <w:highlight w:val="none"/>
          <w:lang w:val="en-US" w:eastAsia="zh-CN"/>
        </w:rPr>
        <w:t>经采购人书面同意后，可以将该检验项目分包给有检测资质的机构</w:t>
      </w:r>
      <w:r>
        <w:rPr>
          <w:rFonts w:hint="eastAsia" w:eastAsia="宋体" w:cs="宋体"/>
          <w:b/>
          <w:bCs/>
          <w:color w:val="auto"/>
          <w:sz w:val="24"/>
          <w:highlight w:val="none"/>
          <w:lang w:val="en-US" w:eastAsia="zh-CN"/>
        </w:rPr>
        <w:t>。</w:t>
      </w:r>
    </w:p>
    <w:p w14:paraId="4E8AB0BE">
      <w:pPr>
        <w:pStyle w:val="17"/>
        <w:ind w:left="0" w:leftChars="0" w:firstLine="641" w:firstLineChars="266"/>
        <w:rPr>
          <w:rFonts w:hint="eastAsia" w:eastAsia="宋体" w:cs="宋体"/>
          <w:b/>
          <w:bCs/>
          <w:color w:val="000000"/>
          <w:sz w:val="24"/>
          <w:highlight w:val="none"/>
          <w:lang w:val="en-US" w:eastAsia="zh-CN"/>
        </w:rPr>
      </w:pPr>
      <w:r>
        <w:rPr>
          <w:rFonts w:hint="eastAsia" w:eastAsia="宋体" w:cs="宋体"/>
          <w:b/>
          <w:bCs/>
          <w:color w:val="auto"/>
          <w:sz w:val="24"/>
          <w:highlight w:val="none"/>
          <w:lang w:val="en-US" w:eastAsia="zh-CN"/>
        </w:rPr>
        <w:t>（</w:t>
      </w:r>
      <w:r>
        <w:rPr>
          <w:rFonts w:hint="eastAsia" w:cs="宋体"/>
          <w:b/>
          <w:bCs/>
          <w:color w:val="auto"/>
          <w:sz w:val="24"/>
          <w:highlight w:val="none"/>
          <w:lang w:val="en-US" w:eastAsia="zh-CN"/>
        </w:rPr>
        <w:t>2</w:t>
      </w:r>
      <w:r>
        <w:rPr>
          <w:rFonts w:hint="eastAsia" w:eastAsia="宋体" w:cs="宋体"/>
          <w:b/>
          <w:bCs/>
          <w:color w:val="auto"/>
          <w:sz w:val="24"/>
          <w:highlight w:val="none"/>
          <w:lang w:val="en-US" w:eastAsia="zh-CN"/>
        </w:rPr>
        <w:t>）实际执行中遇到特殊情况（如烟花爆竹、目录外的特殊产品等检测条件需特别规定要求）的</w:t>
      </w:r>
      <w:r>
        <w:rPr>
          <w:rFonts w:hint="eastAsia" w:ascii="宋体" w:hAnsi="宋体" w:eastAsia="宋体" w:cs="宋体"/>
          <w:b/>
          <w:bCs/>
          <w:color w:val="auto"/>
          <w:sz w:val="24"/>
          <w:highlight w:val="none"/>
          <w:lang w:val="en-US" w:eastAsia="zh-CN"/>
        </w:rPr>
        <w:t>监督抽查任务，供应商无法完成检测的，经采购人书面同意后，可以</w:t>
      </w:r>
      <w:r>
        <w:rPr>
          <w:rFonts w:hint="eastAsia" w:eastAsia="宋体" w:cs="宋体"/>
          <w:b/>
          <w:bCs/>
          <w:color w:val="auto"/>
          <w:sz w:val="24"/>
          <w:highlight w:val="none"/>
          <w:lang w:val="en-US" w:eastAsia="zh-CN"/>
        </w:rPr>
        <w:t>将该类产品</w:t>
      </w:r>
      <w:r>
        <w:rPr>
          <w:rFonts w:hint="eastAsia" w:ascii="宋体" w:hAnsi="宋体" w:eastAsia="宋体" w:cs="宋体"/>
          <w:b/>
          <w:bCs/>
          <w:color w:val="auto"/>
          <w:sz w:val="24"/>
          <w:highlight w:val="none"/>
          <w:lang w:val="en-US" w:eastAsia="zh-CN"/>
        </w:rPr>
        <w:t>分包给其他</w:t>
      </w:r>
      <w:r>
        <w:rPr>
          <w:rFonts w:hint="eastAsia" w:eastAsia="宋体" w:cs="宋体"/>
          <w:b/>
          <w:bCs/>
          <w:color w:val="auto"/>
          <w:sz w:val="24"/>
          <w:highlight w:val="none"/>
          <w:lang w:val="en-US" w:eastAsia="zh-CN"/>
        </w:rPr>
        <w:t>有资质的检</w:t>
      </w:r>
      <w:r>
        <w:rPr>
          <w:rFonts w:hint="eastAsia" w:eastAsia="宋体" w:cs="宋体"/>
          <w:b/>
          <w:bCs/>
          <w:color w:val="000000"/>
          <w:sz w:val="24"/>
          <w:highlight w:val="none"/>
          <w:lang w:val="en-US" w:eastAsia="zh-CN"/>
        </w:rPr>
        <w:t>测机构</w:t>
      </w:r>
      <w:r>
        <w:rPr>
          <w:rFonts w:hint="eastAsia" w:ascii="宋体" w:hAnsi="宋体" w:eastAsia="宋体" w:cs="宋体"/>
          <w:b/>
          <w:bCs/>
          <w:color w:val="000000"/>
          <w:sz w:val="24"/>
          <w:highlight w:val="none"/>
          <w:lang w:val="en-US" w:eastAsia="zh-CN"/>
        </w:rPr>
        <w:t>实施</w:t>
      </w:r>
      <w:r>
        <w:rPr>
          <w:rFonts w:hint="eastAsia" w:eastAsia="宋体" w:cs="宋体"/>
          <w:b/>
          <w:bCs/>
          <w:color w:val="000000"/>
          <w:sz w:val="24"/>
          <w:highlight w:val="none"/>
          <w:lang w:val="en-US" w:eastAsia="zh-CN"/>
        </w:rPr>
        <w:t>，检测费用参照同类型产品或者省</w:t>
      </w:r>
      <w:r>
        <w:rPr>
          <w:rFonts w:hint="eastAsia" w:cs="宋体"/>
          <w:b/>
          <w:bCs/>
          <w:color w:val="000000"/>
          <w:sz w:val="24"/>
          <w:highlight w:val="none"/>
          <w:lang w:val="en-US" w:eastAsia="zh-CN"/>
        </w:rPr>
        <w:t>(市）</w:t>
      </w:r>
      <w:r>
        <w:rPr>
          <w:rFonts w:hint="eastAsia" w:eastAsia="宋体" w:cs="宋体"/>
          <w:b/>
          <w:bCs/>
          <w:color w:val="000000"/>
          <w:sz w:val="24"/>
          <w:highlight w:val="none"/>
          <w:lang w:val="en-US" w:eastAsia="zh-CN"/>
        </w:rPr>
        <w:t>局价格的中标折扣结算。</w:t>
      </w:r>
    </w:p>
    <w:p w14:paraId="7C68043C">
      <w:pPr>
        <w:spacing w:beforeLines="0" w:afterLines="0"/>
        <w:ind w:firstLine="482" w:firstLineChars="200"/>
        <w:rPr>
          <w:rFonts w:hint="eastAsia" w:ascii="宋体" w:hAnsi="宋体" w:eastAsia="宋体" w:cs="宋体"/>
          <w:color w:val="auto"/>
          <w:kern w:val="2"/>
          <w:sz w:val="24"/>
          <w:szCs w:val="24"/>
          <w:highlight w:val="none"/>
          <w:lang w:val="en-US" w:eastAsia="zh-CN" w:bidi="ar-SA"/>
        </w:rPr>
      </w:pPr>
      <w:r>
        <w:rPr>
          <w:rFonts w:hint="eastAsia" w:cs="宋体"/>
          <w:b/>
          <w:bCs/>
          <w:color w:val="000000"/>
          <w:sz w:val="24"/>
          <w:highlight w:val="none"/>
          <w:lang w:val="en-US" w:eastAsia="zh-CN"/>
        </w:rPr>
        <w:t>（3）</w:t>
      </w:r>
      <w:r>
        <w:rPr>
          <w:rFonts w:hint="eastAsia" w:ascii="宋体" w:hAnsi="宋体" w:eastAsia="宋体" w:cs="宋体"/>
          <w:color w:val="auto"/>
          <w:kern w:val="2"/>
          <w:sz w:val="24"/>
          <w:szCs w:val="24"/>
          <w:highlight w:val="none"/>
          <w:lang w:val="en-US" w:eastAsia="zh-CN" w:bidi="ar-SA"/>
        </w:rPr>
        <w:t>在抽样工作完成后，</w:t>
      </w:r>
      <w:r>
        <w:rPr>
          <w:rFonts w:hint="eastAsia" w:ascii="宋体" w:hAnsi="宋体" w:cs="宋体"/>
          <w:color w:val="auto"/>
          <w:kern w:val="2"/>
          <w:sz w:val="24"/>
          <w:szCs w:val="24"/>
          <w:highlight w:val="none"/>
          <w:lang w:val="en-US" w:eastAsia="zh-CN" w:bidi="ar-SA"/>
        </w:rPr>
        <w:t>应在</w:t>
      </w:r>
      <w:r>
        <w:rPr>
          <w:rFonts w:hint="eastAsia" w:ascii="宋体" w:hAnsi="宋体" w:eastAsia="宋体" w:cs="宋体"/>
          <w:color w:val="auto"/>
          <w:kern w:val="2"/>
          <w:sz w:val="24"/>
          <w:szCs w:val="24"/>
          <w:highlight w:val="none"/>
          <w:lang w:val="en-US" w:eastAsia="zh-CN" w:bidi="ar-SA"/>
        </w:rPr>
        <w:t>30日内出具相应检测报告；检测工作结束后，应当交付委托人检测报告原件及电子版、产品质量抽检结果清单、质量分析报告、样品处理记录等材料，并将检查结果录入浙江省产品质量智慧监管平台；检测报告必须真实有效，不得弄虚作假，不得对外泄漏和公布检测数据和结果；检测过程中未经委托单位授权，不得与当事人联系。</w:t>
      </w:r>
    </w:p>
    <w:p w14:paraId="5DB6976F">
      <w:pPr>
        <w:widowControl w:val="0"/>
        <w:wordWrap/>
        <w:adjustRightInd/>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）供应商的检测费用报价是包括供应商完成本项目所需的一切费用。具体包括自接受交易人委托至递交满足交易人要求的报告全过程的全部内容所需的全部费用。所有检测过程中所发生的费用（</w:t>
      </w:r>
      <w:r>
        <w:rPr>
          <w:rFonts w:hint="eastAsia" w:ascii="宋体" w:hAnsi="宋体" w:eastAsia="宋体" w:cs="宋体"/>
          <w:color w:val="auto"/>
          <w:kern w:val="2"/>
          <w:sz w:val="24"/>
          <w:szCs w:val="24"/>
          <w:highlight w:val="none"/>
          <w:lang w:val="en-US" w:eastAsia="zh-CN" w:bidi="ar-SA"/>
        </w:rPr>
        <w:t>包括买样费、检验费、邮寄费、复检费用、复查费用、抽样差旅食宿费、样品处置费等一切费用</w:t>
      </w:r>
      <w:r>
        <w:rPr>
          <w:rFonts w:hint="eastAsia" w:ascii="宋体" w:hAnsi="宋体" w:eastAsia="宋体" w:cs="宋体"/>
          <w:color w:val="auto"/>
          <w:sz w:val="24"/>
          <w:szCs w:val="24"/>
          <w:highlight w:val="none"/>
          <w:lang w:val="en-US" w:eastAsia="zh-CN"/>
        </w:rPr>
        <w:t>），均应包含在本次检测费用报价内，且适用于所有检测领域。检测费用报价还应包括必要的保险费用和各项税金及各类风险因素等所有费用。</w:t>
      </w:r>
    </w:p>
    <w:p w14:paraId="658D47AF">
      <w:pPr>
        <w:pStyle w:val="2"/>
        <w:spacing w:beforeLines="0" w:afterLines="0"/>
        <w:ind w:firstLine="482" w:firstLineChars="200"/>
        <w:jc w:val="both"/>
        <w:rPr>
          <w:rFonts w:hint="eastAsia"/>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）成交供应商承检的检验任务必须在其响应文件中载明的实验室负责检验，否则视为违约，一旦发现，立即终止合同及取消中标资格。</w:t>
      </w:r>
    </w:p>
    <w:p w14:paraId="346B24C9">
      <w:pPr>
        <w:spacing w:line="360" w:lineRule="auto"/>
        <w:rPr>
          <w:rFonts w:hint="eastAsia" w:ascii="宋体" w:hAnsi="宋体" w:eastAsia="宋体" w:cs="宋体"/>
          <w:sz w:val="24"/>
          <w:szCs w:val="24"/>
          <w:highlight w:val="none"/>
        </w:rPr>
        <w:sectPr>
          <w:footerReference r:id="rId11" w:type="default"/>
          <w:pgSz w:w="11906" w:h="16839"/>
          <w:pgMar w:top="400" w:right="1374" w:bottom="803" w:left="1481" w:header="0" w:footer="643" w:gutter="0"/>
          <w:pgNumType w:fmt="numberInDash"/>
          <w:cols w:space="720" w:num="1"/>
        </w:sectPr>
      </w:pPr>
    </w:p>
    <w:p w14:paraId="2498C319">
      <w:pPr>
        <w:spacing w:before="101" w:line="224" w:lineRule="auto"/>
        <w:ind w:left="53"/>
        <w:rPr>
          <w:rFonts w:hint="eastAsia" w:ascii="宋体" w:hAnsi="宋体" w:eastAsia="宋体" w:cs="宋体"/>
          <w:sz w:val="31"/>
          <w:szCs w:val="31"/>
          <w:highlight w:val="none"/>
        </w:rPr>
      </w:pPr>
      <w:r>
        <w:rPr>
          <w:rFonts w:hint="eastAsia" w:ascii="宋体" w:hAnsi="宋体" w:eastAsia="宋体" w:cs="宋体"/>
          <w:spacing w:val="-7"/>
          <w:sz w:val="31"/>
          <w:szCs w:val="31"/>
          <w:highlight w:val="none"/>
        </w:rPr>
        <w:t>附</w:t>
      </w:r>
      <w:r>
        <w:rPr>
          <w:rFonts w:hint="eastAsia" w:ascii="宋体" w:hAnsi="宋体" w:eastAsia="宋体" w:cs="宋体"/>
          <w:spacing w:val="-5"/>
          <w:sz w:val="31"/>
          <w:szCs w:val="31"/>
          <w:highlight w:val="none"/>
        </w:rPr>
        <w:t>件：</w:t>
      </w:r>
    </w:p>
    <w:p w14:paraId="4B1D1C3F">
      <w:pPr>
        <w:spacing w:before="38" w:line="225" w:lineRule="auto"/>
        <w:ind w:left="3068"/>
        <w:rPr>
          <w:rFonts w:hint="eastAsia" w:ascii="宋体" w:hAnsi="宋体" w:eastAsia="宋体" w:cs="宋体"/>
          <w:sz w:val="31"/>
          <w:szCs w:val="31"/>
          <w:highlight w:val="none"/>
        </w:rPr>
      </w:pPr>
      <w:r>
        <w:rPr>
          <w:rFonts w:hint="eastAsia" w:ascii="宋体" w:hAnsi="宋体" w:eastAsia="宋体" w:cs="宋体"/>
          <w:spacing w:val="13"/>
          <w:sz w:val="31"/>
          <w:szCs w:val="31"/>
          <w:highlight w:val="none"/>
        </w:rPr>
        <w:t>《</w:t>
      </w:r>
      <w:r>
        <w:rPr>
          <w:rFonts w:hint="eastAsia" w:ascii="宋体" w:hAnsi="宋体" w:eastAsia="宋体" w:cs="宋体"/>
          <w:spacing w:val="7"/>
          <w:sz w:val="31"/>
          <w:szCs w:val="31"/>
          <w:highlight w:val="none"/>
        </w:rPr>
        <w:t>检测项目汇总表》</w:t>
      </w:r>
    </w:p>
    <w:p w14:paraId="7F20255B">
      <w:pPr>
        <w:rPr>
          <w:rFonts w:hint="eastAsia" w:ascii="宋体" w:hAnsi="宋体" w:eastAsia="宋体" w:cs="宋体"/>
          <w:sz w:val="24"/>
          <w:highlight w:val="none"/>
        </w:rPr>
      </w:pPr>
      <w:r>
        <w:rPr>
          <w:rFonts w:hint="eastAsia" w:ascii="宋体" w:hAnsi="宋体" w:eastAsia="宋体" w:cs="宋体"/>
          <w:spacing w:val="1"/>
          <w:sz w:val="24"/>
          <w:szCs w:val="24"/>
          <w:highlight w:val="none"/>
        </w:rPr>
        <w:t>食品相关</w:t>
      </w:r>
      <w:r>
        <w:rPr>
          <w:rFonts w:hint="eastAsia" w:ascii="宋体" w:hAnsi="宋体" w:eastAsia="宋体" w:cs="宋体"/>
          <w:sz w:val="24"/>
          <w:szCs w:val="24"/>
          <w:highlight w:val="none"/>
        </w:rPr>
        <w:t>产品检测：</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12"/>
        <w:gridCol w:w="626"/>
        <w:gridCol w:w="1962"/>
        <w:gridCol w:w="4586"/>
      </w:tblGrid>
      <w:tr w14:paraId="1FBB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BA82BAC">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12" w:type="dxa"/>
            <w:vAlign w:val="center"/>
          </w:tcPr>
          <w:p w14:paraId="58F71440">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26" w:type="dxa"/>
            <w:vAlign w:val="center"/>
          </w:tcPr>
          <w:p w14:paraId="381FCDE4">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62" w:type="dxa"/>
            <w:vAlign w:val="center"/>
          </w:tcPr>
          <w:p w14:paraId="2B73771B">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586" w:type="dxa"/>
            <w:vAlign w:val="center"/>
          </w:tcPr>
          <w:p w14:paraId="5F92038D">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22A7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1A302B2">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0CA4EA5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餐</w:t>
            </w:r>
            <w:r>
              <w:rPr>
                <w:rFonts w:hint="eastAsia" w:ascii="宋体" w:hAnsi="宋体" w:eastAsia="宋体" w:cs="宋体"/>
                <w:spacing w:val="6"/>
                <w:sz w:val="24"/>
                <w:szCs w:val="24"/>
                <w:highlight w:val="none"/>
              </w:rPr>
              <w:t>具洗</w:t>
            </w:r>
            <w:r>
              <w:rPr>
                <w:rFonts w:hint="eastAsia" w:ascii="宋体" w:hAnsi="宋体" w:eastAsia="宋体" w:cs="宋体"/>
                <w:spacing w:val="5"/>
                <w:sz w:val="24"/>
                <w:szCs w:val="24"/>
                <w:highlight w:val="none"/>
              </w:rPr>
              <w:t>涤</w:t>
            </w:r>
            <w:r>
              <w:rPr>
                <w:rFonts w:hint="eastAsia" w:ascii="宋体" w:hAnsi="宋体" w:eastAsia="宋体" w:cs="宋体"/>
                <w:spacing w:val="4"/>
                <w:sz w:val="24"/>
                <w:szCs w:val="24"/>
                <w:highlight w:val="none"/>
              </w:rPr>
              <w:t>剂</w:t>
            </w:r>
          </w:p>
        </w:tc>
        <w:tc>
          <w:tcPr>
            <w:tcW w:w="626" w:type="dxa"/>
            <w:vAlign w:val="center"/>
          </w:tcPr>
          <w:p w14:paraId="631370C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DCDA5C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9985-2000</w:t>
            </w:r>
          </w:p>
          <w:p w14:paraId="12D5EB6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GB14930.1-2015</w:t>
            </w:r>
          </w:p>
          <w:p w14:paraId="15B2C47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574131D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手洗餐具(果蔬) 用洗涤剂 (GB/T 9985-2000): 外观、气味、稳定性(液体产品)、pH值、总活性物含量、去污力、荧光增白剂、甲醇含量、甲醛含量、砷(As)、重金属(以 Pb 计)、菌落总数、大肠菌群、标志</w:t>
            </w:r>
          </w:p>
          <w:p w14:paraId="1DEBA32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机洗餐具(果蔬)用洗涤剂和食品工业用洗涤剂(含复合剂)(GB14930.1-2015 及企业标准)：总活性物含量、甲醇含量、甲醛含量、砷(As)、重金属(以 Pb 计)、菌落总数、大肠菌群、标志</w:t>
            </w:r>
          </w:p>
        </w:tc>
      </w:tr>
      <w:tr w14:paraId="7D13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39255F9">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F776D1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食品用塑料容器</w:t>
            </w:r>
          </w:p>
        </w:tc>
        <w:tc>
          <w:tcPr>
            <w:tcW w:w="626" w:type="dxa"/>
            <w:vAlign w:val="center"/>
          </w:tcPr>
          <w:p w14:paraId="31A1057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21308F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0013-2011</w:t>
            </w:r>
          </w:p>
          <w:p w14:paraId="1E0D6AD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2818-2006</w:t>
            </w:r>
          </w:p>
          <w:p w14:paraId="7502C82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41167-2021</w:t>
            </w:r>
          </w:p>
          <w:p w14:paraId="76F1B44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41000-2021</w:t>
            </w:r>
          </w:p>
          <w:p w14:paraId="3A84C56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2933-2008</w:t>
            </w:r>
          </w:p>
          <w:p w14:paraId="1D52DDD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4049-2010</w:t>
            </w:r>
          </w:p>
          <w:p w14:paraId="2404458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32094-2015</w:t>
            </w:r>
          </w:p>
          <w:p w14:paraId="1A096B1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0025-2004</w:t>
            </w:r>
          </w:p>
          <w:p w14:paraId="16E5404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17876-2010</w:t>
            </w:r>
          </w:p>
          <w:p w14:paraId="6DFEDF0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0048-2017</w:t>
            </w:r>
          </w:p>
          <w:p w14:paraId="259D9F8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BB/T0060-2012</w:t>
            </w:r>
          </w:p>
          <w:p w14:paraId="4646360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GB4806.7-2023</w:t>
            </w:r>
          </w:p>
          <w:p w14:paraId="7F6BEFC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289A425F">
            <w:pPr>
              <w:spacing w:before="40" w:beforeAutospacing="0" w:after="0" w:afterAutospacing="0"/>
              <w:ind w:left="15" w:right="0" w:firstLine="2"/>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软塑</w:t>
            </w:r>
            <w:r>
              <w:rPr>
                <w:rFonts w:hint="eastAsia" w:ascii="宋体" w:hAnsi="宋体" w:eastAsia="宋体" w:cs="宋体"/>
                <w:spacing w:val="7"/>
                <w:sz w:val="24"/>
                <w:szCs w:val="24"/>
                <w:highlight w:val="none"/>
              </w:rPr>
              <w:t>折叠包装容器(</w:t>
            </w:r>
            <w:r>
              <w:rPr>
                <w:rFonts w:hint="eastAsia" w:ascii="宋体" w:hAnsi="宋体" w:eastAsia="宋体" w:cs="宋体"/>
                <w:sz w:val="24"/>
                <w:szCs w:val="24"/>
                <w:highlight w:val="none"/>
              </w:rPr>
              <w:t>BB</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7"/>
                <w:sz w:val="24"/>
                <w:szCs w:val="24"/>
                <w:highlight w:val="none"/>
              </w:rPr>
              <w:t xml:space="preserve"> 0013-2011)：标签标识、质量偏差、容量偏差、</w:t>
            </w:r>
            <w:r>
              <w:rPr>
                <w:rFonts w:hint="eastAsia" w:ascii="宋体" w:hAnsi="宋体" w:eastAsia="宋体" w:cs="宋体"/>
                <w:spacing w:val="5"/>
                <w:sz w:val="24"/>
                <w:szCs w:val="24"/>
                <w:highlight w:val="none"/>
              </w:rPr>
              <w:t>最小壁厚、对称顶角壁厚比、口盖及配合、跌落强度、抗压试验、悬吊</w:t>
            </w:r>
            <w:r>
              <w:rPr>
                <w:rFonts w:hint="eastAsia" w:ascii="宋体" w:hAnsi="宋体" w:eastAsia="宋体" w:cs="宋体"/>
                <w:spacing w:val="1"/>
                <w:sz w:val="24"/>
                <w:szCs w:val="24"/>
                <w:highlight w:val="none"/>
              </w:rPr>
              <w:t>试</w:t>
            </w:r>
            <w:r>
              <w:rPr>
                <w:rFonts w:hint="eastAsia" w:ascii="宋体" w:hAnsi="宋体" w:eastAsia="宋体" w:cs="宋体"/>
                <w:spacing w:val="18"/>
                <w:sz w:val="24"/>
                <w:szCs w:val="24"/>
                <w:highlight w:val="none"/>
              </w:rPr>
              <w:t>验、</w:t>
            </w:r>
            <w:r>
              <w:rPr>
                <w:rFonts w:hint="eastAsia" w:ascii="宋体" w:hAnsi="宋体" w:eastAsia="宋体" w:cs="宋体"/>
                <w:spacing w:val="12"/>
                <w:sz w:val="24"/>
                <w:szCs w:val="24"/>
                <w:highlight w:val="none"/>
              </w:rPr>
              <w:t>密</w:t>
            </w:r>
            <w:r>
              <w:rPr>
                <w:rFonts w:hint="eastAsia" w:ascii="宋体" w:hAnsi="宋体" w:eastAsia="宋体" w:cs="宋体"/>
                <w:spacing w:val="9"/>
                <w:sz w:val="24"/>
                <w:szCs w:val="24"/>
                <w:highlight w:val="none"/>
              </w:rPr>
              <w:t>封试验、感官要求、总迁移量、高锰酸钾消耗量、重金属(以</w:t>
            </w:r>
            <w:r>
              <w:rPr>
                <w:rFonts w:hint="eastAsia" w:ascii="宋体" w:hAnsi="宋体" w:eastAsia="宋体" w:cs="宋体"/>
                <w:sz w:val="24"/>
                <w:szCs w:val="24"/>
                <w:highlight w:val="none"/>
              </w:rPr>
              <w:t xml:space="preserve">Pb  </w:t>
            </w:r>
            <w:r>
              <w:rPr>
                <w:rFonts w:hint="eastAsia" w:ascii="宋体" w:hAnsi="宋体" w:eastAsia="宋体" w:cs="宋体"/>
                <w:spacing w:val="4"/>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4"/>
                <w:sz w:val="24"/>
                <w:szCs w:val="24"/>
                <w:highlight w:val="none"/>
              </w:rPr>
              <w:t>单体及其他起始物的特定迁移限量、特定迁移限量总量</w:t>
            </w:r>
            <w:r>
              <w:rPr>
                <w:rFonts w:hint="eastAsia" w:ascii="宋体" w:hAnsi="宋体" w:eastAsia="宋体" w:cs="宋体"/>
                <w:spacing w:val="3"/>
                <w:sz w:val="24"/>
                <w:szCs w:val="24"/>
                <w:highlight w:val="none"/>
              </w:rPr>
              <w:t>、</w:t>
            </w:r>
            <w:r>
              <w:rPr>
                <w:rFonts w:hint="eastAsia" w:ascii="宋体" w:hAnsi="宋体" w:eastAsia="宋体" w:cs="宋体"/>
                <w:spacing w:val="8"/>
                <w:sz w:val="24"/>
                <w:szCs w:val="24"/>
                <w:highlight w:val="none"/>
              </w:rPr>
              <w:t>最大残留量等理化指</w:t>
            </w:r>
            <w:r>
              <w:rPr>
                <w:rFonts w:hint="eastAsia" w:ascii="宋体" w:hAnsi="宋体" w:eastAsia="宋体" w:cs="宋体"/>
                <w:spacing w:val="6"/>
                <w:sz w:val="24"/>
                <w:szCs w:val="24"/>
                <w:highlight w:val="none"/>
              </w:rPr>
              <w:t>标</w:t>
            </w:r>
          </w:p>
          <w:p w14:paraId="22803349">
            <w:pPr>
              <w:spacing w:before="1" w:beforeAutospacing="0" w:after="0" w:afterAutospacing="0"/>
              <w:ind w:left="15" w:right="11" w:firstLine="7"/>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聚烯烃</w:t>
            </w:r>
            <w:r>
              <w:rPr>
                <w:rFonts w:hint="eastAsia" w:ascii="宋体" w:hAnsi="宋体" w:eastAsia="宋体" w:cs="宋体"/>
                <w:spacing w:val="13"/>
                <w:sz w:val="24"/>
                <w:szCs w:val="24"/>
                <w:highlight w:val="none"/>
              </w:rPr>
              <w:t>注</w:t>
            </w:r>
            <w:r>
              <w:rPr>
                <w:rFonts w:hint="eastAsia" w:ascii="宋体" w:hAnsi="宋体" w:eastAsia="宋体" w:cs="宋体"/>
                <w:spacing w:val="7"/>
                <w:sz w:val="24"/>
                <w:szCs w:val="24"/>
                <w:highlight w:val="none"/>
              </w:rPr>
              <w:t>塑包装桶(</w:t>
            </w:r>
            <w:r>
              <w:rPr>
                <w:rFonts w:hint="eastAsia" w:ascii="宋体" w:hAnsi="宋体" w:eastAsia="宋体" w:cs="宋体"/>
                <w:sz w:val="24"/>
                <w:szCs w:val="24"/>
                <w:highlight w:val="none"/>
              </w:rPr>
              <w:t>QB</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7"/>
                <w:sz w:val="24"/>
                <w:szCs w:val="24"/>
                <w:highlight w:val="none"/>
              </w:rPr>
              <w:t xml:space="preserve"> 2818-2006)：标签标识、质量偏差、容量偏差、</w:t>
            </w:r>
            <w:r>
              <w:rPr>
                <w:rFonts w:hint="eastAsia" w:ascii="宋体" w:hAnsi="宋体" w:eastAsia="宋体" w:cs="宋体"/>
                <w:spacing w:val="14"/>
                <w:sz w:val="24"/>
                <w:szCs w:val="24"/>
                <w:highlight w:val="none"/>
              </w:rPr>
              <w:t>厚</w:t>
            </w:r>
            <w:r>
              <w:rPr>
                <w:rFonts w:hint="eastAsia" w:ascii="宋体" w:hAnsi="宋体" w:eastAsia="宋体" w:cs="宋体"/>
                <w:spacing w:val="9"/>
                <w:sz w:val="24"/>
                <w:szCs w:val="24"/>
                <w:highlight w:val="none"/>
              </w:rPr>
              <w:t>度偏差、密封性能、跌落性能、堆码试验、应力开裂、悬挂试验、感官</w:t>
            </w:r>
            <w:r>
              <w:rPr>
                <w:rFonts w:hint="eastAsia" w:ascii="宋体" w:hAnsi="宋体" w:eastAsia="宋体" w:cs="宋体"/>
                <w:spacing w:val="19"/>
                <w:sz w:val="24"/>
                <w:szCs w:val="24"/>
                <w:highlight w:val="none"/>
              </w:rPr>
              <w:t>要</w:t>
            </w:r>
            <w:r>
              <w:rPr>
                <w:rFonts w:hint="eastAsia" w:ascii="宋体" w:hAnsi="宋体" w:eastAsia="宋体" w:cs="宋体"/>
                <w:spacing w:val="12"/>
                <w:sz w:val="24"/>
                <w:szCs w:val="24"/>
                <w:highlight w:val="none"/>
              </w:rPr>
              <w:t>求、总迁移量、高锰酸钾消耗量、重金属(以</w:t>
            </w:r>
            <w:r>
              <w:rPr>
                <w:rFonts w:hint="eastAsia" w:ascii="宋体" w:hAnsi="宋体" w:eastAsia="宋体" w:cs="宋体"/>
                <w:sz w:val="24"/>
                <w:szCs w:val="24"/>
                <w:highlight w:val="none"/>
              </w:rPr>
              <w:t>Pb</w:t>
            </w:r>
            <w:r>
              <w:rPr>
                <w:rFonts w:hint="eastAsia" w:ascii="宋体" w:hAnsi="宋体" w:eastAsia="宋体" w:cs="宋体"/>
                <w:spacing w:val="12"/>
                <w:sz w:val="24"/>
                <w:szCs w:val="24"/>
                <w:highlight w:val="none"/>
              </w:rPr>
              <w:t>计)、脱色试验、</w:t>
            </w:r>
            <w:bookmarkStart w:id="17" w:name="OLE_LINK2"/>
            <w:r>
              <w:rPr>
                <w:rFonts w:hint="eastAsia" w:ascii="宋体" w:hAnsi="宋体" w:eastAsia="宋体" w:cs="宋体"/>
                <w:spacing w:val="12"/>
                <w:sz w:val="24"/>
                <w:szCs w:val="24"/>
                <w:highlight w:val="none"/>
              </w:rPr>
              <w:t>芳香族伯胺迁移总量、</w:t>
            </w:r>
            <w:bookmarkEnd w:id="17"/>
            <w:r>
              <w:rPr>
                <w:rFonts w:hint="eastAsia" w:ascii="宋体" w:hAnsi="宋体" w:eastAsia="宋体" w:cs="宋体"/>
                <w:spacing w:val="12"/>
                <w:sz w:val="24"/>
                <w:szCs w:val="24"/>
                <w:highlight w:val="none"/>
              </w:rPr>
              <w:t>单</w:t>
            </w:r>
            <w:r>
              <w:rPr>
                <w:rFonts w:hint="eastAsia" w:ascii="宋体" w:hAnsi="宋体" w:eastAsia="宋体" w:cs="宋体"/>
                <w:spacing w:val="14"/>
                <w:sz w:val="24"/>
                <w:szCs w:val="24"/>
                <w:highlight w:val="none"/>
              </w:rPr>
              <w:t>体</w:t>
            </w:r>
            <w:r>
              <w:rPr>
                <w:rFonts w:hint="eastAsia" w:ascii="宋体" w:hAnsi="宋体" w:eastAsia="宋体" w:cs="宋体"/>
                <w:spacing w:val="9"/>
                <w:sz w:val="24"/>
                <w:szCs w:val="24"/>
                <w:highlight w:val="none"/>
              </w:rPr>
              <w:t>及其他起始物的特定迁移限量、特定迁移限量总量、最大残留量等理化指标、添加</w:t>
            </w:r>
            <w:r>
              <w:rPr>
                <w:rFonts w:hint="eastAsia" w:ascii="宋体" w:hAnsi="宋体" w:eastAsia="宋体" w:cs="宋体"/>
                <w:spacing w:val="7"/>
                <w:sz w:val="24"/>
                <w:szCs w:val="24"/>
                <w:highlight w:val="none"/>
              </w:rPr>
              <w:t>剂</w:t>
            </w:r>
          </w:p>
          <w:p w14:paraId="698942D3">
            <w:pPr>
              <w:spacing w:before="0" w:beforeAutospacing="0" w:after="0" w:afterAutospacing="0"/>
              <w:ind w:left="15" w:right="0" w:firstLine="6"/>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聚对苯二甲酸乙二醇酯(PET)饮品瓶(</w:t>
            </w:r>
            <w:r>
              <w:rPr>
                <w:rFonts w:hint="eastAsia" w:ascii="宋体" w:hAnsi="宋体" w:eastAsia="宋体" w:cs="宋体"/>
                <w:sz w:val="24"/>
                <w:szCs w:val="24"/>
                <w:highlight w:val="none"/>
              </w:rPr>
              <w:t>GB/T 41167-2021</w:t>
            </w:r>
            <w:r>
              <w:rPr>
                <w:rFonts w:hint="eastAsia" w:ascii="宋体" w:hAnsi="宋体" w:eastAsia="宋体" w:cs="宋体"/>
                <w:spacing w:val="12"/>
                <w:sz w:val="24"/>
                <w:szCs w:val="24"/>
                <w:highlight w:val="none"/>
              </w:rPr>
              <w:t>)：标签标识、瓶口密封性能、跌</w:t>
            </w:r>
            <w:r>
              <w:rPr>
                <w:rFonts w:hint="eastAsia" w:ascii="宋体" w:hAnsi="宋体" w:eastAsia="宋体" w:cs="宋体"/>
                <w:spacing w:val="5"/>
                <w:sz w:val="24"/>
                <w:szCs w:val="24"/>
                <w:highlight w:val="none"/>
              </w:rPr>
              <w:t>落</w:t>
            </w:r>
            <w:r>
              <w:rPr>
                <w:rFonts w:hint="eastAsia" w:ascii="宋体" w:hAnsi="宋体" w:eastAsia="宋体" w:cs="宋体"/>
                <w:spacing w:val="24"/>
                <w:sz w:val="24"/>
                <w:szCs w:val="24"/>
                <w:highlight w:val="none"/>
              </w:rPr>
              <w:t>性能</w:t>
            </w:r>
            <w:r>
              <w:rPr>
                <w:rFonts w:hint="eastAsia" w:ascii="宋体" w:hAnsi="宋体" w:eastAsia="宋体" w:cs="宋体"/>
                <w:spacing w:val="12"/>
                <w:sz w:val="24"/>
                <w:szCs w:val="24"/>
                <w:highlight w:val="none"/>
              </w:rPr>
              <w:t>、感官要求、总迁移量、高锰酸钾消耗量、</w:t>
            </w:r>
            <w:r>
              <w:rPr>
                <w:rFonts w:hint="eastAsia" w:ascii="宋体" w:hAnsi="宋体" w:eastAsia="宋体" w:cs="宋体"/>
                <w:spacing w:val="10"/>
                <w:sz w:val="24"/>
                <w:szCs w:val="24"/>
                <w:highlight w:val="none"/>
              </w:rPr>
              <w:t>重</w:t>
            </w:r>
            <w:r>
              <w:rPr>
                <w:rFonts w:hint="eastAsia" w:ascii="宋体" w:hAnsi="宋体" w:eastAsia="宋体" w:cs="宋体"/>
                <w:spacing w:val="6"/>
                <w:sz w:val="24"/>
                <w:szCs w:val="24"/>
                <w:highlight w:val="none"/>
              </w:rPr>
              <w:t>金属 (以</w:t>
            </w:r>
            <w:r>
              <w:rPr>
                <w:rFonts w:hint="eastAsia" w:ascii="宋体" w:hAnsi="宋体" w:eastAsia="宋体" w:cs="宋体"/>
                <w:sz w:val="24"/>
                <w:szCs w:val="24"/>
                <w:highlight w:val="none"/>
              </w:rPr>
              <w:t>Pb</w:t>
            </w:r>
            <w:r>
              <w:rPr>
                <w:rFonts w:hint="eastAsia" w:ascii="宋体" w:hAnsi="宋体" w:eastAsia="宋体" w:cs="宋体"/>
                <w:spacing w:val="6"/>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6"/>
                <w:sz w:val="24"/>
                <w:szCs w:val="24"/>
                <w:highlight w:val="none"/>
              </w:rPr>
              <w:t>单体及其他起始物的特定迁移限量、</w:t>
            </w:r>
            <w:r>
              <w:rPr>
                <w:rFonts w:hint="eastAsia" w:ascii="宋体" w:hAnsi="宋体" w:eastAsia="宋体" w:cs="宋体"/>
                <w:spacing w:val="10"/>
                <w:sz w:val="24"/>
                <w:szCs w:val="24"/>
                <w:highlight w:val="none"/>
              </w:rPr>
              <w:t>特</w:t>
            </w:r>
            <w:r>
              <w:rPr>
                <w:rFonts w:hint="eastAsia" w:ascii="宋体" w:hAnsi="宋体" w:eastAsia="宋体" w:cs="宋体"/>
                <w:spacing w:val="8"/>
                <w:sz w:val="24"/>
                <w:szCs w:val="24"/>
                <w:highlight w:val="none"/>
              </w:rPr>
              <w:t>定迁移限量总量、最大残留量等理化指标</w:t>
            </w:r>
          </w:p>
          <w:p w14:paraId="2B93204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聚碳酸酯(PC)饮水罐</w:t>
            </w:r>
            <w:r>
              <w:rPr>
                <w:rFonts w:hint="eastAsia" w:ascii="宋体" w:hAnsi="宋体" w:eastAsia="宋体" w:cs="宋体"/>
                <w:spacing w:val="11"/>
                <w:sz w:val="24"/>
                <w:szCs w:val="24"/>
                <w:highlight w:val="none"/>
              </w:rPr>
              <w:t xml:space="preserve"> (</w:t>
            </w:r>
            <w:r>
              <w:rPr>
                <w:rFonts w:hint="eastAsia" w:ascii="宋体" w:hAnsi="宋体" w:eastAsia="宋体" w:cs="宋体"/>
                <w:sz w:val="24"/>
                <w:szCs w:val="24"/>
                <w:highlight w:val="none"/>
              </w:rPr>
              <w:t>GB/T 41000-2021</w:t>
            </w:r>
            <w:r>
              <w:rPr>
                <w:rFonts w:hint="eastAsia" w:ascii="宋体" w:hAnsi="宋体" w:eastAsia="宋体" w:cs="宋体"/>
                <w:spacing w:val="11"/>
                <w:sz w:val="24"/>
                <w:szCs w:val="24"/>
                <w:highlight w:val="none"/>
              </w:rPr>
              <w:t>)：标签标识、密封性能、</w:t>
            </w:r>
            <w:r>
              <w:rPr>
                <w:rFonts w:hint="eastAsia" w:ascii="宋体" w:hAnsi="宋体" w:eastAsia="宋体" w:cs="宋体"/>
                <w:spacing w:val="7"/>
                <w:sz w:val="24"/>
                <w:szCs w:val="24"/>
                <w:highlight w:val="none"/>
              </w:rPr>
              <w:t>堆码要求、</w:t>
            </w:r>
            <w:r>
              <w:rPr>
                <w:rFonts w:hint="eastAsia" w:ascii="宋体" w:hAnsi="宋体" w:eastAsia="宋体" w:cs="宋体"/>
                <w:spacing w:val="11"/>
                <w:sz w:val="24"/>
                <w:szCs w:val="24"/>
                <w:highlight w:val="none"/>
              </w:rPr>
              <w:t>跌落</w:t>
            </w:r>
            <w:r>
              <w:rPr>
                <w:rFonts w:hint="eastAsia" w:ascii="宋体" w:hAnsi="宋体" w:eastAsia="宋体" w:cs="宋体"/>
                <w:spacing w:val="14"/>
                <w:sz w:val="24"/>
                <w:szCs w:val="24"/>
                <w:highlight w:val="none"/>
              </w:rPr>
              <w:t>要求</w:t>
            </w:r>
            <w:r>
              <w:rPr>
                <w:rFonts w:hint="eastAsia" w:ascii="宋体" w:hAnsi="宋体" w:eastAsia="宋体" w:cs="宋体"/>
                <w:spacing w:val="13"/>
                <w:sz w:val="24"/>
                <w:szCs w:val="24"/>
                <w:highlight w:val="none"/>
              </w:rPr>
              <w:t>、</w:t>
            </w:r>
            <w:r>
              <w:rPr>
                <w:rFonts w:hint="eastAsia" w:ascii="宋体" w:hAnsi="宋体" w:eastAsia="宋体" w:cs="宋体"/>
                <w:spacing w:val="7"/>
                <w:sz w:val="24"/>
                <w:szCs w:val="24"/>
                <w:highlight w:val="none"/>
              </w:rPr>
              <w:t>感官要求、总迁移量、高锰酸钾消耗量、重金属 (以</w:t>
            </w:r>
            <w:r>
              <w:rPr>
                <w:rFonts w:hint="eastAsia" w:ascii="宋体" w:hAnsi="宋体" w:eastAsia="宋体" w:cs="宋体"/>
                <w:sz w:val="24"/>
                <w:szCs w:val="24"/>
                <w:highlight w:val="none"/>
              </w:rPr>
              <w:t xml:space="preserve">Pb </w:t>
            </w:r>
            <w:r>
              <w:rPr>
                <w:rFonts w:hint="eastAsia" w:ascii="宋体" w:hAnsi="宋体" w:eastAsia="宋体" w:cs="宋体"/>
                <w:spacing w:val="4"/>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4"/>
                <w:sz w:val="24"/>
                <w:szCs w:val="24"/>
                <w:highlight w:val="none"/>
              </w:rPr>
              <w:t>单体及其他起始物的特定迁移限量、特定迁移限量总量</w:t>
            </w:r>
            <w:r>
              <w:rPr>
                <w:rFonts w:hint="eastAsia" w:ascii="宋体" w:hAnsi="宋体" w:eastAsia="宋体" w:cs="宋体"/>
                <w:spacing w:val="3"/>
                <w:sz w:val="24"/>
                <w:szCs w:val="24"/>
                <w:highlight w:val="none"/>
              </w:rPr>
              <w:t>、</w:t>
            </w:r>
            <w:r>
              <w:rPr>
                <w:rFonts w:hint="eastAsia" w:ascii="宋体" w:hAnsi="宋体" w:eastAsia="宋体" w:cs="宋体"/>
                <w:spacing w:val="14"/>
                <w:sz w:val="24"/>
                <w:szCs w:val="24"/>
                <w:highlight w:val="none"/>
              </w:rPr>
              <w:t>最</w:t>
            </w:r>
            <w:r>
              <w:rPr>
                <w:rFonts w:hint="eastAsia" w:ascii="宋体" w:hAnsi="宋体" w:eastAsia="宋体" w:cs="宋体"/>
                <w:spacing w:val="7"/>
                <w:sz w:val="24"/>
                <w:szCs w:val="24"/>
                <w:highlight w:val="none"/>
              </w:rPr>
              <w:t>大残留量等理化指标</w:t>
            </w:r>
          </w:p>
          <w:p w14:paraId="56167AF1">
            <w:pPr>
              <w:spacing w:before="3" w:beforeAutospacing="0" w:after="0" w:afterAutospacing="0"/>
              <w:ind w:left="15" w:right="6"/>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双</w:t>
            </w:r>
            <w:r>
              <w:rPr>
                <w:rFonts w:hint="eastAsia" w:ascii="宋体" w:hAnsi="宋体" w:eastAsia="宋体" w:cs="宋体"/>
                <w:spacing w:val="13"/>
                <w:sz w:val="24"/>
                <w:szCs w:val="24"/>
                <w:highlight w:val="none"/>
              </w:rPr>
              <w:t>层</w:t>
            </w:r>
            <w:r>
              <w:rPr>
                <w:rFonts w:hint="eastAsia" w:ascii="宋体" w:hAnsi="宋体" w:eastAsia="宋体" w:cs="宋体"/>
                <w:spacing w:val="10"/>
                <w:sz w:val="24"/>
                <w:szCs w:val="24"/>
                <w:highlight w:val="none"/>
              </w:rPr>
              <w:t>口杯(</w:t>
            </w:r>
            <w:r>
              <w:rPr>
                <w:rFonts w:hint="eastAsia" w:ascii="宋体" w:hAnsi="宋体" w:eastAsia="宋体" w:cs="宋体"/>
                <w:sz w:val="24"/>
                <w:szCs w:val="24"/>
                <w:highlight w:val="none"/>
              </w:rPr>
              <w:t>QB</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10"/>
                <w:sz w:val="24"/>
                <w:szCs w:val="24"/>
                <w:highlight w:val="none"/>
              </w:rPr>
              <w:t xml:space="preserve"> 2933-2008 )：标签标识、容量、稳定性、外表面温度、</w:t>
            </w:r>
            <w:r>
              <w:rPr>
                <w:rFonts w:hint="eastAsia" w:ascii="宋体" w:hAnsi="宋体" w:eastAsia="宋体" w:cs="宋体"/>
                <w:spacing w:val="16"/>
                <w:sz w:val="24"/>
                <w:szCs w:val="24"/>
                <w:highlight w:val="none"/>
              </w:rPr>
              <w:t>密封</w:t>
            </w:r>
            <w:r>
              <w:rPr>
                <w:rFonts w:hint="eastAsia" w:ascii="宋体" w:hAnsi="宋体" w:eastAsia="宋体" w:cs="宋体"/>
                <w:spacing w:val="14"/>
                <w:sz w:val="24"/>
                <w:szCs w:val="24"/>
                <w:highlight w:val="none"/>
              </w:rPr>
              <w:t>性</w:t>
            </w:r>
            <w:r>
              <w:rPr>
                <w:rFonts w:hint="eastAsia" w:ascii="宋体" w:hAnsi="宋体" w:eastAsia="宋体" w:cs="宋体"/>
                <w:spacing w:val="8"/>
                <w:sz w:val="24"/>
                <w:szCs w:val="24"/>
                <w:highlight w:val="none"/>
              </w:rPr>
              <w:t>能、卫生指标 (气味) 、耐冲击、盖与杯的配合、手柄强度、橡胶</w:t>
            </w:r>
            <w:r>
              <w:rPr>
                <w:rFonts w:hint="eastAsia" w:ascii="宋体" w:hAnsi="宋体" w:eastAsia="宋体" w:cs="宋体"/>
                <w:spacing w:val="18"/>
                <w:sz w:val="24"/>
                <w:szCs w:val="24"/>
                <w:highlight w:val="none"/>
              </w:rPr>
              <w:t>件</w:t>
            </w:r>
            <w:r>
              <w:rPr>
                <w:rFonts w:hint="eastAsia" w:ascii="宋体" w:hAnsi="宋体" w:eastAsia="宋体" w:cs="宋体"/>
                <w:spacing w:val="11"/>
                <w:sz w:val="24"/>
                <w:szCs w:val="24"/>
                <w:highlight w:val="none"/>
              </w:rPr>
              <w:t>耐</w:t>
            </w:r>
            <w:r>
              <w:rPr>
                <w:rFonts w:hint="eastAsia" w:ascii="宋体" w:hAnsi="宋体" w:eastAsia="宋体" w:cs="宋体"/>
                <w:spacing w:val="9"/>
                <w:sz w:val="24"/>
                <w:szCs w:val="24"/>
                <w:highlight w:val="none"/>
              </w:rPr>
              <w:t>热水、涂层、电镀件、感官要求、总迁移量、高锰酸钾消耗量、重金</w:t>
            </w:r>
            <w:r>
              <w:rPr>
                <w:rFonts w:hint="eastAsia" w:ascii="宋体" w:hAnsi="宋体" w:eastAsia="宋体" w:cs="宋体"/>
                <w:spacing w:val="22"/>
                <w:sz w:val="24"/>
                <w:szCs w:val="24"/>
                <w:highlight w:val="none"/>
              </w:rPr>
              <w:t>属</w:t>
            </w:r>
            <w:r>
              <w:rPr>
                <w:rFonts w:hint="eastAsia" w:ascii="宋体" w:hAnsi="宋体" w:eastAsia="宋体" w:cs="宋体"/>
                <w:spacing w:val="16"/>
                <w:sz w:val="24"/>
                <w:szCs w:val="24"/>
                <w:highlight w:val="none"/>
              </w:rPr>
              <w:t>(</w:t>
            </w:r>
            <w:r>
              <w:rPr>
                <w:rFonts w:hint="eastAsia" w:ascii="宋体" w:hAnsi="宋体" w:eastAsia="宋体" w:cs="宋体"/>
                <w:spacing w:val="11"/>
                <w:sz w:val="24"/>
                <w:szCs w:val="24"/>
                <w:highlight w:val="none"/>
              </w:rPr>
              <w:t>以</w:t>
            </w:r>
            <w:r>
              <w:rPr>
                <w:rFonts w:hint="eastAsia" w:ascii="宋体" w:hAnsi="宋体" w:eastAsia="宋体" w:cs="宋体"/>
                <w:sz w:val="24"/>
                <w:szCs w:val="24"/>
                <w:highlight w:val="none"/>
              </w:rPr>
              <w:t>Pb</w:t>
            </w:r>
            <w:r>
              <w:rPr>
                <w:rFonts w:hint="eastAsia" w:ascii="宋体" w:hAnsi="宋体" w:eastAsia="宋体" w:cs="宋体"/>
                <w:spacing w:val="11"/>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11"/>
                <w:sz w:val="24"/>
                <w:szCs w:val="24"/>
                <w:highlight w:val="none"/>
              </w:rPr>
              <w:t>单体及其他起始物的特定迁移限量、特定迁</w:t>
            </w:r>
            <w:r>
              <w:rPr>
                <w:rFonts w:hint="eastAsia" w:ascii="宋体" w:hAnsi="宋体" w:eastAsia="宋体" w:cs="宋体"/>
                <w:spacing w:val="18"/>
                <w:sz w:val="24"/>
                <w:szCs w:val="24"/>
                <w:highlight w:val="none"/>
              </w:rPr>
              <w:t>移</w:t>
            </w:r>
            <w:r>
              <w:rPr>
                <w:rFonts w:hint="eastAsia" w:ascii="宋体" w:hAnsi="宋体" w:eastAsia="宋体" w:cs="宋体"/>
                <w:spacing w:val="13"/>
                <w:sz w:val="24"/>
                <w:szCs w:val="24"/>
                <w:highlight w:val="none"/>
              </w:rPr>
              <w:t>限</w:t>
            </w:r>
            <w:r>
              <w:rPr>
                <w:rFonts w:hint="eastAsia" w:ascii="宋体" w:hAnsi="宋体" w:eastAsia="宋体" w:cs="宋体"/>
                <w:spacing w:val="9"/>
                <w:sz w:val="24"/>
                <w:szCs w:val="24"/>
                <w:highlight w:val="none"/>
              </w:rPr>
              <w:t>量总量、最大残留量等理化指标、添加剂</w:t>
            </w:r>
          </w:p>
          <w:p w14:paraId="58BE359D">
            <w:pPr>
              <w:spacing w:before="6" w:beforeAutospacing="0" w:after="0" w:afterAutospacing="0"/>
              <w:ind w:left="15" w:right="0" w:firstLine="3"/>
              <w:rPr>
                <w:rFonts w:hint="eastAsia" w:ascii="宋体" w:hAnsi="宋体" w:eastAsia="宋体" w:cs="宋体"/>
                <w:spacing w:val="9"/>
                <w:sz w:val="24"/>
                <w:szCs w:val="24"/>
                <w:highlight w:val="none"/>
              </w:rPr>
            </w:pPr>
            <w:r>
              <w:rPr>
                <w:rFonts w:hint="eastAsia" w:ascii="宋体" w:hAnsi="宋体" w:eastAsia="宋体" w:cs="宋体"/>
                <w:spacing w:val="7"/>
                <w:sz w:val="24"/>
                <w:szCs w:val="24"/>
                <w:highlight w:val="none"/>
              </w:rPr>
              <w:t>塑料饮水口杯(</w:t>
            </w:r>
            <w:r>
              <w:rPr>
                <w:rFonts w:hint="eastAsia" w:ascii="宋体" w:hAnsi="宋体" w:eastAsia="宋体" w:cs="宋体"/>
                <w:sz w:val="24"/>
                <w:szCs w:val="24"/>
                <w:highlight w:val="none"/>
              </w:rPr>
              <w:t>QB</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7"/>
                <w:sz w:val="24"/>
                <w:szCs w:val="24"/>
                <w:highlight w:val="none"/>
              </w:rPr>
              <w:t xml:space="preserve"> 4049-2010 )：标签标识、容量、密封性能、跌落</w:t>
            </w:r>
            <w:r>
              <w:rPr>
                <w:rFonts w:hint="eastAsia" w:ascii="宋体" w:hAnsi="宋体" w:eastAsia="宋体" w:cs="宋体"/>
                <w:spacing w:val="1"/>
                <w:sz w:val="24"/>
                <w:szCs w:val="24"/>
                <w:highlight w:val="none"/>
              </w:rPr>
              <w:t>性</w:t>
            </w:r>
            <w:r>
              <w:rPr>
                <w:rFonts w:hint="eastAsia" w:ascii="宋体" w:hAnsi="宋体" w:eastAsia="宋体" w:cs="宋体"/>
                <w:spacing w:val="14"/>
                <w:sz w:val="24"/>
                <w:szCs w:val="24"/>
                <w:highlight w:val="none"/>
              </w:rPr>
              <w:t>能、</w:t>
            </w:r>
            <w:r>
              <w:rPr>
                <w:rFonts w:hint="eastAsia" w:ascii="宋体" w:hAnsi="宋体" w:eastAsia="宋体" w:cs="宋体"/>
                <w:spacing w:val="12"/>
                <w:sz w:val="24"/>
                <w:szCs w:val="24"/>
                <w:highlight w:val="none"/>
              </w:rPr>
              <w:t>耐</w:t>
            </w:r>
            <w:r>
              <w:rPr>
                <w:rFonts w:hint="eastAsia" w:ascii="宋体" w:hAnsi="宋体" w:eastAsia="宋体" w:cs="宋体"/>
                <w:spacing w:val="7"/>
                <w:sz w:val="24"/>
                <w:szCs w:val="24"/>
                <w:highlight w:val="none"/>
              </w:rPr>
              <w:t>低温性能、耐热性、稳定性、使用性能、气味、感官要求、总迁移</w:t>
            </w:r>
            <w:r>
              <w:rPr>
                <w:rFonts w:hint="eastAsia" w:ascii="宋体" w:hAnsi="宋体" w:eastAsia="宋体" w:cs="宋体"/>
                <w:spacing w:val="14"/>
                <w:sz w:val="24"/>
                <w:szCs w:val="24"/>
                <w:highlight w:val="none"/>
              </w:rPr>
              <w:t>量、高</w:t>
            </w:r>
            <w:r>
              <w:rPr>
                <w:rFonts w:hint="eastAsia" w:ascii="宋体" w:hAnsi="宋体" w:eastAsia="宋体" w:cs="宋体"/>
                <w:spacing w:val="11"/>
                <w:sz w:val="24"/>
                <w:szCs w:val="24"/>
                <w:highlight w:val="none"/>
              </w:rPr>
              <w:t>锰</w:t>
            </w:r>
            <w:r>
              <w:rPr>
                <w:rFonts w:hint="eastAsia" w:ascii="宋体" w:hAnsi="宋体" w:eastAsia="宋体" w:cs="宋体"/>
                <w:spacing w:val="7"/>
                <w:sz w:val="24"/>
                <w:szCs w:val="24"/>
                <w:highlight w:val="none"/>
              </w:rPr>
              <w:t>酸钾消耗量、重金属(以</w:t>
            </w:r>
            <w:r>
              <w:rPr>
                <w:rFonts w:hint="eastAsia" w:ascii="宋体" w:hAnsi="宋体" w:eastAsia="宋体" w:cs="宋体"/>
                <w:sz w:val="24"/>
                <w:szCs w:val="24"/>
                <w:highlight w:val="none"/>
              </w:rPr>
              <w:t>Pb</w:t>
            </w:r>
            <w:r>
              <w:rPr>
                <w:rFonts w:hint="eastAsia" w:ascii="宋体" w:hAnsi="宋体" w:eastAsia="宋体" w:cs="宋体"/>
                <w:spacing w:val="7"/>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7"/>
                <w:sz w:val="24"/>
                <w:szCs w:val="24"/>
                <w:highlight w:val="none"/>
              </w:rPr>
              <w:t>单体及其他起始</w:t>
            </w:r>
            <w:r>
              <w:rPr>
                <w:rFonts w:hint="eastAsia" w:ascii="宋体" w:hAnsi="宋体" w:eastAsia="宋体" w:cs="宋体"/>
                <w:spacing w:val="14"/>
                <w:sz w:val="24"/>
                <w:szCs w:val="24"/>
                <w:highlight w:val="none"/>
              </w:rPr>
              <w:t>物的</w:t>
            </w:r>
            <w:r>
              <w:rPr>
                <w:rFonts w:hint="eastAsia" w:ascii="宋体" w:hAnsi="宋体" w:eastAsia="宋体" w:cs="宋体"/>
                <w:spacing w:val="12"/>
                <w:sz w:val="24"/>
                <w:szCs w:val="24"/>
                <w:highlight w:val="none"/>
              </w:rPr>
              <w:t>特</w:t>
            </w:r>
            <w:r>
              <w:rPr>
                <w:rFonts w:hint="eastAsia" w:ascii="宋体" w:hAnsi="宋体" w:eastAsia="宋体" w:cs="宋体"/>
                <w:spacing w:val="7"/>
                <w:sz w:val="24"/>
                <w:szCs w:val="24"/>
                <w:highlight w:val="none"/>
              </w:rPr>
              <w:t>定迁移限量、特定迁移限量总量、最大残留量等理化指标、添加剂</w:t>
            </w:r>
            <w:r>
              <w:rPr>
                <w:rFonts w:hint="eastAsia" w:ascii="宋体" w:hAnsi="宋体" w:eastAsia="宋体" w:cs="宋体"/>
                <w:spacing w:val="9"/>
                <w:sz w:val="24"/>
                <w:szCs w:val="24"/>
                <w:highlight w:val="none"/>
              </w:rPr>
              <w:t>塑料</w:t>
            </w:r>
          </w:p>
          <w:p w14:paraId="30784554">
            <w:pPr>
              <w:spacing w:before="6" w:beforeAutospacing="0" w:after="0" w:afterAutospacing="0"/>
              <w:ind w:left="15" w:right="0" w:firstLine="3"/>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保鲜盒(</w:t>
            </w:r>
            <w:r>
              <w:rPr>
                <w:rFonts w:hint="eastAsia" w:ascii="宋体" w:hAnsi="宋体" w:eastAsia="宋体" w:cs="宋体"/>
                <w:sz w:val="24"/>
                <w:szCs w:val="24"/>
                <w:highlight w:val="none"/>
              </w:rPr>
              <w:t>GB</w:t>
            </w:r>
            <w:r>
              <w:rPr>
                <w:rFonts w:hint="eastAsia" w:ascii="宋体" w:hAnsi="宋体" w:eastAsia="宋体" w:cs="宋体"/>
                <w:spacing w:val="9"/>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9"/>
                <w:sz w:val="24"/>
                <w:szCs w:val="24"/>
                <w:highlight w:val="none"/>
              </w:rPr>
              <w:t xml:space="preserve"> 32094-2015)：标签标识、容量偏差、气味、盒盖开</w:t>
            </w:r>
            <w:r>
              <w:rPr>
                <w:rFonts w:hint="eastAsia" w:ascii="宋体" w:hAnsi="宋体" w:eastAsia="宋体" w:cs="宋体"/>
                <w:spacing w:val="4"/>
                <w:sz w:val="24"/>
                <w:szCs w:val="24"/>
                <w:highlight w:val="none"/>
              </w:rPr>
              <w:t>合</w:t>
            </w:r>
            <w:r>
              <w:rPr>
                <w:rFonts w:hint="eastAsia" w:ascii="宋体" w:hAnsi="宋体" w:eastAsia="宋体" w:cs="宋体"/>
                <w:spacing w:val="12"/>
                <w:sz w:val="24"/>
                <w:szCs w:val="24"/>
                <w:highlight w:val="none"/>
              </w:rPr>
              <w:t>性</w:t>
            </w:r>
            <w:r>
              <w:rPr>
                <w:rFonts w:hint="eastAsia" w:ascii="宋体" w:hAnsi="宋体" w:eastAsia="宋体" w:cs="宋体"/>
                <w:spacing w:val="7"/>
                <w:sz w:val="24"/>
                <w:szCs w:val="24"/>
                <w:highlight w:val="none"/>
              </w:rPr>
              <w:t>能 (部件配合) 、跌落性能、悬吊变形率、耐酸碱性、耐污染性、耐洗</w:t>
            </w:r>
            <w:r>
              <w:rPr>
                <w:rFonts w:hint="eastAsia" w:ascii="宋体" w:hAnsi="宋体" w:eastAsia="宋体" w:cs="宋体"/>
                <w:spacing w:val="14"/>
                <w:sz w:val="24"/>
                <w:szCs w:val="24"/>
                <w:highlight w:val="none"/>
              </w:rPr>
              <w:t>涤剂</w:t>
            </w:r>
            <w:r>
              <w:rPr>
                <w:rFonts w:hint="eastAsia" w:ascii="宋体" w:hAnsi="宋体" w:eastAsia="宋体" w:cs="宋体"/>
                <w:spacing w:val="12"/>
                <w:sz w:val="24"/>
                <w:szCs w:val="24"/>
                <w:highlight w:val="none"/>
              </w:rPr>
              <w:t>性</w:t>
            </w:r>
            <w:r>
              <w:rPr>
                <w:rFonts w:hint="eastAsia" w:ascii="宋体" w:hAnsi="宋体" w:eastAsia="宋体" w:cs="宋体"/>
                <w:spacing w:val="7"/>
                <w:sz w:val="24"/>
                <w:szCs w:val="24"/>
                <w:highlight w:val="none"/>
              </w:rPr>
              <w:t>能、耐温性、密闭性、真空保鲜盒的真空度、真空保鲜盒真空度的</w:t>
            </w:r>
            <w:r>
              <w:rPr>
                <w:rFonts w:hint="eastAsia" w:ascii="宋体" w:hAnsi="宋体" w:eastAsia="宋体" w:cs="宋体"/>
                <w:spacing w:val="12"/>
                <w:sz w:val="24"/>
                <w:szCs w:val="24"/>
                <w:highlight w:val="none"/>
              </w:rPr>
              <w:t>保持</w:t>
            </w:r>
            <w:r>
              <w:rPr>
                <w:rFonts w:hint="eastAsia" w:ascii="宋体" w:hAnsi="宋体" w:eastAsia="宋体" w:cs="宋体"/>
                <w:spacing w:val="10"/>
                <w:sz w:val="24"/>
                <w:szCs w:val="24"/>
                <w:highlight w:val="none"/>
              </w:rPr>
              <w:t>时</w:t>
            </w:r>
            <w:r>
              <w:rPr>
                <w:rFonts w:hint="eastAsia" w:ascii="宋体" w:hAnsi="宋体" w:eastAsia="宋体" w:cs="宋体"/>
                <w:spacing w:val="6"/>
                <w:sz w:val="24"/>
                <w:szCs w:val="24"/>
                <w:highlight w:val="none"/>
              </w:rPr>
              <w:t>间、感官要求、总迁移量、高锰酸钾消耗量、重金属 (以</w:t>
            </w:r>
            <w:r>
              <w:rPr>
                <w:rFonts w:hint="eastAsia" w:ascii="宋体" w:hAnsi="宋体" w:eastAsia="宋体" w:cs="宋体"/>
                <w:sz w:val="24"/>
                <w:szCs w:val="24"/>
                <w:highlight w:val="none"/>
              </w:rPr>
              <w:t>Pb</w:t>
            </w:r>
            <w:r>
              <w:rPr>
                <w:rFonts w:hint="eastAsia" w:ascii="宋体" w:hAnsi="宋体" w:eastAsia="宋体" w:cs="宋体"/>
                <w:spacing w:val="6"/>
                <w:sz w:val="24"/>
                <w:szCs w:val="24"/>
                <w:highlight w:val="none"/>
              </w:rPr>
              <w:t>计) 、</w:t>
            </w:r>
            <w:r>
              <w:rPr>
                <w:rFonts w:hint="eastAsia" w:ascii="宋体" w:hAnsi="宋体" w:eastAsia="宋体" w:cs="宋体"/>
                <w:spacing w:val="14"/>
                <w:sz w:val="24"/>
                <w:szCs w:val="24"/>
                <w:highlight w:val="none"/>
              </w:rPr>
              <w:t>脱色</w:t>
            </w:r>
            <w:r>
              <w:rPr>
                <w:rFonts w:hint="eastAsia" w:ascii="宋体" w:hAnsi="宋体" w:eastAsia="宋体" w:cs="宋体"/>
                <w:spacing w:val="12"/>
                <w:sz w:val="24"/>
                <w:szCs w:val="24"/>
                <w:highlight w:val="none"/>
              </w:rPr>
              <w:t>试</w:t>
            </w:r>
            <w:r>
              <w:rPr>
                <w:rFonts w:hint="eastAsia" w:ascii="宋体" w:hAnsi="宋体" w:eastAsia="宋体" w:cs="宋体"/>
                <w:spacing w:val="7"/>
                <w:sz w:val="24"/>
                <w:szCs w:val="24"/>
                <w:highlight w:val="none"/>
              </w:rPr>
              <w:t>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7"/>
                <w:sz w:val="24"/>
                <w:szCs w:val="24"/>
                <w:highlight w:val="none"/>
              </w:rPr>
              <w:t>单体及其他起始物的特定迁移限量、特定迁移限量总量、最大</w:t>
            </w:r>
            <w:r>
              <w:rPr>
                <w:rFonts w:hint="eastAsia" w:ascii="宋体" w:hAnsi="宋体" w:eastAsia="宋体" w:cs="宋体"/>
                <w:spacing w:val="11"/>
                <w:sz w:val="24"/>
                <w:szCs w:val="24"/>
                <w:highlight w:val="none"/>
              </w:rPr>
              <w:t>残</w:t>
            </w:r>
            <w:r>
              <w:rPr>
                <w:rFonts w:hint="eastAsia" w:ascii="宋体" w:hAnsi="宋体" w:eastAsia="宋体" w:cs="宋体"/>
                <w:spacing w:val="7"/>
                <w:sz w:val="24"/>
                <w:szCs w:val="24"/>
                <w:highlight w:val="none"/>
              </w:rPr>
              <w:t>留量等理化指标</w:t>
            </w:r>
          </w:p>
          <w:p w14:paraId="778B5331">
            <w:pPr>
              <w:spacing w:before="2" w:beforeAutospacing="0" w:after="0" w:afterAutospacing="0"/>
              <w:ind w:left="16" w:right="0" w:firstLine="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婴幼儿塑料奶瓶(企业标准)：标签标识、密封性能、跌落性能、热稳定性</w:t>
            </w:r>
            <w:r>
              <w:rPr>
                <w:rFonts w:hint="eastAsia" w:ascii="宋体" w:hAnsi="宋体" w:eastAsia="宋体" w:cs="宋体"/>
                <w:spacing w:val="1"/>
                <w:sz w:val="24"/>
                <w:szCs w:val="24"/>
                <w:highlight w:val="none"/>
              </w:rPr>
              <w:t>、</w:t>
            </w:r>
            <w:r>
              <w:rPr>
                <w:rFonts w:hint="eastAsia" w:ascii="宋体" w:hAnsi="宋体" w:eastAsia="宋体" w:cs="宋体"/>
                <w:spacing w:val="12"/>
                <w:sz w:val="24"/>
                <w:szCs w:val="24"/>
                <w:highlight w:val="none"/>
              </w:rPr>
              <w:t>感官</w:t>
            </w:r>
            <w:r>
              <w:rPr>
                <w:rFonts w:hint="eastAsia" w:ascii="宋体" w:hAnsi="宋体" w:eastAsia="宋体" w:cs="宋体"/>
                <w:spacing w:val="9"/>
                <w:sz w:val="24"/>
                <w:szCs w:val="24"/>
                <w:highlight w:val="none"/>
              </w:rPr>
              <w:t>要</w:t>
            </w:r>
            <w:r>
              <w:rPr>
                <w:rFonts w:hint="eastAsia" w:ascii="宋体" w:hAnsi="宋体" w:eastAsia="宋体" w:cs="宋体"/>
                <w:spacing w:val="6"/>
                <w:sz w:val="24"/>
                <w:szCs w:val="24"/>
                <w:highlight w:val="none"/>
              </w:rPr>
              <w:t>求、总迁移量、高锰酸钾消耗量、重金属 (以</w:t>
            </w:r>
            <w:r>
              <w:rPr>
                <w:rFonts w:hint="eastAsia" w:ascii="宋体" w:hAnsi="宋体" w:eastAsia="宋体" w:cs="宋体"/>
                <w:sz w:val="24"/>
                <w:szCs w:val="24"/>
                <w:highlight w:val="none"/>
              </w:rPr>
              <w:t>Pb</w:t>
            </w:r>
            <w:r>
              <w:rPr>
                <w:rFonts w:hint="eastAsia" w:ascii="宋体" w:hAnsi="宋体" w:eastAsia="宋体" w:cs="宋体"/>
                <w:spacing w:val="6"/>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14"/>
                <w:sz w:val="24"/>
                <w:szCs w:val="24"/>
                <w:highlight w:val="none"/>
              </w:rPr>
              <w:t>单体</w:t>
            </w:r>
            <w:r>
              <w:rPr>
                <w:rFonts w:hint="eastAsia" w:ascii="宋体" w:hAnsi="宋体" w:eastAsia="宋体" w:cs="宋体"/>
                <w:spacing w:val="13"/>
                <w:sz w:val="24"/>
                <w:szCs w:val="24"/>
                <w:highlight w:val="none"/>
              </w:rPr>
              <w:t>及</w:t>
            </w:r>
            <w:r>
              <w:rPr>
                <w:rFonts w:hint="eastAsia" w:ascii="宋体" w:hAnsi="宋体" w:eastAsia="宋体" w:cs="宋体"/>
                <w:spacing w:val="7"/>
                <w:sz w:val="24"/>
                <w:szCs w:val="24"/>
                <w:highlight w:val="none"/>
              </w:rPr>
              <w:t>其他起始物的特定迁移限量、特定迁移限量总量、最大残留量等理</w:t>
            </w:r>
            <w:r>
              <w:rPr>
                <w:rFonts w:hint="eastAsia" w:ascii="宋体" w:hAnsi="宋体" w:eastAsia="宋体" w:cs="宋体"/>
                <w:spacing w:val="9"/>
                <w:sz w:val="24"/>
                <w:szCs w:val="24"/>
                <w:highlight w:val="none"/>
              </w:rPr>
              <w:t>化</w:t>
            </w:r>
            <w:r>
              <w:rPr>
                <w:rFonts w:hint="eastAsia" w:ascii="宋体" w:hAnsi="宋体" w:eastAsia="宋体" w:cs="宋体"/>
                <w:spacing w:val="7"/>
                <w:sz w:val="24"/>
                <w:szCs w:val="24"/>
                <w:highlight w:val="none"/>
              </w:rPr>
              <w:t>指标、添加剂</w:t>
            </w:r>
          </w:p>
          <w:p w14:paraId="59A5FB84">
            <w:pPr>
              <w:spacing w:before="1" w:beforeAutospacing="0" w:after="0" w:afterAutospacing="0"/>
              <w:ind w:left="16" w:right="0" w:firstLine="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塑料防盗瓶盖(</w:t>
            </w:r>
            <w:r>
              <w:rPr>
                <w:rFonts w:hint="eastAsia" w:ascii="宋体" w:hAnsi="宋体" w:eastAsia="宋体" w:cs="宋体"/>
                <w:sz w:val="24"/>
                <w:szCs w:val="24"/>
                <w:highlight w:val="none"/>
              </w:rPr>
              <w:t>GB</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8"/>
                <w:sz w:val="24"/>
                <w:szCs w:val="24"/>
                <w:highlight w:val="none"/>
              </w:rPr>
              <w:t xml:space="preserve"> 17876-2010、</w:t>
            </w:r>
            <w:r>
              <w:rPr>
                <w:rFonts w:hint="eastAsia" w:ascii="宋体" w:hAnsi="宋体" w:eastAsia="宋体" w:cs="宋体"/>
                <w:sz w:val="24"/>
                <w:szCs w:val="24"/>
                <w:highlight w:val="none"/>
              </w:rPr>
              <w:t>BB</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8"/>
                <w:sz w:val="24"/>
                <w:szCs w:val="24"/>
                <w:highlight w:val="none"/>
              </w:rPr>
              <w:t xml:space="preserve"> 0025-2004)：标签标识、印刷</w:t>
            </w:r>
            <w:r>
              <w:rPr>
                <w:rFonts w:hint="eastAsia" w:ascii="宋体" w:hAnsi="宋体" w:eastAsia="宋体" w:cs="宋体"/>
                <w:spacing w:val="4"/>
                <w:sz w:val="24"/>
                <w:szCs w:val="24"/>
                <w:highlight w:val="none"/>
              </w:rPr>
              <w:t>图</w:t>
            </w:r>
            <w:r>
              <w:rPr>
                <w:rFonts w:hint="eastAsia" w:ascii="宋体" w:hAnsi="宋体" w:eastAsia="宋体" w:cs="宋体"/>
                <w:spacing w:val="14"/>
                <w:sz w:val="24"/>
                <w:szCs w:val="24"/>
                <w:highlight w:val="none"/>
              </w:rPr>
              <w:t>案</w:t>
            </w:r>
            <w:r>
              <w:rPr>
                <w:rFonts w:hint="eastAsia" w:ascii="宋体" w:hAnsi="宋体" w:eastAsia="宋体" w:cs="宋体"/>
                <w:spacing w:val="9"/>
                <w:sz w:val="24"/>
                <w:szCs w:val="24"/>
                <w:highlight w:val="none"/>
              </w:rPr>
              <w:t>附</w:t>
            </w:r>
            <w:r>
              <w:rPr>
                <w:rFonts w:hint="eastAsia" w:ascii="宋体" w:hAnsi="宋体" w:eastAsia="宋体" w:cs="宋体"/>
                <w:spacing w:val="7"/>
                <w:sz w:val="24"/>
                <w:szCs w:val="24"/>
                <w:highlight w:val="none"/>
              </w:rPr>
              <w:t>着性能、密封性能、热稳定性能、跌落性能 (坠落性能) 、耐冲击性</w:t>
            </w:r>
            <w:r>
              <w:rPr>
                <w:rFonts w:hint="eastAsia" w:ascii="宋体" w:hAnsi="宋体" w:eastAsia="宋体" w:cs="宋体"/>
                <w:spacing w:val="14"/>
                <w:sz w:val="24"/>
                <w:szCs w:val="24"/>
                <w:highlight w:val="none"/>
              </w:rPr>
              <w:t>能、开启扭矩性能、防盗环(条)物理性能、溢脂性能、安全开启性能</w:t>
            </w:r>
            <w:r>
              <w:rPr>
                <w:rFonts w:hint="eastAsia" w:ascii="宋体" w:hAnsi="宋体" w:eastAsia="宋体" w:cs="宋体"/>
                <w:spacing w:val="8"/>
                <w:sz w:val="24"/>
                <w:szCs w:val="24"/>
                <w:highlight w:val="none"/>
              </w:rPr>
              <w:t>、</w:t>
            </w:r>
            <w:r>
              <w:rPr>
                <w:rFonts w:hint="eastAsia" w:ascii="宋体" w:hAnsi="宋体" w:eastAsia="宋体" w:cs="宋体"/>
                <w:spacing w:val="12"/>
                <w:sz w:val="24"/>
                <w:szCs w:val="24"/>
                <w:highlight w:val="none"/>
              </w:rPr>
              <w:t>感官</w:t>
            </w:r>
            <w:r>
              <w:rPr>
                <w:rFonts w:hint="eastAsia" w:ascii="宋体" w:hAnsi="宋体" w:eastAsia="宋体" w:cs="宋体"/>
                <w:spacing w:val="9"/>
                <w:sz w:val="24"/>
                <w:szCs w:val="24"/>
                <w:highlight w:val="none"/>
              </w:rPr>
              <w:t>要</w:t>
            </w:r>
            <w:r>
              <w:rPr>
                <w:rFonts w:hint="eastAsia" w:ascii="宋体" w:hAnsi="宋体" w:eastAsia="宋体" w:cs="宋体"/>
                <w:spacing w:val="6"/>
                <w:sz w:val="24"/>
                <w:szCs w:val="24"/>
                <w:highlight w:val="none"/>
              </w:rPr>
              <w:t>求、总迁移量、高锰酸钾消耗量、重金属 (以</w:t>
            </w:r>
            <w:r>
              <w:rPr>
                <w:rFonts w:hint="eastAsia" w:ascii="宋体" w:hAnsi="宋体" w:eastAsia="宋体" w:cs="宋体"/>
                <w:sz w:val="24"/>
                <w:szCs w:val="24"/>
                <w:highlight w:val="none"/>
              </w:rPr>
              <w:t>Pb</w:t>
            </w:r>
            <w:r>
              <w:rPr>
                <w:rFonts w:hint="eastAsia" w:ascii="宋体" w:hAnsi="宋体" w:eastAsia="宋体" w:cs="宋体"/>
                <w:spacing w:val="6"/>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14"/>
                <w:sz w:val="24"/>
                <w:szCs w:val="24"/>
                <w:highlight w:val="none"/>
              </w:rPr>
              <w:t>单体</w:t>
            </w:r>
            <w:r>
              <w:rPr>
                <w:rFonts w:hint="eastAsia" w:ascii="宋体" w:hAnsi="宋体" w:eastAsia="宋体" w:cs="宋体"/>
                <w:spacing w:val="11"/>
                <w:sz w:val="24"/>
                <w:szCs w:val="24"/>
                <w:highlight w:val="none"/>
              </w:rPr>
              <w:t>及</w:t>
            </w:r>
            <w:r>
              <w:rPr>
                <w:rFonts w:hint="eastAsia" w:ascii="宋体" w:hAnsi="宋体" w:eastAsia="宋体" w:cs="宋体"/>
                <w:spacing w:val="7"/>
                <w:sz w:val="24"/>
                <w:szCs w:val="24"/>
                <w:highlight w:val="none"/>
              </w:rPr>
              <w:t>其他起始物的特定迁移限量、特定迁移限量总量、最大残留量等理</w:t>
            </w:r>
            <w:r>
              <w:rPr>
                <w:rFonts w:hint="eastAsia" w:ascii="宋体" w:hAnsi="宋体" w:eastAsia="宋体" w:cs="宋体"/>
                <w:spacing w:val="9"/>
                <w:sz w:val="24"/>
                <w:szCs w:val="24"/>
                <w:highlight w:val="none"/>
              </w:rPr>
              <w:t>化</w:t>
            </w:r>
            <w:r>
              <w:rPr>
                <w:rFonts w:hint="eastAsia" w:ascii="宋体" w:hAnsi="宋体" w:eastAsia="宋体" w:cs="宋体"/>
                <w:spacing w:val="7"/>
                <w:sz w:val="24"/>
                <w:szCs w:val="24"/>
                <w:highlight w:val="none"/>
              </w:rPr>
              <w:t>指标、添加剂</w:t>
            </w:r>
          </w:p>
          <w:p w14:paraId="57B4724B">
            <w:pPr>
              <w:spacing w:before="0" w:beforeAutospacing="0" w:after="0" w:afterAutospacing="0"/>
              <w:ind w:left="0" w:right="0"/>
              <w:rPr>
                <w:rFonts w:hint="eastAsia" w:ascii="宋体" w:hAnsi="宋体" w:eastAsia="宋体" w:cs="宋体"/>
                <w:spacing w:val="8"/>
                <w:sz w:val="24"/>
                <w:szCs w:val="24"/>
                <w:highlight w:val="none"/>
              </w:rPr>
            </w:pPr>
            <w:r>
              <w:rPr>
                <w:rFonts w:hint="eastAsia" w:ascii="宋体" w:hAnsi="宋体" w:eastAsia="宋体" w:cs="宋体"/>
                <w:spacing w:val="6"/>
                <w:sz w:val="24"/>
                <w:szCs w:val="24"/>
                <w:highlight w:val="none"/>
              </w:rPr>
              <w:t>组合式防伪瓶</w:t>
            </w:r>
            <w:r>
              <w:rPr>
                <w:rFonts w:hint="eastAsia" w:ascii="宋体" w:hAnsi="宋体" w:eastAsia="宋体" w:cs="宋体"/>
                <w:spacing w:val="4"/>
                <w:sz w:val="24"/>
                <w:szCs w:val="24"/>
                <w:highlight w:val="none"/>
              </w:rPr>
              <w:t>盖</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BB</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3"/>
                <w:sz w:val="24"/>
                <w:szCs w:val="24"/>
                <w:highlight w:val="none"/>
              </w:rPr>
              <w:t xml:space="preserve"> 0048-2017)：标签标识、同批同色色差、涂膜硬度、</w:t>
            </w:r>
            <w:r>
              <w:rPr>
                <w:rFonts w:hint="eastAsia" w:ascii="宋体" w:hAnsi="宋体" w:eastAsia="宋体" w:cs="宋体"/>
                <w:spacing w:val="8"/>
                <w:sz w:val="24"/>
                <w:szCs w:val="24"/>
                <w:highlight w:val="none"/>
              </w:rPr>
              <w:t>附着力、耐低温性能、耐高温性能、耐醇性能、密封性能、开启力矩、</w:t>
            </w:r>
            <w:r>
              <w:rPr>
                <w:rFonts w:hint="eastAsia" w:ascii="宋体" w:hAnsi="宋体" w:eastAsia="宋体" w:cs="宋体"/>
                <w:spacing w:val="1"/>
                <w:sz w:val="24"/>
                <w:szCs w:val="24"/>
                <w:highlight w:val="none"/>
              </w:rPr>
              <w:t>流</w:t>
            </w:r>
            <w:r>
              <w:rPr>
                <w:rFonts w:hint="eastAsia" w:ascii="宋体" w:hAnsi="宋体" w:eastAsia="宋体" w:cs="宋体"/>
                <w:spacing w:val="6"/>
                <w:sz w:val="24"/>
                <w:szCs w:val="24"/>
                <w:highlight w:val="none"/>
              </w:rPr>
              <w:t>出</w:t>
            </w:r>
            <w:r>
              <w:rPr>
                <w:rFonts w:hint="eastAsia" w:ascii="宋体" w:hAnsi="宋体" w:eastAsia="宋体" w:cs="宋体"/>
                <w:spacing w:val="4"/>
                <w:sz w:val="24"/>
                <w:szCs w:val="24"/>
                <w:highlight w:val="none"/>
              </w:rPr>
              <w:t>速度、防伪性能、防逆灌性能、感官要求、总迁移量、高锰酸钾消耗量、</w:t>
            </w:r>
            <w:r>
              <w:rPr>
                <w:rFonts w:hint="eastAsia" w:ascii="宋体" w:hAnsi="宋体" w:eastAsia="宋体" w:cs="宋体"/>
                <w:spacing w:val="10"/>
                <w:sz w:val="24"/>
                <w:szCs w:val="24"/>
                <w:highlight w:val="none"/>
              </w:rPr>
              <w:t>重金属(以</w:t>
            </w:r>
            <w:r>
              <w:rPr>
                <w:rFonts w:hint="eastAsia" w:ascii="宋体" w:hAnsi="宋体" w:eastAsia="宋体" w:cs="宋体"/>
                <w:sz w:val="24"/>
                <w:szCs w:val="24"/>
                <w:highlight w:val="none"/>
              </w:rPr>
              <w:t>Pb</w:t>
            </w:r>
            <w:r>
              <w:rPr>
                <w:rFonts w:hint="eastAsia" w:ascii="宋体" w:hAnsi="宋体" w:eastAsia="宋体" w:cs="宋体"/>
                <w:spacing w:val="10"/>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10"/>
                <w:sz w:val="24"/>
                <w:szCs w:val="24"/>
                <w:highlight w:val="none"/>
              </w:rPr>
              <w:t>单体及其他起始物的特定迁移限量、</w:t>
            </w:r>
            <w:r>
              <w:rPr>
                <w:rFonts w:hint="eastAsia" w:ascii="宋体" w:hAnsi="宋体" w:eastAsia="宋体" w:cs="宋体"/>
                <w:spacing w:val="9"/>
                <w:sz w:val="24"/>
                <w:szCs w:val="24"/>
                <w:highlight w:val="none"/>
              </w:rPr>
              <w:t>特定</w:t>
            </w:r>
            <w:r>
              <w:rPr>
                <w:rFonts w:hint="eastAsia" w:ascii="宋体" w:hAnsi="宋体" w:eastAsia="宋体" w:cs="宋体"/>
                <w:spacing w:val="8"/>
                <w:sz w:val="24"/>
                <w:szCs w:val="24"/>
                <w:highlight w:val="none"/>
              </w:rPr>
              <w:t>迁移限量总量、最大残留量等理化指标</w:t>
            </w:r>
          </w:p>
          <w:p w14:paraId="73E54DE1">
            <w:pPr>
              <w:spacing w:before="45" w:beforeAutospacing="0" w:after="0" w:afterAutospacing="0"/>
              <w:ind w:left="15" w:right="0"/>
              <w:rPr>
                <w:rFonts w:hint="eastAsia" w:ascii="宋体" w:hAnsi="宋体" w:eastAsia="宋体" w:cs="宋体"/>
                <w:spacing w:val="3"/>
                <w:sz w:val="24"/>
                <w:szCs w:val="24"/>
                <w:highlight w:val="none"/>
              </w:rPr>
            </w:pPr>
            <w:r>
              <w:rPr>
                <w:rFonts w:hint="eastAsia" w:ascii="宋体" w:hAnsi="宋体" w:eastAsia="宋体" w:cs="宋体"/>
                <w:spacing w:val="14"/>
                <w:sz w:val="24"/>
                <w:szCs w:val="24"/>
                <w:highlight w:val="none"/>
              </w:rPr>
              <w:t>食品接</w:t>
            </w:r>
            <w:r>
              <w:rPr>
                <w:rFonts w:hint="eastAsia" w:ascii="宋体" w:hAnsi="宋体" w:eastAsia="宋体" w:cs="宋体"/>
                <w:spacing w:val="7"/>
                <w:sz w:val="24"/>
                <w:szCs w:val="24"/>
                <w:highlight w:val="none"/>
              </w:rPr>
              <w:t>触用特定塑料瓶盖、瓶盖垫片、食品接触用特定塑料瓶坯、食品接</w:t>
            </w:r>
            <w:r>
              <w:rPr>
                <w:rFonts w:hint="eastAsia" w:ascii="宋体" w:hAnsi="宋体" w:eastAsia="宋体" w:cs="宋体"/>
                <w:spacing w:val="6"/>
                <w:sz w:val="24"/>
                <w:szCs w:val="24"/>
                <w:highlight w:val="none"/>
              </w:rPr>
              <w:t>触用特定塑</w:t>
            </w:r>
            <w:r>
              <w:rPr>
                <w:rFonts w:hint="eastAsia" w:ascii="宋体" w:hAnsi="宋体" w:eastAsia="宋体" w:cs="宋体"/>
                <w:spacing w:val="3"/>
                <w:sz w:val="24"/>
                <w:szCs w:val="24"/>
                <w:highlight w:val="none"/>
              </w:rPr>
              <w:t>料容器 (</w:t>
            </w:r>
            <w:r>
              <w:rPr>
                <w:rFonts w:hint="eastAsia" w:ascii="宋体" w:hAnsi="宋体" w:eastAsia="宋体" w:cs="宋体"/>
                <w:sz w:val="24"/>
                <w:szCs w:val="24"/>
                <w:highlight w:val="none"/>
              </w:rPr>
              <w:t>GB</w:t>
            </w:r>
            <w:r>
              <w:rPr>
                <w:rFonts w:hint="eastAsia" w:ascii="宋体" w:hAnsi="宋体" w:eastAsia="宋体" w:cs="宋体"/>
                <w:spacing w:val="3"/>
                <w:sz w:val="24"/>
                <w:szCs w:val="24"/>
                <w:highlight w:val="none"/>
              </w:rPr>
              <w:t xml:space="preserve"> 4806.7-2023) ：标签标识、感官要求、总迁移量、</w:t>
            </w:r>
            <w:r>
              <w:rPr>
                <w:rFonts w:hint="eastAsia" w:ascii="宋体" w:hAnsi="宋体" w:eastAsia="宋体" w:cs="宋体"/>
                <w:spacing w:val="8"/>
                <w:sz w:val="24"/>
                <w:szCs w:val="24"/>
                <w:highlight w:val="none"/>
              </w:rPr>
              <w:t>高锰酸钾消耗量、重金属(以</w:t>
            </w:r>
            <w:r>
              <w:rPr>
                <w:rFonts w:hint="eastAsia" w:ascii="宋体" w:hAnsi="宋体" w:eastAsia="宋体" w:cs="宋体"/>
                <w:sz w:val="24"/>
                <w:szCs w:val="24"/>
                <w:highlight w:val="none"/>
              </w:rPr>
              <w:t>Pb</w:t>
            </w:r>
            <w:r>
              <w:rPr>
                <w:rFonts w:hint="eastAsia" w:ascii="宋体" w:hAnsi="宋体" w:eastAsia="宋体" w:cs="宋体"/>
                <w:spacing w:val="8"/>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8"/>
                <w:sz w:val="24"/>
                <w:szCs w:val="24"/>
                <w:highlight w:val="none"/>
              </w:rPr>
              <w:t>单体及其他起始物</w:t>
            </w:r>
            <w:r>
              <w:rPr>
                <w:rFonts w:hint="eastAsia" w:ascii="宋体" w:hAnsi="宋体" w:eastAsia="宋体" w:cs="宋体"/>
                <w:spacing w:val="3"/>
                <w:sz w:val="24"/>
                <w:szCs w:val="24"/>
                <w:highlight w:val="none"/>
              </w:rPr>
              <w:t>的</w:t>
            </w:r>
            <w:r>
              <w:rPr>
                <w:rFonts w:hint="eastAsia" w:ascii="宋体" w:hAnsi="宋体" w:eastAsia="宋体" w:cs="宋体"/>
                <w:spacing w:val="15"/>
                <w:sz w:val="24"/>
                <w:szCs w:val="24"/>
                <w:highlight w:val="none"/>
              </w:rPr>
              <w:t>特</w:t>
            </w:r>
            <w:r>
              <w:rPr>
                <w:rFonts w:hint="eastAsia" w:ascii="宋体" w:hAnsi="宋体" w:eastAsia="宋体" w:cs="宋体"/>
                <w:spacing w:val="8"/>
                <w:sz w:val="24"/>
                <w:szCs w:val="24"/>
                <w:highlight w:val="none"/>
              </w:rPr>
              <w:t>定迁移限量、特定迁移限量总量、最大残留量等理化指标、添加剂</w:t>
            </w:r>
          </w:p>
          <w:p w14:paraId="6841BC7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聚对</w:t>
            </w:r>
            <w:r>
              <w:rPr>
                <w:rFonts w:hint="eastAsia" w:ascii="宋体" w:hAnsi="宋体" w:eastAsia="宋体" w:cs="宋体"/>
                <w:spacing w:val="13"/>
                <w:sz w:val="24"/>
                <w:szCs w:val="24"/>
                <w:highlight w:val="none"/>
              </w:rPr>
              <w:t>苯</w:t>
            </w:r>
            <w:r>
              <w:rPr>
                <w:rFonts w:hint="eastAsia" w:ascii="宋体" w:hAnsi="宋体" w:eastAsia="宋体" w:cs="宋体"/>
                <w:spacing w:val="10"/>
                <w:sz w:val="24"/>
                <w:szCs w:val="24"/>
                <w:highlight w:val="none"/>
              </w:rPr>
              <w:t>二甲酸乙二醇酯(</w:t>
            </w:r>
            <w:r>
              <w:rPr>
                <w:rFonts w:hint="eastAsia" w:ascii="宋体" w:hAnsi="宋体" w:eastAsia="宋体" w:cs="宋体"/>
                <w:sz w:val="24"/>
                <w:szCs w:val="24"/>
                <w:highlight w:val="none"/>
              </w:rPr>
              <w:t>PET</w:t>
            </w:r>
            <w:r>
              <w:rPr>
                <w:rFonts w:hint="eastAsia" w:ascii="宋体" w:hAnsi="宋体" w:eastAsia="宋体" w:cs="宋体"/>
                <w:spacing w:val="10"/>
                <w:sz w:val="24"/>
                <w:szCs w:val="24"/>
                <w:highlight w:val="none"/>
              </w:rPr>
              <w:t>)瓶坯(</w:t>
            </w:r>
            <w:r>
              <w:rPr>
                <w:rFonts w:hint="eastAsia" w:ascii="宋体" w:hAnsi="宋体" w:eastAsia="宋体" w:cs="宋体"/>
                <w:sz w:val="24"/>
                <w:szCs w:val="24"/>
                <w:highlight w:val="none"/>
              </w:rPr>
              <w:t>BB</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10"/>
                <w:sz w:val="24"/>
                <w:szCs w:val="24"/>
                <w:highlight w:val="none"/>
              </w:rPr>
              <w:t xml:space="preserve"> 0060-2012)：标签标识、乙醛、</w:t>
            </w:r>
            <w:r>
              <w:rPr>
                <w:rFonts w:hint="eastAsia" w:ascii="宋体" w:hAnsi="宋体" w:eastAsia="宋体" w:cs="宋体"/>
                <w:spacing w:val="12"/>
                <w:sz w:val="24"/>
                <w:szCs w:val="24"/>
                <w:highlight w:val="none"/>
              </w:rPr>
              <w:t>感官</w:t>
            </w:r>
            <w:r>
              <w:rPr>
                <w:rFonts w:hint="eastAsia" w:ascii="宋体" w:hAnsi="宋体" w:eastAsia="宋体" w:cs="宋体"/>
                <w:spacing w:val="9"/>
                <w:sz w:val="24"/>
                <w:szCs w:val="24"/>
                <w:highlight w:val="none"/>
              </w:rPr>
              <w:t>要</w:t>
            </w:r>
            <w:r>
              <w:rPr>
                <w:rFonts w:hint="eastAsia" w:ascii="宋体" w:hAnsi="宋体" w:eastAsia="宋体" w:cs="宋体"/>
                <w:spacing w:val="6"/>
                <w:sz w:val="24"/>
                <w:szCs w:val="24"/>
                <w:highlight w:val="none"/>
              </w:rPr>
              <w:t>求、总迁移量、高锰酸钾消耗量、重金属 (以</w:t>
            </w:r>
            <w:r>
              <w:rPr>
                <w:rFonts w:hint="eastAsia" w:ascii="宋体" w:hAnsi="宋体" w:eastAsia="宋体" w:cs="宋体"/>
                <w:sz w:val="24"/>
                <w:szCs w:val="24"/>
                <w:highlight w:val="none"/>
              </w:rPr>
              <w:t>Pb</w:t>
            </w:r>
            <w:r>
              <w:rPr>
                <w:rFonts w:hint="eastAsia" w:ascii="宋体" w:hAnsi="宋体" w:eastAsia="宋体" w:cs="宋体"/>
                <w:spacing w:val="6"/>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14"/>
                <w:sz w:val="24"/>
                <w:szCs w:val="24"/>
                <w:highlight w:val="none"/>
              </w:rPr>
              <w:t>单体</w:t>
            </w:r>
            <w:r>
              <w:rPr>
                <w:rFonts w:hint="eastAsia" w:ascii="宋体" w:hAnsi="宋体" w:eastAsia="宋体" w:cs="宋体"/>
                <w:spacing w:val="11"/>
                <w:sz w:val="24"/>
                <w:szCs w:val="24"/>
                <w:highlight w:val="none"/>
              </w:rPr>
              <w:t>及</w:t>
            </w:r>
            <w:r>
              <w:rPr>
                <w:rFonts w:hint="eastAsia" w:ascii="宋体" w:hAnsi="宋体" w:eastAsia="宋体" w:cs="宋体"/>
                <w:spacing w:val="7"/>
                <w:sz w:val="24"/>
                <w:szCs w:val="24"/>
                <w:highlight w:val="none"/>
              </w:rPr>
              <w:t>其他起始物的特定迁移限量、特定迁移限量总量、最大残留量等理</w:t>
            </w:r>
            <w:r>
              <w:rPr>
                <w:rFonts w:hint="eastAsia" w:ascii="宋体" w:hAnsi="宋体" w:eastAsia="宋体" w:cs="宋体"/>
                <w:spacing w:val="6"/>
                <w:sz w:val="24"/>
                <w:szCs w:val="24"/>
                <w:highlight w:val="none"/>
              </w:rPr>
              <w:t>化指</w:t>
            </w:r>
            <w:r>
              <w:rPr>
                <w:rFonts w:hint="eastAsia" w:ascii="宋体" w:hAnsi="宋体" w:eastAsia="宋体" w:cs="宋体"/>
                <w:spacing w:val="5"/>
                <w:sz w:val="24"/>
                <w:szCs w:val="24"/>
                <w:highlight w:val="none"/>
              </w:rPr>
              <w:t>标</w:t>
            </w:r>
          </w:p>
        </w:tc>
      </w:tr>
      <w:tr w14:paraId="0965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635E7AC">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3A6AA1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食品用塑料工具</w:t>
            </w:r>
          </w:p>
        </w:tc>
        <w:tc>
          <w:tcPr>
            <w:tcW w:w="626" w:type="dxa"/>
            <w:vAlign w:val="center"/>
          </w:tcPr>
          <w:p w14:paraId="439D448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E64E5DF">
            <w:pPr>
              <w:spacing w:before="55" w:beforeAutospacing="0" w:after="0" w:afterAutospacing="0"/>
              <w:ind w:left="12" w:right="124"/>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pacing w:val="16"/>
                <w:sz w:val="24"/>
                <w:szCs w:val="24"/>
                <w:highlight w:val="none"/>
              </w:rPr>
              <w:t>/</w:t>
            </w:r>
            <w:r>
              <w:rPr>
                <w:rFonts w:hint="eastAsia" w:ascii="宋体" w:hAnsi="宋体" w:eastAsia="宋体" w:cs="宋体"/>
                <w:sz w:val="24"/>
                <w:szCs w:val="24"/>
                <w:highlight w:val="none"/>
              </w:rPr>
              <w:t xml:space="preserve">T </w:t>
            </w:r>
            <w:r>
              <w:rPr>
                <w:rFonts w:hint="eastAsia" w:ascii="宋体" w:hAnsi="宋体" w:eastAsia="宋体" w:cs="宋体"/>
                <w:spacing w:val="8"/>
                <w:sz w:val="24"/>
                <w:szCs w:val="24"/>
                <w:highlight w:val="none"/>
              </w:rPr>
              <w:t>3</w:t>
            </w:r>
            <w:r>
              <w:rPr>
                <w:rFonts w:hint="eastAsia" w:ascii="宋体" w:hAnsi="宋体" w:eastAsia="宋体" w:cs="宋体"/>
                <w:spacing w:val="5"/>
                <w:sz w:val="24"/>
                <w:szCs w:val="24"/>
                <w:highlight w:val="none"/>
              </w:rPr>
              <w:t>2</w:t>
            </w:r>
            <w:r>
              <w:rPr>
                <w:rFonts w:hint="eastAsia" w:ascii="宋体" w:hAnsi="宋体" w:eastAsia="宋体" w:cs="宋体"/>
                <w:spacing w:val="4"/>
                <w:sz w:val="24"/>
                <w:szCs w:val="24"/>
                <w:highlight w:val="none"/>
              </w:rPr>
              <w:t>094-2015</w:t>
            </w:r>
          </w:p>
          <w:p w14:paraId="699CD75E">
            <w:pPr>
              <w:spacing w:before="55" w:beforeAutospacing="0" w:after="0" w:afterAutospacing="0"/>
              <w:ind w:left="12" w:right="124"/>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GB/T 41001-2021</w:t>
            </w:r>
          </w:p>
          <w:p w14:paraId="43E3067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w:t>
            </w:r>
            <w:r>
              <w:rPr>
                <w:rFonts w:hint="eastAsia" w:ascii="宋体" w:hAnsi="宋体" w:eastAsia="宋体" w:cs="宋体"/>
                <w:spacing w:val="15"/>
                <w:sz w:val="24"/>
                <w:szCs w:val="24"/>
                <w:highlight w:val="none"/>
              </w:rPr>
              <w:t>/</w:t>
            </w:r>
            <w:r>
              <w:rPr>
                <w:rFonts w:hint="eastAsia" w:ascii="宋体" w:hAnsi="宋体" w:eastAsia="宋体" w:cs="宋体"/>
                <w:sz w:val="24"/>
                <w:szCs w:val="24"/>
                <w:highlight w:val="none"/>
              </w:rPr>
              <w:t xml:space="preserve">T </w:t>
            </w:r>
            <w:r>
              <w:rPr>
                <w:rFonts w:hint="eastAsia" w:ascii="宋体" w:hAnsi="宋体" w:eastAsia="宋体" w:cs="宋体"/>
                <w:spacing w:val="8"/>
                <w:sz w:val="24"/>
                <w:szCs w:val="24"/>
                <w:highlight w:val="none"/>
              </w:rPr>
              <w:t>1</w:t>
            </w:r>
            <w:r>
              <w:rPr>
                <w:rFonts w:hint="eastAsia" w:ascii="宋体" w:hAnsi="宋体" w:eastAsia="宋体" w:cs="宋体"/>
                <w:spacing w:val="4"/>
                <w:sz w:val="24"/>
                <w:szCs w:val="24"/>
                <w:highlight w:val="none"/>
              </w:rPr>
              <w:t>870-2015</w:t>
            </w:r>
          </w:p>
          <w:p w14:paraId="41E2D36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pacing w:val="16"/>
                <w:sz w:val="24"/>
                <w:szCs w:val="24"/>
                <w:highlight w:val="none"/>
              </w:rPr>
              <w:t>/</w:t>
            </w:r>
            <w:r>
              <w:rPr>
                <w:rFonts w:hint="eastAsia" w:ascii="宋体" w:hAnsi="宋体" w:eastAsia="宋体" w:cs="宋体"/>
                <w:sz w:val="24"/>
                <w:szCs w:val="24"/>
                <w:highlight w:val="none"/>
              </w:rPr>
              <w:t xml:space="preserve">T </w:t>
            </w:r>
            <w:r>
              <w:rPr>
                <w:rFonts w:hint="eastAsia" w:ascii="宋体" w:hAnsi="宋体" w:eastAsia="宋体" w:cs="宋体"/>
                <w:spacing w:val="8"/>
                <w:sz w:val="24"/>
                <w:szCs w:val="24"/>
                <w:highlight w:val="none"/>
              </w:rPr>
              <w:t>18</w:t>
            </w:r>
            <w:r>
              <w:rPr>
                <w:rFonts w:hint="eastAsia" w:ascii="宋体" w:hAnsi="宋体" w:eastAsia="宋体" w:cs="宋体"/>
                <w:spacing w:val="4"/>
                <w:sz w:val="24"/>
                <w:szCs w:val="24"/>
                <w:highlight w:val="none"/>
              </w:rPr>
              <w:t>006.1-2009</w:t>
            </w:r>
          </w:p>
          <w:p w14:paraId="257F34B2">
            <w:pPr>
              <w:spacing w:before="0" w:beforeAutospacing="0" w:after="0" w:afterAutospacing="0"/>
              <w:ind w:left="0" w:right="0"/>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pacing w:val="16"/>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8"/>
                <w:sz w:val="24"/>
                <w:szCs w:val="24"/>
                <w:highlight w:val="none"/>
              </w:rPr>
              <w:t>2</w:t>
            </w:r>
            <w:r>
              <w:rPr>
                <w:rFonts w:hint="eastAsia" w:ascii="宋体" w:hAnsi="宋体" w:eastAsia="宋体" w:cs="宋体"/>
                <w:spacing w:val="6"/>
                <w:sz w:val="24"/>
                <w:szCs w:val="24"/>
                <w:highlight w:val="none"/>
              </w:rPr>
              <w:t>4</w:t>
            </w:r>
            <w:r>
              <w:rPr>
                <w:rFonts w:hint="eastAsia" w:ascii="宋体" w:hAnsi="宋体" w:eastAsia="宋体" w:cs="宋体"/>
                <w:spacing w:val="4"/>
                <w:sz w:val="24"/>
                <w:szCs w:val="24"/>
                <w:highlight w:val="none"/>
              </w:rPr>
              <w:t>693-2009</w:t>
            </w:r>
          </w:p>
          <w:p w14:paraId="48D8901B">
            <w:pPr>
              <w:spacing w:before="0" w:beforeAutospacing="0" w:after="0" w:afterAutospacing="0"/>
              <w:ind w:left="0" w:right="0"/>
              <w:rPr>
                <w:rFonts w:hint="eastAsia" w:ascii="宋体" w:hAnsi="宋体" w:eastAsia="宋体" w:cs="宋体"/>
                <w:spacing w:val="4"/>
                <w:sz w:val="24"/>
                <w:szCs w:val="24"/>
                <w:highlight w:val="none"/>
              </w:rPr>
            </w:pPr>
            <w:r>
              <w:rPr>
                <w:rFonts w:hint="eastAsia" w:ascii="宋体" w:hAnsi="宋体" w:eastAsia="宋体" w:cs="宋体"/>
                <w:spacing w:val="3"/>
                <w:sz w:val="24"/>
                <w:szCs w:val="24"/>
                <w:highlight w:val="none"/>
              </w:rPr>
              <w:t>GB</w:t>
            </w:r>
            <w:r>
              <w:rPr>
                <w:rFonts w:hint="eastAsia" w:ascii="宋体" w:hAnsi="宋体" w:eastAsia="宋体" w:cs="宋体"/>
                <w:spacing w:val="8"/>
                <w:sz w:val="24"/>
                <w:szCs w:val="24"/>
                <w:highlight w:val="none"/>
              </w:rPr>
              <w:t>4</w:t>
            </w:r>
            <w:r>
              <w:rPr>
                <w:rFonts w:hint="eastAsia" w:ascii="宋体" w:hAnsi="宋体" w:eastAsia="宋体" w:cs="宋体"/>
                <w:spacing w:val="6"/>
                <w:sz w:val="24"/>
                <w:szCs w:val="24"/>
                <w:highlight w:val="none"/>
              </w:rPr>
              <w:t>8</w:t>
            </w:r>
            <w:r>
              <w:rPr>
                <w:rFonts w:hint="eastAsia" w:ascii="宋体" w:hAnsi="宋体" w:eastAsia="宋体" w:cs="宋体"/>
                <w:spacing w:val="4"/>
                <w:sz w:val="24"/>
                <w:szCs w:val="24"/>
                <w:highlight w:val="none"/>
              </w:rPr>
              <w:t>06.7-2023</w:t>
            </w:r>
          </w:p>
          <w:p w14:paraId="0705C31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企</w:t>
            </w:r>
            <w:r>
              <w:rPr>
                <w:rFonts w:hint="eastAsia" w:ascii="宋体" w:hAnsi="宋体" w:eastAsia="宋体" w:cs="宋体"/>
                <w:spacing w:val="8"/>
                <w:sz w:val="24"/>
                <w:szCs w:val="24"/>
                <w:highlight w:val="none"/>
              </w:rPr>
              <w:t>业标准</w:t>
            </w:r>
          </w:p>
        </w:tc>
        <w:tc>
          <w:tcPr>
            <w:tcW w:w="4586" w:type="dxa"/>
            <w:vAlign w:val="center"/>
          </w:tcPr>
          <w:p w14:paraId="2062B9B9">
            <w:pPr>
              <w:spacing w:before="55" w:beforeAutospacing="0" w:after="0" w:afterAutospacing="0"/>
              <w:ind w:left="12" w:right="124"/>
              <w:rPr>
                <w:rFonts w:hint="eastAsia" w:ascii="宋体" w:hAnsi="宋体" w:eastAsia="宋体" w:cs="宋体"/>
                <w:spacing w:val="3"/>
                <w:sz w:val="24"/>
                <w:szCs w:val="24"/>
                <w:highlight w:val="none"/>
              </w:rPr>
            </w:pPr>
            <w:r>
              <w:rPr>
                <w:rFonts w:hint="eastAsia" w:ascii="宋体" w:hAnsi="宋体" w:eastAsia="宋体" w:cs="宋体"/>
                <w:sz w:val="24"/>
                <w:szCs w:val="24"/>
                <w:highlight w:val="none"/>
              </w:rPr>
              <w:t>密胺塑料餐具(</w:t>
            </w:r>
            <w:r>
              <w:rPr>
                <w:rFonts w:hint="eastAsia" w:ascii="宋体" w:hAnsi="宋体" w:eastAsia="宋体" w:cs="宋体"/>
                <w:spacing w:val="3"/>
                <w:sz w:val="24"/>
                <w:szCs w:val="24"/>
                <w:highlight w:val="none"/>
              </w:rPr>
              <w:t>GB/T 41001-2021)</w:t>
            </w:r>
            <w:r>
              <w:rPr>
                <w:rFonts w:hint="eastAsia" w:ascii="宋体" w:hAnsi="宋体" w:eastAsia="宋体" w:cs="宋体"/>
                <w:sz w:val="24"/>
                <w:szCs w:val="24"/>
                <w:highlight w:val="none"/>
              </w:rPr>
              <w:t>：标签标识、耐干热性、耐低温性、耐湿热性、耐污染性、翘曲（底部）、跌落、感官要求、总迁移量 (乙酸) 、总迁移量 (乙醇或水) 、总迁移量 (植物油或化学溶剂替代物) 、高锰酸钾消耗量、重金属(以 Pb 计) 、脱色试验、</w:t>
            </w:r>
            <w:r>
              <w:rPr>
                <w:rFonts w:hint="eastAsia" w:ascii="宋体" w:hAnsi="宋体" w:eastAsia="宋体" w:cs="宋体"/>
                <w:spacing w:val="12"/>
                <w:sz w:val="24"/>
                <w:szCs w:val="24"/>
                <w:highlight w:val="none"/>
              </w:rPr>
              <w:t>芳香族伯胺迁移总量</w:t>
            </w:r>
          </w:p>
          <w:p w14:paraId="0509F92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塑料菜板 (PE、PP 材质) (QB/T 1870-2015)：标签标识、邵氏硬度、跌落性能、感官要求、总迁移量 (乙酸) 、总迁移量 (乙醇或水) 、总迁移量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(植物油或化学溶剂替代物)、高锰酸钾消耗量、重金属(以 Pb 计) 、脱色试验、</w:t>
            </w:r>
            <w:r>
              <w:rPr>
                <w:rFonts w:hint="eastAsia" w:ascii="宋体" w:hAnsi="宋体" w:eastAsia="宋体" w:cs="宋体"/>
                <w:spacing w:val="12"/>
                <w:sz w:val="24"/>
                <w:szCs w:val="24"/>
                <w:highlight w:val="none"/>
              </w:rPr>
              <w:t>芳香族伯胺迁移总量</w:t>
            </w:r>
          </w:p>
          <w:p w14:paraId="0984F8C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塑料菜板(其它材质) (GB 4806.7-2023)、聚丙烯饮用吸管(GB/T       24693-2009)、塑料保鲜盒(GB/T 32094-2015)、其它类塑料餐具(GB     4806.7-2023)：标签标识、感官要求、总迁移量 (乙酸) 、总迁移量 (乙醇或水) 、总迁移量 (植物油或化学溶剂替代物) 、高锰酸钾消耗量、重金属(以 Pb 计) 、脱色试验、</w:t>
            </w:r>
            <w:r>
              <w:rPr>
                <w:rFonts w:hint="eastAsia" w:ascii="宋体" w:hAnsi="宋体" w:eastAsia="宋体" w:cs="宋体"/>
                <w:spacing w:val="12"/>
                <w:sz w:val="24"/>
                <w:szCs w:val="24"/>
                <w:highlight w:val="none"/>
              </w:rPr>
              <w:t>芳香族伯胺迁移总量</w:t>
            </w:r>
          </w:p>
          <w:p w14:paraId="3C48897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一次性塑料餐饮具、一次性塑料餐饮具(其它类) (GB/T 18006.1-2009)：标签标识、负重性能、耐温性能 (油、水) 、跌落试验、感官要求、总迁移量 (乙酸) 、总迁移量 (乙醇或水) 、总迁移量 (植物油或化学溶剂替代物)、高锰酸钾消耗量、重金属(以 Pb 计) 、脱色试验、</w:t>
            </w:r>
            <w:r>
              <w:rPr>
                <w:rFonts w:hint="eastAsia" w:ascii="宋体" w:hAnsi="宋体" w:eastAsia="宋体" w:cs="宋体"/>
                <w:spacing w:val="12"/>
                <w:sz w:val="24"/>
                <w:szCs w:val="24"/>
                <w:highlight w:val="none"/>
              </w:rPr>
              <w:t>芳香族伯胺迁移总量、</w:t>
            </w:r>
          </w:p>
        </w:tc>
      </w:tr>
      <w:tr w14:paraId="7295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C393E8A">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1AE0F93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食品用塑料片材</w:t>
            </w:r>
          </w:p>
        </w:tc>
        <w:tc>
          <w:tcPr>
            <w:tcW w:w="626" w:type="dxa"/>
            <w:vAlign w:val="center"/>
          </w:tcPr>
          <w:p w14:paraId="57B92DA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65FF10F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2471-2000</w:t>
            </w:r>
          </w:p>
          <w:p w14:paraId="406CB57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GB/T15267-1994</w:t>
            </w:r>
          </w:p>
          <w:p w14:paraId="76E9E1D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GB/T16719-2008</w:t>
            </w:r>
          </w:p>
          <w:p w14:paraId="664E7F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GB4806.7-2023</w:t>
            </w:r>
          </w:p>
          <w:p w14:paraId="2FCDFC5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442EE1F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聚丙烯(PP)挤出片材(QB/T 2471-2000)：标签标识、拉伸屈服强度、纵向尺寸变化率、感官要求、总迁移量、高锰酸钾消耗量、重金属(以 Pb  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z w:val="24"/>
                <w:szCs w:val="24"/>
                <w:highlight w:val="none"/>
              </w:rPr>
              <w:t>单体及其他起始物的特定迁移限量、特定迁移限量总量、最大残留量等理化指标</w:t>
            </w:r>
          </w:p>
          <w:p w14:paraId="1447479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食品包装用聚氯乙烯硬片、膜(GB/T 15267-1994)：标签标识、拉伸强度、落球冲击破碎率、柔曲温度、透湿度、透光率、雾度、加热伸缩率、感官要求、总迁移量、高锰酸钾消耗量、重金属(以 Pb 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z w:val="24"/>
                <w:szCs w:val="24"/>
                <w:highlight w:val="none"/>
              </w:rPr>
              <w:t>单体及其他起始物的特定迁移限量、特定迁移限量总量、最大残留量等理化指标、添加剂</w:t>
            </w:r>
          </w:p>
          <w:p w14:paraId="11891CD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双向拉伸聚苯乙烯(BOPS)片材(GB/T 16719-2008)：标签标识、拉伸强度、断裂伸长率、防雾性、透光率、雾度、湿润张力、感官要求、总迁移量、高锰酸钾消耗量、重金属(以 Pb 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z w:val="24"/>
                <w:szCs w:val="24"/>
                <w:highlight w:val="none"/>
              </w:rPr>
              <w:t>单体及其他起始物的特定迁移限量、特定迁移限量总量、最大残留量等理化指标</w:t>
            </w:r>
          </w:p>
          <w:p w14:paraId="576EFA2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食品接触用特定片材(GB 4806.7-2023)：标签标识、感官要求、总迁移量、高锰酸钾消耗量、重金属(以 Pb 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z w:val="24"/>
                <w:szCs w:val="24"/>
                <w:highlight w:val="none"/>
              </w:rPr>
              <w:t>单体及其他起始物的特定迁移限量、特定迁移限量总量、最大残留量等理化指标、添加剂</w:t>
            </w:r>
          </w:p>
        </w:tc>
      </w:tr>
      <w:tr w14:paraId="3FA0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381C0B0">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634925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食品用非复合膜袋</w:t>
            </w:r>
          </w:p>
        </w:tc>
        <w:tc>
          <w:tcPr>
            <w:tcW w:w="626" w:type="dxa"/>
            <w:vAlign w:val="center"/>
          </w:tcPr>
          <w:p w14:paraId="1A363B1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418B36C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10457-2021</w:t>
            </w:r>
          </w:p>
          <w:p w14:paraId="50711E7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0039-2013</w:t>
            </w:r>
          </w:p>
          <w:p w14:paraId="423D2C8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1231-1991</w:t>
            </w:r>
          </w:p>
          <w:p w14:paraId="16C188B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17030-2019</w:t>
            </w:r>
          </w:p>
          <w:p w14:paraId="4392301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BB/T 0002-2008 </w:t>
            </w:r>
          </w:p>
          <w:p w14:paraId="08560BA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4456-2008 </w:t>
            </w:r>
          </w:p>
          <w:p w14:paraId="7AB8CDC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GB/T16958-2008</w:t>
            </w:r>
          </w:p>
          <w:p w14:paraId="1F1BFD6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1956-1994</w:t>
            </w:r>
          </w:p>
          <w:p w14:paraId="5912AC7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GB/T27740-2011 </w:t>
            </w:r>
          </w:p>
          <w:p w14:paraId="41698D5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GB/T10003-2008</w:t>
            </w:r>
          </w:p>
          <w:p w14:paraId="573A1CA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GB/T20218-2006 </w:t>
            </w:r>
          </w:p>
          <w:p w14:paraId="3A25B7F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BB/T 0014-2011 </w:t>
            </w:r>
          </w:p>
          <w:p w14:paraId="5CAF3F2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0030-2019</w:t>
            </w:r>
          </w:p>
          <w:p w14:paraId="39855D1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64129F2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食品用塑料自粘保鲜膜(GB/T 10457-2021)：标签标识、拉伸强度、断裂伸长应变（纵、横向）、透光率、雾度、氧气透过量、透湿量、氧气透过量偏差、二氧化碳透过量偏差、透湿量偏差、直角撕裂强度、自粘性、感官要求、总迁移量 (乙酸) 、总迁移量 (乙醇或水) 、总迁移量 (植物油或化学溶剂替代物) 、高锰酸钾消耗量、重金属 (以Pb 计) 、脱色试验、芳香族伯胺迁移总量</w:t>
            </w:r>
          </w:p>
          <w:p w14:paraId="6A807BA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商品零售包装袋(BB/T 0039-2013 及企业标准)：标签标识、热封强度、提吊试验、跌落试验、漏水性、感官要求、总迁移量 (乙酸) 、总迁移量 (乙醇或水) 、总迁移量 (植物油或化学溶剂替代物) 、高锰酸钾消耗量、重金属(以 Pb 计) 、脱色试验、芳香族伯胺迁移总量</w:t>
            </w:r>
          </w:p>
          <w:p w14:paraId="770255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食品包装用聚丙烯/聚乙烯薄膜袋(GB/T 10003-2008 及 GB/T 4456-2008)：标签标识、拉伸强度、断裂标称应变、落镖冲击、热收缩率、雾度、光泽度、透湿量、感官要求、总迁移量 (乙酸) 、总迁移量 (乙醇或水) 、总迁移量(植物油或化学溶剂替代物)、高锰酸钾消耗量、重金属(以 Pb  计) 、脱色试验、芳香族伯胺迁移总量</w:t>
            </w:r>
          </w:p>
          <w:p w14:paraId="632AABF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液体包装用聚乙烯吹塑薄膜(QB/T 1231-1991)：标签标识、拉伸强度、断裂伸长率、热合强度、落镖冲击试验、水蒸气透过量、氧气透过量、感官要求、总迁移量、高锰酸钾消耗量、重金属、脱色试验、芳香族伯胺迁移总量</w:t>
            </w:r>
          </w:p>
          <w:p w14:paraId="04583F4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食品包装用聚偏二氯乙烯(PVDC)片状肠衣膜 (GB/T 17030-2019)：标签标识、拉伸强度、断裂伸长率、耐撕裂力、热收缩率、水蒸气透过量、氧气透过量、感官要求、总迁移量、高锰酸钾消耗量、重金属、脱色试验双向拉伸聚丙烯珠光薄膜(BB/T 0002-2008)：标签标识、拉伸强度、断裂</w:t>
            </w:r>
          </w:p>
          <w:p w14:paraId="3FAFD8C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伸长率、热收缩率、热封强度、透光率、光泽度、透湿量、感官要求、总迁移量、高锰酸钾消耗量、重金属、脱色试验</w:t>
            </w:r>
          </w:p>
          <w:p w14:paraId="6C55E54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包装用聚乙烯吹塑薄膜(.GB/T 4456-2008)：标签标识、拉伸强度、断裂标称应变、落镖冲击、感官要求、总迁移量、高锰酸钾消耗量、重金属、脱色试验、芳香族伯胺迁移总量</w:t>
            </w:r>
          </w:p>
          <w:p w14:paraId="091F385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包装用双向拉伸聚酯薄膜(GB/T 16958-2008)：标签标识、拉伸强度、断裂伸长率、热收缩率、雾度、光泽度、感官要求、总迁移量、高锰酸钾消耗量、重金属、脱色试验、芳香族伯胺迁移总量</w:t>
            </w:r>
          </w:p>
          <w:p w14:paraId="6D55E70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单向拉伸高密度聚乙烯薄膜(企业标准)：标签标识、表面润湿张力、雾度、扭捻性残留角度、纵向撕裂长度、感官要求、总迁移量、高锰酸钾消耗量、重金属、脱色试验、芳香族伯胺迁移总量</w:t>
            </w:r>
          </w:p>
          <w:p w14:paraId="08E5E00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聚丙烯吹塑薄膜(QB/T 1956-1994)：标签标识、拉伸强度、断裂伸长率、雾度、直角撕裂强度、感官要求、总迁移量、高锰酸钾消耗量、重金属、脱色试验、芳香族伯胺迁移总量</w:t>
            </w:r>
          </w:p>
          <w:p w14:paraId="73809FA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未拉伸聚乙烯、聚丙烯薄膜(GB/T 27740-2011 及企业标准)：标签标识、拉伸强度、断裂伸长率、雾度、感官要求、总迁移量、高锰酸钾消耗量、重金属、脱色试验、芳香族伯胺迁移总量</w:t>
            </w:r>
          </w:p>
          <w:p w14:paraId="02BC663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普通用途双向拉伸聚丙烯(BOPP)薄膜(GB/T 10003-2008)：标签标识、拉伸强度、断裂标称应变、热收缩率、热封强度、雾度、光泽度、透湿量、感官要求、总迁移量、高锰酸钾消耗量、重金属、脱色试验、芳香族伯胺迁移总量</w:t>
            </w:r>
          </w:p>
          <w:p w14:paraId="0A6F4BB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双向拉伸聚酰胺(尼龙)薄膜(GB/T 20218-2006)：标签标识、拉伸强度、断裂伸长率、热收缩率、耐撕裂力、雾度、氧气透过量、感官要求、总迁移量、高锰酸钾消耗量、重金属、脱色试验、芳香族伯胺迁移总量</w:t>
            </w:r>
          </w:p>
          <w:p w14:paraId="5249EE6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夹链自封袋(BB/T 0014-2011)：标签标识、开启拉力、热合强度、跌落强度、密封试验、感官要求、总迁移量、高锰酸钾消耗量、重金属、脱色试验、芳香族伯胺迁移总量</w:t>
            </w:r>
          </w:p>
          <w:p w14:paraId="776FDEA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包装用镀铝薄膜(BB/T 0030-2019)：标签标识、水蒸气透过量、氧气透过量、镀铝层附着力、镀铝层厚度、镀铝层均匀度、感官要求、总迁移量、高锰酸钾消耗量、重金属、脱色试验、芳香族伯胺迁移总量</w:t>
            </w:r>
          </w:p>
        </w:tc>
      </w:tr>
      <w:tr w14:paraId="7306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4211FC7">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2EEBD7E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食品用复合膜袋</w:t>
            </w:r>
          </w:p>
        </w:tc>
        <w:tc>
          <w:tcPr>
            <w:tcW w:w="626" w:type="dxa"/>
            <w:vAlign w:val="center"/>
          </w:tcPr>
          <w:p w14:paraId="73A6DFF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3176AC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10004-2008 </w:t>
            </w:r>
          </w:p>
          <w:p w14:paraId="7162F9E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1871-1993</w:t>
            </w:r>
          </w:p>
          <w:p w14:paraId="6EF1E9E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2197-1996</w:t>
            </w:r>
          </w:p>
          <w:p w14:paraId="737B0CA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19741-2005</w:t>
            </w:r>
          </w:p>
          <w:p w14:paraId="0304D5A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18192-2008 </w:t>
            </w:r>
          </w:p>
          <w:p w14:paraId="2557FF5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18454-2019</w:t>
            </w:r>
          </w:p>
          <w:p w14:paraId="0A34ABB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18706-2008 </w:t>
            </w:r>
          </w:p>
          <w:p w14:paraId="6B4ED44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28118-2011</w:t>
            </w:r>
          </w:p>
          <w:p w14:paraId="54DFD58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28117-2011 </w:t>
            </w:r>
          </w:p>
          <w:p w14:paraId="5FC81D8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696AF33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包装用塑料复合膜、袋干法复合、挤出复合(GB/T 10004-2008)：QS 标志、拉断力、断裂标称应变、剥离力、热合强度、水蒸气透过量、氧气透过量、袋的耐压性能、袋的跌落性能、耐热性、感官要求、总迁移量、高锰酸钾消耗量、重金属、脱色试验、芳香族伯胺迁移总量、溶剂残留量</w:t>
            </w:r>
          </w:p>
          <w:p w14:paraId="65FA440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双向拉伸尼龙 (BOPA) /低密度聚乙烯 (LDPE) 复合膜、袋(QB/T 1871-1993)： QS 标志、层间剥离力、封口剥离力(袋)、氧气透过量、水蒸气透过量、耐热性、耐寒性、耐油度、耐压性、耐跌落性感官要求、总迁移量、高锰酸钾消耗量、重金属、脱色试验、芳香族伯胺迁移总量、溶剂残留量</w:t>
            </w:r>
          </w:p>
          <w:p w14:paraId="5A58243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榨菜包装用复合膜、袋(QB/T 2197-1996 )：QS 标志、剥离力、氧气透过量、水蒸气透过量、耐压、跌落、感官、甲苯二胺、蒸发残渣、高锰酸钾消耗量、重金属、溶剂残留量</w:t>
            </w:r>
          </w:p>
          <w:p w14:paraId="345E91D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液体食品包装用塑料复合膜、袋(GB/T 19741-2005)：QS 标志、拉断力、封合强度、内层塑料膜剥离强度、复合塑料膜与纸粘结度、透氧率、耐压性能、跌落性能、感官要求、总迁移量、高锰酸钾消耗量、重金属、脱色试验、芳香族伯胺迁移总量、微生物指标、溶剂残留量</w:t>
            </w:r>
          </w:p>
          <w:p w14:paraId="01C8C0D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液体食品无菌包装用纸基复合材料(GB/T 18192-2008)：QS 标志、拉断力、封合强度、内层塑料膜剥离强度、透氧率、挺度、感官要求、总迁移量、高锰酸钾消耗量、重金属、脱色试验、芳香族伯胺迁移总量、溶剂残留量</w:t>
            </w:r>
          </w:p>
          <w:p w14:paraId="04A35C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液体食品无菌包装用复合袋(GB/T 18454-2019)：QS 标志、氧气透过率、拉伸强度、断裂伸长率、剥离力、热合强度、光线透过率、袋的耐压性能、袋的跌落性能、感官要求、总迁移量、高锰酸钾消耗量、重金属、脱色试验、芳香族伯胺迁移总量、口盖材料卫生指标、灭菌指标、溶剂残留量</w:t>
            </w:r>
          </w:p>
          <w:p w14:paraId="21FBF84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液体食品保鲜包装纸基复合材料 (屋顶包) (GB/T 18706-2008)：QS 标志、拉断力、封合强度、内层塑料膜剥离强度、透氧率、挺度、感官要求、总迁移量、高锰酸钾消耗量、重金属、脱色试验、芳香族伯胺迁移总量、菌落总数、大肠菌群、致病菌、霉菌、溶剂残留量</w:t>
            </w:r>
          </w:p>
          <w:p w14:paraId="6E733BA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其它类多层复合食品包装膜、袋(企业标准)：QS 标志、感官要求、总迁移量、高锰酸钾消耗量、重金属、脱色试验、芳香族伯胺迁移总量、溶剂残留量</w:t>
            </w:r>
          </w:p>
        </w:tc>
      </w:tr>
      <w:tr w14:paraId="74EF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4FC03A2">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5083009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食品用纸包装</w:t>
            </w:r>
          </w:p>
        </w:tc>
        <w:tc>
          <w:tcPr>
            <w:tcW w:w="626" w:type="dxa"/>
            <w:vAlign w:val="center"/>
          </w:tcPr>
          <w:p w14:paraId="53526DE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146E13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GB/T25436-2023 QB/T1016-2006 </w:t>
            </w:r>
          </w:p>
          <w:p w14:paraId="2A0B7DC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24696-2009 </w:t>
            </w:r>
          </w:p>
          <w:p w14:paraId="43AAB4C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22812-2008 </w:t>
            </w:r>
          </w:p>
          <w:p w14:paraId="1C8F04B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1014-2010 </w:t>
            </w:r>
          </w:p>
          <w:p w14:paraId="76476F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1704-2010 </w:t>
            </w:r>
          </w:p>
          <w:p w14:paraId="044E576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4032-2010</w:t>
            </w:r>
          </w:p>
          <w:p w14:paraId="7F37C7D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4033-2010 </w:t>
            </w:r>
          </w:p>
          <w:p w14:paraId="18B8EAD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4819-2015 </w:t>
            </w:r>
          </w:p>
          <w:p w14:paraId="7281152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36392-2018 </w:t>
            </w:r>
          </w:p>
          <w:p w14:paraId="29933D6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0054-2010</w:t>
            </w:r>
          </w:p>
          <w:p w14:paraId="476EBE6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25435-2010 </w:t>
            </w:r>
          </w:p>
          <w:p w14:paraId="13B4D20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25437-2010</w:t>
            </w:r>
          </w:p>
          <w:p w14:paraId="260D2FA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31123-2014</w:t>
            </w:r>
          </w:p>
          <w:p w14:paraId="5C8985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31122-2014 </w:t>
            </w:r>
          </w:p>
          <w:p w14:paraId="1EC33E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5050-2017 </w:t>
            </w:r>
          </w:p>
          <w:p w14:paraId="49738AC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5055-2017</w:t>
            </w:r>
          </w:p>
          <w:p w14:paraId="775E3E8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3143547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茶叶滤纸(GB/T 25436-2023)：热封型茶叶滤纸：定量、紧度、抗张强度(纵向/横向)、纵向湿抗张强度、热封强度、透气量、D65亮度、</w:t>
            </w:r>
            <w:bookmarkStart w:id="18" w:name="OLE_LINK7"/>
            <w:r>
              <w:rPr>
                <w:rFonts w:hint="eastAsia" w:ascii="宋体" w:hAnsi="宋体" w:eastAsia="宋体" w:cs="宋体"/>
                <w:sz w:val="24"/>
                <w:szCs w:val="24"/>
                <w:highlight w:val="none"/>
              </w:rPr>
              <w:t>交货水分、异味、漏茶末、感官要求、铅、砷、甲醛、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(乙酸)、总迁移量(乙醇或水)、总迁移量(植物油或化学溶剂替代物) 、高锰酸钾消耗量、重金属(以 Pb 计)、大肠菌群、沙门氏菌、霉菌、标签标识</w:t>
            </w:r>
            <w:bookmarkEnd w:id="18"/>
          </w:p>
          <w:p w14:paraId="4A025A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非热封型茶叶滤纸：定量、紧度、抗张强度 (纵向/横向)、纵向湿抗张强度、透气度、D65亮度、交货水分、异味、漏茶末、感官要求、铅、砷、甲醛、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(乙酸)、总迁移量(乙醇或水)、总迁移量(植物油或化学溶剂替代物) 、高锰酸钾消耗量、重金属(以 Pb 计)、大肠菌群、沙门氏菌、霉菌、标签标识</w:t>
            </w:r>
          </w:p>
          <w:p w14:paraId="4919ADC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鸡皮纸(QB/T 1016-2006)：定量、湿抗张强度(纵横向平均)、吸水性</w:t>
            </w:r>
            <w:r>
              <w:rPr>
                <w:rFonts w:hint="eastAsia" w:ascii="宋体" w:hAnsi="宋体" w:eastAsia="宋体" w:cs="宋体"/>
                <w:sz w:val="24"/>
                <w:szCs w:val="24"/>
                <w:highlight w:val="none"/>
              </w:rPr>
              <w:tab/>
            </w:r>
            <w:r>
              <w:rPr>
                <w:rFonts w:hint="eastAsia" w:ascii="宋体" w:hAnsi="宋体" w:eastAsia="宋体" w:cs="宋体"/>
                <w:sz w:val="24"/>
                <w:szCs w:val="24"/>
                <w:highlight w:val="none"/>
              </w:rPr>
              <w:t>(Cobb60)、耐破度、耐折度(纵向)、水分、光泽度(75o)、外观、感官要求、铅、砷、甲醛、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、重金属(以 Pb 计)、大肠菌群、沙门氏菌、霉菌、标签标识</w:t>
            </w:r>
          </w:p>
          <w:p w14:paraId="5551AF3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食品包装用羊皮纸(GB/T 24696-2009)：定量、抗张指数(纵横平均)、耐破指数(干/湿)、耐折度(纵横平均)、透油度、尘埃度、水抽提液 pH 值、水分、尺寸偏差、外观、感官要求、铅、砷、甲醛、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(植物油或化学溶剂替代物)、重金属(以 Pb 计)、大肠菌群、沙门氏菌、霉菌、标签标识</w:t>
            </w:r>
          </w:p>
          <w:p w14:paraId="5E2138B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半透明纸(GB/T 22812-2008)：定量、透明度(白色纸)、耐破指数、撕裂指数 (纵向) 、尘埃度、水分、尺寸偏差、外观、色差、感官要求、铅、砷、甲醛、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、总迁移量(植物油或化学溶剂替代物)、重金属(以 Pb  计)、大肠菌群、沙门氏菌、霉菌、标签标识</w:t>
            </w:r>
          </w:p>
          <w:p w14:paraId="3F48BED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食品包装纸(QB/T 1014-2010 )：定量、抗张指数(纵横平均)、撕裂指数</w:t>
            </w:r>
            <w:r>
              <w:rPr>
                <w:rFonts w:hint="eastAsia" w:ascii="宋体" w:hAnsi="宋体" w:eastAsia="宋体" w:cs="宋体"/>
                <w:sz w:val="24"/>
                <w:szCs w:val="24"/>
                <w:highlight w:val="none"/>
              </w:rPr>
              <w:tab/>
            </w:r>
            <w:r>
              <w:rPr>
                <w:rFonts w:hint="eastAsia" w:ascii="宋体" w:hAnsi="宋体" w:eastAsia="宋体" w:cs="宋体"/>
                <w:sz w:val="24"/>
                <w:szCs w:val="24"/>
                <w:highlight w:val="none"/>
              </w:rPr>
              <w:t>(纵向) 、尘埃度、水分、耐破指数、吸水性、外观、感官要求、铅、砷、甲醛、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 (以Pb 计) 、大肠菌群、沙门氏菌、霉菌、标签标识</w:t>
            </w:r>
          </w:p>
          <w:p w14:paraId="34ED09A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铝箔衬纸(QB/T 1704-2010 )：定量、纵向抗张强度、施胶度、平滑度 (光面) 、亮度 (白度) 、荧光亮度 (荧光白度) 、纵向耐折度、尘埃度、水分、灰分、外观、尺寸偏差、感官要求、铅、砷、甲醛、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、高锰酸钾消耗量、重金属 (以Pb 计) 、大肠菌群、沙门氏菌、霉菌、标签标识</w:t>
            </w:r>
          </w:p>
          <w:p w14:paraId="27EDF4F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纸杯原纸(QB/T 4032-2010 )：定量、横幅定量差、厚度、横幅厚度差、平滑度、亮度、抗张指数(纵横平均)、吸水性、横向耐折度、边渗透、泰伯挺度、卧式挺度、尘埃度、水分、尺寸偏差、外观、感官要求、铅、砷、甲醛、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 (以Pb 计) 、大肠菌群、沙门氏菌、霉菌、标签标识</w:t>
            </w:r>
          </w:p>
          <w:p w14:paraId="28780A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餐盒原纸(QB/T 4033-2010)：定量、横幅定量差、厚度、横幅厚度差、亮度、吸水性、横向耐折度、边渗透、挺度、尘埃度、水分、尺寸偏差、外观、感官要求、铅、砷、甲醛、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荧光性物质、大肠菌群、沙门氏菌、霉菌、感官要求、总迁移量 (乙醇或水) 、总迁移量 (植物油或化学溶剂替代物)、重金属(以 Pb 计)、脱色试验、单体及其他起始物的特定迁移限量、特定迁移限量总量、最大残留量等理化指标、标签标识</w:t>
            </w:r>
          </w:p>
          <w:p w14:paraId="4818102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食品包装用淋膜纸和纸板(QB/T 4819-2015)：定量偏差、厚度横幅差、膜定量偏差、黏合程度、耐脂度、透湿度、渗漏性、润湿张力、水分、尺寸偏差、外观、感官要求、铅、砷、甲醛、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(乙酸)、总迁移量 (乙醇或水) 、总迁移量 (植物油或化学溶剂替代物) 、高锰酸钾消耗量、重金属 (以Pb 计) 、大肠菌群、沙门氏菌、霉菌、感官要求、总迁移量 (乙醇或水) 、总迁移量 (植物油或化学溶剂替代物) 、高锰酸钾消耗量、重金属(以 Pb 计)、脱色试验、芳香族伯胺迁移总量、单体及其他起始物的特定迁移限量、特定迁移限量总量、最大残留量等理化指标、标签标识</w:t>
            </w:r>
          </w:p>
          <w:p w14:paraId="7E89FB1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食品包装用淋膜纸和纸板(GB/T 36392-2018)：定量偏差、厚度横幅差、膜定量偏差、粘合程度、耐脂度、透湿度、渗漏性、润湿张力、水分、尺寸偏差、外观、感官要求、铅、砷、甲醛、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(乙酸)、总迁移量 (乙醇或水) 、总迁移量 (植物油或化学溶剂替代物) 、高锰酸钾消耗量、重金属 (以Pb 计) 、大肠菌群、沙门氏菌、霉菌、感官要求、总迁移量 (乙醇或水) 、总迁移量 (植物油或化学溶剂替代物) 、高锰酸钾消耗量、重金属(以 Pb 计)、脱色试验、芳香族伯胺迁移总量、单体及其他起始物的特定迁移限量、特定迁移限量总量、最大残留量等理化指标、标签标识</w:t>
            </w:r>
          </w:p>
          <w:p w14:paraId="20852E9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真空镀铝纸(BB/T 0054-2010)：外观质量、平张尺寸偏差、偏斜度、色差、定量偏差、光泽度 (45o) 、挺度 (纵向/横向) 、抗张指数 (纵向) 、撕裂指数(横向)、表面张力、铝层附着力、单张平整度、水分、耐热性、静摩擦系数、动摩擦系数、信噪比、衍射效率、感官要求、铅、砷、甲醛、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(植物油或化学溶剂替代物)、重金属(以 Pb 计)、大肠菌群、沙门氏菌、霉菌、标签标识</w:t>
            </w:r>
          </w:p>
          <w:p w14:paraId="0F982CE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精细过滤纸板(GB/T 25435-2010)：厚度、滤水时间(3kPa，50mL)、耐破度、湿耐破度 (煮沸 2h) 、水分、外观、感官要求、铅、砷、甲醛、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(植物油或化学溶剂替代物)、重金属(以 Pb 计)、大肠菌群、沙门氏菌、霉菌、标签标识</w:t>
            </w:r>
          </w:p>
          <w:p w14:paraId="0A3C916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支撑过滤纸板(GB/T 25437-2010)：厚度、最大孔径、滤水时间、湿耐破度、水分、尺寸偏差、外观、感官要求、铅、砷、甲醛、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 (以Pb 计) 、大肠菌群、沙门氏菌、霉菌、标签标识</w:t>
            </w:r>
          </w:p>
          <w:p w14:paraId="6DF36D7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固体食品包装纸板(GB/T 31123-2014)：定量、定量偏差、横幅定量差、紧度、亮度 (白度) 、平滑度 (正面/反面) 、印刷表面粗糙度 (正面) 、表面吸水性 (正面/反面) 、耐折度 (横向) 、内结合强度 (纵横向均) 、耐脂度、尘埃度、水分、挺度(纵向/横向)、尺寸偏差、外观、感官要求、铅、砷、甲醛、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荧光性物质、大肠菌群、沙门氏菌、霉菌、标签标识</w:t>
            </w:r>
          </w:p>
          <w:p w14:paraId="34E0F72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液体食品包装纸板(GB/T 31122-2014)：定量、横幅定量差、紧度、横幅厚度差、光泽度 (正面) 、平滑度 (正面) 、亮度 (正面) 、印刷表面粗糙度 (正面) 、表面吸水性 (正反面均) 、内结合强度、耐折度 (横向) 、边渗水、挺度(泰伯)(CD/MD)、尘埃度、水分、尺寸偏差、外观、感官要求、铅、砷、甲醛、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、重金属(以 Pb 计)、大肠菌群、沙门氏菌、霉菌、标签标识</w:t>
            </w:r>
          </w:p>
          <w:p w14:paraId="59883E9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咖啡袋滤纸(QB/T 5050-2017)：定量、定量偏差、抗张强度 (纵向/横向)、纵向湿抗张强度、热封强度、透气量、滤水时间、耐破度、水分、外观、尺寸偏差、感官要求、铅、砷、甲醛、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荧光性物质、总迁移量(乙酸) 、总迁移量 (乙醇或水) 、总迁移量 (植物油或化学溶剂替代物) 、重金属(以 Pb 计)、大肠菌群、沙门氏菌、霉菌、标签标识</w:t>
            </w:r>
          </w:p>
          <w:p w14:paraId="7A7F066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真空镀铝原纸(QB/T 5055-2017)：定量、厚度、横幅厚度变异系数、吸水性(正反面均)、撕裂度(横向)、抗张强度(纵向/横向)、耐破度、抗张能量吸收(纵向)、光泽度(正面)、 D65 亮度、平滑度(正面)、印刷表面粗糙度(正面)、伸缩性(横向)、水分、尘埃度、尺寸偏差、外观、感官要求、铅、砷、甲醛、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、重金属(以 Pb 计)、大肠菌群、沙门氏菌、霉菌、标签标识</w:t>
            </w:r>
          </w:p>
          <w:p w14:paraId="0177B36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特定食品包装用纸和纸板(企业标准)：感官要求、铅、砷、甲醛、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(植物油或化学溶剂替代物)、高锰酸钾消耗量、重金属(以 Pb 计)、大肠菌群、沙门氏菌、霉菌、感官要求、总迁移量 (乙酸) 、总迁移量 (乙醇或水) 、总迁移量(植物油或化学溶剂替代物) 、高锰酸钾消耗量、重金属 (以Pb 计) 、脱色试验、芳香族伯胺迁移总量、单体及其他起始物的特定迁移限量、特定迁移限量总量、最大残留量等理化指标、标签标识</w:t>
            </w:r>
          </w:p>
        </w:tc>
      </w:tr>
      <w:tr w14:paraId="62B1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1590364">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3553C56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食品用纸容器</w:t>
            </w:r>
          </w:p>
        </w:tc>
        <w:tc>
          <w:tcPr>
            <w:tcW w:w="626" w:type="dxa"/>
            <w:vAlign w:val="center"/>
          </w:tcPr>
          <w:p w14:paraId="42D6397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4BACFC8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28120-2011</w:t>
            </w:r>
          </w:p>
          <w:p w14:paraId="78099A9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10440-2008</w:t>
            </w:r>
          </w:p>
          <w:p w14:paraId="1703B1D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27590-2022</w:t>
            </w:r>
          </w:p>
          <w:p w14:paraId="77E6B34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27591-2011</w:t>
            </w:r>
          </w:p>
          <w:p w14:paraId="4A337C1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27589-2011</w:t>
            </w:r>
          </w:p>
          <w:p w14:paraId="6DA48D9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QB/T2898-2007</w:t>
            </w:r>
          </w:p>
          <w:p w14:paraId="5D0D20C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36787-2018</w:t>
            </w:r>
          </w:p>
          <w:p w14:paraId="3B5387F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1CDDDA3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面粉纸袋(GB/T 28120-2011)：尺寸偏差、外观、拉伸负荷、牢固度、感官要求、铅、砷、甲醛、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 (以Pb 计) 、大肠菌群、沙门氏菌、霉菌；感官要求、总迁移量 (乙酸)、总迁移量(乙醇或水)、总迁移量(植物油或化学溶剂替代物) 、高锰酸钾消耗量、重金属(以 Pb 计)、脱色试验、芳香族伯胺迁移总量、单体及其他起始物的特定迁移限量、特定迁移限量总量、最大残留量等理化指标、标签标识</w:t>
            </w:r>
          </w:p>
          <w:p w14:paraId="172296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圆柱形复合罐(GB/T 10440-2008)：外观、尺寸极限偏差、端盖脱离力、轴向压溃力、快速泄漏试验、跌落试验、感官要求、铅、砷、甲醛、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荧光性物质、大肠菌群、沙门氏菌、霉菌、总迁移量 (乙酸) 、总迁移量 (乙醇或水) 、总迁移量 (植物油或化学溶剂替代物) 、高锰酸钾消耗量、重金属 (以Pb 计) 、感官要求、总迁移量 (乙酸) 、总迁移量 (乙醇或水)、总迁移量 (植物油或化学溶剂替代物) 、高锰酸钾消耗量、重金属 (以Pb 计) 、脱色试验、芳香族伯胺迁移总量、单体及其他起始物的特定迁移限量、特定迁移限量总量、最大残留量等理化指标、标签标识</w:t>
            </w:r>
          </w:p>
          <w:p w14:paraId="7A7794A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淋膜纸杯(GB/T 27590-2022)：感官指标、容量及容量偏差、渗漏性能、杯身挺度、感官要求、铅、砷、甲醛、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荧光性物质、大肠菌群、沙门氏菌、霉菌、感官要求、总迁移量 (乙酸) 、总迁移量 (乙醇或水) 、总迁移量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(植物油或化学溶剂替代物)、高锰酸钾消耗量、重金属(以 Pb 计)、脱色试验、芳香族伯胺迁移总量、单体及其他起始物的特定迁移限量、特定迁移限量总量、最大残留量等理化指标、标签标识</w:t>
            </w:r>
          </w:p>
          <w:p w14:paraId="0735908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涂蜡纸杯(GB/T 27590-2011)：感官指标、容量及容量偏差、渗漏性能、杯身挺度、感官要求、铅、砷、甲醛、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荧光性物质、大肠菌群、沙门氏菌、霉菌、标签标识</w:t>
            </w:r>
          </w:p>
          <w:p w14:paraId="3DA647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纸碗(GB/T 27591-2011)：外观、容量偏差、渗漏性能、抗压强度、感官要求、铅、砷、甲醛、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荧光性物质、大肠菌群、沙门氏菌、霉菌、感官要求、总迁移量 (乙酸) 、总迁移量 (乙醇或水) 、总迁移量 (植物油或化学溶剂替代物)、高锰酸钾消耗量、重金属(以 Pb 计)、脱色试验、芳香族伯胺迁移总量、单体及其他起始物的特定迁移限量、特定迁移限量总量、最大残留量等理化指标、标签标识</w:t>
            </w:r>
          </w:p>
          <w:p w14:paraId="3BB2044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纸餐盒(GB/T27589 -2011)：外观、盖体对折试验、尺寸偏差、耐温试验、负重性能、感官要求、铅、砷、甲醛、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荧光性物质、大肠菌群、沙门氏菌、霉菌、感官要求、总迁移量 (乙酸) 、总迁移量 (乙醇或水) 、总迁移量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(植物油或化学溶剂替代物)、高锰酸钾消耗量、重金属(以 Pb 计)、脱色试验、芳香族伯胺迁移总量、单体及其他起始物的特定迁移限量、特定迁移限量总量、最大残留量等理化指标、标签标识</w:t>
            </w:r>
          </w:p>
          <w:p w14:paraId="7AFABA0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餐用纸制品(QB/T 2898-2007)：外观、PE 膜定量、容积相对偏差、渗漏性能、挺度、负重性能、水分、脱色试验、感官要求、铅、砷、甲醛、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荧光性物质、大肠菌群、沙门氏菌、霉菌、志贺氏菌、金黄色葡萄球菌、 β型溶血性链球菌、总迁移量 (乙酸) 、总迁移量 (乙醇或水) 、总迁移量 (植物油或化学溶剂替代物)、高锰酸钾消耗量、重金属(以 Pb 计)、感官要求、总迁移量 (乙酸) 、总迁移量 (乙醇或水) 、总迁移量 (植物油或化学溶剂替代物)、高锰酸钾消耗量、重金属(以 Pb 计)、脱色试验、芳香族伯胺迁移总量、单体及其他起始物的特定迁移限量、特定迁移限量总量、最大残留量等理化指标、标签标识</w:t>
            </w:r>
          </w:p>
          <w:p w14:paraId="3C9883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纸浆模塑餐具(GB/T 36787-2018)：尺寸偏差、容量偏差、漏水性、耐温性能、杯身挺度、负重性能、抗压性能、盒盖对折试验、跌落试验、水分、外观、感官要求、铅、砷、甲醛、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、重金属(以 Pb 计)、大肠菌群、沙门氏菌、霉菌、标签标识</w:t>
            </w:r>
          </w:p>
          <w:p w14:paraId="2064AD4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特定食品用纸容器(企业标准)：感官要求、铅、砷、甲醛、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(植物油或化学溶剂替代物)、高锰酸钾消耗量、重金属(以 Pb 计)、大肠菌群、沙门氏菌、霉菌、感官要求、总迁移量 (乙酸) 、总迁移量 (乙醇或水) 、总迁移量 (植物油或化学溶剂替代物) 、高锰酸钾消耗量、重金属 (以Pb 计)、脱色试验、单体及其他起始物的特定迁移限量、特定迁移限量总量、最大残留量等理化指标、标签标识</w:t>
            </w:r>
          </w:p>
        </w:tc>
      </w:tr>
      <w:tr w14:paraId="4CDD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A1D81ED">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2FA04E6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过度包装产品</w:t>
            </w:r>
          </w:p>
        </w:tc>
        <w:tc>
          <w:tcPr>
            <w:tcW w:w="626" w:type="dxa"/>
            <w:vAlign w:val="center"/>
          </w:tcPr>
          <w:p w14:paraId="3F51A4A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CF7D2E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23350-2021（附2022年第1号修改单、2024年第2号修改单)</w:t>
            </w:r>
          </w:p>
        </w:tc>
        <w:tc>
          <w:tcPr>
            <w:tcW w:w="4586" w:type="dxa"/>
            <w:vAlign w:val="center"/>
          </w:tcPr>
          <w:p w14:paraId="4AE267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过度包装：包装空隙率、包装层数、混装要求、商品包装质量</w:t>
            </w:r>
          </w:p>
        </w:tc>
      </w:tr>
      <w:tr w14:paraId="132E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F6281EB">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1A2285E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塑料购物袋</w:t>
            </w:r>
          </w:p>
        </w:tc>
        <w:tc>
          <w:tcPr>
            <w:tcW w:w="626" w:type="dxa"/>
            <w:vAlign w:val="center"/>
          </w:tcPr>
          <w:p w14:paraId="45E34E65">
            <w:pPr>
              <w:spacing w:before="0" w:beforeAutospacing="0" w:after="0" w:afterAutospacing="0"/>
              <w:ind w:left="0" w:right="0"/>
              <w:rPr>
                <w:rFonts w:hint="eastAsia" w:ascii="宋体" w:hAnsi="宋体" w:eastAsia="宋体" w:cs="宋体"/>
                <w:sz w:val="24"/>
                <w:szCs w:val="24"/>
                <w:highlight w:val="none"/>
              </w:rPr>
            </w:pPr>
          </w:p>
        </w:tc>
        <w:tc>
          <w:tcPr>
            <w:tcW w:w="1962" w:type="dxa"/>
            <w:vAlign w:val="center"/>
          </w:tcPr>
          <w:p w14:paraId="658AD93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21661-2020、GB/T 38079-2019（附2022年第1号修改单）》</w:t>
            </w:r>
          </w:p>
          <w:p w14:paraId="3593373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38082-2019</w:t>
            </w:r>
          </w:p>
          <w:p w14:paraId="5AFC184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4806.7-2023</w:t>
            </w:r>
          </w:p>
          <w:p w14:paraId="412B488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4806.14-2023 </w:t>
            </w:r>
          </w:p>
          <w:p w14:paraId="3CFB528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4806.15-2024</w:t>
            </w:r>
          </w:p>
        </w:tc>
        <w:tc>
          <w:tcPr>
            <w:tcW w:w="4586" w:type="dxa"/>
            <w:vAlign w:val="center"/>
          </w:tcPr>
          <w:p w14:paraId="7671A69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识要求、环保要求、厚度及偏差、提吊试验、封合强度、落镖冲击、感官、总迁移量、高锰酸钾消耗量、重金属（以Pb计）、脱色试验、1-辛烯特定迁移量、特定迁移总量（以丙烯酸计）、特定迁移总量（以甲基丙烯酸计）、特定迁移总量（以顺丁烯二酸计）、乙酸乙烯酯特定迁移量、特定迁移总量（以1,2-乙二醇计）、特定迁移总量（以间苯二甲酸计）、氯乙烯特定迁移量、1,1-二氯乙烷特定迁移量、邻苯二甲酸二（2-乙基）己酯（DEHP）迁移量、邻苯二甲酸二烯丙酯（DAP）迁移量、邻苯二甲酸二异壬酯（DINP）迁移量、芳香族伯胺迁移总量（食品安全卫生指标仅适用于明示食品直接接触用塑料购物袋产品）</w:t>
            </w:r>
          </w:p>
        </w:tc>
      </w:tr>
      <w:tr w14:paraId="3573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D27B8BA">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43E7E19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农用薄膜（地膜、棚膜）</w:t>
            </w:r>
          </w:p>
        </w:tc>
        <w:tc>
          <w:tcPr>
            <w:tcW w:w="626" w:type="dxa"/>
            <w:vAlign w:val="center"/>
          </w:tcPr>
          <w:p w14:paraId="76A5C496">
            <w:pPr>
              <w:spacing w:before="0" w:beforeAutospacing="0" w:after="0" w:afterAutospacing="0"/>
              <w:ind w:left="0" w:right="0"/>
              <w:rPr>
                <w:rFonts w:hint="eastAsia" w:ascii="宋体" w:hAnsi="宋体" w:eastAsia="宋体" w:cs="宋体"/>
                <w:sz w:val="24"/>
                <w:szCs w:val="24"/>
                <w:highlight w:val="none"/>
              </w:rPr>
            </w:pPr>
          </w:p>
        </w:tc>
        <w:tc>
          <w:tcPr>
            <w:tcW w:w="1962" w:type="dxa"/>
            <w:vAlign w:val="center"/>
          </w:tcPr>
          <w:p w14:paraId="51D6ADC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13735-2017</w:t>
            </w:r>
          </w:p>
          <w:p w14:paraId="0EA848A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4455-2019</w:t>
            </w:r>
          </w:p>
          <w:p w14:paraId="3184461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20202-2019</w:t>
            </w:r>
          </w:p>
          <w:p w14:paraId="24E4204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4475-2013</w:t>
            </w:r>
          </w:p>
        </w:tc>
        <w:tc>
          <w:tcPr>
            <w:tcW w:w="4586" w:type="dxa"/>
            <w:vAlign w:val="center"/>
          </w:tcPr>
          <w:p w14:paraId="70DD70F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厚度、厚度偏差（厚度极限偏差、厚度平均偏差）、宽度极限偏差、拉伸强度、断裂标称应变、直角撕裂强度、流滴性能</w:t>
            </w:r>
          </w:p>
        </w:tc>
      </w:tr>
      <w:tr w14:paraId="0095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1FEE424">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003072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快递封装用品</w:t>
            </w:r>
          </w:p>
        </w:tc>
        <w:tc>
          <w:tcPr>
            <w:tcW w:w="626" w:type="dxa"/>
            <w:vAlign w:val="center"/>
          </w:tcPr>
          <w:p w14:paraId="0DF778F5">
            <w:pPr>
              <w:spacing w:before="0" w:beforeAutospacing="0" w:after="0" w:afterAutospacing="0"/>
              <w:ind w:left="0" w:right="0"/>
              <w:rPr>
                <w:rFonts w:hint="eastAsia" w:ascii="宋体" w:hAnsi="宋体" w:eastAsia="宋体" w:cs="宋体"/>
                <w:sz w:val="24"/>
                <w:szCs w:val="24"/>
                <w:highlight w:val="none"/>
              </w:rPr>
            </w:pPr>
          </w:p>
        </w:tc>
        <w:tc>
          <w:tcPr>
            <w:tcW w:w="1962" w:type="dxa"/>
            <w:vAlign w:val="center"/>
          </w:tcPr>
          <w:p w14:paraId="0B986AB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16606.1-2018</w:t>
            </w:r>
          </w:p>
          <w:p w14:paraId="60DEA2E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16606.2-2018</w:t>
            </w:r>
          </w:p>
          <w:p w14:paraId="178D51D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16606.3-2018</w:t>
            </w:r>
          </w:p>
          <w:p w14:paraId="0CAFCBA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YZ/T 0148-2015</w:t>
            </w:r>
          </w:p>
          <w:p w14:paraId="59B2F8D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28582-2012</w:t>
            </w:r>
          </w:p>
          <w:p w14:paraId="5418962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41833-2022</w:t>
            </w:r>
          </w:p>
          <w:p w14:paraId="6196DD0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YZ/T 0167-2018</w:t>
            </w:r>
          </w:p>
          <w:p w14:paraId="422265E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YZ/T 0160.1-2017</w:t>
            </w:r>
          </w:p>
          <w:p w14:paraId="6F5CBE2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YZ/T 0160.2-2017</w:t>
            </w:r>
          </w:p>
          <w:p w14:paraId="043D9A5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38727-2020</w:t>
            </w:r>
          </w:p>
          <w:p w14:paraId="4C7064A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43352-2023</w:t>
            </w:r>
          </w:p>
        </w:tc>
        <w:tc>
          <w:tcPr>
            <w:tcW w:w="4586" w:type="dxa"/>
            <w:vAlign w:val="center"/>
          </w:tcPr>
          <w:p w14:paraId="2B9D5D2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封套：重金属与特定物质、溶剂残留、AOX；</w:t>
            </w:r>
          </w:p>
          <w:p w14:paraId="71839EB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包装箱：耐破强度、粘合强度、重金属与特定物质、溶剂残留、AOX；</w:t>
            </w:r>
          </w:p>
          <w:p w14:paraId="4A7BAEC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电子运单：初粘性钢球号、重金属与特定物质、溶剂残留、AOX、双酚A；</w:t>
            </w:r>
          </w:p>
          <w:p w14:paraId="32D5477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包装袋：拉伸强度、断裂标称应变、直角撕裂力、热合强度、重金属与特定物质、邻苯二甲酸酯、溶剂残留；</w:t>
            </w:r>
          </w:p>
          <w:p w14:paraId="5D055FC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集装袋：拉伸力、重金属与特定物质、邻苯二甲酸酯、溶剂残留；</w:t>
            </w:r>
          </w:p>
          <w:p w14:paraId="68CC041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胶带：持粘力、直角撕裂负荷、重金属与特定物质、邻苯二甲酸酯、溶剂残留；</w:t>
            </w:r>
          </w:p>
          <w:p w14:paraId="6CF7077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纸质填充物：重金属与特定物质、溶剂残留、AOX；</w:t>
            </w:r>
          </w:p>
          <w:p w14:paraId="6B887CD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塑料填充物：重金属与特定物质、邻苯二甲酸酯、溶剂残留</w:t>
            </w:r>
          </w:p>
        </w:tc>
      </w:tr>
      <w:tr w14:paraId="4566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E18C3B4">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AFE0D8E">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危险化学品包装物（金属桶、罐）</w:t>
            </w:r>
          </w:p>
        </w:tc>
        <w:tc>
          <w:tcPr>
            <w:tcW w:w="626" w:type="dxa"/>
            <w:vAlign w:val="center"/>
          </w:tcPr>
          <w:p w14:paraId="1E09B8E4">
            <w:pPr>
              <w:spacing w:before="0" w:beforeAutospacing="0" w:after="0" w:afterAutospacing="0"/>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314F9A33">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GB/T 325.1-2018  包装容器 钢桶 第1部分：通用技术要求                        GB/T 13252-2008  包装容器 钢提桶      GB/T 17343-2023  包装容器 金属方桶    GB/T 15170-2007  包装容器 工业用薄钢板圆罐BB/T 0019-2013  包装容器 方罐与扁圆罐 BB/T 0064-2013  包装容器 钢质手提罐</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GB/T 25164-2010   25.4mm口径铝气雾罐</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13042-2008     包装容器 铁质气雾罐</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12463-2009   危险货物运输包装通用技术条件</w:t>
            </w:r>
          </w:p>
        </w:tc>
        <w:tc>
          <w:tcPr>
            <w:tcW w:w="4586" w:type="dxa"/>
            <w:vAlign w:val="center"/>
          </w:tcPr>
          <w:p w14:paraId="6DC5AF90">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钢桶:气密试验,液压试验,跌落高度,堆码试验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钢提桶:气密性能, 耐液压性, 耐跌落性, 耐堆码性, 提梁、提环强度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方桶: 气密性能, 耐液压性, 耐跌落性, 耐堆码性, 提环强度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工业用薄钢板圆罐:气密试验, 液压试验, 跌落试验, 堆码试验, 提梁、提环强度试验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方罐与扁圆罐:气密性能, 液压性能, 跌落高度, 堆码负载性能, 提环拉力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钢质手提罐:气密性能, 液压性能, 堆码性能, 跌落高度, 提手拉力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25.4mm口径铝气雾罐:罐口外径、罐口内径、罐口接触高度、内涂层完整性（电流值）、气密试验, 变形压力, 爆破压力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铁质气雾罐:罐口外径、罐口内径、罐口接触高度、焊缝补涂完整性、气密性能, 变形压力, 爆破压力</w:t>
            </w:r>
          </w:p>
        </w:tc>
      </w:tr>
      <w:tr w14:paraId="1C6F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5B5B27F">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2D855A96">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危险化学品包装物（塑料）</w:t>
            </w:r>
          </w:p>
        </w:tc>
        <w:tc>
          <w:tcPr>
            <w:tcW w:w="626" w:type="dxa"/>
            <w:vAlign w:val="center"/>
          </w:tcPr>
          <w:p w14:paraId="413BBB86">
            <w:pPr>
              <w:spacing w:before="0" w:beforeAutospacing="0" w:after="0" w:afterAutospacing="0"/>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8F4F69C">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 xml:space="preserve">GB 18191-2008 包装容器 危险品包装用塑料桶 GB 19160-2008 包装容器 危险品包装用塑料罐 </w:t>
            </w:r>
          </w:p>
        </w:tc>
        <w:tc>
          <w:tcPr>
            <w:tcW w:w="4586" w:type="dxa"/>
            <w:vAlign w:val="center"/>
          </w:tcPr>
          <w:p w14:paraId="0C5EE009">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危险品包装用塑料桶:气密试验, 液压试验, 堆码负载, 跌落高度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危险品包装用塑料罐:气密试验, 液压试验, 堆码负载, 跌落高度</w:t>
            </w:r>
          </w:p>
        </w:tc>
      </w:tr>
    </w:tbl>
    <w:p w14:paraId="0E5F1069">
      <w:pPr>
        <w:rPr>
          <w:rFonts w:hint="eastAsia" w:ascii="宋体" w:hAnsi="宋体" w:eastAsia="宋体" w:cs="宋体"/>
          <w:sz w:val="24"/>
          <w:highlight w:val="none"/>
        </w:rPr>
      </w:pPr>
    </w:p>
    <w:p w14:paraId="687EFEDE">
      <w:pPr>
        <w:rPr>
          <w:rFonts w:hint="eastAsia" w:ascii="宋体" w:hAnsi="宋体" w:eastAsia="宋体" w:cs="宋体"/>
          <w:sz w:val="24"/>
          <w:highlight w:val="none"/>
        </w:rPr>
        <w:sectPr>
          <w:pgSz w:w="11906" w:h="16838"/>
          <w:pgMar w:top="1440" w:right="1800" w:bottom="1440" w:left="1800" w:header="851" w:footer="992" w:gutter="0"/>
          <w:cols w:space="720" w:num="1"/>
          <w:docGrid w:type="lines" w:linePitch="312" w:charSpace="0"/>
        </w:sectPr>
      </w:pPr>
    </w:p>
    <w:p w14:paraId="4ADE8CE5">
      <w:pPr>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化肥产品：</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12"/>
        <w:gridCol w:w="626"/>
        <w:gridCol w:w="1962"/>
        <w:gridCol w:w="4586"/>
      </w:tblGrid>
      <w:tr w14:paraId="76C1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84A93FB">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12" w:type="dxa"/>
            <w:vAlign w:val="center"/>
          </w:tcPr>
          <w:p w14:paraId="4CCD4ED7">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26" w:type="dxa"/>
            <w:vAlign w:val="center"/>
          </w:tcPr>
          <w:p w14:paraId="07F69CDF">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62" w:type="dxa"/>
            <w:vAlign w:val="center"/>
          </w:tcPr>
          <w:p w14:paraId="76E7FC15">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586" w:type="dxa"/>
            <w:vAlign w:val="center"/>
          </w:tcPr>
          <w:p w14:paraId="378739D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5744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FE6CF39">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12" w:type="dxa"/>
            <w:vAlign w:val="center"/>
          </w:tcPr>
          <w:p w14:paraId="4EBBFCEC">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复合肥料</w:t>
            </w:r>
          </w:p>
        </w:tc>
        <w:tc>
          <w:tcPr>
            <w:tcW w:w="626" w:type="dxa"/>
            <w:vAlign w:val="center"/>
          </w:tcPr>
          <w:p w14:paraId="3D6A090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7CD5250">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GB/T 15063-2020《复合肥料》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p>
        </w:tc>
        <w:tc>
          <w:tcPr>
            <w:tcW w:w="4586" w:type="dxa"/>
            <w:vAlign w:val="center"/>
          </w:tcPr>
          <w:p w14:paraId="181ECD28">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总养分（N+P2O5+K2O）的质量分数、总氮(N)的质量分数、有效磷(P2O5) 的质量分数、钾(K2O) 的质量分数、水溶性磷占有效磷百分率、粒度、氯离子的质量分数、缩二脲的质量分数、硝态氮、总砷、总镉、总铅、总铬、总汞、总铊、包装标识（养分含量、含氯标识、警示语、名称中的禁用语）；</w:t>
            </w:r>
          </w:p>
        </w:tc>
      </w:tr>
      <w:tr w14:paraId="79D7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99BB026">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712" w:type="dxa"/>
            <w:vAlign w:val="center"/>
          </w:tcPr>
          <w:p w14:paraId="55BDEB8C">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有机-无机复混肥料</w:t>
            </w:r>
          </w:p>
        </w:tc>
        <w:tc>
          <w:tcPr>
            <w:tcW w:w="626" w:type="dxa"/>
            <w:vAlign w:val="center"/>
          </w:tcPr>
          <w:p w14:paraId="055BF64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6242BCAA">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GB/T 18877-2020《有机无机复混肥料》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p>
        </w:tc>
        <w:tc>
          <w:tcPr>
            <w:tcW w:w="4586" w:type="dxa"/>
            <w:vAlign w:val="center"/>
          </w:tcPr>
          <w:p w14:paraId="0339ED79">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有机质含量、总养分、总氮含量、有效五氧化二磷、总氧化钾、酸碱度、粒度、蛔虫卵死亡率、粪大肠菌群数、氯离子、缩二脲、钠离子含量、总砷、总镉、总铅、总铬、总汞、总铊、包装标识（养分含量、含氯标识、警示语、名称中的禁用语）</w:t>
            </w:r>
          </w:p>
        </w:tc>
      </w:tr>
      <w:tr w14:paraId="57EF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A4789D2">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712" w:type="dxa"/>
            <w:vAlign w:val="center"/>
          </w:tcPr>
          <w:p w14:paraId="7875F381">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掺混肥料(BB肥)</w:t>
            </w:r>
          </w:p>
        </w:tc>
        <w:tc>
          <w:tcPr>
            <w:tcW w:w="626" w:type="dxa"/>
            <w:vAlign w:val="center"/>
          </w:tcPr>
          <w:p w14:paraId="37E98EC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7B25D259">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GB/T 21633-2020《掺混肥料(BB肥)》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p>
        </w:tc>
        <w:tc>
          <w:tcPr>
            <w:tcW w:w="4586" w:type="dxa"/>
            <w:vAlign w:val="center"/>
          </w:tcPr>
          <w:p w14:paraId="3B6059B3">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总养分、总氮、有效磷、钾、水溶性磷占有效磷百分率、粒度、氯离子、缩二脲、总砷、总镉、总铅、总铬、总汞、总铊、包装标识（养分含量、含氯标识、警示语、名称中的禁用语）;</w:t>
            </w:r>
          </w:p>
        </w:tc>
      </w:tr>
      <w:tr w14:paraId="4CF3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E701EEA">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712" w:type="dxa"/>
            <w:vAlign w:val="center"/>
          </w:tcPr>
          <w:p w14:paraId="7B4335BA">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 xml:space="preserve">缓释肥料                 </w:t>
            </w:r>
          </w:p>
        </w:tc>
        <w:tc>
          <w:tcPr>
            <w:tcW w:w="626" w:type="dxa"/>
            <w:vAlign w:val="center"/>
          </w:tcPr>
          <w:p w14:paraId="0F3DA41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0AB24E7">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GB/T 23348-2009《缓释肥料》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p>
        </w:tc>
        <w:tc>
          <w:tcPr>
            <w:tcW w:w="4586" w:type="dxa"/>
            <w:vAlign w:val="center"/>
          </w:tcPr>
          <w:p w14:paraId="2031C042">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外观，总养分，总氮,有效磷，水溶性磷占有效磷的质量分数，钾，粒度;</w:t>
            </w:r>
          </w:p>
        </w:tc>
      </w:tr>
      <w:tr w14:paraId="36AC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4242270">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712" w:type="dxa"/>
            <w:vAlign w:val="center"/>
          </w:tcPr>
          <w:p w14:paraId="3F0066EA">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含腐植酸水溶肥料(大量元素型）</w:t>
            </w:r>
          </w:p>
        </w:tc>
        <w:tc>
          <w:tcPr>
            <w:tcW w:w="626" w:type="dxa"/>
            <w:vAlign w:val="center"/>
          </w:tcPr>
          <w:p w14:paraId="51E9A29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45E8A8F9">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1106-2010《含腐植酸水溶肥料》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4675FF01">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外观、腐植酸、大量元素、总氮、磷、钾、水不溶物、pH、水分、硫、氯、钠、汞、砷、镉、铅、铬、标识</w:t>
            </w:r>
          </w:p>
        </w:tc>
      </w:tr>
      <w:tr w14:paraId="5365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EE45BDE">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712" w:type="dxa"/>
            <w:vAlign w:val="center"/>
          </w:tcPr>
          <w:p w14:paraId="44DBB7AF">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含腐植酸水溶肥料(微量元素型）</w:t>
            </w:r>
          </w:p>
        </w:tc>
        <w:tc>
          <w:tcPr>
            <w:tcW w:w="626" w:type="dxa"/>
            <w:vAlign w:val="center"/>
          </w:tcPr>
          <w:p w14:paraId="0E82D25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4BA97BF9">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1106-2010《含腐植酸水溶肥料》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5B40D8A7">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外观、腐植酸、微量元素、铜、铁、锰、锌、硼、钼、水不溶物、pH、水分、硫、氯、钠、汞、砷、镉、铅、铬、标识</w:t>
            </w:r>
          </w:p>
        </w:tc>
      </w:tr>
      <w:tr w14:paraId="5A89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E2731B7">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712" w:type="dxa"/>
            <w:vAlign w:val="center"/>
          </w:tcPr>
          <w:p w14:paraId="492FC0F1">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大量元素水溶肥料</w:t>
            </w:r>
          </w:p>
        </w:tc>
        <w:tc>
          <w:tcPr>
            <w:tcW w:w="626" w:type="dxa"/>
            <w:vAlign w:val="center"/>
          </w:tcPr>
          <w:p w14:paraId="5E8DFEC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3064E6F3">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NY/T 1107-2020《大量元素水溶肥料》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4650139F">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外观、大量元素、总氮、磷、钾、水不溶物、水分、缩二脲、氯离子含量、汞、砷、镉、铅、铬、中量元素、单一中量元素、微量元素、单一微量元素、粒度、钠、pH、标识</w:t>
            </w:r>
          </w:p>
        </w:tc>
      </w:tr>
      <w:tr w14:paraId="1B8E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92E4C03">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712" w:type="dxa"/>
            <w:vAlign w:val="center"/>
          </w:tcPr>
          <w:p w14:paraId="0AEC40CF">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 xml:space="preserve">中量元素水溶肥料         </w:t>
            </w:r>
          </w:p>
        </w:tc>
        <w:tc>
          <w:tcPr>
            <w:tcW w:w="626" w:type="dxa"/>
            <w:vAlign w:val="center"/>
          </w:tcPr>
          <w:p w14:paraId="5FEF311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006E2E1D">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2266-2012《中量元素水溶肥料》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09AC503D">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外观、中量元素、钙、镁、水不溶物、pH、水分、微量元素、铜、铁、锰、锌、硼、钼、硫、氯、钠、汞、砷、镉、铅、铬、标识</w:t>
            </w:r>
          </w:p>
        </w:tc>
      </w:tr>
      <w:tr w14:paraId="011B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B94312C">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712" w:type="dxa"/>
            <w:vAlign w:val="center"/>
          </w:tcPr>
          <w:p w14:paraId="13BB2BE8">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微量元素水溶肥料</w:t>
            </w:r>
          </w:p>
        </w:tc>
        <w:tc>
          <w:tcPr>
            <w:tcW w:w="626" w:type="dxa"/>
            <w:vAlign w:val="center"/>
          </w:tcPr>
          <w:p w14:paraId="3FC7108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DF45F58">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1428-2010《微量元素水溶肥料》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28329B0D">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外观、微量元素、铜、铁、锰、锌、硼、钼、水不溶物、pH、水分、硫、氯、钠、汞、砷、镉、铅、铬、标识</w:t>
            </w:r>
          </w:p>
        </w:tc>
      </w:tr>
      <w:tr w14:paraId="66AF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46864EF">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712" w:type="dxa"/>
            <w:vAlign w:val="center"/>
          </w:tcPr>
          <w:p w14:paraId="6BD40D22">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含氨基酸水溶肥料（中量元素型）</w:t>
            </w:r>
          </w:p>
        </w:tc>
        <w:tc>
          <w:tcPr>
            <w:tcW w:w="626" w:type="dxa"/>
            <w:vAlign w:val="center"/>
          </w:tcPr>
          <w:p w14:paraId="5FC36CD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24AC4E2">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1429-2010《含氨基酸水溶肥料》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16F15A17">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外观、游离氨基酸、中量元素、钙、镁、水不溶物、pH、水分、硫、氯、钠、汞、砷、镉、铅、铬、标识</w:t>
            </w:r>
          </w:p>
        </w:tc>
      </w:tr>
      <w:tr w14:paraId="279C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4CF52072">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712" w:type="dxa"/>
            <w:vAlign w:val="center"/>
          </w:tcPr>
          <w:p w14:paraId="61CC35E6">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含氨基酸水溶肥料（微量元素型）</w:t>
            </w:r>
          </w:p>
        </w:tc>
        <w:tc>
          <w:tcPr>
            <w:tcW w:w="626" w:type="dxa"/>
            <w:vAlign w:val="center"/>
          </w:tcPr>
          <w:p w14:paraId="2642ECE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4FE1A7BD">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1429-2010《含氨基酸水溶肥料》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7EA0EFBD">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外观、游离氨基酸、微量元素、铜、铁、锰、锌、硼、钼、水不溶物、pH、水分、硫、氯、钠、汞、砷、镉、铅、铬、标识</w:t>
            </w:r>
          </w:p>
        </w:tc>
      </w:tr>
      <w:tr w14:paraId="7CF2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F46FFCD">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712" w:type="dxa"/>
            <w:vAlign w:val="center"/>
          </w:tcPr>
          <w:p w14:paraId="294CD3A6">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 xml:space="preserve">有机肥料                                        </w:t>
            </w:r>
          </w:p>
        </w:tc>
        <w:tc>
          <w:tcPr>
            <w:tcW w:w="626" w:type="dxa"/>
            <w:vAlign w:val="center"/>
          </w:tcPr>
          <w:p w14:paraId="5256C29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17FDDFAA">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NY/T 525-2021《有机肥料》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p>
        </w:tc>
        <w:tc>
          <w:tcPr>
            <w:tcW w:w="4586" w:type="dxa"/>
            <w:vAlign w:val="center"/>
          </w:tcPr>
          <w:p w14:paraId="2588A685">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有机质、总养分、氮、磷、钾、水分、酸碱度、机械杂质、总砷、总汞、总铅、总镉、总铬、总铊、蛔虫卵死亡率、粪大肠菌群数、氯离子、缩二脲、包装标识</w:t>
            </w:r>
          </w:p>
        </w:tc>
      </w:tr>
    </w:tbl>
    <w:p w14:paraId="06E117F1">
      <w:pPr>
        <w:rPr>
          <w:rFonts w:hint="eastAsia" w:ascii="宋体" w:hAnsi="宋体" w:eastAsia="宋体" w:cs="宋体"/>
          <w:spacing w:val="1"/>
          <w:sz w:val="24"/>
          <w:szCs w:val="24"/>
          <w:highlight w:val="none"/>
        </w:rPr>
      </w:pPr>
    </w:p>
    <w:p w14:paraId="0D87DE9B">
      <w:pPr>
        <w:rPr>
          <w:rFonts w:hint="eastAsia" w:ascii="宋体" w:hAnsi="宋体" w:eastAsia="宋体" w:cs="宋体"/>
          <w:spacing w:val="1"/>
          <w:sz w:val="24"/>
          <w:szCs w:val="24"/>
          <w:highlight w:val="none"/>
        </w:rPr>
      </w:pPr>
    </w:p>
    <w:p w14:paraId="0FF459B6">
      <w:pPr>
        <w:rPr>
          <w:rFonts w:hint="eastAsia" w:ascii="宋体" w:hAnsi="宋体" w:eastAsia="宋体" w:cs="宋体"/>
          <w:spacing w:val="1"/>
          <w:sz w:val="24"/>
          <w:szCs w:val="24"/>
          <w:highlight w:val="none"/>
        </w:rPr>
      </w:pPr>
    </w:p>
    <w:p w14:paraId="24DE6C1A">
      <w:pPr>
        <w:rPr>
          <w:rFonts w:hint="eastAsia" w:ascii="宋体" w:hAnsi="宋体" w:eastAsia="宋体" w:cs="宋体"/>
          <w:spacing w:val="1"/>
          <w:sz w:val="24"/>
          <w:szCs w:val="24"/>
          <w:highlight w:val="none"/>
        </w:rPr>
      </w:pPr>
    </w:p>
    <w:p w14:paraId="0728F50C">
      <w:pPr>
        <w:rPr>
          <w:rFonts w:hint="eastAsia" w:ascii="宋体" w:hAnsi="宋体" w:eastAsia="宋体" w:cs="宋体"/>
          <w:spacing w:val="1"/>
          <w:sz w:val="24"/>
          <w:szCs w:val="24"/>
          <w:highlight w:val="none"/>
        </w:rPr>
      </w:pPr>
    </w:p>
    <w:p w14:paraId="3B2C091A">
      <w:pPr>
        <w:rPr>
          <w:rFonts w:hint="eastAsia" w:ascii="宋体" w:hAnsi="宋体" w:eastAsia="宋体" w:cs="宋体"/>
          <w:spacing w:val="1"/>
          <w:sz w:val="24"/>
          <w:szCs w:val="24"/>
          <w:highlight w:val="none"/>
        </w:rPr>
      </w:pPr>
    </w:p>
    <w:p w14:paraId="57DE959D">
      <w:pPr>
        <w:rPr>
          <w:rFonts w:hint="eastAsia" w:ascii="宋体" w:hAnsi="宋体" w:eastAsia="宋体" w:cs="宋体"/>
          <w:spacing w:val="1"/>
          <w:sz w:val="24"/>
          <w:szCs w:val="24"/>
          <w:highlight w:val="none"/>
        </w:rPr>
      </w:pPr>
    </w:p>
    <w:p w14:paraId="0FF27D6E">
      <w:pPr>
        <w:rPr>
          <w:rFonts w:hint="eastAsia" w:ascii="宋体" w:hAnsi="宋体" w:eastAsia="宋体" w:cs="宋体"/>
          <w:spacing w:val="1"/>
          <w:sz w:val="24"/>
          <w:szCs w:val="24"/>
          <w:highlight w:val="none"/>
        </w:rPr>
      </w:pPr>
    </w:p>
    <w:p w14:paraId="15B343B2">
      <w:pPr>
        <w:rPr>
          <w:rFonts w:hint="eastAsia" w:ascii="宋体" w:hAnsi="宋体" w:eastAsia="宋体" w:cs="宋体"/>
          <w:spacing w:val="1"/>
          <w:sz w:val="24"/>
          <w:szCs w:val="24"/>
          <w:highlight w:val="none"/>
        </w:rPr>
      </w:pPr>
    </w:p>
    <w:p w14:paraId="61FE7399">
      <w:pPr>
        <w:rPr>
          <w:rFonts w:hint="eastAsia" w:ascii="宋体" w:hAnsi="宋体" w:eastAsia="宋体" w:cs="宋体"/>
          <w:spacing w:val="1"/>
          <w:sz w:val="24"/>
          <w:szCs w:val="24"/>
          <w:highlight w:val="none"/>
        </w:rPr>
      </w:pPr>
    </w:p>
    <w:p w14:paraId="64E6A9F7">
      <w:pPr>
        <w:rPr>
          <w:rFonts w:hint="eastAsia" w:ascii="宋体" w:hAnsi="宋体" w:eastAsia="宋体" w:cs="宋体"/>
          <w:spacing w:val="1"/>
          <w:sz w:val="24"/>
          <w:szCs w:val="24"/>
          <w:highlight w:val="none"/>
        </w:rPr>
      </w:pPr>
    </w:p>
    <w:p w14:paraId="2BE5A220">
      <w:pPr>
        <w:rPr>
          <w:rFonts w:hint="eastAsia" w:ascii="宋体" w:hAnsi="宋体" w:eastAsia="宋体" w:cs="宋体"/>
          <w:spacing w:val="1"/>
          <w:sz w:val="24"/>
          <w:szCs w:val="24"/>
          <w:highlight w:val="none"/>
        </w:rPr>
      </w:pPr>
    </w:p>
    <w:p w14:paraId="5ED2F462">
      <w:pPr>
        <w:rPr>
          <w:rFonts w:hint="eastAsia" w:ascii="宋体" w:hAnsi="宋体" w:eastAsia="宋体" w:cs="宋体"/>
          <w:spacing w:val="1"/>
          <w:sz w:val="24"/>
          <w:szCs w:val="24"/>
          <w:highlight w:val="none"/>
        </w:rPr>
      </w:pPr>
    </w:p>
    <w:p w14:paraId="7E1C20BF">
      <w:pPr>
        <w:rPr>
          <w:rFonts w:hint="eastAsia" w:ascii="宋体" w:hAnsi="宋体" w:eastAsia="宋体" w:cs="宋体"/>
          <w:spacing w:val="1"/>
          <w:sz w:val="24"/>
          <w:szCs w:val="24"/>
          <w:highlight w:val="none"/>
        </w:rPr>
      </w:pPr>
    </w:p>
    <w:p w14:paraId="2301CF70">
      <w:pPr>
        <w:rPr>
          <w:rFonts w:hint="eastAsia" w:ascii="宋体" w:hAnsi="宋体" w:eastAsia="宋体" w:cs="宋体"/>
          <w:spacing w:val="1"/>
          <w:sz w:val="24"/>
          <w:szCs w:val="24"/>
          <w:highlight w:val="none"/>
        </w:rPr>
      </w:pPr>
    </w:p>
    <w:p w14:paraId="5D0F01E5">
      <w:pPr>
        <w:rPr>
          <w:rFonts w:hint="eastAsia" w:ascii="宋体" w:hAnsi="宋体" w:eastAsia="宋体" w:cs="宋体"/>
          <w:spacing w:val="1"/>
          <w:sz w:val="24"/>
          <w:szCs w:val="24"/>
          <w:highlight w:val="none"/>
        </w:rPr>
      </w:pPr>
    </w:p>
    <w:p w14:paraId="3A24222D">
      <w:pPr>
        <w:rPr>
          <w:rFonts w:hint="eastAsia" w:ascii="宋体" w:hAnsi="宋体" w:eastAsia="宋体" w:cs="宋体"/>
          <w:spacing w:val="1"/>
          <w:sz w:val="24"/>
          <w:szCs w:val="24"/>
          <w:highlight w:val="none"/>
        </w:rPr>
      </w:pPr>
    </w:p>
    <w:p w14:paraId="2AC1F9FB">
      <w:pPr>
        <w:rPr>
          <w:rFonts w:hint="eastAsia" w:ascii="宋体" w:hAnsi="宋体" w:eastAsia="宋体" w:cs="宋体"/>
          <w:spacing w:val="1"/>
          <w:sz w:val="24"/>
          <w:szCs w:val="24"/>
          <w:highlight w:val="none"/>
        </w:rPr>
      </w:pPr>
    </w:p>
    <w:p w14:paraId="373BDC64">
      <w:pPr>
        <w:rPr>
          <w:rFonts w:hint="eastAsia" w:ascii="宋体" w:hAnsi="宋体" w:eastAsia="宋体" w:cs="宋体"/>
          <w:spacing w:val="1"/>
          <w:sz w:val="24"/>
          <w:szCs w:val="24"/>
          <w:highlight w:val="none"/>
        </w:rPr>
      </w:pPr>
    </w:p>
    <w:p w14:paraId="6044F468">
      <w:pPr>
        <w:rPr>
          <w:rFonts w:hint="eastAsia" w:ascii="宋体" w:hAnsi="宋体" w:eastAsia="宋体" w:cs="宋体"/>
          <w:spacing w:val="1"/>
          <w:sz w:val="24"/>
          <w:szCs w:val="24"/>
          <w:highlight w:val="none"/>
        </w:rPr>
      </w:pPr>
    </w:p>
    <w:p w14:paraId="1AA57CBF">
      <w:pPr>
        <w:rPr>
          <w:rFonts w:hint="eastAsia" w:ascii="宋体" w:hAnsi="宋体" w:eastAsia="宋体" w:cs="宋体"/>
          <w:spacing w:val="1"/>
          <w:sz w:val="24"/>
          <w:szCs w:val="24"/>
          <w:highlight w:val="none"/>
        </w:rPr>
      </w:pPr>
    </w:p>
    <w:p w14:paraId="26A4D51B">
      <w:pPr>
        <w:rPr>
          <w:rFonts w:hint="eastAsia" w:ascii="宋体" w:hAnsi="宋体" w:eastAsia="宋体" w:cs="宋体"/>
          <w:spacing w:val="1"/>
          <w:sz w:val="24"/>
          <w:szCs w:val="24"/>
          <w:highlight w:val="none"/>
        </w:rPr>
      </w:pPr>
    </w:p>
    <w:p w14:paraId="77F1E432">
      <w:pPr>
        <w:rPr>
          <w:rFonts w:hint="eastAsia" w:ascii="宋体" w:hAnsi="宋体" w:eastAsia="宋体" w:cs="宋体"/>
          <w:spacing w:val="1"/>
          <w:sz w:val="24"/>
          <w:szCs w:val="24"/>
          <w:highlight w:val="none"/>
        </w:rPr>
      </w:pPr>
    </w:p>
    <w:p w14:paraId="6B888998">
      <w:pPr>
        <w:rPr>
          <w:rFonts w:hint="eastAsia" w:ascii="宋体" w:hAnsi="宋体" w:eastAsia="宋体" w:cs="宋体"/>
          <w:spacing w:val="1"/>
          <w:sz w:val="24"/>
          <w:szCs w:val="24"/>
          <w:highlight w:val="none"/>
        </w:rPr>
      </w:pPr>
    </w:p>
    <w:p w14:paraId="4CE48E1F">
      <w:pPr>
        <w:rPr>
          <w:rFonts w:hint="eastAsia" w:ascii="宋体" w:hAnsi="宋体" w:eastAsia="宋体" w:cs="宋体"/>
          <w:spacing w:val="1"/>
          <w:sz w:val="24"/>
          <w:szCs w:val="24"/>
          <w:highlight w:val="none"/>
        </w:rPr>
      </w:pPr>
    </w:p>
    <w:p w14:paraId="39F00410">
      <w:pPr>
        <w:rPr>
          <w:rFonts w:hint="eastAsia" w:ascii="宋体" w:hAnsi="宋体" w:eastAsia="宋体" w:cs="宋体"/>
          <w:spacing w:val="1"/>
          <w:sz w:val="24"/>
          <w:szCs w:val="24"/>
          <w:highlight w:val="none"/>
        </w:rPr>
      </w:pPr>
    </w:p>
    <w:p w14:paraId="0A59034B">
      <w:pPr>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油品相关产产品检测：</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12"/>
        <w:gridCol w:w="626"/>
        <w:gridCol w:w="1962"/>
        <w:gridCol w:w="4586"/>
      </w:tblGrid>
      <w:tr w14:paraId="49F2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14:paraId="0231E934">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12" w:type="dxa"/>
            <w:vAlign w:val="top"/>
          </w:tcPr>
          <w:p w14:paraId="51F935FF">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26" w:type="dxa"/>
            <w:vAlign w:val="top"/>
          </w:tcPr>
          <w:p w14:paraId="3BE96E57">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62" w:type="dxa"/>
            <w:vAlign w:val="top"/>
          </w:tcPr>
          <w:p w14:paraId="41F83265">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586" w:type="dxa"/>
            <w:vAlign w:val="top"/>
          </w:tcPr>
          <w:p w14:paraId="4A65E1CE">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3D73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6D6A841">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4F3DF8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车用汽油</w:t>
            </w:r>
          </w:p>
        </w:tc>
        <w:tc>
          <w:tcPr>
            <w:tcW w:w="626" w:type="dxa"/>
            <w:vAlign w:val="center"/>
          </w:tcPr>
          <w:p w14:paraId="0FB68D1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3E4EF57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17930-2016</w:t>
            </w:r>
          </w:p>
        </w:tc>
        <w:tc>
          <w:tcPr>
            <w:tcW w:w="4586" w:type="dxa"/>
            <w:vAlign w:val="center"/>
          </w:tcPr>
          <w:p w14:paraId="734B4B9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研究法辛烷值（RON）、铅含量、馏程、蒸气压、胶质含量、诱导期、硫含量、硫醇（博士试验）、铜片腐蚀（50℃，3h）、水溶性酸或碱、机械杂质及水分、苯含量、芳烃含量、烯烃含量、氧含量、甲醇含量、锰含量、铁含量、密度（20℃）</w:t>
            </w:r>
          </w:p>
        </w:tc>
      </w:tr>
      <w:tr w14:paraId="486E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FC79AE3">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11C7EFF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车用柴油</w:t>
            </w:r>
          </w:p>
        </w:tc>
        <w:tc>
          <w:tcPr>
            <w:tcW w:w="626" w:type="dxa"/>
            <w:vAlign w:val="center"/>
          </w:tcPr>
          <w:p w14:paraId="4BE058F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3861154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19147-2016</w:t>
            </w:r>
          </w:p>
        </w:tc>
        <w:tc>
          <w:tcPr>
            <w:tcW w:w="4586" w:type="dxa"/>
            <w:vAlign w:val="center"/>
          </w:tcPr>
          <w:p w14:paraId="1B99827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硫含量、酸度（以KOH计）、10%蒸余物残炭、灰分、铜片腐蚀（50℃，3h）、水含量、润滑性磨痕直径（60℃）、多环芳烃含量、总污染物含量、运动黏度（20℃）、凝点、冷滤点、闪点（闭口）、馏程、十六烷值、十六烷指数、密度（20℃）、脂肪酸甲酯含量</w:t>
            </w:r>
          </w:p>
        </w:tc>
      </w:tr>
      <w:tr w14:paraId="1E1E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A00691D">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5408D9D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发动机润滑油</w:t>
            </w:r>
          </w:p>
        </w:tc>
        <w:tc>
          <w:tcPr>
            <w:tcW w:w="626" w:type="dxa"/>
            <w:vAlign w:val="center"/>
          </w:tcPr>
          <w:p w14:paraId="5B47D27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72A5252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11121-2006</w:t>
            </w:r>
          </w:p>
          <w:p w14:paraId="7C6EE59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11122-2006</w:t>
            </w:r>
          </w:p>
          <w:p w14:paraId="31AD39E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519EFA1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低温动力黏度、边界泵送温度、低温泵送黏度、运动黏度（100℃）、高温高剪切黏度、黏度指数、倾点、水分、泡沫性、蒸发损失、机械杂质、闪点（开口）、磷</w:t>
            </w:r>
          </w:p>
        </w:tc>
      </w:tr>
      <w:tr w14:paraId="6079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04BC62E">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0963AF2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汽车风窗玻璃清洗液</w:t>
            </w:r>
          </w:p>
        </w:tc>
        <w:tc>
          <w:tcPr>
            <w:tcW w:w="626" w:type="dxa"/>
            <w:vAlign w:val="center"/>
          </w:tcPr>
          <w:p w14:paraId="6064845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3B317D9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23436-2009</w:t>
            </w:r>
          </w:p>
        </w:tc>
        <w:tc>
          <w:tcPr>
            <w:tcW w:w="4586" w:type="dxa"/>
            <w:vAlign w:val="center"/>
          </w:tcPr>
          <w:p w14:paraId="2C3FF90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冰点、pH值、最低使用浓度下的洗净力、相容性、对橡胶的影响、对塑料的影响、热稳定性</w:t>
            </w:r>
          </w:p>
        </w:tc>
      </w:tr>
      <w:tr w14:paraId="6D6F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49A700B">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1068C5D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车用汽油清净剂</w:t>
            </w:r>
          </w:p>
        </w:tc>
        <w:tc>
          <w:tcPr>
            <w:tcW w:w="626" w:type="dxa"/>
            <w:vAlign w:val="center"/>
          </w:tcPr>
          <w:p w14:paraId="71D5491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16FF772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19592-2019</w:t>
            </w:r>
          </w:p>
        </w:tc>
        <w:tc>
          <w:tcPr>
            <w:tcW w:w="4586" w:type="dxa"/>
            <w:vAlign w:val="center"/>
          </w:tcPr>
          <w:p w14:paraId="3A6653B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倾点、闪点（闭口）、硫含量、氯含量、防锈性/锈蚀程度、破乳性</w:t>
            </w:r>
          </w:p>
        </w:tc>
      </w:tr>
      <w:tr w14:paraId="1DA7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1E29F6B">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767F820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发动机冷却液</w:t>
            </w:r>
          </w:p>
        </w:tc>
        <w:tc>
          <w:tcPr>
            <w:tcW w:w="626" w:type="dxa"/>
            <w:vAlign w:val="center"/>
          </w:tcPr>
          <w:p w14:paraId="2DCF938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A2224D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29743.1-2022</w:t>
            </w:r>
          </w:p>
        </w:tc>
        <w:tc>
          <w:tcPr>
            <w:tcW w:w="4586" w:type="dxa"/>
            <w:vAlign w:val="center"/>
          </w:tcPr>
          <w:p w14:paraId="2677DB8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冰点、沸点、pH值、玻璃器皿腐蚀、泡沫倾向、硝酸盐含量、硝酸盐和钼酸盐含量</w:t>
            </w:r>
          </w:p>
        </w:tc>
      </w:tr>
      <w:tr w14:paraId="7237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23D4473">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295EBD3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机动车辆制动液</w:t>
            </w:r>
          </w:p>
        </w:tc>
        <w:tc>
          <w:tcPr>
            <w:tcW w:w="626" w:type="dxa"/>
            <w:vAlign w:val="center"/>
          </w:tcPr>
          <w:p w14:paraId="67479EF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60D911A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12981-2012</w:t>
            </w:r>
          </w:p>
        </w:tc>
        <w:tc>
          <w:tcPr>
            <w:tcW w:w="4586" w:type="dxa"/>
            <w:vAlign w:val="center"/>
          </w:tcPr>
          <w:p w14:paraId="30DADFE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运动黏度（-40℃、100℃）、平衡回流沸点（ERBP）、湿平衡回流沸点（WERBP）、pH值、蒸发性能</w:t>
            </w:r>
          </w:p>
        </w:tc>
      </w:tr>
      <w:tr w14:paraId="1BC5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8E87E74">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54C6B6C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与成品油性质相近的化工品</w:t>
            </w:r>
          </w:p>
        </w:tc>
        <w:tc>
          <w:tcPr>
            <w:tcW w:w="626" w:type="dxa"/>
            <w:vAlign w:val="center"/>
          </w:tcPr>
          <w:p w14:paraId="7D2819D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14E04E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11118.1-2011</w:t>
            </w:r>
          </w:p>
          <w:p w14:paraId="74040DE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13895-2018</w:t>
            </w:r>
          </w:p>
          <w:p w14:paraId="77F7F8E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NB/SH/T 0006-2017</w:t>
            </w:r>
          </w:p>
          <w:p w14:paraId="6EDECDD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23971-2009</w:t>
            </w:r>
          </w:p>
          <w:p w14:paraId="4340BDD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644A1F3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液压油GB 11118.1-2011：运动黏度、黏度指数、机械杂质、倾点、闪点（开口）、泡沫性、铜片腐蚀（100℃，3h）、液相锈蚀、空气释放值、抗乳化性</w:t>
            </w:r>
          </w:p>
          <w:p w14:paraId="58ADF63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齿轮油GB 13895-2018：运动黏度、黏度指数、倾点、闪点（开口）、泡沫性（泡沫倾向）、铜片腐蚀、机械杂质</w:t>
            </w:r>
          </w:p>
          <w:p w14:paraId="43FFBC1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工业白油（NB/SH/T 0006-2017）：运动黏度、闪点（开口）、倾点</w:t>
            </w:r>
          </w:p>
          <w:p w14:paraId="03F0A9C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颜色、硫含量、芳烃含量（质量分数）</w:t>
            </w:r>
          </w:p>
          <w:p w14:paraId="1C8EAB2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有机热载体（GB 23971-2009）：自燃点、闪点（闭口）、硫含量（质量分数）、氯含量、酸值、水分、残炭、运动黏度（40℃）</w:t>
            </w:r>
          </w:p>
        </w:tc>
      </w:tr>
      <w:tr w14:paraId="2A24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36" w:type="dxa"/>
            <w:vAlign w:val="center"/>
          </w:tcPr>
          <w:p w14:paraId="699D661F">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11D959A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车用尿素水溶液</w:t>
            </w:r>
          </w:p>
        </w:tc>
        <w:tc>
          <w:tcPr>
            <w:tcW w:w="626" w:type="dxa"/>
            <w:vAlign w:val="center"/>
          </w:tcPr>
          <w:p w14:paraId="001ADE3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6663EFA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29518-2013</w:t>
            </w:r>
          </w:p>
        </w:tc>
        <w:tc>
          <w:tcPr>
            <w:tcW w:w="4586" w:type="dxa"/>
            <w:vAlign w:val="center"/>
          </w:tcPr>
          <w:p w14:paraId="693751B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尿素含量、密度、折光率、碱度、缩二脲、醛类、磷酸盐、钙、铁、铜、锌、铬、镍、铝、镁、钠、钾</w:t>
            </w:r>
          </w:p>
        </w:tc>
      </w:tr>
    </w:tbl>
    <w:p w14:paraId="3BF91406">
      <w:pPr>
        <w:rPr>
          <w:rFonts w:hint="eastAsia" w:ascii="宋体" w:hAnsi="宋体" w:eastAsia="宋体" w:cs="宋体"/>
          <w:sz w:val="24"/>
          <w:highlight w:val="none"/>
        </w:rPr>
      </w:pPr>
    </w:p>
    <w:p w14:paraId="22CF6E65">
      <w:pPr>
        <w:rPr>
          <w:rFonts w:hint="eastAsia" w:ascii="宋体" w:hAnsi="宋体" w:eastAsia="宋体" w:cs="宋体"/>
          <w:sz w:val="24"/>
          <w:highlight w:val="none"/>
        </w:rPr>
      </w:pPr>
    </w:p>
    <w:p w14:paraId="28EBE3F5">
      <w:pPr>
        <w:rPr>
          <w:rFonts w:hint="eastAsia" w:ascii="宋体" w:hAnsi="宋体" w:eastAsia="宋体" w:cs="宋体"/>
          <w:sz w:val="24"/>
          <w:highlight w:val="none"/>
        </w:rPr>
      </w:pPr>
    </w:p>
    <w:p w14:paraId="4F8A49B1">
      <w:pPr>
        <w:rPr>
          <w:rFonts w:hint="eastAsia" w:ascii="宋体" w:hAnsi="宋体" w:eastAsia="宋体" w:cs="宋体"/>
          <w:sz w:val="24"/>
          <w:highlight w:val="none"/>
        </w:rPr>
      </w:pPr>
    </w:p>
    <w:p w14:paraId="7916A3DA">
      <w:pPr>
        <w:rPr>
          <w:rFonts w:hint="eastAsia" w:ascii="宋体" w:hAnsi="宋体" w:eastAsia="宋体" w:cs="宋体"/>
          <w:sz w:val="24"/>
          <w:highlight w:val="none"/>
        </w:rPr>
      </w:pPr>
    </w:p>
    <w:p w14:paraId="7FE06BAB">
      <w:pPr>
        <w:rPr>
          <w:rFonts w:hint="eastAsia" w:ascii="宋体" w:hAnsi="宋体" w:eastAsia="宋体" w:cs="宋体"/>
          <w:sz w:val="24"/>
          <w:highlight w:val="none"/>
        </w:rPr>
      </w:pPr>
    </w:p>
    <w:p w14:paraId="180B0BF4">
      <w:pPr>
        <w:rPr>
          <w:rFonts w:hint="eastAsia" w:ascii="宋体" w:hAnsi="宋体" w:eastAsia="宋体" w:cs="宋体"/>
          <w:sz w:val="24"/>
          <w:highlight w:val="none"/>
        </w:rPr>
      </w:pPr>
    </w:p>
    <w:p w14:paraId="05FCA15E">
      <w:pPr>
        <w:rPr>
          <w:rFonts w:hint="eastAsia" w:ascii="宋体" w:hAnsi="宋体" w:eastAsia="宋体" w:cs="宋体"/>
          <w:sz w:val="24"/>
          <w:highlight w:val="none"/>
        </w:rPr>
      </w:pPr>
    </w:p>
    <w:p w14:paraId="228C21F6">
      <w:pPr>
        <w:rPr>
          <w:rFonts w:hint="eastAsia" w:ascii="宋体" w:hAnsi="宋体" w:eastAsia="宋体" w:cs="宋体"/>
          <w:sz w:val="24"/>
          <w:highlight w:val="none"/>
        </w:rPr>
      </w:pPr>
    </w:p>
    <w:p w14:paraId="4FBF443B">
      <w:pPr>
        <w:rPr>
          <w:rFonts w:hint="eastAsia" w:ascii="宋体" w:hAnsi="宋体" w:eastAsia="宋体" w:cs="宋体"/>
          <w:sz w:val="24"/>
          <w:highlight w:val="none"/>
        </w:rPr>
      </w:pPr>
    </w:p>
    <w:p w14:paraId="71EC4937">
      <w:pPr>
        <w:rPr>
          <w:rFonts w:hint="eastAsia" w:ascii="宋体" w:hAnsi="宋体" w:eastAsia="宋体" w:cs="宋体"/>
          <w:sz w:val="24"/>
          <w:highlight w:val="none"/>
        </w:rPr>
      </w:pPr>
    </w:p>
    <w:p w14:paraId="4625FFBA">
      <w:pPr>
        <w:rPr>
          <w:rFonts w:hint="eastAsia" w:ascii="宋体" w:hAnsi="宋体" w:eastAsia="宋体" w:cs="宋体"/>
          <w:sz w:val="24"/>
          <w:highlight w:val="none"/>
        </w:rPr>
      </w:pPr>
    </w:p>
    <w:p w14:paraId="7325DA87">
      <w:pPr>
        <w:rPr>
          <w:rFonts w:hint="eastAsia" w:ascii="宋体" w:hAnsi="宋体" w:eastAsia="宋体" w:cs="宋体"/>
          <w:sz w:val="24"/>
          <w:highlight w:val="none"/>
        </w:rPr>
      </w:pPr>
    </w:p>
    <w:p w14:paraId="4DBA6DA2">
      <w:pPr>
        <w:rPr>
          <w:rFonts w:hint="eastAsia" w:ascii="宋体" w:hAnsi="宋体" w:eastAsia="宋体" w:cs="宋体"/>
          <w:sz w:val="24"/>
          <w:highlight w:val="none"/>
        </w:rPr>
      </w:pPr>
    </w:p>
    <w:p w14:paraId="55354B18">
      <w:pPr>
        <w:rPr>
          <w:rFonts w:hint="eastAsia" w:ascii="宋体" w:hAnsi="宋体" w:eastAsia="宋体" w:cs="宋体"/>
          <w:sz w:val="24"/>
          <w:highlight w:val="none"/>
        </w:rPr>
      </w:pPr>
    </w:p>
    <w:p w14:paraId="0D04927E">
      <w:pPr>
        <w:rPr>
          <w:rFonts w:hint="eastAsia" w:ascii="宋体" w:hAnsi="宋体" w:eastAsia="宋体" w:cs="宋体"/>
          <w:sz w:val="24"/>
          <w:highlight w:val="none"/>
        </w:rPr>
      </w:pPr>
    </w:p>
    <w:p w14:paraId="18EE59E1">
      <w:pPr>
        <w:rPr>
          <w:rFonts w:hint="eastAsia" w:ascii="宋体" w:hAnsi="宋体" w:eastAsia="宋体" w:cs="宋体"/>
          <w:sz w:val="24"/>
          <w:highlight w:val="none"/>
        </w:rPr>
      </w:pPr>
    </w:p>
    <w:p w14:paraId="0C32D44E">
      <w:pPr>
        <w:rPr>
          <w:rFonts w:hint="eastAsia" w:ascii="宋体" w:hAnsi="宋体" w:eastAsia="宋体" w:cs="宋体"/>
          <w:sz w:val="24"/>
          <w:highlight w:val="none"/>
        </w:rPr>
      </w:pPr>
    </w:p>
    <w:p w14:paraId="691A301A">
      <w:pPr>
        <w:rPr>
          <w:rFonts w:hint="eastAsia" w:ascii="宋体" w:hAnsi="宋体" w:eastAsia="宋体" w:cs="宋体"/>
          <w:sz w:val="24"/>
          <w:highlight w:val="none"/>
        </w:rPr>
      </w:pPr>
    </w:p>
    <w:p w14:paraId="56E76A41">
      <w:pPr>
        <w:rPr>
          <w:rFonts w:hint="eastAsia" w:ascii="宋体" w:hAnsi="宋体" w:eastAsia="宋体" w:cs="宋体"/>
          <w:sz w:val="24"/>
          <w:highlight w:val="none"/>
        </w:rPr>
      </w:pPr>
    </w:p>
    <w:p w14:paraId="20348CEA">
      <w:pPr>
        <w:rPr>
          <w:rFonts w:hint="eastAsia" w:ascii="宋体" w:hAnsi="宋体" w:eastAsia="宋体" w:cs="宋体"/>
          <w:sz w:val="24"/>
          <w:highlight w:val="none"/>
        </w:rPr>
      </w:pPr>
    </w:p>
    <w:p w14:paraId="6ED9A0D1">
      <w:pPr>
        <w:rPr>
          <w:rFonts w:hint="eastAsia" w:ascii="宋体" w:hAnsi="宋体" w:eastAsia="宋体" w:cs="宋体"/>
          <w:sz w:val="24"/>
          <w:highlight w:val="none"/>
        </w:rPr>
      </w:pPr>
    </w:p>
    <w:p w14:paraId="59DE29D7">
      <w:pPr>
        <w:rPr>
          <w:rFonts w:hint="eastAsia" w:ascii="宋体" w:hAnsi="宋体" w:eastAsia="宋体" w:cs="宋体"/>
          <w:sz w:val="24"/>
          <w:highlight w:val="none"/>
        </w:rPr>
      </w:pPr>
    </w:p>
    <w:p w14:paraId="3128C8F4">
      <w:pPr>
        <w:rPr>
          <w:rFonts w:hint="eastAsia" w:ascii="宋体" w:hAnsi="宋体" w:eastAsia="宋体" w:cs="宋体"/>
          <w:sz w:val="24"/>
          <w:highlight w:val="none"/>
        </w:rPr>
      </w:pPr>
    </w:p>
    <w:p w14:paraId="7752CFF5">
      <w:pPr>
        <w:rPr>
          <w:rFonts w:hint="eastAsia" w:ascii="宋体" w:hAnsi="宋体" w:eastAsia="宋体" w:cs="宋体"/>
          <w:sz w:val="24"/>
          <w:highlight w:val="none"/>
        </w:rPr>
      </w:pPr>
    </w:p>
    <w:p w14:paraId="5643ECC3">
      <w:pPr>
        <w:rPr>
          <w:rFonts w:hint="eastAsia" w:ascii="宋体" w:hAnsi="宋体" w:eastAsia="宋体" w:cs="宋体"/>
          <w:sz w:val="24"/>
          <w:highlight w:val="none"/>
        </w:rPr>
      </w:pPr>
    </w:p>
    <w:p w14:paraId="2EC950A0">
      <w:pPr>
        <w:rPr>
          <w:rFonts w:hint="eastAsia" w:ascii="宋体" w:hAnsi="宋体" w:eastAsia="宋体" w:cs="宋体"/>
          <w:sz w:val="24"/>
          <w:highlight w:val="none"/>
        </w:rPr>
      </w:pPr>
    </w:p>
    <w:p w14:paraId="05E029A9">
      <w:pPr>
        <w:rPr>
          <w:rFonts w:hint="eastAsia" w:ascii="宋体" w:hAnsi="宋体" w:eastAsia="宋体" w:cs="宋体"/>
          <w:sz w:val="24"/>
          <w:highlight w:val="none"/>
        </w:rPr>
      </w:pPr>
    </w:p>
    <w:p w14:paraId="3AB293FB">
      <w:pPr>
        <w:rPr>
          <w:rFonts w:hint="eastAsia" w:ascii="宋体" w:hAnsi="宋体" w:eastAsia="宋体" w:cs="宋体"/>
          <w:sz w:val="24"/>
          <w:highlight w:val="none"/>
        </w:rPr>
      </w:pPr>
    </w:p>
    <w:p w14:paraId="4C86862A">
      <w:pPr>
        <w:rPr>
          <w:rFonts w:hint="eastAsia" w:ascii="宋体" w:hAnsi="宋体" w:eastAsia="宋体" w:cs="宋体"/>
          <w:sz w:val="24"/>
          <w:highlight w:val="none"/>
        </w:rPr>
      </w:pPr>
    </w:p>
    <w:p w14:paraId="52A80A07">
      <w:pPr>
        <w:rPr>
          <w:rFonts w:hint="eastAsia" w:ascii="宋体" w:hAnsi="宋体" w:eastAsia="宋体" w:cs="宋体"/>
          <w:sz w:val="24"/>
          <w:highlight w:val="none"/>
        </w:rPr>
      </w:pPr>
    </w:p>
    <w:p w14:paraId="378B1358">
      <w:pPr>
        <w:rPr>
          <w:rFonts w:hint="eastAsia" w:ascii="宋体" w:hAnsi="宋体" w:eastAsia="宋体" w:cs="宋体"/>
          <w:sz w:val="24"/>
          <w:highlight w:val="none"/>
        </w:rPr>
      </w:pPr>
    </w:p>
    <w:p w14:paraId="687ADB9F">
      <w:pPr>
        <w:rPr>
          <w:rFonts w:hint="eastAsia" w:ascii="宋体" w:hAnsi="宋体" w:eastAsia="宋体" w:cs="宋体"/>
          <w:sz w:val="24"/>
          <w:highlight w:val="none"/>
        </w:rPr>
      </w:pPr>
      <w:r>
        <w:rPr>
          <w:rFonts w:hint="eastAsia" w:ascii="宋体" w:hAnsi="宋体" w:eastAsia="宋体" w:cs="宋体"/>
          <w:sz w:val="24"/>
          <w:highlight w:val="none"/>
        </w:rPr>
        <w:t>电动车相关产品及燃气具相关产品</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12"/>
        <w:gridCol w:w="626"/>
        <w:gridCol w:w="1962"/>
        <w:gridCol w:w="4586"/>
      </w:tblGrid>
      <w:tr w14:paraId="63CD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125A025">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9813A6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26" w:type="dxa"/>
            <w:vAlign w:val="top"/>
          </w:tcPr>
          <w:p w14:paraId="662D5796">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62" w:type="dxa"/>
            <w:vAlign w:val="top"/>
          </w:tcPr>
          <w:p w14:paraId="24A3F8B4">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586" w:type="dxa"/>
            <w:vAlign w:val="top"/>
          </w:tcPr>
          <w:p w14:paraId="04A39E8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6C6F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36" w:type="dxa"/>
            <w:vAlign w:val="center"/>
          </w:tcPr>
          <w:p w14:paraId="57182BC1">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07EB35B6">
            <w:pPr>
              <w:spacing w:before="0" w:beforeAutospacing="0" w:after="0" w:afterAutospacing="0" w:line="242" w:lineRule="auto"/>
              <w:ind w:left="0" w:right="0"/>
              <w:rPr>
                <w:rFonts w:hint="eastAsia" w:ascii="宋体" w:hAnsi="宋体" w:eastAsia="宋体" w:cs="宋体"/>
                <w:color w:val="000000"/>
                <w:sz w:val="24"/>
                <w:highlight w:val="none"/>
              </w:rPr>
            </w:pPr>
          </w:p>
          <w:p w14:paraId="6FAB34A1">
            <w:pPr>
              <w:spacing w:before="0" w:beforeAutospacing="0" w:after="0" w:afterAutospacing="0" w:line="242"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家用</w:t>
            </w:r>
            <w:r>
              <w:rPr>
                <w:rFonts w:hint="eastAsia" w:ascii="宋体" w:hAnsi="宋体" w:eastAsia="宋体" w:cs="宋体"/>
                <w:sz w:val="24"/>
                <w:szCs w:val="24"/>
                <w:highlight w:val="none"/>
              </w:rPr>
              <w:t>燃气灶</w:t>
            </w:r>
          </w:p>
        </w:tc>
        <w:tc>
          <w:tcPr>
            <w:tcW w:w="626" w:type="dxa"/>
            <w:vAlign w:val="center"/>
          </w:tcPr>
          <w:p w14:paraId="34B76418">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2357276">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16410—2020</w:t>
            </w:r>
          </w:p>
          <w:p w14:paraId="5146C636">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30720—2014  </w:t>
            </w:r>
          </w:p>
        </w:tc>
        <w:tc>
          <w:tcPr>
            <w:tcW w:w="4586" w:type="dxa"/>
            <w:vAlign w:val="center"/>
          </w:tcPr>
          <w:p w14:paraId="4DBED7F5">
            <w:pPr>
              <w:spacing w:before="0" w:beforeAutospacing="0" w:after="0" w:afterAutospacing="0"/>
              <w:ind w:left="0" w:right="0"/>
              <w:jc w:val="center"/>
              <w:rPr>
                <w:rFonts w:hint="eastAsia" w:ascii="宋体" w:hAnsi="宋体" w:eastAsia="宋体" w:cs="宋体"/>
                <w:sz w:val="24"/>
                <w:szCs w:val="24"/>
                <w:highlight w:val="none"/>
              </w:rPr>
            </w:pPr>
          </w:p>
          <w:p w14:paraId="334C77DF">
            <w:pPr>
              <w:spacing w:before="0" w:beforeAutospacing="0" w:after="0" w:afterAutospacing="0"/>
              <w:ind w:left="0" w:right="0"/>
              <w:jc w:val="center"/>
              <w:rPr>
                <w:rFonts w:hint="eastAsia" w:ascii="宋体" w:hAnsi="宋体" w:eastAsia="宋体" w:cs="宋体"/>
                <w:sz w:val="24"/>
                <w:szCs w:val="24"/>
                <w:highlight w:val="none"/>
              </w:rPr>
            </w:pPr>
          </w:p>
          <w:p w14:paraId="015091A7">
            <w:pP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气密性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热负荷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燃烧工况（离焰、熄火、回火、燃烧噪声、</w:t>
            </w:r>
          </w:p>
          <w:p w14:paraId="79EB486A">
            <w:pPr>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熄火噪声、干烟气中CO浓度（室内型））、温升、熄火保护装置、</w:t>
            </w:r>
            <w:r>
              <w:rPr>
                <w:rFonts w:hint="eastAsia" w:ascii="宋体" w:hAnsi="宋体" w:eastAsia="宋体" w:cs="宋体"/>
                <w:sz w:val="24"/>
                <w:szCs w:val="24"/>
                <w:highlight w:val="none"/>
              </w:rPr>
              <w:t>结构的一般要求</w:t>
            </w:r>
            <w:r>
              <w:rPr>
                <w:rFonts w:hint="eastAsia" w:ascii="宋体" w:hAnsi="宋体" w:eastAsia="宋体" w:cs="宋体"/>
                <w:sz w:val="24"/>
                <w:szCs w:val="24"/>
                <w:highlight w:val="none"/>
                <w:lang w:eastAsia="zh-CN"/>
              </w:rPr>
              <w:t>（燃气导管、</w:t>
            </w:r>
          </w:p>
          <w:p w14:paraId="6D86EEE3">
            <w:pPr>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燃烧器的熄火保护装置）、热效率、耐热冲击、</w:t>
            </w:r>
          </w:p>
          <w:p w14:paraId="01934134">
            <w:pP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耐重力冲击</w:t>
            </w:r>
          </w:p>
        </w:tc>
      </w:tr>
      <w:tr w14:paraId="59F3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1F4B3F8">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12" w:type="dxa"/>
            <w:vAlign w:val="center"/>
          </w:tcPr>
          <w:p w14:paraId="0D63BCD8">
            <w:pPr>
              <w:spacing w:before="0" w:beforeAutospacing="0" w:after="0" w:afterAutospacing="0" w:line="242" w:lineRule="auto"/>
              <w:ind w:left="0" w:right="0"/>
              <w:jc w:val="center"/>
              <w:rPr>
                <w:rFonts w:hint="eastAsia" w:ascii="宋体" w:hAnsi="宋体" w:eastAsia="宋体" w:cs="宋体"/>
                <w:color w:val="000000"/>
                <w:sz w:val="24"/>
                <w:highlight w:val="none"/>
              </w:rPr>
            </w:pPr>
            <w:r>
              <w:rPr>
                <w:rFonts w:hint="eastAsia" w:ascii="宋体" w:hAnsi="宋体" w:eastAsia="宋体" w:cs="宋体"/>
                <w:sz w:val="24"/>
                <w:szCs w:val="24"/>
                <w:highlight w:val="none"/>
              </w:rPr>
              <w:t>瓶装液化石油气调压器</w:t>
            </w:r>
          </w:p>
        </w:tc>
        <w:tc>
          <w:tcPr>
            <w:tcW w:w="626" w:type="dxa"/>
            <w:vAlign w:val="center"/>
          </w:tcPr>
          <w:p w14:paraId="5DBC6EA4">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07841682">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35844—2018 </w:t>
            </w:r>
          </w:p>
        </w:tc>
        <w:tc>
          <w:tcPr>
            <w:tcW w:w="4586" w:type="dxa"/>
            <w:vAlign w:val="center"/>
          </w:tcPr>
          <w:p w14:paraId="2FEDB4A9">
            <w:pPr>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结构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一般要求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压器的接头组件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压力或流量安全装置</w:t>
            </w:r>
            <w:r>
              <w:rPr>
                <w:rFonts w:hint="eastAsia" w:ascii="宋体" w:hAnsi="宋体" w:eastAsia="宋体" w:cs="宋体"/>
                <w:sz w:val="24"/>
                <w:szCs w:val="24"/>
                <w:highlight w:val="none"/>
                <w:lang w:eastAsia="zh-CN"/>
              </w:rPr>
              <w:t>）、气密性、调压静特性、耐冲击性</w:t>
            </w:r>
          </w:p>
          <w:p w14:paraId="6661CB0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连接接头机械强度、材料</w:t>
            </w:r>
          </w:p>
        </w:tc>
      </w:tr>
      <w:tr w14:paraId="783C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9696A3B">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12" w:type="dxa"/>
            <w:vAlign w:val="center"/>
          </w:tcPr>
          <w:p w14:paraId="6A5E4A85">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燃气用具连接用软管</w:t>
            </w:r>
          </w:p>
        </w:tc>
        <w:tc>
          <w:tcPr>
            <w:tcW w:w="626" w:type="dxa"/>
            <w:vAlign w:val="center"/>
          </w:tcPr>
          <w:p w14:paraId="3BBCD9DA">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0BC31AAD">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41317—2024 </w:t>
            </w:r>
          </w:p>
          <w:p w14:paraId="386FF7A6">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44017—2024 </w:t>
            </w:r>
          </w:p>
          <w:p w14:paraId="49E331E3">
            <w:pPr>
              <w:spacing w:before="55" w:beforeAutospacing="0" w:after="0" w:afterAutospacing="0" w:line="256" w:lineRule="auto"/>
              <w:ind w:left="0" w:right="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CJ/T 197—2010</w:t>
            </w:r>
          </w:p>
        </w:tc>
        <w:tc>
          <w:tcPr>
            <w:tcW w:w="4586" w:type="dxa"/>
            <w:vAlign w:val="center"/>
          </w:tcPr>
          <w:p w14:paraId="3F6397BC">
            <w:pP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燃气用具连接用不锈钢波纹软管</w:t>
            </w:r>
            <w:r>
              <w:rPr>
                <w:rFonts w:hint="eastAsia" w:ascii="宋体" w:hAnsi="宋体" w:eastAsia="宋体" w:cs="宋体"/>
                <w:sz w:val="24"/>
                <w:szCs w:val="24"/>
                <w:highlight w:val="none"/>
                <w:lang w:val="en-US" w:eastAsia="zh-CN"/>
              </w:rPr>
              <w:t>:气密性、耐压性</w:t>
            </w:r>
          </w:p>
          <w:p w14:paraId="1116B82D">
            <w:pP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弯曲性、耐安装强度、耐安装性</w:t>
            </w:r>
          </w:p>
          <w:p w14:paraId="351A6612">
            <w:pP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燃气用具连接用金属包覆软管</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气密性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内层胶管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拉伸强度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拉断伸长率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耐压性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耐安装强度</w:t>
            </w:r>
          </w:p>
        </w:tc>
      </w:tr>
      <w:tr w14:paraId="585F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33BD972">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712" w:type="dxa"/>
            <w:vAlign w:val="center"/>
          </w:tcPr>
          <w:p w14:paraId="2A19EC70">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电动自行车用蓄电池</w:t>
            </w:r>
          </w:p>
        </w:tc>
        <w:tc>
          <w:tcPr>
            <w:tcW w:w="626" w:type="dxa"/>
            <w:vAlign w:val="center"/>
          </w:tcPr>
          <w:p w14:paraId="44E030C8">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75AB5165">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2199.1-2017</w:t>
            </w:r>
          </w:p>
        </w:tc>
        <w:tc>
          <w:tcPr>
            <w:tcW w:w="4586" w:type="dxa"/>
            <w:vAlign w:val="center"/>
          </w:tcPr>
          <w:p w14:paraId="13FA7B14">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2hr容量、大电流放电、能量密度、耐振动能力、快速充电能力、防爆能力</w:t>
            </w:r>
          </w:p>
        </w:tc>
      </w:tr>
      <w:tr w14:paraId="4FDE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61C1C5E">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712" w:type="dxa"/>
            <w:vAlign w:val="center"/>
          </w:tcPr>
          <w:p w14:paraId="31600BFB">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电动自行车头盔</w:t>
            </w:r>
          </w:p>
        </w:tc>
        <w:tc>
          <w:tcPr>
            <w:tcW w:w="626" w:type="dxa"/>
            <w:vAlign w:val="center"/>
          </w:tcPr>
          <w:p w14:paraId="0D248E58">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6AB5D446">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811-2022</w:t>
            </w:r>
          </w:p>
        </w:tc>
        <w:tc>
          <w:tcPr>
            <w:tcW w:w="4586" w:type="dxa"/>
            <w:vAlign w:val="center"/>
          </w:tcPr>
          <w:p w14:paraId="48C61C40">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结构（结构组成、壳体反光材料总面积、佩戴装置）、保护区及试验区、质量、视野、护目镜（可见光透过率、耐磨性）、固定装置稳定性、吸收碰撞能量（低温）</w:t>
            </w:r>
          </w:p>
        </w:tc>
      </w:tr>
      <w:tr w14:paraId="4FCF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4C1AA12">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712" w:type="dxa"/>
            <w:vAlign w:val="center"/>
          </w:tcPr>
          <w:p w14:paraId="26DAB564">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安全帽</w:t>
            </w:r>
          </w:p>
        </w:tc>
        <w:tc>
          <w:tcPr>
            <w:tcW w:w="626" w:type="dxa"/>
            <w:vAlign w:val="center"/>
          </w:tcPr>
          <w:p w14:paraId="0408954C">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7199AB36">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2811-2019</w:t>
            </w:r>
          </w:p>
        </w:tc>
        <w:tc>
          <w:tcPr>
            <w:tcW w:w="4586" w:type="dxa"/>
            <w:vAlign w:val="center"/>
          </w:tcPr>
          <w:p w14:paraId="1C82ED1F">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佩戴高度、垂直间距、下颏带强度、冲击吸收性能（低温）、耐穿刺性能（低温）</w:t>
            </w:r>
          </w:p>
        </w:tc>
      </w:tr>
      <w:tr w14:paraId="3000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26CABEC">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712" w:type="dxa"/>
            <w:vAlign w:val="center"/>
          </w:tcPr>
          <w:p w14:paraId="5D3AC423">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rPr>
              <w:t>电动自行车</w:t>
            </w:r>
          </w:p>
        </w:tc>
        <w:tc>
          <w:tcPr>
            <w:tcW w:w="626" w:type="dxa"/>
            <w:vAlign w:val="center"/>
          </w:tcPr>
          <w:p w14:paraId="3EE46298">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rPr>
              <w:t>监督抽查</w:t>
            </w:r>
          </w:p>
        </w:tc>
        <w:tc>
          <w:tcPr>
            <w:tcW w:w="1962" w:type="dxa"/>
            <w:vAlign w:val="center"/>
          </w:tcPr>
          <w:p w14:paraId="7F1CA68F">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17761—2018</w:t>
            </w:r>
          </w:p>
          <w:p w14:paraId="20D9733A">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17761—2024</w:t>
            </w:r>
          </w:p>
          <w:p w14:paraId="6503A340">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42295—2022及第1号修改单</w:t>
            </w:r>
          </w:p>
          <w:p w14:paraId="2468265D">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rPr>
              <w:t>GB 42296—2022及第1号修改单</w:t>
            </w:r>
          </w:p>
        </w:tc>
        <w:tc>
          <w:tcPr>
            <w:tcW w:w="4586" w:type="dxa"/>
            <w:vAlign w:val="center"/>
          </w:tcPr>
          <w:p w14:paraId="261A1743">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17761—2018：车速限值、制动性能(干态)、整车质量、结构、车速提示音、电气装置、蓄电池防篡改、淋水涉水性能、反射器（仅做后反）、照明（仅做后灯）和鸣号装置</w:t>
            </w:r>
          </w:p>
          <w:p w14:paraId="4D2C2BB3">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17761—2024：车速限值（电驱动）、制动性能(干态)、整车质量、结构、车速提示音、电气装置、蓄电池防篡改、淋水涉水性能、反射器（仅做后反）、照明（仅做后灯）和鸣号装置</w:t>
            </w:r>
          </w:p>
          <w:p w14:paraId="4320970C">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42295—2022及第1号修改单：标识与警示语、互认协同充电、布线</w:t>
            </w:r>
          </w:p>
          <w:p w14:paraId="47B81151">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42296—2022及第1号修改单：输出接口安全性</w:t>
            </w:r>
          </w:p>
          <w:p w14:paraId="6E9B82A2">
            <w:pPr>
              <w:spacing w:before="55" w:beforeAutospacing="0" w:after="0" w:afterAutospacing="0" w:line="256" w:lineRule="auto"/>
              <w:ind w:left="0" w:right="100"/>
              <w:jc w:val="left"/>
              <w:rPr>
                <w:rFonts w:hint="eastAsia" w:ascii="宋体" w:hAnsi="宋体" w:eastAsia="宋体" w:cs="宋体"/>
                <w:sz w:val="24"/>
                <w:szCs w:val="24"/>
              </w:rPr>
            </w:pPr>
          </w:p>
          <w:p w14:paraId="1084473B">
            <w:pPr>
              <w:spacing w:before="0" w:beforeAutospacing="0" w:after="0" w:afterAutospacing="0"/>
              <w:ind w:left="0" w:right="0"/>
              <w:jc w:val="center"/>
              <w:rPr>
                <w:rFonts w:hint="eastAsia" w:ascii="宋体" w:hAnsi="宋体" w:eastAsia="宋体" w:cs="宋体"/>
                <w:sz w:val="24"/>
                <w:szCs w:val="24"/>
                <w:highlight w:val="none"/>
              </w:rPr>
            </w:pPr>
          </w:p>
        </w:tc>
      </w:tr>
    </w:tbl>
    <w:p w14:paraId="402320D2">
      <w:pPr>
        <w:rPr>
          <w:rFonts w:hint="eastAsia" w:ascii="宋体" w:hAnsi="宋体" w:eastAsia="宋体" w:cs="宋体"/>
          <w:sz w:val="24"/>
          <w:highlight w:val="none"/>
        </w:rPr>
        <w:sectPr>
          <w:pgSz w:w="11906" w:h="16838"/>
          <w:pgMar w:top="1440" w:right="1800" w:bottom="1440" w:left="1800" w:header="851" w:footer="992" w:gutter="0"/>
          <w:cols w:space="720" w:num="1"/>
          <w:docGrid w:type="lines" w:linePitch="312" w:charSpace="0"/>
        </w:sectPr>
      </w:pPr>
    </w:p>
    <w:p w14:paraId="71C953E0">
      <w:pPr>
        <w:rPr>
          <w:rFonts w:hint="eastAsia" w:ascii="宋体" w:hAnsi="宋体" w:eastAsia="宋体" w:cs="宋体"/>
          <w:spacing w:val="9"/>
          <w:sz w:val="24"/>
          <w:szCs w:val="24"/>
          <w:highlight w:val="none"/>
        </w:rPr>
      </w:pPr>
      <w:r>
        <w:rPr>
          <w:rFonts w:hint="eastAsia" w:ascii="宋体" w:hAnsi="宋体" w:eastAsia="宋体" w:cs="宋体"/>
          <w:spacing w:val="12"/>
          <w:sz w:val="24"/>
          <w:szCs w:val="24"/>
          <w:highlight w:val="none"/>
        </w:rPr>
        <w:t>建</w:t>
      </w:r>
      <w:r>
        <w:rPr>
          <w:rFonts w:hint="eastAsia" w:ascii="宋体" w:hAnsi="宋体" w:eastAsia="宋体" w:cs="宋体"/>
          <w:spacing w:val="9"/>
          <w:sz w:val="24"/>
          <w:szCs w:val="24"/>
          <w:highlight w:val="none"/>
        </w:rPr>
        <w:t>材、装修装饰产品及工具检测：</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936"/>
        <w:gridCol w:w="768"/>
        <w:gridCol w:w="2136"/>
        <w:gridCol w:w="3895"/>
      </w:tblGrid>
      <w:tr w14:paraId="4589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vAlign w:val="top"/>
          </w:tcPr>
          <w:p w14:paraId="7F59DF7E">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936" w:type="dxa"/>
            <w:vAlign w:val="top"/>
          </w:tcPr>
          <w:p w14:paraId="2FA7BBEE">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768" w:type="dxa"/>
            <w:vAlign w:val="top"/>
          </w:tcPr>
          <w:p w14:paraId="58931E1A">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2136" w:type="dxa"/>
            <w:vAlign w:val="top"/>
          </w:tcPr>
          <w:p w14:paraId="52EC75EB">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3895" w:type="dxa"/>
            <w:vAlign w:val="top"/>
          </w:tcPr>
          <w:p w14:paraId="42B67AD2">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2D9E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D14236D">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FD2A2F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壁纸(布)</w:t>
            </w:r>
          </w:p>
        </w:tc>
        <w:tc>
          <w:tcPr>
            <w:tcW w:w="768" w:type="dxa"/>
            <w:vAlign w:val="center"/>
          </w:tcPr>
          <w:p w14:paraId="0AF0AC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B0E3E4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4034-2010</w:t>
            </w:r>
          </w:p>
          <w:p w14:paraId="5348388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JG/T509-2016</w:t>
            </w:r>
          </w:p>
          <w:p w14:paraId="0176D8B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JG/T510-2016</w:t>
            </w:r>
          </w:p>
          <w:p w14:paraId="0910787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GB18585-2001</w:t>
            </w:r>
          </w:p>
          <w:p w14:paraId="1C5E114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HJ2502-2010</w:t>
            </w:r>
          </w:p>
        </w:tc>
        <w:tc>
          <w:tcPr>
            <w:tcW w:w="3895" w:type="dxa"/>
            <w:vAlign w:val="center"/>
          </w:tcPr>
          <w:p w14:paraId="61321DC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标志、重金属、氯乙烯单体、甲醛、褪色性、耐摩擦色牢度、遮蔽性、湿润拉伸负荷、吸水性、伸缩性、粘合剂可拭性</w:t>
            </w:r>
          </w:p>
          <w:p w14:paraId="7D93B96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横向、可洗性、挥发物、面层与基底剥离强度 (基底为热胶除外)、水浸尺寸稳定性</w:t>
            </w:r>
          </w:p>
        </w:tc>
      </w:tr>
      <w:tr w14:paraId="6E4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3CC5190">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2EC419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标准紧固件</w:t>
            </w:r>
          </w:p>
        </w:tc>
        <w:tc>
          <w:tcPr>
            <w:tcW w:w="768" w:type="dxa"/>
            <w:vAlign w:val="center"/>
          </w:tcPr>
          <w:p w14:paraId="4DBE40A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665F96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94.1-2008</w:t>
            </w:r>
          </w:p>
          <w:p w14:paraId="72FA21F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95-2002</w:t>
            </w:r>
          </w:p>
          <w:p w14:paraId="622222E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GB/T1230-2006</w:t>
            </w:r>
          </w:p>
          <w:p w14:paraId="4A9FC47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3098.1-2010</w:t>
            </w:r>
          </w:p>
          <w:p w14:paraId="6346E6B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3098.2-2015</w:t>
            </w:r>
          </w:p>
          <w:p w14:paraId="422991B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3098.5-2014</w:t>
            </w:r>
          </w:p>
          <w:p w14:paraId="2EB2743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3098.6-2014</w:t>
            </w:r>
          </w:p>
        </w:tc>
        <w:tc>
          <w:tcPr>
            <w:tcW w:w="3895" w:type="dxa"/>
            <w:vAlign w:val="center"/>
          </w:tcPr>
          <w:p w14:paraId="4F48BA5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94.1-2008：表面缺陷；内径 d；宽度 b 或外径 b；厚度 S；自由高度 H；工作时的开口距离 m；弹性；扭转。</w:t>
            </w:r>
          </w:p>
          <w:p w14:paraId="7E5A5F3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95-2002、GB/T1230-2006：表面缺陷；内径；外径；厚度；硬度</w:t>
            </w:r>
          </w:p>
          <w:p w14:paraId="15B694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3098.1-2010：表面缺陷；螺纹止通性能；对边宽度；对角宽度；公称长度；无螺纹杆径；头部高度；抗拉强度；公称保证应力；硬度</w:t>
            </w:r>
          </w:p>
          <w:p w14:paraId="1F3B8B7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3098.2-2015：表面缺陷；螺纹止通性能；对边宽度；对角宽度；螺母高度；硬度</w:t>
            </w:r>
          </w:p>
          <w:p w14:paraId="2F2CBC8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3098.5-2014：对边宽度；对角宽度；公称长度；无螺纹杆径；螺纹长度；头部高度；拧入性能；破坏扭矩</w:t>
            </w:r>
          </w:p>
          <w:p w14:paraId="690DA01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3098.6-2014：螺纹止通性能；对边宽度；对角宽度；公称长度；无螺纹杆径；头部高度；抗拉强度</w:t>
            </w:r>
          </w:p>
        </w:tc>
      </w:tr>
      <w:tr w14:paraId="1C49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D8D5CF2">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A1F398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插头插座</w:t>
            </w:r>
          </w:p>
        </w:tc>
        <w:tc>
          <w:tcPr>
            <w:tcW w:w="768" w:type="dxa"/>
            <w:vAlign w:val="center"/>
          </w:tcPr>
          <w:p w14:paraId="723C411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7C0648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GB/T2099.1-2008</w:t>
            </w:r>
          </w:p>
          <w:p w14:paraId="1C0223A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GB/T1002-2008</w:t>
            </w:r>
          </w:p>
          <w:p w14:paraId="41CCE0F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产品明示质量指标及国家法律、法规、规章的有关规定</w:t>
            </w:r>
          </w:p>
        </w:tc>
        <w:tc>
          <w:tcPr>
            <w:tcW w:w="3895" w:type="dxa"/>
            <w:vAlign w:val="center"/>
          </w:tcPr>
          <w:p w14:paraId="2DB0521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2099.1-2008：插座：标志、尺寸检查、防触电保护、接地措施、端子和端头、固定式插座的结构、耐老化、由外壳提供的防护和防潮、绝缘电阻和电气强度、温升、分断容量、正常操作、拔出插头所需的力、机械强度、耐热、螺钉、载流部件及其连接、爬电距离、电气间隙和通过密封胶的距离、绝缘材料的耐非正常热、耐燃和耐电痕化</w:t>
            </w:r>
          </w:p>
          <w:p w14:paraId="1B204D4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1002-2008：插头：标志、尺寸检查、防触电保护、接地措施、端子和端头、插头和移动式插座的结构、耐老化、由外壳提供的防护和防潮、绝缘电阻和电气强度、温升、软缆及其连接、机械强度、耐热、螺钉、载流部件及其连接、爬电距离、电气间隙和通过密封胶的距离、绝缘材料的耐非正常热、耐燃和耐电痕化</w:t>
            </w:r>
          </w:p>
        </w:tc>
      </w:tr>
      <w:tr w14:paraId="10F1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A5166B8">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6150062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电工套管</w:t>
            </w:r>
          </w:p>
        </w:tc>
        <w:tc>
          <w:tcPr>
            <w:tcW w:w="768" w:type="dxa"/>
            <w:vAlign w:val="center"/>
          </w:tcPr>
          <w:p w14:paraId="0D9F5F5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1BC8583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 3050-1998</w:t>
            </w:r>
          </w:p>
        </w:tc>
        <w:tc>
          <w:tcPr>
            <w:tcW w:w="3895" w:type="dxa"/>
            <w:vAlign w:val="center"/>
          </w:tcPr>
          <w:p w14:paraId="1BF7C25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标志、外观、最大外径、最小外径、最小内径、最小壁厚、抗压性能、冲击性能、弯曲性能、弯扁性能、跌落性能、耐热性能、阻燃性能、电气性能</w:t>
            </w:r>
          </w:p>
        </w:tc>
      </w:tr>
      <w:tr w14:paraId="378A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996F2A3">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801CD6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防水卷材</w:t>
            </w:r>
          </w:p>
        </w:tc>
        <w:tc>
          <w:tcPr>
            <w:tcW w:w="768" w:type="dxa"/>
            <w:vAlign w:val="center"/>
          </w:tcPr>
          <w:p w14:paraId="6FF0C6A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7E39D3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18242-2008</w:t>
            </w:r>
          </w:p>
          <w:p w14:paraId="2B55052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GB18243-2008</w:t>
            </w:r>
          </w:p>
          <w:p w14:paraId="73103D2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GB23441-2009</w:t>
            </w:r>
          </w:p>
          <w:p w14:paraId="6C09496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20474-2015</w:t>
            </w:r>
          </w:p>
          <w:p w14:paraId="041887F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18173.1-2012</w:t>
            </w:r>
          </w:p>
        </w:tc>
        <w:tc>
          <w:tcPr>
            <w:tcW w:w="3895" w:type="dxa"/>
            <w:vAlign w:val="center"/>
          </w:tcPr>
          <w:p w14:paraId="523B9EE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18242-2008、GB18243-2008：可溶物含量、耐热性、低温柔性、不透水性、拉力、延伸率、浸水后质量增加、热老化、渗油性、钉杆撕裂强度</w:t>
            </w:r>
          </w:p>
          <w:p w14:paraId="18BDFB9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GB23441-2009：可溶物含量、拉伸性能钉杆撕裂强度、耐热性、低温柔性、不透水性、剥离强度、钉杆水密性、渗油性、持粘性、热老化、热稳定性、自粘沥青再剥离强度</w:t>
            </w:r>
          </w:p>
          <w:p w14:paraId="047BD18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20474-2015：可溶物含量、拉力、耐热度、柔度、不透水性、耐钉子拔出性、矿物料粘附性、自粘胶耐热度、燃烧性能</w:t>
            </w:r>
          </w:p>
          <w:p w14:paraId="60C8A87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18173.1-2012：拉伸强度 (常温) 、拉断伸长率 (常温) 、撕裂强度、不透水性、低温弯折、加热伸缩量、热空气老化、耐碱性、粘合剥离强度、复合强度、剥离强度</w:t>
            </w:r>
          </w:p>
        </w:tc>
      </w:tr>
      <w:tr w14:paraId="400B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D3F357E">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792524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钢化玻璃</w:t>
            </w:r>
          </w:p>
        </w:tc>
        <w:tc>
          <w:tcPr>
            <w:tcW w:w="768" w:type="dxa"/>
            <w:vAlign w:val="center"/>
          </w:tcPr>
          <w:p w14:paraId="0DCBA72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18234E8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GB15763.2-2005</w:t>
            </w:r>
          </w:p>
        </w:tc>
        <w:tc>
          <w:tcPr>
            <w:tcW w:w="3895" w:type="dxa"/>
            <w:vAlign w:val="center"/>
          </w:tcPr>
          <w:p w14:paraId="5F4DF15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尺寸偏差项目、厚度允差项目、外观质量项目、弯曲度项目，、抗冲击性项目、碎片状态项目、霰弹袋冲击性能项目，、表面应力项目、耐热冲击性能项目。</w:t>
            </w:r>
          </w:p>
        </w:tc>
      </w:tr>
      <w:tr w14:paraId="02F4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8C79B31">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6A90849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给水用聚乙烯(PE)管</w:t>
            </w:r>
          </w:p>
        </w:tc>
        <w:tc>
          <w:tcPr>
            <w:tcW w:w="768" w:type="dxa"/>
            <w:vAlign w:val="center"/>
          </w:tcPr>
          <w:p w14:paraId="5D9F7E4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58C42C3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13663.2-2018</w:t>
            </w:r>
          </w:p>
        </w:tc>
        <w:tc>
          <w:tcPr>
            <w:tcW w:w="3895" w:type="dxa"/>
            <w:vAlign w:val="center"/>
          </w:tcPr>
          <w:p w14:paraId="7EB4674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标志、外观、平均外径、壁厚、静液压强度(20℃ ，100h)、静液压强度(80℃ ，1000h)、氧化诱导时间(210℃) 、纵向回缩率、炭黑含量、炭黑分散/颜料分散、灰分、断裂伸长率、色、浑浊度、臭和味、肉眼可见物、 pH 值、铁、、铜、锌、挥发酚类、砷、汞、铬 (六价) 、镉、铅、银、氟化物、硝酸盐、氯仿、四氯化碳、苯并 (a) 芘、蒸发残渣、高锰酸钾消耗量</w:t>
            </w:r>
          </w:p>
        </w:tc>
      </w:tr>
      <w:tr w14:paraId="12F4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4B2AC45">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00CF3C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混凝土输水管</w:t>
            </w:r>
          </w:p>
        </w:tc>
        <w:tc>
          <w:tcPr>
            <w:tcW w:w="768" w:type="dxa"/>
            <w:vAlign w:val="center"/>
          </w:tcPr>
          <w:p w14:paraId="0773135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503FF3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GB/T11836-2009</w:t>
            </w:r>
          </w:p>
        </w:tc>
        <w:tc>
          <w:tcPr>
            <w:tcW w:w="3895" w:type="dxa"/>
            <w:vAlign w:val="center"/>
          </w:tcPr>
          <w:p w14:paraId="72F5E13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标志、外观质量、尺寸偏差、物理力学性能、保护层厚度；</w:t>
            </w:r>
          </w:p>
        </w:tc>
      </w:tr>
      <w:tr w14:paraId="2DDF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54313062">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44C6CA9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夹层玻璃</w:t>
            </w:r>
          </w:p>
        </w:tc>
        <w:tc>
          <w:tcPr>
            <w:tcW w:w="768" w:type="dxa"/>
            <w:vAlign w:val="center"/>
          </w:tcPr>
          <w:p w14:paraId="1A9500B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2010F9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GB15763.3-2009</w:t>
            </w:r>
          </w:p>
        </w:tc>
        <w:tc>
          <w:tcPr>
            <w:tcW w:w="3895" w:type="dxa"/>
            <w:vAlign w:val="center"/>
          </w:tcPr>
          <w:p w14:paraId="6EE0E0A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CCC标志项目、厚度项目、耐热性项目、耐湿性项目、耐辐照性项目、落球冲击剥离性能项目、霰弹袋冲击性能项目</w:t>
            </w:r>
          </w:p>
        </w:tc>
      </w:tr>
      <w:tr w14:paraId="3BBA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A99ACE4">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57D390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建筑</w:t>
            </w:r>
          </w:p>
          <w:p w14:paraId="3E5A95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胶粘</w:t>
            </w:r>
          </w:p>
          <w:p w14:paraId="6960E29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剂</w:t>
            </w:r>
          </w:p>
        </w:tc>
        <w:tc>
          <w:tcPr>
            <w:tcW w:w="768" w:type="dxa"/>
            <w:vAlign w:val="center"/>
          </w:tcPr>
          <w:p w14:paraId="711DD2A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1858C41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JC/T438-2019</w:t>
            </w:r>
          </w:p>
        </w:tc>
        <w:tc>
          <w:tcPr>
            <w:tcW w:w="3895" w:type="dxa"/>
            <w:vAlign w:val="center"/>
          </w:tcPr>
          <w:p w14:paraId="45B3625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标志、外观、不挥发物含量、粘结强度、 pH 值、低温稳定性、游离甲醛、苯、甲苯+二甲苯、总挥发性有机物</w:t>
            </w:r>
          </w:p>
        </w:tc>
      </w:tr>
      <w:tr w14:paraId="5573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DBFFE69">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1A0E99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浸渍胶膜纸饰面人造板</w:t>
            </w:r>
          </w:p>
        </w:tc>
        <w:tc>
          <w:tcPr>
            <w:tcW w:w="768" w:type="dxa"/>
            <w:vAlign w:val="center"/>
          </w:tcPr>
          <w:p w14:paraId="0E72D8D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749AE3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15102-2017</w:t>
            </w:r>
          </w:p>
          <w:p w14:paraId="76F4913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18580-2017</w:t>
            </w:r>
          </w:p>
        </w:tc>
        <w:tc>
          <w:tcPr>
            <w:tcW w:w="3895" w:type="dxa"/>
            <w:vAlign w:val="center"/>
          </w:tcPr>
          <w:p w14:paraId="2B13B2E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静曲强度、弹性模量、内结合强度、 24h 吸水厚度膨胀率、含水率、板内密度偏差、表面胶合强度、表面耐冷热循环、表面耐划痕、表面耐磨、表面耐香烟灼烧、表面耐干热、表面耐污染腐蚀、表面耐龟裂、表面耐水蒸气、耐光色牢度、密度、甲醛释放量</w:t>
            </w:r>
          </w:p>
        </w:tc>
      </w:tr>
      <w:tr w14:paraId="56EB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DBE4318">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BACC02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管材(建筑用聚氯乙烯管材、聚丙烯(PP-R)给水管等)</w:t>
            </w:r>
          </w:p>
        </w:tc>
        <w:tc>
          <w:tcPr>
            <w:tcW w:w="768" w:type="dxa"/>
            <w:vAlign w:val="center"/>
          </w:tcPr>
          <w:p w14:paraId="46FC841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67FDA3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GB/T18742.2-2017</w:t>
            </w:r>
          </w:p>
          <w:p w14:paraId="0BBD1B9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GB/T5836.1-2018</w:t>
            </w:r>
          </w:p>
          <w:p w14:paraId="445BE0B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JG/T3050-1998</w:t>
            </w:r>
          </w:p>
        </w:tc>
        <w:tc>
          <w:tcPr>
            <w:tcW w:w="3895" w:type="dxa"/>
            <w:vAlign w:val="center"/>
          </w:tcPr>
          <w:p w14:paraId="2E5AD6F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GB/T18742.2-2017：标志、颜色、外观、平均外径、壁厚、 20℃  1h 静液压试验、95℃  22h 静液压试验、95℃  165h 静液压试验、95℃  1000h 静液压试验、 95℃1000h 静液压试验后的氧化诱导时间、颜料分散、纵向回缩率、简支梁冲击试验、熔体质量流动速率、色、浑浊度、臭和味、肉眼可见物、pH 值、铁、锰、铜、锌、挥发酚类、砷、汞、铬(六价)、镉、铅、银、氟化物、硝酸盐、氯仿、四氯化碳、苯并(a)芘、蒸发残渣、高锰酸钾消耗量</w:t>
            </w:r>
          </w:p>
          <w:p w14:paraId="3413167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GB/T5836.1-2018：标志、外观、颜色、规格尺寸、密度、维卡软化温度、纵向回缩率、断裂伸长率、拉伸屈服强度、落锤冲击试验</w:t>
            </w:r>
          </w:p>
          <w:p w14:paraId="005ED9F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JG/T3050-1998：最大外径、最小外径、最小内径、最小壁厚、抗压性能、冲击性能、弯曲性能、弯扁性能、跌落性能、耐热性能、阻燃性能、电气性能</w:t>
            </w:r>
          </w:p>
        </w:tc>
      </w:tr>
      <w:tr w14:paraId="7814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705E759">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ACCBDC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建筑排水用硬聚氯乙烯管件</w:t>
            </w:r>
          </w:p>
        </w:tc>
        <w:tc>
          <w:tcPr>
            <w:tcW w:w="768" w:type="dxa"/>
            <w:vAlign w:val="center"/>
          </w:tcPr>
          <w:p w14:paraId="3C0FA1A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0552D2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GB/T5836.2-2018</w:t>
            </w:r>
          </w:p>
        </w:tc>
        <w:tc>
          <w:tcPr>
            <w:tcW w:w="3895" w:type="dxa"/>
            <w:vAlign w:val="center"/>
          </w:tcPr>
          <w:p w14:paraId="2A937C7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标志、颜色、外观、规格尺寸偏差、密度、维卡软化温度、烘箱试验、坠落试验</w:t>
            </w:r>
          </w:p>
        </w:tc>
      </w:tr>
      <w:tr w14:paraId="4BFF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E43D596">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E71D32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埋地用聚乙烯 (PE)结构壁管材</w:t>
            </w:r>
          </w:p>
        </w:tc>
        <w:tc>
          <w:tcPr>
            <w:tcW w:w="768" w:type="dxa"/>
            <w:vAlign w:val="center"/>
          </w:tcPr>
          <w:p w14:paraId="158E803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1EEEC92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19472.1-2019</w:t>
            </w:r>
          </w:p>
          <w:p w14:paraId="4E04BC3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19472.2-2017</w:t>
            </w:r>
          </w:p>
        </w:tc>
        <w:tc>
          <w:tcPr>
            <w:tcW w:w="3895" w:type="dxa"/>
            <w:vAlign w:val="center"/>
          </w:tcPr>
          <w:p w14:paraId="1082678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标志、颜色、外观、规格尺寸、纵向回缩率、烘箱试验、灰分、氧化诱导时间、密度、环刚度、冲击性能、环柔性、熔接处的拉伸力</w:t>
            </w:r>
          </w:p>
        </w:tc>
      </w:tr>
      <w:tr w14:paraId="6191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70D3A43">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48A0A0A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木材胶粘剂</w:t>
            </w:r>
          </w:p>
        </w:tc>
        <w:tc>
          <w:tcPr>
            <w:tcW w:w="768" w:type="dxa"/>
            <w:vAlign w:val="center"/>
          </w:tcPr>
          <w:p w14:paraId="3F23EC8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3535C14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HG/T2727-2010</w:t>
            </w:r>
          </w:p>
          <w:p w14:paraId="31BC9D5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GB18583-2008</w:t>
            </w:r>
          </w:p>
        </w:tc>
        <w:tc>
          <w:tcPr>
            <w:tcW w:w="3895" w:type="dxa"/>
            <w:vAlign w:val="center"/>
          </w:tcPr>
          <w:p w14:paraId="07374151">
            <w:pPr>
              <w:spacing w:before="0" w:beforeAutospacing="0" w:after="0" w:afterAutospacing="0"/>
              <w:ind w:left="0" w:right="12"/>
              <w:rPr>
                <w:rFonts w:hint="eastAsia" w:ascii="宋体" w:hAnsi="宋体" w:eastAsia="宋体" w:cs="宋体"/>
                <w:sz w:val="24"/>
                <w:szCs w:val="24"/>
                <w:highlight w:val="none"/>
              </w:rPr>
            </w:pPr>
            <w:r>
              <w:rPr>
                <w:rFonts w:hint="eastAsia" w:ascii="宋体" w:hAnsi="宋体" w:eastAsia="宋体" w:cs="宋体"/>
                <w:sz w:val="24"/>
                <w:szCs w:val="24"/>
                <w:highlight w:val="none"/>
              </w:rPr>
              <w:t>标志、外观、pH 值、粘度、不挥发物、最低成膜温度、木材污染性、压缩剪切强度、游离甲醛、苯、甲苯+二甲苯、总挥发性有机物</w:t>
            </w:r>
          </w:p>
        </w:tc>
      </w:tr>
      <w:tr w14:paraId="7301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640E948">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9F614D0">
            <w:pPr>
              <w:spacing w:before="56" w:beforeAutospacing="0" w:after="0" w:afterAutospacing="0"/>
              <w:ind w:left="73" w:right="0"/>
              <w:rPr>
                <w:rFonts w:hint="eastAsia" w:ascii="宋体" w:hAnsi="宋体" w:eastAsia="宋体" w:cs="宋体"/>
                <w:sz w:val="24"/>
                <w:szCs w:val="24"/>
                <w:highlight w:val="none"/>
              </w:rPr>
            </w:pPr>
            <w:r>
              <w:rPr>
                <w:rFonts w:hint="eastAsia" w:ascii="宋体" w:hAnsi="宋体" w:eastAsia="宋体" w:cs="宋体"/>
                <w:sz w:val="24"/>
                <w:szCs w:val="24"/>
                <w:highlight w:val="none"/>
              </w:rPr>
              <w:t>木门</w:t>
            </w:r>
          </w:p>
        </w:tc>
        <w:tc>
          <w:tcPr>
            <w:tcW w:w="768" w:type="dxa"/>
            <w:vAlign w:val="center"/>
          </w:tcPr>
          <w:p w14:paraId="001E3B9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B3EF204">
            <w:pPr>
              <w:spacing w:before="42" w:beforeAutospacing="0" w:after="0" w:afterAutospacing="0"/>
              <w:ind w:left="8" w:right="0"/>
              <w:rPr>
                <w:rFonts w:hint="eastAsia" w:ascii="宋体" w:hAnsi="宋体" w:eastAsia="宋体" w:cs="宋体"/>
                <w:sz w:val="24"/>
                <w:szCs w:val="24"/>
                <w:highlight w:val="none"/>
              </w:rPr>
            </w:pPr>
            <w:r>
              <w:rPr>
                <w:rFonts w:hint="eastAsia" w:ascii="宋体" w:hAnsi="宋体" w:eastAsia="宋体" w:cs="宋体"/>
                <w:sz w:val="24"/>
                <w:szCs w:val="24"/>
                <w:highlight w:val="none"/>
              </w:rPr>
              <w:t>WB/T 1024-2006</w:t>
            </w:r>
          </w:p>
          <w:p w14:paraId="13355E50">
            <w:pPr>
              <w:spacing w:before="0"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LY/T 1923-2010</w:t>
            </w:r>
          </w:p>
          <w:p w14:paraId="083AFB36">
            <w:pPr>
              <w:spacing w:before="43"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GB18580-2017</w:t>
            </w:r>
          </w:p>
          <w:p w14:paraId="3CB5F97B">
            <w:pPr>
              <w:spacing w:before="55"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GB18584-2001</w:t>
            </w:r>
          </w:p>
        </w:tc>
        <w:tc>
          <w:tcPr>
            <w:tcW w:w="3895" w:type="dxa"/>
            <w:vAlign w:val="center"/>
          </w:tcPr>
          <w:p w14:paraId="716058D3">
            <w:pPr>
              <w:spacing w:before="275" w:beforeAutospacing="0" w:after="0" w:afterAutospacing="0"/>
              <w:ind w:left="15" w:right="97"/>
              <w:rPr>
                <w:rFonts w:hint="eastAsia" w:ascii="宋体" w:hAnsi="宋体" w:eastAsia="宋体" w:cs="宋体"/>
                <w:sz w:val="24"/>
                <w:szCs w:val="24"/>
                <w:highlight w:val="none"/>
              </w:rPr>
            </w:pPr>
            <w:r>
              <w:rPr>
                <w:rFonts w:hint="eastAsia" w:ascii="宋体" w:hAnsi="宋体" w:eastAsia="宋体" w:cs="宋体"/>
                <w:sz w:val="24"/>
                <w:szCs w:val="24"/>
                <w:highlight w:val="none"/>
              </w:rPr>
              <w:t>产品标志、允许偏差、装饰面贴面表面外观要求、漆饰面表面外观要求、含水率、甲醛释放量、有害物质限量</w:t>
            </w:r>
          </w:p>
        </w:tc>
      </w:tr>
      <w:tr w14:paraId="2D8C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95EA043">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52AA51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内墙腻子</w:t>
            </w:r>
          </w:p>
        </w:tc>
        <w:tc>
          <w:tcPr>
            <w:tcW w:w="768" w:type="dxa"/>
            <w:vAlign w:val="center"/>
          </w:tcPr>
          <w:p w14:paraId="532937B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569997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 298-2010</w:t>
            </w:r>
          </w:p>
          <w:p w14:paraId="7648FAA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GB18582-2008</w:t>
            </w:r>
          </w:p>
        </w:tc>
        <w:tc>
          <w:tcPr>
            <w:tcW w:w="3895" w:type="dxa"/>
            <w:vAlign w:val="center"/>
          </w:tcPr>
          <w:p w14:paraId="456428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标志、容器中状态、低温贮存稳定性、施工性 5、干燥时间、初期干燥抗裂性、打磨性、耐水性、粘结强度、柔韧性、pH 值、挥发性有机化合物含量(VOC)、苯、甲苯、乙苯、二甲苯总和，、游离甲醛、可溶性重金属</w:t>
            </w:r>
          </w:p>
        </w:tc>
      </w:tr>
      <w:tr w14:paraId="3265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0FAC594">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6B43580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强化木地板</w:t>
            </w:r>
          </w:p>
        </w:tc>
        <w:tc>
          <w:tcPr>
            <w:tcW w:w="768" w:type="dxa"/>
            <w:vAlign w:val="center"/>
          </w:tcPr>
          <w:p w14:paraId="3912B77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B8D387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18102-2007</w:t>
            </w:r>
          </w:p>
          <w:p w14:paraId="200C558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LY/T 1859-2009</w:t>
            </w:r>
          </w:p>
          <w:p w14:paraId="3AD9F06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GB18580-2017</w:t>
            </w:r>
          </w:p>
        </w:tc>
        <w:tc>
          <w:tcPr>
            <w:tcW w:w="3895" w:type="dxa"/>
            <w:vAlign w:val="center"/>
          </w:tcPr>
          <w:p w14:paraId="1AE36466">
            <w:pPr>
              <w:spacing w:before="0" w:beforeAutospacing="0" w:after="0" w:afterAutospacing="0"/>
              <w:ind w:left="0" w:right="12"/>
              <w:rPr>
                <w:rFonts w:hint="eastAsia" w:ascii="宋体" w:hAnsi="宋体" w:eastAsia="宋体" w:cs="宋体"/>
                <w:sz w:val="24"/>
                <w:szCs w:val="24"/>
                <w:highlight w:val="none"/>
              </w:rPr>
            </w:pPr>
            <w:r>
              <w:rPr>
                <w:rFonts w:hint="eastAsia" w:ascii="宋体" w:hAnsi="宋体" w:eastAsia="宋体" w:cs="宋体"/>
                <w:sz w:val="24"/>
                <w:szCs w:val="24"/>
                <w:highlight w:val="none"/>
              </w:rPr>
              <w:t>静曲强度、内结合强度、含水率、密度、吸水厚度膨胀率、表面胶合强度、表面耐冷热循环、表面耐划痕、尺寸稳定性、表面耐磨、表面耐香烟灼烧、表面耐干热、表面耐污染腐蚀、表面耐龟裂、抗冲击、耐光色牢度、甲醛释放量</w:t>
            </w:r>
          </w:p>
        </w:tc>
      </w:tr>
      <w:tr w14:paraId="6BDD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23F7F45">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3A97105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实木地板</w:t>
            </w:r>
          </w:p>
        </w:tc>
        <w:tc>
          <w:tcPr>
            <w:tcW w:w="768" w:type="dxa"/>
            <w:vAlign w:val="center"/>
          </w:tcPr>
          <w:p w14:paraId="0AF7ED7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BE69DC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15036.1-2009</w:t>
            </w:r>
          </w:p>
          <w:p w14:paraId="17A1710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15036.2-2009</w:t>
            </w:r>
          </w:p>
          <w:p w14:paraId="69A14B5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LY/T 1859-2009</w:t>
            </w:r>
          </w:p>
        </w:tc>
        <w:tc>
          <w:tcPr>
            <w:tcW w:w="3895" w:type="dxa"/>
            <w:vAlign w:val="center"/>
          </w:tcPr>
          <w:p w14:paraId="49D6C04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含水率、漆膜表面耐磨、漆膜附着力、漆膜硬度、木材名称</w:t>
            </w:r>
          </w:p>
        </w:tc>
      </w:tr>
      <w:tr w14:paraId="50F4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2C6B140">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71EFAE5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实木复合地板</w:t>
            </w:r>
          </w:p>
        </w:tc>
        <w:tc>
          <w:tcPr>
            <w:tcW w:w="768" w:type="dxa"/>
            <w:vAlign w:val="center"/>
          </w:tcPr>
          <w:p w14:paraId="5FB45B3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5A662BD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18103-2013</w:t>
            </w:r>
          </w:p>
          <w:p w14:paraId="1AB778B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LY/T 1859-2009</w:t>
            </w:r>
          </w:p>
          <w:p w14:paraId="5A1D23B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GB18580-2017</w:t>
            </w:r>
          </w:p>
        </w:tc>
        <w:tc>
          <w:tcPr>
            <w:tcW w:w="3895" w:type="dxa"/>
            <w:vAlign w:val="center"/>
          </w:tcPr>
          <w:p w14:paraId="704C7A1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浸渍剥离、静曲强度、弹性模量、含水率、漆膜附着力、表面耐磨、漆膜硬度、表面耐污染、尺寸稳定性、甲醛释放量</w:t>
            </w:r>
          </w:p>
        </w:tc>
      </w:tr>
      <w:tr w14:paraId="07F0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8003AF8">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C86EE0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水暖用内螺纹连接阀门</w:t>
            </w:r>
          </w:p>
        </w:tc>
        <w:tc>
          <w:tcPr>
            <w:tcW w:w="768" w:type="dxa"/>
            <w:vAlign w:val="center"/>
          </w:tcPr>
          <w:p w14:paraId="79A3F59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5EE8A7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8464-2008</w:t>
            </w:r>
          </w:p>
        </w:tc>
        <w:tc>
          <w:tcPr>
            <w:tcW w:w="3895" w:type="dxa"/>
            <w:vAlign w:val="center"/>
          </w:tcPr>
          <w:p w14:paraId="62079C0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壳体试验、密封试验、上密封试验、壳体最小壁厚、阀杆最小直径、连接尺寸、铸 (锻) 件外观质量、启闭动作、标志铭牌、螺纹精度、抗扭力性能、抗弯曲性能、阀座 (通道、流道) 最小直径</w:t>
            </w:r>
          </w:p>
        </w:tc>
      </w:tr>
      <w:tr w14:paraId="1EB1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2E63480">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DDBAE6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水嘴、花洒</w:t>
            </w:r>
          </w:p>
        </w:tc>
        <w:tc>
          <w:tcPr>
            <w:tcW w:w="768" w:type="dxa"/>
            <w:vAlign w:val="center"/>
          </w:tcPr>
          <w:p w14:paraId="4896B01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6160B1AC">
            <w:pPr>
              <w:spacing w:before="56"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GB18145-2014</w:t>
            </w:r>
          </w:p>
          <w:p w14:paraId="6F171C92">
            <w:pPr>
              <w:spacing w:before="56"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GB 25501</w:t>
            </w:r>
          </w:p>
          <w:p w14:paraId="36DB7B2F">
            <w:pPr>
              <w:spacing w:before="56"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GB/T23447-2009</w:t>
            </w:r>
          </w:p>
        </w:tc>
        <w:tc>
          <w:tcPr>
            <w:tcW w:w="3895" w:type="dxa"/>
            <w:vAlign w:val="center"/>
          </w:tcPr>
          <w:p w14:paraId="4D10A231">
            <w:pPr>
              <w:spacing w:before="43" w:beforeAutospacing="0" w:after="0" w:afterAutospacing="0"/>
              <w:ind w:left="15" w:right="12"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水嘴：标志、外观质量、管螺纹精度、冷热水标志、金属污染物析出、抗水压机械性能、密封性能、流量、灵敏度、流量均匀性、水嘴用水效率等级、涂层附着强度、镀层附着强度、抗安装负载、表面耐腐蚀性能.</w:t>
            </w:r>
          </w:p>
          <w:p w14:paraId="68D06AD9">
            <w:pPr>
              <w:spacing w:before="43" w:beforeAutospacing="0" w:after="0" w:afterAutospacing="0"/>
              <w:ind w:left="14" w:right="0" w:firstLine="1"/>
              <w:rPr>
                <w:rFonts w:hint="eastAsia" w:ascii="宋体" w:hAnsi="宋体" w:eastAsia="宋体" w:cs="宋体"/>
                <w:sz w:val="24"/>
                <w:szCs w:val="24"/>
                <w:highlight w:val="none"/>
              </w:rPr>
            </w:pPr>
            <w:r>
              <w:rPr>
                <w:rFonts w:hint="eastAsia" w:ascii="宋体" w:hAnsi="宋体" w:eastAsia="宋体" w:cs="宋体"/>
                <w:sz w:val="24"/>
                <w:szCs w:val="24"/>
                <w:highlight w:val="none"/>
              </w:rPr>
              <w:t>花洒：外观质量、管螺纹精度、温降、流量、手持式花洒防虹吸性能、安全性能、耐急冷急热性能、耐腐蚀性能、密封性能、机械强度、旋转连接性能、耐冷热疲劳性能、整体抗拉性能、花洒功能转换寿命、球形连接摇摆性能</w:t>
            </w:r>
          </w:p>
        </w:tc>
      </w:tr>
      <w:tr w14:paraId="6468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14:paraId="313B9821">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Merge w:val="restart"/>
            <w:vAlign w:val="center"/>
          </w:tcPr>
          <w:p w14:paraId="2B88A5C4">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油漆、内墙涂料</w:t>
            </w:r>
          </w:p>
        </w:tc>
        <w:tc>
          <w:tcPr>
            <w:tcW w:w="768" w:type="dxa"/>
            <w:vMerge w:val="restart"/>
            <w:vAlign w:val="center"/>
          </w:tcPr>
          <w:p w14:paraId="2C555A0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E25946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23997-2009</w:t>
            </w:r>
          </w:p>
          <w:p w14:paraId="57C4A81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GB18581-2009</w:t>
            </w:r>
          </w:p>
          <w:p w14:paraId="2708074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GB/T25249-2010</w:t>
            </w:r>
          </w:p>
          <w:p w14:paraId="324A4EC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GB/T25251-2010</w:t>
            </w:r>
          </w:p>
          <w:p w14:paraId="59F5B3CB">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GB/T25252-2010</w:t>
            </w:r>
          </w:p>
          <w:p w14:paraId="56E63513">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GB/T25253-2010</w:t>
            </w:r>
          </w:p>
          <w:p w14:paraId="1BD1D3A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GB/T25258-2010</w:t>
            </w:r>
          </w:p>
          <w:p w14:paraId="3447365B">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GB/T25259-2010</w:t>
            </w:r>
          </w:p>
          <w:p w14:paraId="0CB63D44">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GB/T25263-2010</w:t>
            </w:r>
          </w:p>
          <w:p w14:paraId="3EDE439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GB/T25264-2010</w:t>
            </w:r>
          </w:p>
          <w:p w14:paraId="50068BAB">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25271-2010</w:t>
            </w:r>
          </w:p>
        </w:tc>
        <w:tc>
          <w:tcPr>
            <w:tcW w:w="3895" w:type="dxa"/>
            <w:vAlign w:val="center"/>
          </w:tcPr>
          <w:p w14:paraId="5FB76307">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在容器中状态、施工性、干燥时间、涂膜外观、贮存稳定性、打磨性、光泽(60º)、铅笔硬度，、附着力、耐干热性、耐磨性、耐冲击性、耐水性、耐碱性、耐醇性、耐污染性、耐黄变性、挥发性有机化合物(VOC)、苯含量、甲苯、二甲苯、乙苯总和、游离二异氰酸酯(TDl、HDI) 总和、卤代烃含量、重金属、原漆颜色、流出时间、不挥发物含量、细度、划格试验、耐冲击性、弯曲试验、耐热性、渗色性、耐挥发油性、耐酸性、耐人工气候老化性、结皮性、回粘性、遮盖力、重涂适应性、与面漆的适应性、硬度、耐盐水性、与底材的适应性、耐硝基漆性、柔韧性、耐盐雾性</w:t>
            </w:r>
          </w:p>
        </w:tc>
      </w:tr>
      <w:tr w14:paraId="05E4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26A85776">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Merge w:val="continue"/>
            <w:vAlign w:val="center"/>
          </w:tcPr>
          <w:p w14:paraId="4D2DDE7D">
            <w:pPr>
              <w:spacing w:before="55" w:beforeAutospacing="0" w:after="0" w:afterAutospacing="0"/>
              <w:ind w:left="71" w:right="0" w:hanging="56"/>
              <w:rPr>
                <w:rFonts w:hint="eastAsia" w:ascii="宋体" w:hAnsi="宋体" w:eastAsia="宋体" w:cs="宋体"/>
                <w:sz w:val="24"/>
                <w:szCs w:val="24"/>
                <w:highlight w:val="none"/>
              </w:rPr>
            </w:pPr>
          </w:p>
        </w:tc>
        <w:tc>
          <w:tcPr>
            <w:tcW w:w="768" w:type="dxa"/>
            <w:vMerge w:val="continue"/>
            <w:vAlign w:val="center"/>
          </w:tcPr>
          <w:p w14:paraId="2135AD93">
            <w:pPr>
              <w:spacing w:before="55" w:beforeAutospacing="0" w:after="0" w:afterAutospacing="0"/>
              <w:ind w:left="71" w:right="0" w:hanging="56"/>
              <w:rPr>
                <w:rFonts w:hint="eastAsia" w:ascii="宋体" w:hAnsi="宋体" w:eastAsia="宋体" w:cs="宋体"/>
                <w:sz w:val="24"/>
                <w:szCs w:val="24"/>
                <w:highlight w:val="none"/>
              </w:rPr>
            </w:pPr>
          </w:p>
        </w:tc>
        <w:tc>
          <w:tcPr>
            <w:tcW w:w="2136" w:type="dxa"/>
            <w:vAlign w:val="center"/>
          </w:tcPr>
          <w:p w14:paraId="6765DE7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GB/T9756-2018</w:t>
            </w:r>
          </w:p>
          <w:p w14:paraId="18B88B4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JC/T 423-1991</w:t>
            </w:r>
          </w:p>
          <w:p w14:paraId="08D9492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GB18582-2008</w:t>
            </w:r>
          </w:p>
        </w:tc>
        <w:tc>
          <w:tcPr>
            <w:tcW w:w="3895" w:type="dxa"/>
            <w:vAlign w:val="center"/>
          </w:tcPr>
          <w:p w14:paraId="409B6A82">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标志、在容器中状态、施工性、低温稳定性(3 次循环)、低温成膜性、涂膜外观、干燥时间 (表干) 、对比率 (白色和浅色)、耐碱性 (24h) 、耐洗刷性、抗泛碱性 (48h) 、挥发性有机化合物含量(VOC)、苯、甲苯、乙苯、二甲苯总和，、游离甲醛、可溶性重金属、粘度、细度、遮盖力、白度、附着力、耐水性、耐干擦性</w:t>
            </w:r>
          </w:p>
        </w:tc>
      </w:tr>
      <w:tr w14:paraId="2A2A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671F362">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46EDA1C6">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仿石型涂料</w:t>
            </w:r>
          </w:p>
        </w:tc>
        <w:tc>
          <w:tcPr>
            <w:tcW w:w="768" w:type="dxa"/>
            <w:vAlign w:val="center"/>
          </w:tcPr>
          <w:p w14:paraId="3F5CB1F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AF87846">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JG/T24-2018</w:t>
            </w:r>
          </w:p>
          <w:p w14:paraId="6B2801CD">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HG/T4344-2012</w:t>
            </w:r>
          </w:p>
          <w:p w14:paraId="3FA83E6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JC/T2079-2011</w:t>
            </w:r>
          </w:p>
          <w:p w14:paraId="4AE7EDEF">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GB18582-2008</w:t>
            </w:r>
          </w:p>
          <w:p w14:paraId="1922D90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GB24408-2009</w:t>
            </w:r>
          </w:p>
        </w:tc>
        <w:tc>
          <w:tcPr>
            <w:tcW w:w="3895" w:type="dxa"/>
            <w:vAlign w:val="center"/>
          </w:tcPr>
          <w:p w14:paraId="19B0CD3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标志、容器中状态、施工性、低温贮存稳定性、热贮存稳定性、初期干燥抗裂性、干燥时间 (表干) 、涂膜外观、耐水性、耐碱性、耐酸雨性、柔韧性、耐冲击性、耐温变性、耐沾污性、粘结强度、耐人工老化性、挥发性有机化合物(VOC)含量、游离甲醛含量、乙二醇醚及醚酯含量总和、重金属含量、苯、甲苯、乙苯、二甲苯总和、可溶性重金属、吸水量、耐候性</w:t>
            </w:r>
          </w:p>
        </w:tc>
      </w:tr>
      <w:tr w14:paraId="2830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44D7613">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F729E34">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粉末涂料</w:t>
            </w:r>
          </w:p>
        </w:tc>
        <w:tc>
          <w:tcPr>
            <w:tcW w:w="768" w:type="dxa"/>
            <w:vAlign w:val="center"/>
          </w:tcPr>
          <w:p w14:paraId="0403477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32CD18C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HG/T2006-2006</w:t>
            </w:r>
          </w:p>
        </w:tc>
        <w:tc>
          <w:tcPr>
            <w:tcW w:w="3895" w:type="dxa"/>
            <w:vAlign w:val="center"/>
          </w:tcPr>
          <w:p w14:paraId="628C5945">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标志、在容器中状态、筛余物、涂膜外观、硬度、附着力、耐冲击性、弯曲试验、杯突、耐碱性、耐酸性、耐湿热性、耐盐雾性、耐人工气候老化性、重金属</w:t>
            </w:r>
          </w:p>
        </w:tc>
      </w:tr>
      <w:tr w14:paraId="12D7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F7F95BE">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63FC9BAA">
            <w:pPr>
              <w:spacing w:before="55" w:beforeAutospacing="0" w:after="0" w:afterAutospacing="0"/>
              <w:ind w:left="71" w:right="72" w:hanging="56"/>
              <w:rPr>
                <w:rFonts w:hint="eastAsia" w:ascii="宋体" w:hAnsi="宋体" w:eastAsia="宋体" w:cs="宋体"/>
                <w:sz w:val="24"/>
                <w:szCs w:val="24"/>
                <w:highlight w:val="none"/>
              </w:rPr>
            </w:pPr>
            <w:r>
              <w:rPr>
                <w:rFonts w:hint="eastAsia" w:ascii="宋体" w:hAnsi="宋体" w:eastAsia="宋体" w:cs="宋体"/>
                <w:sz w:val="24"/>
                <w:szCs w:val="24"/>
                <w:highlight w:val="none"/>
              </w:rPr>
              <w:t>外墙涂料</w:t>
            </w:r>
          </w:p>
        </w:tc>
        <w:tc>
          <w:tcPr>
            <w:tcW w:w="768" w:type="dxa"/>
            <w:vAlign w:val="center"/>
          </w:tcPr>
          <w:p w14:paraId="221E301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9837487">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9755-2014</w:t>
            </w:r>
          </w:p>
          <w:p w14:paraId="12A36DBC">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9757-2001</w:t>
            </w:r>
          </w:p>
          <w:p w14:paraId="36BD6655">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JG/T 172-2014</w:t>
            </w:r>
          </w:p>
          <w:p w14:paraId="6929B2C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GB24408-2009</w:t>
            </w:r>
          </w:p>
        </w:tc>
        <w:tc>
          <w:tcPr>
            <w:tcW w:w="3895" w:type="dxa"/>
            <w:vAlign w:val="center"/>
          </w:tcPr>
          <w:p w14:paraId="48B6AF85">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标志、容器中状态、施工性、低温稳定性、涂膜外观、干燥时间、对比率、耐沾污性、耐洗刷性、耐碱性、耐水性、涂层耐温变性、透水性、耐人工气候老化性、挥发性有机化合物 (VOC 含量、游离甲醛含量、乙二醇醚及醚酯含量总和、重金属含量、苯含量、甲苯、乙苯和二甲苯总和，、游离二异氰酸酯(TDI 和HDI)含量总和、拉伸强度、断裂伸长率</w:t>
            </w:r>
          </w:p>
        </w:tc>
      </w:tr>
      <w:tr w14:paraId="1353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07A8353">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415DA68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细木工板</w:t>
            </w:r>
          </w:p>
        </w:tc>
        <w:tc>
          <w:tcPr>
            <w:tcW w:w="768" w:type="dxa"/>
            <w:vAlign w:val="center"/>
          </w:tcPr>
          <w:p w14:paraId="1DA08D1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ECEA24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5849-2016</w:t>
            </w:r>
          </w:p>
          <w:p w14:paraId="2D732E7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GB18580-2017</w:t>
            </w:r>
          </w:p>
        </w:tc>
        <w:tc>
          <w:tcPr>
            <w:tcW w:w="3895" w:type="dxa"/>
            <w:vAlign w:val="center"/>
          </w:tcPr>
          <w:p w14:paraId="3BF9508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含水率、横向静曲强度、浸渍剥离性能、表面胶合强度、胶合强度、甲醛释放量</w:t>
            </w:r>
          </w:p>
        </w:tc>
      </w:tr>
      <w:tr w14:paraId="28B1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7D412A2">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B7F91F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油漆稀释剂</w:t>
            </w:r>
          </w:p>
        </w:tc>
        <w:tc>
          <w:tcPr>
            <w:tcW w:w="768" w:type="dxa"/>
            <w:vAlign w:val="center"/>
          </w:tcPr>
          <w:p w14:paraId="7F47B02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31459F5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HG/T 3378-2003</w:t>
            </w:r>
          </w:p>
          <w:p w14:paraId="0A7085E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HG/T 3379-2003</w:t>
            </w:r>
          </w:p>
          <w:p w14:paraId="243FF1A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HG/T 3380-2003</w:t>
            </w:r>
          </w:p>
        </w:tc>
        <w:tc>
          <w:tcPr>
            <w:tcW w:w="3895" w:type="dxa"/>
            <w:vAlign w:val="center"/>
          </w:tcPr>
          <w:p w14:paraId="7427F858">
            <w:pPr>
              <w:spacing w:before="55" w:beforeAutospacing="0" w:after="0" w:afterAutospacing="0"/>
              <w:ind w:left="71" w:right="3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标志、颜色、外观和透明度、酸值、水分、胶凝数、白化性、溶解性、水分</w:t>
            </w:r>
          </w:p>
        </w:tc>
      </w:tr>
      <w:tr w14:paraId="756F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98F1657">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3CB82B4F">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装饰单板贴面人造板</w:t>
            </w:r>
          </w:p>
        </w:tc>
        <w:tc>
          <w:tcPr>
            <w:tcW w:w="768" w:type="dxa"/>
            <w:vAlign w:val="center"/>
          </w:tcPr>
          <w:p w14:paraId="39A47FD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5B67AB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15104-2006</w:t>
            </w:r>
          </w:p>
          <w:p w14:paraId="22EE9B6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GB18580-2017</w:t>
            </w:r>
          </w:p>
        </w:tc>
        <w:tc>
          <w:tcPr>
            <w:tcW w:w="3895" w:type="dxa"/>
            <w:vAlign w:val="center"/>
          </w:tcPr>
          <w:p w14:paraId="5282F5CA">
            <w:pPr>
              <w:spacing w:before="55" w:beforeAutospacing="0" w:after="0" w:afterAutospacing="0"/>
              <w:ind w:left="71" w:right="0" w:hanging="56"/>
              <w:rPr>
                <w:rFonts w:hint="eastAsia" w:ascii="宋体" w:hAnsi="宋体" w:eastAsia="宋体" w:cs="宋体"/>
                <w:sz w:val="24"/>
                <w:szCs w:val="24"/>
                <w:highlight w:val="none"/>
              </w:rPr>
            </w:pPr>
          </w:p>
          <w:p w14:paraId="77783D11">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含水率、浸渍剥离试验、表面胶合强度、冷热循环试验、甲醛释放量</w:t>
            </w:r>
          </w:p>
        </w:tc>
      </w:tr>
      <w:tr w14:paraId="2017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EFB92E0">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E326EB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扳手</w:t>
            </w:r>
          </w:p>
        </w:tc>
        <w:tc>
          <w:tcPr>
            <w:tcW w:w="768" w:type="dxa"/>
            <w:vAlign w:val="center"/>
          </w:tcPr>
          <w:p w14:paraId="19DF28E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F8E3989">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3390.1-2013</w:t>
            </w:r>
          </w:p>
          <w:p w14:paraId="69C489E2">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3390.2-2013</w:t>
            </w:r>
          </w:p>
          <w:p w14:paraId="67F51A64">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3390.3-2013</w:t>
            </w:r>
          </w:p>
          <w:p w14:paraId="18DB8C49">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3390.4-2013</w:t>
            </w:r>
          </w:p>
          <w:p w14:paraId="218403E0">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4393-2008</w:t>
            </w:r>
          </w:p>
          <w:p w14:paraId="4A717CAD">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4440-2008</w:t>
            </w:r>
          </w:p>
        </w:tc>
        <w:tc>
          <w:tcPr>
            <w:tcW w:w="3895" w:type="dxa"/>
            <w:vAlign w:val="center"/>
          </w:tcPr>
          <w:p w14:paraId="6ACC5388">
            <w:pPr>
              <w:spacing w:before="55" w:beforeAutospacing="0" w:after="0" w:afterAutospacing="0"/>
              <w:ind w:left="71" w:right="0" w:hanging="56"/>
              <w:rPr>
                <w:rFonts w:hint="eastAsia" w:ascii="宋体" w:hAnsi="宋体" w:eastAsia="宋体" w:cs="宋体"/>
                <w:sz w:val="24"/>
                <w:szCs w:val="24"/>
                <w:highlight w:val="none"/>
              </w:rPr>
            </w:pPr>
          </w:p>
          <w:p w14:paraId="02C75CF2">
            <w:pPr>
              <w:spacing w:before="55" w:beforeAutospacing="0" w:after="0" w:afterAutospacing="0"/>
              <w:ind w:left="71" w:right="97" w:hanging="56"/>
              <w:rPr>
                <w:rFonts w:hint="eastAsia" w:ascii="宋体" w:hAnsi="宋体" w:eastAsia="宋体" w:cs="宋体"/>
                <w:sz w:val="24"/>
                <w:szCs w:val="24"/>
                <w:highlight w:val="none"/>
              </w:rPr>
            </w:pPr>
            <w:r>
              <w:rPr>
                <w:rFonts w:hint="eastAsia" w:ascii="宋体" w:hAnsi="宋体" w:eastAsia="宋体" w:cs="宋体"/>
                <w:sz w:val="24"/>
                <w:szCs w:val="24"/>
                <w:highlight w:val="none"/>
              </w:rPr>
              <w:t>表面质量、外表面处理、开口和孔的精度、硬度、扭矩、装配性能、结合性能、操作性能</w:t>
            </w:r>
          </w:p>
        </w:tc>
      </w:tr>
      <w:tr w14:paraId="7255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4612641">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p w14:paraId="395DFE71">
            <w:pPr>
              <w:spacing w:before="0" w:beforeAutospacing="0" w:after="0" w:afterAutospacing="0"/>
              <w:ind w:left="0" w:right="0"/>
              <w:rPr>
                <w:rFonts w:hint="eastAsia" w:ascii="宋体" w:hAnsi="宋体" w:eastAsia="宋体" w:cs="宋体"/>
                <w:sz w:val="24"/>
                <w:szCs w:val="24"/>
                <w:highlight w:val="none"/>
              </w:rPr>
            </w:pPr>
          </w:p>
        </w:tc>
        <w:tc>
          <w:tcPr>
            <w:tcW w:w="936" w:type="dxa"/>
            <w:vAlign w:val="center"/>
          </w:tcPr>
          <w:p w14:paraId="53AD30C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电线电缆</w:t>
            </w:r>
          </w:p>
        </w:tc>
        <w:tc>
          <w:tcPr>
            <w:tcW w:w="768" w:type="dxa"/>
            <w:vAlign w:val="center"/>
          </w:tcPr>
          <w:p w14:paraId="4B87237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3215363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GB/T5023.1-2008额定电压 450/750V 及以下聚氯乙烯绝缘电缆第 1 部分：一般要求</w:t>
            </w:r>
          </w:p>
          <w:p w14:paraId="3AECA3C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GB/T5023.2-2008 额定电压 450/750V 及以下聚氯乙烯绝缘电缆第 2 部分：试验方法</w:t>
            </w:r>
          </w:p>
          <w:p w14:paraId="0C86EEB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GB/T5023.3-2008额定电压 450/750V 及以下聚氯乙烯绝缘电缆第 3 部分：固定布线用无护套电缆</w:t>
            </w:r>
          </w:p>
          <w:p w14:paraId="34B170A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GB/T5023.4-2008额定电压 450/750V 及以下聚氯乙烯绝缘电缆第 4 部分：固定布线用护套电缆</w:t>
            </w:r>
          </w:p>
          <w:p w14:paraId="3744647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GB/T5023.5-2008额定电压 450/750V 及以下聚氯乙烯绝缘电缆第 5 部分：软电缆</w:t>
            </w:r>
            <w:r>
              <w:rPr>
                <w:rFonts w:hint="eastAsia" w:ascii="宋体" w:hAnsi="宋体" w:eastAsia="宋体" w:cs="宋体"/>
                <w:sz w:val="24"/>
                <w:szCs w:val="24"/>
                <w:highlight w:val="none"/>
              </w:rPr>
              <w:tab/>
            </w:r>
            <w:r>
              <w:rPr>
                <w:rFonts w:hint="eastAsia" w:ascii="宋体" w:hAnsi="宋体" w:eastAsia="宋体" w:cs="宋体"/>
                <w:sz w:val="24"/>
                <w:szCs w:val="24"/>
                <w:highlight w:val="none"/>
              </w:rPr>
              <w:t>(软线)</w:t>
            </w:r>
          </w:p>
          <w:p w14:paraId="3F42C84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GB/T5023.6-2006 额定电压 450/750V 及以下聚氯乙烯绝缘电缆第 6 部分：电梯电缆和挠性连接用电缆</w:t>
            </w:r>
          </w:p>
          <w:p w14:paraId="40ACAF3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JB/T 8734.1-2016  额定电压 450/750V 及以下聚氯乙烯绝缘电缆电线和软线第 1 部分：一般要求</w:t>
            </w:r>
          </w:p>
          <w:p w14:paraId="6EC48BB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JB/T 8734.2-2016  额定电压 450/750V 及以下聚氯乙烯绝缘电缆电线和软线第 2 部分：固定布线用电缆电线   JB/T 8734.3-2016  额定电压 450/750V 及以下聚氯乙烯绝缘电缆电线和软线第 3 部分：连接用软电线和软电缆 JB/T 8734.4-2016  额定电压 450/750V 及以下聚氯乙烯绝缘电缆电线和软线第 4 部分：安装用电线</w:t>
            </w:r>
          </w:p>
          <w:p w14:paraId="558B7C6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JB/T 8734.5-2016  额定电压 450/750V 及以下聚氯乙烯绝缘电缆电线和软线第 5 部分：屏蔽电线</w:t>
            </w:r>
          </w:p>
          <w:p w14:paraId="6E65E2E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JB/T 8734.6-2016  额定电压 450/750V 及以下聚氯乙烯绝缘电缆电线和软线第 6 部分：电梯电缆</w:t>
            </w:r>
          </w:p>
          <w:p w14:paraId="5563452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产品明示质量指标及国家法律、法规、规章的有关规定</w:t>
            </w:r>
          </w:p>
        </w:tc>
        <w:tc>
          <w:tcPr>
            <w:tcW w:w="3895" w:type="dxa"/>
            <w:vAlign w:val="center"/>
          </w:tcPr>
          <w:p w14:paraId="3C80CD5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签检查、标志检查、绝缘线芯识别、结构检查、屏蔽、导体电阻、成品电缆电压试验、绝缘线芯电压试验、绝缘电阻、绝缘平均厚度、绝缘最薄处厚度、内护层厚度、护套平均厚度、护套最薄处厚度、平均外形尺寸、椭圆度、绝缘机械性能、绝缘失重试验、绝缘热冲击试验、绝缘高温压力试验、绝缘低温弯曲试验、绝缘低温拉伸试验、绝缘热稳定性试验、绝缘热收缩试验、绝缘线芯撕离试验、护套机械性能、护套失重试验、护套热冲击试验、护套高温压力试验、护套低温弯曲试验、护套低温拉伸试验、低温冲击试验、护套 200℃时最低热稳定性、绝缘非污染试验后机械性能、护套非污染试验后机械性能、弯曲试验、荷重断芯试验、曲挠试验、静态曲挠试验、承拉元件的抗拉强度、不延燃试验</w:t>
            </w:r>
          </w:p>
        </w:tc>
      </w:tr>
      <w:tr w14:paraId="2BBC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2C3F86D">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p w14:paraId="057AD131">
            <w:pPr>
              <w:spacing w:before="0" w:beforeAutospacing="0" w:after="0" w:afterAutospacing="0"/>
              <w:ind w:left="0" w:right="0"/>
              <w:rPr>
                <w:rFonts w:hint="eastAsia" w:ascii="宋体" w:hAnsi="宋体" w:eastAsia="宋体" w:cs="宋体"/>
                <w:sz w:val="24"/>
                <w:szCs w:val="24"/>
                <w:highlight w:val="none"/>
              </w:rPr>
            </w:pPr>
          </w:p>
        </w:tc>
        <w:tc>
          <w:tcPr>
            <w:tcW w:w="936" w:type="dxa"/>
            <w:vAlign w:val="center"/>
          </w:tcPr>
          <w:p w14:paraId="4F1FFF49">
            <w:pPr>
              <w:spacing w:before="55" w:beforeAutospacing="0" w:after="0" w:afterAutospacing="0"/>
              <w:ind w:left="71" w:right="72" w:hanging="56"/>
              <w:rPr>
                <w:rFonts w:hint="eastAsia" w:ascii="宋体" w:hAnsi="宋体" w:eastAsia="宋体" w:cs="宋体"/>
                <w:sz w:val="24"/>
                <w:szCs w:val="24"/>
                <w:highlight w:val="none"/>
              </w:rPr>
            </w:pPr>
            <w:r>
              <w:rPr>
                <w:rFonts w:hint="eastAsia" w:ascii="宋体" w:hAnsi="宋体" w:eastAsia="宋体" w:cs="宋体"/>
                <w:sz w:val="24"/>
                <w:szCs w:val="24"/>
                <w:highlight w:val="none"/>
              </w:rPr>
              <w:t>钳类工具</w:t>
            </w:r>
          </w:p>
        </w:tc>
        <w:tc>
          <w:tcPr>
            <w:tcW w:w="768" w:type="dxa"/>
            <w:vAlign w:val="center"/>
          </w:tcPr>
          <w:p w14:paraId="703411E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6142B755">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6290-2013</w:t>
            </w:r>
          </w:p>
          <w:p w14:paraId="2F384D3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2440.1-2007</w:t>
            </w:r>
          </w:p>
          <w:p w14:paraId="6F167B0B">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2440.4-2007</w:t>
            </w:r>
          </w:p>
          <w:p w14:paraId="53D1BA1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2441.1-2007</w:t>
            </w:r>
          </w:p>
          <w:p w14:paraId="7362F86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2442.1-2007</w:t>
            </w:r>
          </w:p>
          <w:p w14:paraId="6A81723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2442.3-2007</w:t>
            </w:r>
          </w:p>
          <w:p w14:paraId="0CF6714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2442.4-2007</w:t>
            </w:r>
          </w:p>
        </w:tc>
        <w:tc>
          <w:tcPr>
            <w:tcW w:w="3895" w:type="dxa"/>
            <w:vAlign w:val="center"/>
          </w:tcPr>
          <w:p w14:paraId="1820E2FE">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使用性能、嘴顶缝隙、刃口缝隙、嘴顶偏摆量、装配精度、剪切有色金属丝试验、硬度、剪切性能试验、抗弯强度试验、扭力试验</w:t>
            </w:r>
          </w:p>
        </w:tc>
      </w:tr>
      <w:tr w14:paraId="3F08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3103D14">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AD7EBD9">
            <w:pPr>
              <w:spacing w:before="55" w:beforeAutospacing="0" w:after="0" w:afterAutospacing="0"/>
              <w:ind w:left="71" w:right="7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照明开关</w:t>
            </w:r>
          </w:p>
        </w:tc>
        <w:tc>
          <w:tcPr>
            <w:tcW w:w="768" w:type="dxa"/>
            <w:vAlign w:val="center"/>
          </w:tcPr>
          <w:p w14:paraId="1ADA293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615E1353">
            <w:pPr>
              <w:spacing w:before="55" w:beforeAutospacing="0" w:after="0" w:afterAutospacing="0"/>
              <w:ind w:left="71" w:right="84"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16915.1-2014   家用和类似用途固定式电气装置的开关第 1 部分：通用要求</w:t>
            </w:r>
          </w:p>
          <w:p w14:paraId="4D2CE88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产品明示质量指标及国家法律、法规、规章的有关规定</w:t>
            </w:r>
          </w:p>
        </w:tc>
        <w:tc>
          <w:tcPr>
            <w:tcW w:w="3895" w:type="dxa"/>
            <w:vAlign w:val="center"/>
          </w:tcPr>
          <w:p w14:paraId="5453469D">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防触电保护、接地措施、端子、结构要求、开关机构、耐老化、开关外壳提供的防护和防潮、绝缘电阻和电气强度、温升、通断能力、正常操作、机械强度、耐热、螺钉、载流部件和连接、爬电距离、电气间隙和穿通密封胶距离、绝缘材料的耐非正常热、耐燃和耐电痕化</w:t>
            </w:r>
          </w:p>
        </w:tc>
      </w:tr>
      <w:tr w14:paraId="67D5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5B94F5B">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62D48B2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钢管</w:t>
            </w:r>
          </w:p>
          <w:p w14:paraId="34B5470C">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脚手</w:t>
            </w:r>
          </w:p>
          <w:p w14:paraId="3DAC4C0C">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架扣</w:t>
            </w:r>
          </w:p>
          <w:p w14:paraId="03679DA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件</w:t>
            </w:r>
          </w:p>
        </w:tc>
        <w:tc>
          <w:tcPr>
            <w:tcW w:w="768" w:type="dxa"/>
            <w:vAlign w:val="center"/>
          </w:tcPr>
          <w:p w14:paraId="45EDAA3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3CDC9805">
            <w:pPr>
              <w:spacing w:before="55" w:beforeAutospacing="0" w:after="0" w:afterAutospacing="0"/>
              <w:ind w:left="71" w:right="0" w:hanging="56"/>
              <w:rPr>
                <w:rFonts w:hint="eastAsia" w:ascii="宋体" w:hAnsi="宋体" w:eastAsia="宋体" w:cs="宋体"/>
                <w:sz w:val="24"/>
                <w:szCs w:val="24"/>
                <w:highlight w:val="none"/>
              </w:rPr>
            </w:pPr>
          </w:p>
          <w:p w14:paraId="216C4ED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15831－2006</w:t>
            </w:r>
          </w:p>
        </w:tc>
        <w:tc>
          <w:tcPr>
            <w:tcW w:w="3895" w:type="dxa"/>
            <w:vAlign w:val="center"/>
          </w:tcPr>
          <w:p w14:paraId="2786C4DC">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型号、商标、生产年号、裂纹、盖板与座间张开距、抗滑、抗破坏、扭转刚度、抗拉</w:t>
            </w:r>
          </w:p>
        </w:tc>
      </w:tr>
      <w:tr w14:paraId="0C39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FD6042F">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77402D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高强度螺栓连接副</w:t>
            </w:r>
          </w:p>
        </w:tc>
        <w:tc>
          <w:tcPr>
            <w:tcW w:w="768" w:type="dxa"/>
            <w:vAlign w:val="center"/>
          </w:tcPr>
          <w:p w14:paraId="44761D0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D42625F">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GB/T1228-2006</w:t>
            </w:r>
          </w:p>
          <w:p w14:paraId="6E9EDB4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GB/T1229-2006</w:t>
            </w:r>
          </w:p>
          <w:p w14:paraId="5C94658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GB/T1230-2006</w:t>
            </w:r>
          </w:p>
          <w:p w14:paraId="66C01D3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GB/T1231-2006</w:t>
            </w:r>
          </w:p>
          <w:p w14:paraId="30B55FE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GB/T3632-2008</w:t>
            </w:r>
          </w:p>
        </w:tc>
        <w:tc>
          <w:tcPr>
            <w:tcW w:w="3895" w:type="dxa"/>
            <w:vAlign w:val="center"/>
          </w:tcPr>
          <w:p w14:paraId="6DF41B9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螺栓尺寸、螺母尺寸、垫圈尺寸、机械性能、连接副的扭矩系数、连接副紧固轴力、螺栓、螺母、垫圈的材料化学成分</w:t>
            </w:r>
          </w:p>
        </w:tc>
      </w:tr>
      <w:tr w14:paraId="251A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2DEFBD9">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8276332">
            <w:pPr>
              <w:spacing w:before="55" w:beforeAutospacing="0" w:after="0" w:afterAutospacing="0"/>
              <w:ind w:left="71" w:right="71" w:hanging="56"/>
              <w:rPr>
                <w:rFonts w:hint="eastAsia" w:ascii="宋体" w:hAnsi="宋体" w:eastAsia="宋体" w:cs="宋体"/>
                <w:sz w:val="24"/>
                <w:szCs w:val="24"/>
                <w:highlight w:val="none"/>
              </w:rPr>
            </w:pPr>
            <w:r>
              <w:rPr>
                <w:rFonts w:hint="eastAsia" w:ascii="宋体" w:hAnsi="宋体" w:eastAsia="宋体" w:cs="宋体"/>
                <w:sz w:val="24"/>
                <w:szCs w:val="24"/>
                <w:highlight w:val="none"/>
              </w:rPr>
              <w:t>螺钉旋具</w:t>
            </w:r>
          </w:p>
        </w:tc>
        <w:tc>
          <w:tcPr>
            <w:tcW w:w="768" w:type="dxa"/>
            <w:vAlign w:val="center"/>
          </w:tcPr>
          <w:p w14:paraId="34CCEC4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0A91E5D">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10635-2013</w:t>
            </w:r>
          </w:p>
          <w:p w14:paraId="47130DD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2564.2-2012</w:t>
            </w:r>
          </w:p>
          <w:p w14:paraId="2510ADB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2564.3-2012</w:t>
            </w:r>
          </w:p>
          <w:p w14:paraId="41079EC5">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2564.4-2012</w:t>
            </w:r>
          </w:p>
          <w:p w14:paraId="025E2063">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2564 5-2012</w:t>
            </w:r>
          </w:p>
        </w:tc>
        <w:tc>
          <w:tcPr>
            <w:tcW w:w="3895" w:type="dxa"/>
            <w:vAlign w:val="center"/>
          </w:tcPr>
          <w:p w14:paraId="4AC666BB">
            <w:pPr>
              <w:spacing w:before="55" w:beforeAutospacing="0" w:after="0" w:afterAutospacing="0"/>
              <w:ind w:left="71" w:right="3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旋柄质量、旋杆质量、旋杆的表面处理、工作部偏斜、尺寸、旋杆硬度、连接强度、扭矩、磁性、垂直度</w:t>
            </w:r>
          </w:p>
        </w:tc>
      </w:tr>
      <w:tr w14:paraId="6D17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AF51CAC">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2215BE4C">
            <w:pPr>
              <w:spacing w:before="55" w:beforeAutospacing="0" w:after="0" w:afterAutospacing="0"/>
              <w:ind w:left="71" w:right="71" w:hanging="56"/>
              <w:rPr>
                <w:rFonts w:hint="eastAsia" w:ascii="宋体" w:hAnsi="宋体" w:eastAsia="宋体" w:cs="宋体"/>
                <w:sz w:val="24"/>
                <w:szCs w:val="24"/>
                <w:highlight w:val="none"/>
              </w:rPr>
            </w:pPr>
            <w:r>
              <w:rPr>
                <w:rFonts w:hint="eastAsia" w:ascii="宋体" w:hAnsi="宋体" w:eastAsia="宋体" w:cs="宋体"/>
                <w:sz w:val="24"/>
                <w:szCs w:val="24"/>
                <w:highlight w:val="none"/>
              </w:rPr>
              <w:t>通用阀门</w:t>
            </w:r>
          </w:p>
        </w:tc>
        <w:tc>
          <w:tcPr>
            <w:tcW w:w="768" w:type="dxa"/>
            <w:vAlign w:val="center"/>
          </w:tcPr>
          <w:p w14:paraId="6DB0929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F230A8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4213-2008</w:t>
            </w:r>
          </w:p>
          <w:p w14:paraId="57989A0C">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12232-2005</w:t>
            </w:r>
          </w:p>
          <w:p w14:paraId="23CDF2C7">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12233-2006</w:t>
            </w:r>
          </w:p>
          <w:p w14:paraId="27D797C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12234-2007</w:t>
            </w:r>
          </w:p>
          <w:p w14:paraId="7714F903">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12235-2007</w:t>
            </w:r>
          </w:p>
          <w:p w14:paraId="11F971C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12236-2008</w:t>
            </w:r>
          </w:p>
          <w:p w14:paraId="33299454">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12237-2007</w:t>
            </w:r>
          </w:p>
          <w:p w14:paraId="37038B2F">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12238-2008</w:t>
            </w:r>
          </w:p>
          <w:p w14:paraId="3F89DF1C">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JB/T 7746-2006</w:t>
            </w:r>
          </w:p>
        </w:tc>
        <w:tc>
          <w:tcPr>
            <w:tcW w:w="3895" w:type="dxa"/>
            <w:vAlign w:val="center"/>
          </w:tcPr>
          <w:p w14:paraId="159753E0">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耐压强度、  (壳体试验) ；填料函及其他连接处的密封性、气室密封性；泄漏量试验；壳体最小壁厚；额定行程偏差；基本误差；回差；死区；始终点偏差；连接尺寸；外观质量；标志铭牌；密封试验；上密封试验阀座(通道、流道)最小直径；阀杆最小直径；启闭动作；</w:t>
            </w:r>
          </w:p>
        </w:tc>
      </w:tr>
      <w:tr w14:paraId="7124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7A38037">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88B161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LED模块用电子控制装置</w:t>
            </w:r>
          </w:p>
        </w:tc>
        <w:tc>
          <w:tcPr>
            <w:tcW w:w="768" w:type="dxa"/>
            <w:vAlign w:val="center"/>
          </w:tcPr>
          <w:p w14:paraId="7EFCB38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B6C734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19510.1-2009     灯的控制装置第 1 部分：一般要求和安全要求</w:t>
            </w:r>
          </w:p>
          <w:p w14:paraId="2FF3353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GB19510.14-2009    灯的控制装置第 14 部分：LED 模块用直流或交流电子控制装置的特殊要求</w:t>
            </w:r>
          </w:p>
          <w:p w14:paraId="053F694B">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产品明示质量指标及国家法律、法规、规章的有关规定</w:t>
            </w:r>
          </w:p>
        </w:tc>
        <w:tc>
          <w:tcPr>
            <w:tcW w:w="3895" w:type="dxa"/>
            <w:vAlign w:val="center"/>
          </w:tcPr>
          <w:p w14:paraId="6A9103F3">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非安全特低电压(SELV)输出的 LED 模块用电子控制装置：</w:t>
            </w:r>
          </w:p>
          <w:p w14:paraId="39CA80F5">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标志、防止意外接触带电部件的措施、接线端子、保护接地装置、防潮与绝缘、介电强度、结构、爬电距离和电气间隙、螺钉、载流部件及连接件、异常状态、耐热、防火和耐漏电起痕、耐腐蚀</w:t>
            </w:r>
          </w:p>
          <w:p w14:paraId="5084321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安全特低电压(SELV)输出的 LED 模块用电子控制装置：</w:t>
            </w:r>
          </w:p>
          <w:p w14:paraId="6BE8BE0F">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防止意外接触带电部件的措施、接线端子、保护接地装置、防潮与绝缘、介电强度、结构、爬电距离和电气间隙、螺钉、载流部件及连接件、防电击保护措施、加热、零部件、异常状态、耐热、防火和耐漏电起痕、耐腐蚀、短路与过载保护</w:t>
            </w:r>
          </w:p>
        </w:tc>
      </w:tr>
      <w:tr w14:paraId="6B60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5EE925B1">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796099E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w:t>
            </w:r>
          </w:p>
        </w:tc>
        <w:tc>
          <w:tcPr>
            <w:tcW w:w="768" w:type="dxa"/>
            <w:vAlign w:val="center"/>
          </w:tcPr>
          <w:p w14:paraId="12AA71F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26C5C2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GB7000.1-2015     《灯具：第 1 部分一般要求与试验》 GB 7000.201-2008   《灯具第 2-1 部分：特殊要求固定式通用灯具》</w:t>
            </w:r>
          </w:p>
          <w:p w14:paraId="539A656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7000.202-2008   《灯具第 2-2 部分：特殊要求嵌入式灯具》</w:t>
            </w:r>
          </w:p>
          <w:p w14:paraId="35CC068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7000.204-2008   《灯具第 2-4 部分：特殊要求可移式通用灯具》</w:t>
            </w:r>
          </w:p>
          <w:p w14:paraId="1797C51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7000.213-2008   《灯具第 2-13 部分：特殊要求地面嵌入式灯具》</w:t>
            </w:r>
          </w:p>
          <w:p w14:paraId="7252148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17743-2017    《电气照明和类似设备的无线电骚扰特性的限值和测量方法》</w:t>
            </w:r>
          </w:p>
          <w:p w14:paraId="382C2E3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17625.1-2012    《电磁兼容限值谐波电流发射限值(设备每相输入电流≤16A)》</w:t>
            </w:r>
          </w:p>
          <w:p w14:paraId="593A3B1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产品明示质量指标及国家法律、法规、规章的有关规定</w:t>
            </w:r>
          </w:p>
        </w:tc>
        <w:tc>
          <w:tcPr>
            <w:tcW w:w="3895" w:type="dxa"/>
            <w:vAlign w:val="center"/>
          </w:tcPr>
          <w:p w14:paraId="6ECD20B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标记、结构、爬电距离和电气间隙、接地规定、接线端子、外</w:t>
            </w:r>
          </w:p>
          <w:p w14:paraId="2B3372E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部接线和内部接线、防触电保护、耐久性试验和热试验、防尘、防水和防固体异物、绝缘电阻和电气强度、接触电流和保护导体电流、耐热、耐火和耐起痕、插入损耗、骚扰电压、辐射电磁骚扰、谐波电流</w:t>
            </w:r>
          </w:p>
        </w:tc>
      </w:tr>
      <w:tr w14:paraId="7C7B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7158DA2">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7AC1751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儿童灯具</w:t>
            </w:r>
          </w:p>
        </w:tc>
        <w:tc>
          <w:tcPr>
            <w:tcW w:w="768" w:type="dxa"/>
            <w:vAlign w:val="center"/>
          </w:tcPr>
          <w:p w14:paraId="5B45291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89455B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7000.1-2015 《灯具第 1 部分:一般要求与试验》</w:t>
            </w:r>
          </w:p>
          <w:p w14:paraId="5A3E964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GB7000.4-2007</w:t>
            </w:r>
          </w:p>
          <w:p w14:paraId="2085853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《灯具第 2-10 部分:特殊要求儿童用可移式灯具》</w:t>
            </w:r>
          </w:p>
          <w:p w14:paraId="7DD5892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17743-2017 《电气照明和类似设备的无线电骚扰特性的限值和测量方法》</w:t>
            </w:r>
          </w:p>
          <w:p w14:paraId="2F41421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17625.1-2012 《电磁兼容限值谐波电流发射限值(设备每相输入电流≤16A)》</w:t>
            </w:r>
          </w:p>
        </w:tc>
        <w:tc>
          <w:tcPr>
            <w:tcW w:w="3895" w:type="dxa"/>
            <w:vAlign w:val="center"/>
          </w:tcPr>
          <w:p w14:paraId="7DB1543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记，结构，爬电距离和电气间隙，接地规定，接线端子，外部接线和内部接线，防触电保护，耐久性试验和热试验，防尘和防潮，绝缘电阻和电气强度、接触电流和保护导体电流，耐热、耐火和耐电痕，插入损耗，骚扰电压，辐射电磁骚扰，谐波电流</w:t>
            </w:r>
          </w:p>
        </w:tc>
      </w:tr>
      <w:tr w14:paraId="350F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9A395BC">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35F086E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卫生间附属配件</w:t>
            </w:r>
          </w:p>
        </w:tc>
        <w:tc>
          <w:tcPr>
            <w:tcW w:w="768" w:type="dxa"/>
            <w:vAlign w:val="center"/>
          </w:tcPr>
          <w:p w14:paraId="6EA1376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C2CED47">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QB/T1560-2017</w:t>
            </w:r>
          </w:p>
        </w:tc>
        <w:tc>
          <w:tcPr>
            <w:tcW w:w="3895" w:type="dxa"/>
            <w:vAlign w:val="center"/>
          </w:tcPr>
          <w:p w14:paraId="437E8AA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产品外观要求、浴帘杆要求、浴缸拉手要求、毛巾架和电热毛巾架要求、浴巾架要求、毛巾环要求、皂盒要求、手纸架要求、衣钩要求、镜夹要求、便刷要求、杯架要求、化妆架要求、电吹风座要求、伸缩晾衣绳要求、牙刷杯架要求、置物架要求、皂液器给皂量误差、皂液器使用性能、皂液器机械强度、涂、镀层附着强度、表面耐腐蚀性能</w:t>
            </w:r>
          </w:p>
        </w:tc>
      </w:tr>
      <w:tr w14:paraId="64F3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B59F30A">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234E78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卫生洁具软管</w:t>
            </w:r>
          </w:p>
        </w:tc>
        <w:tc>
          <w:tcPr>
            <w:tcW w:w="768" w:type="dxa"/>
            <w:vAlign w:val="center"/>
          </w:tcPr>
          <w:p w14:paraId="6FFF07D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F4EB3B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GB/T23448-2009</w:t>
            </w:r>
          </w:p>
        </w:tc>
        <w:tc>
          <w:tcPr>
            <w:tcW w:w="3895" w:type="dxa"/>
            <w:vAlign w:val="center"/>
          </w:tcPr>
          <w:p w14:paraId="383E52D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标识、尺寸、螺纹连接、外观、耐腐蚀性能、耐老化性、密封性、耐压性、抗拉伸性、抗脉冲性、抗弯曲性、耐冷热循环性</w:t>
            </w:r>
          </w:p>
        </w:tc>
      </w:tr>
      <w:tr w14:paraId="3296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DE9794C">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center"/>
          </w:tcPr>
          <w:p w14:paraId="045AB19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灯具(LED 灯)</w:t>
            </w:r>
          </w:p>
        </w:tc>
        <w:tc>
          <w:tcPr>
            <w:tcW w:w="768" w:type="dxa"/>
            <w:vAlign w:val="center"/>
          </w:tcPr>
          <w:p w14:paraId="21E1E9D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C933BE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GB7000.1-2015</w:t>
            </w:r>
          </w:p>
          <w:p w14:paraId="17CF465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《灯具第 1 部分:一般要求与试验》</w:t>
            </w:r>
          </w:p>
          <w:p w14:paraId="0053660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GB7000.201-2008</w:t>
            </w:r>
          </w:p>
          <w:p w14:paraId="494953C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《灯具第 2-1 部分:特殊要求固定式通用灯具》</w:t>
            </w:r>
          </w:p>
          <w:p w14:paraId="44D1F66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GB7000.202-2008</w:t>
            </w:r>
          </w:p>
          <w:p w14:paraId="2F16D98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《灯具第 2-2 部分:特殊要求嵌入式灯具》</w:t>
            </w:r>
          </w:p>
          <w:p w14:paraId="2D41F53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GB7000.204-2008</w:t>
            </w:r>
          </w:p>
          <w:p w14:paraId="3725A00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《灯具第 2-4 部分:特殊要求可移式通用灯具》</w:t>
            </w:r>
          </w:p>
          <w:p w14:paraId="0FC894C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17743-2017</w:t>
            </w:r>
          </w:p>
          <w:p w14:paraId="6874F6E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《电气照明和类似设备的无线电骚扰特性的限值和测量方法》</w:t>
            </w:r>
          </w:p>
          <w:p w14:paraId="5A9F6A1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GB17625.1-2012</w:t>
            </w:r>
          </w:p>
          <w:p w14:paraId="2A89EED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《电磁兼容限值谐波电流发射限值(设备每相输入电流≤16A)》</w:t>
            </w:r>
          </w:p>
        </w:tc>
        <w:tc>
          <w:tcPr>
            <w:tcW w:w="3895" w:type="dxa"/>
            <w:vAlign w:val="center"/>
          </w:tcPr>
          <w:p w14:paraId="1C954F2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标记，结构，爬电距离和电气间隙，接地规定，接线端子，外</w:t>
            </w:r>
          </w:p>
          <w:p w14:paraId="1B2EF62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部接线和内部接线，防触电保护，耐久性试验和热试验，防尘、防水和防固体异物，绝缘电阻和电气强度、接触电流和保护导体电流，耐热、耐火和耐电痕，插入损耗，骚扰电压，辐射电磁骚扰，谐波电流</w:t>
            </w:r>
          </w:p>
        </w:tc>
      </w:tr>
      <w:tr w14:paraId="27DE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14:paraId="1E8F52ED">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Merge w:val="restart"/>
            <w:vAlign w:val="center"/>
          </w:tcPr>
          <w:p w14:paraId="4F0BDD0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开关插座</w:t>
            </w:r>
          </w:p>
        </w:tc>
        <w:tc>
          <w:tcPr>
            <w:tcW w:w="768" w:type="dxa"/>
            <w:vMerge w:val="restart"/>
            <w:vAlign w:val="center"/>
          </w:tcPr>
          <w:p w14:paraId="16EE232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61D40B6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16915.1-2014</w:t>
            </w:r>
          </w:p>
          <w:p w14:paraId="2ADCE29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《家用和类似用途固定式电气装置的开关第 1 部分:通用要求》</w:t>
            </w:r>
          </w:p>
        </w:tc>
        <w:tc>
          <w:tcPr>
            <w:tcW w:w="3895" w:type="dxa"/>
            <w:vAlign w:val="center"/>
          </w:tcPr>
          <w:p w14:paraId="7A79C10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 防触电保护, 接地措施, 端子, 结构要求, 开关机构,耐老化、开关外壳提供的防护和防潮, 绝缘电阻和电气强度,温升, 通断能力, 正常操作, 机械强度, 耐热, 螺钉、载流部件和连接, 爬电距离、电气间隙和穿通密封胶距离, 绝缘材料的耐非正常热、耐燃和耐电痕化</w:t>
            </w:r>
          </w:p>
        </w:tc>
      </w:tr>
      <w:tr w14:paraId="6878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6D37F651">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Merge w:val="continue"/>
            <w:vAlign w:val="center"/>
          </w:tcPr>
          <w:p w14:paraId="381CD464">
            <w:pPr>
              <w:spacing w:before="55" w:beforeAutospacing="0" w:after="0" w:afterAutospacing="0"/>
              <w:ind w:left="71" w:right="11" w:hanging="56"/>
              <w:rPr>
                <w:rFonts w:hint="eastAsia" w:ascii="宋体" w:hAnsi="宋体" w:eastAsia="宋体" w:cs="宋体"/>
                <w:sz w:val="24"/>
                <w:szCs w:val="24"/>
                <w:highlight w:val="none"/>
              </w:rPr>
            </w:pPr>
          </w:p>
        </w:tc>
        <w:tc>
          <w:tcPr>
            <w:tcW w:w="768" w:type="dxa"/>
            <w:vMerge w:val="continue"/>
            <w:vAlign w:val="center"/>
          </w:tcPr>
          <w:p w14:paraId="7A714A27">
            <w:pPr>
              <w:spacing w:before="55" w:beforeAutospacing="0" w:after="0" w:afterAutospacing="0"/>
              <w:ind w:left="71" w:right="11" w:hanging="56"/>
              <w:rPr>
                <w:rFonts w:hint="eastAsia" w:ascii="宋体" w:hAnsi="宋体" w:eastAsia="宋体" w:cs="宋体"/>
                <w:sz w:val="24"/>
                <w:szCs w:val="24"/>
                <w:highlight w:val="none"/>
              </w:rPr>
            </w:pPr>
          </w:p>
        </w:tc>
        <w:tc>
          <w:tcPr>
            <w:tcW w:w="2136" w:type="dxa"/>
            <w:vAlign w:val="center"/>
          </w:tcPr>
          <w:p w14:paraId="0EF1745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2099.1-2008</w:t>
            </w:r>
          </w:p>
          <w:p w14:paraId="13A4ABD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《家用和类似用途插头插座第 1 部分:通用要求》；</w:t>
            </w:r>
          </w:p>
          <w:p w14:paraId="0A8A7D2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1002-2008《家用和类似用途单相插头插座型式、基本参数和尺寸》</w:t>
            </w:r>
          </w:p>
        </w:tc>
        <w:tc>
          <w:tcPr>
            <w:tcW w:w="3895" w:type="dxa"/>
            <w:vAlign w:val="center"/>
          </w:tcPr>
          <w:p w14:paraId="0D7F374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尺寸检查，防触电保护，接地措施，端子和端头，固定式插座的结构，耐老化、由外壳提供的防护和防潮，绝缘电阻和电气强度，温升，分断容量，正常操作，拔出插头所需的力，机械强度，耐热，螺钉、载流部件及其连接，爬电距离、电气间隙和通过密封胶的距离，绝缘材料的耐非正常热、耐燃和耐电痕化</w:t>
            </w:r>
          </w:p>
        </w:tc>
      </w:tr>
      <w:tr w14:paraId="4648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362199C">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center"/>
          </w:tcPr>
          <w:p w14:paraId="1D10BD5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强化地板</w:t>
            </w:r>
          </w:p>
        </w:tc>
        <w:tc>
          <w:tcPr>
            <w:tcW w:w="768" w:type="dxa"/>
            <w:vAlign w:val="center"/>
          </w:tcPr>
          <w:p w14:paraId="066EDF7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542AB6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GB/T18102-2007 《浸渍纸层压木质地板》</w:t>
            </w:r>
          </w:p>
          <w:p w14:paraId="54261B87">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LY/T 1859-2009 《仿古木质地板</w:t>
            </w:r>
          </w:p>
          <w:p w14:paraId="71F23A0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18580-2017 《室内装饰装修材料人造板及其制品中甲醛释放限量》</w:t>
            </w:r>
          </w:p>
        </w:tc>
        <w:tc>
          <w:tcPr>
            <w:tcW w:w="3895" w:type="dxa"/>
            <w:vAlign w:val="center"/>
          </w:tcPr>
          <w:p w14:paraId="0AB81E4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静曲强度、内结合强度、含水率、吸水厚度膨胀率、表面胶合强度、表面耐磨、甲醛释放量</w:t>
            </w:r>
          </w:p>
        </w:tc>
      </w:tr>
      <w:tr w14:paraId="3223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C8BB7C2">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top"/>
          </w:tcPr>
          <w:p w14:paraId="76A5C3B3">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热轧带肋钢筋</w:t>
            </w:r>
          </w:p>
        </w:tc>
        <w:tc>
          <w:tcPr>
            <w:tcW w:w="768" w:type="dxa"/>
            <w:vAlign w:val="top"/>
          </w:tcPr>
          <w:p w14:paraId="6C3CD94A">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top"/>
          </w:tcPr>
          <w:p w14:paraId="738C8A64">
            <w:pPr>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GB/T 1499.2-2018   钢筋混凝土用钢 第1部分：热轧带肋钢筋</w:t>
            </w:r>
          </w:p>
        </w:tc>
        <w:tc>
          <w:tcPr>
            <w:tcW w:w="3895" w:type="dxa"/>
            <w:vAlign w:val="top"/>
          </w:tcPr>
          <w:p w14:paraId="3AD2D9E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力学性能(拉伸试验)、工艺性能（弯曲、反向弯曲）、化学成分（C、Si、Mn、P、S、C</w:t>
            </w:r>
            <w:r>
              <w:rPr>
                <w:rFonts w:hint="eastAsia" w:ascii="宋体" w:hAnsi="宋体" w:eastAsia="宋体" w:cs="宋体"/>
                <w:sz w:val="24"/>
                <w:szCs w:val="24"/>
                <w:highlight w:val="none"/>
                <w:vertAlign w:val="subscript"/>
              </w:rPr>
              <w:t>eq）</w:t>
            </w:r>
            <w:r>
              <w:rPr>
                <w:rFonts w:hint="eastAsia" w:ascii="宋体" w:hAnsi="宋体" w:eastAsia="宋体" w:cs="宋体"/>
                <w:sz w:val="24"/>
                <w:szCs w:val="24"/>
                <w:highlight w:val="none"/>
              </w:rPr>
              <w:t>尺寸外形、重量偏差、金相组织、表面标志</w:t>
            </w:r>
          </w:p>
        </w:tc>
      </w:tr>
      <w:tr w14:paraId="4477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8D10F36">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top"/>
          </w:tcPr>
          <w:p w14:paraId="4EA30EA5">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热轧光圆钢筋</w:t>
            </w:r>
          </w:p>
        </w:tc>
        <w:tc>
          <w:tcPr>
            <w:tcW w:w="768" w:type="dxa"/>
            <w:vAlign w:val="top"/>
          </w:tcPr>
          <w:p w14:paraId="2C749D97">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top"/>
          </w:tcPr>
          <w:p w14:paraId="7E3EEABA">
            <w:pPr>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GB/T 1499.1-2017   钢筋混凝土用钢 第1部分：热轧光圆钢筋</w:t>
            </w:r>
          </w:p>
        </w:tc>
        <w:tc>
          <w:tcPr>
            <w:tcW w:w="3895" w:type="dxa"/>
            <w:vAlign w:val="top"/>
          </w:tcPr>
          <w:p w14:paraId="4E9AC75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力学性能(拉伸试验)、工艺性能（弯曲）、化学成分（C、Si、Mn、P、S）尺寸、重量偏差</w:t>
            </w:r>
          </w:p>
        </w:tc>
      </w:tr>
      <w:tr w14:paraId="32E8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683F06A">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top"/>
          </w:tcPr>
          <w:p w14:paraId="413C6DE0">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热轧型钢</w:t>
            </w:r>
          </w:p>
        </w:tc>
        <w:tc>
          <w:tcPr>
            <w:tcW w:w="768" w:type="dxa"/>
            <w:vAlign w:val="top"/>
          </w:tcPr>
          <w:p w14:paraId="1B2D2A7A">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43BF1FFB">
            <w:pPr>
              <w:widowControl/>
              <w:adjustRightInd/>
              <w:snapToGrid w:val="0"/>
              <w:spacing w:before="0" w:beforeAutospacing="0" w:after="0" w:afterAutospacing="0"/>
              <w:ind w:left="0" w:right="0"/>
              <w:textAlignment w:val="baseline"/>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GB/T 706—2016 </w:t>
            </w:r>
            <w:r>
              <w:rPr>
                <w:rFonts w:hint="eastAsia" w:ascii="宋体" w:hAnsi="宋体" w:eastAsia="宋体" w:cs="宋体"/>
                <w:color w:val="000000"/>
                <w:sz w:val="24"/>
                <w:szCs w:val="24"/>
                <w:highlight w:val="none"/>
              </w:rPr>
              <w:t>热轧型钢</w:t>
            </w:r>
          </w:p>
          <w:p w14:paraId="1E362BA5">
            <w:pPr>
              <w:widowControl/>
              <w:adjustRightInd/>
              <w:snapToGrid w:val="0"/>
              <w:spacing w:before="0" w:beforeAutospacing="0" w:after="0" w:afterAutospacing="0"/>
              <w:ind w:left="0" w:righ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11263—2017 </w:t>
            </w:r>
            <w:r>
              <w:rPr>
                <w:rFonts w:hint="eastAsia" w:ascii="宋体" w:hAnsi="宋体" w:eastAsia="宋体" w:cs="宋体"/>
                <w:color w:val="000000"/>
                <w:sz w:val="24"/>
                <w:szCs w:val="24"/>
                <w:highlight w:val="none"/>
              </w:rPr>
              <w:t>热轧H型钢和部分T型钢</w:t>
            </w:r>
          </w:p>
        </w:tc>
        <w:tc>
          <w:tcPr>
            <w:tcW w:w="3895" w:type="dxa"/>
            <w:vAlign w:val="top"/>
          </w:tcPr>
          <w:p w14:paraId="424FE010">
            <w:pPr>
              <w:spacing w:before="0" w:beforeAutospacing="0" w:after="0" w:afterAutospacing="0" w:line="284"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化学成分（C、Si、Mn、P、S）、力学性能（拉伸试验、冲击试验）、工艺性能（弯曲试验）、尺寸外形</w:t>
            </w:r>
          </w:p>
        </w:tc>
      </w:tr>
      <w:tr w14:paraId="7BCB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A23BD1A">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top"/>
          </w:tcPr>
          <w:p w14:paraId="11A09A5E">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食品接触不锈钢保制品</w:t>
            </w:r>
          </w:p>
        </w:tc>
        <w:tc>
          <w:tcPr>
            <w:tcW w:w="768" w:type="dxa"/>
            <w:vAlign w:val="top"/>
          </w:tcPr>
          <w:p w14:paraId="74D129BC">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6638443F">
            <w:pPr>
              <w:spacing w:before="0" w:beforeAutospacing="0" w:after="0" w:afterAutospacing="0" w:line="250" w:lineRule="auto"/>
              <w:ind w:left="0" w:right="0"/>
              <w:rPr>
                <w:rFonts w:hint="eastAsia" w:ascii="宋体" w:hAnsi="宋体" w:eastAsia="宋体" w:cs="宋体"/>
                <w:sz w:val="24"/>
                <w:szCs w:val="24"/>
                <w:highlight w:val="none"/>
              </w:rPr>
            </w:pPr>
          </w:p>
          <w:p w14:paraId="7CE4B374">
            <w:pPr>
              <w:spacing w:before="42" w:beforeAutospacing="0" w:after="0" w:afterAutospacing="0" w:line="253" w:lineRule="auto"/>
              <w:ind w:left="14" w:leftChars="0" w:right="21" w:hanging="2"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GB4806</w:t>
            </w:r>
            <w:r>
              <w:rPr>
                <w:rFonts w:hint="eastAsia" w:ascii="宋体" w:hAnsi="宋体" w:eastAsia="宋体" w:cs="宋体"/>
                <w:spacing w:val="1"/>
                <w:sz w:val="24"/>
                <w:szCs w:val="24"/>
                <w:highlight w:val="none"/>
              </w:rPr>
              <w:t>.9-2016</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《食品安全国家标准 食品接</w:t>
            </w:r>
            <w:r>
              <w:rPr>
                <w:rFonts w:hint="eastAsia" w:ascii="宋体" w:hAnsi="宋体" w:eastAsia="宋体" w:cs="宋体"/>
                <w:spacing w:val="4"/>
                <w:sz w:val="24"/>
                <w:szCs w:val="24"/>
                <w:highlight w:val="none"/>
              </w:rPr>
              <w:t>触用</w:t>
            </w:r>
            <w:r>
              <w:rPr>
                <w:rFonts w:hint="eastAsia" w:ascii="宋体" w:hAnsi="宋体" w:eastAsia="宋体" w:cs="宋体"/>
                <w:spacing w:val="3"/>
                <w:sz w:val="24"/>
                <w:szCs w:val="24"/>
                <w:highlight w:val="none"/>
              </w:rPr>
              <w:t>金</w:t>
            </w:r>
            <w:r>
              <w:rPr>
                <w:rFonts w:hint="eastAsia" w:ascii="宋体" w:hAnsi="宋体" w:eastAsia="宋体" w:cs="宋体"/>
                <w:spacing w:val="2"/>
                <w:sz w:val="24"/>
                <w:szCs w:val="24"/>
                <w:highlight w:val="none"/>
              </w:rPr>
              <w:t>属材料及制品》、GB4806</w:t>
            </w:r>
            <w:r>
              <w:rPr>
                <w:rFonts w:hint="eastAsia" w:ascii="宋体" w:hAnsi="宋体" w:eastAsia="宋体" w:cs="宋体"/>
                <w:spacing w:val="1"/>
                <w:sz w:val="24"/>
                <w:szCs w:val="24"/>
                <w:highlight w:val="none"/>
              </w:rPr>
              <w:t>.9-2023</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《食品安全国家标准 食品接</w:t>
            </w:r>
            <w:r>
              <w:rPr>
                <w:rFonts w:hint="eastAsia" w:ascii="宋体" w:hAnsi="宋体" w:eastAsia="宋体" w:cs="宋体"/>
                <w:spacing w:val="4"/>
                <w:sz w:val="24"/>
                <w:szCs w:val="24"/>
                <w:highlight w:val="none"/>
              </w:rPr>
              <w:t>触用</w:t>
            </w:r>
            <w:r>
              <w:rPr>
                <w:rFonts w:hint="eastAsia" w:ascii="宋体" w:hAnsi="宋体" w:eastAsia="宋体" w:cs="宋体"/>
                <w:spacing w:val="3"/>
                <w:sz w:val="24"/>
                <w:szCs w:val="24"/>
                <w:highlight w:val="none"/>
              </w:rPr>
              <w:t>金</w:t>
            </w:r>
            <w:r>
              <w:rPr>
                <w:rFonts w:hint="eastAsia" w:ascii="宋体" w:hAnsi="宋体" w:eastAsia="宋体" w:cs="宋体"/>
                <w:spacing w:val="2"/>
                <w:sz w:val="24"/>
                <w:szCs w:val="24"/>
                <w:highlight w:val="none"/>
              </w:rPr>
              <w:t>属材料及制品》、GB31604.49-2023《</w:t>
            </w:r>
            <w:r>
              <w:rPr>
                <w:rFonts w:hint="eastAsia" w:ascii="宋体" w:hAnsi="宋体" w:eastAsia="宋体" w:cs="宋体"/>
                <w:sz w:val="24"/>
                <w:szCs w:val="24"/>
                <w:highlight w:val="none"/>
                <w:shd w:val="clear" w:color="auto" w:fill="FEFFFF"/>
              </w:rPr>
              <w:t>食品安全国家标准 食品接触材料及制品 多元素的测定和多元素迁移量的测定</w:t>
            </w:r>
            <w:r>
              <w:rPr>
                <w:rFonts w:hint="eastAsia" w:ascii="宋体" w:hAnsi="宋体" w:eastAsia="宋体" w:cs="宋体"/>
                <w:spacing w:val="2"/>
                <w:sz w:val="24"/>
                <w:szCs w:val="24"/>
                <w:highlight w:val="none"/>
              </w:rPr>
              <w:t>》</w:t>
            </w:r>
          </w:p>
        </w:tc>
        <w:tc>
          <w:tcPr>
            <w:tcW w:w="3895" w:type="dxa"/>
            <w:vAlign w:val="top"/>
          </w:tcPr>
          <w:p w14:paraId="22AACFA1">
            <w:pPr>
              <w:spacing w:before="161" w:beforeAutospacing="0" w:after="0" w:afterAutospacing="0" w:line="513" w:lineRule="auto"/>
              <w:ind w:left="16" w:right="1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铅</w:t>
            </w:r>
            <w:r>
              <w:rPr>
                <w:rFonts w:hint="eastAsia" w:ascii="宋体" w:hAnsi="宋体" w:eastAsia="宋体" w:cs="宋体"/>
                <w:spacing w:val="5"/>
                <w:sz w:val="24"/>
                <w:szCs w:val="24"/>
                <w:highlight w:val="none"/>
              </w:rPr>
              <w:t>、</w:t>
            </w:r>
            <w:r>
              <w:rPr>
                <w:rFonts w:hint="eastAsia" w:ascii="宋体" w:hAnsi="宋体" w:eastAsia="宋体" w:cs="宋体"/>
                <w:spacing w:val="4"/>
                <w:sz w:val="24"/>
                <w:szCs w:val="24"/>
                <w:highlight w:val="none"/>
              </w:rPr>
              <w:t>镉、砷、镍、铬、感官要求</w:t>
            </w:r>
          </w:p>
          <w:p w14:paraId="4D0041CA">
            <w:pPr>
              <w:spacing w:before="0" w:beforeAutospacing="0" w:after="0" w:afterAutospacing="0" w:line="284" w:lineRule="auto"/>
              <w:ind w:left="0" w:right="0"/>
              <w:rPr>
                <w:rFonts w:hint="eastAsia" w:ascii="宋体" w:hAnsi="宋体" w:eastAsia="宋体" w:cs="宋体"/>
                <w:sz w:val="24"/>
                <w:szCs w:val="24"/>
                <w:highlight w:val="none"/>
              </w:rPr>
            </w:pPr>
          </w:p>
        </w:tc>
      </w:tr>
      <w:tr w14:paraId="414D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14:paraId="46E35A4A">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Merge w:val="restart"/>
            <w:vAlign w:val="top"/>
          </w:tcPr>
          <w:p w14:paraId="3F258641">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焊接钢管</w:t>
            </w:r>
          </w:p>
        </w:tc>
        <w:tc>
          <w:tcPr>
            <w:tcW w:w="768" w:type="dxa"/>
            <w:vMerge w:val="restart"/>
            <w:vAlign w:val="top"/>
          </w:tcPr>
          <w:p w14:paraId="5B002F9E">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25FB39CC">
            <w:pPr>
              <w:adjustRightInd/>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GB/T 3091-2015   低压流体输送用焊接钢管</w:t>
            </w:r>
          </w:p>
        </w:tc>
        <w:tc>
          <w:tcPr>
            <w:tcW w:w="3895" w:type="dxa"/>
            <w:vAlign w:val="top"/>
          </w:tcPr>
          <w:p w14:paraId="43E6109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尺寸、力学性能（拉伸试验）、工艺性能（弯曲试验）</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工艺性能（压扁试验）</w:t>
            </w:r>
            <w:r>
              <w:rPr>
                <w:rFonts w:hint="eastAsia" w:ascii="宋体" w:hAnsi="宋体" w:eastAsia="宋体" w:cs="宋体"/>
                <w:sz w:val="24"/>
                <w:szCs w:val="24"/>
                <w:highlight w:val="none"/>
              </w:rPr>
              <w:t>、镀锌层重量、镀锌层均匀性、镀锌层的附着力、</w:t>
            </w:r>
            <w:r>
              <w:rPr>
                <w:rFonts w:hint="eastAsia" w:ascii="宋体" w:hAnsi="宋体" w:eastAsia="宋体" w:cs="宋体"/>
                <w:color w:val="000000"/>
                <w:kern w:val="0"/>
                <w:sz w:val="24"/>
                <w:szCs w:val="24"/>
                <w:highlight w:val="none"/>
              </w:rPr>
              <w:t>化学成分</w:t>
            </w:r>
          </w:p>
        </w:tc>
      </w:tr>
      <w:tr w14:paraId="1DD7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17A27147">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rPr>
            </w:pPr>
          </w:p>
        </w:tc>
        <w:tc>
          <w:tcPr>
            <w:tcW w:w="936" w:type="dxa"/>
            <w:vMerge w:val="continue"/>
            <w:vAlign w:val="top"/>
          </w:tcPr>
          <w:p w14:paraId="36FE6B2C">
            <w:pPr>
              <w:spacing w:before="0" w:beforeAutospacing="0" w:after="0" w:afterAutospacing="0" w:line="283" w:lineRule="auto"/>
              <w:ind w:left="0" w:right="0"/>
              <w:rPr>
                <w:rFonts w:hint="eastAsia" w:ascii="宋体" w:hAnsi="宋体" w:eastAsia="宋体" w:cs="宋体"/>
                <w:sz w:val="24"/>
                <w:szCs w:val="24"/>
                <w:highlight w:val="none"/>
              </w:rPr>
            </w:pPr>
          </w:p>
        </w:tc>
        <w:tc>
          <w:tcPr>
            <w:tcW w:w="768" w:type="dxa"/>
            <w:vMerge w:val="continue"/>
            <w:vAlign w:val="top"/>
          </w:tcPr>
          <w:p w14:paraId="3CFD3230">
            <w:pPr>
              <w:spacing w:before="0" w:beforeAutospacing="0" w:after="0" w:afterAutospacing="0" w:line="283" w:lineRule="auto"/>
              <w:ind w:left="0" w:right="0"/>
              <w:rPr>
                <w:rFonts w:hint="eastAsia" w:ascii="宋体" w:hAnsi="宋体" w:eastAsia="宋体" w:cs="宋体"/>
                <w:sz w:val="24"/>
                <w:szCs w:val="24"/>
                <w:highlight w:val="none"/>
              </w:rPr>
            </w:pPr>
          </w:p>
        </w:tc>
        <w:tc>
          <w:tcPr>
            <w:tcW w:w="2136" w:type="dxa"/>
            <w:vAlign w:val="top"/>
          </w:tcPr>
          <w:p w14:paraId="580DF54F">
            <w:pPr>
              <w:adjustRightInd/>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GB/T 13793-2016  直缝电焊钢</w:t>
            </w:r>
          </w:p>
        </w:tc>
        <w:tc>
          <w:tcPr>
            <w:tcW w:w="3895" w:type="dxa"/>
            <w:vAlign w:val="top"/>
          </w:tcPr>
          <w:p w14:paraId="64A0F65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尺寸、力学性能（拉伸试验）、工艺性能（弯曲试验）</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工艺性能（压扁试验）</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工艺性能（扩口试验）</w:t>
            </w:r>
            <w:r>
              <w:rPr>
                <w:rFonts w:hint="eastAsia" w:ascii="宋体" w:hAnsi="宋体" w:eastAsia="宋体" w:cs="宋体"/>
                <w:sz w:val="24"/>
                <w:szCs w:val="24"/>
                <w:highlight w:val="none"/>
              </w:rPr>
              <w:t>、镀锌层重量、镀锌层均匀性、镀锌层的附着力、</w:t>
            </w:r>
            <w:r>
              <w:rPr>
                <w:rFonts w:hint="eastAsia" w:ascii="宋体" w:hAnsi="宋体" w:eastAsia="宋体" w:cs="宋体"/>
                <w:color w:val="000000"/>
                <w:kern w:val="0"/>
                <w:sz w:val="24"/>
                <w:szCs w:val="24"/>
                <w:highlight w:val="none"/>
              </w:rPr>
              <w:t>化学成分</w:t>
            </w:r>
          </w:p>
        </w:tc>
      </w:tr>
      <w:tr w14:paraId="13B4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4A1372FA">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rPr>
            </w:pPr>
          </w:p>
        </w:tc>
        <w:tc>
          <w:tcPr>
            <w:tcW w:w="936" w:type="dxa"/>
            <w:vMerge w:val="continue"/>
            <w:vAlign w:val="top"/>
          </w:tcPr>
          <w:p w14:paraId="5F595C47">
            <w:pPr>
              <w:spacing w:before="0" w:beforeAutospacing="0" w:after="0" w:afterAutospacing="0" w:line="283" w:lineRule="auto"/>
              <w:ind w:left="0" w:right="0"/>
              <w:rPr>
                <w:rFonts w:hint="eastAsia" w:ascii="宋体" w:hAnsi="宋体" w:eastAsia="宋体" w:cs="宋体"/>
                <w:sz w:val="24"/>
                <w:szCs w:val="24"/>
                <w:highlight w:val="none"/>
              </w:rPr>
            </w:pPr>
          </w:p>
        </w:tc>
        <w:tc>
          <w:tcPr>
            <w:tcW w:w="768" w:type="dxa"/>
            <w:vMerge w:val="continue"/>
            <w:vAlign w:val="top"/>
          </w:tcPr>
          <w:p w14:paraId="5E9AB751">
            <w:pPr>
              <w:spacing w:before="0" w:beforeAutospacing="0" w:after="0" w:afterAutospacing="0" w:line="283" w:lineRule="auto"/>
              <w:ind w:left="0" w:right="0"/>
              <w:rPr>
                <w:rFonts w:hint="eastAsia" w:ascii="宋体" w:hAnsi="宋体" w:eastAsia="宋体" w:cs="宋体"/>
                <w:sz w:val="24"/>
                <w:szCs w:val="24"/>
                <w:highlight w:val="none"/>
              </w:rPr>
            </w:pPr>
          </w:p>
        </w:tc>
        <w:tc>
          <w:tcPr>
            <w:tcW w:w="2136" w:type="dxa"/>
            <w:vAlign w:val="top"/>
          </w:tcPr>
          <w:p w14:paraId="4AD5577D">
            <w:pPr>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 539-2017      建筑用不锈钢焊接管材</w:t>
            </w:r>
          </w:p>
        </w:tc>
        <w:tc>
          <w:tcPr>
            <w:tcW w:w="3895" w:type="dxa"/>
            <w:vAlign w:val="top"/>
          </w:tcPr>
          <w:p w14:paraId="7BE5ED7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尺寸、力学性能（拉伸试验）、晶间腐蚀</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化学成分</w:t>
            </w:r>
          </w:p>
        </w:tc>
      </w:tr>
      <w:tr w14:paraId="5A10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4FB6B078">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rPr>
            </w:pPr>
          </w:p>
        </w:tc>
        <w:tc>
          <w:tcPr>
            <w:tcW w:w="936" w:type="dxa"/>
            <w:vMerge w:val="continue"/>
            <w:vAlign w:val="top"/>
          </w:tcPr>
          <w:p w14:paraId="64B3808E">
            <w:pPr>
              <w:spacing w:before="0" w:beforeAutospacing="0" w:after="0" w:afterAutospacing="0" w:line="283" w:lineRule="auto"/>
              <w:ind w:left="0" w:right="0"/>
              <w:rPr>
                <w:rFonts w:hint="eastAsia" w:ascii="宋体" w:hAnsi="宋体" w:eastAsia="宋体" w:cs="宋体"/>
                <w:sz w:val="24"/>
                <w:szCs w:val="24"/>
                <w:highlight w:val="none"/>
              </w:rPr>
            </w:pPr>
          </w:p>
        </w:tc>
        <w:tc>
          <w:tcPr>
            <w:tcW w:w="768" w:type="dxa"/>
            <w:vMerge w:val="continue"/>
            <w:vAlign w:val="top"/>
          </w:tcPr>
          <w:p w14:paraId="2FE035FB">
            <w:pPr>
              <w:spacing w:before="0" w:beforeAutospacing="0" w:after="0" w:afterAutospacing="0" w:line="283" w:lineRule="auto"/>
              <w:ind w:left="0" w:right="0"/>
              <w:rPr>
                <w:rFonts w:hint="eastAsia" w:ascii="宋体" w:hAnsi="宋体" w:eastAsia="宋体" w:cs="宋体"/>
                <w:sz w:val="24"/>
                <w:szCs w:val="24"/>
                <w:highlight w:val="none"/>
              </w:rPr>
            </w:pPr>
          </w:p>
        </w:tc>
        <w:tc>
          <w:tcPr>
            <w:tcW w:w="2136" w:type="dxa"/>
            <w:vAlign w:val="top"/>
          </w:tcPr>
          <w:p w14:paraId="110CD1F2">
            <w:pPr>
              <w:snapToGrid w:val="0"/>
              <w:spacing w:before="0" w:beforeAutospacing="0" w:after="0" w:afterAutospacing="0" w:line="264" w:lineRule="auto"/>
              <w:ind w:left="0" w:right="0"/>
              <w:textAlignment w:val="baseline"/>
              <w:rPr>
                <w:rFonts w:hint="eastAsia" w:ascii="宋体" w:hAnsi="宋体" w:eastAsia="宋体" w:cs="宋体"/>
                <w:sz w:val="24"/>
                <w:szCs w:val="24"/>
                <w:highlight w:val="none"/>
              </w:rPr>
            </w:pPr>
            <w:r>
              <w:rPr>
                <w:rFonts w:hint="eastAsia" w:ascii="宋体" w:hAnsi="宋体" w:eastAsia="宋体" w:cs="宋体"/>
                <w:kern w:val="0"/>
                <w:sz w:val="24"/>
                <w:szCs w:val="24"/>
                <w:highlight w:val="none"/>
              </w:rPr>
              <w:t>YB/T 5363-2016     装饰用焊接不锈钢管</w:t>
            </w:r>
          </w:p>
        </w:tc>
        <w:tc>
          <w:tcPr>
            <w:tcW w:w="3895" w:type="dxa"/>
            <w:vAlign w:val="top"/>
          </w:tcPr>
          <w:p w14:paraId="20890FB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尺寸、力学性能（拉伸试验）、弯曲试验</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压扁试验</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化学成分</w:t>
            </w:r>
          </w:p>
        </w:tc>
      </w:tr>
      <w:tr w14:paraId="3469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5387A7B9">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rPr>
            </w:pPr>
          </w:p>
        </w:tc>
        <w:tc>
          <w:tcPr>
            <w:tcW w:w="936" w:type="dxa"/>
            <w:vMerge w:val="continue"/>
            <w:vAlign w:val="top"/>
          </w:tcPr>
          <w:p w14:paraId="0655A6EB">
            <w:pPr>
              <w:spacing w:before="0" w:beforeAutospacing="0" w:after="0" w:afterAutospacing="0" w:line="283" w:lineRule="auto"/>
              <w:ind w:left="0" w:right="0"/>
              <w:rPr>
                <w:rFonts w:hint="eastAsia" w:ascii="宋体" w:hAnsi="宋体" w:eastAsia="宋体" w:cs="宋体"/>
                <w:sz w:val="24"/>
                <w:szCs w:val="24"/>
                <w:highlight w:val="none"/>
              </w:rPr>
            </w:pPr>
          </w:p>
        </w:tc>
        <w:tc>
          <w:tcPr>
            <w:tcW w:w="768" w:type="dxa"/>
            <w:vMerge w:val="continue"/>
            <w:vAlign w:val="top"/>
          </w:tcPr>
          <w:p w14:paraId="6FAE7B2F">
            <w:pPr>
              <w:spacing w:before="0" w:beforeAutospacing="0" w:after="0" w:afterAutospacing="0" w:line="283" w:lineRule="auto"/>
              <w:ind w:left="0" w:right="0"/>
              <w:rPr>
                <w:rFonts w:hint="eastAsia" w:ascii="宋体" w:hAnsi="宋体" w:eastAsia="宋体" w:cs="宋体"/>
                <w:sz w:val="24"/>
                <w:szCs w:val="24"/>
                <w:highlight w:val="none"/>
              </w:rPr>
            </w:pPr>
          </w:p>
        </w:tc>
        <w:tc>
          <w:tcPr>
            <w:tcW w:w="2136" w:type="dxa"/>
            <w:vAlign w:val="top"/>
          </w:tcPr>
          <w:p w14:paraId="13E701FF">
            <w:pPr>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12770-2012    机械结构用不锈钢焊接钢管</w:t>
            </w:r>
          </w:p>
        </w:tc>
        <w:tc>
          <w:tcPr>
            <w:tcW w:w="3895" w:type="dxa"/>
            <w:vAlign w:val="top"/>
          </w:tcPr>
          <w:p w14:paraId="2CE35CA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尺寸、力学性能（拉伸试验）、</w:t>
            </w:r>
            <w:r>
              <w:rPr>
                <w:rFonts w:hint="eastAsia" w:ascii="宋体" w:hAnsi="宋体" w:eastAsia="宋体" w:cs="宋体"/>
                <w:sz w:val="24"/>
                <w:szCs w:val="24"/>
                <w:highlight w:val="none"/>
              </w:rPr>
              <w:t>压扁试验、焊缝横向弯曲试验、化学成分</w:t>
            </w:r>
          </w:p>
        </w:tc>
      </w:tr>
      <w:tr w14:paraId="5704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30294CDA">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rPr>
            </w:pPr>
          </w:p>
        </w:tc>
        <w:tc>
          <w:tcPr>
            <w:tcW w:w="936" w:type="dxa"/>
            <w:vMerge w:val="continue"/>
            <w:vAlign w:val="top"/>
          </w:tcPr>
          <w:p w14:paraId="5190F6A2">
            <w:pPr>
              <w:spacing w:before="0" w:beforeAutospacing="0" w:after="0" w:afterAutospacing="0" w:line="283" w:lineRule="auto"/>
              <w:ind w:left="0" w:right="0"/>
              <w:rPr>
                <w:rFonts w:hint="eastAsia" w:ascii="宋体" w:hAnsi="宋体" w:eastAsia="宋体" w:cs="宋体"/>
                <w:sz w:val="24"/>
                <w:szCs w:val="24"/>
                <w:highlight w:val="none"/>
              </w:rPr>
            </w:pPr>
          </w:p>
        </w:tc>
        <w:tc>
          <w:tcPr>
            <w:tcW w:w="768" w:type="dxa"/>
            <w:vMerge w:val="continue"/>
            <w:vAlign w:val="top"/>
          </w:tcPr>
          <w:p w14:paraId="5C35282E">
            <w:pPr>
              <w:spacing w:before="0" w:beforeAutospacing="0" w:after="0" w:afterAutospacing="0" w:line="283" w:lineRule="auto"/>
              <w:ind w:left="0" w:right="0"/>
              <w:rPr>
                <w:rFonts w:hint="eastAsia" w:ascii="宋体" w:hAnsi="宋体" w:eastAsia="宋体" w:cs="宋体"/>
                <w:sz w:val="24"/>
                <w:szCs w:val="24"/>
                <w:highlight w:val="none"/>
              </w:rPr>
            </w:pPr>
          </w:p>
        </w:tc>
        <w:tc>
          <w:tcPr>
            <w:tcW w:w="2136" w:type="dxa"/>
            <w:vAlign w:val="top"/>
          </w:tcPr>
          <w:p w14:paraId="4295DB33">
            <w:pPr>
              <w:snapToGrid w:val="0"/>
              <w:spacing w:before="0" w:beforeAutospacing="0" w:after="0" w:afterAutospacing="0" w:line="264" w:lineRule="auto"/>
              <w:ind w:left="0" w:right="0"/>
              <w:textAlignment w:val="baseline"/>
              <w:rPr>
                <w:rFonts w:hint="eastAsia" w:ascii="宋体" w:hAnsi="宋体" w:eastAsia="宋体" w:cs="宋体"/>
                <w:sz w:val="24"/>
                <w:szCs w:val="24"/>
                <w:highlight w:val="none"/>
              </w:rPr>
            </w:pPr>
            <w:r>
              <w:rPr>
                <w:rFonts w:hint="eastAsia" w:ascii="宋体" w:hAnsi="宋体" w:eastAsia="宋体" w:cs="宋体"/>
                <w:kern w:val="0"/>
                <w:sz w:val="24"/>
                <w:szCs w:val="24"/>
                <w:highlight w:val="none"/>
              </w:rPr>
              <w:t>GB/T 12771-2019    流体输送用不锈钢焊接钢管</w:t>
            </w:r>
          </w:p>
        </w:tc>
        <w:tc>
          <w:tcPr>
            <w:tcW w:w="3895" w:type="dxa"/>
            <w:vAlign w:val="top"/>
          </w:tcPr>
          <w:p w14:paraId="366C8AF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尺寸、拉伸试验、</w:t>
            </w:r>
            <w:r>
              <w:rPr>
                <w:rFonts w:hint="eastAsia" w:ascii="宋体" w:hAnsi="宋体" w:eastAsia="宋体" w:cs="宋体"/>
                <w:sz w:val="24"/>
                <w:szCs w:val="24"/>
                <w:highlight w:val="none"/>
              </w:rPr>
              <w:t>压扁试验、焊缝横向弯曲试验、晶间腐蚀、化学成分</w:t>
            </w:r>
          </w:p>
        </w:tc>
      </w:tr>
      <w:tr w14:paraId="7AD8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5F4B8C5">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bookmarkStart w:id="514" w:name="_GoBack" w:colFirst="1" w:colLast="4"/>
            <w:r>
              <w:rPr>
                <w:rFonts w:hint="eastAsia" w:ascii="宋体" w:hAnsi="宋体" w:eastAsia="宋体" w:cs="宋体"/>
                <w:sz w:val="24"/>
                <w:szCs w:val="24"/>
                <w:highlight w:val="none"/>
                <w:lang w:val="en-US" w:eastAsia="zh-CN"/>
              </w:rPr>
              <w:t>51.</w:t>
            </w:r>
          </w:p>
        </w:tc>
        <w:tc>
          <w:tcPr>
            <w:tcW w:w="936" w:type="dxa"/>
            <w:vAlign w:val="top"/>
          </w:tcPr>
          <w:p w14:paraId="11DACB86">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不锈钢保温杯</w:t>
            </w:r>
          </w:p>
        </w:tc>
        <w:tc>
          <w:tcPr>
            <w:tcW w:w="768" w:type="dxa"/>
            <w:vAlign w:val="top"/>
          </w:tcPr>
          <w:p w14:paraId="5EE625C3">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6172332B">
            <w:pPr>
              <w:adjustRightInd/>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GB/T 29606-2013  不锈钢真空杯GB/T 40355-2021  不锈钢真空保温容器</w:t>
            </w:r>
          </w:p>
        </w:tc>
        <w:tc>
          <w:tcPr>
            <w:tcW w:w="3895" w:type="dxa"/>
            <w:vAlign w:val="top"/>
          </w:tcPr>
          <w:p w14:paraId="2025BE6A">
            <w:pPr>
              <w:spacing w:before="0" w:beforeAutospacing="0" w:after="0" w:afterAutospacing="0"/>
              <w:ind w:left="0" w:right="0"/>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标志</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保温效能</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密封性、耐冲击性</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不锈钢材料化学成分</w:t>
            </w:r>
          </w:p>
        </w:tc>
      </w:tr>
      <w:bookmarkEnd w:id="514"/>
      <w:tr w14:paraId="4A19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52B587DD">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w:t>
            </w:r>
          </w:p>
        </w:tc>
        <w:tc>
          <w:tcPr>
            <w:tcW w:w="936" w:type="dxa"/>
            <w:vAlign w:val="top"/>
          </w:tcPr>
          <w:p w14:paraId="7E0DFA46">
            <w:pPr>
              <w:spacing w:before="0" w:beforeAutospacing="0" w:after="0" w:afterAutospacing="0" w:line="283" w:lineRule="auto"/>
              <w:ind w:left="0" w:right="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铝合金</w:t>
            </w:r>
          </w:p>
        </w:tc>
        <w:tc>
          <w:tcPr>
            <w:tcW w:w="768" w:type="dxa"/>
            <w:vAlign w:val="top"/>
          </w:tcPr>
          <w:p w14:paraId="0AC765E3">
            <w:pPr>
              <w:spacing w:before="0" w:beforeAutospacing="0" w:after="0" w:afterAutospacing="0" w:line="283" w:lineRule="auto"/>
              <w:ind w:left="0" w:right="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600B00F9">
            <w:pPr>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GB/T5237.1-2017铝合金建筑型材第1部分：基材GB/T  5237.2-2017铝合金建筑型材第2部分：阳极氧化型材GB/T  5237.3-2017铝合金建筑型材第3部分：电泳涂漆型材GB/T  5237.4-2017铝合金建筑型材第4部分：喷粉型材GB/T  5237.5-2017铝合金建筑型材第5部分：喷漆型材</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"javascript:ShowStdInfo('32429')"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GB/T  5237.6-20</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17铝合金建筑型材第6部分：隔热型材GB/T  6892-2015 一般工业用铝及铝合金挤压型材</w:t>
            </w:r>
          </w:p>
        </w:tc>
        <w:tc>
          <w:tcPr>
            <w:tcW w:w="3895" w:type="dxa"/>
            <w:vAlign w:val="top"/>
          </w:tcPr>
          <w:p w14:paraId="4D5FD7B8">
            <w:pPr>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壁厚、力学性能、化学成分、膜层性能</w:t>
            </w:r>
          </w:p>
        </w:tc>
      </w:tr>
      <w:tr w14:paraId="0830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3743159">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w:t>
            </w:r>
          </w:p>
        </w:tc>
        <w:tc>
          <w:tcPr>
            <w:tcW w:w="936" w:type="dxa"/>
            <w:vAlign w:val="top"/>
          </w:tcPr>
          <w:p w14:paraId="4225CFF2">
            <w:pPr>
              <w:spacing w:before="0" w:beforeAutospacing="0" w:after="0" w:afterAutospacing="0" w:line="257" w:lineRule="auto"/>
              <w:ind w:left="0" w:right="0"/>
              <w:rPr>
                <w:rFonts w:hint="eastAsia" w:ascii="宋体" w:hAnsi="宋体" w:eastAsia="宋体" w:cs="宋体"/>
                <w:sz w:val="24"/>
                <w:szCs w:val="24"/>
                <w:highlight w:val="none"/>
              </w:rPr>
            </w:pPr>
          </w:p>
          <w:p w14:paraId="6527049C">
            <w:pPr>
              <w:spacing w:before="0" w:beforeAutospacing="0" w:after="0" w:afterAutospacing="0" w:line="257" w:lineRule="auto"/>
              <w:ind w:left="0" w:right="0"/>
              <w:rPr>
                <w:rFonts w:hint="eastAsia" w:ascii="宋体" w:hAnsi="宋体" w:eastAsia="宋体" w:cs="宋体"/>
                <w:sz w:val="24"/>
                <w:szCs w:val="24"/>
                <w:highlight w:val="none"/>
              </w:rPr>
            </w:pPr>
          </w:p>
          <w:p w14:paraId="67F43E16">
            <w:pPr>
              <w:spacing w:before="0" w:beforeAutospacing="0" w:after="0" w:afterAutospacing="0" w:line="257" w:lineRule="auto"/>
              <w:ind w:left="0" w:right="0"/>
              <w:rPr>
                <w:rFonts w:hint="eastAsia" w:ascii="宋体" w:hAnsi="宋体" w:eastAsia="宋体" w:cs="宋体"/>
                <w:sz w:val="24"/>
                <w:szCs w:val="24"/>
                <w:highlight w:val="none"/>
              </w:rPr>
            </w:pPr>
          </w:p>
          <w:p w14:paraId="3E7B1BD2">
            <w:pPr>
              <w:spacing w:before="0" w:beforeAutospacing="0" w:after="0" w:afterAutospacing="0" w:line="258" w:lineRule="auto"/>
              <w:ind w:left="0" w:right="0"/>
              <w:rPr>
                <w:rFonts w:hint="eastAsia" w:ascii="宋体" w:hAnsi="宋体" w:eastAsia="宋体" w:cs="宋体"/>
                <w:sz w:val="24"/>
                <w:szCs w:val="24"/>
                <w:highlight w:val="none"/>
              </w:rPr>
            </w:pPr>
          </w:p>
          <w:p w14:paraId="1E473640">
            <w:pPr>
              <w:spacing w:before="55" w:beforeAutospacing="0" w:after="0" w:afterAutospacing="0" w:line="231" w:lineRule="auto"/>
              <w:ind w:left="94" w:right="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电</w:t>
            </w:r>
            <w:r>
              <w:rPr>
                <w:rFonts w:hint="eastAsia" w:ascii="宋体" w:hAnsi="宋体" w:eastAsia="宋体" w:cs="宋体"/>
                <w:spacing w:val="-2"/>
                <w:sz w:val="24"/>
                <w:szCs w:val="24"/>
                <w:highlight w:val="none"/>
              </w:rPr>
              <w:t>子</w:t>
            </w:r>
          </w:p>
          <w:p w14:paraId="380A5A0E">
            <w:pPr>
              <w:spacing w:before="20" w:beforeAutospacing="0" w:after="0" w:afterAutospacing="0" w:line="231" w:lineRule="auto"/>
              <w:ind w:left="84" w:right="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防</w:t>
            </w:r>
            <w:r>
              <w:rPr>
                <w:rFonts w:hint="eastAsia" w:ascii="宋体" w:hAnsi="宋体" w:eastAsia="宋体" w:cs="宋体"/>
                <w:sz w:val="24"/>
                <w:szCs w:val="24"/>
                <w:highlight w:val="none"/>
              </w:rPr>
              <w:t>盗</w:t>
            </w:r>
          </w:p>
          <w:p w14:paraId="171A9324">
            <w:pPr>
              <w:spacing w:before="19" w:beforeAutospacing="0" w:after="0" w:afterAutospacing="0" w:line="232" w:lineRule="auto"/>
              <w:ind w:left="161" w:leftChars="0" w:right="0"/>
              <w:rPr>
                <w:rFonts w:hint="eastAsia" w:ascii="宋体" w:hAnsi="宋体" w:eastAsia="宋体" w:cs="宋体"/>
                <w:spacing w:val="6"/>
                <w:sz w:val="24"/>
                <w:szCs w:val="24"/>
                <w:highlight w:val="none"/>
              </w:rPr>
            </w:pPr>
            <w:r>
              <w:rPr>
                <w:rFonts w:hint="eastAsia" w:ascii="宋体" w:hAnsi="宋体" w:eastAsia="宋体" w:cs="宋体"/>
                <w:spacing w:val="2"/>
                <w:sz w:val="24"/>
                <w:szCs w:val="24"/>
                <w:highlight w:val="none"/>
              </w:rPr>
              <w:t>锁</w:t>
            </w:r>
          </w:p>
        </w:tc>
        <w:tc>
          <w:tcPr>
            <w:tcW w:w="768" w:type="dxa"/>
            <w:vAlign w:val="top"/>
          </w:tcPr>
          <w:p w14:paraId="443A77D2">
            <w:pPr>
              <w:spacing w:before="0" w:beforeAutospacing="0" w:after="0" w:afterAutospacing="0" w:line="286" w:lineRule="auto"/>
              <w:ind w:left="0" w:right="0"/>
              <w:rPr>
                <w:rFonts w:hint="eastAsia" w:ascii="宋体" w:hAnsi="宋体" w:eastAsia="宋体" w:cs="宋体"/>
                <w:sz w:val="24"/>
                <w:szCs w:val="24"/>
                <w:highlight w:val="none"/>
              </w:rPr>
            </w:pPr>
          </w:p>
          <w:p w14:paraId="00DDCEC6">
            <w:pPr>
              <w:spacing w:before="0" w:beforeAutospacing="0" w:after="0" w:afterAutospacing="0" w:line="286" w:lineRule="auto"/>
              <w:ind w:left="0" w:right="0"/>
              <w:rPr>
                <w:rFonts w:hint="eastAsia" w:ascii="宋体" w:hAnsi="宋体" w:eastAsia="宋体" w:cs="宋体"/>
                <w:sz w:val="24"/>
                <w:szCs w:val="24"/>
                <w:highlight w:val="none"/>
              </w:rPr>
            </w:pPr>
          </w:p>
          <w:p w14:paraId="254F589A">
            <w:pPr>
              <w:spacing w:before="0" w:beforeAutospacing="0" w:after="0" w:afterAutospacing="0" w:line="286" w:lineRule="auto"/>
              <w:ind w:left="0" w:right="0"/>
              <w:rPr>
                <w:rFonts w:hint="eastAsia" w:ascii="宋体" w:hAnsi="宋体" w:eastAsia="宋体" w:cs="宋体"/>
                <w:sz w:val="24"/>
                <w:szCs w:val="24"/>
                <w:highlight w:val="none"/>
              </w:rPr>
            </w:pPr>
          </w:p>
          <w:p w14:paraId="7487C141">
            <w:pPr>
              <w:spacing w:before="0" w:beforeAutospacing="0" w:after="0" w:afterAutospacing="0" w:line="286" w:lineRule="auto"/>
              <w:ind w:left="0" w:right="0"/>
              <w:rPr>
                <w:rFonts w:hint="eastAsia" w:ascii="宋体" w:hAnsi="宋体" w:eastAsia="宋体" w:cs="宋体"/>
                <w:sz w:val="24"/>
                <w:szCs w:val="24"/>
                <w:highlight w:val="none"/>
              </w:rPr>
            </w:pPr>
          </w:p>
          <w:p w14:paraId="4A8680FB">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top"/>
          </w:tcPr>
          <w:p w14:paraId="7D63C466">
            <w:pPr>
              <w:spacing w:before="0" w:beforeAutospacing="0" w:after="0" w:afterAutospacing="0" w:line="292" w:lineRule="auto"/>
              <w:ind w:left="0" w:right="0"/>
              <w:rPr>
                <w:rFonts w:hint="eastAsia" w:ascii="宋体" w:hAnsi="宋体" w:eastAsia="宋体" w:cs="宋体"/>
                <w:sz w:val="24"/>
                <w:szCs w:val="24"/>
                <w:highlight w:val="none"/>
              </w:rPr>
            </w:pPr>
          </w:p>
          <w:p w14:paraId="7231C36F">
            <w:pPr>
              <w:spacing w:before="0" w:beforeAutospacing="0" w:after="0" w:afterAutospacing="0" w:line="293" w:lineRule="auto"/>
              <w:ind w:left="0" w:right="0"/>
              <w:rPr>
                <w:rFonts w:hint="eastAsia" w:ascii="宋体" w:hAnsi="宋体" w:eastAsia="宋体" w:cs="宋体"/>
                <w:sz w:val="24"/>
                <w:szCs w:val="24"/>
                <w:highlight w:val="none"/>
              </w:rPr>
            </w:pPr>
          </w:p>
          <w:p w14:paraId="2B92DF98">
            <w:pPr>
              <w:spacing w:before="0" w:beforeAutospacing="0" w:after="0" w:afterAutospacing="0" w:line="293" w:lineRule="auto"/>
              <w:ind w:left="0" w:right="0"/>
              <w:rPr>
                <w:rFonts w:hint="eastAsia" w:ascii="宋体" w:hAnsi="宋体" w:eastAsia="宋体" w:cs="宋体"/>
                <w:sz w:val="24"/>
                <w:szCs w:val="24"/>
                <w:highlight w:val="none"/>
              </w:rPr>
            </w:pPr>
          </w:p>
          <w:p w14:paraId="03052A77">
            <w:pPr>
              <w:spacing w:before="0" w:beforeAutospacing="0" w:after="0" w:afterAutospacing="0" w:line="293" w:lineRule="auto"/>
              <w:ind w:left="0" w:right="0"/>
              <w:rPr>
                <w:rFonts w:hint="eastAsia" w:ascii="宋体" w:hAnsi="宋体" w:eastAsia="宋体" w:cs="宋体"/>
                <w:sz w:val="24"/>
                <w:szCs w:val="24"/>
                <w:highlight w:val="none"/>
              </w:rPr>
            </w:pPr>
          </w:p>
          <w:p w14:paraId="3E4C2EA8">
            <w:pPr>
              <w:spacing w:before="55" w:beforeAutospacing="0" w:after="0" w:afterAutospacing="0" w:line="276" w:lineRule="auto"/>
              <w:ind w:left="17" w:leftChars="0" w:right="200" w:hanging="5" w:firstLineChars="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pacing w:val="6"/>
                <w:sz w:val="24"/>
                <w:szCs w:val="24"/>
                <w:highlight w:val="none"/>
              </w:rPr>
              <w:t xml:space="preserve"> </w:t>
            </w:r>
            <w:r>
              <w:rPr>
                <w:rFonts w:hint="eastAsia" w:ascii="宋体" w:hAnsi="宋体" w:eastAsia="宋体" w:cs="宋体"/>
                <w:spacing w:val="4"/>
                <w:sz w:val="24"/>
                <w:szCs w:val="24"/>
                <w:highlight w:val="none"/>
              </w:rPr>
              <w:t>2</w:t>
            </w:r>
            <w:r>
              <w:rPr>
                <w:rFonts w:hint="eastAsia" w:ascii="宋体" w:hAnsi="宋体" w:eastAsia="宋体" w:cs="宋体"/>
                <w:spacing w:val="3"/>
                <w:sz w:val="24"/>
                <w:szCs w:val="24"/>
                <w:highlight w:val="none"/>
              </w:rPr>
              <w:t>1556-2008、</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374-201</w:t>
            </w:r>
            <w:r>
              <w:rPr>
                <w:rFonts w:hint="eastAsia" w:ascii="宋体" w:hAnsi="宋体" w:eastAsia="宋体" w:cs="宋体"/>
                <w:spacing w:val="2"/>
                <w:sz w:val="24"/>
                <w:szCs w:val="24"/>
                <w:highlight w:val="none"/>
              </w:rPr>
              <w:t>9</w:t>
            </w:r>
          </w:p>
        </w:tc>
        <w:tc>
          <w:tcPr>
            <w:tcW w:w="3895" w:type="dxa"/>
            <w:vAlign w:val="top"/>
          </w:tcPr>
          <w:p w14:paraId="57B87CD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1.锁舌伸出长度、稳定性要求、防技术开启、电源适应性、</w:t>
            </w:r>
            <w:r>
              <w:rPr>
                <w:rFonts w:hint="eastAsia" w:ascii="宋体" w:hAnsi="宋体" w:eastAsia="宋体" w:cs="宋体"/>
                <w:spacing w:val="1"/>
                <w:sz w:val="24"/>
                <w:szCs w:val="24"/>
                <w:highlight w:val="none"/>
              </w:rPr>
              <w:t>防</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破坏报</w:t>
            </w:r>
            <w:r>
              <w:rPr>
                <w:rFonts w:hint="eastAsia" w:ascii="宋体" w:hAnsi="宋体" w:eastAsia="宋体" w:cs="宋体"/>
                <w:spacing w:val="9"/>
                <w:sz w:val="24"/>
                <w:szCs w:val="24"/>
                <w:highlight w:val="none"/>
              </w:rPr>
              <w:t>警</w:t>
            </w:r>
            <w:r>
              <w:rPr>
                <w:rFonts w:hint="eastAsia" w:ascii="宋体" w:hAnsi="宋体" w:eastAsia="宋体" w:cs="宋体"/>
                <w:spacing w:val="6"/>
                <w:sz w:val="24"/>
                <w:szCs w:val="24"/>
                <w:highlight w:val="none"/>
              </w:rPr>
              <w:t>功能 、环境适应性、机械环境适应性、抗电强度、</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绝缘电</w:t>
            </w:r>
            <w:r>
              <w:rPr>
                <w:rFonts w:hint="eastAsia" w:ascii="宋体" w:hAnsi="宋体" w:eastAsia="宋体" w:cs="宋体"/>
                <w:spacing w:val="4"/>
                <w:sz w:val="24"/>
                <w:szCs w:val="24"/>
                <w:highlight w:val="none"/>
              </w:rPr>
              <w:t>阻</w:t>
            </w:r>
            <w:r>
              <w:rPr>
                <w:rFonts w:hint="eastAsia" w:ascii="宋体" w:hAnsi="宋体" w:eastAsia="宋体" w:cs="宋体"/>
                <w:spacing w:val="3"/>
                <w:sz w:val="24"/>
                <w:szCs w:val="24"/>
                <w:highlight w:val="none"/>
              </w:rPr>
              <w:t>、泄漏电流、过压运行、过流保护、锁舌侧向静载荷、</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锁体</w:t>
            </w:r>
            <w:r>
              <w:rPr>
                <w:rFonts w:hint="eastAsia" w:ascii="宋体" w:hAnsi="宋体" w:eastAsia="宋体" w:cs="宋体"/>
                <w:spacing w:val="8"/>
                <w:sz w:val="24"/>
                <w:szCs w:val="24"/>
                <w:highlight w:val="none"/>
              </w:rPr>
              <w:t>承</w:t>
            </w:r>
            <w:r>
              <w:rPr>
                <w:rFonts w:hint="eastAsia" w:ascii="宋体" w:hAnsi="宋体" w:eastAsia="宋体" w:cs="宋体"/>
                <w:spacing w:val="7"/>
                <w:sz w:val="24"/>
                <w:szCs w:val="24"/>
                <w:highlight w:val="none"/>
              </w:rPr>
              <w:t>受静载荷及冲击强度、锁扣盒承受静载荷、锁舌轴向静</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载荷</w:t>
            </w:r>
            <w:r>
              <w:rPr>
                <w:rFonts w:hint="eastAsia" w:ascii="宋体" w:hAnsi="宋体" w:eastAsia="宋体" w:cs="宋体"/>
                <w:spacing w:val="10"/>
                <w:sz w:val="24"/>
                <w:szCs w:val="24"/>
                <w:highlight w:val="none"/>
              </w:rPr>
              <w:t>、</w:t>
            </w:r>
            <w:r>
              <w:rPr>
                <w:rFonts w:hint="eastAsia" w:ascii="宋体" w:hAnsi="宋体" w:eastAsia="宋体" w:cs="宋体"/>
                <w:spacing w:val="7"/>
                <w:sz w:val="24"/>
                <w:szCs w:val="24"/>
                <w:highlight w:val="none"/>
              </w:rPr>
              <w:t>执手承受静拉力及扭矩、阻燃、非正常操作 2.主锁舌</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伸出长</w:t>
            </w:r>
            <w:r>
              <w:rPr>
                <w:rFonts w:hint="eastAsia" w:ascii="宋体" w:hAnsi="宋体" w:eastAsia="宋体" w:cs="宋体"/>
                <w:spacing w:val="4"/>
                <w:sz w:val="24"/>
                <w:szCs w:val="24"/>
                <w:highlight w:val="none"/>
              </w:rPr>
              <w:t>度</w:t>
            </w:r>
            <w:r>
              <w:rPr>
                <w:rFonts w:hint="eastAsia" w:ascii="宋体" w:hAnsi="宋体" w:eastAsia="宋体" w:cs="宋体"/>
                <w:spacing w:val="3"/>
                <w:sz w:val="24"/>
                <w:szCs w:val="24"/>
                <w:highlight w:val="none"/>
              </w:rPr>
              <w:t>、主锁舌灵活度、稳定性、信息保存、使用权限管理、</w:t>
            </w:r>
            <w:r>
              <w:rPr>
                <w:rFonts w:hint="eastAsia" w:ascii="宋体" w:hAnsi="宋体" w:eastAsia="宋体" w:cs="宋体"/>
                <w:sz w:val="24"/>
                <w:szCs w:val="24"/>
                <w:highlight w:val="none"/>
              </w:rPr>
              <w:t xml:space="preserve"> </w:t>
            </w:r>
            <w:r>
              <w:rPr>
                <w:rFonts w:hint="eastAsia" w:ascii="宋体" w:hAnsi="宋体" w:eastAsia="宋体" w:cs="宋体"/>
                <w:spacing w:val="16"/>
                <w:sz w:val="24"/>
                <w:szCs w:val="24"/>
                <w:highlight w:val="none"/>
              </w:rPr>
              <w:t>输</w:t>
            </w:r>
            <w:r>
              <w:rPr>
                <w:rFonts w:hint="eastAsia" w:ascii="宋体" w:hAnsi="宋体" w:eastAsia="宋体" w:cs="宋体"/>
                <w:spacing w:val="11"/>
                <w:sz w:val="24"/>
                <w:szCs w:val="24"/>
                <w:highlight w:val="none"/>
              </w:rPr>
              <w:t>入</w:t>
            </w:r>
            <w:r>
              <w:rPr>
                <w:rFonts w:hint="eastAsia" w:ascii="宋体" w:hAnsi="宋体" w:eastAsia="宋体" w:cs="宋体"/>
                <w:spacing w:val="8"/>
                <w:sz w:val="24"/>
                <w:szCs w:val="24"/>
                <w:highlight w:val="none"/>
              </w:rPr>
              <w:t>错误报警、防拆报警、事件记录、供电方式、欠压指示、</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电源电</w:t>
            </w:r>
            <w:r>
              <w:rPr>
                <w:rFonts w:hint="eastAsia" w:ascii="宋体" w:hAnsi="宋体" w:eastAsia="宋体" w:cs="宋体"/>
                <w:spacing w:val="4"/>
                <w:sz w:val="24"/>
                <w:szCs w:val="24"/>
                <w:highlight w:val="none"/>
              </w:rPr>
              <w:t>压</w:t>
            </w:r>
            <w:r>
              <w:rPr>
                <w:rFonts w:hint="eastAsia" w:ascii="宋体" w:hAnsi="宋体" w:eastAsia="宋体" w:cs="宋体"/>
                <w:spacing w:val="3"/>
                <w:sz w:val="24"/>
                <w:szCs w:val="24"/>
                <w:highlight w:val="none"/>
              </w:rPr>
              <w:t>适应范围、高温、低温、恒定湿热、正弦振动、冲击、</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自由</w:t>
            </w:r>
            <w:r>
              <w:rPr>
                <w:rFonts w:hint="eastAsia" w:ascii="宋体" w:hAnsi="宋体" w:eastAsia="宋体" w:cs="宋体"/>
                <w:spacing w:val="8"/>
                <w:sz w:val="24"/>
                <w:szCs w:val="24"/>
                <w:highlight w:val="none"/>
              </w:rPr>
              <w:t>跌</w:t>
            </w:r>
            <w:r>
              <w:rPr>
                <w:rFonts w:hint="eastAsia" w:ascii="宋体" w:hAnsi="宋体" w:eastAsia="宋体" w:cs="宋体"/>
                <w:spacing w:val="7"/>
                <w:sz w:val="24"/>
                <w:szCs w:val="24"/>
                <w:highlight w:val="none"/>
              </w:rPr>
              <w:t>落、外壳防护等级、防技术开启、锁壳强度、主锁舌抗</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轴向</w:t>
            </w:r>
            <w:r>
              <w:rPr>
                <w:rFonts w:hint="eastAsia" w:ascii="宋体" w:hAnsi="宋体" w:eastAsia="宋体" w:cs="宋体"/>
                <w:spacing w:val="11"/>
                <w:sz w:val="24"/>
                <w:szCs w:val="24"/>
                <w:highlight w:val="none"/>
              </w:rPr>
              <w:t>静</w:t>
            </w:r>
            <w:r>
              <w:rPr>
                <w:rFonts w:hint="eastAsia" w:ascii="宋体" w:hAnsi="宋体" w:eastAsia="宋体" w:cs="宋体"/>
                <w:spacing w:val="7"/>
                <w:sz w:val="24"/>
                <w:szCs w:val="24"/>
                <w:highlight w:val="none"/>
              </w:rPr>
              <w:t>压力、主锁舌抗侧向静压力 、手动部件强度、锁扣盒</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ab/>
            </w:r>
            <w:r>
              <w:rPr>
                <w:rFonts w:hint="eastAsia" w:ascii="宋体" w:hAnsi="宋体" w:eastAsia="宋体" w:cs="宋体"/>
                <w:spacing w:val="17"/>
                <w:sz w:val="24"/>
                <w:szCs w:val="24"/>
                <w:highlight w:val="none"/>
              </w:rPr>
              <w:t>(</w:t>
            </w:r>
            <w:r>
              <w:rPr>
                <w:rFonts w:hint="eastAsia" w:ascii="宋体" w:hAnsi="宋体" w:eastAsia="宋体" w:cs="宋体"/>
                <w:spacing w:val="11"/>
                <w:sz w:val="24"/>
                <w:szCs w:val="24"/>
                <w:highlight w:val="none"/>
              </w:rPr>
              <w:t>板)强度、识读装置强度、机械钥匙强度、差异量、防钻、</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阻</w:t>
            </w:r>
            <w:r>
              <w:rPr>
                <w:rFonts w:hint="eastAsia" w:ascii="宋体" w:hAnsi="宋体" w:eastAsia="宋体" w:cs="宋体"/>
                <w:spacing w:val="7"/>
                <w:sz w:val="24"/>
                <w:szCs w:val="24"/>
                <w:highlight w:val="none"/>
              </w:rPr>
              <w:t>燃、耐久性、盐雾</w:t>
            </w:r>
          </w:p>
        </w:tc>
      </w:tr>
      <w:tr w14:paraId="314D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14:paraId="369028C9">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w:t>
            </w:r>
          </w:p>
        </w:tc>
        <w:tc>
          <w:tcPr>
            <w:tcW w:w="936" w:type="dxa"/>
            <w:vMerge w:val="restart"/>
            <w:vAlign w:val="top"/>
          </w:tcPr>
          <w:p w14:paraId="6C277AF5">
            <w:pPr>
              <w:spacing w:before="0" w:beforeAutospacing="0" w:after="0" w:afterAutospacing="0" w:line="270" w:lineRule="auto"/>
              <w:ind w:left="0" w:right="0"/>
              <w:rPr>
                <w:rFonts w:hint="eastAsia" w:ascii="宋体" w:hAnsi="宋体" w:eastAsia="宋体" w:cs="宋体"/>
                <w:sz w:val="24"/>
                <w:szCs w:val="24"/>
                <w:highlight w:val="none"/>
              </w:rPr>
            </w:pPr>
          </w:p>
          <w:p w14:paraId="55983417">
            <w:pPr>
              <w:spacing w:before="0" w:beforeAutospacing="0" w:after="0" w:afterAutospacing="0" w:line="270" w:lineRule="auto"/>
              <w:ind w:left="0" w:right="0"/>
              <w:rPr>
                <w:rFonts w:hint="eastAsia" w:ascii="宋体" w:hAnsi="宋体" w:eastAsia="宋体" w:cs="宋体"/>
                <w:sz w:val="24"/>
                <w:szCs w:val="24"/>
                <w:highlight w:val="none"/>
              </w:rPr>
            </w:pPr>
          </w:p>
          <w:p w14:paraId="45536710">
            <w:pPr>
              <w:spacing w:before="0" w:beforeAutospacing="0" w:after="0" w:afterAutospacing="0" w:line="270" w:lineRule="auto"/>
              <w:ind w:left="0" w:right="0"/>
              <w:rPr>
                <w:rFonts w:hint="eastAsia" w:ascii="宋体" w:hAnsi="宋体" w:eastAsia="宋体" w:cs="宋体"/>
                <w:sz w:val="24"/>
                <w:szCs w:val="24"/>
                <w:highlight w:val="none"/>
              </w:rPr>
            </w:pPr>
          </w:p>
          <w:p w14:paraId="041502D8">
            <w:pPr>
              <w:spacing w:before="0" w:beforeAutospacing="0" w:after="0" w:afterAutospacing="0" w:line="270" w:lineRule="auto"/>
              <w:ind w:left="0" w:right="0"/>
              <w:rPr>
                <w:rFonts w:hint="eastAsia" w:ascii="宋体" w:hAnsi="宋体" w:eastAsia="宋体" w:cs="宋体"/>
                <w:sz w:val="24"/>
                <w:szCs w:val="24"/>
                <w:highlight w:val="none"/>
              </w:rPr>
            </w:pPr>
          </w:p>
          <w:p w14:paraId="32CC79DB">
            <w:pPr>
              <w:spacing w:before="0" w:beforeAutospacing="0" w:after="0" w:afterAutospacing="0" w:line="270" w:lineRule="auto"/>
              <w:ind w:left="0" w:right="0"/>
              <w:rPr>
                <w:rFonts w:hint="eastAsia" w:ascii="宋体" w:hAnsi="宋体" w:eastAsia="宋体" w:cs="宋体"/>
                <w:sz w:val="24"/>
                <w:szCs w:val="24"/>
                <w:highlight w:val="none"/>
              </w:rPr>
            </w:pPr>
          </w:p>
          <w:p w14:paraId="2AE55607">
            <w:pPr>
              <w:spacing w:before="0" w:beforeAutospacing="0" w:after="0" w:afterAutospacing="0" w:line="270" w:lineRule="auto"/>
              <w:ind w:left="0" w:right="0"/>
              <w:rPr>
                <w:rFonts w:hint="eastAsia" w:ascii="宋体" w:hAnsi="宋体" w:eastAsia="宋体" w:cs="宋体"/>
                <w:sz w:val="24"/>
                <w:szCs w:val="24"/>
                <w:highlight w:val="none"/>
              </w:rPr>
            </w:pPr>
          </w:p>
          <w:p w14:paraId="370254E2">
            <w:pPr>
              <w:spacing w:before="55" w:beforeAutospacing="0" w:after="0" w:afterAutospacing="0" w:line="232" w:lineRule="auto"/>
              <w:ind w:left="93" w:leftChars="0" w:right="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门锁</w:t>
            </w:r>
          </w:p>
        </w:tc>
        <w:tc>
          <w:tcPr>
            <w:tcW w:w="768" w:type="dxa"/>
            <w:vMerge w:val="restart"/>
            <w:vAlign w:val="top"/>
          </w:tcPr>
          <w:p w14:paraId="4C6D431C">
            <w:pPr>
              <w:spacing w:before="0" w:beforeAutospacing="0" w:after="0" w:afterAutospacing="0" w:line="251" w:lineRule="auto"/>
              <w:ind w:left="0" w:right="0"/>
              <w:rPr>
                <w:rFonts w:hint="eastAsia" w:ascii="宋体" w:hAnsi="宋体" w:eastAsia="宋体" w:cs="宋体"/>
                <w:sz w:val="24"/>
                <w:szCs w:val="24"/>
                <w:highlight w:val="none"/>
              </w:rPr>
            </w:pPr>
          </w:p>
          <w:p w14:paraId="13F29F7F">
            <w:pPr>
              <w:spacing w:before="0" w:beforeAutospacing="0" w:after="0" w:afterAutospacing="0" w:line="251" w:lineRule="auto"/>
              <w:ind w:left="0" w:right="0"/>
              <w:rPr>
                <w:rFonts w:hint="eastAsia" w:ascii="宋体" w:hAnsi="宋体" w:eastAsia="宋体" w:cs="宋体"/>
                <w:sz w:val="24"/>
                <w:szCs w:val="24"/>
                <w:highlight w:val="none"/>
              </w:rPr>
            </w:pPr>
          </w:p>
          <w:p w14:paraId="2E6E0D61">
            <w:pPr>
              <w:spacing w:before="0" w:beforeAutospacing="0" w:after="0" w:afterAutospacing="0" w:line="251" w:lineRule="auto"/>
              <w:ind w:left="0" w:right="0"/>
              <w:rPr>
                <w:rFonts w:hint="eastAsia" w:ascii="宋体" w:hAnsi="宋体" w:eastAsia="宋体" w:cs="宋体"/>
                <w:sz w:val="24"/>
                <w:szCs w:val="24"/>
                <w:highlight w:val="none"/>
              </w:rPr>
            </w:pPr>
          </w:p>
          <w:p w14:paraId="0F8FDDBD">
            <w:pPr>
              <w:spacing w:before="0" w:beforeAutospacing="0" w:after="0" w:afterAutospacing="0" w:line="251" w:lineRule="auto"/>
              <w:ind w:left="0" w:right="0"/>
              <w:rPr>
                <w:rFonts w:hint="eastAsia" w:ascii="宋体" w:hAnsi="宋体" w:eastAsia="宋体" w:cs="宋体"/>
                <w:sz w:val="24"/>
                <w:szCs w:val="24"/>
                <w:highlight w:val="none"/>
              </w:rPr>
            </w:pPr>
          </w:p>
          <w:p w14:paraId="38EDBF90">
            <w:pPr>
              <w:spacing w:before="0" w:beforeAutospacing="0" w:after="0" w:afterAutospacing="0" w:line="251" w:lineRule="auto"/>
              <w:ind w:left="0" w:right="0"/>
              <w:rPr>
                <w:rFonts w:hint="eastAsia" w:ascii="宋体" w:hAnsi="宋体" w:eastAsia="宋体" w:cs="宋体"/>
                <w:sz w:val="24"/>
                <w:szCs w:val="24"/>
                <w:highlight w:val="none"/>
              </w:rPr>
            </w:pPr>
          </w:p>
          <w:p w14:paraId="0764092B">
            <w:pPr>
              <w:spacing w:before="0" w:beforeAutospacing="0" w:after="0" w:afterAutospacing="0" w:line="251" w:lineRule="auto"/>
              <w:ind w:left="0" w:right="0"/>
              <w:rPr>
                <w:rFonts w:hint="eastAsia" w:ascii="宋体" w:hAnsi="宋体" w:eastAsia="宋体" w:cs="宋体"/>
                <w:sz w:val="24"/>
                <w:szCs w:val="24"/>
                <w:highlight w:val="none"/>
              </w:rPr>
            </w:pPr>
          </w:p>
          <w:p w14:paraId="5381C494">
            <w:pPr>
              <w:spacing w:before="55" w:beforeAutospacing="0" w:after="0" w:afterAutospacing="0" w:line="271"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top"/>
          </w:tcPr>
          <w:p w14:paraId="61745035">
            <w:pPr>
              <w:spacing w:before="0" w:beforeAutospacing="0" w:after="0" w:afterAutospacing="0" w:line="304" w:lineRule="auto"/>
              <w:ind w:left="0" w:right="0"/>
              <w:rPr>
                <w:rFonts w:hint="eastAsia" w:ascii="宋体" w:hAnsi="宋体" w:eastAsia="宋体" w:cs="宋体"/>
                <w:sz w:val="24"/>
                <w:szCs w:val="24"/>
                <w:highlight w:val="none"/>
              </w:rPr>
            </w:pPr>
          </w:p>
          <w:p w14:paraId="22CBD3F8">
            <w:pPr>
              <w:spacing w:before="0" w:beforeAutospacing="0" w:after="0" w:afterAutospacing="0" w:line="305" w:lineRule="auto"/>
              <w:ind w:left="0" w:right="0"/>
              <w:rPr>
                <w:rFonts w:hint="eastAsia" w:ascii="宋体" w:hAnsi="宋体" w:eastAsia="宋体" w:cs="宋体"/>
                <w:sz w:val="24"/>
                <w:szCs w:val="24"/>
                <w:highlight w:val="none"/>
              </w:rPr>
            </w:pPr>
          </w:p>
          <w:p w14:paraId="6330D811">
            <w:pPr>
              <w:spacing w:before="0" w:beforeAutospacing="0" w:after="0" w:afterAutospacing="0" w:line="305" w:lineRule="auto"/>
              <w:ind w:left="0" w:right="0"/>
              <w:rPr>
                <w:rFonts w:hint="eastAsia" w:ascii="宋体" w:hAnsi="宋体" w:eastAsia="宋体" w:cs="宋体"/>
                <w:sz w:val="24"/>
                <w:szCs w:val="24"/>
                <w:highlight w:val="none"/>
              </w:rPr>
            </w:pPr>
          </w:p>
          <w:p w14:paraId="0AAB1084">
            <w:pPr>
              <w:spacing w:before="56" w:beforeAutospacing="0" w:after="0" w:afterAutospacing="0" w:line="235" w:lineRule="auto"/>
              <w:ind w:left="12"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QB</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6"/>
                <w:sz w:val="24"/>
                <w:szCs w:val="24"/>
                <w:highlight w:val="none"/>
              </w:rPr>
              <w:t>2473-201</w:t>
            </w:r>
            <w:r>
              <w:rPr>
                <w:rFonts w:hint="eastAsia" w:ascii="宋体" w:hAnsi="宋体" w:eastAsia="宋体" w:cs="宋体"/>
                <w:spacing w:val="5"/>
                <w:sz w:val="24"/>
                <w:szCs w:val="24"/>
                <w:highlight w:val="none"/>
              </w:rPr>
              <w:t>7</w:t>
            </w:r>
          </w:p>
        </w:tc>
        <w:tc>
          <w:tcPr>
            <w:tcW w:w="3895" w:type="dxa"/>
            <w:vAlign w:val="top"/>
          </w:tcPr>
          <w:p w14:paraId="4A5BD618">
            <w:pPr>
              <w:tabs>
                <w:tab w:val="left" w:pos="108"/>
              </w:tabs>
              <w:spacing w:before="45" w:beforeAutospacing="0" w:after="0" w:afterAutospacing="0" w:line="250" w:lineRule="auto"/>
              <w:ind w:left="15" w:leftChars="0" w:right="0"/>
              <w:rPr>
                <w:rFonts w:hint="eastAsia" w:ascii="宋体" w:hAnsi="宋体" w:eastAsia="宋体" w:cs="宋体"/>
                <w:spacing w:val="7"/>
                <w:sz w:val="24"/>
                <w:szCs w:val="24"/>
                <w:highlight w:val="none"/>
              </w:rPr>
            </w:pPr>
            <w:r>
              <w:rPr>
                <w:rFonts w:hint="eastAsia" w:ascii="宋体" w:hAnsi="宋体" w:eastAsia="宋体" w:cs="宋体"/>
                <w:spacing w:val="14"/>
                <w:sz w:val="24"/>
                <w:szCs w:val="24"/>
                <w:highlight w:val="none"/>
              </w:rPr>
              <w:t>锁舌</w:t>
            </w:r>
            <w:r>
              <w:rPr>
                <w:rFonts w:hint="eastAsia" w:ascii="宋体" w:hAnsi="宋体" w:eastAsia="宋体" w:cs="宋体"/>
                <w:spacing w:val="9"/>
                <w:sz w:val="24"/>
                <w:szCs w:val="24"/>
                <w:highlight w:val="none"/>
              </w:rPr>
              <w:t>伸</w:t>
            </w:r>
            <w:r>
              <w:rPr>
                <w:rFonts w:hint="eastAsia" w:ascii="宋体" w:hAnsi="宋体" w:eastAsia="宋体" w:cs="宋体"/>
                <w:spacing w:val="7"/>
                <w:sz w:val="24"/>
                <w:szCs w:val="24"/>
                <w:highlight w:val="none"/>
              </w:rPr>
              <w:t>出长度、铆接牢固度、外露件表面、配合间隙 、钥匙</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启、闭力矩、旋钮 (执手) 启、闭力矩、钥匙插、拔力、斜舌</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返回力</w:t>
            </w:r>
            <w:r>
              <w:rPr>
                <w:rFonts w:hint="eastAsia" w:ascii="宋体" w:hAnsi="宋体" w:eastAsia="宋体" w:cs="宋体"/>
                <w:spacing w:val="3"/>
                <w:sz w:val="24"/>
                <w:szCs w:val="24"/>
                <w:highlight w:val="none"/>
              </w:rPr>
              <w:t>、斜舌关闭力、呆舌轴向负载启、闭、锁舌侧向静载荷、</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锁舌</w:t>
            </w:r>
            <w:r>
              <w:rPr>
                <w:rFonts w:hint="eastAsia" w:ascii="宋体" w:hAnsi="宋体" w:eastAsia="宋体" w:cs="宋体"/>
                <w:spacing w:val="11"/>
                <w:sz w:val="24"/>
                <w:szCs w:val="24"/>
                <w:highlight w:val="none"/>
              </w:rPr>
              <w:t>轴</w:t>
            </w:r>
            <w:r>
              <w:rPr>
                <w:rFonts w:hint="eastAsia" w:ascii="宋体" w:hAnsi="宋体" w:eastAsia="宋体" w:cs="宋体"/>
                <w:spacing w:val="6"/>
                <w:sz w:val="24"/>
                <w:szCs w:val="24"/>
                <w:highlight w:val="none"/>
              </w:rPr>
              <w:t>向静载荷、旋钮 (执手) 扭矩、旋钮 (执手) 轴向静拉</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力、</w:t>
            </w:r>
            <w:r>
              <w:rPr>
                <w:rFonts w:hint="eastAsia" w:ascii="宋体" w:hAnsi="宋体" w:eastAsia="宋体" w:cs="宋体"/>
                <w:spacing w:val="10"/>
                <w:sz w:val="24"/>
                <w:szCs w:val="24"/>
                <w:highlight w:val="none"/>
              </w:rPr>
              <w:t>执</w:t>
            </w:r>
            <w:r>
              <w:rPr>
                <w:rFonts w:hint="eastAsia" w:ascii="宋体" w:hAnsi="宋体" w:eastAsia="宋体" w:cs="宋体"/>
                <w:spacing w:val="7"/>
                <w:sz w:val="24"/>
                <w:szCs w:val="24"/>
                <w:highlight w:val="none"/>
              </w:rPr>
              <w:t>手径向静载荷、斜舌拉手静拉力、钥匙扭矩 、锁扣盒</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ab/>
            </w:r>
            <w:r>
              <w:rPr>
                <w:rFonts w:hint="eastAsia" w:ascii="宋体" w:hAnsi="宋体" w:eastAsia="宋体" w:cs="宋体"/>
                <w:spacing w:val="7"/>
                <w:sz w:val="24"/>
                <w:szCs w:val="24"/>
                <w:highlight w:val="none"/>
              </w:rPr>
              <w:t>(板) 侧向静载荷、锁芯扭矩、锁头轴向静载荷、安全链静</w:t>
            </w:r>
            <w:r>
              <w:rPr>
                <w:rFonts w:hint="eastAsia" w:ascii="宋体" w:hAnsi="宋体" w:eastAsia="宋体" w:cs="宋体"/>
                <w:spacing w:val="6"/>
                <w:sz w:val="24"/>
                <w:szCs w:val="24"/>
                <w:highlight w:val="none"/>
              </w:rPr>
              <w:t>拉</w:t>
            </w:r>
            <w:r>
              <w:rPr>
                <w:rFonts w:hint="eastAsia" w:ascii="宋体" w:hAnsi="宋体" w:eastAsia="宋体" w:cs="宋体"/>
                <w:sz w:val="24"/>
                <w:szCs w:val="24"/>
                <w:highlight w:val="none"/>
              </w:rPr>
              <w:t xml:space="preserve"> </w:t>
            </w:r>
            <w:r>
              <w:rPr>
                <w:rFonts w:hint="eastAsia" w:ascii="宋体" w:hAnsi="宋体" w:eastAsia="宋体" w:cs="宋体"/>
                <w:spacing w:val="16"/>
                <w:sz w:val="24"/>
                <w:szCs w:val="24"/>
                <w:highlight w:val="none"/>
              </w:rPr>
              <w:t>力</w:t>
            </w:r>
            <w:r>
              <w:rPr>
                <w:rFonts w:hint="eastAsia" w:ascii="宋体" w:hAnsi="宋体" w:eastAsia="宋体" w:cs="宋体"/>
                <w:spacing w:val="10"/>
                <w:sz w:val="24"/>
                <w:szCs w:val="24"/>
                <w:highlight w:val="none"/>
              </w:rPr>
              <w:t>、</w:t>
            </w:r>
            <w:r>
              <w:rPr>
                <w:rFonts w:hint="eastAsia" w:ascii="宋体" w:hAnsi="宋体" w:eastAsia="宋体" w:cs="宋体"/>
                <w:spacing w:val="8"/>
                <w:sz w:val="24"/>
                <w:szCs w:val="24"/>
                <w:highlight w:val="none"/>
              </w:rPr>
              <w:t>锁头传动条扭矩、锁体拨动件扭矩、耐腐蚀、钥匙齿数、</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钥匙理</w:t>
            </w:r>
            <w:r>
              <w:rPr>
                <w:rFonts w:hint="eastAsia" w:ascii="宋体" w:hAnsi="宋体" w:eastAsia="宋体" w:cs="宋体"/>
                <w:spacing w:val="8"/>
                <w:sz w:val="24"/>
                <w:szCs w:val="24"/>
                <w:highlight w:val="none"/>
              </w:rPr>
              <w:t>论</w:t>
            </w:r>
            <w:r>
              <w:rPr>
                <w:rFonts w:hint="eastAsia" w:ascii="宋体" w:hAnsi="宋体" w:eastAsia="宋体" w:cs="宋体"/>
                <w:spacing w:val="6"/>
                <w:sz w:val="24"/>
                <w:szCs w:val="24"/>
                <w:highlight w:val="none"/>
              </w:rPr>
              <w:t>牙花数 、钥匙牙花不同高度数、同一牙花相邻数、</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互</w:t>
            </w:r>
            <w:r>
              <w:rPr>
                <w:rFonts w:hint="eastAsia" w:ascii="宋体" w:hAnsi="宋体" w:eastAsia="宋体" w:cs="宋体"/>
                <w:spacing w:val="8"/>
                <w:sz w:val="24"/>
                <w:szCs w:val="24"/>
                <w:highlight w:val="none"/>
              </w:rPr>
              <w:t>开</w:t>
            </w:r>
            <w:r>
              <w:rPr>
                <w:rFonts w:hint="eastAsia" w:ascii="宋体" w:hAnsi="宋体" w:eastAsia="宋体" w:cs="宋体"/>
                <w:spacing w:val="7"/>
                <w:sz w:val="24"/>
                <w:szCs w:val="24"/>
                <w:highlight w:val="none"/>
              </w:rPr>
              <w:t>率、锁头防拨安全装置</w:t>
            </w:r>
          </w:p>
        </w:tc>
      </w:tr>
      <w:tr w14:paraId="1E80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417B90EF">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p>
        </w:tc>
        <w:tc>
          <w:tcPr>
            <w:tcW w:w="936" w:type="dxa"/>
            <w:vMerge w:val="continue"/>
            <w:vAlign w:val="top"/>
          </w:tcPr>
          <w:p w14:paraId="79F84E49">
            <w:pPr>
              <w:spacing w:before="19" w:beforeAutospacing="0" w:after="0" w:afterAutospacing="0" w:line="232" w:lineRule="auto"/>
              <w:ind w:left="161" w:leftChars="0" w:right="0"/>
              <w:rPr>
                <w:rFonts w:hint="eastAsia" w:ascii="宋体" w:hAnsi="宋体" w:eastAsia="宋体" w:cs="宋体"/>
                <w:spacing w:val="2"/>
                <w:sz w:val="24"/>
                <w:szCs w:val="24"/>
                <w:highlight w:val="none"/>
              </w:rPr>
            </w:pPr>
          </w:p>
        </w:tc>
        <w:tc>
          <w:tcPr>
            <w:tcW w:w="768" w:type="dxa"/>
            <w:vMerge w:val="continue"/>
            <w:vAlign w:val="top"/>
          </w:tcPr>
          <w:p w14:paraId="20EE09B9">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p>
        </w:tc>
        <w:tc>
          <w:tcPr>
            <w:tcW w:w="2136" w:type="dxa"/>
            <w:vAlign w:val="top"/>
          </w:tcPr>
          <w:p w14:paraId="0AB0DD6B">
            <w:pPr>
              <w:spacing w:before="0" w:beforeAutospacing="0" w:after="0" w:afterAutospacing="0" w:line="297" w:lineRule="auto"/>
              <w:ind w:left="0" w:right="0"/>
              <w:rPr>
                <w:rFonts w:hint="eastAsia" w:ascii="宋体" w:hAnsi="宋体" w:eastAsia="宋体" w:cs="宋体"/>
                <w:sz w:val="24"/>
                <w:szCs w:val="24"/>
                <w:highlight w:val="none"/>
              </w:rPr>
            </w:pPr>
          </w:p>
          <w:p w14:paraId="6788573E">
            <w:pPr>
              <w:spacing w:before="0" w:beforeAutospacing="0" w:after="0" w:afterAutospacing="0" w:line="298" w:lineRule="auto"/>
              <w:ind w:left="0" w:right="0"/>
              <w:rPr>
                <w:rFonts w:hint="eastAsia" w:ascii="宋体" w:hAnsi="宋体" w:eastAsia="宋体" w:cs="宋体"/>
                <w:sz w:val="24"/>
                <w:szCs w:val="24"/>
                <w:highlight w:val="none"/>
              </w:rPr>
            </w:pPr>
          </w:p>
          <w:p w14:paraId="182CA03B">
            <w:pPr>
              <w:spacing w:before="56" w:beforeAutospacing="0" w:after="0" w:afterAutospacing="0" w:line="193" w:lineRule="auto"/>
              <w:ind w:left="12"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pacing w:val="10"/>
                <w:sz w:val="24"/>
                <w:szCs w:val="24"/>
                <w:highlight w:val="none"/>
              </w:rPr>
              <w:t xml:space="preserve"> </w:t>
            </w:r>
            <w:r>
              <w:rPr>
                <w:rFonts w:hint="eastAsia" w:ascii="宋体" w:hAnsi="宋体" w:eastAsia="宋体" w:cs="宋体"/>
                <w:spacing w:val="7"/>
                <w:sz w:val="24"/>
                <w:szCs w:val="24"/>
                <w:highlight w:val="none"/>
              </w:rPr>
              <w:t>2</w:t>
            </w:r>
            <w:r>
              <w:rPr>
                <w:rFonts w:hint="eastAsia" w:ascii="宋体" w:hAnsi="宋体" w:eastAsia="宋体" w:cs="宋体"/>
                <w:spacing w:val="5"/>
                <w:sz w:val="24"/>
                <w:szCs w:val="24"/>
                <w:highlight w:val="none"/>
              </w:rPr>
              <w:t>1556-2008</w:t>
            </w:r>
          </w:p>
        </w:tc>
        <w:tc>
          <w:tcPr>
            <w:tcW w:w="3895" w:type="dxa"/>
            <w:vAlign w:val="top"/>
          </w:tcPr>
          <w:p w14:paraId="761B2251">
            <w:pPr>
              <w:spacing w:before="43" w:beforeAutospacing="0" w:after="0" w:afterAutospacing="0" w:line="249" w:lineRule="auto"/>
              <w:ind w:left="14" w:leftChars="0" w:right="12" w:firstLine="91" w:firstLineChars="0"/>
              <w:rPr>
                <w:rFonts w:hint="eastAsia" w:ascii="宋体" w:hAnsi="宋体" w:eastAsia="宋体" w:cs="宋体"/>
                <w:spacing w:val="7"/>
                <w:sz w:val="24"/>
                <w:szCs w:val="24"/>
                <w:highlight w:val="none"/>
              </w:rPr>
            </w:pPr>
            <w:r>
              <w:rPr>
                <w:rFonts w:hint="eastAsia" w:ascii="宋体" w:hAnsi="宋体" w:eastAsia="宋体" w:cs="宋体"/>
                <w:spacing w:val="18"/>
                <w:sz w:val="24"/>
                <w:szCs w:val="24"/>
                <w:highlight w:val="none"/>
              </w:rPr>
              <w:t>锁舌</w:t>
            </w:r>
            <w:r>
              <w:rPr>
                <w:rFonts w:hint="eastAsia" w:ascii="宋体" w:hAnsi="宋体" w:eastAsia="宋体" w:cs="宋体"/>
                <w:spacing w:val="9"/>
                <w:sz w:val="24"/>
                <w:szCs w:val="24"/>
                <w:highlight w:val="none"/>
              </w:rPr>
              <w:t>伸出长度、双向锁头结构、锁头螺孔静拉力、弹子孔封</w:t>
            </w:r>
            <w:r>
              <w:rPr>
                <w:rFonts w:hint="eastAsia" w:ascii="宋体" w:hAnsi="宋体" w:eastAsia="宋体" w:cs="宋体"/>
                <w:sz w:val="24"/>
                <w:szCs w:val="24"/>
                <w:highlight w:val="none"/>
              </w:rPr>
              <w:t xml:space="preserve"> </w:t>
            </w:r>
            <w:r>
              <w:rPr>
                <w:rFonts w:hint="eastAsia" w:ascii="宋体" w:hAnsi="宋体" w:eastAsia="宋体" w:cs="宋体"/>
                <w:spacing w:val="17"/>
                <w:sz w:val="24"/>
                <w:szCs w:val="24"/>
                <w:highlight w:val="none"/>
              </w:rPr>
              <w:t>片</w:t>
            </w:r>
            <w:r>
              <w:rPr>
                <w:rFonts w:hint="eastAsia" w:ascii="宋体" w:hAnsi="宋体" w:eastAsia="宋体" w:cs="宋体"/>
                <w:spacing w:val="9"/>
                <w:sz w:val="24"/>
                <w:szCs w:val="24"/>
                <w:highlight w:val="none"/>
              </w:rPr>
              <w:t>静拉力、拉手静拉力、执手静拉力、保险钮静拉力、安全链</w:t>
            </w:r>
            <w:r>
              <w:rPr>
                <w:rFonts w:hint="eastAsia" w:ascii="宋体" w:hAnsi="宋体" w:eastAsia="宋体" w:cs="宋体"/>
                <w:sz w:val="24"/>
                <w:szCs w:val="24"/>
                <w:highlight w:val="none"/>
              </w:rPr>
              <w:t xml:space="preserve"> </w:t>
            </w:r>
            <w:r>
              <w:rPr>
                <w:rFonts w:hint="eastAsia" w:ascii="宋体" w:hAnsi="宋体" w:eastAsia="宋体" w:cs="宋体"/>
                <w:spacing w:val="17"/>
                <w:sz w:val="24"/>
                <w:szCs w:val="24"/>
                <w:highlight w:val="none"/>
              </w:rPr>
              <w:t>静</w:t>
            </w:r>
            <w:r>
              <w:rPr>
                <w:rFonts w:hint="eastAsia" w:ascii="宋体" w:hAnsi="宋体" w:eastAsia="宋体" w:cs="宋体"/>
                <w:spacing w:val="9"/>
                <w:sz w:val="24"/>
                <w:szCs w:val="24"/>
                <w:highlight w:val="none"/>
              </w:rPr>
              <w:t>拉力、锁舌侧向静载荷、锁舌轴向静载荷、锁扣盒静拉力、</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锁</w:t>
            </w:r>
            <w:r>
              <w:rPr>
                <w:rFonts w:hint="eastAsia" w:ascii="宋体" w:hAnsi="宋体" w:eastAsia="宋体" w:cs="宋体"/>
                <w:spacing w:val="9"/>
                <w:sz w:val="24"/>
                <w:szCs w:val="24"/>
                <w:highlight w:val="none"/>
              </w:rPr>
              <w:t>扣板静拉力、钥匙扭矩、锁头传动条扭矩 、锁体拨动件扭</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矩、执手扭矩 、锁头防拨安全装置 、钥匙不同牙花数 、互</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开</w:t>
            </w:r>
            <w:r>
              <w:rPr>
                <w:rFonts w:hint="eastAsia" w:ascii="宋体" w:hAnsi="宋体" w:eastAsia="宋体" w:cs="宋体"/>
                <w:spacing w:val="6"/>
                <w:sz w:val="24"/>
                <w:szCs w:val="24"/>
                <w:highlight w:val="none"/>
              </w:rPr>
              <w:t>率</w:t>
            </w:r>
          </w:p>
        </w:tc>
      </w:tr>
      <w:tr w14:paraId="7236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00FD55D7">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p>
        </w:tc>
        <w:tc>
          <w:tcPr>
            <w:tcW w:w="936" w:type="dxa"/>
            <w:vMerge w:val="continue"/>
            <w:vAlign w:val="top"/>
          </w:tcPr>
          <w:p w14:paraId="172AE181">
            <w:pPr>
              <w:spacing w:before="19" w:beforeAutospacing="0" w:after="0" w:afterAutospacing="0" w:line="232" w:lineRule="auto"/>
              <w:ind w:left="161" w:leftChars="0" w:right="0"/>
              <w:rPr>
                <w:rFonts w:hint="eastAsia" w:ascii="宋体" w:hAnsi="宋体" w:eastAsia="宋体" w:cs="宋体"/>
                <w:spacing w:val="2"/>
                <w:sz w:val="24"/>
                <w:szCs w:val="24"/>
                <w:highlight w:val="none"/>
              </w:rPr>
            </w:pPr>
          </w:p>
        </w:tc>
        <w:tc>
          <w:tcPr>
            <w:tcW w:w="768" w:type="dxa"/>
            <w:vMerge w:val="continue"/>
            <w:vAlign w:val="top"/>
          </w:tcPr>
          <w:p w14:paraId="63A516EA">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p>
        </w:tc>
        <w:tc>
          <w:tcPr>
            <w:tcW w:w="2136" w:type="dxa"/>
            <w:vAlign w:val="top"/>
          </w:tcPr>
          <w:p w14:paraId="70F8A64E">
            <w:pPr>
              <w:spacing w:before="0" w:beforeAutospacing="0" w:after="0" w:afterAutospacing="0" w:line="286" w:lineRule="auto"/>
              <w:ind w:left="0" w:right="0"/>
              <w:rPr>
                <w:rFonts w:hint="eastAsia" w:ascii="宋体" w:hAnsi="宋体" w:eastAsia="宋体" w:cs="宋体"/>
                <w:sz w:val="24"/>
                <w:szCs w:val="24"/>
                <w:highlight w:val="none"/>
              </w:rPr>
            </w:pPr>
          </w:p>
          <w:p w14:paraId="12055CFA">
            <w:pPr>
              <w:spacing w:before="0" w:beforeAutospacing="0" w:after="0" w:afterAutospacing="0" w:line="287" w:lineRule="auto"/>
              <w:ind w:left="0" w:right="0"/>
              <w:rPr>
                <w:rFonts w:hint="eastAsia" w:ascii="宋体" w:hAnsi="宋体" w:eastAsia="宋体" w:cs="宋体"/>
                <w:sz w:val="24"/>
                <w:szCs w:val="24"/>
                <w:highlight w:val="none"/>
              </w:rPr>
            </w:pPr>
          </w:p>
          <w:p w14:paraId="04323F57">
            <w:pPr>
              <w:spacing w:before="0" w:beforeAutospacing="0" w:after="0" w:afterAutospacing="0" w:line="287" w:lineRule="auto"/>
              <w:ind w:left="0" w:right="0"/>
              <w:rPr>
                <w:rFonts w:hint="eastAsia" w:ascii="宋体" w:hAnsi="宋体" w:eastAsia="宋体" w:cs="宋体"/>
                <w:sz w:val="24"/>
                <w:szCs w:val="24"/>
                <w:highlight w:val="none"/>
              </w:rPr>
            </w:pPr>
          </w:p>
          <w:p w14:paraId="1F314421">
            <w:pPr>
              <w:spacing w:before="0" w:beforeAutospacing="0" w:after="0" w:afterAutospacing="0" w:line="287" w:lineRule="auto"/>
              <w:ind w:left="0" w:right="0"/>
              <w:rPr>
                <w:rFonts w:hint="eastAsia" w:ascii="宋体" w:hAnsi="宋体" w:eastAsia="宋体" w:cs="宋体"/>
                <w:sz w:val="24"/>
                <w:szCs w:val="24"/>
                <w:highlight w:val="none"/>
              </w:rPr>
            </w:pPr>
          </w:p>
          <w:p w14:paraId="06318465">
            <w:pPr>
              <w:spacing w:before="55" w:beforeAutospacing="0" w:after="0" w:afterAutospacing="0" w:line="235" w:lineRule="auto"/>
              <w:ind w:left="12"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QB</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6"/>
                <w:sz w:val="24"/>
                <w:szCs w:val="24"/>
                <w:highlight w:val="none"/>
              </w:rPr>
              <w:t>2474-201</w:t>
            </w:r>
            <w:r>
              <w:rPr>
                <w:rFonts w:hint="eastAsia" w:ascii="宋体" w:hAnsi="宋体" w:eastAsia="宋体" w:cs="宋体"/>
                <w:spacing w:val="5"/>
                <w:sz w:val="24"/>
                <w:szCs w:val="24"/>
                <w:highlight w:val="none"/>
              </w:rPr>
              <w:t>7</w:t>
            </w:r>
          </w:p>
        </w:tc>
        <w:tc>
          <w:tcPr>
            <w:tcW w:w="3895" w:type="dxa"/>
            <w:vAlign w:val="top"/>
          </w:tcPr>
          <w:p w14:paraId="5BB37591">
            <w:pPr>
              <w:spacing w:before="46" w:beforeAutospacing="0" w:after="0" w:afterAutospacing="0" w:line="251" w:lineRule="auto"/>
              <w:ind w:left="14" w:leftChars="0" w:right="0"/>
              <w:rPr>
                <w:rFonts w:hint="eastAsia" w:ascii="宋体" w:hAnsi="宋体" w:eastAsia="宋体" w:cs="宋体"/>
                <w:spacing w:val="7"/>
                <w:sz w:val="24"/>
                <w:szCs w:val="24"/>
                <w:highlight w:val="none"/>
              </w:rPr>
            </w:pPr>
            <w:r>
              <w:rPr>
                <w:rFonts w:hint="eastAsia" w:ascii="宋体" w:hAnsi="宋体" w:eastAsia="宋体" w:cs="宋体"/>
                <w:spacing w:val="16"/>
                <w:sz w:val="24"/>
                <w:szCs w:val="24"/>
                <w:highlight w:val="none"/>
              </w:rPr>
              <w:t>锁</w:t>
            </w:r>
            <w:r>
              <w:rPr>
                <w:rFonts w:hint="eastAsia" w:ascii="宋体" w:hAnsi="宋体" w:eastAsia="宋体" w:cs="宋体"/>
                <w:spacing w:val="10"/>
                <w:sz w:val="24"/>
                <w:szCs w:val="24"/>
                <w:highlight w:val="none"/>
              </w:rPr>
              <w:t>舌</w:t>
            </w:r>
            <w:r>
              <w:rPr>
                <w:rFonts w:hint="eastAsia" w:ascii="宋体" w:hAnsi="宋体" w:eastAsia="宋体" w:cs="宋体"/>
                <w:spacing w:val="8"/>
                <w:sz w:val="24"/>
                <w:szCs w:val="24"/>
                <w:highlight w:val="none"/>
              </w:rPr>
              <w:t>伸出长度、铆接牢固度、外露件表面、配合间隙、钥匙、</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旋钮</w:t>
            </w:r>
            <w:r>
              <w:rPr>
                <w:rFonts w:hint="eastAsia" w:ascii="宋体" w:hAnsi="宋体" w:eastAsia="宋体" w:cs="宋体"/>
                <w:spacing w:val="8"/>
                <w:sz w:val="24"/>
                <w:szCs w:val="24"/>
                <w:highlight w:val="none"/>
              </w:rPr>
              <w:t>启</w:t>
            </w:r>
            <w:r>
              <w:rPr>
                <w:rFonts w:hint="eastAsia" w:ascii="宋体" w:hAnsi="宋体" w:eastAsia="宋体" w:cs="宋体"/>
                <w:spacing w:val="7"/>
                <w:sz w:val="24"/>
                <w:szCs w:val="24"/>
                <w:highlight w:val="none"/>
              </w:rPr>
              <w:t>、闭力矩、执手启、闭力矩、按压按钮开锁力、锁头钥</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匙插、</w:t>
            </w:r>
            <w:r>
              <w:rPr>
                <w:rFonts w:hint="eastAsia" w:ascii="宋体" w:hAnsi="宋体" w:eastAsia="宋体" w:cs="宋体"/>
                <w:spacing w:val="4"/>
                <w:sz w:val="24"/>
                <w:szCs w:val="24"/>
                <w:highlight w:val="none"/>
              </w:rPr>
              <w:t>拔</w:t>
            </w:r>
            <w:r>
              <w:rPr>
                <w:rFonts w:hint="eastAsia" w:ascii="宋体" w:hAnsi="宋体" w:eastAsia="宋体" w:cs="宋体"/>
                <w:spacing w:val="3"/>
                <w:sz w:val="24"/>
                <w:szCs w:val="24"/>
                <w:highlight w:val="none"/>
              </w:rPr>
              <w:t>力、斜舌返回力、斜舌关闭力、呆舌轴向负载启、闭、</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锁舌</w:t>
            </w:r>
            <w:r>
              <w:rPr>
                <w:rFonts w:hint="eastAsia" w:ascii="宋体" w:hAnsi="宋体" w:eastAsia="宋体" w:cs="宋体"/>
                <w:spacing w:val="8"/>
                <w:sz w:val="24"/>
                <w:szCs w:val="24"/>
                <w:highlight w:val="none"/>
              </w:rPr>
              <w:t>侧</w:t>
            </w:r>
            <w:r>
              <w:rPr>
                <w:rFonts w:hint="eastAsia" w:ascii="宋体" w:hAnsi="宋体" w:eastAsia="宋体" w:cs="宋体"/>
                <w:spacing w:val="7"/>
                <w:sz w:val="24"/>
                <w:szCs w:val="24"/>
                <w:highlight w:val="none"/>
              </w:rPr>
              <w:t>向静载荷、锁舌轴向静载荷、锁定状态外执手扭矩、解</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锁状</w:t>
            </w:r>
            <w:r>
              <w:rPr>
                <w:rFonts w:hint="eastAsia" w:ascii="宋体" w:hAnsi="宋体" w:eastAsia="宋体" w:cs="宋体"/>
                <w:spacing w:val="8"/>
                <w:sz w:val="24"/>
                <w:szCs w:val="24"/>
                <w:highlight w:val="none"/>
              </w:rPr>
              <w:t>态</w:t>
            </w:r>
            <w:r>
              <w:rPr>
                <w:rFonts w:hint="eastAsia" w:ascii="宋体" w:hAnsi="宋体" w:eastAsia="宋体" w:cs="宋体"/>
                <w:spacing w:val="7"/>
                <w:sz w:val="24"/>
                <w:szCs w:val="24"/>
                <w:highlight w:val="none"/>
              </w:rPr>
              <w:t>执手扭矩、执手径向静载荷、执手轴向静拉力、旋钮扭</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矩、</w:t>
            </w:r>
            <w:r>
              <w:rPr>
                <w:rFonts w:hint="eastAsia" w:ascii="宋体" w:hAnsi="宋体" w:eastAsia="宋体" w:cs="宋体"/>
                <w:spacing w:val="8"/>
                <w:sz w:val="24"/>
                <w:szCs w:val="24"/>
                <w:highlight w:val="none"/>
              </w:rPr>
              <w:t>旋</w:t>
            </w:r>
            <w:r>
              <w:rPr>
                <w:rFonts w:hint="eastAsia" w:ascii="宋体" w:hAnsi="宋体" w:eastAsia="宋体" w:cs="宋体"/>
                <w:spacing w:val="7"/>
                <w:sz w:val="24"/>
                <w:szCs w:val="24"/>
                <w:highlight w:val="none"/>
              </w:rPr>
              <w:t>钮轴向静拉力、锁定状态外按压按钮静载荷、解锁状态</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外按压</w:t>
            </w:r>
            <w:r>
              <w:rPr>
                <w:rFonts w:hint="eastAsia" w:ascii="宋体" w:hAnsi="宋体" w:eastAsia="宋体" w:cs="宋体"/>
                <w:spacing w:val="4"/>
                <w:sz w:val="24"/>
                <w:szCs w:val="24"/>
                <w:highlight w:val="none"/>
              </w:rPr>
              <w:t>按</w:t>
            </w:r>
            <w:r>
              <w:rPr>
                <w:rFonts w:hint="eastAsia" w:ascii="宋体" w:hAnsi="宋体" w:eastAsia="宋体" w:cs="宋体"/>
                <w:spacing w:val="3"/>
                <w:sz w:val="24"/>
                <w:szCs w:val="24"/>
                <w:highlight w:val="none"/>
              </w:rPr>
              <w:t>钮静载荷、锁芯扭矩、钥匙扭矩、锁扣板侧向静载荷、</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锁</w:t>
            </w:r>
            <w:r>
              <w:rPr>
                <w:rFonts w:hint="eastAsia" w:ascii="宋体" w:hAnsi="宋体" w:eastAsia="宋体" w:cs="宋体"/>
                <w:spacing w:val="8"/>
                <w:sz w:val="24"/>
                <w:szCs w:val="24"/>
                <w:highlight w:val="none"/>
              </w:rPr>
              <w:t>扣</w:t>
            </w:r>
            <w:r>
              <w:rPr>
                <w:rFonts w:hint="eastAsia" w:ascii="宋体" w:hAnsi="宋体" w:eastAsia="宋体" w:cs="宋体"/>
                <w:spacing w:val="7"/>
                <w:sz w:val="24"/>
                <w:szCs w:val="24"/>
                <w:highlight w:val="none"/>
              </w:rPr>
              <w:t>板静拉力、锁头轴向静载荷、锁头传动条扭矩、覆板 (盖</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圈</w:t>
            </w:r>
            <w:r>
              <w:rPr>
                <w:rFonts w:hint="eastAsia" w:ascii="宋体" w:hAnsi="宋体" w:eastAsia="宋体" w:cs="宋体"/>
                <w:spacing w:val="8"/>
                <w:sz w:val="24"/>
                <w:szCs w:val="24"/>
                <w:highlight w:val="none"/>
              </w:rPr>
              <w:t>)</w:t>
            </w:r>
            <w:r>
              <w:rPr>
                <w:rFonts w:hint="eastAsia" w:ascii="宋体" w:hAnsi="宋体" w:eastAsia="宋体" w:cs="宋体"/>
                <w:spacing w:val="7"/>
                <w:sz w:val="24"/>
                <w:szCs w:val="24"/>
                <w:highlight w:val="none"/>
              </w:rPr>
              <w:t xml:space="preserve"> 抗冲击、有机覆盖层铅笔硬度、耐腐蚀、钥匙齿数、钥匙</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理论牙</w:t>
            </w:r>
            <w:r>
              <w:rPr>
                <w:rFonts w:hint="eastAsia" w:ascii="宋体" w:hAnsi="宋体" w:eastAsia="宋体" w:cs="宋体"/>
                <w:spacing w:val="4"/>
                <w:sz w:val="24"/>
                <w:szCs w:val="24"/>
                <w:highlight w:val="none"/>
              </w:rPr>
              <w:t>花</w:t>
            </w:r>
            <w:r>
              <w:rPr>
                <w:rFonts w:hint="eastAsia" w:ascii="宋体" w:hAnsi="宋体" w:eastAsia="宋体" w:cs="宋体"/>
                <w:spacing w:val="3"/>
                <w:sz w:val="24"/>
                <w:szCs w:val="24"/>
                <w:highlight w:val="none"/>
              </w:rPr>
              <w:t>数、钥匙牙花不同高度数、同一牙花相邻数、互开率、</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锁</w:t>
            </w:r>
            <w:r>
              <w:rPr>
                <w:rFonts w:hint="eastAsia" w:ascii="宋体" w:hAnsi="宋体" w:eastAsia="宋体" w:cs="宋体"/>
                <w:spacing w:val="7"/>
                <w:sz w:val="24"/>
                <w:szCs w:val="24"/>
                <w:highlight w:val="none"/>
              </w:rPr>
              <w:t>头防拨安全装置</w:t>
            </w:r>
          </w:p>
        </w:tc>
      </w:tr>
      <w:tr w14:paraId="7982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6E5B69C">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w:t>
            </w:r>
          </w:p>
        </w:tc>
        <w:tc>
          <w:tcPr>
            <w:tcW w:w="936" w:type="dxa"/>
            <w:vAlign w:val="center"/>
          </w:tcPr>
          <w:p w14:paraId="24A98107">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手提式灭火器</w:t>
            </w:r>
          </w:p>
        </w:tc>
        <w:tc>
          <w:tcPr>
            <w:tcW w:w="768" w:type="dxa"/>
            <w:vAlign w:val="top"/>
          </w:tcPr>
          <w:p w14:paraId="43923954">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012F95BC">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4351-2023《手提式灭火器》</w:t>
            </w:r>
          </w:p>
        </w:tc>
        <w:tc>
          <w:tcPr>
            <w:tcW w:w="3895" w:type="dxa"/>
            <w:vAlign w:val="center"/>
          </w:tcPr>
          <w:p w14:paraId="610AF551">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u w:val="none"/>
                <w:lang w:val="en-US" w:eastAsia="zh-CN"/>
              </w:rPr>
              <w:t>充装要求（充装误差）、20℃时喷射性能、瓶体爆破性能、瓶体材料与最小壁厚（壁厚测量）、阀门外观和结构尺寸、干粉灭火剂（主要组分含量）</w:t>
            </w:r>
          </w:p>
        </w:tc>
      </w:tr>
      <w:tr w14:paraId="5747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816EAF3">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56</w:t>
            </w:r>
          </w:p>
        </w:tc>
        <w:tc>
          <w:tcPr>
            <w:tcW w:w="936" w:type="dxa"/>
            <w:vAlign w:val="center"/>
          </w:tcPr>
          <w:p w14:paraId="5985D2AB">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洒水喷头</w:t>
            </w:r>
          </w:p>
        </w:tc>
        <w:tc>
          <w:tcPr>
            <w:tcW w:w="768" w:type="dxa"/>
            <w:vAlign w:val="top"/>
          </w:tcPr>
          <w:p w14:paraId="14EFEE90">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29D6606E">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5135.1-2019《自动喷水灭火系统 第1部分：洒水喷头》</w:t>
            </w:r>
          </w:p>
        </w:tc>
        <w:tc>
          <w:tcPr>
            <w:tcW w:w="3895" w:type="dxa"/>
            <w:vAlign w:val="center"/>
          </w:tcPr>
          <w:p w14:paraId="75D2CF0A">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highlight w:val="none"/>
                <w:u w:val="none"/>
                <w:lang w:val="en-US" w:eastAsia="zh-CN"/>
              </w:rPr>
              <w:t>整体要求、外观与标志、密封结构要求、水压密封和耐水压强度性能、流量系数、溅水盘上、下的喷水量、</w:t>
            </w:r>
            <w:r>
              <w:rPr>
                <w:rFonts w:hint="eastAsia" w:ascii="宋体" w:hAnsi="宋体" w:eastAsia="宋体" w:cs="宋体"/>
                <w:color w:val="000000"/>
                <w:sz w:val="24"/>
                <w:highlight w:val="none"/>
              </w:rPr>
              <w:t>静态动作温度、抗水冲击性能、溅水盘强度、耐高温性能</w:t>
            </w:r>
          </w:p>
        </w:tc>
      </w:tr>
      <w:tr w14:paraId="58B1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14:paraId="684C8A7E">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57</w:t>
            </w:r>
          </w:p>
        </w:tc>
        <w:tc>
          <w:tcPr>
            <w:tcW w:w="936" w:type="dxa"/>
            <w:vAlign w:val="center"/>
          </w:tcPr>
          <w:p w14:paraId="42BF842B">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消防水带</w:t>
            </w:r>
          </w:p>
        </w:tc>
        <w:tc>
          <w:tcPr>
            <w:tcW w:w="768" w:type="dxa"/>
            <w:vAlign w:val="top"/>
          </w:tcPr>
          <w:p w14:paraId="361E6464">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35EA5EA3">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6246-2011《消防水带》</w:t>
            </w:r>
          </w:p>
        </w:tc>
        <w:tc>
          <w:tcPr>
            <w:tcW w:w="3895" w:type="dxa"/>
            <w:vAlign w:val="center"/>
          </w:tcPr>
          <w:p w14:paraId="15D421CC">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highlight w:val="none"/>
                <w:u w:val="none"/>
                <w:lang w:val="en-US" w:eastAsia="zh-CN"/>
              </w:rPr>
              <w:t>内径、长度、单位长度质量、设计工作压力、试验压力及最小爆破压力、黏附性、附着强度、耐磨性能、热空气老化性能、</w:t>
            </w:r>
            <w:r>
              <w:rPr>
                <w:rFonts w:hint="eastAsia" w:ascii="宋体" w:hAnsi="宋体" w:eastAsia="宋体" w:cs="宋体"/>
                <w:color w:val="000000"/>
                <w:sz w:val="24"/>
                <w:szCs w:val="24"/>
                <w:highlight w:val="none"/>
              </w:rPr>
              <w:t>延伸率和膨胀率及扭转方向</w:t>
            </w:r>
          </w:p>
        </w:tc>
      </w:tr>
      <w:tr w14:paraId="7170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64AADCE">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58</w:t>
            </w:r>
          </w:p>
        </w:tc>
        <w:tc>
          <w:tcPr>
            <w:tcW w:w="936" w:type="dxa"/>
            <w:vAlign w:val="center"/>
          </w:tcPr>
          <w:p w14:paraId="5FECCEB4">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消防水枪</w:t>
            </w:r>
          </w:p>
        </w:tc>
        <w:tc>
          <w:tcPr>
            <w:tcW w:w="768" w:type="dxa"/>
            <w:vAlign w:val="top"/>
          </w:tcPr>
          <w:p w14:paraId="2CDE8806">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502A58CE">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8181-2005《消防水枪》</w:t>
            </w:r>
          </w:p>
        </w:tc>
        <w:tc>
          <w:tcPr>
            <w:tcW w:w="3895" w:type="dxa"/>
            <w:vAlign w:val="center"/>
          </w:tcPr>
          <w:p w14:paraId="7BEAED86">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highlight w:val="none"/>
                <w:u w:val="none"/>
                <w:lang w:val="en-US" w:eastAsia="zh-CN"/>
              </w:rPr>
              <w:t>密封性能、耐水压强度、抗跌落性能、耐腐蚀性能、</w:t>
            </w:r>
            <w:r>
              <w:rPr>
                <w:rFonts w:hint="eastAsia" w:ascii="宋体" w:hAnsi="宋体" w:eastAsia="宋体" w:cs="宋体"/>
                <w:sz w:val="24"/>
                <w:highlight w:val="none"/>
              </w:rPr>
              <w:t>表面质量、基本参数、接口性能</w:t>
            </w:r>
          </w:p>
        </w:tc>
      </w:tr>
      <w:tr w14:paraId="4CB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B438B85">
            <w:pPr>
              <w:pStyle w:val="636"/>
              <w:adjustRightInd/>
              <w:spacing w:before="55" w:beforeAutospacing="0" w:after="0" w:afterAutospacing="0" w:line="240" w:lineRule="auto"/>
              <w:ind w:left="0" w:right="11"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59</w:t>
            </w:r>
          </w:p>
        </w:tc>
        <w:tc>
          <w:tcPr>
            <w:tcW w:w="936" w:type="dxa"/>
            <w:vAlign w:val="center"/>
          </w:tcPr>
          <w:p w14:paraId="4A2991AC">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消防接口</w:t>
            </w:r>
          </w:p>
        </w:tc>
        <w:tc>
          <w:tcPr>
            <w:tcW w:w="768" w:type="dxa"/>
            <w:vAlign w:val="top"/>
          </w:tcPr>
          <w:p w14:paraId="018713DD">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0A7E2207">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12514.1-2005《消防接口 第1部分：消防接口通用技术条件》</w:t>
            </w:r>
          </w:p>
        </w:tc>
        <w:tc>
          <w:tcPr>
            <w:tcW w:w="3895" w:type="dxa"/>
            <w:vAlign w:val="center"/>
          </w:tcPr>
          <w:p w14:paraId="3B86E239">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u w:val="none"/>
                <w:lang w:val="en-US" w:eastAsia="zh-CN"/>
              </w:rPr>
              <w:t>外观质量、标志、基本尺寸、密封性能、水压强度、抗跌落性能</w:t>
            </w:r>
          </w:p>
        </w:tc>
      </w:tr>
      <w:tr w14:paraId="0093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A743938">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w:t>
            </w:r>
          </w:p>
        </w:tc>
        <w:tc>
          <w:tcPr>
            <w:tcW w:w="936" w:type="dxa"/>
            <w:vAlign w:val="center"/>
          </w:tcPr>
          <w:p w14:paraId="2F8B5416">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灭火毯</w:t>
            </w:r>
          </w:p>
        </w:tc>
        <w:tc>
          <w:tcPr>
            <w:tcW w:w="768" w:type="dxa"/>
            <w:vAlign w:val="top"/>
          </w:tcPr>
          <w:p w14:paraId="5546BA31">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56BD82E2">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XF 1205-2014《灭火毯》</w:t>
            </w:r>
          </w:p>
        </w:tc>
        <w:tc>
          <w:tcPr>
            <w:tcW w:w="3895" w:type="dxa"/>
            <w:vAlign w:val="center"/>
          </w:tcPr>
          <w:p w14:paraId="177E0504">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u w:val="none"/>
                <w:lang w:val="en-US" w:eastAsia="zh-CN"/>
              </w:rPr>
              <w:t>材料性能（毯面干态断裂强力、手持件和包边材料阻燃性能、缝纫线的耐高温性能）、绝缘性能、F类火灭火性能</w:t>
            </w:r>
          </w:p>
        </w:tc>
      </w:tr>
      <w:tr w14:paraId="60A7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974E41E">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w:t>
            </w:r>
          </w:p>
        </w:tc>
        <w:tc>
          <w:tcPr>
            <w:tcW w:w="936" w:type="dxa"/>
            <w:vAlign w:val="center"/>
          </w:tcPr>
          <w:p w14:paraId="504F0D91">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独立式光电感烟火灾探测报警器</w:t>
            </w:r>
          </w:p>
        </w:tc>
        <w:tc>
          <w:tcPr>
            <w:tcW w:w="768" w:type="dxa"/>
            <w:vAlign w:val="top"/>
          </w:tcPr>
          <w:p w14:paraId="73F68170">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080A9DF4">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20517-2006《独立式感烟火灾探测报警器》</w:t>
            </w:r>
          </w:p>
        </w:tc>
        <w:tc>
          <w:tcPr>
            <w:tcW w:w="3895" w:type="dxa"/>
            <w:vAlign w:val="center"/>
          </w:tcPr>
          <w:p w14:paraId="0AB0076E">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u w:val="none"/>
                <w:lang w:val="en-US" w:eastAsia="zh-CN"/>
              </w:rPr>
              <w:t>声压试验、重复性试验、方位试验、气流试验、低温试验</w:t>
            </w:r>
          </w:p>
        </w:tc>
      </w:tr>
      <w:tr w14:paraId="355F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CF4AA6E">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w:t>
            </w:r>
          </w:p>
        </w:tc>
        <w:tc>
          <w:tcPr>
            <w:tcW w:w="936" w:type="dxa"/>
            <w:vAlign w:val="center"/>
          </w:tcPr>
          <w:p w14:paraId="0905CDC1">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过滤式消防自救呼吸器</w:t>
            </w:r>
          </w:p>
        </w:tc>
        <w:tc>
          <w:tcPr>
            <w:tcW w:w="768" w:type="dxa"/>
            <w:vAlign w:val="top"/>
          </w:tcPr>
          <w:p w14:paraId="11FCB7B8">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11E45DDF">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21976.7-2012 《建筑火灾逃生避难器材 第7部分：过滤式消防自救呼吸器》</w:t>
            </w:r>
          </w:p>
        </w:tc>
        <w:tc>
          <w:tcPr>
            <w:tcW w:w="3895" w:type="dxa"/>
            <w:vAlign w:val="center"/>
          </w:tcPr>
          <w:p w14:paraId="113BCDC2">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u w:val="none"/>
                <w:lang w:val="en-US" w:eastAsia="zh-CN"/>
              </w:rPr>
              <w:t>结构、材料阻燃性能、一氧化碳防护性能、滤烟性能、连接强度</w:t>
            </w:r>
          </w:p>
        </w:tc>
      </w:tr>
    </w:tbl>
    <w:p w14:paraId="66460B8C">
      <w:pPr>
        <w:rPr>
          <w:rFonts w:hint="eastAsia" w:ascii="宋体" w:hAnsi="宋体" w:eastAsia="宋体" w:cs="宋体"/>
          <w:sz w:val="24"/>
          <w:highlight w:val="none"/>
        </w:rPr>
      </w:pPr>
    </w:p>
    <w:p w14:paraId="0C430796">
      <w:pPr>
        <w:rPr>
          <w:rFonts w:hint="eastAsia" w:ascii="宋体" w:hAnsi="宋体" w:eastAsia="宋体" w:cs="宋体"/>
          <w:sz w:val="24"/>
          <w:highlight w:val="none"/>
        </w:rPr>
        <w:sectPr>
          <w:pgSz w:w="11906" w:h="16838"/>
          <w:pgMar w:top="1440" w:right="1800" w:bottom="1440" w:left="1800" w:header="851" w:footer="992" w:gutter="0"/>
          <w:cols w:space="720" w:num="1"/>
          <w:docGrid w:type="lines" w:linePitch="312" w:charSpace="0"/>
        </w:sectPr>
      </w:pPr>
    </w:p>
    <w:p w14:paraId="49AFA412">
      <w:pPr>
        <w:spacing w:before="94" w:line="226" w:lineRule="auto"/>
        <w:ind w:left="3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家</w:t>
      </w:r>
      <w:r>
        <w:rPr>
          <w:rFonts w:hint="eastAsia" w:ascii="宋体" w:hAnsi="宋体" w:eastAsia="宋体" w:cs="宋体"/>
          <w:spacing w:val="5"/>
          <w:sz w:val="24"/>
          <w:szCs w:val="24"/>
          <w:highlight w:val="none"/>
        </w:rPr>
        <w:t>用电器产品检测：</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78"/>
        <w:gridCol w:w="621"/>
        <w:gridCol w:w="1978"/>
        <w:gridCol w:w="4514"/>
      </w:tblGrid>
      <w:tr w14:paraId="6C60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top"/>
          </w:tcPr>
          <w:p w14:paraId="4E86E452">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78" w:type="dxa"/>
            <w:vAlign w:val="top"/>
          </w:tcPr>
          <w:p w14:paraId="42DCD90B">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21" w:type="dxa"/>
            <w:vAlign w:val="top"/>
          </w:tcPr>
          <w:p w14:paraId="062339E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78" w:type="dxa"/>
            <w:vAlign w:val="top"/>
          </w:tcPr>
          <w:p w14:paraId="4B6EEED0">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514" w:type="dxa"/>
            <w:vAlign w:val="top"/>
          </w:tcPr>
          <w:p w14:paraId="112F64B6">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32F6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7B8DAE8">
            <w:pPr>
              <w:pStyle w:val="636"/>
              <w:numPr>
                <w:ilvl w:val="0"/>
                <w:numId w:val="6"/>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778" w:type="dxa"/>
            <w:vAlign w:val="center"/>
          </w:tcPr>
          <w:p w14:paraId="4B6B8A5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小家</w:t>
            </w:r>
          </w:p>
          <w:p w14:paraId="0740F1F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电(厨</w:t>
            </w:r>
          </w:p>
          <w:p w14:paraId="043C047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房机</w:t>
            </w:r>
          </w:p>
          <w:p w14:paraId="09C5C16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械、按</w:t>
            </w:r>
          </w:p>
          <w:p w14:paraId="0716FB3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摩器</w:t>
            </w:r>
          </w:p>
          <w:p w14:paraId="57F5920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具、室</w:t>
            </w:r>
          </w:p>
          <w:p w14:paraId="4EE97EF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内加</w:t>
            </w:r>
          </w:p>
          <w:p w14:paraId="6B22732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热器、液体加热器等)</w:t>
            </w:r>
          </w:p>
        </w:tc>
        <w:tc>
          <w:tcPr>
            <w:tcW w:w="621" w:type="dxa"/>
            <w:vAlign w:val="center"/>
          </w:tcPr>
          <w:p w14:paraId="349462C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3B9F6ED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3A95317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GB4706.30-2008</w:t>
            </w:r>
          </w:p>
          <w:p w14:paraId="0FF3D30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GB4706.10-2008</w:t>
            </w:r>
          </w:p>
          <w:p w14:paraId="415AA8B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GB4706.23-2007</w:t>
            </w:r>
          </w:p>
          <w:p w14:paraId="3D27979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GB4706.19-2008</w:t>
            </w:r>
          </w:p>
        </w:tc>
        <w:tc>
          <w:tcPr>
            <w:tcW w:w="4514" w:type="dxa"/>
            <w:vAlign w:val="center"/>
          </w:tcPr>
          <w:p w14:paraId="2E7BFDF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标志和说明，对触及带电部件的防护，输入功率和电流，发热，工作温度下的泄漏电流和电气强度，瞬态过电压，耐潮湿，泄漏电流和电气强度，变压器和相关电路的过载保护，非正常工作 (除 19.11.4) ，稳定性和机械危险，机械强度，结构，内部布线，元件，电源连接和外部软线，外部导线用接线端子，接地措施，螺钉和连接，电气间隙、爬电距离和固体绝缘，耐热和耐燃，防锈</w:t>
            </w:r>
          </w:p>
        </w:tc>
      </w:tr>
      <w:tr w14:paraId="5CF3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294D318">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79AF348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电冰箱(冷柜)</w:t>
            </w:r>
          </w:p>
        </w:tc>
        <w:tc>
          <w:tcPr>
            <w:tcW w:w="621" w:type="dxa"/>
            <w:vAlign w:val="center"/>
          </w:tcPr>
          <w:p w14:paraId="0034D39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1DC042D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724E769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GB4706.13-2014</w:t>
            </w:r>
          </w:p>
          <w:p w14:paraId="3C55BB1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8059-2016</w:t>
            </w:r>
          </w:p>
          <w:p w14:paraId="27922E1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GB12021.2-2015</w:t>
            </w:r>
          </w:p>
          <w:p w14:paraId="339682B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GB19606-2004</w:t>
            </w:r>
          </w:p>
        </w:tc>
        <w:tc>
          <w:tcPr>
            <w:tcW w:w="4514" w:type="dxa"/>
            <w:vAlign w:val="center"/>
          </w:tcPr>
          <w:p w14:paraId="07DA72C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标志和说明、对触及带电部件的防护、输入功率和电流、发热、工作温度下的泄漏电流和电气强度、瞬态过电压、耐潮湿、泄漏电流和电气强度、变压器和相关电路的过载保护、非正常工作 (除 19.11.4) 、稳定性和机械危险、机械强度、结构、内部布线、元件、电源连接和外部软线、外部导线用接线端子、接地措施、螺钉和连接、电气间隙、爬电距离和固体绝缘、耐热和耐燃、防锈、总容积、储藏温度、耗电量、能效标识、电冰箱耗电量限定值、能效等级的判定、冷冻能力、凝露试验、门封气密性、搁架及类似部件的机械强度、噪声、标志</w:t>
            </w:r>
          </w:p>
        </w:tc>
      </w:tr>
      <w:tr w14:paraId="26E7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CAFD840">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514474F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电热水器</w:t>
            </w:r>
          </w:p>
        </w:tc>
        <w:tc>
          <w:tcPr>
            <w:tcW w:w="621" w:type="dxa"/>
            <w:vAlign w:val="center"/>
          </w:tcPr>
          <w:p w14:paraId="7BB09FB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12E06A1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GB4706.1-1998</w:t>
            </w:r>
          </w:p>
          <w:p w14:paraId="2576C46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GB4706.12-2006</w:t>
            </w:r>
          </w:p>
          <w:p w14:paraId="1A663CC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GB21519-2008</w:t>
            </w:r>
          </w:p>
          <w:p w14:paraId="16A19A5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23E2C98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GB4706.11-2008</w:t>
            </w:r>
          </w:p>
        </w:tc>
        <w:tc>
          <w:tcPr>
            <w:tcW w:w="4514" w:type="dxa"/>
            <w:vAlign w:val="center"/>
          </w:tcPr>
          <w:p w14:paraId="099D400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储水式热水器：标志和说明、对触及带电部件的防护、输入功率和电流、发热、在工作温度下的泄漏电流和电气强度、耐潮湿、泄漏电流和电气强度、变压器及其相关电路的过载保护、非正常工作、稳定性和机械危险、机械强度、结构、内部布线、元件、电源连接和外部软线、外部导线用接线端子、接地措施、螺钉和连接、爬电距离、电气间隙和穿通绝缘距离、耐热、耐燃和耐漏电起痕、防锈、辐射、毒性和类似危险、对在接地系统异常时提供应急防护措施的 Ⅰ类热水器的附加要求、能效标识、能效等级快热式热水</w:t>
            </w:r>
          </w:p>
          <w:p w14:paraId="074ADE9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器：标志和说明、对触及带电部件的防护、输入功率和电流、发热、工作温度下的泄漏电流和电气强度、瞬态过电压、耐潮湿、泄漏电流和电气强度、变压器和相关电路的过载保护、非正常工作 (除 19.11.4) 、稳定性和机械危险、机械强度、结构、内部布线、元件、电源连接和外部软线、外部导线用接线端子、接地措施、螺钉和连接、电气间隙、爬电距离和固体绝缘、耐热和耐燃</w:t>
            </w:r>
          </w:p>
        </w:tc>
      </w:tr>
      <w:tr w14:paraId="4676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2A27B19">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2040C4F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食具</w:t>
            </w:r>
          </w:p>
          <w:p w14:paraId="0CA5CF3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消毒</w:t>
            </w:r>
          </w:p>
          <w:p w14:paraId="59D1DDA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柜</w:t>
            </w:r>
          </w:p>
        </w:tc>
        <w:tc>
          <w:tcPr>
            <w:tcW w:w="621" w:type="dxa"/>
            <w:vAlign w:val="center"/>
          </w:tcPr>
          <w:p w14:paraId="0D9E456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716A52F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7CD72D5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GB17988-2008</w:t>
            </w:r>
          </w:p>
        </w:tc>
        <w:tc>
          <w:tcPr>
            <w:tcW w:w="4514" w:type="dxa"/>
            <w:vAlign w:val="center"/>
          </w:tcPr>
          <w:p w14:paraId="1AD6D35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分类、标志和说明、对触及带电部件的防护、输入功率和电流、发热、工作温度下的泄漏电流和电气强度、瞬态过电压、耐潮湿、泄漏电流和电气强度、变压器和相关电路的过载保护、耐久性、非正常工作(除19.11.4)、稳定性和机械危险、机械强度、结构、内部布线、元件、电源连接和外部软线、外部导线用接线端子、接地措施、螺钉和连接、电气间隙、爬电距离和固体绝缘、耐热和耐燃、防锈、辐射、毒性和类似危险</w:t>
            </w:r>
          </w:p>
        </w:tc>
      </w:tr>
      <w:tr w14:paraId="4C84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3541D2B">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237F541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吸油烟机</w:t>
            </w:r>
          </w:p>
        </w:tc>
        <w:tc>
          <w:tcPr>
            <w:tcW w:w="621" w:type="dxa"/>
            <w:vAlign w:val="center"/>
          </w:tcPr>
          <w:p w14:paraId="1717EBA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45CEF1A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350DBC4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GB4706.28-2008</w:t>
            </w:r>
          </w:p>
          <w:p w14:paraId="5DDB56D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GB19606-2004</w:t>
            </w:r>
          </w:p>
          <w:p w14:paraId="1B483B9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17713-2011</w:t>
            </w:r>
          </w:p>
          <w:p w14:paraId="485EFA7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GB29539-2013</w:t>
            </w:r>
          </w:p>
        </w:tc>
        <w:tc>
          <w:tcPr>
            <w:tcW w:w="4514" w:type="dxa"/>
            <w:vAlign w:val="center"/>
          </w:tcPr>
          <w:p w14:paraId="1DB2EE4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标志和说明、对触及带电部件的防护、输入功率和电流、发热、工作温度下的泄漏电流和电气强度、瞬态过电压、耐潮湿、泄漏电流和电气强度、变压器和相关电路的过载保护、非正常工作 (除 19.11.4) 、稳定性和机械危险、机械强度、结构、内部布线、元件、电源连接和外部软线、外部导线用接线端子、接地措施、螺钉和连接、电气间隙、爬电距离和固体绝缘、耐热和耐燃、辐射、毒性和类似危险、风量、风压、噪声、调速、产品的外观质量、能效标识、能效等级、全压效率、常态气味降低度、待机功率、关机功率</w:t>
            </w:r>
          </w:p>
        </w:tc>
      </w:tr>
      <w:tr w14:paraId="1F24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635FA4DD">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4CDDA53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洗衣机</w:t>
            </w:r>
          </w:p>
        </w:tc>
        <w:tc>
          <w:tcPr>
            <w:tcW w:w="621" w:type="dxa"/>
            <w:vAlign w:val="center"/>
          </w:tcPr>
          <w:p w14:paraId="27FE509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5CD4C51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1424FEF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GB4706.24-2008</w:t>
            </w:r>
          </w:p>
          <w:p w14:paraId="164F7F8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GB4706.26-2008</w:t>
            </w:r>
          </w:p>
          <w:p w14:paraId="2F03FB6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GB12021.4-2013</w:t>
            </w:r>
          </w:p>
          <w:p w14:paraId="64F8A16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GB19606-2004</w:t>
            </w:r>
          </w:p>
          <w:p w14:paraId="348C1FE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4288-2018</w:t>
            </w:r>
          </w:p>
        </w:tc>
        <w:tc>
          <w:tcPr>
            <w:tcW w:w="4514" w:type="dxa"/>
            <w:vAlign w:val="center"/>
          </w:tcPr>
          <w:p w14:paraId="1566FB2B">
            <w:pPr>
              <w:tabs>
                <w:tab w:val="left" w:pos="111"/>
              </w:tabs>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安全要求检验项目：标志和说明、对触及带电部件的防护、输入功率和电流、发热、工作温度下的泄漏电流和电气强度、瞬态过电压、耐潮湿、泄漏电流和电气强度、变压器和相关电路的过载保护、非正常工作</w:t>
            </w:r>
            <w:r>
              <w:rPr>
                <w:rFonts w:hint="eastAsia" w:ascii="宋体" w:hAnsi="宋体" w:eastAsia="宋体" w:cs="宋体"/>
                <w:sz w:val="24"/>
                <w:szCs w:val="24"/>
                <w:highlight w:val="none"/>
              </w:rPr>
              <w:tab/>
            </w:r>
            <w:r>
              <w:rPr>
                <w:rFonts w:hint="eastAsia" w:ascii="宋体" w:hAnsi="宋体" w:eastAsia="宋体" w:cs="宋体"/>
                <w:sz w:val="24"/>
                <w:szCs w:val="24"/>
                <w:highlight w:val="none"/>
              </w:rPr>
              <w:t>(不进行 19.11.4 项目的检验)、稳定性和机械危险、机械强度、结构、内部布线、内部布线、电源连接和外部软线、外部导线用接线端子、接地措施、螺钉和连接、电气间隙、爬电距离和固体绝缘、电气间隙、爬电距离和固体绝缘、电气间隙、爬电距离和固体绝缘、防锈、辐射、毒性和类似危险；使用性能检验项</w:t>
            </w:r>
          </w:p>
          <w:p w14:paraId="6D244F4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目：能效标识、能效水效限定值(耗电量、用水量、洗净比、脱水率、漂洗性能) 、能效等级、明示值允许偏差、噪声、洗涤筒(桶)有效容积、关机/待机功率、振动性能；使用性能检验项目 (仅对不适用     GB12021.4-2013 的洗衣机)：洗涤筒(桶)有效容积、洗净性能、漂洗性能、脱水性能、单位用水量、单位用水量、关机/待机功率、关机/待机功率、振动性能、明示值允许偏差</w:t>
            </w:r>
          </w:p>
        </w:tc>
      </w:tr>
      <w:tr w14:paraId="3F6B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E6D6FF9">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57CA7D0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真空吸尘器</w:t>
            </w:r>
          </w:p>
        </w:tc>
        <w:tc>
          <w:tcPr>
            <w:tcW w:w="621" w:type="dxa"/>
            <w:vAlign w:val="center"/>
          </w:tcPr>
          <w:p w14:paraId="6F41B19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7FE78D5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5886027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GB4706.7-2014</w:t>
            </w:r>
          </w:p>
          <w:p w14:paraId="20C2CEF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GB4343.1-2009</w:t>
            </w:r>
          </w:p>
          <w:p w14:paraId="4D1ECCA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GB17625.1-2012</w:t>
            </w:r>
          </w:p>
        </w:tc>
        <w:tc>
          <w:tcPr>
            <w:tcW w:w="4514" w:type="dxa"/>
            <w:vAlign w:val="center"/>
          </w:tcPr>
          <w:p w14:paraId="6D45EAD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和说明、骚扰电压、骚扰功率、谐波电流、对触及带电部件的防护、输入功率和电流、发热、工作温度下的泄漏电流和电气强度、瞬态过电压、耐潮湿、泄漏电流和电气强度、变压器和相关电路的过载保护、非正常工作 (除 19.11.4) 、稳定性和机械危险、机械强度、结构、内部布线、元件、电源连接和外部软线、外部导线用接线端子、接地措施、螺钉和连接、电气间隙、爬电距离和固体绝缘、耐热和耐燃</w:t>
            </w:r>
          </w:p>
        </w:tc>
      </w:tr>
      <w:tr w14:paraId="7EBA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649CD3C">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650738D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空气净化器</w:t>
            </w:r>
          </w:p>
        </w:tc>
        <w:tc>
          <w:tcPr>
            <w:tcW w:w="621" w:type="dxa"/>
            <w:vAlign w:val="center"/>
          </w:tcPr>
          <w:p w14:paraId="4723A4C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5C87556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1CE0714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GB4706.45-2008</w:t>
            </w:r>
          </w:p>
        </w:tc>
        <w:tc>
          <w:tcPr>
            <w:tcW w:w="4514" w:type="dxa"/>
            <w:vAlign w:val="center"/>
          </w:tcPr>
          <w:p w14:paraId="25623FE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和说明、对触及带电部件的防护、输入功率和电流、工作温度下的泄漏电流和电气强度、稳定性和机械危险、机械强度、结构、电源连接和外部软线、外部导线用接线端子、接地措施、电气间隙、爬电距离和固体绝缘</w:t>
            </w:r>
          </w:p>
        </w:tc>
      </w:tr>
      <w:tr w14:paraId="02D9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E8537AF">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0AC93E2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电表</w:t>
            </w:r>
          </w:p>
        </w:tc>
        <w:tc>
          <w:tcPr>
            <w:tcW w:w="621" w:type="dxa"/>
            <w:vAlign w:val="center"/>
          </w:tcPr>
          <w:p w14:paraId="2D24258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7759189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17215.211-2021  </w:t>
            </w:r>
            <w:r>
              <w:rPr>
                <w:rFonts w:hint="eastAsia" w:ascii="宋体" w:hAnsi="宋体" w:eastAsia="宋体" w:cs="宋体"/>
                <w:sz w:val="24"/>
                <w:szCs w:val="24"/>
                <w:highlight w:val="none"/>
              </w:rPr>
              <w:cr/>
            </w:r>
            <w:r>
              <w:rPr>
                <w:rFonts w:hint="eastAsia" w:ascii="宋体" w:hAnsi="宋体" w:eastAsia="宋体" w:cs="宋体"/>
                <w:sz w:val="24"/>
                <w:szCs w:val="24"/>
                <w:highlight w:val="none"/>
              </w:rPr>
              <w:t xml:space="preserve">GB/T 17215.321-2021  </w:t>
            </w:r>
            <w:r>
              <w:rPr>
                <w:rFonts w:hint="eastAsia" w:ascii="宋体" w:hAnsi="宋体" w:eastAsia="宋体" w:cs="宋体"/>
                <w:sz w:val="24"/>
                <w:szCs w:val="24"/>
                <w:highlight w:val="none"/>
              </w:rPr>
              <w:cr/>
            </w:r>
            <w:r>
              <w:rPr>
                <w:rFonts w:hint="eastAsia" w:ascii="宋体" w:hAnsi="宋体" w:eastAsia="宋体" w:cs="宋体"/>
                <w:sz w:val="24"/>
                <w:szCs w:val="24"/>
                <w:highlight w:val="none"/>
              </w:rPr>
              <w:t>GB/T 17215.323-2022</w:t>
            </w:r>
          </w:p>
        </w:tc>
        <w:tc>
          <w:tcPr>
            <w:tcW w:w="4514" w:type="dxa"/>
            <w:vAlign w:val="center"/>
          </w:tcPr>
          <w:p w14:paraId="6ADF0CA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基本误差，启动，潜动，电压影响，频率影响，外磁感应强度影响，功耗</w:t>
            </w:r>
          </w:p>
        </w:tc>
      </w:tr>
      <w:tr w14:paraId="2E73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DFBE7FB">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756C2BE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燃气</w:t>
            </w:r>
            <w:r>
              <w:rPr>
                <w:rFonts w:hint="eastAsia" w:ascii="宋体" w:hAnsi="宋体" w:eastAsia="宋体" w:cs="宋体"/>
                <w:sz w:val="24"/>
                <w:szCs w:val="24"/>
                <w:highlight w:val="none"/>
              </w:rPr>
              <w:t>表</w:t>
            </w:r>
          </w:p>
        </w:tc>
        <w:tc>
          <w:tcPr>
            <w:tcW w:w="621" w:type="dxa"/>
            <w:vAlign w:val="center"/>
          </w:tcPr>
          <w:p w14:paraId="658CBE77">
            <w:pPr>
              <w:spacing w:before="0" w:beforeAutospacing="0" w:after="0" w:afterAutospacing="0"/>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6AFEC69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6968-2019 6. GB/T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6968-2019 C.3. </w:t>
            </w:r>
          </w:p>
        </w:tc>
        <w:tc>
          <w:tcPr>
            <w:tcW w:w="4514" w:type="dxa"/>
            <w:vAlign w:val="center"/>
          </w:tcPr>
          <w:p w14:paraId="74A1F6F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示值误差，压力损失，密封性，计数器，防逆转装置，机械封印，外观，标志，防护封印，机电转换误差，断电保护功能，剩余气量不足功能，误操作提示，交易完成提示，数据传输，远程阀控，读取累积量。</w:t>
            </w:r>
          </w:p>
        </w:tc>
      </w:tr>
      <w:tr w14:paraId="5953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671660E">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1E7779E9">
            <w:pPr>
              <w:spacing w:before="55" w:beforeAutospacing="0" w:after="0" w:afterAutospacing="0"/>
              <w:ind w:left="71" w:right="11" w:hanging="5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水表</w:t>
            </w:r>
          </w:p>
        </w:tc>
        <w:tc>
          <w:tcPr>
            <w:tcW w:w="621" w:type="dxa"/>
            <w:vAlign w:val="center"/>
          </w:tcPr>
          <w:p w14:paraId="5A0B6766">
            <w:pPr>
              <w:spacing w:before="0" w:beforeAutospacing="0" w:after="0" w:afterAutospacing="0"/>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7B76A63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778.2-2018</w:t>
            </w:r>
          </w:p>
        </w:tc>
        <w:tc>
          <w:tcPr>
            <w:tcW w:w="4514" w:type="dxa"/>
            <w:vAlign w:val="center"/>
          </w:tcPr>
          <w:p w14:paraId="36A698D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示值误差，压力损失，静磁场试验，静压。</w:t>
            </w:r>
          </w:p>
        </w:tc>
      </w:tr>
      <w:tr w14:paraId="7685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2D1C9C5">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1CC1938F">
            <w:pPr>
              <w:spacing w:before="55" w:beforeAutospacing="0" w:after="0" w:afterAutospacing="0"/>
              <w:ind w:left="71" w:right="11" w:hanging="5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烟花、爆竹</w:t>
            </w:r>
          </w:p>
        </w:tc>
        <w:tc>
          <w:tcPr>
            <w:tcW w:w="621" w:type="dxa"/>
            <w:vAlign w:val="center"/>
          </w:tcPr>
          <w:p w14:paraId="78D365FB">
            <w:pPr>
              <w:spacing w:before="0" w:beforeAutospacing="0" w:after="0" w:afterAutospacing="0"/>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2982B18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GB 10631-2013《烟花爆竹 安全与质量》</w:t>
            </w:r>
          </w:p>
          <w:p w14:paraId="4F574C0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GB 19593-2015《烟花爆竹 组合烟花》</w:t>
            </w:r>
          </w:p>
          <w:p w14:paraId="620BC90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GB 21555-2008《烟花爆竹 双响（升空类产品）》国家标准第1号修改单</w:t>
            </w:r>
          </w:p>
          <w:p w14:paraId="784DBFF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（具体检测项目依据抽样产品特性种类而指定）</w:t>
            </w:r>
          </w:p>
        </w:tc>
        <w:tc>
          <w:tcPr>
            <w:tcW w:w="4514" w:type="dxa"/>
            <w:vAlign w:val="center"/>
          </w:tcPr>
          <w:p w14:paraId="64B8E532">
            <w:pPr>
              <w:spacing w:before="55" w:beforeAutospacing="0" w:after="0" w:afterAutospacing="0"/>
              <w:ind w:left="71" w:right="11" w:hanging="56"/>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标志、包装、外观、部件、结构和材质、双响筒体尺寸、药种、药量、燃放性能、</w:t>
            </w:r>
          </w:p>
          <w:p w14:paraId="40F889FB">
            <w:pPr>
              <w:spacing w:before="55" w:beforeAutospacing="0" w:after="0" w:afterAutospacing="0"/>
              <w:ind w:left="71" w:right="11" w:hanging="56"/>
              <w:rPr>
                <w:rFonts w:hint="eastAsia" w:ascii="宋体" w:hAnsi="宋体" w:eastAsia="宋体" w:cs="宋体"/>
                <w:sz w:val="24"/>
                <w:szCs w:val="24"/>
                <w:highlight w:val="none"/>
              </w:rPr>
            </w:pPr>
          </w:p>
        </w:tc>
      </w:tr>
    </w:tbl>
    <w:p w14:paraId="5FFBF8C1">
      <w:pPr>
        <w:rPr>
          <w:rFonts w:hint="eastAsia" w:ascii="宋体" w:hAnsi="宋体" w:eastAsia="宋体" w:cs="宋体"/>
          <w:sz w:val="24"/>
          <w:highlight w:val="none"/>
        </w:rPr>
        <w:sectPr>
          <w:pgSz w:w="11906" w:h="16838"/>
          <w:pgMar w:top="1440" w:right="1800" w:bottom="1440" w:left="1800" w:header="851" w:footer="992" w:gutter="0"/>
          <w:cols w:space="720" w:num="1"/>
          <w:docGrid w:type="lines" w:linePitch="312" w:charSpace="0"/>
        </w:sectPr>
      </w:pPr>
    </w:p>
    <w:p w14:paraId="63588A94">
      <w:pPr>
        <w:spacing w:before="94" w:line="226" w:lineRule="auto"/>
        <w:ind w:left="29"/>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轻</w:t>
      </w:r>
      <w:r>
        <w:rPr>
          <w:rFonts w:hint="eastAsia" w:ascii="宋体" w:hAnsi="宋体" w:eastAsia="宋体" w:cs="宋体"/>
          <w:spacing w:val="17"/>
          <w:sz w:val="24"/>
          <w:szCs w:val="24"/>
          <w:highlight w:val="none"/>
        </w:rPr>
        <w:t>工业品(纺织类、婴幼儿用品) ：</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87"/>
        <w:gridCol w:w="603"/>
        <w:gridCol w:w="1933"/>
        <w:gridCol w:w="4466"/>
      </w:tblGrid>
      <w:tr w14:paraId="0338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top"/>
          </w:tcPr>
          <w:p w14:paraId="234A9990">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87" w:type="dxa"/>
            <w:vAlign w:val="top"/>
          </w:tcPr>
          <w:p w14:paraId="69A4B934">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03" w:type="dxa"/>
            <w:vAlign w:val="top"/>
          </w:tcPr>
          <w:p w14:paraId="1B69DCAB">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33" w:type="dxa"/>
            <w:vAlign w:val="top"/>
          </w:tcPr>
          <w:p w14:paraId="44EE5FBD">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466" w:type="dxa"/>
            <w:vAlign w:val="top"/>
          </w:tcPr>
          <w:p w14:paraId="3B3017C1">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0F0B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dxa"/>
            <w:vAlign w:val="center"/>
          </w:tcPr>
          <w:p w14:paraId="0F1E77C8">
            <w:pPr>
              <w:pStyle w:val="636"/>
              <w:numPr>
                <w:ilvl w:val="0"/>
                <w:numId w:val="0"/>
              </w:numPr>
              <w:adjustRightInd/>
              <w:spacing w:before="0" w:beforeAutospacing="0" w:after="0" w:afterAutospacing="0" w:line="24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887" w:type="dxa"/>
            <w:vAlign w:val="center"/>
          </w:tcPr>
          <w:p w14:paraId="60608F6F">
            <w:pPr>
              <w:spacing w:before="55" w:beforeAutospacing="0" w:after="0" w:afterAutospacing="0"/>
              <w:ind w:left="71" w:right="11" w:hanging="56"/>
              <w:rPr>
                <w:rFonts w:hint="eastAsia" w:ascii="宋体" w:hAnsi="宋体" w:eastAsia="宋体" w:cs="宋体"/>
                <w:sz w:val="24"/>
                <w:highlight w:val="none"/>
              </w:rPr>
            </w:pPr>
            <w:r>
              <w:rPr>
                <w:rFonts w:hint="eastAsia" w:ascii="宋体" w:hAnsi="宋体" w:eastAsia="宋体" w:cs="宋体"/>
                <w:sz w:val="24"/>
                <w:szCs w:val="24"/>
                <w:highlight w:val="none"/>
              </w:rPr>
              <w:t>儿童餐具（不锈钢儿童餐具、塑料儿童餐具）</w:t>
            </w:r>
          </w:p>
        </w:tc>
        <w:tc>
          <w:tcPr>
            <w:tcW w:w="603" w:type="dxa"/>
            <w:vAlign w:val="center"/>
          </w:tcPr>
          <w:p w14:paraId="765CF98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B25D737">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4806.9-2023</w:t>
            </w:r>
          </w:p>
          <w:p w14:paraId="43030610">
            <w:pPr>
              <w:spacing w:before="55" w:beforeAutospacing="0" w:after="0" w:afterAutospacing="0"/>
              <w:ind w:left="71" w:right="11" w:hanging="56"/>
              <w:rPr>
                <w:rFonts w:hint="eastAsia" w:ascii="宋体" w:hAnsi="宋体" w:eastAsia="宋体" w:cs="宋体"/>
                <w:strike/>
                <w:sz w:val="24"/>
                <w:highlight w:val="none"/>
              </w:rPr>
            </w:pPr>
            <w:r>
              <w:rPr>
                <w:rFonts w:hint="eastAsia" w:ascii="宋体" w:hAnsi="宋体" w:eastAsia="宋体" w:cs="宋体"/>
                <w:sz w:val="24"/>
                <w:szCs w:val="24"/>
                <w:highlight w:val="none"/>
              </w:rPr>
              <w:t>GB 4806.7-2023</w:t>
            </w:r>
          </w:p>
        </w:tc>
        <w:tc>
          <w:tcPr>
            <w:tcW w:w="4466" w:type="dxa"/>
            <w:vAlign w:val="center"/>
          </w:tcPr>
          <w:p w14:paraId="450D0AE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不锈钢儿童餐具：感官要求、杂质元素迁移量（砷As、镉Cd、铅Pb、锑Sb）、合金元素迁移量（铝Al、铬Cr、钴Co、铜Cu、锰Mn、钼Mo、镍Ni、锡Sn、锌Zn）</w:t>
            </w:r>
          </w:p>
          <w:p w14:paraId="4B70457A">
            <w:pPr>
              <w:spacing w:before="55" w:beforeAutospacing="0" w:after="0" w:afterAutospacing="0"/>
              <w:ind w:left="71" w:right="11" w:hanging="56"/>
              <w:rPr>
                <w:rFonts w:hint="eastAsia" w:ascii="宋体" w:hAnsi="宋体" w:eastAsia="宋体" w:cs="宋体"/>
                <w:sz w:val="24"/>
                <w:highlight w:val="none"/>
              </w:rPr>
            </w:pPr>
            <w:r>
              <w:rPr>
                <w:rFonts w:hint="eastAsia" w:ascii="宋体" w:hAnsi="宋体" w:eastAsia="宋体" w:cs="宋体"/>
                <w:sz w:val="24"/>
                <w:szCs w:val="24"/>
                <w:highlight w:val="none"/>
              </w:rPr>
              <w:t>塑料儿童餐具：感官要求、总迁移量、高锰酸钾消耗量、重金属（以Pb计）、脱色试验、芳香族伯胺迁移总量、单体及其他起始物的特定迁移限量、特定迁移限量总量、最大残留量等理化指标、添加剂（邻苯二甲酸二（α-乙基己酯）迁移量，邻苯二甲酸二烯丙酯迁移量，邻苯二甲酸二异壬酯迁移总量，邻苯二甲酸二正丁酯迁移量）（限PVC材质）</w:t>
            </w:r>
          </w:p>
        </w:tc>
      </w:tr>
      <w:tr w14:paraId="0664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153F04D">
            <w:pPr>
              <w:pStyle w:val="636"/>
              <w:numPr>
                <w:ilvl w:val="0"/>
                <w:numId w:val="0"/>
              </w:numPr>
              <w:adjustRightInd/>
              <w:spacing w:before="0" w:beforeAutospacing="0" w:after="0" w:afterAutospacing="0" w:line="24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887" w:type="dxa"/>
            <w:vAlign w:val="center"/>
          </w:tcPr>
          <w:p w14:paraId="727F978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奶嘴</w:t>
            </w:r>
          </w:p>
        </w:tc>
        <w:tc>
          <w:tcPr>
            <w:tcW w:w="603" w:type="dxa"/>
            <w:vAlign w:val="center"/>
          </w:tcPr>
          <w:p w14:paraId="126A40D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top"/>
          </w:tcPr>
          <w:p w14:paraId="4084374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4806.2-2015</w:t>
            </w:r>
          </w:p>
        </w:tc>
        <w:tc>
          <w:tcPr>
            <w:tcW w:w="4466" w:type="dxa"/>
            <w:vAlign w:val="top"/>
          </w:tcPr>
          <w:p w14:paraId="1594423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感官要求、总迁移量、高锰酸钾消耗量、重金属（以Pb</w:t>
            </w:r>
          </w:p>
          <w:p w14:paraId="2599CC8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计）、挥发性物质</w:t>
            </w:r>
          </w:p>
        </w:tc>
      </w:tr>
      <w:tr w14:paraId="7C78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06" w:type="dxa"/>
            <w:vAlign w:val="center"/>
          </w:tcPr>
          <w:p w14:paraId="592915C1">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605FCF4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塑料婴幼儿奶瓶</w:t>
            </w:r>
          </w:p>
        </w:tc>
        <w:tc>
          <w:tcPr>
            <w:tcW w:w="603" w:type="dxa"/>
            <w:vAlign w:val="center"/>
          </w:tcPr>
          <w:p w14:paraId="1AFBC8B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6408DF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38995—2020</w:t>
            </w:r>
          </w:p>
          <w:p w14:paraId="1880541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4806.7—2023</w:t>
            </w:r>
          </w:p>
        </w:tc>
        <w:tc>
          <w:tcPr>
            <w:tcW w:w="4466" w:type="dxa"/>
            <w:vAlign w:val="center"/>
          </w:tcPr>
          <w:p w14:paraId="4417993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感官要求、总迁移量、高锰酸钾消耗量、重金属（以Pb计）、脱色试验，单体及其他起始物的特定迁移限量、特定迁移限量总量、最大残留量等理化指标，标签标识、容量偏差、塑料奶瓶瓶身的抗压变形性能、耐沸水性能、耐热冲击性能</w:t>
            </w:r>
          </w:p>
        </w:tc>
      </w:tr>
      <w:tr w14:paraId="21DD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E143320">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0409808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学生书包</w:t>
            </w:r>
          </w:p>
        </w:tc>
        <w:tc>
          <w:tcPr>
            <w:tcW w:w="603" w:type="dxa"/>
            <w:vAlign w:val="center"/>
          </w:tcPr>
          <w:p w14:paraId="2FC4E4D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64716614">
            <w:pPr>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21027—2020 </w:t>
            </w:r>
          </w:p>
          <w:p w14:paraId="05890CBD">
            <w:pPr>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QB/T 1333—2018</w:t>
            </w:r>
          </w:p>
          <w:p w14:paraId="33C8BA2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2858—2007</w:t>
            </w:r>
          </w:p>
        </w:tc>
        <w:tc>
          <w:tcPr>
            <w:tcW w:w="4466" w:type="dxa"/>
            <w:vAlign w:val="center"/>
          </w:tcPr>
          <w:p w14:paraId="385AB60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学生书包（背提包）：振荡冲击性能、缝合强度、可迁移元素的限量、游离甲醛含量、可分解有害芳香胺染料、可触及的塑料件中邻苯二甲酸酯、增塑剂的限量</w:t>
            </w:r>
          </w:p>
          <w:p w14:paraId="2626BC7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学生书包（书袋）：甲醛、可迁移元素最大限量、可分解致癌芳香胺染料、可触及的塑料件中邻苯二甲酸酯增塑剂的限量、缝合强度、负重、旅行式拉杆书袋滑轮和拉杆、舒适度、书袋带、提把</w:t>
            </w:r>
          </w:p>
        </w:tc>
      </w:tr>
      <w:tr w14:paraId="1E5F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D6001E1">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0ADE1EF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学生用品</w:t>
            </w:r>
          </w:p>
        </w:tc>
        <w:tc>
          <w:tcPr>
            <w:tcW w:w="603" w:type="dxa"/>
            <w:vAlign w:val="center"/>
          </w:tcPr>
          <w:p w14:paraId="3AF63C7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E2F3F5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21027—2020</w:t>
            </w:r>
          </w:p>
        </w:tc>
        <w:tc>
          <w:tcPr>
            <w:tcW w:w="4466" w:type="dxa"/>
            <w:vAlign w:val="center"/>
          </w:tcPr>
          <w:p w14:paraId="6B1EDEA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学生文具（美术用品）：可迁移元素的限量、可触及的塑料件中邻苯二甲酸酯增塑剂的限量、笔套安全</w:t>
            </w:r>
          </w:p>
          <w:p w14:paraId="24F9785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学生文具（书写笔）：可迁移元素的限量、可触及的塑料件中邻苯二甲酸酯增塑剂的限量、笔套安全</w:t>
            </w:r>
          </w:p>
          <w:p w14:paraId="110A624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学生文具（记号笔）：可迁移元素的限量、可触及的塑料件中邻苯二甲酸酯增塑剂的限量、笔套安全</w:t>
            </w:r>
          </w:p>
          <w:p w14:paraId="7516EC0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学生文具（橡皮擦）：可迁移元素的限量、可触及的塑料件中邻苯二甲酸酯增塑剂的限量</w:t>
            </w:r>
          </w:p>
          <w:p w14:paraId="41C4B90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学生文具（涂改制品）：可迁移元素的限量、苯的含量、氯代烃、可触及的塑料件中邻苯二甲酸酯增塑剂的限量、笔套安全</w:t>
            </w:r>
          </w:p>
          <w:p w14:paraId="5926136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学生文具（胶黏剂）：游离甲醛、苯、甲苯+二甲苯、总挥发性有机物、丙烯酰胺、可触及的塑料件中邻苯二甲酸酯增塑剂的限量</w:t>
            </w:r>
          </w:p>
          <w:p w14:paraId="343F476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学生文具（笔袋）：可迁移元素的限量、游离甲醛含量、可分解有害芳香胺染料、可触及的塑料件中邻苯二甲酸酯增塑剂的限量</w:t>
            </w:r>
          </w:p>
          <w:p w14:paraId="3E5EBBF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学生文具（卷削类文具、绘图仪尺、学生圆规、文具盒）：可迁移元素的限量、可触及的塑料件中邻苯二甲酸酯增塑剂的限量，边缘、尖端</w:t>
            </w:r>
          </w:p>
          <w:p w14:paraId="7404608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学生文具（课业簿册）：可迁移元素的限量、D65亮度、D65荧光亮度</w:t>
            </w:r>
          </w:p>
          <w:p w14:paraId="0088D84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学生文具（书套）：可迁移元素的限量、可触及的塑料件中邻苯二甲酸酯增塑剂的限量</w:t>
            </w:r>
          </w:p>
          <w:p w14:paraId="7E4EFC9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学生文具（彩泥）：可迁移元素的限量、可触及的塑料件中邻苯二甲酸酯增塑剂的限量、游离甲醛的限量</w:t>
            </w:r>
          </w:p>
        </w:tc>
      </w:tr>
      <w:tr w14:paraId="2F2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F7847B8">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3447246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玩具滑板车</w:t>
            </w:r>
          </w:p>
        </w:tc>
        <w:tc>
          <w:tcPr>
            <w:tcW w:w="603" w:type="dxa"/>
            <w:vAlign w:val="center"/>
          </w:tcPr>
          <w:p w14:paraId="7C85B2D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3703F30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6675.12-2014</w:t>
            </w:r>
          </w:p>
        </w:tc>
        <w:tc>
          <w:tcPr>
            <w:tcW w:w="4466" w:type="dxa"/>
            <w:vAlign w:val="center"/>
          </w:tcPr>
          <w:p w14:paraId="495C200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正常使用、可预见的合理滥用、材料、小零件、边缘、尖端、突出部件、用于包装或玩具中的塑料袋或塑料薄膜，孔、间隙、机械装置的可触及性，弹簧、强度、三轮滑板车的稳定性，可调节、可折叠的把立管和把横管、刹车</w:t>
            </w:r>
          </w:p>
        </w:tc>
      </w:tr>
      <w:tr w14:paraId="4CB0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5E28BA7D">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6B842AB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儿童牙刷</w:t>
            </w:r>
          </w:p>
        </w:tc>
        <w:tc>
          <w:tcPr>
            <w:tcW w:w="603" w:type="dxa"/>
            <w:vAlign w:val="center"/>
          </w:tcPr>
          <w:p w14:paraId="3AE18FE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4CA4B44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39669—2020</w:t>
            </w:r>
          </w:p>
        </w:tc>
        <w:tc>
          <w:tcPr>
            <w:tcW w:w="4466" w:type="dxa"/>
            <w:vAlign w:val="center"/>
          </w:tcPr>
          <w:p w14:paraId="097C0DF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儿童手动牙刷：邻苯二甲酸酯增塑剂、有害元素、磨尖丝刷毛pH、毛束拉力、颈部抗弯力、儿童牙刷刷头、磨毛、磨尖丝，边缘、尖端，儿童用牙刷及口腔器具饰件</w:t>
            </w:r>
          </w:p>
          <w:p w14:paraId="1E6653E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儿童电动牙刷：邻苯二甲酸酯增塑剂、有害元素、磨尖丝刷毛pH、毛束拉力、磨毛、磨尖丝、电安全要求、电动牙刷植毛块牢固度、儿童电动牙刷可拆卸零部件，边缘、尖端，儿童用牙刷及口腔器具饰件</w:t>
            </w:r>
          </w:p>
        </w:tc>
      </w:tr>
      <w:tr w14:paraId="0E21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F35F852">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240078B9">
            <w:pPr>
              <w:spacing w:before="55" w:beforeAutospacing="0" w:after="0" w:afterAutospacing="0"/>
              <w:ind w:left="71" w:leftChars="0" w:right="11" w:hanging="56"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儿童及婴幼儿服装</w:t>
            </w:r>
          </w:p>
        </w:tc>
        <w:tc>
          <w:tcPr>
            <w:tcW w:w="603" w:type="dxa"/>
            <w:vAlign w:val="center"/>
          </w:tcPr>
          <w:p w14:paraId="58E2B39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2D8DA88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GB18401—2010 GB31701—2015</w:t>
            </w:r>
          </w:p>
          <w:p w14:paraId="09B5852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0DB3590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39508—2020 </w:t>
            </w:r>
          </w:p>
          <w:p w14:paraId="5C7817D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31900—2015</w:t>
            </w:r>
          </w:p>
          <w:p w14:paraId="1DDAA7E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33271—2016</w:t>
            </w:r>
          </w:p>
          <w:p w14:paraId="6215847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2660—2017</w:t>
            </w:r>
          </w:p>
          <w:p w14:paraId="60A4DF2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2662—2017</w:t>
            </w:r>
          </w:p>
          <w:p w14:paraId="170728F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2664—2017 </w:t>
            </w:r>
          </w:p>
          <w:p w14:paraId="4C6F147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2665—2017 </w:t>
            </w:r>
          </w:p>
          <w:p w14:paraId="150B1F9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2666—2017 </w:t>
            </w:r>
          </w:p>
          <w:p w14:paraId="5DFCFB4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8878—2014</w:t>
            </w:r>
          </w:p>
          <w:p w14:paraId="10F48D3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8878—2023 </w:t>
            </w:r>
          </w:p>
          <w:p w14:paraId="3F0ACB3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14272—2011 </w:t>
            </w:r>
          </w:p>
          <w:p w14:paraId="30C4EE3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14272—2021 </w:t>
            </w:r>
          </w:p>
          <w:p w14:paraId="28ADBB5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18132—2016 </w:t>
            </w:r>
          </w:p>
          <w:p w14:paraId="04DF4CC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22700—2016 </w:t>
            </w:r>
          </w:p>
          <w:p w14:paraId="5B9C32B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22849—2014 </w:t>
            </w:r>
          </w:p>
          <w:p w14:paraId="5605278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22853—2019 </w:t>
            </w:r>
          </w:p>
          <w:p w14:paraId="3215C5E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26384—2011 </w:t>
            </w:r>
          </w:p>
          <w:p w14:paraId="71D99A4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26385—2011</w:t>
            </w:r>
          </w:p>
          <w:p w14:paraId="62AED9A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43015—2021 </w:t>
            </w:r>
          </w:p>
          <w:p w14:paraId="3E86B88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73005—2021 </w:t>
            </w:r>
          </w:p>
          <w:p w14:paraId="3914D4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73009—2021 </w:t>
            </w:r>
          </w:p>
          <w:p w14:paraId="1BBF37A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73010—2016 </w:t>
            </w:r>
          </w:p>
          <w:p w14:paraId="4B52FE7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73017—2014 </w:t>
            </w:r>
          </w:p>
          <w:p w14:paraId="67510AA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73018—2021 </w:t>
            </w:r>
          </w:p>
          <w:p w14:paraId="429C0C5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73020—2019 </w:t>
            </w:r>
          </w:p>
          <w:p w14:paraId="61ECED6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73022—2019 </w:t>
            </w:r>
          </w:p>
          <w:p w14:paraId="082733D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73024—2014 </w:t>
            </w:r>
          </w:p>
          <w:p w14:paraId="1A01B4D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73025—2019 </w:t>
            </w:r>
          </w:p>
          <w:p w14:paraId="6E992BC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73026—2014 </w:t>
            </w:r>
          </w:p>
          <w:p w14:paraId="2DC0C75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73029—2019 </w:t>
            </w:r>
          </w:p>
          <w:p w14:paraId="2CFF5A7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73032—2017 </w:t>
            </w:r>
          </w:p>
          <w:p w14:paraId="3FA2D14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73034—2021 </w:t>
            </w:r>
          </w:p>
          <w:p w14:paraId="013CD50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73043—2020 </w:t>
            </w:r>
          </w:p>
          <w:p w14:paraId="0B8F487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73045—2013 </w:t>
            </w:r>
          </w:p>
          <w:p w14:paraId="47613FB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FZ/T 73052—2015</w:t>
            </w:r>
          </w:p>
          <w:p w14:paraId="4281CE8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73053—2015 </w:t>
            </w:r>
          </w:p>
          <w:p w14:paraId="110E0D5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73056—2016 </w:t>
            </w:r>
          </w:p>
          <w:p w14:paraId="62DC343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73058—2017 </w:t>
            </w:r>
          </w:p>
          <w:p w14:paraId="48356D4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73059—2017 </w:t>
            </w:r>
          </w:p>
          <w:p w14:paraId="1E2D878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73061—2019 </w:t>
            </w:r>
          </w:p>
          <w:p w14:paraId="5ABB28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73064—2019 </w:t>
            </w:r>
          </w:p>
          <w:p w14:paraId="7EEF903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81001—2016 </w:t>
            </w:r>
          </w:p>
          <w:p w14:paraId="52DC76A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81004—2012 </w:t>
            </w:r>
          </w:p>
          <w:p w14:paraId="699EFD4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81004—2022 </w:t>
            </w:r>
          </w:p>
          <w:p w14:paraId="5C13E18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81006—2017 </w:t>
            </w:r>
          </w:p>
          <w:p w14:paraId="06E9D9D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81007—2012 </w:t>
            </w:r>
          </w:p>
          <w:p w14:paraId="14A523E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81007—2022 </w:t>
            </w:r>
          </w:p>
          <w:p w14:paraId="5488592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81008—2021 </w:t>
            </w:r>
          </w:p>
          <w:p w14:paraId="1418C99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81010—2018 </w:t>
            </w:r>
          </w:p>
          <w:p w14:paraId="7FB6F4E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81019—2014 </w:t>
            </w:r>
          </w:p>
        </w:tc>
        <w:tc>
          <w:tcPr>
            <w:tcW w:w="4466" w:type="dxa"/>
            <w:vAlign w:val="center"/>
          </w:tcPr>
          <w:p w14:paraId="56E369F2">
            <w:pPr>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异味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耐唾液色牢度</w:t>
            </w:r>
            <w:r>
              <w:rPr>
                <w:rFonts w:hint="eastAsia" w:ascii="宋体" w:hAnsi="宋体" w:eastAsia="宋体" w:cs="宋体"/>
                <w:sz w:val="24"/>
                <w:szCs w:val="24"/>
                <w:highlight w:val="none"/>
                <w:lang w:eastAsia="zh-CN"/>
              </w:rPr>
              <w:t>、</w:t>
            </w:r>
          </w:p>
          <w:p w14:paraId="7A17AB7F">
            <w:pPr>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耐皂洗色牢度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耐光色牢度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拼接互染色牢度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纤维含量</w:t>
            </w:r>
            <w:r>
              <w:rPr>
                <w:rFonts w:hint="eastAsia" w:ascii="宋体" w:hAnsi="宋体" w:eastAsia="宋体" w:cs="宋体"/>
                <w:sz w:val="24"/>
                <w:szCs w:val="24"/>
                <w:highlight w:val="none"/>
                <w:lang w:eastAsia="zh-CN"/>
              </w:rPr>
              <w:t>、</w:t>
            </w:r>
          </w:p>
          <w:p w14:paraId="347D712A">
            <w:pPr>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重金属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邻苯二甲酸酯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附件抗拉强力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缝子纰裂程度</w:t>
            </w:r>
            <w:r>
              <w:rPr>
                <w:rFonts w:hint="eastAsia" w:ascii="宋体" w:hAnsi="宋体" w:eastAsia="宋体" w:cs="宋体"/>
                <w:sz w:val="24"/>
                <w:szCs w:val="24"/>
                <w:highlight w:val="none"/>
                <w:lang w:eastAsia="zh-CN"/>
              </w:rPr>
              <w:t>、</w:t>
            </w:r>
          </w:p>
          <w:p w14:paraId="1C1214B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裤后裆缝接缝强力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接缝性能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起球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绳带要求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附件锐利性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燃烧性能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金属针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羽绒含绒量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绒子含量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绒丝+羽丝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陆禽毛含量</w:t>
            </w:r>
          </w:p>
        </w:tc>
      </w:tr>
      <w:tr w14:paraId="67D5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2E195569">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1F6DA36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童鞋</w:t>
            </w:r>
          </w:p>
        </w:tc>
        <w:tc>
          <w:tcPr>
            <w:tcW w:w="603" w:type="dxa"/>
            <w:vAlign w:val="center"/>
          </w:tcPr>
          <w:p w14:paraId="2587D4D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6C3477A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GB30585—2014</w:t>
            </w:r>
          </w:p>
          <w:p w14:paraId="515CA23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QB/T2880—2016</w:t>
            </w:r>
          </w:p>
          <w:p w14:paraId="39A8DB8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2955—2017</w:t>
            </w:r>
          </w:p>
          <w:p w14:paraId="747E1BE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4331—2021 </w:t>
            </w:r>
          </w:p>
          <w:p w14:paraId="09579402">
            <w:pPr>
              <w:spacing w:before="55" w:beforeAutospacing="0" w:after="0" w:afterAutospacing="0"/>
              <w:ind w:left="71" w:leftChars="0" w:right="11" w:hanging="56"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4546—2021 </w:t>
            </w:r>
          </w:p>
        </w:tc>
        <w:tc>
          <w:tcPr>
            <w:tcW w:w="4466" w:type="dxa"/>
            <w:vAlign w:val="center"/>
          </w:tcPr>
          <w:p w14:paraId="07A936F7">
            <w:pPr>
              <w:spacing w:before="0" w:beforeAutospacing="0" w:after="0" w:afterAutospacing="0"/>
              <w:ind w:left="0" w:right="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儿童旅游鞋：</w:t>
            </w:r>
            <w:r>
              <w:rPr>
                <w:rFonts w:hint="eastAsia" w:ascii="宋体" w:hAnsi="宋体" w:eastAsia="宋体" w:cs="宋体"/>
                <w:b w:val="0"/>
                <w:bCs w:val="0"/>
                <w:sz w:val="24"/>
                <w:szCs w:val="24"/>
                <w:highlight w:val="none"/>
              </w:rPr>
              <w:t>帮底剥离强度或底墙与帮面剥离强度</w:t>
            </w:r>
            <w:r>
              <w:rPr>
                <w:rFonts w:hint="eastAsia" w:ascii="宋体" w:hAnsi="宋体" w:eastAsia="宋体" w:cs="宋体"/>
                <w:b w:val="0"/>
                <w:bCs w:val="0"/>
                <w:sz w:val="24"/>
                <w:szCs w:val="24"/>
                <w:highlight w:val="none"/>
                <w:lang w:eastAsia="zh-CN"/>
              </w:rPr>
              <w:t>、外帮底剥离强度、或底墙与帮面剥离强度底耐磨性能、衬里和内垫耐摩擦色牢度、外底硬度、物理机械安全性能、皮革和毛皮中的六价铬、可分解有害芳香胺染料、甲醛、重金属总量（砷、铅、镉）、富马酸二甲酯、橡胶部件中的N—亚硝基胺（婴幼儿鞋）、邻苯二甲酸酯</w:t>
            </w:r>
          </w:p>
          <w:p w14:paraId="07036C0A">
            <w:pPr>
              <w:spacing w:before="0" w:beforeAutospacing="0" w:after="0" w:afterAutospacing="0"/>
              <w:ind w:left="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szCs w:val="24"/>
                <w:highlight w:val="none"/>
                <w:lang w:val="en-US" w:eastAsia="zh-CN"/>
              </w:rPr>
              <w:t>儿童皮鞋：耐磨性能、剥离强度、外底硬度、鞋帮拉出强度、衬里和内垫摩擦色牢度、勾心纵向刚度、勾心硬度、</w:t>
            </w:r>
          </w:p>
          <w:p w14:paraId="1EBC96F2">
            <w:pPr>
              <w:spacing w:before="0" w:beforeAutospacing="0" w:after="0" w:afterAutospacing="0"/>
              <w:ind w:left="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勾心长度、勾心弯曲性能、物理机械安全性能、皮革和毛皮中的六价铬、可分解有害芳香胺染料、甲醛、重金属总量（砷、铅、镉）、富马酸二甲酯、橡胶部件中的N—亚硝基胺（婴幼儿鞋）、邻苯二甲酸酯</w:t>
            </w:r>
          </w:p>
          <w:p w14:paraId="742F2D8A">
            <w:pPr>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儿童皮凉鞋：耐磨性能、帮底剥离强度、外底硬度、帮带拉出强度（或帮带拔出力）、衬里和内垫摩擦色牢度、勾心纵向刚度、勾心硬度、勾心长度、勾心弯曲性能、物理机械安全性能\皮革和毛皮中的六价铬、可分解</w:t>
            </w:r>
            <w:r>
              <w:rPr>
                <w:rFonts w:hint="eastAsia" w:ascii="宋体" w:hAnsi="宋体" w:eastAsia="宋体" w:cs="宋体"/>
                <w:sz w:val="24"/>
                <w:szCs w:val="24"/>
                <w:highlight w:val="none"/>
                <w:lang w:val="en-US" w:eastAsia="zh-CN"/>
              </w:rPr>
              <w:t>有害芳香胺染料、甲醛、重金属总量（砷、铅、镉）、富马酸二甲酯、橡胶部件中的N—亚硝基胺（婴幼儿鞋）、邻苯二甲酸酯</w:t>
            </w:r>
          </w:p>
          <w:p w14:paraId="4F0753FF">
            <w:pPr>
              <w:spacing w:before="0" w:beforeAutospacing="0" w:after="0" w:afterAutospacing="0"/>
              <w:ind w:left="0" w:right="0"/>
              <w:rPr>
                <w:rFonts w:hint="eastAsia" w:ascii="宋体" w:hAnsi="宋体" w:eastAsia="宋体" w:cs="宋体"/>
                <w:sz w:val="24"/>
                <w:szCs w:val="24"/>
                <w:highlight w:val="none"/>
              </w:rPr>
            </w:pPr>
          </w:p>
        </w:tc>
      </w:tr>
      <w:tr w14:paraId="3625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5176103">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4321C34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校服</w:t>
            </w:r>
          </w:p>
        </w:tc>
        <w:tc>
          <w:tcPr>
            <w:tcW w:w="603" w:type="dxa"/>
            <w:vAlign w:val="center"/>
          </w:tcPr>
          <w:p w14:paraId="5336E15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6AC7B9D">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p>
          <w:p w14:paraId="4F568F64">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 18383—2007</w:t>
            </w:r>
          </w:p>
          <w:p w14:paraId="3BE01C07">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 31701—2015</w:t>
            </w:r>
          </w:p>
          <w:p w14:paraId="076E4C0A">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50AA156C">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22854—2009</w:t>
            </w:r>
          </w:p>
          <w:p w14:paraId="20C372ED">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23328—2009</w:t>
            </w:r>
          </w:p>
          <w:p w14:paraId="0EAB867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31888—2015</w:t>
            </w:r>
          </w:p>
        </w:tc>
        <w:tc>
          <w:tcPr>
            <w:tcW w:w="4466" w:type="dxa"/>
            <w:vAlign w:val="center"/>
          </w:tcPr>
          <w:p w14:paraId="61B65F4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纤维含量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耐酸汗渍色牢度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耐碱汗渍色牢度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耐湿摩擦色牢度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绳带要求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附件锐利性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金属针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絮用纤维原料要求</w:t>
            </w:r>
          </w:p>
        </w:tc>
      </w:tr>
      <w:tr w14:paraId="16FD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606" w:type="dxa"/>
            <w:vAlign w:val="center"/>
          </w:tcPr>
          <w:p w14:paraId="502BF53A">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6994C6D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玩具</w:t>
            </w:r>
          </w:p>
          <w:p w14:paraId="123342DF">
            <w:pPr>
              <w:pStyle w:val="3"/>
              <w:spacing w:before="0" w:beforeAutospacing="0" w:after="0" w:afterAutospacing="0"/>
              <w:ind w:right="0"/>
              <w:outlineLvl w:val="1"/>
              <w:rPr>
                <w:rFonts w:hint="eastAsia" w:ascii="宋体" w:hAnsi="宋体" w:eastAsia="宋体" w:cs="宋体"/>
                <w:sz w:val="24"/>
                <w:szCs w:val="24"/>
                <w:highlight w:val="none"/>
                <w:lang w:val="en-US"/>
              </w:rPr>
            </w:pPr>
          </w:p>
          <w:p w14:paraId="2FD34EB3">
            <w:pPr>
              <w:spacing w:before="0" w:beforeAutospacing="0" w:after="0" w:afterAutospacing="0"/>
              <w:ind w:left="0" w:right="0"/>
              <w:rPr>
                <w:rFonts w:hint="eastAsia" w:ascii="宋体" w:hAnsi="宋体" w:eastAsia="宋体" w:cs="宋体"/>
                <w:sz w:val="24"/>
                <w:highlight w:val="none"/>
              </w:rPr>
            </w:pPr>
          </w:p>
          <w:p w14:paraId="010A35FD">
            <w:pPr>
              <w:pStyle w:val="3"/>
              <w:spacing w:before="0" w:beforeAutospacing="0" w:after="0" w:afterAutospacing="0"/>
              <w:ind w:right="0"/>
              <w:outlineLvl w:val="1"/>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玩具</w:t>
            </w:r>
          </w:p>
          <w:p w14:paraId="3A3C995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（电玩具）</w:t>
            </w:r>
          </w:p>
          <w:p w14:paraId="73B078E1">
            <w:pPr>
              <w:pStyle w:val="3"/>
              <w:spacing w:before="0" w:beforeAutospacing="0" w:after="0" w:afterAutospacing="0"/>
              <w:ind w:right="0"/>
              <w:outlineLvl w:val="1"/>
              <w:rPr>
                <w:rFonts w:hint="eastAsia" w:ascii="宋体" w:hAnsi="宋体" w:eastAsia="宋体" w:cs="宋体"/>
                <w:sz w:val="24"/>
                <w:szCs w:val="24"/>
                <w:highlight w:val="none"/>
                <w:lang w:val="en-US" w:eastAsia="zh-CN"/>
              </w:rPr>
            </w:pPr>
          </w:p>
        </w:tc>
        <w:tc>
          <w:tcPr>
            <w:tcW w:w="603" w:type="dxa"/>
            <w:vAlign w:val="center"/>
          </w:tcPr>
          <w:p w14:paraId="50A33D4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BCDF8A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GB6675.1-4</w:t>
            </w:r>
          </w:p>
          <w:p w14:paraId="6CF7237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GB19865-2005</w:t>
            </w:r>
          </w:p>
          <w:p w14:paraId="44D11DB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GB5296.5-2006《消费品标志说明第 5 部分：玩具》</w:t>
            </w:r>
          </w:p>
          <w:p w14:paraId="5FE8D445">
            <w:pPr>
              <w:pStyle w:val="3"/>
              <w:spacing w:before="0" w:beforeAutospacing="0" w:after="0" w:afterAutospacing="0"/>
              <w:ind w:left="0" w:right="0" w:firstLine="0"/>
              <w:outlineLvl w:val="1"/>
              <w:rPr>
                <w:rFonts w:hint="eastAsia" w:ascii="宋体" w:hAnsi="宋体" w:eastAsia="宋体" w:cs="宋体"/>
                <w:sz w:val="24"/>
                <w:szCs w:val="24"/>
                <w:highlight w:val="none"/>
                <w:lang w:val="en-US"/>
              </w:rPr>
            </w:pPr>
          </w:p>
          <w:p w14:paraId="5D7B5166">
            <w:pPr>
              <w:spacing w:before="0" w:beforeAutospacing="0" w:after="0" w:afterAutospacing="0"/>
              <w:ind w:left="0" w:right="0"/>
              <w:rPr>
                <w:rFonts w:hint="eastAsia" w:ascii="宋体" w:hAnsi="宋体" w:eastAsia="宋体" w:cs="宋体"/>
                <w:sz w:val="24"/>
                <w:highlight w:val="none"/>
              </w:rPr>
            </w:pPr>
          </w:p>
          <w:p w14:paraId="6AE0F96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6675.1—2014 </w:t>
            </w:r>
          </w:p>
          <w:p w14:paraId="0AF0C47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6675.2—2014 </w:t>
            </w:r>
          </w:p>
          <w:p w14:paraId="432E03E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6675.3—2014 </w:t>
            </w:r>
          </w:p>
          <w:p w14:paraId="2E03B97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6675.4—2014 </w:t>
            </w:r>
          </w:p>
          <w:p w14:paraId="09810E4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19865—2005 </w:t>
            </w:r>
          </w:p>
          <w:p w14:paraId="193FE28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22048—2022</w:t>
            </w:r>
          </w:p>
        </w:tc>
        <w:tc>
          <w:tcPr>
            <w:tcW w:w="4466" w:type="dxa"/>
            <w:vAlign w:val="center"/>
          </w:tcPr>
          <w:p w14:paraId="0577205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全项目</w:t>
            </w:r>
          </w:p>
          <w:p w14:paraId="67A8163B">
            <w:pPr>
              <w:pStyle w:val="3"/>
              <w:spacing w:before="0" w:beforeAutospacing="0" w:after="0" w:afterAutospacing="0"/>
              <w:ind w:right="0"/>
              <w:outlineLvl w:val="1"/>
              <w:rPr>
                <w:rFonts w:hint="eastAsia" w:ascii="宋体" w:hAnsi="宋体" w:eastAsia="宋体" w:cs="宋体"/>
                <w:sz w:val="24"/>
                <w:szCs w:val="24"/>
                <w:highlight w:val="none"/>
                <w:lang w:val="en-US"/>
              </w:rPr>
            </w:pPr>
          </w:p>
          <w:p w14:paraId="4CEFDAC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机械与物理性能（正常使用）、机械与物理性能（可预见的合理滥用）、易燃性能、特定元素的迁移、增塑剂、电性能</w:t>
            </w:r>
          </w:p>
        </w:tc>
      </w:tr>
      <w:tr w14:paraId="1F23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36CD170">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7366A773">
            <w:pPr>
              <w:spacing w:before="55" w:beforeAutospacing="0" w:after="0" w:afterAutospacing="0"/>
              <w:ind w:left="71" w:right="11" w:hanging="56"/>
              <w:rPr>
                <w:rFonts w:hint="eastAsia" w:ascii="宋体" w:hAnsi="宋体" w:eastAsia="宋体" w:cs="宋体"/>
                <w:b w:val="0"/>
                <w:bCs w:val="0"/>
                <w:sz w:val="24"/>
                <w:szCs w:val="24"/>
                <w:highlight w:val="none"/>
                <w:lang w:val="en-US"/>
              </w:rPr>
            </w:pPr>
            <w:r>
              <w:rPr>
                <w:rFonts w:hint="eastAsia" w:ascii="宋体" w:hAnsi="宋体" w:eastAsia="宋体" w:cs="宋体"/>
                <w:sz w:val="24"/>
                <w:szCs w:val="24"/>
                <w:highlight w:val="none"/>
              </w:rPr>
              <w:t>玩具（含木质、塑胶、毛绒等玩具，解压、弹射、假水等玩具，爬行垫、水晶泥等）</w:t>
            </w:r>
          </w:p>
        </w:tc>
        <w:tc>
          <w:tcPr>
            <w:tcW w:w="603" w:type="dxa"/>
            <w:vAlign w:val="center"/>
          </w:tcPr>
          <w:p w14:paraId="15A3E67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008C829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6675.1—2014 </w:t>
            </w:r>
          </w:p>
          <w:p w14:paraId="26B3F2B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6675.2—2014 </w:t>
            </w:r>
          </w:p>
          <w:p w14:paraId="5A78C71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6675.3—2014 </w:t>
            </w:r>
          </w:p>
          <w:p w14:paraId="36EFF11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6675.4—2014 </w:t>
            </w:r>
          </w:p>
          <w:p w14:paraId="469656A7">
            <w:pPr>
              <w:spacing w:before="55" w:beforeAutospacing="0" w:after="0" w:afterAutospacing="0"/>
              <w:ind w:left="71" w:right="11" w:hanging="56"/>
              <w:rPr>
                <w:rFonts w:hint="eastAsia" w:ascii="宋体" w:hAnsi="宋体" w:eastAsia="宋体" w:cs="宋体"/>
                <w:sz w:val="24"/>
                <w:highlight w:val="none"/>
              </w:rPr>
            </w:pPr>
            <w:r>
              <w:rPr>
                <w:rFonts w:hint="eastAsia" w:ascii="宋体" w:hAnsi="宋体" w:eastAsia="宋体" w:cs="宋体"/>
                <w:sz w:val="24"/>
                <w:szCs w:val="24"/>
                <w:highlight w:val="none"/>
              </w:rPr>
              <w:t>GB/T 22048—2022</w:t>
            </w:r>
          </w:p>
        </w:tc>
        <w:tc>
          <w:tcPr>
            <w:tcW w:w="4466" w:type="dxa"/>
            <w:vAlign w:val="center"/>
          </w:tcPr>
          <w:p w14:paraId="5068F325">
            <w:pPr>
              <w:spacing w:before="55" w:beforeAutospacing="0" w:after="0" w:afterAutospacing="0"/>
              <w:ind w:left="71" w:right="11" w:hanging="56"/>
              <w:rPr>
                <w:rFonts w:hint="eastAsia" w:ascii="宋体" w:hAnsi="宋体" w:eastAsia="宋体" w:cs="宋体"/>
                <w:sz w:val="24"/>
                <w:highlight w:val="none"/>
              </w:rPr>
            </w:pPr>
            <w:r>
              <w:rPr>
                <w:rFonts w:hint="eastAsia" w:ascii="宋体" w:hAnsi="宋体" w:eastAsia="宋体" w:cs="宋体"/>
                <w:sz w:val="24"/>
                <w:szCs w:val="24"/>
                <w:highlight w:val="none"/>
              </w:rPr>
              <w:t>机械与物理性能（正常使用）、机械与物理性能（可预见的合理滥用）、易燃性能、特定元素的迁移、增塑剂</w:t>
            </w:r>
          </w:p>
        </w:tc>
      </w:tr>
      <w:tr w14:paraId="4A3D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21889A09">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02A2239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一次性用品（一次性床单、一次性内裤、一次性毛巾、一次性柔巾）</w:t>
            </w:r>
          </w:p>
        </w:tc>
        <w:tc>
          <w:tcPr>
            <w:tcW w:w="603" w:type="dxa"/>
            <w:vAlign w:val="center"/>
          </w:tcPr>
          <w:p w14:paraId="017F99C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top"/>
          </w:tcPr>
          <w:p w14:paraId="338EDB50">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15979—2002 </w:t>
            </w:r>
          </w:p>
          <w:p w14:paraId="3B4DE192">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15979—2024 </w:t>
            </w:r>
          </w:p>
          <w:p w14:paraId="5D72C1F0">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4164D52D">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2B4F5522">
            <w:pPr>
              <w:spacing w:before="55" w:beforeAutospacing="0" w:after="0" w:afterAutospacing="0"/>
              <w:ind w:left="71" w:right="11" w:hanging="56"/>
              <w:rPr>
                <w:rFonts w:hint="eastAsia" w:ascii="宋体" w:hAnsi="宋体" w:eastAsia="宋体" w:cs="宋体"/>
                <w:sz w:val="24"/>
                <w:szCs w:val="24"/>
                <w:highlight w:val="none"/>
              </w:rPr>
            </w:pPr>
          </w:p>
        </w:tc>
        <w:tc>
          <w:tcPr>
            <w:tcW w:w="4466" w:type="dxa"/>
            <w:vAlign w:val="center"/>
          </w:tcPr>
          <w:p w14:paraId="5F6B9EB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甲醛含量、pH值、异味、可分解致癌芳香胺染料、纤维含量、细菌菌落总数、大肠菌群、金黄色葡萄球菌、溶血性链球菌、绿脓杆菌、真菌菌落总数</w:t>
            </w:r>
          </w:p>
        </w:tc>
      </w:tr>
      <w:tr w14:paraId="38F4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6F1849B3">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364B731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卫生用品</w:t>
            </w:r>
          </w:p>
        </w:tc>
        <w:tc>
          <w:tcPr>
            <w:tcW w:w="603" w:type="dxa"/>
            <w:vAlign w:val="center"/>
          </w:tcPr>
          <w:p w14:paraId="20EF042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top"/>
          </w:tcPr>
          <w:p w14:paraId="01460512">
            <w:pPr>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GB 2626—2019</w:t>
            </w:r>
          </w:p>
          <w:p w14:paraId="7829C891">
            <w:pPr>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GB/T 32610—2016</w:t>
            </w:r>
          </w:p>
          <w:p w14:paraId="617D4B8C">
            <w:pPr>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GB/T 38880—2020</w:t>
            </w:r>
          </w:p>
          <w:p w14:paraId="207D6482">
            <w:pPr>
              <w:spacing w:before="55" w:beforeAutospacing="0" w:after="0" w:afterAutospacing="0"/>
              <w:ind w:left="71" w:right="11" w:hanging="56"/>
              <w:rPr>
                <w:rFonts w:hint="eastAsia" w:ascii="宋体" w:hAnsi="宋体" w:eastAsia="宋体" w:cs="宋体"/>
                <w:sz w:val="24"/>
                <w:highlight w:val="none"/>
              </w:rPr>
            </w:pPr>
            <w:r>
              <w:rPr>
                <w:rFonts w:hint="eastAsia" w:ascii="宋体" w:hAnsi="宋体" w:eastAsia="宋体" w:cs="宋体"/>
                <w:sz w:val="24"/>
                <w:highlight w:val="none"/>
              </w:rPr>
              <w:t>其他非医用口罩</w:t>
            </w:r>
          </w:p>
          <w:p w14:paraId="4D266C7D">
            <w:pPr>
              <w:pStyle w:val="3"/>
              <w:spacing w:before="0" w:beforeAutospacing="0" w:after="0" w:afterAutospacing="0"/>
              <w:ind w:right="0"/>
              <w:outlineLvl w:val="1"/>
              <w:rPr>
                <w:rFonts w:hint="eastAsia" w:ascii="宋体" w:hAnsi="宋体" w:eastAsia="宋体" w:cs="宋体"/>
                <w:sz w:val="24"/>
                <w:szCs w:val="24"/>
                <w:highlight w:val="none"/>
              </w:rPr>
            </w:pPr>
          </w:p>
          <w:p w14:paraId="28F9C4E0">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2626—2019</w:t>
            </w:r>
          </w:p>
          <w:p w14:paraId="18014AC9">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32610—2016</w:t>
            </w:r>
          </w:p>
          <w:p w14:paraId="2A376DA1">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38880—2020</w:t>
            </w:r>
          </w:p>
          <w:p w14:paraId="28788F15">
            <w:pPr>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szCs w:val="24"/>
                <w:highlight w:val="none"/>
              </w:rPr>
              <w:t>其他非医用口罩</w:t>
            </w:r>
          </w:p>
          <w:p w14:paraId="5180774A">
            <w:pPr>
              <w:pStyle w:val="3"/>
              <w:spacing w:before="0" w:beforeAutospacing="0" w:after="0" w:afterAutospacing="0"/>
              <w:ind w:right="0"/>
              <w:outlineLvl w:val="1"/>
              <w:rPr>
                <w:rFonts w:hint="eastAsia" w:ascii="宋体" w:hAnsi="宋体" w:eastAsia="宋体" w:cs="宋体"/>
                <w:sz w:val="24"/>
                <w:szCs w:val="24"/>
                <w:highlight w:val="none"/>
              </w:rPr>
            </w:pPr>
          </w:p>
        </w:tc>
        <w:tc>
          <w:tcPr>
            <w:tcW w:w="4466" w:type="dxa"/>
            <w:vAlign w:val="center"/>
          </w:tcPr>
          <w:p w14:paraId="6F0F3E04">
            <w:pPr>
              <w:spacing w:before="160" w:beforeAutospacing="0" w:after="0" w:afterAutospacing="0"/>
              <w:ind w:left="15" w:right="0"/>
              <w:rPr>
                <w:rFonts w:hint="eastAsia" w:ascii="宋体" w:hAnsi="宋体" w:eastAsia="宋体" w:cs="宋体"/>
                <w:sz w:val="24"/>
                <w:szCs w:val="24"/>
                <w:highlight w:val="none"/>
              </w:rPr>
            </w:pPr>
            <w:r>
              <w:rPr>
                <w:rFonts w:hint="eastAsia" w:ascii="宋体" w:hAnsi="宋体" w:eastAsia="宋体" w:cs="宋体"/>
                <w:sz w:val="24"/>
                <w:szCs w:val="24"/>
                <w:highlight w:val="none"/>
              </w:rPr>
              <w:t>渗漏性能、pH 值、交货水分、外观质量、细菌菌落总数、大肠菌群、绿脓杆菌、金黄色葡萄球菌、溶血性链球菌、真菌菌落总数、含液量、横向抗张指数、 pH 值、腐蚀性、内装量、包装密封性能、</w:t>
            </w:r>
          </w:p>
          <w:p w14:paraId="28A87B36">
            <w:pPr>
              <w:spacing w:before="0" w:beforeAutospacing="0" w:after="0" w:afterAutospacing="0"/>
              <w:ind w:left="18" w:right="0"/>
              <w:rPr>
                <w:rFonts w:hint="eastAsia" w:ascii="宋体" w:hAnsi="宋体" w:eastAsia="宋体" w:cs="宋体"/>
                <w:sz w:val="24"/>
                <w:szCs w:val="24"/>
                <w:highlight w:val="none"/>
              </w:rPr>
            </w:pPr>
            <w:r>
              <w:rPr>
                <w:rFonts w:hint="eastAsia" w:ascii="宋体" w:hAnsi="宋体" w:eastAsia="宋体" w:cs="宋体"/>
                <w:sz w:val="24"/>
                <w:szCs w:val="24"/>
                <w:highlight w:val="none"/>
              </w:rPr>
              <w:t>去污力、尘埃度</w:t>
            </w:r>
          </w:p>
          <w:p w14:paraId="50BE91D9">
            <w:pPr>
              <w:pStyle w:val="3"/>
              <w:spacing w:before="0" w:beforeAutospacing="0" w:after="0" w:afterAutospacing="0"/>
              <w:ind w:right="0"/>
              <w:outlineLvl w:val="1"/>
              <w:rPr>
                <w:rFonts w:hint="eastAsia" w:ascii="宋体" w:hAnsi="宋体" w:eastAsia="宋体" w:cs="宋体"/>
                <w:sz w:val="24"/>
                <w:szCs w:val="24"/>
                <w:highlight w:val="none"/>
                <w:lang w:val="en-US"/>
              </w:rPr>
            </w:pPr>
          </w:p>
          <w:p w14:paraId="0572B77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口罩（防颗粒物呼吸器）：过滤效率、呼吸阻力、呼气阀气密性、头带</w:t>
            </w:r>
          </w:p>
          <w:p w14:paraId="59BF165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日常防护型口罩：吸气阻力、呼气阻力、过滤效率、防护效果、口罩带及口罩带与口罩体的连接处断裂强力</w:t>
            </w:r>
          </w:p>
          <w:p w14:paraId="3CD22B5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儿童口罩：颗粒物过滤效率、吸气阻力、呼气阻力、通气阻力、防护效果、口罩带及口罩带与口罩体的连接处断裂强力</w:t>
            </w:r>
          </w:p>
          <w:p w14:paraId="0B1E70D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其他非医用口罩：过滤效率/颗粒物过滤效率、呼吸阻力/吸气阻力/呼气阻力/通气阻力/压力差、头带/口罩带及口罩带与口罩体的连接处断裂强力</w:t>
            </w:r>
          </w:p>
        </w:tc>
      </w:tr>
      <w:tr w14:paraId="6BE2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6D4AA890">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5B3B4D33">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针织服装（成人）</w:t>
            </w:r>
          </w:p>
        </w:tc>
        <w:tc>
          <w:tcPr>
            <w:tcW w:w="603" w:type="dxa"/>
            <w:vAlign w:val="center"/>
          </w:tcPr>
          <w:p w14:paraId="0393CE13">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top"/>
          </w:tcPr>
          <w:p w14:paraId="0D56E45B">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p>
          <w:p w14:paraId="39A63522">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5C8C3CC3">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8878—2023</w:t>
            </w:r>
          </w:p>
          <w:p w14:paraId="63769FFB">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22849—2014</w:t>
            </w:r>
          </w:p>
          <w:p w14:paraId="6F8B87D3">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22849—2024</w:t>
            </w:r>
          </w:p>
          <w:p w14:paraId="40CDCD50">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22853—2019</w:t>
            </w:r>
          </w:p>
          <w:p w14:paraId="41E957A8">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26384—2011</w:t>
            </w:r>
          </w:p>
          <w:p w14:paraId="11E055C4">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26385—2011</w:t>
            </w:r>
          </w:p>
          <w:p w14:paraId="7F14934A">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43015—2021</w:t>
            </w:r>
          </w:p>
          <w:p w14:paraId="2D11E7F8">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73010—2016</w:t>
            </w:r>
          </w:p>
          <w:p w14:paraId="0BFF8203">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73016—2020</w:t>
            </w:r>
          </w:p>
          <w:p w14:paraId="503A1189">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73017—2014</w:t>
            </w:r>
          </w:p>
          <w:p w14:paraId="59E92E46">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FZ/T 73017—2023</w:t>
            </w:r>
          </w:p>
          <w:p w14:paraId="28D0978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FZ/T 73019.1—2017</w:t>
            </w:r>
          </w:p>
          <w:p w14:paraId="2517CEF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73019.2—2020</w:t>
            </w:r>
          </w:p>
          <w:p w14:paraId="428C039D">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73020—2019</w:t>
            </w:r>
          </w:p>
          <w:p w14:paraId="60E489A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73022—2019</w:t>
            </w:r>
          </w:p>
          <w:p w14:paraId="0E4C41E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73026—2014</w:t>
            </w:r>
          </w:p>
          <w:p w14:paraId="408CCA0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73029—2019</w:t>
            </w:r>
          </w:p>
          <w:p w14:paraId="2718C8A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73032—2017</w:t>
            </w:r>
          </w:p>
          <w:p w14:paraId="7E83EABF">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73033—2009</w:t>
            </w:r>
          </w:p>
          <w:p w14:paraId="19AE6D84">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73035—2010</w:t>
            </w:r>
          </w:p>
          <w:p w14:paraId="6CDA8FF5">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73043—2020</w:t>
            </w:r>
          </w:p>
          <w:p w14:paraId="1DCA7A3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73052—2015</w:t>
            </w:r>
          </w:p>
          <w:p w14:paraId="76BE87FA">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"https://std.samr.gov.cn/hb/search/stdHBDetailed?id=8B1827F21E48BB19E05397BE0A0AB44A"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FZ/T 73056—2016</w:t>
            </w:r>
            <w:r>
              <w:rPr>
                <w:rFonts w:hint="eastAsia" w:ascii="宋体" w:hAnsi="宋体" w:eastAsia="宋体" w:cs="宋体"/>
                <w:sz w:val="24"/>
                <w:szCs w:val="24"/>
                <w:highlight w:val="none"/>
              </w:rPr>
              <w:fldChar w:fldCharType="end"/>
            </w:r>
          </w:p>
          <w:p w14:paraId="12B7A45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73057—2017</w:t>
            </w:r>
          </w:p>
          <w:p w14:paraId="636952A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"https://std.samr.gov.cn/hb/search/stdHBDetailed?id=8B1827F24BCDBB19E05397BE0A0AB44A"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FZ/T 73058—2017 </w:t>
            </w:r>
            <w:r>
              <w:rPr>
                <w:rFonts w:hint="eastAsia" w:ascii="宋体" w:hAnsi="宋体" w:eastAsia="宋体" w:cs="宋体"/>
                <w:sz w:val="24"/>
                <w:szCs w:val="24"/>
                <w:highlight w:val="none"/>
              </w:rPr>
              <w:fldChar w:fldCharType="end"/>
            </w:r>
          </w:p>
          <w:p w14:paraId="70FC72FF">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73061—2019</w:t>
            </w:r>
          </w:p>
          <w:p w14:paraId="109116D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73062—2019 </w:t>
            </w:r>
          </w:p>
          <w:p w14:paraId="18A13F59">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73063—2019</w:t>
            </w:r>
          </w:p>
          <w:p w14:paraId="797C4ED4">
            <w:pPr>
              <w:spacing w:before="55" w:beforeAutospacing="0" w:after="0" w:afterAutospacing="0"/>
              <w:ind w:left="71" w:leftChars="0" w:right="11" w:hanging="56" w:firstLineChars="0"/>
              <w:jc w:val="left"/>
              <w:rPr>
                <w:rFonts w:hint="eastAsia" w:ascii="宋体" w:hAnsi="宋体" w:eastAsia="宋体" w:cs="宋体"/>
                <w:sz w:val="24"/>
                <w:highlight w:val="none"/>
              </w:rPr>
            </w:pPr>
          </w:p>
        </w:tc>
        <w:tc>
          <w:tcPr>
            <w:tcW w:w="4466" w:type="dxa"/>
            <w:vAlign w:val="center"/>
          </w:tcPr>
          <w:p w14:paraId="3A935E7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纤维含量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p>
          <w:p w14:paraId="52C93DE3">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耐汗渍色牢度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耐湿摩擦色牢度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耐光色牢度、洗液沾色程度、起毛起球</w:t>
            </w:r>
          </w:p>
          <w:p w14:paraId="3EB0DC9C">
            <w:pPr>
              <w:spacing w:before="55" w:beforeAutospacing="0" w:after="0" w:afterAutospacing="0"/>
              <w:ind w:left="71" w:leftChars="0" w:right="11" w:hanging="56" w:firstLineChars="0"/>
              <w:jc w:val="left"/>
              <w:rPr>
                <w:rFonts w:hint="eastAsia" w:ascii="宋体" w:hAnsi="宋体" w:eastAsia="宋体" w:cs="宋体"/>
                <w:sz w:val="24"/>
                <w:highlight w:val="none"/>
              </w:rPr>
            </w:pPr>
          </w:p>
        </w:tc>
      </w:tr>
      <w:tr w14:paraId="0ADD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28DA993F">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31AD71ED">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羽绒服装</w:t>
            </w:r>
          </w:p>
        </w:tc>
        <w:tc>
          <w:tcPr>
            <w:tcW w:w="603" w:type="dxa"/>
            <w:vAlign w:val="center"/>
          </w:tcPr>
          <w:p w14:paraId="248750B0">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监督抽查</w:t>
            </w:r>
          </w:p>
        </w:tc>
        <w:tc>
          <w:tcPr>
            <w:tcW w:w="1933" w:type="dxa"/>
            <w:vAlign w:val="top"/>
          </w:tcPr>
          <w:p w14:paraId="6F4E1D9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GB/T 29862—2013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14272—2011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14272—2021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73053—2015</w:t>
            </w:r>
          </w:p>
        </w:tc>
        <w:tc>
          <w:tcPr>
            <w:tcW w:w="4466" w:type="dxa"/>
            <w:vAlign w:val="center"/>
          </w:tcPr>
          <w:p w14:paraId="717049C1">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纤维含量、甲醛含量、可分解致癌芳香胺染料、pH值、异味、耐皂洗色牢度、耐汗渍色牢度、耐水色牢度、耐摩擦色牢度、耐光色牢度、充绒量、羽绒含绒量、绒子含量、鸭毛（绒）含量、鹅毛绒含量、 绒丝+羽丝、蓬松度、烷基酚和烷基酚聚氧乙烯醚</w:t>
            </w:r>
          </w:p>
        </w:tc>
      </w:tr>
      <w:tr w14:paraId="3B6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1BC96569">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47B09A58">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羽绒被</w:t>
            </w:r>
          </w:p>
        </w:tc>
        <w:tc>
          <w:tcPr>
            <w:tcW w:w="603" w:type="dxa"/>
            <w:vAlign w:val="center"/>
          </w:tcPr>
          <w:p w14:paraId="2F6A8E44">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监督抽查</w:t>
            </w:r>
          </w:p>
        </w:tc>
        <w:tc>
          <w:tcPr>
            <w:tcW w:w="1933" w:type="dxa"/>
            <w:vAlign w:val="top"/>
          </w:tcPr>
          <w:p w14:paraId="6EAD46A0">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4AE22E87">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39A82964">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31701—2015 </w:t>
            </w:r>
          </w:p>
          <w:p w14:paraId="170EE34C">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81005—2017</w:t>
            </w:r>
          </w:p>
          <w:p w14:paraId="620BBB31">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QB/T 1193—2012</w:t>
            </w:r>
          </w:p>
          <w:p w14:paraId="7A4FA1C3">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QB/T 1193—2023</w:t>
            </w:r>
          </w:p>
        </w:tc>
        <w:tc>
          <w:tcPr>
            <w:tcW w:w="4466" w:type="dxa"/>
            <w:vAlign w:val="center"/>
          </w:tcPr>
          <w:p w14:paraId="59B3FE02">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被壳纤维含量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被壳异味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被壳耐水色牢度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被壳耐湿摩擦色牢度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被壳耐酸汗渍色牢度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被壳耐碱汗渍色牢度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被壳耐唾液色牢度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被壳</w:t>
            </w:r>
            <w:r>
              <w:rPr>
                <w:rFonts w:hint="eastAsia" w:ascii="宋体" w:hAnsi="宋体" w:eastAsia="宋体" w:cs="宋体"/>
                <w:sz w:val="24"/>
                <w:szCs w:val="24"/>
                <w:highlight w:val="none"/>
              </w:rPr>
              <w:t>耐光色牢度、防钻绒性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羽绒绒子含量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羽绒鸭毛绒含量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羽绒鹅毛绒含量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附件要求；重金属（铅和镉）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邻苯二甲酸酯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燃烧性能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包装中尖锐物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残留金属针</w:t>
            </w:r>
          </w:p>
        </w:tc>
      </w:tr>
      <w:tr w14:paraId="39A3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137019D3">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21008533">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羊毛衫</w:t>
            </w:r>
          </w:p>
        </w:tc>
        <w:tc>
          <w:tcPr>
            <w:tcW w:w="603" w:type="dxa"/>
            <w:vAlign w:val="center"/>
          </w:tcPr>
          <w:p w14:paraId="7FB8D955">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0C72F4CA">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29862—2013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73005—2021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73018—2021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73034—2021</w:t>
            </w:r>
          </w:p>
        </w:tc>
        <w:tc>
          <w:tcPr>
            <w:tcW w:w="4466" w:type="dxa"/>
            <w:vAlign w:val="center"/>
          </w:tcPr>
          <w:p w14:paraId="6C34FE52">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纤维含量、甲醛含量、pH值、可分解致癌芳香胺染料、耐水色牢度、耐汗渍色牢度、耐干摩擦色牢度、耐湿摩擦色牢度、耐光色牢度、起球、烷基酚和烷基酚聚氧乙烯醚</w:t>
            </w:r>
          </w:p>
        </w:tc>
      </w:tr>
      <w:tr w14:paraId="766A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5BF1FDD5">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6FBD484E">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羊绒针织衫</w:t>
            </w:r>
          </w:p>
        </w:tc>
        <w:tc>
          <w:tcPr>
            <w:tcW w:w="603" w:type="dxa"/>
            <w:vAlign w:val="center"/>
          </w:tcPr>
          <w:p w14:paraId="08CC301D">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7DAF6360">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7825249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74051286">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73009—2021 </w:t>
            </w:r>
          </w:p>
        </w:tc>
        <w:tc>
          <w:tcPr>
            <w:tcW w:w="4466" w:type="dxa"/>
            <w:vAlign w:val="center"/>
          </w:tcPr>
          <w:p w14:paraId="5468E9F7">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纤维含量、甲醛、pH值、可分解芳香胺染料、异味、耐水色牢度、耐汗渍色牢度、耐摩擦色牢度、耐光色牢度、耐洗色牢度、耐干洗色牢度、起球、二氯甲烷可溶性物质、烷基酚（AP）和烷基酚聚氧乙烯醚（APEO）。</w:t>
            </w:r>
          </w:p>
        </w:tc>
      </w:tr>
      <w:tr w14:paraId="2BEE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9CA0B39">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38DAC92A">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冲锋衣</w:t>
            </w:r>
          </w:p>
        </w:tc>
        <w:tc>
          <w:tcPr>
            <w:tcW w:w="603" w:type="dxa"/>
            <w:vAlign w:val="center"/>
          </w:tcPr>
          <w:p w14:paraId="20DE7BFD">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监督抽查</w:t>
            </w:r>
          </w:p>
        </w:tc>
        <w:tc>
          <w:tcPr>
            <w:tcW w:w="1933" w:type="dxa"/>
            <w:vAlign w:val="center"/>
          </w:tcPr>
          <w:p w14:paraId="200BBAA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5C981E05">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256FA750">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32614—2016</w:t>
            </w:r>
          </w:p>
          <w:p w14:paraId="33F0B186">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GB/T 32614—2023</w:t>
            </w:r>
          </w:p>
        </w:tc>
        <w:tc>
          <w:tcPr>
            <w:tcW w:w="4466" w:type="dxa"/>
            <w:vAlign w:val="center"/>
          </w:tcPr>
          <w:p w14:paraId="001D88AD">
            <w:pPr>
              <w:spacing w:before="55" w:beforeAutospacing="0" w:after="0" w:afterAutospacing="0"/>
              <w:ind w:left="71" w:leftChars="0" w:right="11" w:hanging="56"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p>
          <w:p w14:paraId="2F4F755C">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耐酸汗渍色牢度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耐碱汗渍色牢度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耐湿摩擦色牢度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表面抗湿性（洗后）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静水压（洗后）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透湿率（洗后）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全氟辛烷磺酰基化合物（PFOS）</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全氟辛酸（PFOA）</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纤维含量</w:t>
            </w:r>
          </w:p>
        </w:tc>
      </w:tr>
      <w:tr w14:paraId="6FEE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81D729B">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21F49843">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机织服装(成人)</w:t>
            </w:r>
          </w:p>
        </w:tc>
        <w:tc>
          <w:tcPr>
            <w:tcW w:w="603" w:type="dxa"/>
            <w:vAlign w:val="center"/>
          </w:tcPr>
          <w:p w14:paraId="0321A49A">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监督抽查</w:t>
            </w:r>
          </w:p>
        </w:tc>
        <w:tc>
          <w:tcPr>
            <w:tcW w:w="1933" w:type="dxa"/>
            <w:vAlign w:val="center"/>
          </w:tcPr>
          <w:p w14:paraId="698995D6">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29862-2013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2660-2017</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81001-2016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81004-2022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81006-2017</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81007-2022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81008-2021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81010-2018</w:t>
            </w:r>
          </w:p>
        </w:tc>
        <w:tc>
          <w:tcPr>
            <w:tcW w:w="4466" w:type="dxa"/>
            <w:vAlign w:val="center"/>
          </w:tcPr>
          <w:p w14:paraId="5D46B49B">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衬衫：纤维含量、甲醛含量、pH值、可分解致癌芳香胺染料、异味、耐干摩擦色牢度、耐汗渍色牢度、耐水色牢度、耐皂洗色牢度、耐湿摩擦色牢度</w:t>
            </w:r>
          </w:p>
          <w:p w14:paraId="2498256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睡衣套：纤维含量、甲醛含量、pH值、可分解致癌芳香胺染料、异味、耐干摩擦色牢度、耐汗渍色牢度、耐水色牢度、耐皂洗色牢度、耐湿摩擦色牢度、起球、缝子纰裂程度、裤后裆缝接缝强力</w:t>
            </w:r>
          </w:p>
          <w:p w14:paraId="7B804772">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连衣裙、裙套：纤维含量、甲醛含量、pH值、可分解致癌芳香胺染料、异味、耐干摩擦色牢度、耐汗渍色牢度、耐水色牢度、耐皂洗色牢度、耐湿摩擦色牢度、拼接互染色牢度、起球、接缝性能</w:t>
            </w:r>
          </w:p>
          <w:p w14:paraId="509449CB">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牛仔服装：纤维含量、甲醛含量、pH值、可分解致癌芳香胺染料、异味、耐干摩擦色牢度、耐汗渍色牢度、耐水色牢度、耐皂洗色牢度、缝子纰裂程度、裤后裆缝接缝强力</w:t>
            </w:r>
          </w:p>
          <w:p w14:paraId="31E98479">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单、夹服装：纤维含量、甲醛含量、pH值、可分解致癌芳香胺染料、异味、耐干摩擦色牢度、耐汗渍色牢度、耐水色牢度、耐皂洗色牢度、耐湿摩擦色牢度、拼接互染色牢度、起球、接缝性能、裤后裆缝接缝强力</w:t>
            </w:r>
          </w:p>
          <w:p w14:paraId="1C8636CA">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茄克衫：纤维含量、甲醛含量、pH值、可分解致癌芳香胺染料、异味、耐干摩擦色牢度、耐汗渍色牢度、耐水色牢度、耐皂洗色牢度、耐湿摩擦色牢度、耐光色牢度、起球、缝子纰裂程度</w:t>
            </w:r>
          </w:p>
          <w:p w14:paraId="767E253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风衣：纤维含量、甲醛含量、pH值、可分解致癌芳香胺染料、异味、耐干摩擦色牢度、耐汗渍色牢度、耐水色牢度、耐皂洗色牢度、耐湿摩擦色牢度、拼接互染色牢度、起毛起球、接缝性能、防风性、防水性、透湿性</w:t>
            </w:r>
          </w:p>
        </w:tc>
      </w:tr>
      <w:tr w14:paraId="65FE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FE28E92">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54B4A971">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女士内衣</w:t>
            </w:r>
          </w:p>
        </w:tc>
        <w:tc>
          <w:tcPr>
            <w:tcW w:w="603" w:type="dxa"/>
            <w:vAlign w:val="center"/>
          </w:tcPr>
          <w:p w14:paraId="6F478D82">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监督抽查</w:t>
            </w:r>
          </w:p>
        </w:tc>
        <w:tc>
          <w:tcPr>
            <w:tcW w:w="1933" w:type="dxa"/>
            <w:vAlign w:val="center"/>
          </w:tcPr>
          <w:p w14:paraId="1099E26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p>
          <w:p w14:paraId="49E4962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6686469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73012—2017 </w:t>
            </w:r>
          </w:p>
          <w:p w14:paraId="7C76104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FZ/T 73046—20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w:t>
            </w:r>
          </w:p>
          <w:p w14:paraId="2EE140F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73057—2017 </w:t>
            </w:r>
          </w:p>
          <w:p w14:paraId="7F9C1A5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FZ/T 74002—2014</w:t>
            </w:r>
          </w:p>
        </w:tc>
        <w:tc>
          <w:tcPr>
            <w:tcW w:w="4466" w:type="dxa"/>
            <w:vAlign w:val="center"/>
          </w:tcPr>
          <w:p w14:paraId="657641FC">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异味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纤维含量</w:t>
            </w:r>
          </w:p>
        </w:tc>
      </w:tr>
      <w:tr w14:paraId="00E2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DAA3EB7">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0D4156CD">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床上用品</w:t>
            </w:r>
          </w:p>
        </w:tc>
        <w:tc>
          <w:tcPr>
            <w:tcW w:w="603" w:type="dxa"/>
            <w:vAlign w:val="center"/>
          </w:tcPr>
          <w:p w14:paraId="48D9075F">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监督抽查</w:t>
            </w:r>
          </w:p>
        </w:tc>
        <w:tc>
          <w:tcPr>
            <w:tcW w:w="1933" w:type="dxa"/>
            <w:vAlign w:val="center"/>
          </w:tcPr>
          <w:p w14:paraId="3863C3D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68395AE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51635B4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31701—2015</w:t>
            </w:r>
          </w:p>
          <w:p w14:paraId="46A16B4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22796—2021 </w:t>
            </w:r>
          </w:p>
          <w:p w14:paraId="5B47914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22864—2020 </w:t>
            </w:r>
          </w:p>
          <w:p w14:paraId="59CD600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33734—2017</w:t>
            </w:r>
          </w:p>
          <w:p w14:paraId="1D5D0B3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34003—2011 </w:t>
            </w:r>
          </w:p>
          <w:p w14:paraId="1D0645C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44004—2018 </w:t>
            </w:r>
          </w:p>
          <w:p w14:paraId="55A47C7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43007—2011 </w:t>
            </w:r>
          </w:p>
          <w:p w14:paraId="28253E0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FZ/T 62028—2015</w:t>
            </w:r>
          </w:p>
          <w:p w14:paraId="6B91FB6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FZ/T 62030—2015</w:t>
            </w:r>
          </w:p>
          <w:p w14:paraId="459A931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FZ/T 62031—2015</w:t>
            </w:r>
          </w:p>
          <w:p w14:paraId="7B6A77A8">
            <w:pPr>
              <w:spacing w:before="55" w:beforeAutospacing="0" w:after="0" w:afterAutospacing="0"/>
              <w:ind w:left="71" w:leftChars="0" w:right="11" w:hanging="56" w:firstLineChars="0"/>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 xml:space="preserve">FZ/T 81005—2017  </w:t>
            </w:r>
          </w:p>
        </w:tc>
        <w:tc>
          <w:tcPr>
            <w:tcW w:w="4466" w:type="dxa"/>
            <w:vAlign w:val="center"/>
          </w:tcPr>
          <w:p w14:paraId="44FEFE2D">
            <w:pPr>
              <w:spacing w:before="55" w:beforeAutospacing="0" w:after="0" w:afterAutospacing="0"/>
              <w:ind w:left="71" w:leftChars="0" w:right="11" w:hanging="56"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rPr>
              <w:t>甲醛含量、pH值、可分解致癌芳香胺染料、异味、耐水色牢度、耐汗渍色牢度、耐干摩擦色牢度、耐湿摩擦色牢度、耐唾液色牢度、燃烧性能、重金属、邻苯二甲酸酯、断裂强力、纤维含量</w:t>
            </w:r>
          </w:p>
        </w:tc>
      </w:tr>
      <w:tr w14:paraId="466C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0C4952A">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2557A26C">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围巾披肩</w:t>
            </w:r>
          </w:p>
        </w:tc>
        <w:tc>
          <w:tcPr>
            <w:tcW w:w="603" w:type="dxa"/>
            <w:vAlign w:val="center"/>
          </w:tcPr>
          <w:p w14:paraId="7456F048">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监督抽查</w:t>
            </w:r>
          </w:p>
        </w:tc>
        <w:tc>
          <w:tcPr>
            <w:tcW w:w="1933" w:type="dxa"/>
            <w:vAlign w:val="center"/>
          </w:tcPr>
          <w:p w14:paraId="79AF8803">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29862-2013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73042-2011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43014-2018</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81012-2016</w:t>
            </w:r>
          </w:p>
        </w:tc>
        <w:tc>
          <w:tcPr>
            <w:tcW w:w="4466" w:type="dxa"/>
            <w:vAlign w:val="center"/>
          </w:tcPr>
          <w:p w14:paraId="71A14AC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围巾、披肩：纤维含量、甲醛含量、pH值、可分解致癌芳香胺染料、异味、耐干摩擦色牢度、耐汗渍色牢度、耐水色牢度、耐皂洗色牢度、耐湿摩擦色牢度</w:t>
            </w:r>
          </w:p>
        </w:tc>
      </w:tr>
      <w:tr w14:paraId="63F2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5646F7A0">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5CDD5D97">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毛巾制品</w:t>
            </w:r>
          </w:p>
        </w:tc>
        <w:tc>
          <w:tcPr>
            <w:tcW w:w="603" w:type="dxa"/>
            <w:vAlign w:val="center"/>
          </w:tcPr>
          <w:p w14:paraId="2D4FEACD">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监督抽查</w:t>
            </w:r>
          </w:p>
        </w:tc>
        <w:tc>
          <w:tcPr>
            <w:tcW w:w="1933" w:type="dxa"/>
            <w:vAlign w:val="center"/>
          </w:tcPr>
          <w:p w14:paraId="2A8152BB">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3D435805">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31701—2015 </w:t>
            </w:r>
          </w:p>
          <w:p w14:paraId="791314E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22864—2020</w:t>
            </w:r>
          </w:p>
          <w:p w14:paraId="5D692993">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29862—2013 </w:t>
            </w:r>
          </w:p>
          <w:p w14:paraId="025777B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62015—2009</w:t>
            </w:r>
          </w:p>
          <w:p w14:paraId="18CFD135">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FZ/T 62033—2016</w:t>
            </w:r>
          </w:p>
        </w:tc>
        <w:tc>
          <w:tcPr>
            <w:tcW w:w="4466" w:type="dxa"/>
            <w:vAlign w:val="center"/>
          </w:tcPr>
          <w:p w14:paraId="03C2B01D">
            <w:pPr>
              <w:spacing w:before="55" w:beforeAutospacing="0" w:after="0" w:afterAutospacing="0"/>
              <w:ind w:left="71" w:right="11" w:hanging="56"/>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p>
          <w:p w14:paraId="6592C136">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耐酸汗渍色牢度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耐碱汗渍色牢度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耐湿摩擦色牢度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耐唾液色牢度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纤维含量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吸水性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吸水率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脱毛率</w:t>
            </w:r>
          </w:p>
        </w:tc>
      </w:tr>
      <w:tr w14:paraId="56F1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5B3553E">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628DC925">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旅游鞋</w:t>
            </w:r>
          </w:p>
        </w:tc>
        <w:tc>
          <w:tcPr>
            <w:tcW w:w="603" w:type="dxa"/>
            <w:vAlign w:val="center"/>
          </w:tcPr>
          <w:p w14:paraId="7CFB8F0A">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监督抽查</w:t>
            </w:r>
          </w:p>
        </w:tc>
        <w:tc>
          <w:tcPr>
            <w:tcW w:w="1933" w:type="dxa"/>
            <w:vAlign w:val="center"/>
          </w:tcPr>
          <w:p w14:paraId="3E3DA27F">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 xml:space="preserve">GB/T 15107—2013 </w:t>
            </w:r>
          </w:p>
        </w:tc>
        <w:tc>
          <w:tcPr>
            <w:tcW w:w="4466" w:type="dxa"/>
            <w:vAlign w:val="center"/>
          </w:tcPr>
          <w:p w14:paraId="22E32677">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帮底剥离强度或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底墙与帮面剥离强度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成鞋耐折性能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外底耐磨性能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外底与外中底粘合强度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游离或可部分水解的甲醛</w:t>
            </w:r>
          </w:p>
        </w:tc>
      </w:tr>
      <w:tr w14:paraId="2A49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2669FA8E">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12626D98">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皮</w:t>
            </w:r>
            <w:r>
              <w:rPr>
                <w:rFonts w:hint="eastAsia" w:ascii="宋体" w:hAnsi="宋体" w:eastAsia="宋体" w:cs="宋体"/>
                <w:sz w:val="24"/>
                <w:szCs w:val="24"/>
                <w:highlight w:val="none"/>
                <w:lang w:val="en-US" w:eastAsia="zh-CN"/>
              </w:rPr>
              <w:t>鞋</w:t>
            </w:r>
          </w:p>
        </w:tc>
        <w:tc>
          <w:tcPr>
            <w:tcW w:w="603" w:type="dxa"/>
            <w:vAlign w:val="center"/>
          </w:tcPr>
          <w:p w14:paraId="377120CE">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监督抽查</w:t>
            </w:r>
          </w:p>
        </w:tc>
        <w:tc>
          <w:tcPr>
            <w:tcW w:w="1933" w:type="dxa"/>
            <w:vAlign w:val="center"/>
          </w:tcPr>
          <w:p w14:paraId="49148389">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QB/T 1002—2015</w:t>
            </w:r>
          </w:p>
        </w:tc>
        <w:tc>
          <w:tcPr>
            <w:tcW w:w="4466" w:type="dxa"/>
            <w:vAlign w:val="center"/>
          </w:tcPr>
          <w:p w14:paraId="120BDDBD">
            <w:pPr>
              <w:spacing w:before="55" w:beforeAutospacing="0" w:after="0" w:afterAutospacing="0"/>
              <w:ind w:left="71" w:leftChars="0" w:right="11" w:hanging="56"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帮底剥离强度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鞋帮拉出强度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成鞋耐折性能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外底耐磨性能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鞋跟结合力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成型底鞋跟硬度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衬里和内垫材料的耐摩擦色牢度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安装勾心或其他刚性支撑材料的要求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勾心纵向刚度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勾心硬度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勾心长度下限值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勾心弯曲性能</w:t>
            </w:r>
            <w:r>
              <w:rPr>
                <w:rFonts w:hint="eastAsia" w:ascii="宋体" w:hAnsi="宋体" w:eastAsia="宋体" w:cs="宋体"/>
                <w:sz w:val="24"/>
                <w:szCs w:val="24"/>
                <w:highlight w:val="none"/>
                <w:lang w:eastAsia="zh-CN"/>
              </w:rPr>
              <w:t>、</w:t>
            </w:r>
          </w:p>
          <w:p w14:paraId="7683AA54">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可分解有害芳香胺染料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游离或可部分水解的甲醛</w:t>
            </w:r>
          </w:p>
        </w:tc>
      </w:tr>
      <w:tr w14:paraId="6CA5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07C7DAE">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00754076">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皮凉鞋</w:t>
            </w:r>
          </w:p>
        </w:tc>
        <w:tc>
          <w:tcPr>
            <w:tcW w:w="603" w:type="dxa"/>
            <w:vAlign w:val="center"/>
          </w:tcPr>
          <w:p w14:paraId="116380E8">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66F46678">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22756-2017</w:t>
            </w:r>
          </w:p>
        </w:tc>
        <w:tc>
          <w:tcPr>
            <w:tcW w:w="4466" w:type="dxa"/>
            <w:vAlign w:val="center"/>
          </w:tcPr>
          <w:p w14:paraId="3B7D81C2">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耐折性能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外底耐磨性能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帮底剥离强度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帮带拉出强度</w:t>
            </w:r>
          </w:p>
          <w:p w14:paraId="7D091BFE">
            <w:pPr>
              <w:spacing w:before="55" w:beforeAutospacing="0" w:after="0" w:afterAutospacing="0"/>
              <w:ind w:left="71" w:leftChars="0" w:right="11" w:hanging="56"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成型底鞋跟硬度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鞋跟结合力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勾心纵向刚度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勾心硬度</w:t>
            </w:r>
            <w:r>
              <w:rPr>
                <w:rFonts w:hint="eastAsia" w:ascii="宋体" w:hAnsi="宋体" w:eastAsia="宋体" w:cs="宋体"/>
                <w:sz w:val="24"/>
                <w:szCs w:val="24"/>
                <w:highlight w:val="none"/>
                <w:lang w:eastAsia="zh-CN"/>
              </w:rPr>
              <w:t>、</w:t>
            </w:r>
          </w:p>
          <w:p w14:paraId="17FBD406">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勾心长度下限值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勾心弯曲性能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衬里和内垫耐摩擦色牢度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游离或可部分水解的甲醛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可分解有害芳香胺染料</w:t>
            </w:r>
          </w:p>
        </w:tc>
      </w:tr>
      <w:tr w14:paraId="30F1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69D34E5">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7E41DFA8">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背提包</w:t>
            </w:r>
          </w:p>
        </w:tc>
        <w:tc>
          <w:tcPr>
            <w:tcW w:w="603" w:type="dxa"/>
            <w:vAlign w:val="center"/>
          </w:tcPr>
          <w:p w14:paraId="40067C63">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C6F66F5">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QB/T1333-2018</w:t>
            </w:r>
          </w:p>
        </w:tc>
        <w:tc>
          <w:tcPr>
            <w:tcW w:w="4466" w:type="dxa"/>
            <w:vAlign w:val="center"/>
          </w:tcPr>
          <w:p w14:paraId="68056E8B">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振荡冲击性能、包锁耐用性能、扣件耐用性能、拉链耐用度、缝合强度、塑料插扣耐用性能、摩擦色牢度（沾色）、游离甲醛（织物）、游离甲醛（皮革、毛皮、再生革）、可分解有害芳香胺染料（织物）、可分解有害芳香胺染料（皮革、毛皮、再生革）</w:t>
            </w:r>
          </w:p>
        </w:tc>
      </w:tr>
      <w:tr w14:paraId="274C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06" w:type="dxa"/>
            <w:vAlign w:val="center"/>
          </w:tcPr>
          <w:p w14:paraId="1DE5E5A7">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887" w:type="dxa"/>
            <w:vAlign w:val="center"/>
          </w:tcPr>
          <w:p w14:paraId="6854A367">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旅行箱包</w:t>
            </w:r>
          </w:p>
          <w:p w14:paraId="3BB2B762">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p>
        </w:tc>
        <w:tc>
          <w:tcPr>
            <w:tcW w:w="603" w:type="dxa"/>
            <w:vAlign w:val="center"/>
          </w:tcPr>
          <w:p w14:paraId="2F589151">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p>
        </w:tc>
        <w:tc>
          <w:tcPr>
            <w:tcW w:w="1933" w:type="dxa"/>
            <w:vAlign w:val="center"/>
          </w:tcPr>
          <w:p w14:paraId="301F8B96">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QB/T 2155-2018</w:t>
            </w:r>
          </w:p>
        </w:tc>
        <w:tc>
          <w:tcPr>
            <w:tcW w:w="4466" w:type="dxa"/>
            <w:vAlign w:val="center"/>
          </w:tcPr>
          <w:p w14:paraId="295FB0B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可分解有害芳香胺染料、游离甲醛、拉杆耐疲劳性能、行走性能、振荡冲击性能、跌落性能、硬箱箱体耐静压性能、塑料硬箱箱面耐落球冲击性能、滚筒冲击性能、箱（包）锁耐用性能、箱铝口硬度、缝合强度、旅行包面料摩擦色牢度（沾色）、五金配件耐腐蚀性、标志</w:t>
            </w:r>
          </w:p>
        </w:tc>
      </w:tr>
    </w:tbl>
    <w:p w14:paraId="3E6460DD">
      <w:pPr>
        <w:widowControl w:val="0"/>
        <w:numPr>
          <w:ilvl w:val="0"/>
          <w:numId w:val="0"/>
        </w:numPr>
        <w:wordWrap/>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rPr>
      </w:pPr>
      <w:bookmarkStart w:id="19" w:name="_Toc8078"/>
    </w:p>
    <w:p w14:paraId="3E9700D2">
      <w:pPr>
        <w:pStyle w:val="3"/>
        <w:rPr>
          <w:rFonts w:hint="eastAsia"/>
        </w:rPr>
      </w:pPr>
    </w:p>
    <w:bookmarkEnd w:id="19"/>
    <w:p w14:paraId="0EBD930F">
      <w:pPr>
        <w:numPr>
          <w:ilvl w:val="0"/>
          <w:numId w:val="7"/>
        </w:numPr>
        <w:ind w:firstLine="0" w:firstLineChars="0"/>
        <w:rPr>
          <w:rFonts w:hint="eastAsia" w:ascii="宋体" w:hAnsi="宋体" w:eastAsia="宋体" w:cs="宋体"/>
          <w:color w:val="auto"/>
          <w:sz w:val="44"/>
          <w:szCs w:val="44"/>
          <w:highlight w:val="none"/>
        </w:rPr>
      </w:pPr>
      <w:bookmarkStart w:id="20" w:name="_Toc184314439"/>
      <w:bookmarkEnd w:id="20"/>
      <w:bookmarkStart w:id="21" w:name="_Toc184312135"/>
      <w:bookmarkEnd w:id="21"/>
      <w:bookmarkStart w:id="22" w:name="_Toc184308063"/>
      <w:bookmarkEnd w:id="22"/>
      <w:bookmarkStart w:id="23" w:name="_Toc184312115"/>
      <w:bookmarkEnd w:id="23"/>
      <w:bookmarkStart w:id="24" w:name="_Toc184312070"/>
      <w:bookmarkEnd w:id="24"/>
      <w:bookmarkStart w:id="25" w:name="_Toc184310309"/>
      <w:bookmarkEnd w:id="25"/>
      <w:bookmarkStart w:id="26" w:name="_Toc184308105"/>
      <w:bookmarkEnd w:id="26"/>
      <w:bookmarkStart w:id="27" w:name="_Toc184312137"/>
      <w:bookmarkEnd w:id="27"/>
      <w:bookmarkStart w:id="28" w:name="_Toc184312089"/>
      <w:bookmarkEnd w:id="28"/>
      <w:bookmarkStart w:id="29" w:name="_Toc184310282"/>
      <w:bookmarkEnd w:id="29"/>
      <w:bookmarkStart w:id="30" w:name="_Toc184308088"/>
      <w:bookmarkEnd w:id="30"/>
      <w:bookmarkStart w:id="31" w:name="_Toc184314476"/>
      <w:bookmarkEnd w:id="31"/>
      <w:bookmarkStart w:id="32" w:name="_Toc184314479"/>
      <w:bookmarkEnd w:id="32"/>
      <w:bookmarkStart w:id="33" w:name="_Toc184308058"/>
      <w:bookmarkEnd w:id="33"/>
      <w:bookmarkStart w:id="34" w:name="_Toc184310325"/>
      <w:bookmarkEnd w:id="34"/>
      <w:bookmarkStart w:id="35" w:name="_Toc184313246"/>
      <w:bookmarkEnd w:id="35"/>
      <w:bookmarkStart w:id="36" w:name="_Toc184308084"/>
      <w:bookmarkEnd w:id="36"/>
      <w:bookmarkStart w:id="37" w:name="_Toc184310295"/>
      <w:bookmarkEnd w:id="37"/>
      <w:bookmarkStart w:id="38" w:name="_Toc184308101"/>
      <w:bookmarkEnd w:id="38"/>
      <w:bookmarkStart w:id="39" w:name="_Toc184308082"/>
      <w:bookmarkEnd w:id="39"/>
      <w:bookmarkStart w:id="40" w:name="_Toc184312098"/>
      <w:bookmarkEnd w:id="40"/>
      <w:bookmarkStart w:id="41" w:name="_Toc184312112"/>
      <w:bookmarkEnd w:id="41"/>
      <w:bookmarkStart w:id="42" w:name="_Toc184313253"/>
      <w:bookmarkEnd w:id="42"/>
      <w:bookmarkStart w:id="43" w:name="_Toc184310304"/>
      <w:bookmarkEnd w:id="43"/>
      <w:bookmarkStart w:id="44" w:name="_Toc184308092"/>
      <w:bookmarkEnd w:id="44"/>
      <w:bookmarkStart w:id="45" w:name="_Toc184310302"/>
      <w:bookmarkEnd w:id="45"/>
      <w:bookmarkStart w:id="46" w:name="_Toc184310330"/>
      <w:bookmarkEnd w:id="46"/>
      <w:bookmarkStart w:id="47" w:name="_Toc184310291"/>
      <w:bookmarkEnd w:id="47"/>
      <w:bookmarkStart w:id="48" w:name="_Toc184313248"/>
      <w:bookmarkEnd w:id="48"/>
      <w:bookmarkStart w:id="49" w:name="_Toc184314418"/>
      <w:bookmarkEnd w:id="49"/>
      <w:bookmarkStart w:id="50" w:name="_Toc184310306"/>
      <w:bookmarkEnd w:id="50"/>
      <w:bookmarkStart w:id="51" w:name="_Toc184313307"/>
      <w:bookmarkEnd w:id="51"/>
      <w:bookmarkStart w:id="52" w:name="_Toc184314425"/>
      <w:bookmarkEnd w:id="52"/>
      <w:bookmarkStart w:id="53" w:name="_Toc184313294"/>
      <w:bookmarkEnd w:id="53"/>
      <w:bookmarkStart w:id="54" w:name="_Toc184313249"/>
      <w:bookmarkEnd w:id="54"/>
      <w:bookmarkStart w:id="55" w:name="_Toc184313258"/>
      <w:bookmarkEnd w:id="55"/>
      <w:bookmarkStart w:id="56" w:name="_Toc184310283"/>
      <w:bookmarkEnd w:id="56"/>
      <w:bookmarkStart w:id="57" w:name="_Toc184310342"/>
      <w:bookmarkEnd w:id="57"/>
      <w:bookmarkStart w:id="58" w:name="_Toc184313304"/>
      <w:bookmarkEnd w:id="58"/>
      <w:bookmarkStart w:id="59" w:name="_Toc184314455"/>
      <w:bookmarkEnd w:id="59"/>
      <w:bookmarkStart w:id="60" w:name="_Toc184312100"/>
      <w:bookmarkEnd w:id="60"/>
      <w:bookmarkStart w:id="61" w:name="_Toc184308073"/>
      <w:bookmarkEnd w:id="61"/>
      <w:bookmarkStart w:id="62" w:name="_Toc184312123"/>
      <w:bookmarkEnd w:id="62"/>
      <w:bookmarkStart w:id="63" w:name="_Toc184314448"/>
      <w:bookmarkEnd w:id="63"/>
      <w:bookmarkStart w:id="64" w:name="_Toc184313290"/>
      <w:bookmarkEnd w:id="64"/>
      <w:bookmarkStart w:id="65" w:name="_Toc184314477"/>
      <w:bookmarkEnd w:id="65"/>
      <w:bookmarkStart w:id="66" w:name="_Toc184312092"/>
      <w:bookmarkEnd w:id="66"/>
      <w:bookmarkStart w:id="67" w:name="_Toc184308094"/>
      <w:bookmarkEnd w:id="67"/>
      <w:bookmarkStart w:id="68" w:name="_Toc184308067"/>
      <w:bookmarkEnd w:id="68"/>
      <w:bookmarkStart w:id="69" w:name="_Toc184314449"/>
      <w:bookmarkEnd w:id="69"/>
      <w:bookmarkStart w:id="70" w:name="_Toc184310310"/>
      <w:bookmarkEnd w:id="70"/>
      <w:bookmarkStart w:id="71" w:name="_Toc184312132"/>
      <w:bookmarkEnd w:id="71"/>
      <w:bookmarkStart w:id="72" w:name="_Toc184310290"/>
      <w:bookmarkEnd w:id="72"/>
      <w:bookmarkStart w:id="73" w:name="_Toc184314430"/>
      <w:bookmarkEnd w:id="73"/>
      <w:bookmarkStart w:id="74" w:name="_Toc184314482"/>
      <w:bookmarkEnd w:id="74"/>
      <w:bookmarkStart w:id="75" w:name="_Toc184312128"/>
      <w:bookmarkEnd w:id="75"/>
      <w:bookmarkStart w:id="76" w:name="_Toc184310287"/>
      <w:bookmarkEnd w:id="76"/>
      <w:bookmarkStart w:id="77" w:name="_Toc184313310"/>
      <w:bookmarkEnd w:id="77"/>
      <w:bookmarkStart w:id="78" w:name="_Toc184308089"/>
      <w:bookmarkEnd w:id="78"/>
      <w:bookmarkStart w:id="79" w:name="_Toc184313243"/>
      <w:bookmarkEnd w:id="79"/>
      <w:bookmarkStart w:id="80" w:name="_Toc184312136"/>
      <w:bookmarkEnd w:id="80"/>
      <w:bookmarkStart w:id="81" w:name="_Toc184310307"/>
      <w:bookmarkEnd w:id="81"/>
      <w:bookmarkStart w:id="82" w:name="_Toc184308090"/>
      <w:bookmarkEnd w:id="82"/>
      <w:bookmarkStart w:id="83" w:name="_Toc184308086"/>
      <w:bookmarkEnd w:id="83"/>
      <w:bookmarkStart w:id="84" w:name="_Toc184310312"/>
      <w:bookmarkEnd w:id="84"/>
      <w:bookmarkStart w:id="85" w:name="_Toc184314441"/>
      <w:bookmarkEnd w:id="85"/>
      <w:bookmarkStart w:id="86" w:name="_Toc184308070"/>
      <w:bookmarkEnd w:id="86"/>
      <w:bookmarkStart w:id="87" w:name="_Toc184308065"/>
      <w:bookmarkEnd w:id="87"/>
      <w:bookmarkStart w:id="88" w:name="_Toc184314469"/>
      <w:bookmarkEnd w:id="88"/>
      <w:bookmarkStart w:id="89" w:name="_Toc184313277"/>
      <w:bookmarkEnd w:id="89"/>
      <w:bookmarkStart w:id="90" w:name="_Toc184310274"/>
      <w:bookmarkEnd w:id="90"/>
      <w:bookmarkStart w:id="91" w:name="_Toc184313302"/>
      <w:bookmarkEnd w:id="91"/>
      <w:bookmarkStart w:id="92" w:name="_Toc184312121"/>
      <w:bookmarkEnd w:id="92"/>
      <w:bookmarkStart w:id="93" w:name="_Toc184314461"/>
      <w:bookmarkEnd w:id="93"/>
      <w:bookmarkStart w:id="94" w:name="_Toc184313299"/>
      <w:bookmarkEnd w:id="94"/>
      <w:bookmarkStart w:id="95" w:name="_Toc184310284"/>
      <w:bookmarkEnd w:id="95"/>
      <w:bookmarkStart w:id="96" w:name="_Toc184310322"/>
      <w:bookmarkEnd w:id="96"/>
      <w:bookmarkStart w:id="97" w:name="_Toc184312080"/>
      <w:bookmarkEnd w:id="97"/>
      <w:bookmarkStart w:id="98" w:name="_Toc184314478"/>
      <w:bookmarkEnd w:id="98"/>
      <w:bookmarkStart w:id="99" w:name="_Toc184308069"/>
      <w:bookmarkEnd w:id="99"/>
      <w:bookmarkStart w:id="100" w:name="_Toc184312076"/>
      <w:bookmarkEnd w:id="100"/>
      <w:bookmarkStart w:id="101" w:name="_Toc184314433"/>
      <w:bookmarkEnd w:id="101"/>
      <w:bookmarkStart w:id="102" w:name="_Toc184314466"/>
      <w:bookmarkEnd w:id="102"/>
      <w:bookmarkStart w:id="103" w:name="_Toc184313279"/>
      <w:bookmarkEnd w:id="103"/>
      <w:bookmarkStart w:id="104" w:name="_Toc184313257"/>
      <w:bookmarkEnd w:id="104"/>
      <w:bookmarkStart w:id="105" w:name="_Toc184314426"/>
      <w:bookmarkEnd w:id="105"/>
      <w:bookmarkStart w:id="106" w:name="_Toc184314436"/>
      <w:bookmarkEnd w:id="106"/>
      <w:bookmarkStart w:id="107" w:name="_Toc184308056"/>
      <w:bookmarkEnd w:id="107"/>
      <w:bookmarkStart w:id="108" w:name="_Toc184314443"/>
      <w:bookmarkEnd w:id="108"/>
      <w:bookmarkStart w:id="109" w:name="_Toc184314454"/>
      <w:bookmarkEnd w:id="109"/>
      <w:bookmarkStart w:id="110" w:name="_Toc184314422"/>
      <w:bookmarkEnd w:id="110"/>
      <w:bookmarkStart w:id="111" w:name="_Toc184310332"/>
      <w:bookmarkEnd w:id="111"/>
      <w:bookmarkStart w:id="112" w:name="_Toc184312077"/>
      <w:bookmarkEnd w:id="112"/>
      <w:bookmarkStart w:id="113" w:name="_Toc184312124"/>
      <w:bookmarkEnd w:id="113"/>
      <w:bookmarkStart w:id="114" w:name="_Toc184308044"/>
      <w:bookmarkEnd w:id="114"/>
      <w:bookmarkStart w:id="115" w:name="_Toc184312108"/>
      <w:bookmarkEnd w:id="115"/>
      <w:bookmarkStart w:id="116" w:name="_Toc184310277"/>
      <w:bookmarkEnd w:id="116"/>
      <w:bookmarkStart w:id="117" w:name="_Toc184312079"/>
      <w:bookmarkEnd w:id="117"/>
      <w:bookmarkStart w:id="118" w:name="_Toc184312099"/>
      <w:bookmarkEnd w:id="118"/>
      <w:bookmarkStart w:id="119" w:name="_Toc184314462"/>
      <w:bookmarkEnd w:id="119"/>
      <w:bookmarkStart w:id="120" w:name="_Toc184308106"/>
      <w:bookmarkEnd w:id="120"/>
      <w:bookmarkStart w:id="121" w:name="_Toc184308097"/>
      <w:bookmarkEnd w:id="121"/>
      <w:bookmarkStart w:id="122" w:name="_Toc184312125"/>
      <w:bookmarkEnd w:id="122"/>
      <w:bookmarkStart w:id="123" w:name="_Toc184312096"/>
      <w:bookmarkEnd w:id="123"/>
      <w:bookmarkStart w:id="124" w:name="_Toc184312120"/>
      <w:bookmarkEnd w:id="124"/>
      <w:bookmarkStart w:id="125" w:name="_Toc184313274"/>
      <w:bookmarkEnd w:id="125"/>
      <w:bookmarkStart w:id="126" w:name="_Toc184308100"/>
      <w:bookmarkEnd w:id="126"/>
      <w:bookmarkStart w:id="127" w:name="_Toc184314480"/>
      <w:bookmarkEnd w:id="127"/>
      <w:bookmarkStart w:id="128" w:name="_Toc184314481"/>
      <w:bookmarkEnd w:id="128"/>
      <w:bookmarkStart w:id="129" w:name="_Toc184310334"/>
      <w:bookmarkEnd w:id="129"/>
      <w:bookmarkStart w:id="130" w:name="_Toc184308108"/>
      <w:bookmarkEnd w:id="130"/>
      <w:bookmarkStart w:id="131" w:name="_Toc184308093"/>
      <w:bookmarkEnd w:id="131"/>
      <w:bookmarkStart w:id="132" w:name="_Toc184313280"/>
      <w:bookmarkEnd w:id="132"/>
      <w:bookmarkStart w:id="133" w:name="_Toc184314423"/>
      <w:bookmarkEnd w:id="133"/>
      <w:bookmarkStart w:id="134" w:name="_Toc184313295"/>
      <w:bookmarkEnd w:id="134"/>
      <w:bookmarkStart w:id="135" w:name="_Toc184313272"/>
      <w:bookmarkEnd w:id="135"/>
      <w:bookmarkStart w:id="136" w:name="_Toc184314410"/>
      <w:bookmarkEnd w:id="136"/>
      <w:bookmarkStart w:id="137" w:name="_Toc184313297"/>
      <w:bookmarkEnd w:id="137"/>
      <w:bookmarkStart w:id="138" w:name="_Toc184310341"/>
      <w:bookmarkEnd w:id="138"/>
      <w:bookmarkStart w:id="139" w:name="_Toc184308099"/>
      <w:bookmarkEnd w:id="139"/>
      <w:bookmarkStart w:id="140" w:name="_Toc184308081"/>
      <w:bookmarkEnd w:id="140"/>
      <w:bookmarkStart w:id="141" w:name="_Toc184308057"/>
      <w:bookmarkEnd w:id="141"/>
      <w:bookmarkStart w:id="142" w:name="_Toc184312085"/>
      <w:bookmarkEnd w:id="142"/>
      <w:bookmarkStart w:id="143" w:name="_Toc184308107"/>
      <w:bookmarkEnd w:id="143"/>
      <w:bookmarkStart w:id="144" w:name="_Toc184310313"/>
      <w:bookmarkEnd w:id="144"/>
      <w:bookmarkStart w:id="145" w:name="_Toc184313273"/>
      <w:bookmarkEnd w:id="145"/>
      <w:bookmarkStart w:id="146" w:name="_Toc184310318"/>
      <w:bookmarkEnd w:id="146"/>
      <w:bookmarkStart w:id="147" w:name="_Toc184314451"/>
      <w:bookmarkEnd w:id="147"/>
      <w:bookmarkStart w:id="148" w:name="_Toc184312084"/>
      <w:bookmarkEnd w:id="148"/>
      <w:bookmarkStart w:id="149" w:name="_Toc184312071"/>
      <w:bookmarkEnd w:id="149"/>
      <w:bookmarkStart w:id="150" w:name="_Toc184308040"/>
      <w:bookmarkEnd w:id="150"/>
      <w:bookmarkStart w:id="151" w:name="_Toc184314444"/>
      <w:bookmarkEnd w:id="151"/>
      <w:bookmarkStart w:id="152" w:name="_Toc184312097"/>
      <w:bookmarkEnd w:id="152"/>
      <w:bookmarkStart w:id="153" w:name="_Toc184313288"/>
      <w:bookmarkEnd w:id="153"/>
      <w:bookmarkStart w:id="154" w:name="_Toc184308043"/>
      <w:bookmarkEnd w:id="154"/>
      <w:bookmarkStart w:id="155" w:name="_Toc184313262"/>
      <w:bookmarkEnd w:id="155"/>
      <w:bookmarkStart w:id="156" w:name="_Toc184310278"/>
      <w:bookmarkEnd w:id="156"/>
      <w:bookmarkStart w:id="157" w:name="_Toc184308039"/>
      <w:bookmarkEnd w:id="157"/>
      <w:bookmarkStart w:id="158" w:name="_Toc184313289"/>
      <w:bookmarkEnd w:id="158"/>
      <w:bookmarkStart w:id="159" w:name="_Toc184308036"/>
      <w:bookmarkEnd w:id="159"/>
      <w:bookmarkStart w:id="160" w:name="_Toc184313293"/>
      <w:bookmarkEnd w:id="160"/>
      <w:bookmarkStart w:id="161" w:name="_Toc184312103"/>
      <w:bookmarkEnd w:id="161"/>
      <w:bookmarkStart w:id="162" w:name="_Toc184313238"/>
      <w:bookmarkEnd w:id="162"/>
      <w:bookmarkStart w:id="163" w:name="_Toc184312067"/>
      <w:bookmarkEnd w:id="163"/>
      <w:bookmarkStart w:id="164" w:name="_Toc184308055"/>
      <w:bookmarkEnd w:id="164"/>
      <w:bookmarkStart w:id="165" w:name="_Toc184313269"/>
      <w:bookmarkEnd w:id="165"/>
      <w:bookmarkStart w:id="166" w:name="_Toc184308059"/>
      <w:bookmarkEnd w:id="166"/>
      <w:bookmarkStart w:id="167" w:name="_Toc184308096"/>
      <w:bookmarkEnd w:id="167"/>
      <w:bookmarkStart w:id="168" w:name="_Toc184308102"/>
      <w:bookmarkEnd w:id="168"/>
      <w:bookmarkStart w:id="169" w:name="_Toc184314414"/>
      <w:bookmarkEnd w:id="169"/>
      <w:bookmarkStart w:id="170" w:name="_Toc184308076"/>
      <w:bookmarkEnd w:id="170"/>
      <w:bookmarkStart w:id="171" w:name="_Toc184312082"/>
      <w:bookmarkEnd w:id="171"/>
      <w:bookmarkStart w:id="172" w:name="_Toc184313270"/>
      <w:bookmarkEnd w:id="172"/>
      <w:bookmarkStart w:id="173" w:name="_Toc184308079"/>
      <w:bookmarkEnd w:id="173"/>
      <w:bookmarkStart w:id="174" w:name="_Toc184310319"/>
      <w:bookmarkEnd w:id="174"/>
      <w:bookmarkStart w:id="175" w:name="_Toc184308037"/>
      <w:bookmarkEnd w:id="175"/>
      <w:bookmarkStart w:id="176" w:name="_Toc184308051"/>
      <w:bookmarkEnd w:id="176"/>
      <w:bookmarkStart w:id="177" w:name="_Toc184310323"/>
      <w:bookmarkEnd w:id="177"/>
      <w:bookmarkStart w:id="178" w:name="_Toc184310294"/>
      <w:bookmarkEnd w:id="178"/>
      <w:bookmarkStart w:id="179" w:name="_Toc184308062"/>
      <w:bookmarkEnd w:id="179"/>
      <w:bookmarkStart w:id="180" w:name="_Toc184312093"/>
      <w:bookmarkEnd w:id="180"/>
      <w:bookmarkStart w:id="181" w:name="_Toc184308061"/>
      <w:bookmarkEnd w:id="181"/>
      <w:bookmarkStart w:id="182" w:name="_Toc184314440"/>
      <w:bookmarkEnd w:id="182"/>
      <w:bookmarkStart w:id="183" w:name="_Toc184313259"/>
      <w:bookmarkEnd w:id="183"/>
      <w:bookmarkStart w:id="184" w:name="_Toc184308075"/>
      <w:bookmarkEnd w:id="184"/>
      <w:bookmarkStart w:id="185" w:name="_Toc184308074"/>
      <w:bookmarkEnd w:id="185"/>
      <w:bookmarkStart w:id="186" w:name="_Toc184313239"/>
      <w:bookmarkEnd w:id="186"/>
      <w:bookmarkStart w:id="187" w:name="_Toc184312073"/>
      <w:bookmarkEnd w:id="187"/>
      <w:bookmarkStart w:id="188" w:name="_Toc184314470"/>
      <w:bookmarkEnd w:id="188"/>
      <w:bookmarkStart w:id="189" w:name="_Toc184314428"/>
      <w:bookmarkEnd w:id="189"/>
      <w:bookmarkStart w:id="190" w:name="_Toc184308071"/>
      <w:bookmarkEnd w:id="190"/>
      <w:bookmarkStart w:id="191" w:name="_Toc184312090"/>
      <w:bookmarkEnd w:id="191"/>
      <w:bookmarkStart w:id="192" w:name="_Toc184310335"/>
      <w:bookmarkEnd w:id="192"/>
      <w:bookmarkStart w:id="193" w:name="_Toc184312094"/>
      <w:bookmarkEnd w:id="193"/>
      <w:bookmarkStart w:id="194" w:name="_Toc184313278"/>
      <w:bookmarkEnd w:id="194"/>
      <w:bookmarkStart w:id="195" w:name="_Toc184314417"/>
      <w:bookmarkEnd w:id="195"/>
      <w:bookmarkStart w:id="196" w:name="_Toc184310328"/>
      <w:bookmarkEnd w:id="196"/>
      <w:bookmarkStart w:id="197" w:name="_Toc184314424"/>
      <w:bookmarkEnd w:id="197"/>
      <w:bookmarkStart w:id="198" w:name="_Toc184313241"/>
      <w:bookmarkEnd w:id="198"/>
      <w:bookmarkStart w:id="199" w:name="_Toc184314419"/>
      <w:bookmarkEnd w:id="199"/>
      <w:bookmarkStart w:id="200" w:name="_Toc184314434"/>
      <w:bookmarkEnd w:id="200"/>
      <w:bookmarkStart w:id="201" w:name="_Toc184312107"/>
      <w:bookmarkEnd w:id="201"/>
      <w:bookmarkStart w:id="202" w:name="_Toc184310293"/>
      <w:bookmarkEnd w:id="202"/>
      <w:bookmarkStart w:id="203" w:name="_Toc184313309"/>
      <w:bookmarkEnd w:id="203"/>
      <w:bookmarkStart w:id="204" w:name="_Toc184314456"/>
      <w:bookmarkEnd w:id="204"/>
      <w:bookmarkStart w:id="205" w:name="_Toc184314411"/>
      <w:bookmarkEnd w:id="205"/>
      <w:bookmarkStart w:id="206" w:name="_Toc184313256"/>
      <w:bookmarkEnd w:id="206"/>
      <w:bookmarkStart w:id="207" w:name="_Toc184313261"/>
      <w:bookmarkEnd w:id="207"/>
      <w:bookmarkStart w:id="208" w:name="_Toc184313245"/>
      <w:bookmarkEnd w:id="208"/>
      <w:bookmarkStart w:id="209" w:name="_Toc184313242"/>
      <w:bookmarkEnd w:id="209"/>
      <w:bookmarkStart w:id="210" w:name="_Toc184313251"/>
      <w:bookmarkEnd w:id="210"/>
      <w:bookmarkStart w:id="211" w:name="_Toc184308072"/>
      <w:bookmarkEnd w:id="211"/>
      <w:bookmarkStart w:id="212" w:name="_Toc184314427"/>
      <w:bookmarkEnd w:id="212"/>
      <w:bookmarkStart w:id="213" w:name="_Toc184314475"/>
      <w:bookmarkEnd w:id="213"/>
      <w:bookmarkStart w:id="214" w:name="_Toc184314416"/>
      <w:bookmarkEnd w:id="214"/>
      <w:bookmarkStart w:id="215" w:name="_Toc184313265"/>
      <w:bookmarkEnd w:id="215"/>
      <w:bookmarkStart w:id="216" w:name="_Toc184313244"/>
      <w:bookmarkEnd w:id="216"/>
      <w:bookmarkStart w:id="217" w:name="_Toc184313252"/>
      <w:bookmarkEnd w:id="217"/>
      <w:bookmarkStart w:id="218" w:name="_Toc184314458"/>
      <w:bookmarkEnd w:id="218"/>
      <w:bookmarkStart w:id="219" w:name="_Toc184310336"/>
      <w:bookmarkEnd w:id="219"/>
      <w:bookmarkStart w:id="220" w:name="_Toc184308104"/>
      <w:bookmarkEnd w:id="220"/>
      <w:bookmarkStart w:id="221" w:name="_Toc184310311"/>
      <w:bookmarkEnd w:id="221"/>
      <w:bookmarkStart w:id="222" w:name="_Toc184310327"/>
      <w:bookmarkEnd w:id="222"/>
      <w:bookmarkStart w:id="223" w:name="_Toc184314468"/>
      <w:bookmarkEnd w:id="223"/>
      <w:bookmarkStart w:id="224" w:name="_Toc184314465"/>
      <w:bookmarkEnd w:id="224"/>
      <w:bookmarkStart w:id="225" w:name="_Toc184310289"/>
      <w:bookmarkEnd w:id="225"/>
      <w:bookmarkStart w:id="226" w:name="_Toc184312114"/>
      <w:bookmarkEnd w:id="226"/>
      <w:bookmarkStart w:id="227" w:name="_Toc184313287"/>
      <w:bookmarkEnd w:id="227"/>
      <w:bookmarkStart w:id="228" w:name="_Toc184308048"/>
      <w:bookmarkEnd w:id="228"/>
      <w:bookmarkStart w:id="229" w:name="_Toc184313291"/>
      <w:bookmarkEnd w:id="229"/>
      <w:bookmarkStart w:id="230" w:name="_Toc184312091"/>
      <w:bookmarkEnd w:id="230"/>
      <w:bookmarkStart w:id="231" w:name="_Toc184308091"/>
      <w:bookmarkEnd w:id="231"/>
      <w:bookmarkStart w:id="232" w:name="_Toc184313308"/>
      <w:bookmarkEnd w:id="232"/>
      <w:bookmarkStart w:id="233" w:name="_Toc184313247"/>
      <w:bookmarkEnd w:id="233"/>
      <w:bookmarkStart w:id="234" w:name="_Toc184310314"/>
      <w:bookmarkEnd w:id="234"/>
      <w:bookmarkStart w:id="235" w:name="_Toc184310337"/>
      <w:bookmarkEnd w:id="235"/>
      <w:bookmarkStart w:id="236" w:name="_Toc184312130"/>
      <w:bookmarkEnd w:id="236"/>
      <w:bookmarkStart w:id="237" w:name="_Toc184308077"/>
      <w:bookmarkEnd w:id="237"/>
      <w:bookmarkStart w:id="238" w:name="_Toc184312074"/>
      <w:bookmarkEnd w:id="238"/>
      <w:bookmarkStart w:id="239" w:name="_Toc184314467"/>
      <w:bookmarkEnd w:id="239"/>
      <w:bookmarkStart w:id="240" w:name="_Toc184310280"/>
      <w:bookmarkEnd w:id="240"/>
      <w:bookmarkStart w:id="241" w:name="_Toc184314457"/>
      <w:bookmarkEnd w:id="241"/>
      <w:bookmarkStart w:id="242" w:name="_Toc184308054"/>
      <w:bookmarkEnd w:id="242"/>
      <w:bookmarkStart w:id="243" w:name="_Toc184310331"/>
      <w:bookmarkEnd w:id="243"/>
      <w:bookmarkStart w:id="244" w:name="_Toc184312117"/>
      <w:bookmarkEnd w:id="244"/>
      <w:bookmarkStart w:id="245" w:name="_Toc184313266"/>
      <w:bookmarkEnd w:id="245"/>
      <w:bookmarkStart w:id="246" w:name="_Toc184308066"/>
      <w:bookmarkEnd w:id="246"/>
      <w:bookmarkStart w:id="247" w:name="_Toc184308042"/>
      <w:bookmarkEnd w:id="247"/>
      <w:bookmarkStart w:id="248" w:name="_Toc184313303"/>
      <w:bookmarkEnd w:id="248"/>
      <w:bookmarkStart w:id="249" w:name="_Toc184312118"/>
      <w:bookmarkEnd w:id="249"/>
      <w:bookmarkStart w:id="250" w:name="_Toc184313264"/>
      <w:bookmarkEnd w:id="250"/>
      <w:bookmarkStart w:id="251" w:name="_Toc184313298"/>
      <w:bookmarkEnd w:id="251"/>
      <w:bookmarkStart w:id="252" w:name="_Toc184314446"/>
      <w:bookmarkEnd w:id="252"/>
      <w:bookmarkStart w:id="253" w:name="_Toc184313284"/>
      <w:bookmarkEnd w:id="253"/>
      <w:bookmarkStart w:id="254" w:name="_Toc184310326"/>
      <w:bookmarkEnd w:id="254"/>
      <w:bookmarkStart w:id="255" w:name="_Toc184308049"/>
      <w:bookmarkEnd w:id="255"/>
      <w:bookmarkStart w:id="256" w:name="_Toc184310344"/>
      <w:bookmarkEnd w:id="256"/>
      <w:bookmarkStart w:id="257" w:name="_Toc184314474"/>
      <w:bookmarkEnd w:id="257"/>
      <w:bookmarkStart w:id="258" w:name="_Toc184310308"/>
      <w:bookmarkEnd w:id="258"/>
      <w:bookmarkStart w:id="259" w:name="_Toc184313267"/>
      <w:bookmarkEnd w:id="259"/>
      <w:bookmarkStart w:id="260" w:name="_Toc184308053"/>
      <w:bookmarkEnd w:id="260"/>
      <w:bookmarkStart w:id="261" w:name="_Toc184312133"/>
      <w:bookmarkEnd w:id="261"/>
      <w:bookmarkStart w:id="262" w:name="_Toc184313300"/>
      <w:bookmarkEnd w:id="262"/>
      <w:bookmarkStart w:id="263" w:name="_Toc184312127"/>
      <w:bookmarkEnd w:id="263"/>
      <w:bookmarkStart w:id="264" w:name="_Toc184313301"/>
      <w:bookmarkEnd w:id="264"/>
      <w:bookmarkStart w:id="265" w:name="_Toc184308047"/>
      <w:bookmarkEnd w:id="265"/>
      <w:bookmarkStart w:id="266" w:name="_Toc184313276"/>
      <w:bookmarkEnd w:id="266"/>
      <w:bookmarkStart w:id="267" w:name="_Toc184312109"/>
      <w:bookmarkEnd w:id="267"/>
      <w:bookmarkStart w:id="268" w:name="_Toc184310303"/>
      <w:bookmarkEnd w:id="268"/>
      <w:bookmarkStart w:id="269" w:name="_Toc184313286"/>
      <w:bookmarkEnd w:id="269"/>
      <w:bookmarkStart w:id="270" w:name="_Toc184314415"/>
      <w:bookmarkEnd w:id="270"/>
      <w:bookmarkStart w:id="271" w:name="_Toc184314442"/>
      <w:bookmarkEnd w:id="271"/>
      <w:bookmarkStart w:id="272" w:name="_Toc184310343"/>
      <w:bookmarkEnd w:id="272"/>
      <w:bookmarkStart w:id="273" w:name="_Toc184313263"/>
      <w:bookmarkEnd w:id="273"/>
      <w:bookmarkStart w:id="274" w:name="_Toc184310339"/>
      <w:bookmarkEnd w:id="274"/>
      <w:bookmarkStart w:id="275" w:name="_Toc184310297"/>
      <w:bookmarkEnd w:id="275"/>
      <w:bookmarkStart w:id="276" w:name="_Toc184313271"/>
      <w:bookmarkEnd w:id="276"/>
      <w:bookmarkStart w:id="277" w:name="_Toc184312069"/>
      <w:bookmarkEnd w:id="277"/>
      <w:bookmarkStart w:id="278" w:name="_Toc184314437"/>
      <w:bookmarkEnd w:id="278"/>
      <w:bookmarkStart w:id="279" w:name="_Toc184308095"/>
      <w:bookmarkEnd w:id="279"/>
      <w:bookmarkStart w:id="280" w:name="_Toc184308041"/>
      <w:bookmarkEnd w:id="280"/>
      <w:bookmarkStart w:id="281" w:name="_Toc184314472"/>
      <w:bookmarkEnd w:id="281"/>
      <w:bookmarkStart w:id="282" w:name="_Toc184310316"/>
      <w:bookmarkEnd w:id="282"/>
      <w:bookmarkStart w:id="283" w:name="_Toc184312101"/>
      <w:bookmarkEnd w:id="283"/>
      <w:bookmarkStart w:id="284" w:name="_Toc184310286"/>
      <w:bookmarkEnd w:id="284"/>
      <w:bookmarkStart w:id="285" w:name="_Toc184312068"/>
      <w:bookmarkEnd w:id="285"/>
      <w:bookmarkStart w:id="286" w:name="_Toc184313306"/>
      <w:bookmarkEnd w:id="286"/>
      <w:bookmarkStart w:id="287" w:name="_Toc184312087"/>
      <w:bookmarkEnd w:id="287"/>
      <w:bookmarkStart w:id="288" w:name="_Toc184312102"/>
      <w:bookmarkEnd w:id="288"/>
      <w:bookmarkStart w:id="289" w:name="_Toc184310315"/>
      <w:bookmarkEnd w:id="289"/>
      <w:bookmarkStart w:id="290" w:name="_Toc184308085"/>
      <w:bookmarkEnd w:id="290"/>
      <w:bookmarkStart w:id="291" w:name="_Toc184308083"/>
      <w:bookmarkEnd w:id="291"/>
      <w:bookmarkStart w:id="292" w:name="_Toc184310340"/>
      <w:bookmarkEnd w:id="292"/>
      <w:bookmarkStart w:id="293" w:name="_Toc184308052"/>
      <w:bookmarkEnd w:id="293"/>
      <w:bookmarkStart w:id="294" w:name="_Toc184310292"/>
      <w:bookmarkEnd w:id="294"/>
      <w:bookmarkStart w:id="295" w:name="_Toc184312129"/>
      <w:bookmarkEnd w:id="295"/>
      <w:bookmarkStart w:id="296" w:name="_Toc184314459"/>
      <w:bookmarkEnd w:id="296"/>
      <w:bookmarkStart w:id="297" w:name="_Toc184313250"/>
      <w:bookmarkEnd w:id="297"/>
      <w:bookmarkStart w:id="298" w:name="_Toc184313305"/>
      <w:bookmarkEnd w:id="298"/>
      <w:bookmarkStart w:id="299" w:name="_Toc184314452"/>
      <w:bookmarkEnd w:id="299"/>
      <w:bookmarkStart w:id="300" w:name="_Toc184313240"/>
      <w:bookmarkEnd w:id="300"/>
      <w:bookmarkStart w:id="301" w:name="_Toc184314450"/>
      <w:bookmarkEnd w:id="301"/>
      <w:bookmarkStart w:id="302" w:name="_Toc184308038"/>
      <w:bookmarkEnd w:id="302"/>
      <w:bookmarkStart w:id="303" w:name="_Toc184313275"/>
      <w:bookmarkEnd w:id="303"/>
      <w:bookmarkStart w:id="304" w:name="_Toc184314463"/>
      <w:bookmarkEnd w:id="304"/>
      <w:bookmarkStart w:id="305" w:name="_Toc184310320"/>
      <w:bookmarkEnd w:id="305"/>
      <w:bookmarkStart w:id="306" w:name="_Toc184310300"/>
      <w:bookmarkEnd w:id="306"/>
      <w:bookmarkStart w:id="307" w:name="_Toc184314447"/>
      <w:bookmarkEnd w:id="307"/>
      <w:bookmarkStart w:id="308" w:name="_Toc184312106"/>
      <w:bookmarkEnd w:id="308"/>
      <w:bookmarkStart w:id="309" w:name="_Toc184312111"/>
      <w:bookmarkEnd w:id="309"/>
      <w:bookmarkStart w:id="310" w:name="_Toc184314460"/>
      <w:bookmarkEnd w:id="310"/>
      <w:bookmarkStart w:id="311" w:name="_Toc184314473"/>
      <w:bookmarkEnd w:id="311"/>
      <w:bookmarkStart w:id="312" w:name="_Toc184310276"/>
      <w:bookmarkEnd w:id="312"/>
      <w:bookmarkStart w:id="313" w:name="_Toc184310299"/>
      <w:bookmarkEnd w:id="313"/>
      <w:bookmarkStart w:id="314" w:name="_Toc184313254"/>
      <w:bookmarkEnd w:id="314"/>
      <w:bookmarkStart w:id="315" w:name="_Toc184314435"/>
      <w:bookmarkEnd w:id="315"/>
      <w:bookmarkStart w:id="316" w:name="_Toc184308045"/>
      <w:bookmarkEnd w:id="316"/>
      <w:bookmarkStart w:id="317" w:name="_Toc184314471"/>
      <w:bookmarkEnd w:id="317"/>
      <w:bookmarkStart w:id="318" w:name="_Toc184310338"/>
      <w:bookmarkEnd w:id="318"/>
      <w:bookmarkStart w:id="319" w:name="_Toc184314464"/>
      <w:bookmarkEnd w:id="319"/>
      <w:bookmarkStart w:id="320" w:name="_Toc184314445"/>
      <w:bookmarkEnd w:id="320"/>
      <w:bookmarkStart w:id="321" w:name="_Toc184312119"/>
      <w:bookmarkEnd w:id="321"/>
      <w:bookmarkStart w:id="322" w:name="_Toc184308050"/>
      <w:bookmarkEnd w:id="322"/>
      <w:bookmarkStart w:id="323" w:name="_Toc184314421"/>
      <w:bookmarkEnd w:id="323"/>
      <w:bookmarkStart w:id="324" w:name="_Toc184310333"/>
      <w:bookmarkEnd w:id="324"/>
      <w:bookmarkStart w:id="325" w:name="_Toc184310279"/>
      <w:bookmarkEnd w:id="325"/>
      <w:bookmarkStart w:id="326" w:name="_Toc184312075"/>
      <w:bookmarkEnd w:id="326"/>
      <w:bookmarkStart w:id="327" w:name="_Toc184310324"/>
      <w:bookmarkEnd w:id="327"/>
      <w:bookmarkStart w:id="328" w:name="_Toc184312081"/>
      <w:bookmarkEnd w:id="328"/>
      <w:bookmarkStart w:id="329" w:name="_Toc184310301"/>
      <w:bookmarkEnd w:id="329"/>
      <w:bookmarkStart w:id="330" w:name="_Toc184308087"/>
      <w:bookmarkEnd w:id="330"/>
      <w:bookmarkStart w:id="331" w:name="_Toc184313255"/>
      <w:bookmarkEnd w:id="331"/>
      <w:bookmarkStart w:id="332" w:name="_Toc184314432"/>
      <w:bookmarkEnd w:id="332"/>
      <w:bookmarkStart w:id="333" w:name="_Toc184308098"/>
      <w:bookmarkEnd w:id="333"/>
      <w:bookmarkStart w:id="334" w:name="_Toc184308078"/>
      <w:bookmarkEnd w:id="334"/>
      <w:bookmarkStart w:id="335" w:name="_Toc184308068"/>
      <w:bookmarkEnd w:id="335"/>
      <w:bookmarkStart w:id="336" w:name="_Toc184308060"/>
      <w:bookmarkEnd w:id="336"/>
      <w:bookmarkStart w:id="337" w:name="_Toc184312088"/>
      <w:bookmarkEnd w:id="337"/>
      <w:bookmarkStart w:id="338" w:name="_Toc184308080"/>
      <w:bookmarkEnd w:id="338"/>
      <w:bookmarkStart w:id="339" w:name="_Toc184313292"/>
      <w:bookmarkEnd w:id="339"/>
      <w:bookmarkStart w:id="340" w:name="_Toc184314413"/>
      <w:bookmarkEnd w:id="340"/>
      <w:bookmarkStart w:id="341" w:name="_Toc184314412"/>
      <w:bookmarkEnd w:id="341"/>
      <w:bookmarkStart w:id="342" w:name="_Toc184308046"/>
      <w:bookmarkEnd w:id="342"/>
      <w:bookmarkStart w:id="343" w:name="_Toc184313282"/>
      <w:bookmarkEnd w:id="343"/>
      <w:bookmarkStart w:id="344" w:name="_Toc184312131"/>
      <w:bookmarkEnd w:id="344"/>
      <w:bookmarkStart w:id="345" w:name="_Toc184312104"/>
      <w:bookmarkEnd w:id="345"/>
      <w:bookmarkStart w:id="346" w:name="_Toc184310288"/>
      <w:bookmarkEnd w:id="346"/>
      <w:bookmarkStart w:id="347" w:name="_Toc184313285"/>
      <w:bookmarkEnd w:id="347"/>
      <w:bookmarkStart w:id="348" w:name="_Toc184310272"/>
      <w:bookmarkEnd w:id="348"/>
      <w:bookmarkStart w:id="349" w:name="_Toc184308103"/>
      <w:bookmarkEnd w:id="349"/>
      <w:bookmarkStart w:id="350" w:name="_Toc184312105"/>
      <w:bookmarkEnd w:id="350"/>
      <w:bookmarkStart w:id="351" w:name="_Toc184313281"/>
      <w:bookmarkEnd w:id="351"/>
      <w:bookmarkStart w:id="352" w:name="_Toc184314438"/>
      <w:bookmarkEnd w:id="352"/>
      <w:bookmarkStart w:id="353" w:name="_Toc184312110"/>
      <w:bookmarkEnd w:id="353"/>
      <w:bookmarkStart w:id="354" w:name="_Toc184314431"/>
      <w:bookmarkEnd w:id="354"/>
      <w:bookmarkStart w:id="355" w:name="_Toc184312126"/>
      <w:bookmarkEnd w:id="355"/>
      <w:bookmarkStart w:id="356" w:name="_Toc184312083"/>
      <w:bookmarkEnd w:id="356"/>
      <w:bookmarkStart w:id="357" w:name="_Toc184312095"/>
      <w:bookmarkEnd w:id="357"/>
      <w:bookmarkStart w:id="358" w:name="_Toc184313283"/>
      <w:bookmarkEnd w:id="358"/>
      <w:bookmarkStart w:id="359" w:name="_Toc184308064"/>
      <w:bookmarkEnd w:id="359"/>
      <w:bookmarkStart w:id="360" w:name="_Toc184310305"/>
      <w:bookmarkEnd w:id="360"/>
      <w:bookmarkStart w:id="361" w:name="_Toc184310317"/>
      <w:bookmarkEnd w:id="361"/>
      <w:bookmarkStart w:id="362" w:name="_Toc184312072"/>
      <w:bookmarkEnd w:id="362"/>
      <w:bookmarkStart w:id="363" w:name="_Toc184312139"/>
      <w:bookmarkEnd w:id="363"/>
      <w:bookmarkStart w:id="364" w:name="_Toc184313268"/>
      <w:bookmarkEnd w:id="364"/>
      <w:bookmarkStart w:id="365" w:name="_Toc184310321"/>
      <w:bookmarkEnd w:id="365"/>
      <w:bookmarkStart w:id="366" w:name="_Toc184314429"/>
      <w:bookmarkEnd w:id="366"/>
      <w:bookmarkStart w:id="367" w:name="_Toc184310275"/>
      <w:bookmarkEnd w:id="367"/>
      <w:bookmarkStart w:id="368" w:name="_Toc184312086"/>
      <w:bookmarkEnd w:id="368"/>
      <w:bookmarkStart w:id="369" w:name="_Toc184312116"/>
      <w:bookmarkEnd w:id="369"/>
      <w:bookmarkStart w:id="370" w:name="_Toc184312138"/>
      <w:bookmarkEnd w:id="370"/>
      <w:bookmarkStart w:id="371" w:name="_Toc184310296"/>
      <w:bookmarkEnd w:id="371"/>
      <w:bookmarkStart w:id="372" w:name="_Toc184312122"/>
      <w:bookmarkEnd w:id="372"/>
      <w:bookmarkStart w:id="373" w:name="_Toc184310298"/>
      <w:bookmarkEnd w:id="373"/>
      <w:bookmarkStart w:id="374" w:name="_Toc184310285"/>
      <w:bookmarkEnd w:id="374"/>
      <w:bookmarkStart w:id="375" w:name="_Toc184312113"/>
      <w:bookmarkEnd w:id="375"/>
      <w:bookmarkStart w:id="376" w:name="_Toc184313260"/>
      <w:bookmarkEnd w:id="376"/>
      <w:bookmarkStart w:id="377" w:name="_Toc184310329"/>
      <w:bookmarkEnd w:id="377"/>
      <w:bookmarkStart w:id="378" w:name="_Toc184312134"/>
      <w:bookmarkEnd w:id="378"/>
      <w:bookmarkStart w:id="379" w:name="_Toc184312078"/>
      <w:bookmarkEnd w:id="379"/>
      <w:bookmarkStart w:id="380" w:name="_Toc184314420"/>
      <w:bookmarkEnd w:id="380"/>
      <w:bookmarkStart w:id="381" w:name="_Toc184313296"/>
      <w:bookmarkEnd w:id="381"/>
      <w:bookmarkStart w:id="382" w:name="_Toc184310273"/>
      <w:bookmarkEnd w:id="382"/>
      <w:bookmarkStart w:id="383" w:name="_Toc184310281"/>
      <w:bookmarkEnd w:id="383"/>
      <w:bookmarkStart w:id="384" w:name="_Toc184314453"/>
      <w:bookmarkEnd w:id="384"/>
      <w:r>
        <w:rPr>
          <w:rFonts w:hint="eastAsia" w:ascii="宋体" w:hAnsi="宋体" w:eastAsia="宋体" w:cs="宋体"/>
          <w:color w:val="auto"/>
          <w:sz w:val="44"/>
          <w:szCs w:val="44"/>
          <w:highlight w:val="none"/>
        </w:rPr>
        <w:br w:type="page"/>
      </w:r>
    </w:p>
    <w:p w14:paraId="7EC31A45">
      <w:pPr>
        <w:pStyle w:val="2"/>
        <w:numPr>
          <w:ilvl w:val="0"/>
          <w:numId w:val="7"/>
        </w:numPr>
        <w:ind w:firstLine="0" w:firstLineChars="0"/>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评标办法</w:t>
      </w:r>
    </w:p>
    <w:p w14:paraId="1CA9AE7C">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386739A5">
      <w:pPr>
        <w:numPr>
          <w:ilvl w:val="0"/>
          <w:numId w:val="0"/>
        </w:numPr>
        <w:rPr>
          <w:rFonts w:hint="eastAsia"/>
        </w:rPr>
      </w:pPr>
    </w:p>
    <w:tbl>
      <w:tblPr>
        <w:tblStyle w:val="64"/>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5087"/>
        <w:gridCol w:w="817"/>
        <w:gridCol w:w="1000"/>
        <w:gridCol w:w="1456"/>
      </w:tblGrid>
      <w:tr w14:paraId="6FE5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2736A41A">
            <w:pPr>
              <w:snapToGrid w:val="0"/>
              <w:spacing w:before="0" w:beforeAutospacing="0" w:after="0" w:afterAutospacing="0" w:line="360" w:lineRule="auto"/>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序号</w:t>
            </w:r>
          </w:p>
        </w:tc>
        <w:tc>
          <w:tcPr>
            <w:tcW w:w="5087" w:type="dxa"/>
            <w:vAlign w:val="center"/>
          </w:tcPr>
          <w:p w14:paraId="078FBE37">
            <w:pPr>
              <w:snapToGrid w:val="0"/>
              <w:spacing w:before="0" w:beforeAutospacing="0" w:after="0" w:afterAutospacing="0" w:line="360" w:lineRule="auto"/>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评标标准</w:t>
            </w:r>
          </w:p>
        </w:tc>
        <w:tc>
          <w:tcPr>
            <w:tcW w:w="817" w:type="dxa"/>
            <w:vAlign w:val="center"/>
          </w:tcPr>
          <w:p w14:paraId="7976E830">
            <w:pPr>
              <w:snapToGrid w:val="0"/>
              <w:spacing w:before="0" w:beforeAutospacing="0" w:after="0" w:afterAutospacing="0" w:line="360" w:lineRule="auto"/>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权重</w:t>
            </w:r>
          </w:p>
        </w:tc>
        <w:tc>
          <w:tcPr>
            <w:tcW w:w="1000" w:type="dxa"/>
            <w:vAlign w:val="center"/>
          </w:tcPr>
          <w:p w14:paraId="38EACDE6">
            <w:pPr>
              <w:snapToGrid w:val="0"/>
              <w:spacing w:before="0" w:beforeAutospacing="0" w:after="0" w:afterAutospacing="0" w:line="360" w:lineRule="auto"/>
              <w:ind w:left="0" w:right="0"/>
              <w:jc w:val="center"/>
              <w:rPr>
                <w:rFonts w:hint="default"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456" w:type="dxa"/>
            <w:vAlign w:val="top"/>
          </w:tcPr>
          <w:p w14:paraId="7BE71E87">
            <w:pPr>
              <w:snapToGrid w:val="0"/>
              <w:spacing w:before="0" w:beforeAutospacing="0" w:after="0" w:afterAutospacing="0" w:line="360" w:lineRule="auto"/>
              <w:ind w:left="0" w:right="0"/>
              <w:jc w:val="center"/>
              <w:rPr>
                <w:rFonts w:hint="default"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53AC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595F013E">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cs="宋体"/>
                <w:color w:val="auto"/>
                <w:sz w:val="24"/>
                <w:szCs w:val="24"/>
                <w:lang w:val="en-US" w:eastAsia="zh-CN"/>
              </w:rPr>
              <w:t>1</w:t>
            </w:r>
          </w:p>
        </w:tc>
        <w:tc>
          <w:tcPr>
            <w:tcW w:w="5087" w:type="dxa"/>
            <w:vAlign w:val="top"/>
          </w:tcPr>
          <w:p w14:paraId="7F5DB5E4">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提供 20</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1月1日（以合同签订时间为准）</w:t>
            </w:r>
            <w:r>
              <w:rPr>
                <w:rFonts w:hint="eastAsia" w:ascii="宋体" w:hAnsi="宋体" w:eastAsia="宋体" w:cs="宋体"/>
                <w:color w:val="auto"/>
                <w:sz w:val="24"/>
                <w:szCs w:val="24"/>
                <w:lang w:eastAsia="zh-CN"/>
              </w:rPr>
              <w:t>至今，</w:t>
            </w:r>
            <w:r>
              <w:rPr>
                <w:rFonts w:hint="eastAsia" w:ascii="宋体" w:hAnsi="宋体" w:cs="宋体"/>
                <w:color w:val="auto"/>
                <w:sz w:val="24"/>
                <w:szCs w:val="24"/>
                <w:lang w:val="en-US" w:eastAsia="zh-CN"/>
              </w:rPr>
              <w:t>承接过</w:t>
            </w:r>
            <w:r>
              <w:rPr>
                <w:rFonts w:hint="eastAsia" w:ascii="宋体" w:hAnsi="宋体" w:eastAsia="宋体" w:cs="宋体"/>
                <w:color w:val="auto"/>
                <w:sz w:val="24"/>
                <w:szCs w:val="24"/>
                <w:lang w:eastAsia="zh-CN"/>
              </w:rPr>
              <w:t>同类业绩的每个0.5 分,累计不超过</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 分。</w:t>
            </w:r>
          </w:p>
          <w:p w14:paraId="7EF65CBD">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监督检验业绩证明材料且证明材料的检测内容与本次招标要求为同类，需提供合同内容或有效证明材料等，否则不得分。</w:t>
            </w:r>
          </w:p>
        </w:tc>
        <w:tc>
          <w:tcPr>
            <w:tcW w:w="817" w:type="dxa"/>
            <w:vAlign w:val="center"/>
          </w:tcPr>
          <w:p w14:paraId="2B66658E">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00" w:type="dxa"/>
            <w:vAlign w:val="center"/>
          </w:tcPr>
          <w:p w14:paraId="4E850910">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1456" w:type="dxa"/>
            <w:vAlign w:val="top"/>
          </w:tcPr>
          <w:p w14:paraId="13BDA275">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622F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47A4B699">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5087" w:type="dxa"/>
            <w:vAlign w:val="top"/>
          </w:tcPr>
          <w:p w14:paraId="5AA7DF0F">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根据投标人实施方案等方面进行综合评审评分。</w:t>
            </w:r>
          </w:p>
          <w:p w14:paraId="4F57B9A4">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 ：工作方案符合要求，内容完整、充实的得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p w14:paraId="1B58120A">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 ：工作内容合理性，方案符合要求，内容完整、充实的得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p w14:paraId="5899D8DC">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3：工作方法多样性，方案符合要求，内容完整、充实的得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p w14:paraId="23352532">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4：工作进程安排合理性，方案符合要求，内容完整、充实的得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p w14:paraId="4EDEC75E">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5 ：质量控制合理，方案符合要求，内容完整、充实的得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p w14:paraId="72EBC6E5">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6：售后服务评价，方案符合要求，内容完整、充实的得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tc>
        <w:tc>
          <w:tcPr>
            <w:tcW w:w="817" w:type="dxa"/>
            <w:vAlign w:val="center"/>
          </w:tcPr>
          <w:p w14:paraId="40B93816">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1000" w:type="dxa"/>
            <w:vAlign w:val="center"/>
          </w:tcPr>
          <w:p w14:paraId="3D436AD8">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456" w:type="dxa"/>
            <w:vAlign w:val="top"/>
          </w:tcPr>
          <w:p w14:paraId="527DAFC8">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16B1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23BAECC5">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5087" w:type="dxa"/>
            <w:vAlign w:val="top"/>
          </w:tcPr>
          <w:p w14:paraId="57A28E04">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根据投标人对重点、难点技术环节有先进、合理的建议；方案符合要求，内容完整、充实的得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 xml:space="preserve">。 </w:t>
            </w:r>
          </w:p>
        </w:tc>
        <w:tc>
          <w:tcPr>
            <w:tcW w:w="817" w:type="dxa"/>
            <w:vAlign w:val="center"/>
          </w:tcPr>
          <w:p w14:paraId="64C108A1">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00" w:type="dxa"/>
            <w:vAlign w:val="center"/>
          </w:tcPr>
          <w:p w14:paraId="52A7331B">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456" w:type="dxa"/>
            <w:vAlign w:val="top"/>
          </w:tcPr>
          <w:p w14:paraId="6482F403">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6E08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0AA6DEF7">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5087" w:type="dxa"/>
            <w:vAlign w:val="top"/>
          </w:tcPr>
          <w:p w14:paraId="5ADD74CE">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17"/>
                <w:sz w:val="24"/>
                <w:szCs w:val="24"/>
              </w:rPr>
              <w:t>投标人对解决方案完整、经济、安全、切实可行，措施得力等综合评审。方案符合要求，内容完整、充实的得</w:t>
            </w:r>
            <w:r>
              <w:rPr>
                <w:rFonts w:hint="eastAsia" w:ascii="宋体" w:hAnsi="宋体" w:eastAsia="宋体" w:cs="宋体"/>
                <w:b w:val="0"/>
                <w:bCs w:val="0"/>
                <w:color w:val="auto"/>
                <w:spacing w:val="17"/>
                <w:sz w:val="24"/>
                <w:szCs w:val="24"/>
                <w:lang w:val="en-US" w:eastAsia="zh-CN"/>
              </w:rPr>
              <w:t>5</w:t>
            </w:r>
            <w:r>
              <w:rPr>
                <w:rFonts w:hint="eastAsia" w:ascii="宋体" w:hAnsi="宋体" w:eastAsia="宋体" w:cs="宋体"/>
                <w:b w:val="0"/>
                <w:bCs w:val="0"/>
                <w:color w:val="auto"/>
                <w:spacing w:val="17"/>
                <w:sz w:val="24"/>
                <w:szCs w:val="24"/>
              </w:rPr>
              <w:t>分；方案符合要求，内容完整，但有所欠缺的得</w:t>
            </w:r>
            <w:r>
              <w:rPr>
                <w:rFonts w:hint="eastAsia" w:ascii="宋体" w:hAnsi="宋体" w:eastAsia="宋体" w:cs="宋体"/>
                <w:b w:val="0"/>
                <w:bCs w:val="0"/>
                <w:color w:val="auto"/>
                <w:spacing w:val="17"/>
                <w:sz w:val="24"/>
                <w:szCs w:val="24"/>
                <w:lang w:val="en-US" w:eastAsia="zh-CN"/>
              </w:rPr>
              <w:t>3</w:t>
            </w:r>
            <w:r>
              <w:rPr>
                <w:rFonts w:hint="eastAsia" w:ascii="宋体" w:hAnsi="宋体" w:eastAsia="宋体" w:cs="宋体"/>
                <w:b w:val="0"/>
                <w:bCs w:val="0"/>
                <w:color w:val="auto"/>
                <w:spacing w:val="17"/>
                <w:sz w:val="24"/>
                <w:szCs w:val="24"/>
              </w:rPr>
              <w:t>分；方案符合要求，但内容不完整的得</w:t>
            </w:r>
            <w:r>
              <w:rPr>
                <w:rFonts w:hint="eastAsia" w:ascii="宋体" w:hAnsi="宋体" w:eastAsia="宋体" w:cs="宋体"/>
                <w:b w:val="0"/>
                <w:bCs w:val="0"/>
                <w:color w:val="auto"/>
                <w:spacing w:val="17"/>
                <w:sz w:val="24"/>
                <w:szCs w:val="24"/>
                <w:lang w:val="en-US" w:eastAsia="zh-CN"/>
              </w:rPr>
              <w:t>1</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lang w:val="en-US" w:eastAsia="zh-CN"/>
              </w:rPr>
              <w:t>没有不得分</w:t>
            </w:r>
            <w:r>
              <w:rPr>
                <w:rFonts w:hint="eastAsia" w:ascii="宋体" w:hAnsi="宋体" w:eastAsia="宋体" w:cs="宋体"/>
                <w:b w:val="0"/>
                <w:bCs w:val="0"/>
                <w:color w:val="auto"/>
                <w:spacing w:val="17"/>
                <w:sz w:val="24"/>
                <w:szCs w:val="24"/>
              </w:rPr>
              <w:t xml:space="preserve">。 </w:t>
            </w:r>
          </w:p>
        </w:tc>
        <w:tc>
          <w:tcPr>
            <w:tcW w:w="817" w:type="dxa"/>
            <w:vAlign w:val="center"/>
          </w:tcPr>
          <w:p w14:paraId="07115A73">
            <w:pPr>
              <w:snapToGrid w:val="0"/>
              <w:spacing w:before="0" w:beforeAutospacing="0" w:after="0" w:afterAutospacing="0" w:line="360" w:lineRule="auto"/>
              <w:ind w:left="0" w:right="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000" w:type="dxa"/>
            <w:vAlign w:val="center"/>
          </w:tcPr>
          <w:p w14:paraId="7BF6F255">
            <w:pPr>
              <w:snapToGrid w:val="0"/>
              <w:spacing w:before="0" w:beforeAutospacing="0" w:after="0" w:afterAutospacing="0" w:line="360" w:lineRule="auto"/>
              <w:ind w:left="0" w:right="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主观分</w:t>
            </w:r>
          </w:p>
        </w:tc>
        <w:tc>
          <w:tcPr>
            <w:tcW w:w="1456" w:type="dxa"/>
            <w:vAlign w:val="top"/>
          </w:tcPr>
          <w:p w14:paraId="40206061">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0E69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77" w:type="dxa"/>
            <w:vAlign w:val="center"/>
          </w:tcPr>
          <w:p w14:paraId="1B323A4D">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5087" w:type="dxa"/>
            <w:vAlign w:val="top"/>
          </w:tcPr>
          <w:p w14:paraId="42F79B44">
            <w:pPr>
              <w:snapToGrid w:val="0"/>
              <w:spacing w:before="0" w:beforeAutospacing="0" w:after="0" w:afterAutospacing="0" w:line="360" w:lineRule="auto"/>
              <w:ind w:left="0" w:right="0"/>
              <w:jc w:val="left"/>
              <w:rPr>
                <w:rFonts w:hint="default"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投标人具有</w:t>
            </w:r>
            <w:r>
              <w:rPr>
                <w:rFonts w:hint="eastAsia" w:ascii="宋体" w:hAnsi="宋体" w:eastAsia="宋体" w:cs="宋体"/>
                <w:color w:val="auto"/>
                <w:spacing w:val="17"/>
                <w:sz w:val="24"/>
                <w:szCs w:val="24"/>
                <w:lang w:val="en-US" w:eastAsia="zh-CN"/>
              </w:rPr>
              <w:t>所投标项</w:t>
            </w:r>
            <w:r>
              <w:rPr>
                <w:rFonts w:hint="eastAsia" w:ascii="宋体" w:hAnsi="宋体" w:eastAsia="宋体" w:cs="宋体"/>
                <w:color w:val="auto"/>
                <w:spacing w:val="17"/>
                <w:sz w:val="24"/>
                <w:szCs w:val="24"/>
                <w:lang w:eastAsia="zh-CN"/>
              </w:rPr>
              <w:t>全部产品和对应检测项目</w:t>
            </w:r>
            <w:r>
              <w:rPr>
                <w:rFonts w:hint="eastAsia" w:ascii="宋体" w:hAnsi="宋体" w:eastAsia="宋体" w:cs="宋体"/>
                <w:color w:val="auto"/>
                <w:spacing w:val="17"/>
                <w:sz w:val="24"/>
                <w:szCs w:val="24"/>
                <w:lang w:val="en-US" w:eastAsia="zh-CN"/>
              </w:rPr>
              <w:t>检测</w:t>
            </w:r>
            <w:r>
              <w:rPr>
                <w:rFonts w:hint="eastAsia" w:ascii="宋体" w:hAnsi="宋体" w:eastAsia="宋体" w:cs="宋体"/>
                <w:color w:val="auto"/>
                <w:spacing w:val="17"/>
                <w:sz w:val="24"/>
                <w:szCs w:val="24"/>
                <w:lang w:eastAsia="zh-CN"/>
              </w:rPr>
              <w:t>能力</w:t>
            </w:r>
            <w:r>
              <w:rPr>
                <w:rFonts w:hint="eastAsia" w:ascii="宋体" w:hAnsi="宋体" w:eastAsia="宋体" w:cs="宋体"/>
                <w:color w:val="auto"/>
                <w:spacing w:val="17"/>
                <w:sz w:val="24"/>
                <w:szCs w:val="24"/>
                <w:lang w:val="en-US" w:eastAsia="zh-CN"/>
              </w:rPr>
              <w:t>的</w:t>
            </w:r>
            <w:r>
              <w:rPr>
                <w:rFonts w:hint="eastAsia" w:ascii="宋体" w:hAnsi="宋体" w:eastAsia="宋体" w:cs="宋体"/>
                <w:color w:val="auto"/>
                <w:spacing w:val="17"/>
                <w:sz w:val="24"/>
                <w:szCs w:val="24"/>
                <w:lang w:eastAsia="zh-CN"/>
              </w:rPr>
              <w:t>得</w:t>
            </w:r>
            <w:r>
              <w:rPr>
                <w:rFonts w:hint="eastAsia" w:ascii="宋体" w:hAnsi="宋体" w:cs="宋体"/>
                <w:color w:val="auto"/>
                <w:spacing w:val="17"/>
                <w:sz w:val="24"/>
                <w:szCs w:val="24"/>
                <w:lang w:val="en-US" w:eastAsia="zh-CN"/>
              </w:rPr>
              <w:t>1</w:t>
            </w:r>
            <w:r>
              <w:rPr>
                <w:rFonts w:hint="eastAsia" w:ascii="宋体" w:hAnsi="宋体" w:eastAsia="宋体" w:cs="宋体"/>
                <w:color w:val="auto"/>
                <w:spacing w:val="17"/>
                <w:sz w:val="24"/>
                <w:szCs w:val="24"/>
                <w:lang w:val="en-US" w:eastAsia="zh-CN"/>
              </w:rPr>
              <w:t>0</w:t>
            </w:r>
            <w:r>
              <w:rPr>
                <w:rFonts w:hint="eastAsia" w:ascii="宋体" w:hAnsi="宋体" w:eastAsia="宋体" w:cs="宋体"/>
                <w:color w:val="auto"/>
                <w:spacing w:val="17"/>
                <w:sz w:val="24"/>
                <w:szCs w:val="24"/>
                <w:lang w:eastAsia="zh-CN"/>
              </w:rPr>
              <w:t>分，</w:t>
            </w:r>
            <w:r>
              <w:rPr>
                <w:rFonts w:hint="eastAsia" w:ascii="宋体" w:hAnsi="宋体" w:eastAsia="宋体" w:cs="宋体"/>
                <w:color w:val="auto"/>
                <w:spacing w:val="17"/>
                <w:sz w:val="24"/>
                <w:szCs w:val="24"/>
                <w:lang w:val="en-US" w:eastAsia="zh-CN"/>
              </w:rPr>
              <w:t>每缺少</w:t>
            </w:r>
            <w:r>
              <w:rPr>
                <w:rFonts w:hint="eastAsia" w:ascii="宋体" w:hAnsi="宋体" w:eastAsia="宋体" w:cs="宋体"/>
                <w:color w:val="auto"/>
                <w:spacing w:val="17"/>
                <w:sz w:val="24"/>
                <w:szCs w:val="24"/>
                <w:lang w:eastAsia="zh-CN"/>
              </w:rPr>
              <w:t>1个产品和对应检测项目检测能力的</w:t>
            </w:r>
            <w:r>
              <w:rPr>
                <w:rFonts w:hint="eastAsia" w:ascii="宋体" w:hAnsi="宋体" w:eastAsia="宋体" w:cs="宋体"/>
                <w:color w:val="auto"/>
                <w:spacing w:val="17"/>
                <w:sz w:val="24"/>
                <w:szCs w:val="24"/>
                <w:lang w:val="en-US" w:eastAsia="zh-CN"/>
              </w:rPr>
              <w:t>扣</w:t>
            </w:r>
            <w:r>
              <w:rPr>
                <w:rFonts w:hint="eastAsia" w:ascii="宋体" w:hAnsi="宋体" w:cs="宋体"/>
                <w:color w:val="auto"/>
                <w:spacing w:val="17"/>
                <w:sz w:val="24"/>
                <w:szCs w:val="24"/>
                <w:lang w:val="en-US" w:eastAsia="zh-CN"/>
              </w:rPr>
              <w:t>1</w:t>
            </w:r>
            <w:r>
              <w:rPr>
                <w:rFonts w:hint="eastAsia" w:ascii="宋体" w:hAnsi="宋体" w:eastAsia="宋体" w:cs="宋体"/>
                <w:color w:val="auto"/>
                <w:spacing w:val="17"/>
                <w:sz w:val="24"/>
                <w:szCs w:val="24"/>
                <w:lang w:eastAsia="zh-CN"/>
              </w:rPr>
              <w:t>分，</w:t>
            </w:r>
            <w:r>
              <w:rPr>
                <w:rFonts w:hint="eastAsia" w:ascii="宋体" w:hAnsi="宋体" w:eastAsia="宋体" w:cs="宋体"/>
                <w:color w:val="auto"/>
                <w:spacing w:val="17"/>
                <w:sz w:val="24"/>
                <w:szCs w:val="24"/>
                <w:lang w:val="en-US" w:eastAsia="zh-CN"/>
              </w:rPr>
              <w:t>扣完为止</w:t>
            </w:r>
            <w:r>
              <w:rPr>
                <w:rFonts w:hint="eastAsia" w:ascii="宋体" w:hAnsi="宋体" w:eastAsia="宋体" w:cs="宋体"/>
                <w:color w:val="auto"/>
                <w:spacing w:val="17"/>
                <w:sz w:val="24"/>
                <w:szCs w:val="24"/>
                <w:lang w:eastAsia="zh-CN"/>
              </w:rPr>
              <w:t>。</w:t>
            </w:r>
          </w:p>
          <w:p w14:paraId="08D6B657">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pacing w:val="17"/>
                <w:sz w:val="24"/>
                <w:szCs w:val="24"/>
                <w:lang w:val="en-US" w:eastAsia="zh-CN"/>
              </w:rPr>
              <w:t>注：提供</w:t>
            </w:r>
            <w:r>
              <w:rPr>
                <w:rFonts w:hint="eastAsia" w:ascii="宋体" w:hAnsi="宋体" w:eastAsia="宋体" w:cs="宋体"/>
                <w:color w:val="auto"/>
                <w:spacing w:val="17"/>
                <w:sz w:val="24"/>
                <w:szCs w:val="24"/>
                <w:lang w:eastAsia="zh-CN"/>
              </w:rPr>
              <w:t>中国计量认证（CMA）证书及</w:t>
            </w:r>
            <w:r>
              <w:rPr>
                <w:rFonts w:hint="eastAsia" w:ascii="宋体" w:hAnsi="宋体" w:eastAsia="宋体" w:cs="宋体"/>
                <w:color w:val="auto"/>
                <w:spacing w:val="17"/>
                <w:sz w:val="24"/>
                <w:szCs w:val="24"/>
                <w:lang w:val="en-US" w:eastAsia="zh-CN"/>
              </w:rPr>
              <w:t>所投标项</w:t>
            </w:r>
            <w:r>
              <w:rPr>
                <w:rFonts w:hint="eastAsia" w:ascii="宋体" w:hAnsi="宋体" w:eastAsia="宋体" w:cs="宋体"/>
                <w:color w:val="auto"/>
                <w:spacing w:val="17"/>
                <w:sz w:val="24"/>
                <w:szCs w:val="24"/>
                <w:lang w:eastAsia="zh-CN"/>
              </w:rPr>
              <w:t>有效的实验室能力附表。</w:t>
            </w:r>
          </w:p>
        </w:tc>
        <w:tc>
          <w:tcPr>
            <w:tcW w:w="817" w:type="dxa"/>
            <w:vAlign w:val="center"/>
          </w:tcPr>
          <w:p w14:paraId="24E1B50B">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000" w:type="dxa"/>
            <w:vAlign w:val="center"/>
          </w:tcPr>
          <w:p w14:paraId="430086BA">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1456" w:type="dxa"/>
            <w:vAlign w:val="top"/>
          </w:tcPr>
          <w:p w14:paraId="40D72793">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2572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67418F59">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5087" w:type="dxa"/>
            <w:vAlign w:val="top"/>
          </w:tcPr>
          <w:p w14:paraId="408B92A1">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项目实施过程中的安全保障措施以及质量控制管理制度的优劣性 (0-</w:t>
            </w:r>
            <w:r>
              <w:rPr>
                <w:rFonts w:hint="eastAsia" w:ascii="宋体" w:hAnsi="宋体" w:cs="宋体"/>
                <w:b w:val="0"/>
                <w:bCs w:val="0"/>
                <w:color w:val="auto"/>
                <w:spacing w:val="17"/>
                <w:sz w:val="24"/>
                <w:szCs w:val="24"/>
                <w:lang w:val="en-US" w:eastAsia="zh-CN"/>
              </w:rPr>
              <w:t>10</w:t>
            </w:r>
            <w:r>
              <w:rPr>
                <w:rFonts w:hint="eastAsia" w:ascii="宋体" w:hAnsi="宋体" w:eastAsia="宋体" w:cs="宋体"/>
                <w:b w:val="0"/>
                <w:bCs w:val="0"/>
                <w:color w:val="auto"/>
                <w:spacing w:val="17"/>
                <w:sz w:val="24"/>
                <w:szCs w:val="24"/>
              </w:rPr>
              <w:t>分) ：</w:t>
            </w:r>
          </w:p>
          <w:p w14:paraId="05C57711">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1 、安全保障措施</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rPr>
              <w:t>方案符合要求，内容完整、充实的得</w:t>
            </w:r>
            <w:r>
              <w:rPr>
                <w:rFonts w:hint="eastAsia" w:ascii="宋体" w:hAnsi="宋体" w:cs="宋体"/>
                <w:b w:val="0"/>
                <w:bCs w:val="0"/>
                <w:color w:val="auto"/>
                <w:spacing w:val="17"/>
                <w:sz w:val="24"/>
                <w:szCs w:val="24"/>
                <w:lang w:val="en-US" w:eastAsia="zh-CN"/>
              </w:rPr>
              <w:t>5</w:t>
            </w:r>
            <w:r>
              <w:rPr>
                <w:rFonts w:hint="eastAsia" w:ascii="宋体" w:hAnsi="宋体" w:eastAsia="宋体" w:cs="宋体"/>
                <w:b w:val="0"/>
                <w:bCs w:val="0"/>
                <w:color w:val="auto"/>
                <w:spacing w:val="17"/>
                <w:sz w:val="24"/>
                <w:szCs w:val="24"/>
              </w:rPr>
              <w:t>分；方案符合要求，内容完整，但有所欠缺的得</w:t>
            </w:r>
            <w:r>
              <w:rPr>
                <w:rFonts w:hint="eastAsia" w:ascii="宋体" w:hAnsi="宋体" w:eastAsia="宋体" w:cs="宋体"/>
                <w:b w:val="0"/>
                <w:bCs w:val="0"/>
                <w:color w:val="auto"/>
                <w:spacing w:val="17"/>
                <w:sz w:val="24"/>
                <w:szCs w:val="24"/>
                <w:lang w:val="en-US" w:eastAsia="zh-CN"/>
              </w:rPr>
              <w:t>3</w:t>
            </w:r>
            <w:r>
              <w:rPr>
                <w:rFonts w:hint="eastAsia" w:ascii="宋体" w:hAnsi="宋体" w:eastAsia="宋体" w:cs="宋体"/>
                <w:b w:val="0"/>
                <w:bCs w:val="0"/>
                <w:color w:val="auto"/>
                <w:spacing w:val="17"/>
                <w:sz w:val="24"/>
                <w:szCs w:val="24"/>
              </w:rPr>
              <w:t>分；方案符合要求，但内容不完整的得</w:t>
            </w:r>
            <w:r>
              <w:rPr>
                <w:rFonts w:hint="eastAsia" w:ascii="宋体" w:hAnsi="宋体" w:eastAsia="宋体" w:cs="宋体"/>
                <w:b w:val="0"/>
                <w:bCs w:val="0"/>
                <w:color w:val="auto"/>
                <w:spacing w:val="17"/>
                <w:sz w:val="24"/>
                <w:szCs w:val="24"/>
                <w:lang w:val="en-US" w:eastAsia="zh-CN"/>
              </w:rPr>
              <w:t>1</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lang w:val="en-US" w:eastAsia="zh-CN"/>
              </w:rPr>
              <w:t>没有不得分</w:t>
            </w:r>
            <w:r>
              <w:rPr>
                <w:rFonts w:hint="eastAsia" w:ascii="宋体" w:hAnsi="宋体" w:eastAsia="宋体" w:cs="宋体"/>
                <w:b w:val="0"/>
                <w:bCs w:val="0"/>
                <w:color w:val="auto"/>
                <w:spacing w:val="17"/>
                <w:sz w:val="24"/>
                <w:szCs w:val="24"/>
              </w:rPr>
              <w:t xml:space="preserve">。 </w:t>
            </w:r>
          </w:p>
          <w:p w14:paraId="739527EB">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17"/>
                <w:sz w:val="24"/>
                <w:szCs w:val="24"/>
              </w:rPr>
              <w:t>2 、质量控制管理制度</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rPr>
              <w:t>方案符合要求，内容完整、充实的得</w:t>
            </w:r>
            <w:r>
              <w:rPr>
                <w:rFonts w:hint="eastAsia" w:ascii="宋体" w:hAnsi="宋体" w:cs="宋体"/>
                <w:b w:val="0"/>
                <w:bCs w:val="0"/>
                <w:color w:val="auto"/>
                <w:spacing w:val="17"/>
                <w:sz w:val="24"/>
                <w:szCs w:val="24"/>
                <w:lang w:val="en-US" w:eastAsia="zh-CN"/>
              </w:rPr>
              <w:t>5</w:t>
            </w:r>
            <w:r>
              <w:rPr>
                <w:rFonts w:hint="eastAsia" w:ascii="宋体" w:hAnsi="宋体" w:eastAsia="宋体" w:cs="宋体"/>
                <w:b w:val="0"/>
                <w:bCs w:val="0"/>
                <w:color w:val="auto"/>
                <w:spacing w:val="17"/>
                <w:sz w:val="24"/>
                <w:szCs w:val="24"/>
              </w:rPr>
              <w:t>分；方案符合要求，内容完整，但有所欠缺的得</w:t>
            </w:r>
            <w:r>
              <w:rPr>
                <w:rFonts w:hint="eastAsia" w:ascii="宋体" w:hAnsi="宋体" w:cs="宋体"/>
                <w:b w:val="0"/>
                <w:bCs w:val="0"/>
                <w:color w:val="auto"/>
                <w:spacing w:val="17"/>
                <w:sz w:val="24"/>
                <w:szCs w:val="24"/>
                <w:lang w:val="en-US" w:eastAsia="zh-CN"/>
              </w:rPr>
              <w:t>3</w:t>
            </w:r>
            <w:r>
              <w:rPr>
                <w:rFonts w:hint="eastAsia" w:ascii="宋体" w:hAnsi="宋体" w:eastAsia="宋体" w:cs="宋体"/>
                <w:b w:val="0"/>
                <w:bCs w:val="0"/>
                <w:color w:val="auto"/>
                <w:spacing w:val="17"/>
                <w:sz w:val="24"/>
                <w:szCs w:val="24"/>
              </w:rPr>
              <w:t>分；方案符合要求，但内容不完整的得</w:t>
            </w:r>
            <w:r>
              <w:rPr>
                <w:rFonts w:hint="eastAsia" w:ascii="宋体" w:hAnsi="宋体" w:eastAsia="宋体" w:cs="宋体"/>
                <w:b w:val="0"/>
                <w:bCs w:val="0"/>
                <w:color w:val="auto"/>
                <w:spacing w:val="17"/>
                <w:sz w:val="24"/>
                <w:szCs w:val="24"/>
                <w:lang w:val="en-US" w:eastAsia="zh-CN"/>
              </w:rPr>
              <w:t>1</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lang w:val="en-US" w:eastAsia="zh-CN"/>
              </w:rPr>
              <w:t>没有不得分</w:t>
            </w:r>
            <w:r>
              <w:rPr>
                <w:rFonts w:hint="eastAsia" w:ascii="宋体" w:hAnsi="宋体" w:eastAsia="宋体" w:cs="宋体"/>
                <w:b w:val="0"/>
                <w:bCs w:val="0"/>
                <w:color w:val="auto"/>
                <w:spacing w:val="17"/>
                <w:sz w:val="24"/>
                <w:szCs w:val="24"/>
              </w:rPr>
              <w:t>。</w:t>
            </w:r>
          </w:p>
        </w:tc>
        <w:tc>
          <w:tcPr>
            <w:tcW w:w="817" w:type="dxa"/>
            <w:vAlign w:val="center"/>
          </w:tcPr>
          <w:p w14:paraId="31A5FB12">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000" w:type="dxa"/>
            <w:vAlign w:val="center"/>
          </w:tcPr>
          <w:p w14:paraId="6F1B1862">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456" w:type="dxa"/>
            <w:vAlign w:val="top"/>
          </w:tcPr>
          <w:p w14:paraId="1935552C">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3F67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04F43BFA">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5087" w:type="dxa"/>
            <w:vAlign w:val="top"/>
          </w:tcPr>
          <w:p w14:paraId="0D743E93">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(1) 项目负责人5分：</w:t>
            </w:r>
          </w:p>
          <w:p w14:paraId="58DF7755">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具有正高级职称得2分，其他不得分；(2分)</w:t>
            </w:r>
          </w:p>
          <w:p w14:paraId="6EFEE0E7">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近三年，项目负责人为省级及以上抽检监测核查处置专家库成员得3分</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rPr>
              <w:t>其他不得分。(需提供近一个月社保证明)</w:t>
            </w:r>
          </w:p>
          <w:p w14:paraId="40F1DCFB">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(2) 检测人员8分：</w:t>
            </w:r>
          </w:p>
          <w:p w14:paraId="422DF811">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具有中级 (含) 以上职称检验人员人员数量≥25人，6  分；数量 介于 20 (含) 人-24(含)人之间的</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rPr>
              <w:t>3分；不足 20  人的，0分。(需提供近一个月社保证明)</w:t>
            </w:r>
          </w:p>
          <w:p w14:paraId="68712E90">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检测人员中有制定国家级检测标准，且标准起草人排名位于前三名 的，得2分。</w:t>
            </w:r>
          </w:p>
          <w:p w14:paraId="39B7C881">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(3) 采样人员2分：(需提供近一个月社保证明)</w:t>
            </w:r>
          </w:p>
          <w:p w14:paraId="38854742">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17"/>
                <w:sz w:val="24"/>
                <w:szCs w:val="24"/>
              </w:rPr>
              <w:t>采样人员数量10人及以上的得 2分，其他情况不得分。(2分)</w:t>
            </w:r>
          </w:p>
        </w:tc>
        <w:tc>
          <w:tcPr>
            <w:tcW w:w="817" w:type="dxa"/>
            <w:vAlign w:val="center"/>
          </w:tcPr>
          <w:p w14:paraId="1B9589F4">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000" w:type="dxa"/>
            <w:vAlign w:val="center"/>
          </w:tcPr>
          <w:p w14:paraId="2B1ABBB6">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1456" w:type="dxa"/>
            <w:vAlign w:val="top"/>
          </w:tcPr>
          <w:p w14:paraId="5B8B4BCF">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5A51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02BA0DD4">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5087" w:type="dxa"/>
            <w:vAlign w:val="top"/>
          </w:tcPr>
          <w:p w14:paraId="0BD41409">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17"/>
                <w:sz w:val="24"/>
                <w:szCs w:val="24"/>
              </w:rPr>
              <w:t>供应商具有满足检测项目的仪器设备，由评委综合评分(提供 设备清单、购置发票或检定证书或校准证书等相关证明文件)</w:t>
            </w:r>
            <w:r>
              <w:rPr>
                <w:rFonts w:hint="eastAsia" w:ascii="宋体" w:hAnsi="宋体" w:eastAsia="宋体" w:cs="宋体"/>
                <w:b w:val="0"/>
                <w:bCs w:val="0"/>
                <w:color w:val="auto"/>
                <w:spacing w:val="17"/>
                <w:sz w:val="24"/>
                <w:szCs w:val="24"/>
                <w:lang w:val="en-US" w:eastAsia="zh-CN"/>
              </w:rPr>
              <w:t>设备</w:t>
            </w:r>
            <w:r>
              <w:rPr>
                <w:rFonts w:hint="eastAsia" w:ascii="宋体" w:hAnsi="宋体" w:eastAsia="宋体" w:cs="宋体"/>
                <w:b w:val="0"/>
                <w:bCs w:val="0"/>
                <w:color w:val="auto"/>
                <w:spacing w:val="17"/>
                <w:sz w:val="24"/>
                <w:szCs w:val="24"/>
              </w:rPr>
              <w:t>符合要求，内容完整、充实的得</w:t>
            </w:r>
            <w:r>
              <w:rPr>
                <w:rFonts w:hint="eastAsia" w:ascii="宋体" w:hAnsi="宋体" w:eastAsia="宋体" w:cs="宋体"/>
                <w:b w:val="0"/>
                <w:bCs w:val="0"/>
                <w:color w:val="auto"/>
                <w:spacing w:val="17"/>
                <w:sz w:val="24"/>
                <w:szCs w:val="24"/>
                <w:lang w:val="en-US" w:eastAsia="zh-CN"/>
              </w:rPr>
              <w:t>5</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val="en-US" w:eastAsia="zh-CN"/>
              </w:rPr>
              <w:t>设备</w:t>
            </w:r>
            <w:r>
              <w:rPr>
                <w:rFonts w:hint="eastAsia" w:ascii="宋体" w:hAnsi="宋体" w:eastAsia="宋体" w:cs="宋体"/>
                <w:b w:val="0"/>
                <w:bCs w:val="0"/>
                <w:color w:val="auto"/>
                <w:spacing w:val="17"/>
                <w:sz w:val="24"/>
                <w:szCs w:val="24"/>
              </w:rPr>
              <w:t>符合要求，内容完整，但有所欠缺的得</w:t>
            </w:r>
            <w:r>
              <w:rPr>
                <w:rFonts w:hint="eastAsia" w:ascii="宋体" w:hAnsi="宋体" w:eastAsia="宋体" w:cs="宋体"/>
                <w:b w:val="0"/>
                <w:bCs w:val="0"/>
                <w:color w:val="auto"/>
                <w:spacing w:val="17"/>
                <w:sz w:val="24"/>
                <w:szCs w:val="24"/>
                <w:lang w:val="en-US" w:eastAsia="zh-CN"/>
              </w:rPr>
              <w:t>3</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val="en-US" w:eastAsia="zh-CN"/>
              </w:rPr>
              <w:t>设备</w:t>
            </w:r>
            <w:r>
              <w:rPr>
                <w:rFonts w:hint="eastAsia" w:ascii="宋体" w:hAnsi="宋体" w:eastAsia="宋体" w:cs="宋体"/>
                <w:b w:val="0"/>
                <w:bCs w:val="0"/>
                <w:color w:val="auto"/>
                <w:spacing w:val="17"/>
                <w:sz w:val="24"/>
                <w:szCs w:val="24"/>
              </w:rPr>
              <w:t>符合要求，但内容不完整的得</w:t>
            </w:r>
            <w:r>
              <w:rPr>
                <w:rFonts w:hint="eastAsia" w:ascii="宋体" w:hAnsi="宋体" w:eastAsia="宋体" w:cs="宋体"/>
                <w:b w:val="0"/>
                <w:bCs w:val="0"/>
                <w:color w:val="auto"/>
                <w:spacing w:val="17"/>
                <w:sz w:val="24"/>
                <w:szCs w:val="24"/>
                <w:lang w:val="en-US" w:eastAsia="zh-CN"/>
              </w:rPr>
              <w:t>1</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lang w:val="en-US" w:eastAsia="zh-CN"/>
              </w:rPr>
              <w:t>没有不得分</w:t>
            </w:r>
            <w:r>
              <w:rPr>
                <w:rFonts w:hint="eastAsia" w:ascii="宋体" w:hAnsi="宋体" w:eastAsia="宋体" w:cs="宋体"/>
                <w:b w:val="0"/>
                <w:bCs w:val="0"/>
                <w:color w:val="auto"/>
                <w:spacing w:val="17"/>
                <w:sz w:val="24"/>
                <w:szCs w:val="24"/>
              </w:rPr>
              <w:t xml:space="preserve">。 </w:t>
            </w:r>
          </w:p>
        </w:tc>
        <w:tc>
          <w:tcPr>
            <w:tcW w:w="817" w:type="dxa"/>
            <w:vAlign w:val="center"/>
          </w:tcPr>
          <w:p w14:paraId="4CA4A9EC">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00" w:type="dxa"/>
            <w:vAlign w:val="center"/>
          </w:tcPr>
          <w:p w14:paraId="39890D4A">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456" w:type="dxa"/>
            <w:vAlign w:val="top"/>
          </w:tcPr>
          <w:p w14:paraId="5CE5A266">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18E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1BEC7E2B">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5087" w:type="dxa"/>
            <w:vAlign w:val="top"/>
          </w:tcPr>
          <w:p w14:paraId="231855F0">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17"/>
                <w:sz w:val="24"/>
                <w:szCs w:val="24"/>
              </w:rPr>
              <w:t>投标人提供 20</w:t>
            </w:r>
            <w:r>
              <w:rPr>
                <w:rFonts w:hint="eastAsia" w:ascii="宋体" w:hAnsi="宋体" w:cs="宋体"/>
                <w:b w:val="0"/>
                <w:bCs w:val="0"/>
                <w:color w:val="auto"/>
                <w:spacing w:val="17"/>
                <w:sz w:val="24"/>
                <w:szCs w:val="24"/>
                <w:lang w:val="en-US" w:eastAsia="zh-CN"/>
              </w:rPr>
              <w:t>22</w:t>
            </w:r>
            <w:r>
              <w:rPr>
                <w:rFonts w:hint="eastAsia" w:ascii="宋体" w:hAnsi="宋体" w:eastAsia="宋体" w:cs="宋体"/>
                <w:b w:val="0"/>
                <w:bCs w:val="0"/>
                <w:color w:val="auto"/>
                <w:spacing w:val="17"/>
                <w:sz w:val="24"/>
                <w:szCs w:val="24"/>
              </w:rPr>
              <w:t xml:space="preserve"> 年 1 月 1 日至今有参加国内、外能力验证或测量审核且结果满意的 (提供证明材料) ，提供一个得 1 分。未提供相关材料不得分。</w:t>
            </w:r>
          </w:p>
        </w:tc>
        <w:tc>
          <w:tcPr>
            <w:tcW w:w="817" w:type="dxa"/>
            <w:vAlign w:val="center"/>
          </w:tcPr>
          <w:p w14:paraId="160FF938">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00" w:type="dxa"/>
            <w:vAlign w:val="center"/>
          </w:tcPr>
          <w:p w14:paraId="6AEADAB1">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1456" w:type="dxa"/>
            <w:vAlign w:val="top"/>
          </w:tcPr>
          <w:p w14:paraId="5BEEAE18">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52C4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4D5268F7">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p>
        </w:tc>
        <w:tc>
          <w:tcPr>
            <w:tcW w:w="5087" w:type="dxa"/>
            <w:vAlign w:val="top"/>
          </w:tcPr>
          <w:p w14:paraId="450E3930">
            <w:pPr>
              <w:snapToGrid w:val="0"/>
              <w:spacing w:before="0" w:beforeAutospacing="0" w:after="0" w:afterAutospacing="0" w:line="360" w:lineRule="auto"/>
              <w:ind w:left="0" w:right="0"/>
              <w:jc w:val="left"/>
              <w:rPr>
                <w:rFonts w:hint="default" w:ascii="宋体" w:hAnsi="宋体" w:eastAsia="宋体" w:cs="宋体"/>
                <w:b w:val="0"/>
                <w:bCs w:val="0"/>
                <w:color w:val="auto"/>
                <w:spacing w:val="17"/>
                <w:sz w:val="24"/>
                <w:szCs w:val="24"/>
              </w:rPr>
            </w:pPr>
            <w:r>
              <w:rPr>
                <w:rFonts w:hint="eastAsia" w:ascii="宋体" w:hAnsi="宋体" w:eastAsia="宋体" w:cs="宋体"/>
                <w:i w:val="0"/>
                <w:caps w:val="0"/>
                <w:color w:val="auto"/>
                <w:spacing w:val="17"/>
                <w:sz w:val="24"/>
                <w:szCs w:val="24"/>
                <w:shd w:val="clear"/>
              </w:rPr>
              <w:t>综合比较投标人的服务能力，根据投标人售后服务能力及相关证明进行评分。服务能力符合要求，应急响应速度最快得4分；服务能力符合要求，应急响应速度中等得3分；服务能力符合要求，应急响应速度最慢得2分；服务能力不符合要求不得分。</w:t>
            </w:r>
            <w:r>
              <w:rPr>
                <w:rFonts w:hint="eastAsia" w:ascii="宋体" w:hAnsi="宋体" w:eastAsia="宋体" w:cs="宋体"/>
                <w:b w:val="0"/>
                <w:bCs w:val="0"/>
                <w:color w:val="auto"/>
                <w:spacing w:val="17"/>
                <w:sz w:val="24"/>
                <w:szCs w:val="24"/>
              </w:rPr>
              <w:t xml:space="preserve"> </w:t>
            </w:r>
          </w:p>
        </w:tc>
        <w:tc>
          <w:tcPr>
            <w:tcW w:w="817" w:type="dxa"/>
            <w:vAlign w:val="center"/>
          </w:tcPr>
          <w:p w14:paraId="2F0CC0AB">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000" w:type="dxa"/>
            <w:vAlign w:val="center"/>
          </w:tcPr>
          <w:p w14:paraId="34A364C2">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456" w:type="dxa"/>
            <w:vAlign w:val="top"/>
          </w:tcPr>
          <w:p w14:paraId="1168535F">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57CD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33170648">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5087" w:type="dxa"/>
            <w:vAlign w:val="top"/>
          </w:tcPr>
          <w:p w14:paraId="11844DEF">
            <w:pPr>
              <w:snapToGrid w:val="0"/>
              <w:spacing w:before="0" w:beforeAutospacing="0" w:after="0" w:afterAutospacing="0" w:line="360" w:lineRule="auto"/>
              <w:ind w:left="0" w:right="0"/>
              <w:jc w:val="left"/>
              <w:outlineLvl w:val="9"/>
              <w:rPr>
                <w:rFonts w:hint="default" w:ascii="宋体" w:hAnsi="宋体" w:eastAsia="宋体" w:cs="宋体"/>
                <w:color w:val="auto"/>
                <w:spacing w:val="17"/>
                <w:sz w:val="24"/>
                <w:szCs w:val="24"/>
              </w:rPr>
            </w:pPr>
            <w:r>
              <w:rPr>
                <w:rFonts w:hint="eastAsia" w:ascii="宋体" w:hAnsi="宋体" w:eastAsia="宋体" w:cs="宋体"/>
                <w:color w:val="auto"/>
                <w:spacing w:val="17"/>
                <w:sz w:val="24"/>
                <w:szCs w:val="24"/>
              </w:rPr>
              <w:t>有效投标报价的最低价作为评标基准价，其最低报价为满分；按［投标报价得分=（评标基准价/投标报价）*</w:t>
            </w:r>
            <w:r>
              <w:rPr>
                <w:rFonts w:hint="eastAsia" w:ascii="宋体" w:hAnsi="宋体" w:eastAsia="宋体" w:cs="宋体"/>
                <w:color w:val="auto"/>
                <w:spacing w:val="17"/>
                <w:sz w:val="24"/>
                <w:szCs w:val="24"/>
                <w:lang w:val="en-US" w:eastAsia="zh-CN"/>
              </w:rPr>
              <w:t>10</w:t>
            </w:r>
            <w:r>
              <w:rPr>
                <w:rFonts w:hint="eastAsia" w:ascii="宋体" w:hAnsi="宋体" w:eastAsia="宋体" w:cs="宋体"/>
                <w:color w:val="auto"/>
                <w:spacing w:val="17"/>
                <w:sz w:val="24"/>
                <w:szCs w:val="24"/>
              </w:rPr>
              <w:t>］的计算公式计算。</w:t>
            </w:r>
          </w:p>
          <w:p w14:paraId="6C73771B">
            <w:pPr>
              <w:widowControl/>
              <w:shd w:val="clear" w:color="auto" w:fill="auto"/>
              <w:adjustRightInd/>
              <w:snapToGrid w:val="0"/>
              <w:spacing w:before="0" w:beforeAutospacing="0" w:after="0" w:afterAutospacing="0" w:line="360" w:lineRule="auto"/>
              <w:ind w:left="0" w:right="0" w:firstLine="0"/>
              <w:jc w:val="left"/>
              <w:rPr>
                <w:rFonts w:hint="default" w:ascii="宋体" w:hAnsi="宋体" w:eastAsia="宋体" w:cs="宋体"/>
                <w:color w:val="auto"/>
                <w:spacing w:val="17"/>
                <w:sz w:val="24"/>
                <w:szCs w:val="24"/>
              </w:rPr>
            </w:pPr>
            <w:r>
              <w:rPr>
                <w:rFonts w:hint="eastAsia" w:ascii="宋体" w:hAnsi="宋体" w:eastAsia="宋体" w:cs="宋体"/>
                <w:color w:val="auto"/>
                <w:spacing w:val="17"/>
                <w:sz w:val="24"/>
                <w:szCs w:val="24"/>
              </w:rPr>
              <w:t>评标过程中，不得去掉报价中的最高报价和最低报价。</w:t>
            </w:r>
          </w:p>
          <w:p w14:paraId="79803525">
            <w:pPr>
              <w:widowControl/>
              <w:shd w:val="clear" w:color="auto" w:fill="auto"/>
              <w:adjustRightInd/>
              <w:snapToGrid w:val="0"/>
              <w:spacing w:before="0" w:beforeAutospacing="0" w:after="0" w:afterAutospacing="0" w:line="360" w:lineRule="auto"/>
              <w:ind w:left="0" w:right="0" w:firstLine="0"/>
              <w:jc w:val="left"/>
              <w:rPr>
                <w:rFonts w:hint="default" w:ascii="宋体" w:hAnsi="宋体" w:eastAsia="宋体" w:cs="宋体"/>
                <w:color w:val="auto"/>
                <w:sz w:val="24"/>
                <w:szCs w:val="24"/>
              </w:rPr>
            </w:pPr>
            <w:r>
              <w:rPr>
                <w:rFonts w:hint="eastAsia" w:ascii="宋体" w:hAnsi="宋体" w:eastAsia="宋体" w:cs="宋体"/>
                <w:color w:val="auto"/>
                <w:spacing w:val="17"/>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pacing w:val="17"/>
                <w:sz w:val="24"/>
                <w:szCs w:val="24"/>
                <w:lang w:val="en-US" w:eastAsia="zh-CN"/>
              </w:rPr>
              <w:t>20</w:t>
            </w:r>
            <w:r>
              <w:rPr>
                <w:rFonts w:hint="eastAsia" w:ascii="宋体" w:hAnsi="宋体" w:eastAsia="宋体" w:cs="宋体"/>
                <w:color w:val="auto"/>
                <w:spacing w:val="17"/>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pacing w:val="17"/>
                <w:sz w:val="24"/>
                <w:szCs w:val="24"/>
                <w:lang w:val="en-US" w:eastAsia="zh-CN"/>
              </w:rPr>
              <w:t>6</w:t>
            </w:r>
            <w:r>
              <w:rPr>
                <w:rFonts w:hint="eastAsia" w:ascii="宋体" w:hAnsi="宋体" w:eastAsia="宋体" w:cs="宋体"/>
                <w:color w:val="auto"/>
                <w:spacing w:val="17"/>
                <w:sz w:val="24"/>
                <w:szCs w:val="24"/>
              </w:rPr>
              <w:t>%的扣除，用扣除后的价格参加评审。</w:t>
            </w:r>
          </w:p>
        </w:tc>
        <w:tc>
          <w:tcPr>
            <w:tcW w:w="817" w:type="dxa"/>
            <w:vAlign w:val="center"/>
          </w:tcPr>
          <w:p w14:paraId="2CB18575">
            <w:pPr>
              <w:spacing w:before="0" w:beforeAutospacing="0" w:after="0" w:afterAutospacing="0" w:line="360" w:lineRule="auto"/>
              <w:ind w:left="0" w:right="0"/>
              <w:jc w:val="center"/>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000" w:type="dxa"/>
            <w:vAlign w:val="center"/>
          </w:tcPr>
          <w:p w14:paraId="04E1B2EB">
            <w:pPr>
              <w:spacing w:before="0" w:beforeAutospacing="0" w:after="0" w:afterAutospacing="0" w:line="360" w:lineRule="auto"/>
              <w:ind w:left="0" w:right="0"/>
              <w:jc w:val="center"/>
              <w:outlineLvl w:val="0"/>
              <w:rPr>
                <w:rFonts w:hint="default" w:ascii="宋体" w:hAnsi="宋体" w:eastAsia="宋体" w:cs="宋体"/>
                <w:color w:val="auto"/>
                <w:sz w:val="24"/>
                <w:szCs w:val="24"/>
              </w:rPr>
            </w:pPr>
          </w:p>
        </w:tc>
        <w:tc>
          <w:tcPr>
            <w:tcW w:w="1456" w:type="dxa"/>
            <w:vAlign w:val="center"/>
          </w:tcPr>
          <w:p w14:paraId="13F7C061">
            <w:pPr>
              <w:spacing w:before="0" w:beforeAutospacing="0" w:after="0" w:afterAutospacing="0" w:line="360" w:lineRule="auto"/>
              <w:ind w:left="0" w:right="0"/>
              <w:jc w:val="center"/>
              <w:outlineLvl w:val="0"/>
              <w:rPr>
                <w:rFonts w:hint="default" w:ascii="宋体" w:hAnsi="宋体" w:eastAsia="宋体" w:cs="宋体"/>
                <w:color w:val="auto"/>
                <w:sz w:val="24"/>
                <w:szCs w:val="24"/>
              </w:rPr>
            </w:pPr>
          </w:p>
        </w:tc>
      </w:tr>
    </w:tbl>
    <w:p w14:paraId="4AEF1C94"/>
    <w:p w14:paraId="25C2B1D7">
      <w:pPr>
        <w:pStyle w:val="84"/>
        <w:rPr>
          <w:rFonts w:hint="eastAsia"/>
          <w:highlight w:val="none"/>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bookmarkEnd w:id="16"/>
    <w:p w14:paraId="60C8983A">
      <w:pPr>
        <w:pStyle w:val="17"/>
        <w:rPr>
          <w:highlight w:val="none"/>
        </w:rPr>
      </w:pPr>
    </w:p>
    <w:p w14:paraId="64199EDE">
      <w:pPr>
        <w:snapToGrid w:val="0"/>
        <w:spacing w:line="360" w:lineRule="auto"/>
        <w:rPr>
          <w:rFonts w:ascii="宋体" w:hAnsi="宋体" w:cs="宋体"/>
          <w:b/>
          <w:sz w:val="28"/>
          <w:szCs w:val="28"/>
        </w:rPr>
      </w:pPr>
      <w:r>
        <w:rPr>
          <w:rFonts w:hint="eastAsia" w:ascii="宋体" w:hAnsi="宋体" w:cs="宋体"/>
          <w:b/>
          <w:sz w:val="32"/>
        </w:rPr>
        <w:t>一、评标方法</w:t>
      </w:r>
    </w:p>
    <w:p w14:paraId="26B120D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58AB580">
      <w:pPr>
        <w:adjustRightInd/>
        <w:spacing w:line="360" w:lineRule="auto"/>
        <w:rPr>
          <w:rFonts w:ascii="宋体" w:hAnsi="宋体" w:cs="宋体"/>
          <w:kern w:val="0"/>
          <w:sz w:val="24"/>
        </w:rPr>
      </w:pPr>
      <w:r>
        <w:rPr>
          <w:rFonts w:hint="eastAsia" w:ascii="宋体" w:hAnsi="宋体" w:cs="宋体"/>
          <w:b/>
          <w:sz w:val="32"/>
        </w:rPr>
        <w:t>二、评标标准</w:t>
      </w:r>
    </w:p>
    <w:p w14:paraId="3ABC5FB5">
      <w:pPr>
        <w:snapToGrid w:val="0"/>
        <w:spacing w:line="360" w:lineRule="auto"/>
        <w:ind w:firstLine="482" w:firstLineChars="200"/>
        <w:rPr>
          <w:rFonts w:hint="eastAsia" w:ascii="宋体" w:hAnsi="宋体" w:eastAsia="宋体" w:cs="宋体"/>
          <w:b/>
          <w:color w:val="auto"/>
          <w:sz w:val="32"/>
          <w:highlight w:val="none"/>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A3FC9CF">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5A3B000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A9F426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111B40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E83BC2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92C8F4B">
      <w:pPr>
        <w:pStyle w:val="98"/>
        <w:spacing w:before="0"/>
        <w:ind w:firstLine="511"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1F7F6E5">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73FC2E7B">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07E82DB">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301B0FCD">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54FFF73">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2C3BF16">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A01BF0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B6BB5DF">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9BCC92">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66A631C">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按投标报价由低到高顺序排列。得分且投标报价相同的并列。投标文件满足招标文件全部实质性要求，且按照评审因素的量化指标评审得分最高的投标人为排名第一的中标候选人。</w:t>
      </w:r>
    </w:p>
    <w:p w14:paraId="02EB1DF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594D3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55B82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2B58776">
      <w:pPr>
        <w:pStyle w:val="9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E20B70">
      <w:pPr>
        <w:pStyle w:val="1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1FFDE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2EC592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CFE984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091DFC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2D383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EE7BDA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B1A1AB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AE697E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925AB9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16500F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2092E8E">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34D233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BA2659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《中小企业声明函》填写企业类型错误或者未填写企业类型的，投标无效。</w:t>
      </w:r>
    </w:p>
    <w:p w14:paraId="1F6F7274">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9D08D8C">
      <w:pPr>
        <w:spacing w:line="360" w:lineRule="auto"/>
        <w:ind w:firstLine="240" w:firstLineChars="1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w:t>
      </w:r>
      <w:r>
        <w:rPr>
          <w:rFonts w:hint="eastAsia" w:ascii="宋体" w:hAnsi="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5666B62F">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FF0ABAD">
      <w:pPr>
        <w:pStyle w:val="1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8E8B1CA">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24BD8B0">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BC093B">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6C2DE6B">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863500E">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1BE3269E">
      <w:pPr>
        <w:pStyle w:val="1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5120DB7">
      <w:pPr>
        <w:pStyle w:val="1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1253D16">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DE9272C">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DB56EDF">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8E8EBE3">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EE0E3DC">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833ADE7">
      <w:pPr>
        <w:spacing w:line="240" w:lineRule="auto"/>
        <w:ind w:left="0" w:leftChars="0" w:firstLine="0" w:firstLineChars="0"/>
        <w:outlineLvl w:val="9"/>
        <w:rPr>
          <w:rFonts w:hint="eastAsia" w:ascii="宋体" w:hAnsi="宋体" w:eastAsia="宋体" w:cs="宋体"/>
          <w:b/>
          <w:color w:val="auto"/>
          <w:sz w:val="36"/>
          <w:szCs w:val="36"/>
          <w:highlight w:val="none"/>
        </w:rPr>
      </w:pPr>
      <w:bookmarkStart w:id="385" w:name="第五部分"/>
      <w:bookmarkStart w:id="386" w:name="_Toc86217003"/>
      <w:r>
        <w:rPr>
          <w:rFonts w:hint="eastAsia" w:ascii="宋体" w:hAnsi="宋体" w:eastAsia="宋体" w:cs="宋体"/>
          <w:b/>
          <w:color w:val="auto"/>
          <w:sz w:val="36"/>
          <w:szCs w:val="36"/>
          <w:highlight w:val="none"/>
        </w:rPr>
        <w:br w:type="page"/>
      </w:r>
    </w:p>
    <w:p w14:paraId="082703A3">
      <w:pPr>
        <w:spacing w:line="360" w:lineRule="auto"/>
        <w:ind w:left="720" w:leftChars="343" w:firstLine="1084" w:firstLineChars="300"/>
        <w:outlineLvl w:val="9"/>
        <w:rPr>
          <w:rFonts w:hint="eastAsia" w:ascii="宋体" w:hAnsi="宋体" w:eastAsia="宋体" w:cs="宋体"/>
          <w:b/>
          <w:color w:val="auto"/>
          <w:sz w:val="36"/>
          <w:szCs w:val="36"/>
          <w:highlight w:val="none"/>
        </w:rPr>
      </w:pPr>
    </w:p>
    <w:p w14:paraId="272D579C">
      <w:pPr>
        <w:spacing w:line="360" w:lineRule="auto"/>
        <w:ind w:left="720" w:leftChars="343" w:firstLine="1084" w:firstLineChars="300"/>
        <w:outlineLvl w:val="9"/>
        <w:rPr>
          <w:rFonts w:hint="eastAsia" w:ascii="宋体" w:hAnsi="宋体" w:eastAsia="宋体" w:cs="宋体"/>
          <w:b/>
          <w:color w:val="auto"/>
          <w:sz w:val="36"/>
          <w:szCs w:val="36"/>
          <w:highlight w:val="none"/>
        </w:rPr>
      </w:pPr>
    </w:p>
    <w:p w14:paraId="62597865">
      <w:pPr>
        <w:pStyle w:val="2"/>
        <w:spacing w:line="360" w:lineRule="auto"/>
        <w:ind w:left="0" w:leftChars="0" w:firstLine="0" w:firstLineChars="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第五部分 拟签订的合同文本</w:t>
      </w:r>
    </w:p>
    <w:p w14:paraId="44922F9A">
      <w:pPr>
        <w:spacing w:line="480" w:lineRule="auto"/>
        <w:jc w:val="center"/>
        <w:rPr>
          <w:rFonts w:hint="eastAsia" w:ascii="宋体" w:hAnsi="宋体" w:eastAsia="宋体" w:cs="宋体"/>
          <w:b/>
          <w:color w:val="auto"/>
          <w:sz w:val="28"/>
          <w:szCs w:val="28"/>
          <w:highlight w:val="none"/>
        </w:rPr>
      </w:pPr>
    </w:p>
    <w:p w14:paraId="4704B733">
      <w:pPr>
        <w:spacing w:line="480" w:lineRule="auto"/>
        <w:jc w:val="center"/>
        <w:rPr>
          <w:rFonts w:hint="eastAsia" w:ascii="宋体" w:hAnsi="宋体" w:eastAsia="宋体" w:cs="宋体"/>
          <w:b/>
          <w:color w:val="auto"/>
          <w:sz w:val="24"/>
          <w:highlight w:val="none"/>
        </w:rPr>
      </w:pPr>
    </w:p>
    <w:p w14:paraId="5C3C5088">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3287F8F9">
      <w:pPr>
        <w:spacing w:line="480" w:lineRule="auto"/>
        <w:jc w:val="center"/>
        <w:rPr>
          <w:rFonts w:ascii="宋体" w:hAnsi="宋体" w:cs="宋体"/>
          <w:b/>
          <w:sz w:val="28"/>
          <w:szCs w:val="28"/>
          <w:highlight w:val="none"/>
        </w:rPr>
      </w:pPr>
    </w:p>
    <w:p w14:paraId="7D50051A">
      <w:pPr>
        <w:spacing w:line="480" w:lineRule="auto"/>
        <w:jc w:val="center"/>
        <w:rPr>
          <w:rFonts w:ascii="宋体" w:hAnsi="宋体" w:cs="宋体"/>
          <w:b/>
          <w:sz w:val="24"/>
          <w:highlight w:val="none"/>
        </w:rPr>
      </w:pPr>
    </w:p>
    <w:p w14:paraId="1BA0AC69">
      <w:pPr>
        <w:spacing w:line="480" w:lineRule="auto"/>
        <w:jc w:val="center"/>
        <w:rPr>
          <w:rFonts w:ascii="宋体" w:hAnsi="宋体" w:cs="宋体"/>
          <w:b/>
          <w:sz w:val="24"/>
          <w:highlight w:val="none"/>
        </w:rPr>
      </w:pPr>
    </w:p>
    <w:p w14:paraId="03FBEF0C">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49C579D3">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48F24411">
      <w:pPr>
        <w:pStyle w:val="89"/>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52F27831">
      <w:pPr>
        <w:spacing w:before="120" w:line="22" w:lineRule="atLeast"/>
        <w:rPr>
          <w:rFonts w:ascii="宋体" w:hAnsi="宋体" w:cs="宋体"/>
          <w:sz w:val="24"/>
          <w:highlight w:val="none"/>
        </w:rPr>
      </w:pPr>
    </w:p>
    <w:p w14:paraId="41978162">
      <w:pPr>
        <w:numPr>
          <w:ilvl w:val="0"/>
          <w:numId w:val="0"/>
        </w:numPr>
        <w:ind w:left="0" w:firstLine="0"/>
        <w:outlineLvl w:val="9"/>
        <w:rPr>
          <w:highlight w:val="none"/>
        </w:rPr>
      </w:pPr>
    </w:p>
    <w:p w14:paraId="192C2FBC">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0B9F8063">
      <w:pPr>
        <w:pStyle w:val="293"/>
        <w:spacing w:before="120" w:line="22" w:lineRule="atLeast"/>
        <w:rPr>
          <w:rFonts w:ascii="宋体" w:hAnsi="宋体" w:eastAsia="宋体" w:cs="宋体"/>
          <w:szCs w:val="24"/>
          <w:highlight w:val="none"/>
        </w:rPr>
      </w:pPr>
    </w:p>
    <w:p w14:paraId="17B1C85C">
      <w:pPr>
        <w:pStyle w:val="293"/>
        <w:spacing w:before="120" w:line="22" w:lineRule="atLeast"/>
        <w:rPr>
          <w:rFonts w:ascii="宋体" w:hAnsi="宋体" w:eastAsia="宋体" w:cs="宋体"/>
          <w:szCs w:val="24"/>
          <w:highlight w:val="none"/>
        </w:rPr>
      </w:pPr>
    </w:p>
    <w:p w14:paraId="41169D14">
      <w:pPr>
        <w:rPr>
          <w:rFonts w:ascii="宋体" w:hAnsi="宋体" w:cs="宋体"/>
          <w:sz w:val="24"/>
          <w:highlight w:val="none"/>
        </w:rPr>
      </w:pPr>
    </w:p>
    <w:p w14:paraId="4AFCA63C">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6B312399">
      <w:pPr>
        <w:spacing w:before="120" w:line="22" w:lineRule="atLeast"/>
        <w:rPr>
          <w:rFonts w:ascii="宋体" w:hAnsi="宋体" w:cs="宋体"/>
          <w:sz w:val="24"/>
          <w:highlight w:val="none"/>
        </w:rPr>
      </w:pPr>
    </w:p>
    <w:p w14:paraId="0BAEA5B8">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15A1F04A">
      <w:pPr>
        <w:spacing w:before="120" w:line="22" w:lineRule="atLeast"/>
        <w:rPr>
          <w:rFonts w:ascii="宋体" w:hAnsi="宋体" w:cs="宋体"/>
          <w:sz w:val="24"/>
          <w:highlight w:val="none"/>
        </w:rPr>
      </w:pPr>
    </w:p>
    <w:p w14:paraId="08D80F1D">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11A9E5C7">
      <w:pPr>
        <w:spacing w:before="120" w:line="22" w:lineRule="atLeast"/>
        <w:rPr>
          <w:rFonts w:ascii="宋体" w:hAnsi="宋体" w:cs="宋体"/>
          <w:sz w:val="24"/>
          <w:highlight w:val="none"/>
        </w:rPr>
      </w:pPr>
    </w:p>
    <w:p w14:paraId="5153E997">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5DF2EEE">
      <w:pPr>
        <w:widowControl/>
        <w:jc w:val="left"/>
        <w:rPr>
          <w:rFonts w:ascii="宋体" w:hAnsi="宋体" w:cs="宋体"/>
          <w:kern w:val="0"/>
          <w:sz w:val="24"/>
          <w:highlight w:val="none"/>
        </w:rPr>
        <w:sectPr>
          <w:footerReference r:id="rId12" w:type="default"/>
          <w:pgSz w:w="11907" w:h="16840"/>
          <w:pgMar w:top="1474" w:right="1814" w:bottom="1474" w:left="1814" w:header="851" w:footer="851" w:gutter="0"/>
          <w:pgNumType w:fmt="decimal"/>
          <w:cols w:space="720" w:num="1"/>
        </w:sectPr>
      </w:pPr>
    </w:p>
    <w:p w14:paraId="602A72F0">
      <w:pPr>
        <w:spacing w:line="560" w:lineRule="exact"/>
        <w:ind w:firstLine="480" w:firstLineChars="200"/>
        <w:rPr>
          <w:rFonts w:ascii="宋体" w:hAnsi="宋体" w:eastAsia="宋体"/>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hint="eastAsia" w:ascii="宋体" w:hAnsi="宋体" w:eastAsia="宋体"/>
          <w:sz w:val="24"/>
          <w:highlight w:val="none"/>
          <w:lang w:val="zh-CN"/>
        </w:rPr>
        <w:t>月</w:t>
      </w:r>
      <w:r>
        <w:rPr>
          <w:rFonts w:ascii="宋体" w:hAnsi="宋体" w:eastAsia="宋体"/>
          <w:sz w:val="24"/>
          <w:highlight w:val="none"/>
          <w:u w:val="single"/>
          <w:lang w:val="zh-CN"/>
        </w:rPr>
        <w:t xml:space="preserve">    </w:t>
      </w:r>
      <w:r>
        <w:rPr>
          <w:rFonts w:hint="eastAsia" w:ascii="宋体" w:hAnsi="宋体" w:eastAsia="宋体"/>
          <w:sz w:val="24"/>
          <w:highlight w:val="none"/>
          <w:lang w:val="zh-CN"/>
        </w:rPr>
        <w:t>日</w:t>
      </w:r>
      <w:r>
        <w:rPr>
          <w:rFonts w:hint="eastAsia" w:ascii="宋体" w:hAnsi="宋体" w:eastAsia="宋体"/>
          <w:sz w:val="24"/>
          <w:highlight w:val="none"/>
        </w:rPr>
        <w:t>，</w:t>
      </w:r>
      <w:r>
        <w:rPr>
          <w:rFonts w:ascii="宋体" w:hAnsi="宋体" w:eastAsia="宋体"/>
          <w:sz w:val="24"/>
          <w:highlight w:val="none"/>
          <w:u w:val="single"/>
        </w:rPr>
        <w:t xml:space="preserve">   </w:t>
      </w:r>
      <w:r>
        <w:rPr>
          <w:rFonts w:hint="eastAsia" w:ascii="宋体" w:hAnsi="宋体" w:cs="宋体"/>
          <w:color w:val="0000FF"/>
          <w:sz w:val="24"/>
          <w:highlight w:val="none"/>
          <w:u w:val="single"/>
        </w:rPr>
        <w:t>（采购人）</w:t>
      </w:r>
      <w:r>
        <w:rPr>
          <w:rFonts w:ascii="宋体" w:hAnsi="宋体" w:eastAsia="宋体"/>
          <w:sz w:val="24"/>
          <w:highlight w:val="none"/>
          <w:u w:val="single"/>
        </w:rPr>
        <w:t xml:space="preserve">   </w:t>
      </w:r>
      <w:r>
        <w:rPr>
          <w:rFonts w:hint="eastAsia" w:ascii="宋体" w:hAnsi="宋体" w:eastAsia="宋体"/>
          <w:sz w:val="24"/>
          <w:highlight w:val="none"/>
        </w:rPr>
        <w:t>以</w:t>
      </w:r>
      <w:r>
        <w:rPr>
          <w:rFonts w:ascii="宋体" w:hAnsi="宋体" w:eastAsia="宋体"/>
          <w:sz w:val="24"/>
          <w:highlight w:val="none"/>
          <w:u w:val="single"/>
        </w:rPr>
        <w:t xml:space="preserve">   （政府采购方式）  </w:t>
      </w:r>
      <w:r>
        <w:rPr>
          <w:rFonts w:hint="eastAsia" w:ascii="宋体" w:hAnsi="宋体" w:eastAsia="宋体"/>
          <w:sz w:val="24"/>
          <w:highlight w:val="none"/>
        </w:rPr>
        <w:t>对</w:t>
      </w:r>
      <w:r>
        <w:rPr>
          <w:rFonts w:ascii="宋体" w:hAnsi="宋体" w:eastAsia="宋体"/>
          <w:sz w:val="24"/>
          <w:highlight w:val="none"/>
          <w:u w:val="single"/>
        </w:rPr>
        <w:t xml:space="preserve">  </w:t>
      </w:r>
      <w:r>
        <w:rPr>
          <w:rFonts w:hint="eastAsia" w:ascii="宋体" w:hAnsi="宋体" w:cs="宋体"/>
          <w:color w:val="0000FF"/>
          <w:sz w:val="24"/>
          <w:highlight w:val="none"/>
          <w:u w:val="single"/>
        </w:rPr>
        <w:t xml:space="preserve">（项目名称）  </w:t>
      </w:r>
      <w:r>
        <w:rPr>
          <w:rFonts w:ascii="宋体" w:hAnsi="宋体" w:eastAsia="宋体"/>
          <w:sz w:val="24"/>
          <w:highlight w:val="none"/>
          <w:u w:val="single"/>
        </w:rPr>
        <w:t xml:space="preserve">  </w:t>
      </w:r>
      <w:r>
        <w:rPr>
          <w:rFonts w:hint="eastAsia" w:ascii="宋体" w:hAnsi="宋体" w:eastAsia="宋体"/>
          <w:sz w:val="24"/>
          <w:highlight w:val="none"/>
        </w:rPr>
        <w:t>项目进行了采购。经</w:t>
      </w:r>
      <w:r>
        <w:rPr>
          <w:rFonts w:ascii="宋体" w:hAnsi="宋体" w:eastAsia="宋体"/>
          <w:sz w:val="24"/>
          <w:highlight w:val="none"/>
          <w:u w:val="single"/>
        </w:rPr>
        <w:t xml:space="preserve">   （相关评定主体名称）   </w:t>
      </w:r>
      <w:r>
        <w:rPr>
          <w:rFonts w:hint="eastAsia" w:ascii="宋体" w:hAnsi="宋体" w:eastAsia="宋体"/>
          <w:sz w:val="24"/>
          <w:highlight w:val="none"/>
        </w:rPr>
        <w:t>评定，</w:t>
      </w:r>
      <w:r>
        <w:rPr>
          <w:rFonts w:ascii="宋体" w:hAnsi="宋体" w:eastAsia="宋体"/>
          <w:sz w:val="24"/>
          <w:highlight w:val="none"/>
          <w:u w:val="single"/>
        </w:rPr>
        <w:t xml:space="preserve">   （中标供应商名称） </w:t>
      </w:r>
      <w:r>
        <w:rPr>
          <w:rFonts w:hint="eastAsia" w:ascii="宋体" w:hAnsi="宋体" w:eastAsia="宋体"/>
          <w:sz w:val="24"/>
          <w:highlight w:val="none"/>
        </w:rPr>
        <w:t>为该项目中标供应商。现于中标通知书发出之日起10个工作日内，按照采购文件确定的事项签订本合同。</w:t>
      </w:r>
    </w:p>
    <w:p w14:paraId="2B3B4FF2">
      <w:pPr>
        <w:spacing w:line="560" w:lineRule="exact"/>
        <w:ind w:firstLine="480" w:firstLineChars="200"/>
        <w:rPr>
          <w:rFonts w:ascii="宋体" w:hAnsi="宋体" w:eastAsia="宋体"/>
          <w:sz w:val="24"/>
          <w:highlight w:val="none"/>
        </w:rPr>
      </w:pPr>
      <w:r>
        <w:rPr>
          <w:rFonts w:hint="eastAsia" w:ascii="宋体" w:hAnsi="宋体" w:eastAsia="宋体"/>
          <w:sz w:val="24"/>
          <w:highlight w:val="none"/>
          <w:lang w:val="zh-CN"/>
        </w:rPr>
        <w:t>根据《中华人民共和国民法典》《中华人民共和国政府采购法》等相关法律法规之规定，按照平等、自愿、公平和诚实信用的原则，经</w:t>
      </w:r>
      <w:r>
        <w:rPr>
          <w:rFonts w:ascii="宋体" w:hAnsi="宋体" w:eastAsia="宋体"/>
          <w:sz w:val="24"/>
          <w:highlight w:val="none"/>
          <w:u w:val="single"/>
        </w:rPr>
        <w:t xml:space="preserve">   </w:t>
      </w:r>
      <w:r>
        <w:rPr>
          <w:rFonts w:ascii="宋体" w:hAnsi="宋体" w:eastAsia="宋体"/>
          <w:color w:val="0000FF"/>
          <w:sz w:val="24"/>
          <w:highlight w:val="none"/>
          <w:u w:val="single"/>
        </w:rPr>
        <w:t xml:space="preserve">（采购人） </w:t>
      </w:r>
      <w:r>
        <w:rPr>
          <w:rFonts w:ascii="宋体" w:hAnsi="宋体" w:eastAsia="宋体"/>
          <w:sz w:val="24"/>
          <w:highlight w:val="none"/>
          <w:u w:val="single"/>
        </w:rPr>
        <w:t xml:space="preserve">  </w:t>
      </w:r>
      <w:r>
        <w:rPr>
          <w:rFonts w:ascii="宋体" w:hAnsi="宋体" w:eastAsia="宋体"/>
          <w:sz w:val="24"/>
          <w:highlight w:val="none"/>
          <w:lang w:val="zh-CN"/>
        </w:rPr>
        <w:t>(以下简称：甲方)和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14:paraId="07A69CDD">
      <w:pPr>
        <w:spacing w:line="560" w:lineRule="exact"/>
        <w:ind w:firstLine="482" w:firstLineChars="200"/>
        <w:outlineLvl w:val="1"/>
        <w:rPr>
          <w:rFonts w:ascii="宋体" w:hAnsi="宋体" w:eastAsia="宋体"/>
          <w:sz w:val="24"/>
          <w:highlight w:val="none"/>
        </w:rPr>
      </w:pPr>
      <w:bookmarkStart w:id="387" w:name="_Toc15367"/>
      <w:bookmarkStart w:id="388" w:name="_Toc20421"/>
      <w:bookmarkStart w:id="389" w:name="_Toc28855"/>
      <w:bookmarkStart w:id="390" w:name="_Toc22967"/>
      <w:bookmarkStart w:id="391" w:name="_Toc19273"/>
      <w:r>
        <w:rPr>
          <w:rFonts w:ascii="宋体" w:hAnsi="宋体" w:eastAsia="宋体"/>
          <w:b/>
          <w:sz w:val="24"/>
          <w:highlight w:val="none"/>
        </w:rPr>
        <w:t xml:space="preserve">1.1 </w:t>
      </w:r>
      <w:r>
        <w:rPr>
          <w:rFonts w:hint="eastAsia" w:ascii="宋体" w:hAnsi="宋体" w:eastAsia="宋体"/>
          <w:b/>
          <w:sz w:val="24"/>
          <w:highlight w:val="none"/>
        </w:rPr>
        <w:t>合同组成部分</w:t>
      </w:r>
      <w:bookmarkEnd w:id="387"/>
      <w:bookmarkEnd w:id="388"/>
      <w:bookmarkEnd w:id="389"/>
      <w:bookmarkEnd w:id="390"/>
      <w:bookmarkEnd w:id="391"/>
    </w:p>
    <w:p w14:paraId="3514442D">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700C2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14:paraId="2F4F5A8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14:paraId="6112162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14:paraId="22D9D97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14:paraId="1F87D94F">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14:paraId="604759F5">
      <w:pPr>
        <w:spacing w:line="560" w:lineRule="exact"/>
        <w:ind w:firstLine="482" w:firstLineChars="200"/>
        <w:outlineLvl w:val="1"/>
        <w:rPr>
          <w:rFonts w:ascii="宋体" w:hAnsi="宋体" w:eastAsia="宋体"/>
          <w:b/>
          <w:sz w:val="24"/>
          <w:highlight w:val="none"/>
        </w:rPr>
      </w:pPr>
      <w:bookmarkStart w:id="392" w:name="_Toc6311"/>
      <w:bookmarkStart w:id="393" w:name="_Toc6773"/>
      <w:bookmarkStart w:id="394" w:name="_Toc18585"/>
      <w:bookmarkStart w:id="395" w:name="_Toc2918"/>
      <w:bookmarkStart w:id="396" w:name="_Toc22185"/>
      <w:r>
        <w:rPr>
          <w:rFonts w:ascii="宋体" w:hAnsi="宋体" w:eastAsia="宋体"/>
          <w:b/>
          <w:sz w:val="24"/>
          <w:highlight w:val="none"/>
        </w:rPr>
        <w:t xml:space="preserve">1.2 </w:t>
      </w:r>
      <w:r>
        <w:rPr>
          <w:rFonts w:hint="eastAsia" w:ascii="宋体" w:hAnsi="宋体" w:eastAsia="宋体"/>
          <w:b/>
          <w:sz w:val="24"/>
          <w:highlight w:val="none"/>
        </w:rPr>
        <w:t>标的</w:t>
      </w:r>
      <w:bookmarkEnd w:id="392"/>
      <w:bookmarkEnd w:id="393"/>
      <w:bookmarkEnd w:id="394"/>
      <w:bookmarkEnd w:id="395"/>
      <w:bookmarkEnd w:id="396"/>
    </w:p>
    <w:p w14:paraId="10932149">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rPr>
        <w:t>；</w:t>
      </w:r>
    </w:p>
    <w:p w14:paraId="5DBADF2D">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sz w:val="24"/>
          <w:highlight w:val="none"/>
        </w:rPr>
        <w:t>；</w:t>
      </w:r>
    </w:p>
    <w:p w14:paraId="4A9E486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xml:space="preserve">　　　　　　　　　                      　      </w:t>
      </w:r>
      <w:r>
        <w:rPr>
          <w:rFonts w:hint="eastAsia" w:ascii="宋体" w:hAnsi="宋体" w:eastAsia="宋体"/>
          <w:sz w:val="24"/>
          <w:highlight w:val="none"/>
        </w:rPr>
        <w:t>。</w:t>
      </w:r>
    </w:p>
    <w:p w14:paraId="4D6768CB">
      <w:pPr>
        <w:spacing w:line="560" w:lineRule="exact"/>
        <w:ind w:firstLine="482" w:firstLineChars="200"/>
        <w:outlineLvl w:val="1"/>
        <w:rPr>
          <w:rFonts w:ascii="宋体" w:hAnsi="宋体" w:eastAsia="宋体"/>
          <w:b/>
          <w:sz w:val="24"/>
          <w:highlight w:val="none"/>
        </w:rPr>
      </w:pPr>
      <w:bookmarkStart w:id="397" w:name="_Toc1386"/>
      <w:bookmarkStart w:id="398" w:name="_Toc13918"/>
      <w:bookmarkStart w:id="399" w:name="_Toc21124"/>
      <w:bookmarkStart w:id="400" w:name="_Toc4929"/>
      <w:bookmarkStart w:id="401" w:name="_Toc5635"/>
      <w:r>
        <w:rPr>
          <w:rFonts w:ascii="宋体" w:hAnsi="宋体" w:eastAsia="宋体"/>
          <w:b/>
          <w:sz w:val="24"/>
          <w:highlight w:val="none"/>
        </w:rPr>
        <w:t>1.3 价款</w:t>
      </w:r>
      <w:bookmarkEnd w:id="397"/>
      <w:bookmarkEnd w:id="398"/>
      <w:bookmarkEnd w:id="399"/>
      <w:bookmarkEnd w:id="400"/>
      <w:bookmarkEnd w:id="401"/>
    </w:p>
    <w:p w14:paraId="1195EBE1">
      <w:pPr>
        <w:spacing w:line="560" w:lineRule="exact"/>
        <w:ind w:firstLine="480" w:firstLineChars="200"/>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14:paraId="3CC46D5E">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40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1E521C9C">
            <w:pPr>
              <w:pStyle w:val="118"/>
              <w:spacing w:before="0" w:beforeAutospacing="0" w:after="0" w:afterAutospacing="0" w:line="560" w:lineRule="exact"/>
              <w:ind w:left="0" w:right="0"/>
              <w:jc w:val="center"/>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序号</w:t>
            </w:r>
          </w:p>
        </w:tc>
        <w:tc>
          <w:tcPr>
            <w:tcW w:w="3402" w:type="dxa"/>
            <w:vAlign w:val="center"/>
          </w:tcPr>
          <w:p w14:paraId="51F2F711">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分项名称</w:t>
            </w:r>
          </w:p>
        </w:tc>
        <w:tc>
          <w:tcPr>
            <w:tcW w:w="2552" w:type="dxa"/>
            <w:vAlign w:val="center"/>
          </w:tcPr>
          <w:p w14:paraId="03A7C803">
            <w:pPr>
              <w:pStyle w:val="118"/>
              <w:spacing w:before="0" w:beforeAutospacing="0" w:after="0" w:afterAutospacing="0" w:line="560" w:lineRule="exact"/>
              <w:ind w:left="0" w:right="0"/>
              <w:jc w:val="center"/>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分项价格</w:t>
            </w:r>
          </w:p>
        </w:tc>
      </w:tr>
    </w:tbl>
    <w:p w14:paraId="2076E668">
      <w:pPr>
        <w:rPr>
          <w:highlight w:val="none"/>
        </w:rPr>
        <w:sectPr>
          <w:headerReference r:id="rId14" w:type="first"/>
          <w:footerReference r:id="rId16" w:type="first"/>
          <w:headerReference r:id="rId13" w:type="default"/>
          <w:footerReference r:id="rId15" w:type="default"/>
          <w:pgSz w:w="11905" w:h="16838"/>
          <w:pgMar w:top="1247" w:right="1417" w:bottom="1276" w:left="1417" w:header="851" w:footer="992" w:gutter="0"/>
          <w:pgNumType w:fmt="decimal" w:start="36"/>
          <w:cols w:space="720" w:num="1"/>
          <w:titlePg/>
          <w:rtlGutter w:val="0"/>
          <w:docGrid w:linePitch="312" w:charSpace="0"/>
        </w:sectPr>
      </w:pP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0B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2B68FD">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3402" w:type="dxa"/>
            <w:vAlign w:val="center"/>
          </w:tcPr>
          <w:p w14:paraId="33EBBCA6">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2552" w:type="dxa"/>
            <w:vAlign w:val="center"/>
          </w:tcPr>
          <w:p w14:paraId="3E573F2C">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r>
      <w:tr w14:paraId="3D5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93B693">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3402" w:type="dxa"/>
            <w:vAlign w:val="center"/>
          </w:tcPr>
          <w:p w14:paraId="0E87EFC8">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2552" w:type="dxa"/>
            <w:vAlign w:val="center"/>
          </w:tcPr>
          <w:p w14:paraId="579B2163">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r>
      <w:tr w14:paraId="7F1A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9A5EE5">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3402" w:type="dxa"/>
            <w:vAlign w:val="center"/>
          </w:tcPr>
          <w:p w14:paraId="2D35B3C6">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2552" w:type="dxa"/>
            <w:vAlign w:val="center"/>
          </w:tcPr>
          <w:p w14:paraId="3396E227">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r>
      <w:tr w14:paraId="3CE2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226D0C">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3402" w:type="dxa"/>
            <w:vAlign w:val="center"/>
          </w:tcPr>
          <w:p w14:paraId="285FD84B">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2552" w:type="dxa"/>
            <w:vAlign w:val="center"/>
          </w:tcPr>
          <w:p w14:paraId="4B08F180">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r>
      <w:tr w14:paraId="1CD0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5611E5D">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总价</w:t>
            </w:r>
          </w:p>
        </w:tc>
        <w:tc>
          <w:tcPr>
            <w:tcW w:w="2552" w:type="dxa"/>
            <w:vAlign w:val="center"/>
          </w:tcPr>
          <w:p w14:paraId="303F39B7">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r>
    </w:tbl>
    <w:p w14:paraId="6434C815">
      <w:pPr>
        <w:spacing w:line="560" w:lineRule="exact"/>
        <w:ind w:firstLine="482" w:firstLineChars="200"/>
        <w:outlineLvl w:val="1"/>
        <w:rPr>
          <w:rFonts w:ascii="宋体" w:hAnsi="宋体" w:eastAsia="宋体"/>
          <w:b/>
          <w:sz w:val="24"/>
          <w:highlight w:val="none"/>
        </w:rPr>
      </w:pPr>
      <w:bookmarkStart w:id="402" w:name="_Toc30506"/>
      <w:bookmarkStart w:id="403" w:name="_Toc3654"/>
      <w:bookmarkStart w:id="404" w:name="_Toc26916"/>
      <w:bookmarkStart w:id="405" w:name="_Toc30158"/>
      <w:bookmarkStart w:id="406" w:name="_Toc14993"/>
      <w:r>
        <w:rPr>
          <w:rFonts w:ascii="宋体" w:hAnsi="宋体" w:eastAsia="宋体"/>
          <w:b/>
          <w:sz w:val="24"/>
          <w:highlight w:val="none"/>
        </w:rPr>
        <w:t>1.4 付款方式</w:t>
      </w:r>
      <w:bookmarkEnd w:id="402"/>
      <w:bookmarkEnd w:id="403"/>
      <w:bookmarkEnd w:id="404"/>
      <w:bookmarkEnd w:id="405"/>
      <w:bookmarkEnd w:id="406"/>
    </w:p>
    <w:p w14:paraId="161B4CD2">
      <w:pPr>
        <w:widowControl/>
        <w:wordWrap/>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（1）合同签订后，甲方收到乙方支付凭证7个工作日内、且财政资金具备支付条件前提下，向乙方支付合同总额的50%。</w:t>
      </w:r>
    </w:p>
    <w:p w14:paraId="2B0FD2C2">
      <w:pPr>
        <w:widowControl/>
        <w:wordWrap/>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（2）项目初验后，甲方收到乙方支付凭证7个工作日内、且财政资金具备支付条件前提下，向乙方支付合同总额的30%。</w:t>
      </w:r>
    </w:p>
    <w:p w14:paraId="6BDBB86D">
      <w:pPr>
        <w:widowControl/>
        <w:wordWrap/>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（3）项目终验后，甲方收到乙方支付凭证7个工作日内、且财政资金具备支付条件前提下，向乙方支付合同总额的15%。</w:t>
      </w:r>
    </w:p>
    <w:p w14:paraId="59D1D358">
      <w:pPr>
        <w:widowControl/>
        <w:spacing w:before="0" w:beforeAutospacing="0" w:after="0" w:afterAutospacing="0" w:line="360" w:lineRule="auto"/>
        <w:ind w:firstLine="480" w:firstLineChars="200"/>
        <w:rPr>
          <w:rFonts w:ascii="宋体" w:hAnsi="宋体" w:eastAsia="宋体" w:cs="Times New Roman"/>
          <w:highlight w:val="none"/>
        </w:rPr>
      </w:pPr>
      <w:r>
        <w:rPr>
          <w:rFonts w:hint="eastAsia" w:ascii="宋体" w:hAnsi="宋体" w:eastAsia="宋体" w:cs="宋体"/>
          <w:sz w:val="24"/>
          <w:szCs w:val="24"/>
          <w:highlight w:val="none"/>
        </w:rPr>
        <w:t>（4）项目质保期后，甲方收到乙方支付凭证7个工作日内、且财政资金具备支付条件前提下，向乙方支付合同总额的5%。</w:t>
      </w:r>
    </w:p>
    <w:p w14:paraId="06154198">
      <w:pPr>
        <w:spacing w:line="560" w:lineRule="exact"/>
        <w:ind w:firstLine="482" w:firstLineChars="200"/>
        <w:outlineLvl w:val="1"/>
        <w:rPr>
          <w:rFonts w:ascii="宋体" w:hAnsi="宋体" w:eastAsia="宋体"/>
          <w:b/>
          <w:sz w:val="24"/>
          <w:highlight w:val="none"/>
        </w:rPr>
      </w:pPr>
      <w:bookmarkStart w:id="407" w:name="_Toc3625"/>
      <w:bookmarkStart w:id="408" w:name="_Toc31421"/>
      <w:bookmarkStart w:id="409" w:name="_Toc4760"/>
      <w:bookmarkStart w:id="410" w:name="_Toc11108"/>
      <w:bookmarkStart w:id="411" w:name="_Toc8772"/>
      <w:r>
        <w:rPr>
          <w:rFonts w:ascii="宋体" w:hAnsi="宋体" w:eastAsia="宋体"/>
          <w:b/>
          <w:sz w:val="24"/>
          <w:highlight w:val="none"/>
        </w:rPr>
        <w:t>1.5 履行期限</w:t>
      </w:r>
      <w:r>
        <w:rPr>
          <w:rFonts w:hint="eastAsia" w:ascii="宋体" w:hAnsi="宋体" w:eastAsia="宋体"/>
          <w:b/>
          <w:sz w:val="24"/>
          <w:highlight w:val="none"/>
        </w:rPr>
        <w:t>、地点和方式</w:t>
      </w:r>
      <w:bookmarkEnd w:id="407"/>
      <w:bookmarkEnd w:id="408"/>
      <w:bookmarkEnd w:id="409"/>
      <w:bookmarkEnd w:id="410"/>
      <w:bookmarkEnd w:id="411"/>
    </w:p>
    <w:p w14:paraId="0C695AFD">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2809C2E1">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0320FC0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217E89D4">
      <w:pPr>
        <w:spacing w:line="560" w:lineRule="exact"/>
        <w:ind w:firstLine="482" w:firstLineChars="200"/>
        <w:outlineLvl w:val="1"/>
        <w:rPr>
          <w:rFonts w:ascii="宋体" w:hAnsi="宋体" w:eastAsia="宋体"/>
          <w:sz w:val="24"/>
          <w:highlight w:val="none"/>
          <w:u w:val="single"/>
        </w:rPr>
      </w:pPr>
      <w:bookmarkStart w:id="412" w:name="_Toc3079"/>
      <w:bookmarkStart w:id="413" w:name="_Toc2375"/>
      <w:bookmarkStart w:id="414" w:name="_Toc5698"/>
      <w:bookmarkStart w:id="415" w:name="_Toc8586"/>
      <w:bookmarkStart w:id="416" w:name="_Toc24662"/>
      <w:r>
        <w:rPr>
          <w:rFonts w:ascii="宋体" w:hAnsi="宋体" w:eastAsia="宋体"/>
          <w:b/>
          <w:sz w:val="24"/>
          <w:highlight w:val="none"/>
        </w:rPr>
        <w:t xml:space="preserve">1.6 </w:t>
      </w:r>
      <w:r>
        <w:rPr>
          <w:rFonts w:hint="eastAsia" w:ascii="宋体" w:hAnsi="宋体" w:eastAsia="宋体"/>
          <w:b/>
          <w:sz w:val="24"/>
          <w:highlight w:val="none"/>
        </w:rPr>
        <w:t>违约责任</w:t>
      </w:r>
      <w:bookmarkEnd w:id="412"/>
      <w:bookmarkEnd w:id="413"/>
      <w:bookmarkEnd w:id="414"/>
      <w:bookmarkEnd w:id="415"/>
      <w:bookmarkEnd w:id="416"/>
    </w:p>
    <w:p w14:paraId="284A97D6">
      <w:pPr>
        <w:spacing w:line="560" w:lineRule="exact"/>
        <w:ind w:firstLine="480" w:firstLineChars="200"/>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49D4C477">
      <w:pPr>
        <w:spacing w:line="560" w:lineRule="exact"/>
        <w:ind w:firstLine="480" w:firstLineChars="200"/>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1B9E31ED">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908B304">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0D88E18">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599CEC">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070AEB4D">
      <w:pPr>
        <w:spacing w:line="560" w:lineRule="exact"/>
        <w:ind w:left="-420" w:leftChars="-200" w:right="-420" w:rightChars="-200" w:firstLine="720" w:firstLineChars="300"/>
        <w:rPr>
          <w:rFonts w:ascii="宋体" w:hAnsi="宋体" w:eastAsia="宋体"/>
          <w:highlight w:val="none"/>
        </w:rPr>
      </w:pPr>
      <w:r>
        <w:rPr>
          <w:rFonts w:ascii="宋体" w:hAnsi="宋体" w:eastAsia="宋体"/>
          <w:sz w:val="24"/>
          <w:highlight w:val="none"/>
        </w:rPr>
        <w:t>1.6.7违约责任</w:t>
      </w:r>
      <w:r>
        <w:rPr>
          <w:rFonts w:hint="eastAsia" w:ascii="宋体" w:hAnsi="宋体" w:eastAsia="宋体"/>
          <w:b/>
          <w:i/>
          <w:sz w:val="24"/>
          <w:highlight w:val="none"/>
          <w:u w:val="single"/>
        </w:rPr>
        <w:t>合同专用条款</w:t>
      </w:r>
      <w:r>
        <w:rPr>
          <w:rFonts w:hint="eastAsia" w:ascii="宋体" w:hAnsi="宋体" w:eastAsia="宋体"/>
          <w:sz w:val="24"/>
          <w:highlight w:val="none"/>
        </w:rPr>
        <w:t>另有约定的，从其约定。</w:t>
      </w:r>
    </w:p>
    <w:p w14:paraId="7B0647E2">
      <w:pPr>
        <w:spacing w:line="560" w:lineRule="exact"/>
        <w:ind w:firstLine="482" w:firstLineChars="200"/>
        <w:outlineLvl w:val="1"/>
        <w:rPr>
          <w:rFonts w:ascii="宋体" w:hAnsi="宋体" w:eastAsia="宋体"/>
          <w:b/>
          <w:sz w:val="24"/>
          <w:highlight w:val="none"/>
        </w:rPr>
      </w:pPr>
      <w:bookmarkStart w:id="417" w:name="_Toc32454"/>
      <w:bookmarkStart w:id="418" w:name="_Toc18683"/>
      <w:bookmarkStart w:id="419" w:name="_Toc30329"/>
      <w:bookmarkStart w:id="420" w:name="_Toc26807"/>
      <w:bookmarkStart w:id="421" w:name="_Toc9497"/>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17"/>
      <w:bookmarkEnd w:id="418"/>
      <w:bookmarkEnd w:id="419"/>
      <w:bookmarkEnd w:id="420"/>
      <w:bookmarkEnd w:id="421"/>
    </w:p>
    <w:p w14:paraId="63B01A85">
      <w:pPr>
        <w:spacing w:line="560" w:lineRule="exact"/>
        <w:ind w:left="-61" w:leftChars="-29" w:right="-420" w:rightChars="-200" w:firstLine="240" w:firstLineChars="100"/>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合同专用条款  </w:t>
      </w:r>
      <w:r>
        <w:rPr>
          <w:rFonts w:hint="eastAsia" w:ascii="宋体" w:hAnsi="宋体" w:eastAsia="宋体"/>
          <w:sz w:val="24"/>
          <w:highlight w:val="none"/>
        </w:rPr>
        <w:t>条款规定的方式解决：</w:t>
      </w:r>
    </w:p>
    <w:p w14:paraId="5BC627EB">
      <w:pPr>
        <w:spacing w:line="560" w:lineRule="exact"/>
        <w:ind w:left="-420" w:leftChars="-200" w:right="-420" w:rightChars="-200" w:firstLine="600" w:firstLineChars="250"/>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rPr>
        <w:t>合同专用条款</w:t>
      </w:r>
      <w:r>
        <w:rPr>
          <w:rFonts w:hint="eastAsia" w:ascii="宋体" w:hAnsi="宋体" w:eastAsia="宋体"/>
          <w:sz w:val="24"/>
          <w:highlight w:val="none"/>
        </w:rPr>
        <w:t>仲裁委员会依申请仲裁时其现行有效的仲裁规则裁决；</w:t>
      </w:r>
    </w:p>
    <w:p w14:paraId="3759984D">
      <w:pPr>
        <w:spacing w:line="560" w:lineRule="exact"/>
        <w:ind w:left="-420" w:leftChars="-200" w:right="-420" w:rightChars="-200" w:firstLine="600" w:firstLineChars="250"/>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rPr>
        <w:t>合同专用条款</w:t>
      </w:r>
      <w:r>
        <w:rPr>
          <w:rFonts w:hint="eastAsia" w:ascii="宋体" w:hAnsi="宋体" w:eastAsia="宋体"/>
          <w:sz w:val="24"/>
          <w:highlight w:val="none"/>
        </w:rPr>
        <w:t>人民法院起诉。</w:t>
      </w:r>
    </w:p>
    <w:p w14:paraId="39F967BE">
      <w:pPr>
        <w:spacing w:line="560" w:lineRule="exact"/>
        <w:ind w:firstLine="241" w:firstLineChars="100"/>
        <w:outlineLvl w:val="1"/>
        <w:rPr>
          <w:rFonts w:ascii="宋体" w:hAnsi="宋体" w:eastAsia="宋体"/>
          <w:b/>
          <w:sz w:val="24"/>
          <w:highlight w:val="none"/>
        </w:rPr>
      </w:pPr>
      <w:bookmarkStart w:id="422" w:name="_Toc26227"/>
      <w:bookmarkStart w:id="423" w:name="_Toc23784"/>
      <w:bookmarkStart w:id="424" w:name="_Toc15827"/>
      <w:bookmarkStart w:id="425" w:name="_Toc12273"/>
      <w:bookmarkStart w:id="426" w:name="_Toc16417"/>
      <w:r>
        <w:rPr>
          <w:rFonts w:ascii="宋体" w:hAnsi="宋体" w:eastAsia="宋体"/>
          <w:b/>
          <w:sz w:val="24"/>
          <w:highlight w:val="none"/>
        </w:rPr>
        <w:t>1.8 合同生效</w:t>
      </w:r>
      <w:bookmarkEnd w:id="422"/>
      <w:bookmarkEnd w:id="423"/>
      <w:bookmarkEnd w:id="424"/>
      <w:bookmarkEnd w:id="425"/>
      <w:bookmarkEnd w:id="426"/>
    </w:p>
    <w:p w14:paraId="5500B03F">
      <w:pPr>
        <w:spacing w:line="560" w:lineRule="exact"/>
        <w:ind w:firstLine="480" w:firstLineChars="200"/>
        <w:rPr>
          <w:rFonts w:ascii="宋体" w:hAnsi="宋体" w:eastAsia="宋体"/>
          <w:b/>
          <w:sz w:val="24"/>
          <w:highlight w:val="none"/>
        </w:rPr>
      </w:pPr>
      <w:r>
        <w:rPr>
          <w:rFonts w:ascii="宋体" w:hAnsi="宋体" w:eastAsia="宋体"/>
          <w:sz w:val="24"/>
          <w:highlight w:val="none"/>
        </w:rPr>
        <w:t>本合同自</w:t>
      </w:r>
      <w:r>
        <w:rPr>
          <w:rFonts w:hint="eastAsia" w:ascii="宋体" w:hAnsi="宋体" w:eastAsia="宋体"/>
          <w:sz w:val="24"/>
          <w:highlight w:val="none"/>
        </w:rPr>
        <w:t>双方当事人盖章或者签字时</w:t>
      </w:r>
      <w:r>
        <w:rPr>
          <w:rFonts w:ascii="宋体" w:hAnsi="宋体" w:eastAsia="宋体"/>
          <w:sz w:val="24"/>
          <w:highlight w:val="none"/>
        </w:rPr>
        <w:t>生效。</w:t>
      </w:r>
    </w:p>
    <w:p w14:paraId="716C7EBB">
      <w:pPr>
        <w:autoSpaceDE w:val="0"/>
        <w:autoSpaceDN w:val="0"/>
        <w:spacing w:line="560" w:lineRule="exact"/>
        <w:rPr>
          <w:rFonts w:ascii="宋体" w:hAnsi="宋体" w:eastAsia="宋体"/>
          <w:sz w:val="24"/>
          <w:highlight w:val="none"/>
          <w:lang w:val="zh-CN"/>
        </w:rPr>
      </w:pPr>
    </w:p>
    <w:p w14:paraId="4806840E">
      <w:pPr>
        <w:autoSpaceDE w:val="0"/>
        <w:autoSpaceDN w:val="0"/>
        <w:spacing w:line="560" w:lineRule="exact"/>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14:paraId="6CF92DD9">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14:paraId="1958CC58">
      <w:pPr>
        <w:autoSpaceDE w:val="0"/>
        <w:autoSpaceDN w:val="0"/>
        <w:spacing w:line="560" w:lineRule="exact"/>
        <w:rPr>
          <w:rFonts w:ascii="宋体" w:hAnsi="宋体" w:eastAsia="宋体"/>
          <w:sz w:val="24"/>
          <w:highlight w:val="none"/>
          <w:lang w:val="zh-CN"/>
        </w:rPr>
      </w:pPr>
    </w:p>
    <w:p w14:paraId="1BF92997">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14:paraId="12011F4B">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14:paraId="3F8DB8DE">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14:paraId="6A5FD786">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14:paraId="52B3A939">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14:paraId="6916430D">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14:paraId="7EFE2CB2">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14:paraId="03A938D1">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传真</w:t>
      </w:r>
      <w:r>
        <w:rPr>
          <w:rFonts w:ascii="宋体" w:hAnsi="宋体" w:eastAsia="宋体"/>
          <w:sz w:val="24"/>
          <w:highlight w:val="none"/>
          <w:lang w:val="zh-CN"/>
        </w:rPr>
        <w:t xml:space="preserve">:                                    </w:t>
      </w:r>
      <w:r>
        <w:rPr>
          <w:rFonts w:hint="eastAsia" w:ascii="宋体" w:hAnsi="宋体" w:eastAsia="宋体"/>
          <w:sz w:val="24"/>
          <w:highlight w:val="none"/>
          <w:lang w:val="zh-CN"/>
        </w:rPr>
        <w:t>传真</w:t>
      </w:r>
      <w:r>
        <w:rPr>
          <w:rFonts w:ascii="宋体" w:hAnsi="宋体" w:eastAsia="宋体"/>
          <w:sz w:val="24"/>
          <w:highlight w:val="none"/>
          <w:lang w:val="zh-CN"/>
        </w:rPr>
        <w:t>:</w:t>
      </w:r>
    </w:p>
    <w:p w14:paraId="66F32C47">
      <w:pPr>
        <w:autoSpaceDE w:val="0"/>
        <w:autoSpaceDN w:val="0"/>
        <w:spacing w:line="560" w:lineRule="exact"/>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14:paraId="09AFA3B0">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14:paraId="4CC9ACA8">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14:paraId="62636F48">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14:paraId="71D61421">
      <w:pPr>
        <w:widowControl/>
        <w:spacing w:line="560" w:lineRule="exact"/>
        <w:jc w:val="left"/>
        <w:rPr>
          <w:rFonts w:ascii="宋体" w:hAnsi="宋体" w:eastAsia="宋体"/>
          <w:b/>
          <w:sz w:val="24"/>
          <w:highlight w:val="none"/>
        </w:rPr>
      </w:pPr>
    </w:p>
    <w:p w14:paraId="722881D3">
      <w:pPr>
        <w:widowControl/>
        <w:adjustRightInd/>
        <w:jc w:val="left"/>
        <w:rPr>
          <w:rFonts w:ascii="宋体" w:hAnsi="宋体" w:eastAsia="宋体"/>
          <w:b/>
          <w:sz w:val="24"/>
          <w:highlight w:val="none"/>
        </w:rPr>
      </w:pPr>
      <w:r>
        <w:rPr>
          <w:rFonts w:ascii="宋体" w:hAnsi="宋体" w:eastAsia="宋体"/>
          <w:b/>
          <w:highlight w:val="none"/>
        </w:rPr>
        <w:br w:type="page"/>
      </w:r>
    </w:p>
    <w:p w14:paraId="7872A32C">
      <w:pPr>
        <w:pStyle w:val="89"/>
        <w:spacing w:line="560" w:lineRule="exact"/>
        <w:ind w:firstLine="482"/>
        <w:jc w:val="center"/>
        <w:rPr>
          <w:rFonts w:ascii="宋体" w:hAnsi="宋体" w:eastAsia="宋体"/>
          <w:b/>
          <w:szCs w:val="24"/>
          <w:highlight w:val="none"/>
        </w:rPr>
      </w:pPr>
      <w:r>
        <w:rPr>
          <w:rFonts w:hint="eastAsia" w:ascii="宋体" w:hAnsi="宋体" w:eastAsia="宋体"/>
          <w:b/>
          <w:szCs w:val="24"/>
          <w:highlight w:val="none"/>
        </w:rPr>
        <w:t>第二部分</w:t>
      </w:r>
      <w:r>
        <w:rPr>
          <w:rFonts w:ascii="宋体" w:hAnsi="宋体" w:eastAsia="宋体"/>
          <w:b/>
          <w:szCs w:val="24"/>
          <w:highlight w:val="none"/>
        </w:rPr>
        <w:t xml:space="preserve"> </w:t>
      </w:r>
      <w:r>
        <w:rPr>
          <w:rFonts w:hint="eastAsia" w:ascii="宋体" w:hAnsi="宋体" w:eastAsia="宋体"/>
          <w:b/>
          <w:szCs w:val="24"/>
          <w:highlight w:val="none"/>
        </w:rPr>
        <w:t>合同一般条款</w:t>
      </w:r>
    </w:p>
    <w:p w14:paraId="4717D727">
      <w:pPr>
        <w:spacing w:line="560" w:lineRule="exact"/>
        <w:ind w:firstLine="482" w:firstLineChars="200"/>
        <w:outlineLvl w:val="1"/>
        <w:rPr>
          <w:rFonts w:ascii="宋体" w:hAnsi="宋体" w:eastAsia="宋体"/>
          <w:b/>
          <w:sz w:val="24"/>
          <w:highlight w:val="none"/>
        </w:rPr>
      </w:pPr>
      <w:bookmarkStart w:id="427" w:name="_Toc14021"/>
      <w:bookmarkStart w:id="428" w:name="_Toc31297"/>
      <w:bookmarkStart w:id="429" w:name="_Toc25079"/>
      <w:bookmarkStart w:id="430" w:name="_Toc5228"/>
      <w:bookmarkStart w:id="431" w:name="_Toc19680"/>
      <w:r>
        <w:rPr>
          <w:rFonts w:ascii="宋体" w:hAnsi="宋体" w:eastAsia="宋体"/>
          <w:b/>
          <w:sz w:val="24"/>
          <w:highlight w:val="none"/>
        </w:rPr>
        <w:t>2.1 定义</w:t>
      </w:r>
      <w:bookmarkEnd w:id="427"/>
      <w:bookmarkEnd w:id="428"/>
      <w:bookmarkEnd w:id="429"/>
      <w:bookmarkEnd w:id="430"/>
      <w:bookmarkEnd w:id="431"/>
    </w:p>
    <w:p w14:paraId="45BCFBF1">
      <w:pPr>
        <w:spacing w:line="560" w:lineRule="exact"/>
        <w:ind w:firstLine="480" w:firstLineChars="200"/>
        <w:rPr>
          <w:rFonts w:ascii="宋体" w:hAnsi="宋体" w:eastAsia="宋体"/>
          <w:sz w:val="24"/>
          <w:highlight w:val="none"/>
        </w:rPr>
      </w:pPr>
      <w:r>
        <w:rPr>
          <w:rFonts w:ascii="宋体" w:hAnsi="宋体" w:eastAsia="宋体"/>
          <w:sz w:val="24"/>
          <w:highlight w:val="none"/>
        </w:rPr>
        <w:t>本合同中的下列</w:t>
      </w:r>
      <w:r>
        <w:rPr>
          <w:rFonts w:hint="eastAsia" w:ascii="宋体" w:hAnsi="宋体" w:eastAsia="宋体"/>
          <w:sz w:val="24"/>
          <w:highlight w:val="none"/>
        </w:rPr>
        <w:t>词</w:t>
      </w:r>
      <w:r>
        <w:rPr>
          <w:rFonts w:ascii="宋体" w:hAnsi="宋体" w:eastAsia="宋体"/>
          <w:sz w:val="24"/>
          <w:highlight w:val="none"/>
        </w:rPr>
        <w:t>语应</w:t>
      </w:r>
      <w:r>
        <w:rPr>
          <w:rFonts w:hint="eastAsia" w:ascii="宋体" w:hAnsi="宋体" w:eastAsia="宋体"/>
          <w:sz w:val="24"/>
          <w:highlight w:val="none"/>
        </w:rPr>
        <w:t>按以下内容进行</w:t>
      </w:r>
      <w:r>
        <w:rPr>
          <w:rFonts w:ascii="宋体" w:hAnsi="宋体" w:eastAsia="宋体"/>
          <w:sz w:val="24"/>
          <w:highlight w:val="none"/>
        </w:rPr>
        <w:t>解释：</w:t>
      </w:r>
    </w:p>
    <w:p w14:paraId="7BB4C9AC">
      <w:pPr>
        <w:spacing w:line="560" w:lineRule="exact"/>
        <w:ind w:firstLine="480" w:firstLineChars="200"/>
        <w:rPr>
          <w:rFonts w:ascii="宋体" w:hAnsi="宋体" w:eastAsia="宋体"/>
          <w:sz w:val="24"/>
          <w:highlight w:val="none"/>
        </w:rPr>
      </w:pPr>
      <w:r>
        <w:rPr>
          <w:rFonts w:ascii="宋体" w:hAnsi="宋体" w:eastAsia="宋体"/>
          <w:sz w:val="24"/>
          <w:highlight w:val="none"/>
        </w:rPr>
        <w:t>2.1.1 “合同”系指采购人和中标供应商签订的载明双方当事人所达成的协议，并包括所有的附件、附录和构成合同的其他文件。</w:t>
      </w:r>
    </w:p>
    <w:p w14:paraId="0FC99CB4">
      <w:pPr>
        <w:spacing w:line="560" w:lineRule="exact"/>
        <w:ind w:firstLine="480" w:firstLineChars="200"/>
        <w:rPr>
          <w:rFonts w:ascii="宋体" w:hAnsi="宋体" w:eastAsia="宋体"/>
          <w:sz w:val="24"/>
          <w:highlight w:val="none"/>
        </w:rPr>
      </w:pPr>
      <w:r>
        <w:rPr>
          <w:rFonts w:ascii="宋体" w:hAnsi="宋体" w:eastAsia="宋体"/>
          <w:sz w:val="24"/>
          <w:highlight w:val="none"/>
        </w:rPr>
        <w:t>2.1.2 “合同价”系指根据合同约定，中标供应商在完全履行合同义务后</w:t>
      </w:r>
      <w:r>
        <w:rPr>
          <w:rFonts w:hint="eastAsia" w:ascii="宋体" w:hAnsi="宋体" w:eastAsia="宋体"/>
          <w:sz w:val="24"/>
          <w:highlight w:val="none"/>
        </w:rPr>
        <w:t>，</w:t>
      </w:r>
      <w:r>
        <w:rPr>
          <w:rFonts w:ascii="宋体" w:hAnsi="宋体" w:eastAsia="宋体"/>
          <w:sz w:val="24"/>
          <w:highlight w:val="none"/>
        </w:rPr>
        <w:t>采购人应支付给中标供应商的价格。</w:t>
      </w:r>
    </w:p>
    <w:p w14:paraId="399E2E51">
      <w:pPr>
        <w:spacing w:line="560" w:lineRule="exact"/>
        <w:ind w:firstLine="480" w:firstLineChars="200"/>
        <w:rPr>
          <w:rFonts w:ascii="宋体" w:hAnsi="宋体" w:eastAsia="宋体"/>
          <w:sz w:val="24"/>
          <w:highlight w:val="none"/>
        </w:rPr>
      </w:pPr>
      <w:r>
        <w:rPr>
          <w:rFonts w:ascii="宋体" w:hAnsi="宋体" w:eastAsia="宋体"/>
          <w:sz w:val="24"/>
          <w:highlight w:val="none"/>
        </w:rPr>
        <w:t>2.1.3 “</w:t>
      </w:r>
      <w:r>
        <w:rPr>
          <w:rFonts w:hint="eastAsia" w:ascii="宋体" w:hAnsi="宋体" w:eastAsia="宋体"/>
          <w:sz w:val="24"/>
          <w:highlight w:val="none"/>
        </w:rPr>
        <w:t>服务</w:t>
      </w:r>
      <w:r>
        <w:rPr>
          <w:rFonts w:ascii="宋体" w:hAnsi="宋体" w:eastAsia="宋体"/>
          <w:sz w:val="24"/>
          <w:highlight w:val="none"/>
        </w:rPr>
        <w:t>”系指</w:t>
      </w:r>
      <w:r>
        <w:rPr>
          <w:rFonts w:hint="eastAsia" w:ascii="宋体" w:hAnsi="宋体" w:eastAsia="宋体"/>
          <w:sz w:val="24"/>
          <w:highlight w:val="none"/>
        </w:rPr>
        <w:t>中标供应商</w:t>
      </w:r>
      <w:r>
        <w:rPr>
          <w:rFonts w:ascii="宋体" w:hAnsi="宋体" w:eastAsia="宋体"/>
          <w:sz w:val="24"/>
          <w:highlight w:val="none"/>
        </w:rPr>
        <w:t>根据合同约定应向采购人</w:t>
      </w:r>
      <w:r>
        <w:rPr>
          <w:rFonts w:hint="eastAsia" w:ascii="宋体" w:hAnsi="宋体" w:eastAsia="宋体"/>
          <w:sz w:val="24"/>
          <w:highlight w:val="none"/>
        </w:rPr>
        <w:t>履行</w:t>
      </w:r>
      <w:r>
        <w:rPr>
          <w:rFonts w:ascii="宋体" w:hAnsi="宋体" w:eastAsia="宋体"/>
          <w:sz w:val="24"/>
          <w:highlight w:val="none"/>
        </w:rPr>
        <w:t>的</w:t>
      </w:r>
      <w:r>
        <w:rPr>
          <w:rFonts w:hint="eastAsia" w:ascii="宋体" w:hAnsi="宋体" w:eastAsia="宋体"/>
          <w:sz w:val="24"/>
          <w:highlight w:val="none"/>
        </w:rPr>
        <w:t>除货物和工程以外的其他政府采购对象，包括采购人自身需要的服务和向社会公众提供的公共服务。</w:t>
      </w:r>
    </w:p>
    <w:p w14:paraId="23A7CBEB">
      <w:pPr>
        <w:spacing w:line="560" w:lineRule="exact"/>
        <w:ind w:firstLine="480" w:firstLineChars="200"/>
        <w:rPr>
          <w:rFonts w:ascii="宋体" w:hAnsi="宋体" w:eastAsia="宋体"/>
          <w:sz w:val="24"/>
          <w:highlight w:val="none"/>
        </w:rPr>
      </w:pPr>
      <w:r>
        <w:rPr>
          <w:rFonts w:ascii="宋体" w:hAnsi="宋体" w:eastAsia="宋体"/>
          <w:sz w:val="24"/>
          <w:highlight w:val="none"/>
        </w:rPr>
        <w:t>2.1.4 “</w:t>
      </w:r>
      <w:r>
        <w:rPr>
          <w:rFonts w:hint="eastAsia" w:ascii="宋体" w:hAnsi="宋体" w:eastAsia="宋体"/>
          <w:sz w:val="24"/>
          <w:highlight w:val="none"/>
        </w:rPr>
        <w:t>甲方</w:t>
      </w:r>
      <w:r>
        <w:rPr>
          <w:rFonts w:ascii="宋体" w:hAnsi="宋体" w:eastAsia="宋体"/>
          <w:sz w:val="24"/>
          <w:highlight w:val="none"/>
        </w:rPr>
        <w:t>”系指与</w:t>
      </w:r>
      <w:r>
        <w:rPr>
          <w:rFonts w:hint="eastAsia" w:ascii="宋体" w:hAnsi="宋体" w:eastAsia="宋体"/>
          <w:sz w:val="24"/>
          <w:highlight w:val="none"/>
        </w:rPr>
        <w:t>中标供应商</w:t>
      </w:r>
      <w:r>
        <w:rPr>
          <w:rFonts w:ascii="宋体" w:hAnsi="宋体" w:eastAsia="宋体"/>
          <w:sz w:val="24"/>
          <w:highlight w:val="none"/>
        </w:rPr>
        <w:t>签署合同的采购人</w:t>
      </w:r>
      <w:r>
        <w:rPr>
          <w:rFonts w:hint="eastAsia" w:ascii="宋体" w:hAnsi="宋体" w:eastAsia="宋体"/>
          <w:sz w:val="24"/>
          <w:highlight w:val="none"/>
        </w:rPr>
        <w:t>；采购人委托采购代理机构代表其与乙方签订合同的，采购人的授权委托书作为合同附件。</w:t>
      </w:r>
    </w:p>
    <w:p w14:paraId="60EE253C">
      <w:pPr>
        <w:spacing w:line="560" w:lineRule="exact"/>
        <w:ind w:firstLine="480" w:firstLineChars="200"/>
        <w:rPr>
          <w:rFonts w:ascii="宋体" w:hAnsi="宋体" w:eastAsia="宋体"/>
          <w:sz w:val="24"/>
          <w:highlight w:val="none"/>
        </w:rPr>
      </w:pPr>
      <w:r>
        <w:rPr>
          <w:rFonts w:ascii="宋体" w:hAnsi="宋体" w:eastAsia="宋体"/>
          <w:sz w:val="24"/>
          <w:highlight w:val="none"/>
        </w:rPr>
        <w:t>2.1.5 “乙方”系指根据合同约定提供服务的中标供应商</w:t>
      </w:r>
      <w:r>
        <w:rPr>
          <w:rFonts w:hint="eastAsia" w:ascii="宋体" w:hAnsi="宋体" w:eastAsia="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1F3BCE">
      <w:pPr>
        <w:spacing w:line="560" w:lineRule="exact"/>
        <w:ind w:firstLine="480" w:firstLineChars="200"/>
        <w:rPr>
          <w:rFonts w:ascii="宋体" w:hAnsi="宋体" w:eastAsia="宋体"/>
          <w:sz w:val="24"/>
          <w:highlight w:val="none"/>
        </w:rPr>
      </w:pPr>
      <w:r>
        <w:rPr>
          <w:rFonts w:ascii="宋体" w:hAnsi="宋体" w:eastAsia="宋体"/>
          <w:sz w:val="24"/>
          <w:highlight w:val="none"/>
        </w:rPr>
        <w:t>2.1.6 “现场”系指合同约定提供服务的地点。</w:t>
      </w:r>
    </w:p>
    <w:p w14:paraId="0AE41A94">
      <w:pPr>
        <w:spacing w:line="560" w:lineRule="exact"/>
        <w:ind w:firstLine="482" w:firstLineChars="200"/>
        <w:outlineLvl w:val="1"/>
        <w:rPr>
          <w:rFonts w:ascii="宋体" w:hAnsi="宋体" w:eastAsia="宋体"/>
          <w:b/>
          <w:sz w:val="24"/>
          <w:highlight w:val="none"/>
        </w:rPr>
      </w:pPr>
      <w:bookmarkStart w:id="432" w:name="_Toc19539"/>
      <w:bookmarkStart w:id="433" w:name="_Toc23289"/>
      <w:bookmarkStart w:id="434" w:name="_Toc31402"/>
      <w:bookmarkStart w:id="435" w:name="_Toc3769"/>
      <w:bookmarkStart w:id="436" w:name="_Toc16752"/>
      <w:r>
        <w:rPr>
          <w:rFonts w:ascii="宋体" w:hAnsi="宋体" w:eastAsia="宋体"/>
          <w:b/>
          <w:sz w:val="24"/>
          <w:highlight w:val="none"/>
        </w:rPr>
        <w:t>2.2 技术规范</w:t>
      </w:r>
      <w:bookmarkEnd w:id="432"/>
      <w:bookmarkEnd w:id="433"/>
      <w:bookmarkEnd w:id="434"/>
      <w:bookmarkEnd w:id="435"/>
      <w:bookmarkEnd w:id="436"/>
    </w:p>
    <w:p w14:paraId="5E0E550A">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服务</w:t>
      </w:r>
      <w:r>
        <w:rPr>
          <w:rFonts w:ascii="宋体" w:hAnsi="宋体" w:eastAsia="宋体"/>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sz w:val="24"/>
          <w:highlight w:val="none"/>
        </w:rPr>
        <w:t>；</w:t>
      </w:r>
      <w:r>
        <w:rPr>
          <w:rFonts w:ascii="宋体" w:hAnsi="宋体" w:eastAsia="宋体"/>
          <w:sz w:val="24"/>
          <w:highlight w:val="none"/>
        </w:rPr>
        <w:t>如果采购文件中没有技术规范的相应说明，那么应以国家有关部门最新颁布的相应标准</w:t>
      </w:r>
      <w:r>
        <w:rPr>
          <w:rFonts w:hint="eastAsia" w:ascii="宋体" w:hAnsi="宋体" w:eastAsia="宋体"/>
          <w:sz w:val="24"/>
          <w:highlight w:val="none"/>
        </w:rPr>
        <w:t>和</w:t>
      </w:r>
      <w:r>
        <w:rPr>
          <w:rFonts w:ascii="宋体" w:hAnsi="宋体" w:eastAsia="宋体"/>
          <w:sz w:val="24"/>
          <w:highlight w:val="none"/>
        </w:rPr>
        <w:t>规范为准。</w:t>
      </w:r>
    </w:p>
    <w:p w14:paraId="76D3AC10">
      <w:pPr>
        <w:spacing w:line="560" w:lineRule="exact"/>
        <w:ind w:firstLine="482" w:firstLineChars="200"/>
        <w:outlineLvl w:val="1"/>
        <w:rPr>
          <w:rFonts w:ascii="宋体" w:hAnsi="宋体" w:eastAsia="宋体"/>
          <w:b/>
          <w:sz w:val="24"/>
          <w:highlight w:val="none"/>
        </w:rPr>
      </w:pPr>
      <w:bookmarkStart w:id="437" w:name="_Toc4133"/>
      <w:bookmarkStart w:id="438" w:name="_Toc9161"/>
      <w:bookmarkStart w:id="439" w:name="_Toc27945"/>
      <w:bookmarkStart w:id="440" w:name="_Toc12412"/>
      <w:bookmarkStart w:id="441" w:name="_Toc13673"/>
      <w:r>
        <w:rPr>
          <w:rFonts w:ascii="宋体" w:hAnsi="宋体" w:eastAsia="宋体"/>
          <w:b/>
          <w:sz w:val="24"/>
          <w:highlight w:val="none"/>
        </w:rPr>
        <w:t>2.3 知识产权</w:t>
      </w:r>
      <w:bookmarkEnd w:id="437"/>
      <w:bookmarkEnd w:id="438"/>
      <w:bookmarkEnd w:id="439"/>
      <w:bookmarkEnd w:id="440"/>
      <w:bookmarkEnd w:id="441"/>
    </w:p>
    <w:p w14:paraId="3E374174">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2.3.1 </w:t>
      </w:r>
      <w:r>
        <w:rPr>
          <w:rFonts w:hint="eastAsia" w:ascii="宋体" w:hAnsi="宋体" w:eastAsia="宋体"/>
          <w:sz w:val="24"/>
          <w:highlight w:val="none"/>
        </w:rPr>
        <w:t>乙</w:t>
      </w:r>
      <w:r>
        <w:rPr>
          <w:rFonts w:ascii="宋体" w:hAnsi="宋体" w:eastAsia="宋体"/>
          <w:sz w:val="24"/>
          <w:highlight w:val="none"/>
        </w:rPr>
        <w:t>方应保证</w:t>
      </w:r>
      <w:r>
        <w:rPr>
          <w:rFonts w:hint="eastAsia" w:ascii="宋体" w:hAnsi="宋体" w:eastAsia="宋体"/>
          <w:sz w:val="24"/>
          <w:highlight w:val="none"/>
        </w:rPr>
        <w:t>其提供的服务</w:t>
      </w:r>
      <w:r>
        <w:rPr>
          <w:rFonts w:ascii="宋体" w:hAnsi="宋体" w:eastAsia="宋体"/>
          <w:sz w:val="24"/>
          <w:highlight w:val="none"/>
        </w:rPr>
        <w:t>不受任何第三方提出的侵犯其著作权、商标权、专利权等知识产权方面的起诉</w:t>
      </w:r>
      <w:r>
        <w:rPr>
          <w:rFonts w:hint="eastAsia" w:ascii="宋体" w:hAnsi="宋体" w:eastAsia="宋体"/>
          <w:sz w:val="24"/>
          <w:highlight w:val="none"/>
        </w:rPr>
        <w:t>；</w:t>
      </w:r>
      <w:r>
        <w:rPr>
          <w:rFonts w:ascii="宋体" w:hAnsi="宋体" w:eastAsia="宋体"/>
          <w:sz w:val="24"/>
          <w:highlight w:val="none"/>
        </w:rPr>
        <w:t>如果任何第三方提出侵权</w:t>
      </w:r>
      <w:r>
        <w:rPr>
          <w:rFonts w:hint="eastAsia" w:ascii="宋体" w:hAnsi="宋体" w:eastAsia="宋体"/>
          <w:sz w:val="24"/>
          <w:highlight w:val="none"/>
        </w:rPr>
        <w:t>指控</w:t>
      </w:r>
      <w:r>
        <w:rPr>
          <w:rFonts w:ascii="宋体" w:hAnsi="宋体" w:eastAsia="宋体"/>
          <w:sz w:val="24"/>
          <w:highlight w:val="none"/>
        </w:rPr>
        <w:t>，那么乙方须与该第三方交涉并承担由此发生的一切责任、费用和赔偿</w:t>
      </w:r>
      <w:r>
        <w:rPr>
          <w:rFonts w:hint="eastAsia" w:ascii="宋体" w:hAnsi="宋体" w:eastAsia="宋体"/>
          <w:sz w:val="24"/>
          <w:highlight w:val="none"/>
        </w:rPr>
        <w:t>；</w:t>
      </w:r>
    </w:p>
    <w:p w14:paraId="1A97BF68">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2.3.2 </w:t>
      </w:r>
      <w:r>
        <w:rPr>
          <w:rFonts w:hint="eastAsia" w:ascii="宋体" w:hAnsi="宋体" w:eastAsia="宋体"/>
          <w:sz w:val="24"/>
          <w:highlight w:val="none"/>
        </w:rPr>
        <w:t>合同涉及技术成果的归属和收益的分成办法的，</w:t>
      </w: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14:paraId="6DFE4D9C">
      <w:pPr>
        <w:spacing w:line="560" w:lineRule="exact"/>
        <w:ind w:firstLine="482" w:firstLineChars="200"/>
        <w:rPr>
          <w:rFonts w:ascii="宋体" w:hAnsi="宋体" w:eastAsia="宋体"/>
          <w:b/>
          <w:sz w:val="24"/>
          <w:highlight w:val="none"/>
        </w:rPr>
      </w:pPr>
      <w:r>
        <w:rPr>
          <w:rFonts w:ascii="宋体" w:hAnsi="宋体" w:eastAsia="宋体"/>
          <w:b/>
          <w:sz w:val="24"/>
          <w:highlight w:val="none"/>
        </w:rPr>
        <w:t xml:space="preserve">2.4 </w:t>
      </w:r>
      <w:r>
        <w:rPr>
          <w:rFonts w:hint="eastAsia" w:ascii="宋体" w:hAnsi="宋体" w:eastAsia="宋体"/>
          <w:b/>
          <w:sz w:val="24"/>
          <w:highlight w:val="none"/>
        </w:rPr>
        <w:t>履约检查和问题反馈</w:t>
      </w:r>
    </w:p>
    <w:p w14:paraId="405580B8">
      <w:pPr>
        <w:spacing w:line="560" w:lineRule="exact"/>
        <w:ind w:firstLine="480" w:firstLineChars="200"/>
        <w:rPr>
          <w:rFonts w:ascii="宋体" w:hAnsi="宋体" w:eastAsia="宋体"/>
          <w:sz w:val="24"/>
          <w:highlight w:val="none"/>
        </w:rPr>
      </w:pPr>
      <w:r>
        <w:rPr>
          <w:rFonts w:ascii="宋体" w:hAnsi="宋体" w:eastAsia="宋体"/>
          <w:sz w:val="24"/>
          <w:highlight w:val="none"/>
        </w:rPr>
        <w:t>2.4.1甲方</w:t>
      </w:r>
      <w:r>
        <w:rPr>
          <w:rFonts w:hint="eastAsia" w:ascii="宋体" w:hAnsi="宋体" w:eastAsia="宋体"/>
          <w:sz w:val="24"/>
          <w:highlight w:val="none"/>
        </w:rPr>
        <w:t>有权</w:t>
      </w:r>
      <w:r>
        <w:rPr>
          <w:rFonts w:ascii="宋体" w:hAnsi="宋体" w:eastAsia="宋体"/>
          <w:sz w:val="24"/>
          <w:highlight w:val="none"/>
        </w:rPr>
        <w:t>在其认为必要时</w:t>
      </w:r>
      <w:r>
        <w:rPr>
          <w:rFonts w:hint="eastAsia" w:ascii="宋体" w:hAnsi="宋体" w:eastAsia="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1AEF726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2.4.2 </w:t>
      </w:r>
      <w:r>
        <w:rPr>
          <w:rFonts w:hint="eastAsia" w:ascii="宋体" w:hAnsi="宋体" w:eastAsia="宋体"/>
          <w:sz w:val="24"/>
          <w:highlight w:val="none"/>
        </w:rPr>
        <w:t>合同履行期间，甲方有权将履行过程中出现的问题反馈给乙方，双方当事人应以书面形式约定需要完善和改进的内容。</w:t>
      </w:r>
    </w:p>
    <w:p w14:paraId="428325D1">
      <w:pPr>
        <w:spacing w:line="560" w:lineRule="exact"/>
        <w:ind w:firstLine="482" w:firstLineChars="200"/>
        <w:outlineLvl w:val="1"/>
        <w:rPr>
          <w:rFonts w:ascii="宋体" w:hAnsi="宋体" w:eastAsia="宋体"/>
          <w:b/>
          <w:sz w:val="24"/>
          <w:highlight w:val="none"/>
        </w:rPr>
      </w:pPr>
      <w:bookmarkStart w:id="442" w:name="_Toc15447"/>
      <w:bookmarkStart w:id="443" w:name="_Toc31233"/>
      <w:bookmarkStart w:id="444" w:name="_Toc32670"/>
      <w:bookmarkStart w:id="445" w:name="_Toc26555"/>
      <w:bookmarkStart w:id="446" w:name="_Toc22011"/>
      <w:r>
        <w:rPr>
          <w:rFonts w:ascii="宋体" w:hAnsi="宋体" w:eastAsia="宋体"/>
          <w:b/>
          <w:sz w:val="24"/>
          <w:highlight w:val="none"/>
        </w:rPr>
        <w:t>2.5 结算方式和付款条件</w:t>
      </w:r>
      <w:bookmarkEnd w:id="442"/>
      <w:bookmarkEnd w:id="443"/>
      <w:bookmarkEnd w:id="444"/>
      <w:bookmarkEnd w:id="445"/>
      <w:bookmarkEnd w:id="446"/>
    </w:p>
    <w:p w14:paraId="6F96A2AB">
      <w:pPr>
        <w:spacing w:line="560" w:lineRule="exact"/>
        <w:ind w:firstLine="480" w:firstLineChars="200"/>
        <w:rPr>
          <w:rFonts w:ascii="宋体" w:hAnsi="宋体" w:eastAsia="宋体"/>
          <w:sz w:val="24"/>
          <w:highlight w:val="none"/>
        </w:rPr>
      </w:pP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14:paraId="58861266">
      <w:pPr>
        <w:spacing w:line="560" w:lineRule="exact"/>
        <w:ind w:firstLine="482" w:firstLineChars="200"/>
        <w:outlineLvl w:val="1"/>
        <w:rPr>
          <w:rFonts w:ascii="宋体" w:hAnsi="宋体" w:eastAsia="宋体"/>
          <w:b/>
          <w:sz w:val="24"/>
          <w:highlight w:val="none"/>
        </w:rPr>
      </w:pPr>
      <w:bookmarkStart w:id="447" w:name="_Toc30507"/>
      <w:bookmarkStart w:id="448" w:name="_Toc18990"/>
      <w:bookmarkStart w:id="449" w:name="_Toc13467"/>
      <w:bookmarkStart w:id="450" w:name="_Toc13154"/>
      <w:bookmarkStart w:id="451" w:name="_Toc16163"/>
      <w:r>
        <w:rPr>
          <w:rFonts w:ascii="宋体" w:hAnsi="宋体" w:eastAsia="宋体"/>
          <w:b/>
          <w:sz w:val="24"/>
          <w:highlight w:val="none"/>
        </w:rPr>
        <w:t>2.6 技术资料和保密义务</w:t>
      </w:r>
      <w:bookmarkEnd w:id="447"/>
      <w:bookmarkEnd w:id="448"/>
      <w:bookmarkEnd w:id="449"/>
      <w:bookmarkEnd w:id="450"/>
      <w:bookmarkEnd w:id="451"/>
    </w:p>
    <w:p w14:paraId="47050743">
      <w:pPr>
        <w:spacing w:line="560" w:lineRule="exact"/>
        <w:ind w:firstLine="480" w:firstLineChars="200"/>
        <w:rPr>
          <w:rFonts w:ascii="宋体" w:hAnsi="宋体" w:eastAsia="宋体"/>
          <w:sz w:val="24"/>
          <w:highlight w:val="none"/>
        </w:rPr>
      </w:pPr>
      <w:r>
        <w:rPr>
          <w:rFonts w:ascii="宋体" w:hAnsi="宋体" w:eastAsia="宋体"/>
          <w:sz w:val="24"/>
          <w:highlight w:val="none"/>
        </w:rPr>
        <w:t>2.6.1 乙方有权依据合同约定和项目需要，向甲方了解有关情况，调阅有关资料等，甲方应予积极配合；</w:t>
      </w:r>
    </w:p>
    <w:p w14:paraId="09B9674D">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2.6.2 </w:t>
      </w:r>
      <w:r>
        <w:rPr>
          <w:rFonts w:hint="eastAsia" w:ascii="宋体" w:hAnsi="宋体" w:eastAsia="宋体"/>
          <w:sz w:val="24"/>
          <w:highlight w:val="none"/>
        </w:rPr>
        <w:t>乙方有义务妥善保管和保护由甲方提供的前款信息和资料等；</w:t>
      </w:r>
    </w:p>
    <w:p w14:paraId="7801806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2.6.3 </w:t>
      </w:r>
      <w:r>
        <w:rPr>
          <w:rFonts w:hint="eastAsia" w:ascii="宋体" w:hAnsi="宋体" w:eastAsia="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highlight w:val="none"/>
        </w:rPr>
        <w:t>技术情报</w:t>
      </w:r>
      <w:r>
        <w:rPr>
          <w:rFonts w:hint="eastAsia" w:ascii="宋体" w:hAnsi="宋体" w:eastAsia="宋体"/>
          <w:sz w:val="24"/>
          <w:highlight w:val="none"/>
        </w:rPr>
        <w:t>、</w:t>
      </w:r>
      <w:r>
        <w:rPr>
          <w:rFonts w:ascii="宋体" w:hAnsi="宋体" w:eastAsia="宋体"/>
          <w:sz w:val="24"/>
          <w:highlight w:val="none"/>
        </w:rPr>
        <w:t>技术资料</w:t>
      </w:r>
      <w:r>
        <w:rPr>
          <w:rFonts w:hint="eastAsia" w:ascii="宋体" w:hAnsi="宋体" w:eastAsia="宋体"/>
          <w:sz w:val="24"/>
          <w:highlight w:val="none"/>
        </w:rPr>
        <w:t>、商业秘密和商业信息等，并采取一切合理和必要措施和方式防止任何第三方接触到对方当事人的上述保密信息和资料。</w:t>
      </w:r>
    </w:p>
    <w:p w14:paraId="64A13467">
      <w:pPr>
        <w:spacing w:line="560" w:lineRule="exact"/>
        <w:ind w:firstLine="482" w:firstLineChars="200"/>
        <w:outlineLvl w:val="1"/>
        <w:rPr>
          <w:rFonts w:ascii="宋体" w:hAnsi="宋体" w:eastAsia="宋体"/>
          <w:b/>
          <w:sz w:val="24"/>
          <w:highlight w:val="none"/>
        </w:rPr>
      </w:pPr>
      <w:bookmarkStart w:id="452" w:name="_Toc19069"/>
      <w:r>
        <w:rPr>
          <w:rFonts w:ascii="宋体" w:hAnsi="宋体" w:eastAsia="宋体"/>
          <w:b/>
          <w:sz w:val="24"/>
          <w:highlight w:val="none"/>
        </w:rPr>
        <w:t xml:space="preserve">2.7 </w:t>
      </w:r>
      <w:r>
        <w:rPr>
          <w:rFonts w:hint="eastAsia" w:ascii="宋体" w:hAnsi="宋体" w:eastAsia="宋体"/>
          <w:b/>
          <w:sz w:val="24"/>
          <w:highlight w:val="none"/>
        </w:rPr>
        <w:t>质量保证</w:t>
      </w:r>
      <w:bookmarkEnd w:id="452"/>
    </w:p>
    <w:p w14:paraId="168EDA46">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2.7.1 </w:t>
      </w:r>
      <w:r>
        <w:rPr>
          <w:rFonts w:hint="eastAsia" w:ascii="宋体" w:hAnsi="宋体" w:eastAsia="宋体"/>
          <w:sz w:val="24"/>
          <w:highlight w:val="none"/>
        </w:rPr>
        <w:t>乙方应建立和完善履行合同的内部质量保证体系，并提供相关内部规章制度给甲方，以便甲方进行监督检查；</w:t>
      </w:r>
    </w:p>
    <w:p w14:paraId="184B091D">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2.7.2 </w:t>
      </w:r>
      <w:r>
        <w:rPr>
          <w:rFonts w:hint="eastAsia" w:ascii="宋体" w:hAnsi="宋体" w:eastAsia="宋体"/>
          <w:sz w:val="24"/>
          <w:highlight w:val="none"/>
        </w:rPr>
        <w:t>乙方应保证履行合同的人员数量和素质、软件和硬件设备的配置、场地、环境和设施等满足全面履行合同的要求，并应接受甲方的监督检查。</w:t>
      </w:r>
    </w:p>
    <w:p w14:paraId="7CEC6C8D">
      <w:pPr>
        <w:spacing w:line="560" w:lineRule="exact"/>
        <w:ind w:firstLine="482" w:firstLineChars="200"/>
        <w:outlineLvl w:val="1"/>
        <w:rPr>
          <w:rFonts w:ascii="宋体" w:hAnsi="宋体" w:eastAsia="宋体"/>
          <w:b/>
          <w:sz w:val="24"/>
          <w:highlight w:val="none"/>
        </w:rPr>
      </w:pPr>
      <w:bookmarkStart w:id="453" w:name="_Toc22267"/>
      <w:r>
        <w:rPr>
          <w:rFonts w:ascii="宋体" w:hAnsi="宋体" w:eastAsia="宋体"/>
          <w:b/>
          <w:sz w:val="24"/>
          <w:highlight w:val="none"/>
        </w:rPr>
        <w:t xml:space="preserve">2.8 </w:t>
      </w:r>
      <w:r>
        <w:rPr>
          <w:rFonts w:hint="eastAsia" w:ascii="宋体" w:hAnsi="宋体" w:eastAsia="宋体"/>
          <w:b/>
          <w:sz w:val="24"/>
          <w:highlight w:val="none"/>
        </w:rPr>
        <w:t>延迟履行</w:t>
      </w:r>
      <w:bookmarkEnd w:id="453"/>
    </w:p>
    <w:p w14:paraId="2941F406">
      <w:pPr>
        <w:spacing w:line="560" w:lineRule="exact"/>
        <w:ind w:firstLine="480" w:firstLineChars="200"/>
        <w:rPr>
          <w:rFonts w:ascii="宋体" w:hAnsi="宋体" w:eastAsia="宋体"/>
          <w:sz w:val="24"/>
          <w:highlight w:val="none"/>
        </w:rPr>
      </w:pPr>
      <w:r>
        <w:rPr>
          <w:rFonts w:ascii="宋体" w:hAnsi="宋体" w:eastAsia="宋体"/>
          <w:sz w:val="24"/>
          <w:highlight w:val="none"/>
        </w:rPr>
        <w:t>在合同履行过程中，如果乙方遇到不能按时</w:t>
      </w:r>
      <w:r>
        <w:rPr>
          <w:rFonts w:hint="eastAsia" w:ascii="宋体" w:hAnsi="宋体" w:eastAsia="宋体"/>
          <w:sz w:val="24"/>
          <w:highlight w:val="none"/>
        </w:rPr>
        <w:t>提供服务</w:t>
      </w:r>
      <w:r>
        <w:rPr>
          <w:rFonts w:ascii="宋体" w:hAnsi="宋体" w:eastAsia="宋体"/>
          <w:sz w:val="24"/>
          <w:highlight w:val="none"/>
        </w:rPr>
        <w:t>的情况，应及时以书面形式将不能按时</w:t>
      </w:r>
      <w:r>
        <w:rPr>
          <w:rFonts w:hint="eastAsia" w:ascii="宋体" w:hAnsi="宋体" w:eastAsia="宋体"/>
          <w:sz w:val="24"/>
          <w:highlight w:val="none"/>
        </w:rPr>
        <w:t>提供服务</w:t>
      </w:r>
      <w:r>
        <w:rPr>
          <w:rFonts w:ascii="宋体" w:hAnsi="宋体" w:eastAsia="宋体"/>
          <w:sz w:val="24"/>
          <w:highlight w:val="none"/>
        </w:rPr>
        <w:t>的理由、预期延误时间通知甲方</w:t>
      </w:r>
      <w:r>
        <w:rPr>
          <w:rFonts w:hint="eastAsia" w:ascii="宋体" w:hAnsi="宋体" w:eastAsia="宋体"/>
          <w:sz w:val="24"/>
          <w:highlight w:val="none"/>
        </w:rPr>
        <w:t>；甲</w:t>
      </w:r>
      <w:r>
        <w:rPr>
          <w:rFonts w:ascii="宋体" w:hAnsi="宋体" w:eastAsia="宋体"/>
          <w:sz w:val="24"/>
          <w:highlight w:val="none"/>
        </w:rPr>
        <w:t>方收到乙方通知后，认为其理由正当的，可以书面形式酌情同意乙方可以延长</w:t>
      </w:r>
      <w:r>
        <w:rPr>
          <w:rFonts w:hint="eastAsia" w:ascii="宋体" w:hAnsi="宋体" w:eastAsia="宋体"/>
          <w:sz w:val="24"/>
          <w:highlight w:val="none"/>
        </w:rPr>
        <w:t>履行</w:t>
      </w:r>
      <w:r>
        <w:rPr>
          <w:rFonts w:ascii="宋体" w:hAnsi="宋体" w:eastAsia="宋体"/>
          <w:sz w:val="24"/>
          <w:highlight w:val="none"/>
        </w:rPr>
        <w:t>的具体时间。</w:t>
      </w:r>
    </w:p>
    <w:p w14:paraId="21E5B871">
      <w:pPr>
        <w:spacing w:line="560" w:lineRule="exact"/>
        <w:ind w:firstLine="482" w:firstLineChars="200"/>
        <w:outlineLvl w:val="1"/>
        <w:rPr>
          <w:rFonts w:ascii="宋体" w:hAnsi="宋体" w:eastAsia="宋体"/>
          <w:b/>
          <w:sz w:val="24"/>
          <w:highlight w:val="none"/>
        </w:rPr>
      </w:pPr>
      <w:bookmarkStart w:id="454" w:name="_Toc10611"/>
      <w:r>
        <w:rPr>
          <w:rFonts w:ascii="宋体" w:hAnsi="宋体" w:eastAsia="宋体"/>
          <w:b/>
          <w:sz w:val="24"/>
          <w:highlight w:val="none"/>
        </w:rPr>
        <w:t xml:space="preserve">2.9 </w:t>
      </w:r>
      <w:r>
        <w:rPr>
          <w:rFonts w:hint="eastAsia" w:ascii="宋体" w:hAnsi="宋体" w:eastAsia="宋体"/>
          <w:b/>
          <w:sz w:val="24"/>
          <w:highlight w:val="none"/>
        </w:rPr>
        <w:t>合同变更</w:t>
      </w:r>
      <w:bookmarkEnd w:id="454"/>
    </w:p>
    <w:p w14:paraId="7ADFF774">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合同继续履行将损害国家利益和社会公共利益的，双方当事人应当以书面形式变更合同。有过错的一方应当承担赔偿责任，双方当事人都有过错的，各自承担相应的责任。</w:t>
      </w:r>
    </w:p>
    <w:p w14:paraId="637C8C3B">
      <w:pPr>
        <w:spacing w:line="560" w:lineRule="exact"/>
        <w:ind w:firstLine="482" w:firstLineChars="200"/>
        <w:outlineLvl w:val="1"/>
        <w:rPr>
          <w:rFonts w:ascii="宋体" w:hAnsi="宋体" w:eastAsia="宋体"/>
          <w:b/>
          <w:sz w:val="24"/>
          <w:highlight w:val="none"/>
        </w:rPr>
      </w:pPr>
      <w:bookmarkStart w:id="455" w:name="_Toc21830"/>
      <w:bookmarkStart w:id="456" w:name="_Toc10663"/>
      <w:bookmarkStart w:id="457" w:name="_Toc42"/>
      <w:bookmarkStart w:id="458" w:name="_Toc23368"/>
      <w:bookmarkStart w:id="459" w:name="_Toc26689"/>
      <w:r>
        <w:rPr>
          <w:rFonts w:ascii="宋体" w:hAnsi="宋体" w:eastAsia="宋体"/>
          <w:b/>
          <w:sz w:val="24"/>
          <w:highlight w:val="none"/>
        </w:rPr>
        <w:t>2.10 合同转让和分包</w:t>
      </w:r>
      <w:bookmarkEnd w:id="455"/>
      <w:bookmarkEnd w:id="456"/>
      <w:bookmarkEnd w:id="457"/>
      <w:bookmarkEnd w:id="458"/>
      <w:bookmarkEnd w:id="459"/>
    </w:p>
    <w:p w14:paraId="1A9024DA">
      <w:pPr>
        <w:spacing w:line="560" w:lineRule="exact"/>
        <w:ind w:firstLine="480" w:firstLineChars="200"/>
        <w:rPr>
          <w:rFonts w:ascii="宋体" w:hAnsi="宋体" w:eastAsia="宋体"/>
          <w:sz w:val="24"/>
          <w:highlight w:val="none"/>
        </w:rPr>
      </w:pPr>
      <w:r>
        <w:rPr>
          <w:rFonts w:ascii="宋体" w:hAnsi="宋体" w:eastAsia="宋体"/>
          <w:sz w:val="24"/>
          <w:highlight w:val="none"/>
        </w:rPr>
        <w:t>合同的权利义务依法不</w:t>
      </w:r>
      <w:r>
        <w:rPr>
          <w:rFonts w:hint="eastAsia" w:ascii="宋体" w:hAnsi="宋体" w:eastAsia="宋体"/>
          <w:sz w:val="24"/>
          <w:highlight w:val="none"/>
        </w:rPr>
        <w:t>得</w:t>
      </w:r>
      <w:r>
        <w:rPr>
          <w:rFonts w:ascii="宋体" w:hAnsi="宋体" w:eastAsia="宋体"/>
          <w:sz w:val="24"/>
          <w:highlight w:val="none"/>
        </w:rPr>
        <w:t>转让</w:t>
      </w:r>
      <w:r>
        <w:rPr>
          <w:rFonts w:hint="eastAsia" w:ascii="宋体" w:hAnsi="宋体" w:eastAsia="宋体"/>
          <w:sz w:val="24"/>
          <w:highlight w:val="none"/>
        </w:rPr>
        <w:t>，</w:t>
      </w:r>
      <w:r>
        <w:rPr>
          <w:rFonts w:ascii="宋体" w:hAnsi="宋体" w:eastAsia="宋体"/>
          <w:sz w:val="24"/>
          <w:highlight w:val="none"/>
        </w:rPr>
        <w:t>但经甲方</w:t>
      </w:r>
      <w:r>
        <w:rPr>
          <w:rFonts w:hint="eastAsia" w:ascii="宋体" w:hAnsi="宋体" w:eastAsia="宋体"/>
          <w:sz w:val="24"/>
          <w:highlight w:val="none"/>
        </w:rPr>
        <w:t>同意，乙方可以依法采取分包方式履行合同，即：依法可以</w:t>
      </w:r>
      <w:r>
        <w:rPr>
          <w:rFonts w:ascii="宋体" w:hAnsi="宋体" w:eastAsia="宋体"/>
          <w:sz w:val="24"/>
          <w:highlight w:val="none"/>
        </w:rPr>
        <w:t>将合同项下的部分非主体、非关键性工作分包给他人完成</w:t>
      </w:r>
      <w:r>
        <w:rPr>
          <w:rFonts w:hint="eastAsia" w:ascii="宋体" w:hAnsi="宋体" w:eastAsia="宋体"/>
          <w:sz w:val="24"/>
          <w:highlight w:val="none"/>
        </w:rPr>
        <w:t>，</w:t>
      </w:r>
      <w:r>
        <w:rPr>
          <w:rFonts w:ascii="宋体" w:hAnsi="宋体" w:eastAsia="宋体"/>
          <w:sz w:val="24"/>
          <w:highlight w:val="none"/>
        </w:rPr>
        <w:t>接受分包的人应当具备相应的资格条件，并不得再次分包</w:t>
      </w:r>
      <w:r>
        <w:rPr>
          <w:rFonts w:hint="eastAsia" w:ascii="宋体" w:hAnsi="宋体" w:eastAsia="宋体"/>
          <w:sz w:val="24"/>
          <w:highlight w:val="none"/>
        </w:rPr>
        <w:t>，</w:t>
      </w:r>
      <w:r>
        <w:rPr>
          <w:rFonts w:ascii="宋体" w:hAnsi="宋体" w:eastAsia="宋体"/>
          <w:sz w:val="24"/>
          <w:highlight w:val="none"/>
        </w:rPr>
        <w:t>且乙方应就分包项目向甲方负责</w:t>
      </w:r>
      <w:r>
        <w:rPr>
          <w:rFonts w:hint="eastAsia" w:ascii="宋体" w:hAnsi="宋体" w:eastAsia="宋体"/>
          <w:sz w:val="24"/>
          <w:highlight w:val="none"/>
        </w:rPr>
        <w:t>，</w:t>
      </w:r>
      <w:r>
        <w:rPr>
          <w:rFonts w:ascii="宋体" w:hAnsi="宋体" w:eastAsia="宋体"/>
          <w:sz w:val="24"/>
          <w:highlight w:val="none"/>
        </w:rPr>
        <w:t>并</w:t>
      </w:r>
      <w:r>
        <w:rPr>
          <w:rFonts w:hint="eastAsia" w:ascii="宋体" w:hAnsi="宋体" w:eastAsia="宋体"/>
          <w:sz w:val="24"/>
          <w:highlight w:val="none"/>
        </w:rPr>
        <w:t>与分包供应商就分包项目向甲方承担连带责任。</w:t>
      </w:r>
    </w:p>
    <w:p w14:paraId="07228A06">
      <w:pPr>
        <w:spacing w:line="560" w:lineRule="exact"/>
        <w:ind w:firstLine="482" w:firstLineChars="200"/>
        <w:outlineLvl w:val="1"/>
        <w:rPr>
          <w:rFonts w:ascii="宋体" w:hAnsi="宋体" w:eastAsia="宋体"/>
          <w:b/>
          <w:sz w:val="24"/>
          <w:highlight w:val="none"/>
        </w:rPr>
      </w:pPr>
      <w:bookmarkStart w:id="460" w:name="_Toc26633"/>
      <w:bookmarkStart w:id="461" w:name="_Toc25571"/>
      <w:bookmarkStart w:id="462" w:name="_Toc32494"/>
      <w:bookmarkStart w:id="463" w:name="_Toc14371"/>
      <w:bookmarkStart w:id="464" w:name="_Toc4720"/>
      <w:r>
        <w:rPr>
          <w:rFonts w:ascii="宋体" w:hAnsi="宋体" w:eastAsia="宋体"/>
          <w:b/>
          <w:sz w:val="24"/>
          <w:highlight w:val="none"/>
        </w:rPr>
        <w:t>2.11 不可抗力</w:t>
      </w:r>
      <w:bookmarkEnd w:id="460"/>
      <w:bookmarkEnd w:id="461"/>
      <w:bookmarkEnd w:id="462"/>
      <w:bookmarkEnd w:id="463"/>
      <w:bookmarkEnd w:id="464"/>
    </w:p>
    <w:p w14:paraId="0D5EA785">
      <w:pPr>
        <w:spacing w:line="560" w:lineRule="exact"/>
        <w:ind w:firstLine="480" w:firstLineChars="200"/>
        <w:rPr>
          <w:rFonts w:ascii="宋体" w:hAnsi="宋体" w:eastAsia="宋体"/>
          <w:sz w:val="24"/>
          <w:highlight w:val="none"/>
        </w:rPr>
      </w:pPr>
      <w:r>
        <w:rPr>
          <w:rFonts w:ascii="宋体" w:hAnsi="宋体" w:eastAsia="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sz w:val="24"/>
          <w:highlight w:val="none"/>
        </w:rPr>
        <w:t>；</w:t>
      </w:r>
    </w:p>
    <w:p w14:paraId="0860A92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2.11.2 </w:t>
      </w:r>
      <w:r>
        <w:rPr>
          <w:rFonts w:hint="eastAsia" w:ascii="宋体" w:hAnsi="宋体" w:eastAsia="宋体"/>
          <w:sz w:val="24"/>
          <w:highlight w:val="none"/>
        </w:rPr>
        <w:t>因不可抗力致使不能实现合同目的的，当事人可以解除合同；</w:t>
      </w:r>
    </w:p>
    <w:p w14:paraId="5EBE939E">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2.11.3 </w:t>
      </w:r>
      <w:r>
        <w:rPr>
          <w:rFonts w:hint="eastAsia" w:ascii="宋体" w:hAnsi="宋体" w:eastAsia="宋体"/>
          <w:sz w:val="24"/>
          <w:highlight w:val="none"/>
        </w:rPr>
        <w:t>因</w:t>
      </w:r>
      <w:r>
        <w:rPr>
          <w:rFonts w:ascii="宋体" w:hAnsi="宋体" w:eastAsia="宋体"/>
          <w:sz w:val="24"/>
          <w:highlight w:val="none"/>
        </w:rPr>
        <w:t>不可抗力致使合同有变更必要的，双方当事人应在</w:t>
      </w:r>
      <w:r>
        <w:rPr>
          <w:rFonts w:ascii="宋体" w:hAnsi="宋体" w:eastAsia="宋体"/>
          <w:b/>
          <w:i/>
          <w:sz w:val="24"/>
          <w:highlight w:val="none"/>
          <w:u w:val="single"/>
        </w:rPr>
        <w:t>合同专用条款</w:t>
      </w:r>
      <w:r>
        <w:rPr>
          <w:rFonts w:ascii="宋体" w:hAnsi="宋体" w:eastAsia="宋体"/>
          <w:sz w:val="24"/>
          <w:highlight w:val="none"/>
        </w:rPr>
        <w:t>约定时间内以书面形式变更合同</w:t>
      </w:r>
      <w:r>
        <w:rPr>
          <w:rFonts w:hint="eastAsia" w:ascii="宋体" w:hAnsi="宋体" w:eastAsia="宋体"/>
          <w:sz w:val="24"/>
          <w:highlight w:val="none"/>
        </w:rPr>
        <w:t>；</w:t>
      </w:r>
    </w:p>
    <w:p w14:paraId="64826657">
      <w:pPr>
        <w:spacing w:line="560" w:lineRule="exact"/>
        <w:ind w:firstLine="480" w:firstLineChars="200"/>
        <w:rPr>
          <w:rFonts w:ascii="宋体" w:hAnsi="宋体" w:eastAsia="宋体"/>
          <w:sz w:val="24"/>
          <w:highlight w:val="none"/>
        </w:rPr>
      </w:pPr>
      <w:r>
        <w:rPr>
          <w:rFonts w:ascii="宋体" w:hAnsi="宋体" w:eastAsia="宋体"/>
          <w:sz w:val="24"/>
          <w:highlight w:val="none"/>
        </w:rPr>
        <w:t>2.11.4受</w:t>
      </w:r>
      <w:r>
        <w:rPr>
          <w:rFonts w:hint="eastAsia" w:ascii="宋体" w:hAnsi="宋体" w:eastAsia="宋体"/>
          <w:sz w:val="24"/>
          <w:highlight w:val="none"/>
        </w:rPr>
        <w:t>不可抗力</w:t>
      </w:r>
      <w:r>
        <w:rPr>
          <w:rFonts w:ascii="宋体" w:hAnsi="宋体" w:eastAsia="宋体"/>
          <w:sz w:val="24"/>
          <w:highlight w:val="none"/>
        </w:rPr>
        <w:t>影响的一方在不可抗力发生后</w:t>
      </w:r>
      <w:r>
        <w:rPr>
          <w:rFonts w:hint="eastAsia" w:ascii="宋体" w:hAnsi="宋体" w:eastAsia="宋体"/>
          <w:sz w:val="24"/>
          <w:highlight w:val="none"/>
        </w:rPr>
        <w:t>，</w:t>
      </w:r>
      <w:r>
        <w:rPr>
          <w:rFonts w:ascii="宋体" w:hAnsi="宋体" w:eastAsia="宋体"/>
          <w:sz w:val="24"/>
          <w:highlight w:val="none"/>
        </w:rPr>
        <w:t>应在</w:t>
      </w:r>
      <w:r>
        <w:rPr>
          <w:rFonts w:ascii="宋体" w:hAnsi="宋体" w:eastAsia="宋体"/>
          <w:b/>
          <w:i/>
          <w:sz w:val="24"/>
          <w:highlight w:val="none"/>
          <w:u w:val="single"/>
        </w:rPr>
        <w:t>合同专用条款</w:t>
      </w:r>
      <w:r>
        <w:rPr>
          <w:rFonts w:ascii="宋体" w:hAnsi="宋体" w:eastAsia="宋体"/>
          <w:sz w:val="24"/>
          <w:highlight w:val="none"/>
        </w:rPr>
        <w:t>约定时间内以书面形式通知</w:t>
      </w:r>
      <w:r>
        <w:rPr>
          <w:rFonts w:hint="eastAsia" w:ascii="宋体" w:hAnsi="宋体" w:eastAsia="宋体"/>
          <w:sz w:val="24"/>
          <w:highlight w:val="none"/>
        </w:rPr>
        <w:t>对</w:t>
      </w:r>
      <w:r>
        <w:rPr>
          <w:rFonts w:ascii="宋体" w:hAnsi="宋体" w:eastAsia="宋体"/>
          <w:sz w:val="24"/>
          <w:highlight w:val="none"/>
        </w:rPr>
        <w:t>方当事人，并在</w:t>
      </w:r>
      <w:r>
        <w:rPr>
          <w:rFonts w:ascii="宋体" w:hAnsi="宋体" w:eastAsia="宋体"/>
          <w:b/>
          <w:i/>
          <w:sz w:val="24"/>
          <w:highlight w:val="none"/>
          <w:u w:val="single"/>
        </w:rPr>
        <w:t>合同专用条款</w:t>
      </w:r>
      <w:r>
        <w:rPr>
          <w:rFonts w:ascii="宋体" w:hAnsi="宋体" w:eastAsia="宋体"/>
          <w:sz w:val="24"/>
          <w:highlight w:val="none"/>
        </w:rPr>
        <w:t>约定时间内，将有关部门出具的证明文件送达</w:t>
      </w:r>
      <w:r>
        <w:rPr>
          <w:rFonts w:hint="eastAsia" w:ascii="宋体" w:hAnsi="宋体" w:eastAsia="宋体"/>
          <w:sz w:val="24"/>
          <w:highlight w:val="none"/>
        </w:rPr>
        <w:t>对方当事人</w:t>
      </w:r>
      <w:r>
        <w:rPr>
          <w:rFonts w:ascii="宋体" w:hAnsi="宋体" w:eastAsia="宋体"/>
          <w:sz w:val="24"/>
          <w:highlight w:val="none"/>
        </w:rPr>
        <w:t>。</w:t>
      </w:r>
    </w:p>
    <w:p w14:paraId="6E10868C">
      <w:pPr>
        <w:spacing w:line="560" w:lineRule="exact"/>
        <w:ind w:firstLine="482" w:firstLineChars="200"/>
        <w:outlineLvl w:val="1"/>
        <w:rPr>
          <w:rFonts w:ascii="宋体" w:hAnsi="宋体" w:eastAsia="宋体"/>
          <w:b/>
          <w:sz w:val="24"/>
          <w:highlight w:val="none"/>
        </w:rPr>
      </w:pPr>
      <w:bookmarkStart w:id="465" w:name="_Toc3638"/>
      <w:bookmarkStart w:id="466" w:name="_Toc14115"/>
      <w:bookmarkStart w:id="467" w:name="_Toc25783"/>
      <w:bookmarkStart w:id="468" w:name="_Toc24465"/>
      <w:bookmarkStart w:id="469" w:name="_Toc23854"/>
      <w:r>
        <w:rPr>
          <w:rFonts w:ascii="宋体" w:hAnsi="宋体" w:eastAsia="宋体"/>
          <w:b/>
          <w:sz w:val="24"/>
          <w:highlight w:val="none"/>
        </w:rPr>
        <w:t>2.12 税费</w:t>
      </w:r>
      <w:bookmarkEnd w:id="465"/>
      <w:bookmarkEnd w:id="466"/>
      <w:bookmarkEnd w:id="467"/>
      <w:bookmarkEnd w:id="468"/>
      <w:bookmarkEnd w:id="469"/>
    </w:p>
    <w:p w14:paraId="62FB1BE8">
      <w:pPr>
        <w:spacing w:line="560" w:lineRule="exact"/>
        <w:ind w:firstLine="480" w:firstLineChars="200"/>
        <w:rPr>
          <w:rFonts w:ascii="宋体" w:hAnsi="宋体" w:eastAsia="宋体"/>
          <w:sz w:val="24"/>
          <w:highlight w:val="none"/>
        </w:rPr>
      </w:pPr>
      <w:r>
        <w:rPr>
          <w:rFonts w:ascii="宋体" w:hAnsi="宋体" w:eastAsia="宋体"/>
          <w:sz w:val="24"/>
          <w:highlight w:val="none"/>
        </w:rPr>
        <w:t>与合同有关的一切税费</w:t>
      </w:r>
      <w:r>
        <w:rPr>
          <w:rFonts w:hint="eastAsia" w:ascii="宋体" w:hAnsi="宋体" w:eastAsia="宋体"/>
          <w:sz w:val="24"/>
          <w:highlight w:val="none"/>
        </w:rPr>
        <w:t>，</w:t>
      </w:r>
      <w:r>
        <w:rPr>
          <w:rFonts w:ascii="宋体" w:hAnsi="宋体" w:eastAsia="宋体"/>
          <w:sz w:val="24"/>
          <w:highlight w:val="none"/>
        </w:rPr>
        <w:t>均按照中华人民共和国法律的相关规定缴纳。</w:t>
      </w:r>
    </w:p>
    <w:p w14:paraId="43D878B0">
      <w:pPr>
        <w:spacing w:line="560" w:lineRule="exact"/>
        <w:ind w:firstLine="482" w:firstLineChars="200"/>
        <w:outlineLvl w:val="1"/>
        <w:rPr>
          <w:rFonts w:ascii="宋体" w:hAnsi="宋体" w:eastAsia="宋体"/>
          <w:b/>
          <w:sz w:val="24"/>
          <w:highlight w:val="none"/>
        </w:rPr>
      </w:pPr>
      <w:bookmarkStart w:id="470" w:name="_Toc30105"/>
      <w:bookmarkStart w:id="471" w:name="_Toc14814"/>
      <w:bookmarkStart w:id="472" w:name="_Toc25525"/>
      <w:bookmarkStart w:id="473" w:name="_Toc26883"/>
      <w:bookmarkStart w:id="474" w:name="_Toc7315"/>
      <w:r>
        <w:rPr>
          <w:rFonts w:ascii="宋体" w:hAnsi="宋体" w:eastAsia="宋体"/>
          <w:b/>
          <w:sz w:val="24"/>
          <w:highlight w:val="none"/>
        </w:rPr>
        <w:t>2.13 乙方破产</w:t>
      </w:r>
      <w:bookmarkEnd w:id="470"/>
      <w:bookmarkEnd w:id="471"/>
      <w:bookmarkEnd w:id="472"/>
      <w:bookmarkEnd w:id="473"/>
      <w:bookmarkEnd w:id="474"/>
    </w:p>
    <w:p w14:paraId="53ACD8C7">
      <w:pPr>
        <w:spacing w:line="560" w:lineRule="exact"/>
        <w:ind w:firstLine="480" w:firstLineChars="200"/>
        <w:rPr>
          <w:rFonts w:ascii="宋体" w:hAnsi="宋体" w:eastAsia="宋体"/>
          <w:sz w:val="24"/>
          <w:highlight w:val="none"/>
        </w:rPr>
      </w:pPr>
      <w:r>
        <w:rPr>
          <w:rFonts w:ascii="宋体" w:hAnsi="宋体" w:eastAsia="宋体"/>
          <w:sz w:val="24"/>
          <w:highlight w:val="none"/>
        </w:rPr>
        <w:t>如果乙方破产导致合同无法履行时，甲方可以书面形式通知乙方终止合同且不给予乙方任何补偿和赔偿</w:t>
      </w:r>
      <w:r>
        <w:rPr>
          <w:rFonts w:hint="eastAsia" w:ascii="宋体" w:hAnsi="宋体" w:eastAsia="宋体"/>
          <w:sz w:val="24"/>
          <w:highlight w:val="none"/>
        </w:rPr>
        <w:t>，但合同的</w:t>
      </w:r>
      <w:r>
        <w:rPr>
          <w:rFonts w:ascii="宋体" w:hAnsi="宋体" w:eastAsia="宋体"/>
          <w:sz w:val="24"/>
          <w:highlight w:val="none"/>
        </w:rPr>
        <w:t>终止不损害或不影响甲方已经采取或将要采取的任何要求乙方支付违约金</w:t>
      </w:r>
      <w:r>
        <w:rPr>
          <w:rFonts w:hint="eastAsia" w:ascii="宋体" w:hAnsi="宋体" w:eastAsia="宋体"/>
          <w:sz w:val="24"/>
          <w:highlight w:val="none"/>
        </w:rPr>
        <w:t>、</w:t>
      </w:r>
      <w:r>
        <w:rPr>
          <w:rFonts w:ascii="宋体" w:hAnsi="宋体" w:eastAsia="宋体"/>
          <w:sz w:val="24"/>
          <w:highlight w:val="none"/>
        </w:rPr>
        <w:t>赔偿损失等的行动或补救措施的权利</w:t>
      </w:r>
      <w:r>
        <w:rPr>
          <w:rFonts w:hint="eastAsia" w:ascii="宋体" w:hAnsi="宋体" w:eastAsia="宋体"/>
          <w:sz w:val="24"/>
          <w:highlight w:val="none"/>
        </w:rPr>
        <w:t>。</w:t>
      </w:r>
    </w:p>
    <w:p w14:paraId="658FE60D">
      <w:pPr>
        <w:spacing w:line="560" w:lineRule="exact"/>
        <w:ind w:firstLine="482" w:firstLineChars="200"/>
        <w:outlineLvl w:val="1"/>
        <w:rPr>
          <w:rFonts w:ascii="宋体" w:hAnsi="宋体" w:eastAsia="宋体"/>
          <w:b/>
          <w:sz w:val="24"/>
          <w:highlight w:val="none"/>
        </w:rPr>
      </w:pPr>
      <w:bookmarkStart w:id="475" w:name="_Toc1123"/>
      <w:bookmarkStart w:id="476" w:name="_Toc2016"/>
      <w:bookmarkStart w:id="477" w:name="_Toc23323"/>
      <w:r>
        <w:rPr>
          <w:rFonts w:ascii="宋体" w:hAnsi="宋体" w:eastAsia="宋体"/>
          <w:b/>
          <w:sz w:val="24"/>
          <w:highlight w:val="none"/>
        </w:rPr>
        <w:t>2.14 合同中止、终止</w:t>
      </w:r>
      <w:bookmarkEnd w:id="475"/>
      <w:bookmarkEnd w:id="476"/>
      <w:bookmarkEnd w:id="477"/>
    </w:p>
    <w:p w14:paraId="5A0AC4A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2.14.1 </w:t>
      </w:r>
      <w:r>
        <w:rPr>
          <w:rFonts w:hint="eastAsia" w:ascii="宋体" w:hAnsi="宋体" w:eastAsia="宋体"/>
          <w:sz w:val="24"/>
          <w:highlight w:val="none"/>
        </w:rPr>
        <w:t>双方当事人不得擅自中止或者终止合同；</w:t>
      </w:r>
    </w:p>
    <w:p w14:paraId="1777EF58">
      <w:pPr>
        <w:spacing w:line="560" w:lineRule="exact"/>
        <w:ind w:firstLine="480" w:firstLineChars="200"/>
        <w:rPr>
          <w:rFonts w:ascii="宋体" w:hAnsi="宋体" w:eastAsia="宋体"/>
          <w:sz w:val="24"/>
          <w:highlight w:val="none"/>
        </w:rPr>
      </w:pPr>
      <w:r>
        <w:rPr>
          <w:rFonts w:ascii="宋体" w:hAnsi="宋体" w:eastAsia="宋体"/>
          <w:sz w:val="24"/>
          <w:highlight w:val="none"/>
        </w:rPr>
        <w:t>2.14.2合同继续履行将损害国家利益和社会公共利益的，双方当事人应当中止或者终止合同。有过错的一方应当承担赔偿责任，双方当事人都有过错的，各自承担相应的责任。</w:t>
      </w:r>
    </w:p>
    <w:p w14:paraId="26172291">
      <w:pPr>
        <w:spacing w:line="560" w:lineRule="exact"/>
        <w:ind w:firstLine="482" w:firstLineChars="200"/>
        <w:outlineLvl w:val="1"/>
        <w:rPr>
          <w:rFonts w:ascii="宋体" w:hAnsi="宋体" w:eastAsia="宋体"/>
          <w:b/>
          <w:sz w:val="24"/>
          <w:highlight w:val="none"/>
        </w:rPr>
      </w:pPr>
      <w:bookmarkStart w:id="478" w:name="_Toc17363"/>
      <w:bookmarkStart w:id="479" w:name="_Toc1969"/>
      <w:bookmarkStart w:id="480" w:name="_Toc14525"/>
      <w:r>
        <w:rPr>
          <w:rFonts w:ascii="宋体" w:hAnsi="宋体" w:eastAsia="宋体"/>
          <w:b/>
          <w:sz w:val="24"/>
          <w:highlight w:val="none"/>
        </w:rPr>
        <w:t>2.15 检验和验收</w:t>
      </w:r>
      <w:bookmarkEnd w:id="478"/>
      <w:bookmarkEnd w:id="479"/>
      <w:bookmarkEnd w:id="480"/>
    </w:p>
    <w:p w14:paraId="3377470D">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2.15.1 </w:t>
      </w:r>
      <w:r>
        <w:rPr>
          <w:rFonts w:hint="eastAsia" w:ascii="宋体" w:hAnsi="宋体" w:eastAsia="宋体"/>
          <w:sz w:val="24"/>
          <w:highlight w:val="none"/>
        </w:rPr>
        <w:t>乙方按照</w:t>
      </w:r>
      <w:r>
        <w:rPr>
          <w:rFonts w:ascii="宋体" w:hAnsi="宋体" w:eastAsia="宋体"/>
          <w:b/>
          <w:i/>
          <w:sz w:val="24"/>
          <w:highlight w:val="none"/>
          <w:u w:val="single"/>
        </w:rPr>
        <w:t>合同专用条款</w:t>
      </w:r>
      <w:r>
        <w:rPr>
          <w:rFonts w:ascii="宋体" w:hAnsi="宋体" w:eastAsia="宋体"/>
          <w:sz w:val="24"/>
          <w:highlight w:val="none"/>
        </w:rPr>
        <w:t>的约定</w:t>
      </w:r>
      <w:r>
        <w:rPr>
          <w:rFonts w:hint="eastAsia" w:ascii="宋体" w:hAnsi="宋体" w:eastAsia="宋体"/>
          <w:sz w:val="24"/>
          <w:highlight w:val="none"/>
        </w:rPr>
        <w:t>，</w:t>
      </w:r>
      <w:r>
        <w:rPr>
          <w:rFonts w:ascii="宋体" w:hAnsi="宋体" w:eastAsia="宋体"/>
          <w:sz w:val="24"/>
          <w:highlight w:val="none"/>
        </w:rPr>
        <w:t>定期提交服务报告</w:t>
      </w:r>
      <w:r>
        <w:rPr>
          <w:rFonts w:hint="eastAsia" w:ascii="宋体" w:hAnsi="宋体" w:eastAsia="宋体"/>
          <w:sz w:val="24"/>
          <w:highlight w:val="none"/>
        </w:rPr>
        <w:t>，甲方按照</w:t>
      </w:r>
      <w:r>
        <w:rPr>
          <w:rFonts w:ascii="宋体" w:hAnsi="宋体" w:eastAsia="宋体"/>
          <w:b/>
          <w:i/>
          <w:sz w:val="24"/>
          <w:highlight w:val="none"/>
          <w:u w:val="single"/>
        </w:rPr>
        <w:t>合同专用条款</w:t>
      </w:r>
      <w:r>
        <w:rPr>
          <w:rFonts w:ascii="宋体" w:hAnsi="宋体" w:eastAsia="宋体"/>
          <w:sz w:val="24"/>
          <w:highlight w:val="none"/>
        </w:rPr>
        <w:t>的约定进行定期验收</w:t>
      </w:r>
      <w:r>
        <w:rPr>
          <w:rFonts w:hint="eastAsia" w:ascii="宋体" w:hAnsi="宋体" w:eastAsia="宋体"/>
          <w:sz w:val="24"/>
          <w:highlight w:val="none"/>
        </w:rPr>
        <w:t>；</w:t>
      </w:r>
    </w:p>
    <w:p w14:paraId="78CCC27D">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2.15.2 </w:t>
      </w:r>
      <w:r>
        <w:rPr>
          <w:rFonts w:hint="eastAsia" w:ascii="宋体" w:hAnsi="宋体" w:eastAsia="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F7FF5D">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2.15.3 </w:t>
      </w:r>
      <w:r>
        <w:rPr>
          <w:rFonts w:hint="eastAsia" w:ascii="宋体" w:hAnsi="宋体" w:eastAsia="宋体"/>
          <w:sz w:val="24"/>
          <w:highlight w:val="none"/>
        </w:rPr>
        <w:t>检验和验收标准、程序等具体内容以及前述验收书的效力详见</w:t>
      </w:r>
      <w:r>
        <w:rPr>
          <w:rFonts w:ascii="宋体" w:hAnsi="宋体" w:eastAsia="宋体"/>
          <w:b/>
          <w:i/>
          <w:sz w:val="24"/>
          <w:highlight w:val="none"/>
          <w:u w:val="single"/>
        </w:rPr>
        <w:t>合同专用条款</w:t>
      </w:r>
      <w:r>
        <w:rPr>
          <w:rFonts w:hint="eastAsia" w:ascii="宋体" w:hAnsi="宋体" w:eastAsia="宋体"/>
          <w:i/>
          <w:sz w:val="24"/>
          <w:highlight w:val="none"/>
        </w:rPr>
        <w:t>。</w:t>
      </w:r>
    </w:p>
    <w:p w14:paraId="6B7593EC">
      <w:pPr>
        <w:spacing w:line="560" w:lineRule="exact"/>
        <w:ind w:firstLine="482" w:firstLineChars="200"/>
        <w:outlineLvl w:val="1"/>
        <w:rPr>
          <w:rFonts w:ascii="宋体" w:hAnsi="宋体" w:eastAsia="宋体"/>
          <w:b/>
          <w:sz w:val="24"/>
          <w:highlight w:val="none"/>
        </w:rPr>
      </w:pPr>
      <w:bookmarkStart w:id="481" w:name="_Toc31892"/>
      <w:bookmarkStart w:id="482" w:name="_Toc12666"/>
      <w:bookmarkStart w:id="483" w:name="_Toc2308"/>
      <w:bookmarkStart w:id="484" w:name="_Toc25198"/>
      <w:bookmarkStart w:id="485" w:name="_Toc9808"/>
      <w:r>
        <w:rPr>
          <w:rFonts w:ascii="宋体" w:hAnsi="宋体" w:eastAsia="宋体"/>
          <w:b/>
          <w:sz w:val="24"/>
          <w:highlight w:val="none"/>
        </w:rPr>
        <w:t>2.16 通知和送达</w:t>
      </w:r>
      <w:bookmarkEnd w:id="481"/>
      <w:bookmarkEnd w:id="482"/>
      <w:bookmarkEnd w:id="483"/>
      <w:bookmarkEnd w:id="484"/>
      <w:bookmarkEnd w:id="485"/>
    </w:p>
    <w:p w14:paraId="7543F940">
      <w:pPr>
        <w:spacing w:line="560" w:lineRule="exact"/>
        <w:ind w:firstLine="480" w:firstLineChars="200"/>
        <w:rPr>
          <w:rFonts w:ascii="宋体" w:hAnsi="宋体" w:eastAsia="宋体"/>
          <w:sz w:val="24"/>
          <w:highlight w:val="none"/>
        </w:rPr>
      </w:pPr>
      <w:bookmarkStart w:id="486" w:name="_Toc18401"/>
      <w:bookmarkStart w:id="487" w:name="_Toc27674"/>
      <w:r>
        <w:rPr>
          <w:rFonts w:ascii="宋体" w:hAnsi="宋体" w:eastAsia="宋体"/>
          <w:sz w:val="24"/>
          <w:highlight w:val="none"/>
        </w:rPr>
        <w:t>2.17.1</w:t>
      </w:r>
      <w:r>
        <w:rPr>
          <w:rFonts w:hint="eastAsia" w:ascii="宋体" w:hAnsi="宋体" w:eastAsia="宋体"/>
          <w:sz w:val="24"/>
          <w:highlight w:val="none"/>
        </w:rPr>
        <w:t>任何一方因履行合同而以合同第一部分尾部所列明的传真或电子邮件</w:t>
      </w:r>
      <w:r>
        <w:rPr>
          <w:rFonts w:ascii="宋体" w:hAnsi="宋体" w:eastAsia="宋体"/>
          <w:sz w:val="24"/>
          <w:highlight w:val="none"/>
        </w:rPr>
        <w:t xml:space="preserve"> </w:t>
      </w:r>
      <w:r>
        <w:rPr>
          <w:rFonts w:ascii="宋体" w:hAnsi="宋体" w:eastAsia="宋体"/>
          <w:sz w:val="24"/>
          <w:highlight w:val="none"/>
          <w:u w:val="single"/>
        </w:rPr>
        <w:t xml:space="preserve">       </w:t>
      </w:r>
      <w:r>
        <w:rPr>
          <w:rFonts w:hint="eastAsia" w:ascii="宋体" w:hAnsi="宋体" w:eastAsia="宋体"/>
          <w:sz w:val="24"/>
          <w:highlight w:val="none"/>
        </w:rPr>
        <w:t>发出的所有通知、文件、材料，均视为已向对方当事人送达；任何一方变更上述送达方式或者地址的，应于</w:t>
      </w:r>
      <w:r>
        <w:rPr>
          <w:rFonts w:ascii="宋体" w:hAnsi="宋体" w:eastAsia="宋体"/>
          <w:sz w:val="24"/>
          <w:highlight w:val="none"/>
          <w:u w:val="single"/>
        </w:rPr>
        <w:t>3</w:t>
      </w:r>
      <w:r>
        <w:rPr>
          <w:rFonts w:hint="eastAsia" w:ascii="宋体" w:hAnsi="宋体" w:eastAsia="宋体"/>
          <w:sz w:val="24"/>
          <w:highlight w:val="none"/>
        </w:rPr>
        <w:t>个工作日内书面通知对方当事人，在对方当事人收到有关变更通知之前，变更前的约定送达方式或者地址仍视为有效。</w:t>
      </w:r>
    </w:p>
    <w:p w14:paraId="59C72D6C">
      <w:pPr>
        <w:spacing w:line="560" w:lineRule="exact"/>
        <w:ind w:firstLine="480" w:firstLineChars="200"/>
        <w:rPr>
          <w:rFonts w:ascii="宋体" w:hAnsi="宋体" w:eastAsia="宋体"/>
          <w:sz w:val="24"/>
          <w:highlight w:val="none"/>
        </w:rPr>
      </w:pPr>
      <w:r>
        <w:rPr>
          <w:rFonts w:ascii="宋体" w:hAnsi="宋体" w:eastAsia="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highlight w:val="none"/>
        </w:rPr>
        <w:t>的，邮件挂号寄出或者交邮之日之次日视为送达。</w:t>
      </w:r>
      <w:bookmarkEnd w:id="486"/>
      <w:bookmarkEnd w:id="487"/>
    </w:p>
    <w:p w14:paraId="0AECD2A6">
      <w:pPr>
        <w:spacing w:line="560" w:lineRule="exact"/>
        <w:ind w:firstLine="482" w:firstLineChars="200"/>
        <w:outlineLvl w:val="1"/>
        <w:rPr>
          <w:rFonts w:ascii="宋体" w:hAnsi="宋体" w:eastAsia="宋体"/>
          <w:b/>
          <w:sz w:val="24"/>
          <w:highlight w:val="none"/>
        </w:rPr>
      </w:pPr>
      <w:bookmarkStart w:id="488" w:name="_Toc28906"/>
      <w:bookmarkStart w:id="489" w:name="_Toc27644"/>
      <w:bookmarkStart w:id="490" w:name="_Toc5063"/>
      <w:bookmarkStart w:id="491" w:name="_Toc12254"/>
      <w:bookmarkStart w:id="492" w:name="_Toc20808"/>
      <w:r>
        <w:rPr>
          <w:rFonts w:ascii="宋体" w:hAnsi="宋体" w:eastAsia="宋体"/>
          <w:b/>
          <w:sz w:val="24"/>
          <w:highlight w:val="none"/>
        </w:rPr>
        <w:t xml:space="preserve">2.17 </w:t>
      </w:r>
      <w:r>
        <w:rPr>
          <w:rFonts w:hint="eastAsia" w:ascii="宋体" w:hAnsi="宋体" w:eastAsia="宋体"/>
          <w:b/>
          <w:sz w:val="24"/>
          <w:highlight w:val="none"/>
        </w:rPr>
        <w:t>合同使用的文字和</w:t>
      </w:r>
      <w:r>
        <w:rPr>
          <w:rFonts w:ascii="宋体" w:hAnsi="宋体" w:eastAsia="宋体"/>
          <w:b/>
          <w:sz w:val="24"/>
          <w:highlight w:val="none"/>
        </w:rPr>
        <w:t>适用的法律</w:t>
      </w:r>
      <w:bookmarkEnd w:id="488"/>
      <w:bookmarkEnd w:id="489"/>
      <w:bookmarkEnd w:id="490"/>
      <w:bookmarkEnd w:id="491"/>
      <w:bookmarkEnd w:id="492"/>
    </w:p>
    <w:p w14:paraId="074C7A0B">
      <w:pPr>
        <w:spacing w:line="560" w:lineRule="exact"/>
        <w:ind w:firstLine="480" w:firstLineChars="200"/>
        <w:rPr>
          <w:rFonts w:ascii="宋体" w:hAnsi="宋体" w:eastAsia="宋体"/>
          <w:sz w:val="24"/>
          <w:highlight w:val="none"/>
        </w:rPr>
      </w:pPr>
      <w:r>
        <w:rPr>
          <w:rFonts w:ascii="宋体" w:hAnsi="宋体" w:eastAsia="宋体"/>
          <w:sz w:val="24"/>
          <w:highlight w:val="none"/>
        </w:rPr>
        <w:t>2.17.1 合同使用汉语</w:t>
      </w:r>
      <w:r>
        <w:rPr>
          <w:rFonts w:hint="eastAsia" w:ascii="宋体" w:hAnsi="宋体" w:eastAsia="宋体"/>
          <w:sz w:val="24"/>
          <w:highlight w:val="none"/>
          <w:lang w:eastAsia="zh-CN"/>
        </w:rPr>
        <w:t>书写</w:t>
      </w:r>
      <w:r>
        <w:rPr>
          <w:rFonts w:hint="eastAsia" w:ascii="宋体" w:hAnsi="宋体" w:eastAsia="宋体"/>
          <w:sz w:val="24"/>
          <w:highlight w:val="none"/>
        </w:rPr>
        <w:t>、</w:t>
      </w:r>
      <w:r>
        <w:rPr>
          <w:rFonts w:ascii="宋体" w:hAnsi="宋体" w:eastAsia="宋体"/>
          <w:sz w:val="24"/>
          <w:highlight w:val="none"/>
        </w:rPr>
        <w:t>变更和解释</w:t>
      </w:r>
      <w:r>
        <w:rPr>
          <w:rFonts w:hint="eastAsia" w:ascii="宋体" w:hAnsi="宋体" w:eastAsia="宋体"/>
          <w:sz w:val="24"/>
          <w:highlight w:val="none"/>
        </w:rPr>
        <w:t>；</w:t>
      </w:r>
    </w:p>
    <w:p w14:paraId="4493EB4E">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2.17.2 </w:t>
      </w:r>
      <w:r>
        <w:rPr>
          <w:rFonts w:hint="eastAsia" w:ascii="宋体" w:hAnsi="宋体" w:eastAsia="宋体"/>
          <w:sz w:val="24"/>
          <w:highlight w:val="none"/>
        </w:rPr>
        <w:t>合同适用</w:t>
      </w:r>
      <w:r>
        <w:rPr>
          <w:rFonts w:ascii="宋体" w:hAnsi="宋体" w:eastAsia="宋体"/>
          <w:sz w:val="24"/>
          <w:highlight w:val="none"/>
        </w:rPr>
        <w:t>中华人民共和国法律。</w:t>
      </w:r>
    </w:p>
    <w:p w14:paraId="1FD7859B">
      <w:pPr>
        <w:spacing w:line="560" w:lineRule="exact"/>
        <w:ind w:firstLine="482" w:firstLineChars="200"/>
        <w:outlineLvl w:val="1"/>
        <w:rPr>
          <w:rFonts w:ascii="宋体" w:hAnsi="宋体" w:eastAsia="宋体"/>
          <w:b/>
          <w:sz w:val="24"/>
          <w:highlight w:val="none"/>
        </w:rPr>
      </w:pPr>
      <w:bookmarkStart w:id="493" w:name="_Toc22266"/>
      <w:bookmarkStart w:id="494" w:name="_Toc27127"/>
      <w:bookmarkStart w:id="495" w:name="_Toc27403"/>
      <w:bookmarkStart w:id="496" w:name="_Toc30096"/>
      <w:bookmarkStart w:id="497" w:name="_Toc1492"/>
      <w:r>
        <w:rPr>
          <w:rFonts w:ascii="宋体" w:hAnsi="宋体" w:eastAsia="宋体"/>
          <w:b/>
          <w:sz w:val="24"/>
          <w:highlight w:val="none"/>
        </w:rPr>
        <w:t>2.18 履约保证金</w:t>
      </w:r>
      <w:bookmarkEnd w:id="493"/>
      <w:bookmarkEnd w:id="494"/>
      <w:bookmarkEnd w:id="495"/>
      <w:bookmarkEnd w:id="496"/>
      <w:bookmarkEnd w:id="497"/>
    </w:p>
    <w:p w14:paraId="45D4324E">
      <w:pPr>
        <w:pStyle w:val="626"/>
        <w:spacing w:before="0" w:beforeAutospacing="0" w:after="0" w:afterAutospacing="0" w:line="360" w:lineRule="auto"/>
        <w:ind w:firstLine="420"/>
        <w:rPr>
          <w:rFonts w:ascii="宋体" w:hAnsi="宋体" w:eastAsia="宋体"/>
          <w:highlight w:val="none"/>
        </w:rPr>
      </w:pPr>
      <w:r>
        <w:rPr>
          <w:rFonts w:ascii="宋体" w:hAnsi="宋体" w:eastAsia="宋体"/>
          <w:highlight w:val="none"/>
        </w:rPr>
        <w:t xml:space="preserve">2.18.1 </w:t>
      </w:r>
      <w:r>
        <w:rPr>
          <w:rFonts w:hint="eastAsia" w:ascii="宋体" w:hAnsi="宋体" w:eastAsia="宋体"/>
          <w:highlight w:val="none"/>
        </w:rPr>
        <w:t>采购文件要求乙方提交履约保证金的，乙方应按</w:t>
      </w:r>
      <w:r>
        <w:rPr>
          <w:rFonts w:hint="eastAsia" w:ascii="宋体" w:hAnsi="宋体" w:eastAsia="宋体"/>
          <w:b/>
          <w:i/>
          <w:highlight w:val="none"/>
          <w:u w:val="single"/>
        </w:rPr>
        <w:t>合同专用条款</w:t>
      </w:r>
      <w:r>
        <w:rPr>
          <w:rFonts w:hint="eastAsia" w:ascii="宋体" w:hAnsi="宋体" w:eastAsia="宋体"/>
          <w:highlight w:val="none"/>
        </w:rPr>
        <w:t>约定的方式，以支票、汇票、本票或者金融机构、担保机构出具的保函等非现金形式或者现金形式，提交不超过合同金额</w:t>
      </w:r>
      <w:r>
        <w:rPr>
          <w:rFonts w:ascii="宋体" w:hAnsi="宋体" w:eastAsia="宋体"/>
          <w:highlight w:val="none"/>
        </w:rPr>
        <w:t>1%的履约保证金；鼓励和支持乙方以银行、保险公司出具的保函形式提供履约保证</w:t>
      </w:r>
      <w:r>
        <w:rPr>
          <w:rFonts w:hint="eastAsia" w:ascii="宋体" w:hAnsi="宋体" w:eastAsia="宋体"/>
          <w:highlight w:val="none"/>
        </w:rPr>
        <w:t>，乙方以银行、保险公司出具保函形式提交履约保证金的，甲方不得拒收。</w:t>
      </w:r>
    </w:p>
    <w:p w14:paraId="4CE94CBD">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2.18.2  </w:t>
      </w:r>
      <w:r>
        <w:rPr>
          <w:rFonts w:hint="eastAsia" w:ascii="宋体" w:hAnsi="宋体" w:eastAsia="宋体"/>
          <w:sz w:val="24"/>
          <w:highlight w:val="none"/>
        </w:rPr>
        <w:t>甲方在项目验收结束后及时退还履约保证金。</w:t>
      </w:r>
      <w:r>
        <w:rPr>
          <w:rFonts w:hint="eastAsia" w:ascii="宋体" w:hAnsi="宋体" w:cs="宋体"/>
          <w:sz w:val="24"/>
          <w:highlight w:val="none"/>
        </w:rPr>
        <w:t>甲方在项目通过验收之日起</w:t>
      </w:r>
      <w:r>
        <w:rPr>
          <w:rFonts w:hint="eastAsia" w:ascii="宋体" w:hAnsi="宋体" w:cs="宋体"/>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sz w:val="24"/>
          <w:highlight w:val="none"/>
          <w:u w:val="single"/>
        </w:rPr>
        <w:t xml:space="preserve"> </w:t>
      </w:r>
      <w:r>
        <w:rPr>
          <w:rFonts w:hint="eastAsia" w:ascii="宋体" w:hAnsi="宋体" w:cs="宋体"/>
          <w:sz w:val="24"/>
          <w:highlight w:val="none"/>
        </w:rPr>
        <w:t>个工作日内将履约保证金退还乙方，逾期退还的，</w:t>
      </w:r>
      <w:r>
        <w:rPr>
          <w:rFonts w:hint="eastAsia" w:ascii="宋体" w:hAnsi="宋体" w:eastAsia="宋体"/>
          <w:sz w:val="24"/>
          <w:highlight w:val="none"/>
        </w:rPr>
        <w:t>乙方可要求甲方支付违约金，违约金按每迟延退还一日的应退还而未退还金额的</w:t>
      </w:r>
      <w:r>
        <w:rPr>
          <w:rFonts w:ascii="宋体" w:hAnsi="宋体" w:eastAsia="宋体"/>
          <w:sz w:val="24"/>
          <w:highlight w:val="none"/>
          <w:u w:val="single"/>
        </w:rPr>
        <w:t xml:space="preserve">  0.05  </w:t>
      </w:r>
      <w:r>
        <w:rPr>
          <w:rFonts w:ascii="宋体" w:hAnsi="宋体" w:eastAsia="宋体"/>
          <w:sz w:val="24"/>
          <w:highlight w:val="none"/>
        </w:rPr>
        <w:t>%计算，最高限额为本合同履约保证金的</w:t>
      </w:r>
      <w:r>
        <w:rPr>
          <w:rFonts w:ascii="宋体" w:hAnsi="宋体" w:eastAsia="宋体"/>
          <w:sz w:val="24"/>
          <w:highlight w:val="none"/>
          <w:u w:val="single"/>
        </w:rPr>
        <w:t xml:space="preserve">  20   </w:t>
      </w:r>
      <w:r>
        <w:rPr>
          <w:rFonts w:ascii="宋体" w:hAnsi="宋体" w:eastAsia="宋体"/>
          <w:sz w:val="24"/>
          <w:highlight w:val="none"/>
        </w:rPr>
        <w:t xml:space="preserve">%； </w:t>
      </w:r>
    </w:p>
    <w:p w14:paraId="699DF61E">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2.18.3 </w:t>
      </w:r>
      <w:r>
        <w:rPr>
          <w:rFonts w:hint="eastAsia" w:ascii="宋体" w:hAnsi="宋体" w:eastAsia="宋体"/>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750E21">
      <w:pPr>
        <w:spacing w:line="560" w:lineRule="exact"/>
        <w:ind w:firstLine="480" w:firstLineChars="200"/>
        <w:rPr>
          <w:rFonts w:ascii="宋体" w:hAnsi="宋体" w:eastAsia="宋体"/>
          <w:highlight w:val="none"/>
        </w:rPr>
      </w:pPr>
      <w:r>
        <w:rPr>
          <w:rFonts w:ascii="宋体" w:hAnsi="宋体" w:eastAsia="宋体"/>
          <w:sz w:val="24"/>
          <w:highlight w:val="none"/>
        </w:rPr>
        <w:t>2.18.4</w:t>
      </w:r>
      <w:r>
        <w:rPr>
          <w:rFonts w:hint="eastAsia" w:ascii="宋体" w:hAnsi="宋体" w:eastAsia="宋体"/>
          <w:sz w:val="24"/>
          <w:highlight w:val="none"/>
        </w:rPr>
        <w:t> 甲方</w:t>
      </w:r>
      <w:r>
        <w:rPr>
          <w:rFonts w:ascii="宋体" w:hAnsi="宋体" w:eastAsia="宋体"/>
          <w:sz w:val="24"/>
          <w:highlight w:val="none"/>
        </w:rPr>
        <w:t>在</w:t>
      </w:r>
      <w:r>
        <w:rPr>
          <w:rFonts w:hint="eastAsia" w:ascii="宋体" w:hAnsi="宋体" w:eastAsia="宋体"/>
          <w:sz w:val="24"/>
          <w:highlight w:val="none"/>
        </w:rPr>
        <w:t>乙方</w:t>
      </w:r>
      <w:r>
        <w:rPr>
          <w:rFonts w:ascii="宋体" w:hAnsi="宋体" w:eastAsia="宋体"/>
          <w:sz w:val="24"/>
          <w:highlight w:val="none"/>
        </w:rPr>
        <w:t>履行完合同约定义务事项后及时退还，延迟退还的，应当按照合同约定和法律规定承担相应的赔偿责任。</w:t>
      </w:r>
    </w:p>
    <w:p w14:paraId="49AA367D">
      <w:pPr>
        <w:spacing w:line="560" w:lineRule="exact"/>
        <w:ind w:firstLine="482" w:firstLineChars="200"/>
        <w:rPr>
          <w:rFonts w:ascii="宋体" w:hAnsi="宋体" w:eastAsia="宋体"/>
          <w:sz w:val="24"/>
          <w:highlight w:val="none"/>
        </w:rPr>
      </w:pPr>
      <w:r>
        <w:rPr>
          <w:rFonts w:ascii="宋体" w:hAnsi="宋体" w:eastAsia="宋体"/>
          <w:b/>
          <w:bCs/>
          <w:sz w:val="24"/>
          <w:highlight w:val="none"/>
        </w:rPr>
        <w:t>2.19</w:t>
      </w:r>
      <w:r>
        <w:rPr>
          <w:rFonts w:ascii="宋体" w:hAnsi="宋体" w:eastAsia="宋体"/>
          <w:sz w:val="24"/>
          <w:highlight w:val="none"/>
        </w:rPr>
        <w:t>对于因甲方原因导致变更、中止或者终止政府采购合同的，甲方应当依照合同约定对供应商受到的损失予以赔偿或者补偿</w:t>
      </w:r>
      <w:r>
        <w:rPr>
          <w:rFonts w:hint="eastAsia" w:ascii="宋体" w:hAnsi="宋体" w:eastAsia="宋体"/>
          <w:sz w:val="24"/>
          <w:highlight w:val="none"/>
        </w:rPr>
        <w:t>。</w:t>
      </w:r>
    </w:p>
    <w:p w14:paraId="5D998853">
      <w:pPr>
        <w:spacing w:line="560" w:lineRule="exact"/>
        <w:ind w:firstLine="482" w:firstLineChars="200"/>
        <w:rPr>
          <w:rFonts w:ascii="宋体" w:hAnsi="宋体" w:eastAsia="宋体"/>
          <w:b/>
          <w:sz w:val="24"/>
          <w:highlight w:val="none"/>
        </w:rPr>
      </w:pPr>
      <w:r>
        <w:rPr>
          <w:rFonts w:ascii="宋体" w:hAnsi="宋体" w:eastAsia="宋体"/>
          <w:b/>
          <w:sz w:val="24"/>
          <w:highlight w:val="none"/>
        </w:rPr>
        <w:t>2.20合同份数</w:t>
      </w:r>
    </w:p>
    <w:p w14:paraId="5F27306A">
      <w:pPr>
        <w:spacing w:line="560" w:lineRule="exact"/>
        <w:ind w:firstLine="480" w:firstLineChars="200"/>
        <w:rPr>
          <w:rFonts w:ascii="宋体" w:hAnsi="宋体" w:eastAsia="宋体"/>
          <w:sz w:val="24"/>
          <w:highlight w:val="none"/>
        </w:rPr>
      </w:pPr>
      <w:r>
        <w:rPr>
          <w:rFonts w:ascii="宋体" w:hAnsi="宋体" w:eastAsia="宋体"/>
          <w:sz w:val="24"/>
          <w:highlight w:val="none"/>
        </w:rPr>
        <w:t>合同份数按</w:t>
      </w:r>
      <w:r>
        <w:rPr>
          <w:rFonts w:ascii="宋体" w:hAnsi="宋体" w:eastAsia="宋体"/>
          <w:b/>
          <w:i/>
          <w:sz w:val="24"/>
          <w:highlight w:val="none"/>
          <w:u w:val="single"/>
        </w:rPr>
        <w:t>合同专用条款</w:t>
      </w:r>
      <w:r>
        <w:rPr>
          <w:rFonts w:ascii="宋体" w:hAnsi="宋体" w:eastAsia="宋体"/>
          <w:sz w:val="24"/>
          <w:highlight w:val="none"/>
        </w:rPr>
        <w:t>规定</w:t>
      </w:r>
      <w:r>
        <w:rPr>
          <w:rFonts w:hint="eastAsia" w:ascii="宋体" w:hAnsi="宋体" w:eastAsia="宋体"/>
          <w:sz w:val="24"/>
          <w:highlight w:val="none"/>
        </w:rPr>
        <w:t>，</w:t>
      </w:r>
      <w:r>
        <w:rPr>
          <w:rFonts w:ascii="宋体" w:hAnsi="宋体" w:eastAsia="宋体"/>
          <w:sz w:val="24"/>
          <w:highlight w:val="none"/>
        </w:rPr>
        <w:t>每份均具有同等法律效力</w:t>
      </w:r>
      <w:r>
        <w:rPr>
          <w:rFonts w:hint="eastAsia" w:ascii="宋体" w:hAnsi="宋体" w:eastAsia="宋体"/>
          <w:sz w:val="24"/>
          <w:highlight w:val="none"/>
        </w:rPr>
        <w:t>。</w:t>
      </w:r>
    </w:p>
    <w:p w14:paraId="075AA104">
      <w:pPr>
        <w:spacing w:line="240" w:lineRule="auto"/>
        <w:jc w:val="center"/>
        <w:outlineLvl w:val="9"/>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14:paraId="73FFC1EF">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4763D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2E6BAD07">
            <w:pPr>
              <w:spacing w:before="0" w:beforeAutospacing="0" w:after="0" w:afterAutospacing="0" w:line="360" w:lineRule="auto"/>
              <w:ind w:left="0" w:right="0"/>
              <w:jc w:val="center"/>
              <w:rPr>
                <w:rFonts w:hint="default" w:ascii="宋体" w:hAnsi="宋体" w:cs="宋体"/>
                <w:b/>
                <w:sz w:val="24"/>
                <w:szCs w:val="20"/>
                <w:highlight w:val="none"/>
              </w:rPr>
            </w:pPr>
            <w:r>
              <w:rPr>
                <w:rFonts w:hint="eastAsia" w:ascii="宋体" w:hAnsi="宋体" w:cs="宋体"/>
                <w:b/>
                <w:sz w:val="24"/>
                <w:szCs w:val="20"/>
                <w:highlight w:val="none"/>
              </w:rPr>
              <w:t>条款号</w:t>
            </w:r>
          </w:p>
        </w:tc>
        <w:tc>
          <w:tcPr>
            <w:tcW w:w="8275" w:type="dxa"/>
            <w:vAlign w:val="center"/>
          </w:tcPr>
          <w:p w14:paraId="649651FF">
            <w:pPr>
              <w:spacing w:before="0" w:beforeAutospacing="0" w:after="0" w:afterAutospacing="0" w:line="360" w:lineRule="auto"/>
              <w:ind w:left="0" w:right="0"/>
              <w:jc w:val="center"/>
              <w:rPr>
                <w:rFonts w:hint="default" w:ascii="宋体" w:hAnsi="宋体" w:cs="宋体"/>
                <w:b/>
                <w:sz w:val="24"/>
                <w:szCs w:val="20"/>
                <w:highlight w:val="none"/>
              </w:rPr>
            </w:pPr>
            <w:r>
              <w:rPr>
                <w:rFonts w:hint="eastAsia" w:ascii="宋体" w:hAnsi="宋体" w:cs="宋体"/>
                <w:b/>
                <w:sz w:val="24"/>
                <w:szCs w:val="20"/>
                <w:highlight w:val="none"/>
              </w:rPr>
              <w:t>约定内容</w:t>
            </w:r>
          </w:p>
        </w:tc>
      </w:tr>
      <w:tr w14:paraId="59457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7426F71">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 xml:space="preserve">1.5.1 </w:t>
            </w:r>
          </w:p>
        </w:tc>
        <w:tc>
          <w:tcPr>
            <w:tcW w:w="8275" w:type="dxa"/>
            <w:vAlign w:val="center"/>
          </w:tcPr>
          <w:p w14:paraId="21B3EE8B">
            <w:pPr>
              <w:spacing w:before="0" w:beforeAutospacing="0" w:after="0" w:afterAutospacing="0" w:line="360" w:lineRule="auto"/>
              <w:ind w:left="0" w:right="0"/>
              <w:rPr>
                <w:rFonts w:hint="default" w:ascii="宋体" w:hAnsi="宋体" w:cs="宋体"/>
                <w:sz w:val="24"/>
                <w:szCs w:val="20"/>
                <w:highlight w:val="none"/>
              </w:rPr>
            </w:pPr>
          </w:p>
        </w:tc>
      </w:tr>
      <w:tr w14:paraId="34718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8E6C8FE">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1.5.2</w:t>
            </w:r>
          </w:p>
        </w:tc>
        <w:tc>
          <w:tcPr>
            <w:tcW w:w="8275" w:type="dxa"/>
            <w:vAlign w:val="center"/>
          </w:tcPr>
          <w:p w14:paraId="704347D1">
            <w:pPr>
              <w:spacing w:before="0" w:beforeAutospacing="0" w:after="0" w:afterAutospacing="0" w:line="360" w:lineRule="auto"/>
              <w:ind w:left="0" w:right="0"/>
              <w:rPr>
                <w:rFonts w:hint="default" w:ascii="宋体" w:hAnsi="宋体" w:cs="宋体"/>
                <w:sz w:val="24"/>
                <w:szCs w:val="20"/>
                <w:highlight w:val="none"/>
              </w:rPr>
            </w:pPr>
          </w:p>
        </w:tc>
      </w:tr>
      <w:tr w14:paraId="2F7C1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3D29467">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 xml:space="preserve">1.5.3 </w:t>
            </w:r>
          </w:p>
        </w:tc>
        <w:tc>
          <w:tcPr>
            <w:tcW w:w="8275" w:type="dxa"/>
            <w:vAlign w:val="center"/>
          </w:tcPr>
          <w:p w14:paraId="784DF319">
            <w:pPr>
              <w:spacing w:before="0" w:beforeAutospacing="0" w:after="0" w:afterAutospacing="0" w:line="360" w:lineRule="auto"/>
              <w:ind w:left="0" w:right="0"/>
              <w:rPr>
                <w:rFonts w:hint="default" w:ascii="宋体" w:hAnsi="宋体" w:cs="宋体"/>
                <w:sz w:val="24"/>
                <w:szCs w:val="20"/>
                <w:highlight w:val="none"/>
              </w:rPr>
            </w:pPr>
          </w:p>
        </w:tc>
      </w:tr>
      <w:tr w14:paraId="21DAF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411FCB6">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1.6.7</w:t>
            </w:r>
          </w:p>
        </w:tc>
        <w:tc>
          <w:tcPr>
            <w:tcW w:w="8275" w:type="dxa"/>
            <w:vAlign w:val="center"/>
          </w:tcPr>
          <w:p w14:paraId="60861D4E">
            <w:pPr>
              <w:spacing w:before="0" w:beforeAutospacing="0" w:after="0" w:afterAutospacing="0" w:line="360" w:lineRule="auto"/>
              <w:ind w:left="0" w:right="0"/>
              <w:rPr>
                <w:rFonts w:hint="default" w:ascii="宋体" w:hAnsi="宋体" w:cs="宋体"/>
                <w:sz w:val="24"/>
                <w:szCs w:val="20"/>
                <w:highlight w:val="none"/>
              </w:rPr>
            </w:pPr>
          </w:p>
        </w:tc>
      </w:tr>
      <w:tr w14:paraId="6C30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F127F21">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1.7</w:t>
            </w:r>
          </w:p>
        </w:tc>
        <w:tc>
          <w:tcPr>
            <w:tcW w:w="8275" w:type="dxa"/>
            <w:vAlign w:val="center"/>
          </w:tcPr>
          <w:p w14:paraId="45371EA5">
            <w:pPr>
              <w:spacing w:before="0" w:beforeAutospacing="0" w:after="0" w:afterAutospacing="0" w:line="360" w:lineRule="auto"/>
              <w:ind w:left="0" w:right="0"/>
              <w:rPr>
                <w:rFonts w:hint="default" w:ascii="宋体" w:hAnsi="宋体" w:cs="宋体"/>
                <w:sz w:val="24"/>
                <w:szCs w:val="20"/>
                <w:highlight w:val="none"/>
              </w:rPr>
            </w:pPr>
          </w:p>
        </w:tc>
      </w:tr>
      <w:tr w14:paraId="78757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8DEB987">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1.7.1</w:t>
            </w:r>
          </w:p>
        </w:tc>
        <w:tc>
          <w:tcPr>
            <w:tcW w:w="8275" w:type="dxa"/>
            <w:vAlign w:val="center"/>
          </w:tcPr>
          <w:p w14:paraId="59B8507F">
            <w:pPr>
              <w:spacing w:before="0" w:beforeAutospacing="0" w:after="0" w:afterAutospacing="0" w:line="360" w:lineRule="auto"/>
              <w:ind w:left="0" w:right="0"/>
              <w:rPr>
                <w:rFonts w:hint="default" w:ascii="宋体" w:hAnsi="宋体" w:cs="宋体"/>
                <w:sz w:val="24"/>
                <w:szCs w:val="20"/>
                <w:highlight w:val="none"/>
              </w:rPr>
            </w:pPr>
          </w:p>
        </w:tc>
      </w:tr>
      <w:tr w14:paraId="4D90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A0FBDE4">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1.7.2</w:t>
            </w:r>
          </w:p>
        </w:tc>
        <w:tc>
          <w:tcPr>
            <w:tcW w:w="8275" w:type="dxa"/>
            <w:vAlign w:val="center"/>
          </w:tcPr>
          <w:p w14:paraId="6B77D7D8">
            <w:pPr>
              <w:spacing w:before="0" w:beforeAutospacing="0" w:after="0" w:afterAutospacing="0" w:line="360" w:lineRule="auto"/>
              <w:ind w:left="0" w:right="0"/>
              <w:rPr>
                <w:rFonts w:hint="default" w:ascii="宋体" w:hAnsi="宋体" w:cs="宋体"/>
                <w:sz w:val="24"/>
                <w:szCs w:val="20"/>
                <w:highlight w:val="none"/>
              </w:rPr>
            </w:pPr>
          </w:p>
        </w:tc>
      </w:tr>
      <w:tr w14:paraId="56F8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2197F0A">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2.3.2</w:t>
            </w:r>
          </w:p>
        </w:tc>
        <w:tc>
          <w:tcPr>
            <w:tcW w:w="8275" w:type="dxa"/>
            <w:vAlign w:val="center"/>
          </w:tcPr>
          <w:p w14:paraId="58AC8807">
            <w:pPr>
              <w:spacing w:before="0" w:beforeAutospacing="0" w:after="0" w:afterAutospacing="0" w:line="360" w:lineRule="auto"/>
              <w:ind w:left="-420" w:leftChars="-200" w:right="-420" w:rightChars="-200" w:firstLine="480" w:firstLineChars="200"/>
              <w:rPr>
                <w:rFonts w:hint="default" w:ascii="宋体" w:hAnsi="宋体" w:cs="宋体"/>
                <w:sz w:val="24"/>
                <w:szCs w:val="20"/>
                <w:highlight w:val="none"/>
              </w:rPr>
            </w:pPr>
          </w:p>
        </w:tc>
      </w:tr>
      <w:tr w14:paraId="2F382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925D702">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w:t>
            </w:r>
            <w:r>
              <w:rPr>
                <w:rFonts w:hint="default" w:ascii="宋体" w:hAnsi="宋体" w:cs="宋体"/>
                <w:sz w:val="24"/>
                <w:szCs w:val="20"/>
                <w:highlight w:val="none"/>
              </w:rPr>
              <w:t>5</w:t>
            </w:r>
          </w:p>
        </w:tc>
        <w:tc>
          <w:tcPr>
            <w:tcW w:w="8275" w:type="dxa"/>
            <w:vAlign w:val="center"/>
          </w:tcPr>
          <w:p w14:paraId="16EFADE4">
            <w:pPr>
              <w:spacing w:before="0" w:beforeAutospacing="0" w:after="0" w:afterAutospacing="0" w:line="360" w:lineRule="auto"/>
              <w:ind w:left="-420" w:leftChars="-200" w:right="-420" w:rightChars="-200" w:firstLine="480" w:firstLineChars="200"/>
              <w:rPr>
                <w:rFonts w:hint="default" w:ascii="宋体" w:hAnsi="宋体" w:cs="宋体"/>
                <w:sz w:val="24"/>
                <w:szCs w:val="20"/>
                <w:highlight w:val="none"/>
              </w:rPr>
            </w:pPr>
          </w:p>
        </w:tc>
      </w:tr>
      <w:tr w14:paraId="64A9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6539A6">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w:t>
            </w:r>
            <w:r>
              <w:rPr>
                <w:rFonts w:hint="default" w:ascii="宋体" w:hAnsi="宋体" w:cs="宋体"/>
                <w:sz w:val="24"/>
                <w:szCs w:val="20"/>
                <w:highlight w:val="none"/>
              </w:rPr>
              <w:t>11</w:t>
            </w:r>
            <w:r>
              <w:rPr>
                <w:rFonts w:hint="eastAsia" w:ascii="宋体" w:hAnsi="宋体" w:cs="宋体"/>
                <w:sz w:val="24"/>
                <w:szCs w:val="20"/>
                <w:highlight w:val="none"/>
              </w:rPr>
              <w:t>.</w:t>
            </w:r>
            <w:r>
              <w:rPr>
                <w:rFonts w:hint="default" w:ascii="宋体" w:hAnsi="宋体" w:cs="宋体"/>
                <w:sz w:val="24"/>
                <w:szCs w:val="20"/>
                <w:highlight w:val="none"/>
              </w:rPr>
              <w:t>3</w:t>
            </w:r>
          </w:p>
        </w:tc>
        <w:tc>
          <w:tcPr>
            <w:tcW w:w="8275" w:type="dxa"/>
            <w:vAlign w:val="center"/>
          </w:tcPr>
          <w:p w14:paraId="20E6193C">
            <w:pPr>
              <w:spacing w:before="0" w:beforeAutospacing="0" w:after="0" w:afterAutospacing="0" w:line="360" w:lineRule="auto"/>
              <w:ind w:left="0" w:right="0"/>
              <w:rPr>
                <w:rFonts w:hint="default" w:ascii="宋体" w:hAnsi="宋体" w:cs="宋体"/>
                <w:sz w:val="24"/>
                <w:szCs w:val="20"/>
                <w:highlight w:val="none"/>
              </w:rPr>
            </w:pPr>
          </w:p>
        </w:tc>
      </w:tr>
      <w:tr w14:paraId="56F6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47A77521">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w:t>
            </w:r>
            <w:r>
              <w:rPr>
                <w:rFonts w:hint="default" w:ascii="宋体" w:hAnsi="宋体" w:cs="宋体"/>
                <w:sz w:val="24"/>
                <w:szCs w:val="20"/>
                <w:highlight w:val="none"/>
              </w:rPr>
              <w:t>11.4</w:t>
            </w:r>
            <w:r>
              <w:rPr>
                <w:rFonts w:hint="eastAsia" w:ascii="宋体" w:hAnsi="宋体" w:cs="宋体"/>
                <w:sz w:val="24"/>
                <w:szCs w:val="20"/>
                <w:highlight w:val="none"/>
              </w:rPr>
              <w:t xml:space="preserve"> </w:t>
            </w:r>
          </w:p>
        </w:tc>
        <w:tc>
          <w:tcPr>
            <w:tcW w:w="8275" w:type="dxa"/>
            <w:vAlign w:val="top"/>
          </w:tcPr>
          <w:p w14:paraId="6B765EA9">
            <w:pPr>
              <w:spacing w:before="0" w:beforeAutospacing="0" w:after="0" w:afterAutospacing="0" w:line="360" w:lineRule="auto"/>
              <w:ind w:left="0" w:right="0"/>
              <w:rPr>
                <w:rFonts w:hint="default" w:ascii="宋体" w:hAnsi="宋体" w:cs="宋体"/>
                <w:sz w:val="24"/>
                <w:szCs w:val="20"/>
                <w:highlight w:val="none"/>
              </w:rPr>
            </w:pPr>
          </w:p>
        </w:tc>
      </w:tr>
      <w:tr w14:paraId="30C9D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2BF8DC5">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w:t>
            </w:r>
            <w:r>
              <w:rPr>
                <w:rFonts w:hint="default" w:ascii="宋体" w:hAnsi="宋体" w:cs="宋体"/>
                <w:sz w:val="24"/>
                <w:szCs w:val="20"/>
                <w:highlight w:val="none"/>
              </w:rPr>
              <w:t>15</w:t>
            </w:r>
            <w:r>
              <w:rPr>
                <w:rFonts w:hint="eastAsia" w:ascii="宋体" w:hAnsi="宋体" w:cs="宋体"/>
                <w:sz w:val="24"/>
                <w:szCs w:val="20"/>
                <w:highlight w:val="none"/>
              </w:rPr>
              <w:t>.</w:t>
            </w:r>
            <w:r>
              <w:rPr>
                <w:rFonts w:hint="default" w:ascii="宋体" w:hAnsi="宋体" w:cs="宋体"/>
                <w:sz w:val="24"/>
                <w:szCs w:val="20"/>
                <w:highlight w:val="none"/>
              </w:rPr>
              <w:t>1</w:t>
            </w:r>
          </w:p>
        </w:tc>
        <w:tc>
          <w:tcPr>
            <w:tcW w:w="8275" w:type="dxa"/>
            <w:vAlign w:val="center"/>
          </w:tcPr>
          <w:p w14:paraId="77970367">
            <w:pPr>
              <w:spacing w:before="0" w:beforeAutospacing="0" w:after="0" w:afterAutospacing="0" w:line="360" w:lineRule="auto"/>
              <w:ind w:left="0" w:right="0"/>
              <w:rPr>
                <w:rFonts w:hint="default" w:ascii="宋体" w:hAnsi="宋体" w:cs="宋体"/>
                <w:sz w:val="24"/>
                <w:szCs w:val="20"/>
                <w:highlight w:val="none"/>
              </w:rPr>
            </w:pPr>
          </w:p>
        </w:tc>
      </w:tr>
      <w:tr w14:paraId="3A965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F86825C">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w:t>
            </w:r>
            <w:r>
              <w:rPr>
                <w:rFonts w:hint="default" w:ascii="宋体" w:hAnsi="宋体" w:cs="宋体"/>
                <w:sz w:val="24"/>
                <w:szCs w:val="20"/>
                <w:highlight w:val="none"/>
              </w:rPr>
              <w:t>15</w:t>
            </w:r>
            <w:r>
              <w:rPr>
                <w:rFonts w:hint="eastAsia" w:ascii="宋体" w:hAnsi="宋体" w:cs="宋体"/>
                <w:sz w:val="24"/>
                <w:szCs w:val="20"/>
                <w:highlight w:val="none"/>
              </w:rPr>
              <w:t>.</w:t>
            </w:r>
            <w:r>
              <w:rPr>
                <w:rFonts w:hint="default" w:ascii="宋体" w:hAnsi="宋体" w:cs="宋体"/>
                <w:sz w:val="24"/>
                <w:szCs w:val="20"/>
                <w:highlight w:val="none"/>
              </w:rPr>
              <w:t>3</w:t>
            </w:r>
          </w:p>
        </w:tc>
        <w:tc>
          <w:tcPr>
            <w:tcW w:w="8275" w:type="dxa"/>
            <w:vAlign w:val="center"/>
          </w:tcPr>
          <w:p w14:paraId="5FEB4A34">
            <w:pPr>
              <w:spacing w:before="0" w:beforeAutospacing="0" w:after="0" w:afterAutospacing="0" w:line="360" w:lineRule="auto"/>
              <w:ind w:left="0" w:right="0"/>
              <w:rPr>
                <w:rFonts w:hint="default" w:ascii="宋体" w:hAnsi="宋体" w:cs="宋体"/>
                <w:sz w:val="24"/>
                <w:szCs w:val="20"/>
                <w:highlight w:val="none"/>
              </w:rPr>
            </w:pPr>
          </w:p>
        </w:tc>
      </w:tr>
      <w:tr w14:paraId="68C9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55081A2">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2.1</w:t>
            </w:r>
            <w:r>
              <w:rPr>
                <w:rFonts w:hint="default" w:ascii="宋体" w:hAnsi="宋体" w:cs="宋体"/>
                <w:sz w:val="24"/>
                <w:szCs w:val="20"/>
                <w:highlight w:val="none"/>
              </w:rPr>
              <w:t>8</w:t>
            </w:r>
            <w:r>
              <w:rPr>
                <w:rFonts w:hint="eastAsia" w:ascii="宋体" w:hAnsi="宋体" w:cs="宋体"/>
                <w:sz w:val="24"/>
                <w:szCs w:val="20"/>
                <w:highlight w:val="none"/>
              </w:rPr>
              <w:t>.1</w:t>
            </w:r>
          </w:p>
        </w:tc>
        <w:tc>
          <w:tcPr>
            <w:tcW w:w="8275" w:type="dxa"/>
            <w:vAlign w:val="center"/>
          </w:tcPr>
          <w:p w14:paraId="65CBF5F8">
            <w:pPr>
              <w:spacing w:before="0" w:beforeAutospacing="0" w:after="0" w:afterAutospacing="0" w:line="360" w:lineRule="auto"/>
              <w:ind w:left="0" w:right="0"/>
              <w:rPr>
                <w:rFonts w:hint="default" w:ascii="宋体" w:hAnsi="宋体" w:cs="宋体"/>
                <w:sz w:val="24"/>
                <w:szCs w:val="20"/>
                <w:highlight w:val="none"/>
              </w:rPr>
            </w:pPr>
          </w:p>
        </w:tc>
      </w:tr>
      <w:tr w14:paraId="243A6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FB32961">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2.1</w:t>
            </w:r>
            <w:r>
              <w:rPr>
                <w:rFonts w:hint="default" w:ascii="宋体" w:hAnsi="宋体" w:cs="宋体"/>
                <w:sz w:val="24"/>
                <w:szCs w:val="20"/>
                <w:highlight w:val="none"/>
              </w:rPr>
              <w:t>8</w:t>
            </w:r>
            <w:r>
              <w:rPr>
                <w:rFonts w:hint="eastAsia" w:ascii="宋体" w:hAnsi="宋体" w:cs="宋体"/>
                <w:sz w:val="24"/>
                <w:szCs w:val="20"/>
                <w:highlight w:val="none"/>
              </w:rPr>
              <w:t>.</w:t>
            </w:r>
            <w:r>
              <w:rPr>
                <w:rFonts w:hint="default" w:ascii="宋体" w:hAnsi="宋体" w:cs="宋体"/>
                <w:sz w:val="24"/>
                <w:szCs w:val="20"/>
                <w:highlight w:val="none"/>
              </w:rPr>
              <w:t>2</w:t>
            </w:r>
          </w:p>
        </w:tc>
        <w:tc>
          <w:tcPr>
            <w:tcW w:w="8275" w:type="dxa"/>
            <w:vAlign w:val="center"/>
          </w:tcPr>
          <w:p w14:paraId="1F805716">
            <w:pPr>
              <w:spacing w:before="0" w:beforeAutospacing="0" w:after="0" w:afterAutospacing="0" w:line="360" w:lineRule="auto"/>
              <w:ind w:left="0" w:right="0"/>
              <w:rPr>
                <w:rFonts w:hint="default" w:ascii="宋体" w:hAnsi="宋体" w:cs="宋体"/>
                <w:sz w:val="24"/>
                <w:szCs w:val="20"/>
                <w:highlight w:val="none"/>
              </w:rPr>
            </w:pPr>
          </w:p>
        </w:tc>
      </w:tr>
      <w:tr w14:paraId="0A7E4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6D321EF4">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2.20</w:t>
            </w:r>
          </w:p>
        </w:tc>
        <w:tc>
          <w:tcPr>
            <w:tcW w:w="8275" w:type="dxa"/>
            <w:vAlign w:val="top"/>
          </w:tcPr>
          <w:p w14:paraId="6E197FF6">
            <w:pPr>
              <w:spacing w:before="0" w:beforeAutospacing="0" w:after="0" w:afterAutospacing="0" w:line="360" w:lineRule="auto"/>
              <w:ind w:left="0" w:right="0"/>
              <w:rPr>
                <w:rFonts w:hint="default" w:ascii="宋体" w:hAnsi="宋体" w:cs="宋体"/>
                <w:sz w:val="24"/>
                <w:szCs w:val="20"/>
                <w:highlight w:val="none"/>
              </w:rPr>
            </w:pPr>
          </w:p>
        </w:tc>
      </w:tr>
    </w:tbl>
    <w:p w14:paraId="466AC0AA">
      <w:pPr>
        <w:spacing w:line="360" w:lineRule="auto"/>
        <w:ind w:left="-420" w:leftChars="-200" w:right="-420" w:rightChars="-200" w:firstLine="480" w:firstLineChars="200"/>
        <w:rPr>
          <w:rFonts w:ascii="宋体" w:hAnsi="宋体" w:cs="宋体"/>
          <w:sz w:val="24"/>
          <w:highlight w:val="none"/>
        </w:rPr>
      </w:pPr>
    </w:p>
    <w:p w14:paraId="5E89B9CF">
      <w:pPr>
        <w:spacing w:line="360" w:lineRule="auto"/>
        <w:ind w:left="-420" w:leftChars="-200" w:right="-420" w:rightChars="-200"/>
        <w:rPr>
          <w:rFonts w:ascii="宋体" w:hAnsi="宋体" w:cs="宋体"/>
          <w:sz w:val="24"/>
          <w:highlight w:val="none"/>
        </w:rPr>
      </w:pPr>
    </w:p>
    <w:p w14:paraId="5B676C80">
      <w:pPr>
        <w:spacing w:line="360" w:lineRule="auto"/>
        <w:ind w:left="-420" w:leftChars="-200" w:right="-420" w:rightChars="-200" w:firstLine="480" w:firstLineChars="200"/>
        <w:jc w:val="center"/>
        <w:outlineLvl w:val="9"/>
        <w:rPr>
          <w:rFonts w:ascii="宋体" w:hAnsi="宋体" w:cs="宋体"/>
          <w:sz w:val="24"/>
          <w:highlight w:val="none"/>
        </w:rPr>
      </w:pPr>
    </w:p>
    <w:p w14:paraId="0BAB1A90">
      <w:pPr>
        <w:spacing w:line="240" w:lineRule="auto"/>
        <w:ind w:left="0" w:leftChars="0" w:right="0" w:firstLine="0" w:firstLineChars="0"/>
        <w:jc w:val="left"/>
        <w:outlineLvl w:val="9"/>
        <w:rPr>
          <w:rFonts w:ascii="宋体" w:hAnsi="宋体" w:cs="宋体"/>
          <w:sz w:val="24"/>
          <w:highlight w:val="none"/>
        </w:rPr>
      </w:pPr>
      <w:r>
        <w:rPr>
          <w:rFonts w:ascii="宋体" w:hAnsi="宋体" w:cs="宋体"/>
          <w:sz w:val="24"/>
          <w:highlight w:val="none"/>
        </w:rPr>
        <w:br w:type="page"/>
      </w:r>
    </w:p>
    <w:p w14:paraId="5E3226E5">
      <w:pPr>
        <w:pStyle w:val="2"/>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5"/>
      <w:r>
        <w:rPr>
          <w:rFonts w:hint="eastAsia" w:ascii="宋体" w:hAnsi="宋体" w:eastAsia="宋体" w:cs="宋体"/>
          <w:b/>
          <w:color w:val="auto"/>
          <w:sz w:val="36"/>
          <w:szCs w:val="20"/>
          <w:highlight w:val="none"/>
        </w:rPr>
        <w:t xml:space="preserve"> </w:t>
      </w:r>
      <w:bookmarkEnd w:id="386"/>
      <w:r>
        <w:rPr>
          <w:rFonts w:hint="eastAsia" w:ascii="宋体" w:hAnsi="宋体" w:eastAsia="宋体" w:cs="宋体"/>
          <w:b/>
          <w:color w:val="auto"/>
          <w:sz w:val="36"/>
          <w:szCs w:val="20"/>
          <w:highlight w:val="none"/>
        </w:rPr>
        <w:t>应提交的有关格式范例</w:t>
      </w:r>
    </w:p>
    <w:p w14:paraId="748DEF96">
      <w:pPr>
        <w:snapToGrid w:val="0"/>
        <w:spacing w:line="360" w:lineRule="auto"/>
        <w:rPr>
          <w:rFonts w:hint="eastAsia" w:ascii="宋体" w:hAnsi="宋体" w:eastAsia="宋体" w:cs="宋体"/>
          <w:b/>
          <w:color w:val="000000"/>
          <w:sz w:val="24"/>
          <w:highlight w:val="none"/>
        </w:rPr>
      </w:pPr>
    </w:p>
    <w:p w14:paraId="25522953">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一、投标人提交投标文件须知：</w:t>
      </w:r>
    </w:p>
    <w:p w14:paraId="7ADA577B">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762C3AAB">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2、所附表格中要求回答的全部问题和/或信息都必须正面回答。</w:t>
      </w:r>
    </w:p>
    <w:p w14:paraId="6BE7E14A">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3、本声明书的签字人应保证全部声明和问题的回答是真实的和准确的。</w:t>
      </w:r>
    </w:p>
    <w:p w14:paraId="79646558">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4、评标委员会将应用投标人提交的资料作出自己的判断。</w:t>
      </w:r>
    </w:p>
    <w:p w14:paraId="4EE8FEE1">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5、投标人提交的材料将在一定期限内被保密保存，但不退还。</w:t>
      </w:r>
    </w:p>
    <w:p w14:paraId="233FC846">
      <w:pPr>
        <w:spacing w:line="360" w:lineRule="auto"/>
        <w:ind w:firstLine="480" w:firstLineChars="200"/>
        <w:jc w:val="left"/>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000000"/>
          <w:sz w:val="24"/>
          <w:highlight w:val="none"/>
        </w:rPr>
        <w:t>将有可能被评标委员会认定为投标无效。</w:t>
      </w:r>
    </w:p>
    <w:p w14:paraId="1DE9DA7F">
      <w:pPr>
        <w:spacing w:line="360" w:lineRule="auto"/>
        <w:jc w:val="center"/>
        <w:outlineLvl w:val="9"/>
        <w:rPr>
          <w:rFonts w:hint="eastAsia" w:ascii="宋体" w:hAnsi="宋体" w:eastAsia="宋体" w:cs="宋体"/>
          <w:b/>
          <w:color w:val="FF0000"/>
          <w:sz w:val="36"/>
          <w:szCs w:val="36"/>
          <w:highlight w:val="none"/>
          <w:lang w:val="en-US" w:eastAsia="zh-CN"/>
        </w:rPr>
      </w:pPr>
    </w:p>
    <w:p w14:paraId="160EB09E">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A34F4FF">
      <w:pPr>
        <w:spacing w:line="240" w:lineRule="auto"/>
        <w:jc w:val="center"/>
        <w:rPr>
          <w:rFonts w:hint="eastAsia" w:ascii="宋体" w:hAnsi="宋体" w:eastAsia="宋体" w:cs="宋体"/>
          <w:sz w:val="36"/>
          <w:szCs w:val="36"/>
          <w:highlight w:val="none"/>
        </w:rPr>
      </w:pPr>
    </w:p>
    <w:p w14:paraId="4257BE0E">
      <w:pPr>
        <w:spacing w:line="240" w:lineRule="auto"/>
        <w:jc w:val="center"/>
        <w:rPr>
          <w:rFonts w:hint="eastAsia" w:ascii="宋体" w:hAnsi="宋体" w:eastAsia="宋体" w:cs="宋体"/>
          <w:sz w:val="36"/>
          <w:szCs w:val="36"/>
          <w:highlight w:val="none"/>
        </w:rPr>
      </w:pPr>
    </w:p>
    <w:p w14:paraId="1E50FF6D">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电子备份投标文件的外包装封面格式</w:t>
      </w:r>
    </w:p>
    <w:p w14:paraId="74D3C20D">
      <w:pPr>
        <w:rPr>
          <w:rFonts w:hint="eastAsia" w:ascii="宋体" w:hAnsi="宋体" w:eastAsia="宋体" w:cs="宋体"/>
          <w:highlight w:val="none"/>
        </w:rPr>
      </w:pPr>
    </w:p>
    <w:p w14:paraId="347A129F">
      <w:pPr>
        <w:spacing w:line="240" w:lineRule="auto"/>
        <w:jc w:val="center"/>
        <w:rPr>
          <w:rFonts w:hint="eastAsia" w:ascii="宋体" w:hAnsi="宋体" w:eastAsia="宋体" w:cs="宋体"/>
          <w:sz w:val="36"/>
          <w:szCs w:val="36"/>
          <w:highlight w:val="none"/>
        </w:rPr>
      </w:pPr>
      <w:bookmarkStart w:id="498" w:name="_Toc13184"/>
      <w:r>
        <w:rPr>
          <w:rFonts w:hint="eastAsia" w:ascii="宋体" w:hAnsi="宋体" w:eastAsia="宋体" w:cs="宋体"/>
          <w:sz w:val="36"/>
          <w:szCs w:val="36"/>
          <w:highlight w:val="none"/>
        </w:rPr>
        <w:t>电子备份投标文件</w:t>
      </w:r>
      <w:bookmarkEnd w:id="498"/>
    </w:p>
    <w:p w14:paraId="27857895">
      <w:pPr>
        <w:spacing w:line="240" w:lineRule="auto"/>
        <w:jc w:val="center"/>
        <w:rPr>
          <w:rFonts w:hint="eastAsia" w:ascii="宋体" w:hAnsi="宋体" w:eastAsia="宋体" w:cs="宋体"/>
          <w:sz w:val="36"/>
          <w:szCs w:val="36"/>
          <w:highlight w:val="none"/>
        </w:rPr>
      </w:pPr>
    </w:p>
    <w:p w14:paraId="296290A2">
      <w:pPr>
        <w:spacing w:line="240" w:lineRule="auto"/>
        <w:jc w:val="center"/>
        <w:rPr>
          <w:rFonts w:hint="eastAsia" w:ascii="宋体" w:hAnsi="宋体" w:eastAsia="宋体" w:cs="宋体"/>
          <w:sz w:val="36"/>
          <w:szCs w:val="36"/>
          <w:highlight w:val="none"/>
        </w:rPr>
      </w:pPr>
      <w:bookmarkStart w:id="499" w:name="_Toc18701"/>
      <w:r>
        <w:rPr>
          <w:rFonts w:hint="eastAsia" w:ascii="宋体" w:hAnsi="宋体" w:eastAsia="宋体" w:cs="宋体"/>
          <w:sz w:val="36"/>
          <w:szCs w:val="36"/>
          <w:highlight w:val="none"/>
        </w:rPr>
        <w:t>项目名称：</w:t>
      </w:r>
      <w:bookmarkEnd w:id="499"/>
    </w:p>
    <w:p w14:paraId="60A96922">
      <w:pPr>
        <w:spacing w:line="240" w:lineRule="auto"/>
        <w:jc w:val="center"/>
        <w:rPr>
          <w:rFonts w:hint="eastAsia" w:ascii="宋体" w:hAnsi="宋体" w:eastAsia="宋体" w:cs="宋体"/>
          <w:sz w:val="36"/>
          <w:szCs w:val="36"/>
          <w:highlight w:val="none"/>
        </w:rPr>
      </w:pPr>
    </w:p>
    <w:p w14:paraId="37E2E464">
      <w:pPr>
        <w:spacing w:line="240" w:lineRule="auto"/>
        <w:jc w:val="center"/>
        <w:rPr>
          <w:rFonts w:hint="eastAsia" w:ascii="宋体" w:hAnsi="宋体" w:eastAsia="宋体" w:cs="宋体"/>
          <w:sz w:val="36"/>
          <w:szCs w:val="36"/>
          <w:highlight w:val="none"/>
        </w:rPr>
      </w:pPr>
      <w:bookmarkStart w:id="500" w:name="_Toc20693"/>
      <w:r>
        <w:rPr>
          <w:rFonts w:hint="eastAsia" w:ascii="宋体" w:hAnsi="宋体" w:eastAsia="宋体" w:cs="宋体"/>
          <w:sz w:val="36"/>
          <w:szCs w:val="36"/>
          <w:highlight w:val="none"/>
        </w:rPr>
        <w:t>项目编号：</w:t>
      </w:r>
      <w:bookmarkEnd w:id="500"/>
    </w:p>
    <w:p w14:paraId="4AFA24C3">
      <w:pPr>
        <w:spacing w:line="240" w:lineRule="auto"/>
        <w:jc w:val="both"/>
        <w:rPr>
          <w:rFonts w:hint="eastAsia" w:ascii="宋体" w:hAnsi="宋体" w:eastAsia="宋体" w:cs="宋体"/>
          <w:sz w:val="36"/>
          <w:szCs w:val="36"/>
          <w:highlight w:val="none"/>
        </w:rPr>
      </w:pPr>
    </w:p>
    <w:p w14:paraId="173B5B30">
      <w:pPr>
        <w:spacing w:line="240" w:lineRule="auto"/>
        <w:jc w:val="center"/>
        <w:rPr>
          <w:rFonts w:hint="eastAsia" w:ascii="宋体" w:hAnsi="宋体" w:eastAsia="宋体" w:cs="宋体"/>
          <w:sz w:val="36"/>
          <w:szCs w:val="36"/>
          <w:highlight w:val="none"/>
        </w:rPr>
      </w:pPr>
    </w:p>
    <w:p w14:paraId="17A41F30">
      <w:pPr>
        <w:spacing w:line="240" w:lineRule="auto"/>
        <w:jc w:val="center"/>
        <w:rPr>
          <w:rFonts w:hint="eastAsia" w:ascii="宋体" w:hAnsi="宋体" w:eastAsia="宋体" w:cs="宋体"/>
          <w:sz w:val="36"/>
          <w:szCs w:val="36"/>
          <w:highlight w:val="none"/>
        </w:rPr>
      </w:pPr>
      <w:bookmarkStart w:id="501" w:name="_Toc27616"/>
    </w:p>
    <w:p w14:paraId="6D9E6570">
      <w:pPr>
        <w:spacing w:line="240" w:lineRule="auto"/>
        <w:jc w:val="center"/>
        <w:rPr>
          <w:rFonts w:hint="eastAsia" w:ascii="宋体" w:hAnsi="宋体" w:eastAsia="宋体" w:cs="宋体"/>
          <w:sz w:val="36"/>
          <w:szCs w:val="36"/>
          <w:highlight w:val="none"/>
        </w:rPr>
      </w:pPr>
    </w:p>
    <w:p w14:paraId="5DBA2A05">
      <w:pPr>
        <w:spacing w:line="240" w:lineRule="auto"/>
        <w:jc w:val="center"/>
        <w:rPr>
          <w:rFonts w:hint="eastAsia" w:ascii="宋体" w:hAnsi="宋体" w:eastAsia="宋体" w:cs="宋体"/>
          <w:sz w:val="36"/>
          <w:szCs w:val="36"/>
          <w:highlight w:val="none"/>
        </w:rPr>
      </w:pPr>
    </w:p>
    <w:p w14:paraId="654A635E">
      <w:pPr>
        <w:spacing w:line="240" w:lineRule="auto"/>
        <w:jc w:val="center"/>
        <w:rPr>
          <w:rFonts w:hint="eastAsia" w:ascii="宋体" w:hAnsi="宋体" w:eastAsia="宋体" w:cs="宋体"/>
          <w:sz w:val="36"/>
          <w:szCs w:val="36"/>
          <w:highlight w:val="none"/>
        </w:rPr>
      </w:pPr>
    </w:p>
    <w:p w14:paraId="1DDBE57A">
      <w:pPr>
        <w:spacing w:line="240" w:lineRule="auto"/>
        <w:jc w:val="center"/>
        <w:rPr>
          <w:rFonts w:hint="eastAsia" w:ascii="宋体" w:hAnsi="宋体" w:eastAsia="宋体" w:cs="宋体"/>
          <w:sz w:val="36"/>
          <w:szCs w:val="36"/>
          <w:highlight w:val="none"/>
        </w:rPr>
      </w:pPr>
    </w:p>
    <w:p w14:paraId="348842FA">
      <w:pPr>
        <w:spacing w:line="240" w:lineRule="auto"/>
        <w:jc w:val="center"/>
        <w:rPr>
          <w:rFonts w:hint="eastAsia" w:ascii="宋体" w:hAnsi="宋体" w:eastAsia="宋体" w:cs="宋体"/>
          <w:sz w:val="36"/>
          <w:szCs w:val="36"/>
          <w:highlight w:val="none"/>
        </w:rPr>
      </w:pPr>
    </w:p>
    <w:p w14:paraId="33BE96B7">
      <w:pPr>
        <w:spacing w:line="240" w:lineRule="auto"/>
        <w:jc w:val="center"/>
        <w:rPr>
          <w:rFonts w:hint="eastAsia" w:ascii="宋体" w:hAnsi="宋体" w:eastAsia="宋体" w:cs="宋体"/>
          <w:sz w:val="36"/>
          <w:szCs w:val="36"/>
          <w:highlight w:val="none"/>
        </w:rPr>
      </w:pPr>
    </w:p>
    <w:p w14:paraId="02074184">
      <w:pPr>
        <w:spacing w:line="240" w:lineRule="auto"/>
        <w:jc w:val="center"/>
        <w:rPr>
          <w:rFonts w:hint="eastAsia" w:ascii="宋体" w:hAnsi="宋体" w:eastAsia="宋体" w:cs="宋体"/>
          <w:sz w:val="36"/>
          <w:szCs w:val="36"/>
          <w:highlight w:val="none"/>
        </w:rPr>
      </w:pPr>
    </w:p>
    <w:p w14:paraId="4E95D8A9">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投标人名称：（盖章）</w:t>
      </w:r>
      <w:bookmarkEnd w:id="501"/>
    </w:p>
    <w:p w14:paraId="4C1DDCE8">
      <w:pPr>
        <w:spacing w:line="240" w:lineRule="auto"/>
        <w:jc w:val="center"/>
        <w:rPr>
          <w:rFonts w:hint="eastAsia" w:ascii="宋体" w:hAnsi="宋体" w:eastAsia="宋体" w:cs="宋体"/>
          <w:sz w:val="36"/>
          <w:szCs w:val="36"/>
          <w:highlight w:val="none"/>
        </w:rPr>
      </w:pPr>
    </w:p>
    <w:p w14:paraId="40B5DDEE">
      <w:pPr>
        <w:spacing w:line="240" w:lineRule="auto"/>
        <w:jc w:val="center"/>
        <w:rPr>
          <w:rFonts w:hint="eastAsia" w:ascii="宋体" w:hAnsi="宋体" w:eastAsia="宋体" w:cs="宋体"/>
          <w:sz w:val="36"/>
          <w:szCs w:val="36"/>
          <w:highlight w:val="none"/>
        </w:rPr>
      </w:pPr>
      <w:bookmarkStart w:id="502" w:name="_Toc8328"/>
      <w:r>
        <w:rPr>
          <w:rFonts w:hint="eastAsia" w:ascii="宋体" w:hAnsi="宋体" w:eastAsia="宋体" w:cs="宋体"/>
          <w:sz w:val="36"/>
          <w:szCs w:val="36"/>
          <w:highlight w:val="none"/>
        </w:rPr>
        <w:t>投标人地址：</w:t>
      </w:r>
      <w:bookmarkEnd w:id="502"/>
    </w:p>
    <w:p w14:paraId="14E9A0B8">
      <w:pPr>
        <w:spacing w:line="240" w:lineRule="auto"/>
        <w:jc w:val="center"/>
        <w:rPr>
          <w:rFonts w:hint="eastAsia" w:ascii="宋体" w:hAnsi="宋体" w:eastAsia="宋体" w:cs="宋体"/>
          <w:sz w:val="36"/>
          <w:szCs w:val="36"/>
          <w:highlight w:val="none"/>
        </w:rPr>
      </w:pPr>
    </w:p>
    <w:p w14:paraId="14816BD0">
      <w:pPr>
        <w:spacing w:line="240" w:lineRule="auto"/>
        <w:jc w:val="center"/>
        <w:rPr>
          <w:rFonts w:hint="eastAsia" w:ascii="宋体" w:hAnsi="宋体" w:eastAsia="宋体" w:cs="宋体"/>
          <w:sz w:val="36"/>
          <w:szCs w:val="36"/>
          <w:highlight w:val="none"/>
        </w:rPr>
      </w:pPr>
      <w:bookmarkStart w:id="503" w:name="_Toc23143"/>
      <w:r>
        <w:rPr>
          <w:rFonts w:hint="eastAsia" w:ascii="宋体" w:hAnsi="宋体" w:eastAsia="宋体" w:cs="宋体"/>
          <w:sz w:val="36"/>
          <w:szCs w:val="36"/>
          <w:highlight w:val="none"/>
        </w:rPr>
        <w:t>在</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年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月</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日</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时</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分之前不得启封。</w:t>
      </w:r>
      <w:bookmarkEnd w:id="503"/>
    </w:p>
    <w:p w14:paraId="72458F3F">
      <w:pPr>
        <w:spacing w:line="240" w:lineRule="auto"/>
        <w:jc w:val="center"/>
        <w:rPr>
          <w:rFonts w:hint="eastAsia" w:ascii="宋体" w:hAnsi="宋体" w:eastAsia="宋体" w:cs="宋体"/>
          <w:sz w:val="36"/>
          <w:szCs w:val="36"/>
          <w:highlight w:val="none"/>
        </w:rPr>
      </w:pPr>
    </w:p>
    <w:p w14:paraId="78A4E1B2">
      <w:pPr>
        <w:spacing w:line="240" w:lineRule="auto"/>
        <w:jc w:val="center"/>
        <w:rPr>
          <w:rFonts w:hint="eastAsia" w:ascii="宋体" w:hAnsi="宋体" w:eastAsia="宋体" w:cs="宋体"/>
          <w:b/>
          <w:bCs/>
          <w:color w:val="auto"/>
          <w:szCs w:val="48"/>
          <w:highlight w:val="none"/>
        </w:rPr>
      </w:pPr>
      <w:bookmarkStart w:id="504" w:name="_Toc10680"/>
      <w:r>
        <w:rPr>
          <w:rFonts w:hint="eastAsia" w:ascii="宋体" w:hAnsi="宋体" w:eastAsia="宋体" w:cs="宋体"/>
          <w:sz w:val="36"/>
          <w:szCs w:val="36"/>
          <w:highlight w:val="none"/>
        </w:rPr>
        <w:t>年</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月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日</w:t>
      </w:r>
      <w:bookmarkEnd w:id="504"/>
    </w:p>
    <w:p w14:paraId="1806CFD9">
      <w:pPr>
        <w:jc w:val="left"/>
        <w:rPr>
          <w:rFonts w:hint="eastAsia" w:ascii="宋体" w:hAnsi="宋体" w:eastAsia="宋体" w:cs="宋体"/>
          <w:highlight w:val="none"/>
        </w:rPr>
      </w:pPr>
    </w:p>
    <w:p w14:paraId="6EE4F2A2">
      <w:pPr>
        <w:spacing w:line="240" w:lineRule="auto"/>
        <w:jc w:val="left"/>
        <w:outlineLvl w:val="9"/>
        <w:rPr>
          <w:rFonts w:hint="eastAsia" w:ascii="宋体" w:hAnsi="宋体" w:eastAsia="宋体" w:cs="宋体"/>
          <w:highlight w:val="none"/>
        </w:rPr>
      </w:pPr>
    </w:p>
    <w:p w14:paraId="30F4BB46">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42D13DE9">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321C21AB">
      <w:pPr>
        <w:spacing w:line="360" w:lineRule="auto"/>
        <w:jc w:val="left"/>
        <w:outlineLvl w:val="9"/>
        <w:rPr>
          <w:rFonts w:hint="eastAsia" w:ascii="宋体" w:hAnsi="宋体" w:eastAsia="宋体" w:cs="宋体"/>
          <w:highlight w:val="none"/>
        </w:rPr>
      </w:pPr>
    </w:p>
    <w:p w14:paraId="4297C82C">
      <w:pPr>
        <w:shd w:val="clear" w:color="000000" w:fill="auto"/>
        <w:snapToGrid/>
        <w:spacing w:line="360" w:lineRule="auto"/>
        <w:jc w:val="center"/>
        <w:outlineLvl w:val="9"/>
        <w:rPr>
          <w:rFonts w:hint="eastAsia" w:ascii="宋体" w:hAnsi="宋体" w:eastAsia="宋体" w:cs="宋体"/>
          <w:b/>
          <w:bCs/>
          <w:sz w:val="36"/>
          <w:szCs w:val="44"/>
          <w:highlight w:val="none"/>
        </w:rPr>
      </w:pPr>
      <w:r>
        <w:rPr>
          <w:rFonts w:hint="eastAsia" w:ascii="宋体" w:hAnsi="宋体" w:eastAsia="宋体" w:cs="宋体"/>
          <w:b/>
          <w:bCs/>
          <w:sz w:val="36"/>
          <w:szCs w:val="44"/>
          <w:highlight w:val="none"/>
        </w:rPr>
        <w:t>（项目名称）</w:t>
      </w:r>
    </w:p>
    <w:p w14:paraId="3854A30A">
      <w:pPr>
        <w:shd w:val="clear" w:color="000000" w:fill="auto"/>
        <w:snapToGrid/>
        <w:spacing w:line="360" w:lineRule="auto"/>
        <w:jc w:val="left"/>
        <w:outlineLvl w:val="9"/>
        <w:rPr>
          <w:rFonts w:hint="eastAsia" w:ascii="宋体" w:hAnsi="宋体" w:eastAsia="宋体" w:cs="宋体"/>
          <w:highlight w:val="none"/>
        </w:rPr>
      </w:pPr>
    </w:p>
    <w:p w14:paraId="2F016D54">
      <w:pPr>
        <w:shd w:val="clear" w:color="000000" w:fill="auto"/>
        <w:snapToGrid/>
        <w:spacing w:line="360" w:lineRule="auto"/>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资  格  文  件</w:t>
      </w:r>
    </w:p>
    <w:p w14:paraId="55090568">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001636CE">
      <w:pPr>
        <w:spacing w:line="360" w:lineRule="auto"/>
        <w:jc w:val="center"/>
        <w:rPr>
          <w:rFonts w:hint="eastAsia" w:ascii="宋体" w:hAnsi="宋体" w:eastAsia="宋体" w:cs="宋体"/>
          <w:b/>
          <w:bCs/>
          <w:sz w:val="32"/>
          <w:szCs w:val="32"/>
          <w:highlight w:val="none"/>
        </w:rPr>
      </w:pPr>
    </w:p>
    <w:p w14:paraId="2D3941C2">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r>
        <w:rPr>
          <w:rFonts w:hint="eastAsia" w:ascii="宋体" w:hAnsi="宋体" w:cs="宋体"/>
          <w:b/>
          <w:bCs/>
          <w:sz w:val="32"/>
          <w:szCs w:val="32"/>
          <w:highlight w:val="none"/>
          <w:lang w:eastAsia="zh-CN"/>
        </w:rPr>
        <w:t>HZZHCG2025-012</w:t>
      </w:r>
    </w:p>
    <w:p w14:paraId="5B9809F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0F7EF7B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8A13DB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2335B6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C3B89A5">
      <w:pPr>
        <w:snapToGrid w:val="0"/>
        <w:spacing w:line="360" w:lineRule="auto"/>
        <w:rPr>
          <w:rFonts w:hint="eastAsia" w:ascii="宋体" w:hAnsi="宋体" w:eastAsia="宋体" w:cs="宋体"/>
          <w:color w:val="auto"/>
          <w:sz w:val="32"/>
          <w:szCs w:val="32"/>
          <w:highlight w:val="none"/>
        </w:rPr>
      </w:pPr>
    </w:p>
    <w:p w14:paraId="68EEA3F6">
      <w:pPr>
        <w:snapToGrid w:val="0"/>
        <w:spacing w:line="360" w:lineRule="auto"/>
        <w:ind w:firstLine="1920" w:firstLineChars="600"/>
        <w:rPr>
          <w:rFonts w:hint="eastAsia" w:ascii="宋体" w:hAnsi="宋体" w:eastAsia="宋体" w:cs="宋体"/>
          <w:color w:val="auto"/>
          <w:sz w:val="32"/>
          <w:szCs w:val="32"/>
          <w:highlight w:val="none"/>
        </w:rPr>
      </w:pPr>
    </w:p>
    <w:p w14:paraId="2DA5C4DD">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10832F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0F83D2C">
      <w:pPr>
        <w:spacing w:line="240" w:lineRule="auto"/>
        <w:jc w:val="center"/>
        <w:outlineLvl w:val="9"/>
        <w:rPr>
          <w:rFonts w:hint="eastAsia" w:ascii="宋体" w:hAnsi="宋体" w:eastAsia="宋体" w:cs="宋体"/>
          <w:highlight w:val="none"/>
        </w:rPr>
      </w:pPr>
      <w:r>
        <w:rPr>
          <w:rFonts w:hint="eastAsia" w:ascii="宋体" w:hAnsi="宋体" w:eastAsia="宋体" w:cs="宋体"/>
          <w:color w:val="auto"/>
          <w:sz w:val="32"/>
          <w:szCs w:val="32"/>
          <w:highlight w:val="none"/>
        </w:rPr>
        <w:t>年   月   日</w:t>
      </w:r>
    </w:p>
    <w:p w14:paraId="0139FD72">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75EBE1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C632AF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7ACD476">
      <w:pPr>
        <w:spacing w:line="360" w:lineRule="auto"/>
        <w:jc w:val="center"/>
        <w:outlineLvl w:val="9"/>
        <w:rPr>
          <w:rFonts w:hint="eastAsia" w:ascii="宋体" w:hAnsi="宋体" w:eastAsia="宋体" w:cs="宋体"/>
          <w:b/>
          <w:color w:val="auto"/>
          <w:kern w:val="0"/>
          <w:sz w:val="36"/>
          <w:szCs w:val="36"/>
          <w:highlight w:val="none"/>
        </w:rPr>
      </w:pPr>
    </w:p>
    <w:p w14:paraId="3D0EA7B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2161A9A">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A40FD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18394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B9E26C5">
      <w:pPr>
        <w:snapToGrid w:val="0"/>
        <w:spacing w:line="360" w:lineRule="auto"/>
        <w:ind w:firstLine="480" w:firstLineChars="200"/>
        <w:rPr>
          <w:rFonts w:hint="eastAsia" w:ascii="宋体" w:hAnsi="宋体" w:eastAsia="宋体" w:cs="宋体"/>
          <w:color w:val="auto"/>
          <w:sz w:val="24"/>
          <w:highlight w:val="none"/>
        </w:rPr>
      </w:pPr>
    </w:p>
    <w:p w14:paraId="2565EF5F">
      <w:pPr>
        <w:spacing w:line="360" w:lineRule="auto"/>
        <w:ind w:firstLine="480" w:firstLineChars="200"/>
        <w:rPr>
          <w:rFonts w:hint="eastAsia" w:ascii="宋体" w:hAnsi="宋体" w:eastAsia="宋体" w:cs="宋体"/>
          <w:color w:val="auto"/>
          <w:sz w:val="24"/>
          <w:highlight w:val="none"/>
        </w:rPr>
      </w:pPr>
    </w:p>
    <w:p w14:paraId="62596116">
      <w:pPr>
        <w:snapToGrid w:val="0"/>
        <w:spacing w:line="360" w:lineRule="auto"/>
        <w:ind w:right="48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3E2D04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0678D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349D593F">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219D2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FA3E30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F946F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84A2B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DFF41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3A138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75295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7D8D6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C9975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05CE4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9F180D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FB32A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6FE951">
      <w:pPr>
        <w:snapToGrid w:val="0"/>
        <w:spacing w:line="360" w:lineRule="auto"/>
        <w:ind w:right="480"/>
        <w:jc w:val="both"/>
        <w:rPr>
          <w:rFonts w:hint="eastAsia" w:ascii="宋体" w:hAnsi="宋体" w:eastAsia="宋体" w:cs="宋体"/>
          <w:b/>
          <w:color w:val="auto"/>
          <w:kern w:val="0"/>
          <w:sz w:val="32"/>
          <w:szCs w:val="32"/>
          <w:highlight w:val="none"/>
        </w:rPr>
      </w:pPr>
    </w:p>
    <w:p w14:paraId="27282776">
      <w:pPr>
        <w:snapToGrid w:val="0"/>
        <w:spacing w:line="360" w:lineRule="auto"/>
        <w:ind w:right="480" w:firstLine="480" w:firstLineChars="200"/>
        <w:jc w:val="left"/>
        <w:rPr>
          <w:rFonts w:hint="eastAsia" w:ascii="宋体" w:hAnsi="宋体" w:eastAsia="宋体" w:cs="宋体"/>
          <w:b/>
          <w:color w:val="auto"/>
          <w:kern w:val="0"/>
          <w:sz w:val="32"/>
          <w:szCs w:val="32"/>
          <w:highlight w:val="none"/>
        </w:rPr>
      </w:pPr>
      <w:bookmarkStart w:id="505" w:name="OLE_LINK9"/>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w:t>
      </w:r>
      <w:r>
        <w:rPr>
          <w:rFonts w:hint="eastAsia" w:ascii="宋体" w:hAnsi="宋体" w:eastAsia="宋体" w:cs="宋体"/>
          <w:b/>
          <w:bCs/>
          <w:color w:val="auto"/>
          <w:sz w:val="24"/>
          <w:highlight w:val="none"/>
        </w:rPr>
        <w:t>区域性分支机构，以及个体工商户、个人独资企业、合伙企业，参与政府采购活动，</w:t>
      </w:r>
      <w:r>
        <w:rPr>
          <w:rFonts w:hint="eastAsia" w:ascii="宋体" w:hAnsi="宋体" w:eastAsia="宋体" w:cs="宋体"/>
          <w:color w:val="auto"/>
          <w:sz w:val="24"/>
          <w:highlight w:val="none"/>
        </w:rPr>
        <w:t>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w:t>
      </w:r>
      <w:bookmarkStart w:id="506" w:name="OLE_LINK6"/>
      <w:r>
        <w:rPr>
          <w:rFonts w:hint="eastAsia" w:ascii="宋体" w:hAnsi="宋体" w:eastAsia="宋体" w:cs="宋体"/>
          <w:b/>
          <w:color w:val="auto"/>
          <w:sz w:val="24"/>
          <w:highlight w:val="none"/>
          <w:u w:val="single"/>
        </w:rPr>
        <w:t>还需提供下列材料：</w:t>
      </w:r>
      <w:bookmarkStart w:id="507" w:name="OLE_LINK10"/>
      <w:r>
        <w:rPr>
          <w:rFonts w:hint="eastAsia" w:ascii="宋体" w:hAnsi="宋体" w:eastAsia="宋体" w:cs="宋体"/>
          <w:b/>
          <w:color w:val="auto"/>
          <w:sz w:val="24"/>
          <w:highlight w:val="none"/>
          <w:u w:val="single"/>
        </w:rPr>
        <w:t>总公司（总机构）的授权书或提供房产权证或其他有效财产证明材料</w:t>
      </w:r>
      <w:bookmarkEnd w:id="507"/>
      <w:r>
        <w:rPr>
          <w:rFonts w:hint="eastAsia" w:ascii="宋体" w:hAnsi="宋体" w:eastAsia="宋体" w:cs="宋体"/>
          <w:b/>
          <w:color w:val="auto"/>
          <w:sz w:val="24"/>
          <w:highlight w:val="none"/>
          <w:u w:val="single"/>
        </w:rPr>
        <w:t>，证明其具备实际承担责任的能力和法定的缔结合同能力，可以独立参加政府采购活动，由单位负责人签署相关文件材料。</w:t>
      </w:r>
      <w:bookmarkEnd w:id="505"/>
      <w:bookmarkEnd w:id="506"/>
    </w:p>
    <w:p w14:paraId="28CB3A00">
      <w:pPr>
        <w:widowControl/>
        <w:spacing w:line="360" w:lineRule="auto"/>
        <w:ind w:firstLine="643" w:firstLineChars="20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F2A714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C00709D">
      <w:pPr>
        <w:snapToGrid w:val="0"/>
        <w:spacing w:line="360" w:lineRule="auto"/>
        <w:ind w:right="480"/>
        <w:jc w:val="center"/>
        <w:rPr>
          <w:rFonts w:hint="eastAsia" w:ascii="宋体" w:hAnsi="宋体" w:eastAsia="宋体" w:cs="宋体"/>
          <w:b/>
          <w:color w:val="auto"/>
          <w:kern w:val="0"/>
          <w:sz w:val="32"/>
          <w:szCs w:val="32"/>
          <w:highlight w:val="none"/>
        </w:rPr>
      </w:pPr>
    </w:p>
    <w:p w14:paraId="048EB01D">
      <w:pPr>
        <w:snapToGrid w:val="0"/>
        <w:spacing w:line="360" w:lineRule="auto"/>
        <w:ind w:right="480"/>
        <w:jc w:val="center"/>
        <w:rPr>
          <w:rFonts w:hint="eastAsia" w:ascii="宋体" w:hAnsi="宋体" w:eastAsia="宋体" w:cs="宋体"/>
          <w:b/>
          <w:color w:val="auto"/>
          <w:kern w:val="0"/>
          <w:sz w:val="32"/>
          <w:szCs w:val="32"/>
          <w:highlight w:val="none"/>
        </w:rPr>
      </w:pPr>
    </w:p>
    <w:p w14:paraId="72F7D2D3">
      <w:pPr>
        <w:snapToGrid w:val="0"/>
        <w:spacing w:line="360" w:lineRule="auto"/>
        <w:ind w:right="48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D6640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C86105E">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.专门面向</w:t>
      </w:r>
      <w:r>
        <w:rPr>
          <w:rFonts w:hint="eastAsia" w:ascii="宋体" w:hAnsi="宋体" w:cs="宋体"/>
          <w:sz w:val="24"/>
          <w:highlight w:val="none"/>
          <w:lang w:val="en-US" w:eastAsia="zh-CN"/>
        </w:rPr>
        <w:t>中小</w:t>
      </w:r>
      <w:r>
        <w:rPr>
          <w:rFonts w:hint="eastAsia" w:ascii="宋体" w:hAnsi="宋体" w:eastAsia="宋体" w:cs="宋体"/>
          <w:sz w:val="24"/>
          <w:highlight w:val="none"/>
        </w:rPr>
        <w:t>企业，服务全部由符合政策要求的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企业承接的，提供相应的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企业声明函</w:t>
      </w:r>
      <w:r>
        <w:rPr>
          <w:rFonts w:hint="eastAsia" w:ascii="宋体" w:hAnsi="宋体" w:eastAsia="宋体" w:cs="宋体"/>
          <w:color w:val="000000"/>
          <w:sz w:val="24"/>
          <w:highlight w:val="none"/>
        </w:rPr>
        <w:t>（附件7）。</w:t>
      </w:r>
      <w:r>
        <w:rPr>
          <w:rFonts w:hint="eastAsia" w:ascii="宋体" w:hAnsi="宋体" w:eastAsia="宋体" w:cs="宋体"/>
          <w:sz w:val="24"/>
          <w:highlight w:val="none"/>
        </w:rPr>
        <w:t xml:space="preserve"> </w:t>
      </w:r>
    </w:p>
    <w:p w14:paraId="7F7BD0EC">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中小微</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中型、</w:t>
      </w:r>
      <w:r>
        <w:rPr>
          <w:rFonts w:hint="eastAsia" w:ascii="宋体" w:hAnsi="宋体" w:eastAsia="宋体" w:cs="宋体"/>
          <w:b/>
          <w:bCs/>
          <w:color w:val="auto"/>
          <w:sz w:val="24"/>
          <w:highlight w:val="none"/>
          <w:lang w:eastAsia="zh-CN"/>
        </w:rPr>
        <w:t>小型企业或微型企业或监狱企业和残疾人福利性单位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lang w:eastAsia="zh-CN"/>
        </w:rPr>
        <w:t>企业声明函（格式后附），否则其投标文件作无效投标处理。</w:t>
      </w:r>
    </w:p>
    <w:p w14:paraId="3E9A600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CDF3641">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E65B0C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58471B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9FD42D5">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中小</w:t>
      </w:r>
      <w:r>
        <w:rPr>
          <w:rFonts w:hint="eastAsia" w:ascii="宋体" w:hAnsi="宋体" w:eastAsia="宋体" w:cs="宋体"/>
          <w:b/>
          <w:color w:val="auto"/>
          <w:sz w:val="32"/>
          <w:szCs w:val="32"/>
          <w:highlight w:val="none"/>
        </w:rPr>
        <w:t>企业声明函（服务）</w:t>
      </w:r>
    </w:p>
    <w:p w14:paraId="1E84B4A9">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310119A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221D245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33F9A60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0FA9FB4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1382F7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84BFC96">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59A9BA96">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485B4CCA">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C93D52B">
      <w:pPr>
        <w:spacing w:line="360" w:lineRule="auto"/>
        <w:ind w:right="420"/>
        <w:rPr>
          <w:rFonts w:hint="eastAsia" w:ascii="宋体" w:hAnsi="宋体" w:eastAsia="宋体" w:cs="宋体"/>
          <w:color w:val="auto"/>
          <w:sz w:val="24"/>
          <w:highlight w:val="none"/>
        </w:rPr>
      </w:pPr>
    </w:p>
    <w:p w14:paraId="0FB9F12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2F1D05C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E7F3F6">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D46A62">
      <w:pPr>
        <w:rPr>
          <w:rFonts w:hint="eastAsia" w:ascii="宋体" w:hAnsi="宋体" w:eastAsia="宋体" w:cs="宋体"/>
          <w:color w:val="auto"/>
          <w:highlight w:val="none"/>
        </w:rPr>
      </w:pPr>
    </w:p>
    <w:p w14:paraId="7CAAD395">
      <w:pPr>
        <w:widowControl/>
        <w:spacing w:line="360" w:lineRule="auto"/>
        <w:ind w:left="150"/>
        <w:jc w:val="center"/>
        <w:rPr>
          <w:rFonts w:hint="eastAsia" w:ascii="宋体" w:hAnsi="宋体" w:eastAsia="宋体" w:cs="宋体"/>
          <w:b/>
          <w:color w:val="auto"/>
          <w:kern w:val="0"/>
          <w:sz w:val="32"/>
          <w:szCs w:val="32"/>
          <w:highlight w:val="none"/>
        </w:rPr>
      </w:pPr>
    </w:p>
    <w:p w14:paraId="73E5B541">
      <w:pPr>
        <w:outlineLvl w:val="9"/>
        <w:rPr>
          <w:rFonts w:hint="eastAsia" w:ascii="宋体" w:hAnsi="宋体" w:eastAsia="宋体" w:cs="宋体"/>
          <w:b/>
          <w:color w:val="auto"/>
          <w:kern w:val="0"/>
          <w:sz w:val="32"/>
          <w:szCs w:val="32"/>
          <w:highlight w:val="none"/>
        </w:rPr>
      </w:pPr>
    </w:p>
    <w:p w14:paraId="095FF4C2">
      <w:pPr>
        <w:rPr>
          <w:rFonts w:hint="eastAsia" w:ascii="宋体" w:hAnsi="宋体" w:eastAsia="宋体" w:cs="宋体"/>
          <w:b/>
          <w:color w:val="auto"/>
          <w:kern w:val="0"/>
          <w:sz w:val="32"/>
          <w:szCs w:val="32"/>
          <w:highlight w:val="none"/>
        </w:rPr>
      </w:pPr>
    </w:p>
    <w:p w14:paraId="02C7672E">
      <w:pPr>
        <w:outlineLvl w:val="9"/>
        <w:rPr>
          <w:rFonts w:hint="eastAsia" w:ascii="宋体" w:hAnsi="宋体" w:eastAsia="宋体" w:cs="宋体"/>
          <w:b/>
          <w:color w:val="auto"/>
          <w:kern w:val="0"/>
          <w:sz w:val="32"/>
          <w:szCs w:val="32"/>
          <w:highlight w:val="none"/>
        </w:rPr>
      </w:pPr>
    </w:p>
    <w:p w14:paraId="077723F5">
      <w:pPr>
        <w:rPr>
          <w:rFonts w:hint="eastAsia" w:ascii="宋体" w:hAnsi="宋体" w:eastAsia="宋体" w:cs="宋体"/>
          <w:color w:val="auto"/>
          <w:highlight w:val="none"/>
        </w:rPr>
      </w:pPr>
    </w:p>
    <w:p w14:paraId="2486D2F8">
      <w:pPr>
        <w:widowControl/>
        <w:spacing w:line="360" w:lineRule="auto"/>
        <w:ind w:left="15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5E262C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71644BE">
      <w:pPr>
        <w:rPr>
          <w:rFonts w:hint="eastAsia" w:ascii="宋体" w:hAnsi="宋体" w:eastAsia="宋体" w:cs="宋体"/>
          <w:color w:val="auto"/>
          <w:sz w:val="24"/>
          <w:szCs w:val="32"/>
          <w:highlight w:val="none"/>
        </w:rPr>
      </w:pPr>
    </w:p>
    <w:p w14:paraId="45AC9F74">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35D2D9B">
      <w:pPr>
        <w:spacing w:line="360" w:lineRule="auto"/>
        <w:ind w:right="420" w:firstLine="3614" w:firstLineChars="1000"/>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6B4E89E">
      <w:pPr>
        <w:spacing w:line="360" w:lineRule="auto"/>
        <w:jc w:val="center"/>
        <w:outlineLvl w:val="9"/>
        <w:rPr>
          <w:rFonts w:hint="eastAsia" w:ascii="宋体" w:hAnsi="宋体" w:eastAsia="宋体" w:cs="宋体"/>
          <w:b/>
          <w:color w:val="auto"/>
          <w:kern w:val="0"/>
          <w:sz w:val="24"/>
          <w:highlight w:val="none"/>
        </w:rPr>
      </w:pPr>
    </w:p>
    <w:p w14:paraId="094489F8">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D7D993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769321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47953C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38DA541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5B868F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47F2106">
      <w:pPr>
        <w:snapToGrid w:val="0"/>
        <w:spacing w:line="360" w:lineRule="auto"/>
        <w:jc w:val="center"/>
        <w:rPr>
          <w:rFonts w:hint="eastAsia" w:ascii="宋体" w:hAnsi="宋体" w:eastAsia="宋体" w:cs="宋体"/>
          <w:b/>
          <w:color w:val="auto"/>
          <w:kern w:val="0"/>
          <w:sz w:val="32"/>
          <w:szCs w:val="32"/>
          <w:highlight w:val="none"/>
          <w:lang w:val="zh-CN"/>
        </w:rPr>
      </w:pPr>
    </w:p>
    <w:p w14:paraId="5777A9DC">
      <w:pPr>
        <w:snapToGrid w:val="0"/>
        <w:spacing w:line="360" w:lineRule="auto"/>
        <w:jc w:val="center"/>
        <w:rPr>
          <w:rFonts w:hint="eastAsia" w:ascii="宋体" w:hAnsi="宋体" w:eastAsia="宋体" w:cs="宋体"/>
          <w:b/>
          <w:color w:val="auto"/>
          <w:kern w:val="0"/>
          <w:sz w:val="32"/>
          <w:szCs w:val="32"/>
          <w:highlight w:val="none"/>
          <w:lang w:val="zh-CN"/>
        </w:rPr>
      </w:pPr>
    </w:p>
    <w:p w14:paraId="06307CBA">
      <w:pPr>
        <w:snapToGrid w:val="0"/>
        <w:spacing w:line="360" w:lineRule="auto"/>
        <w:jc w:val="center"/>
        <w:rPr>
          <w:rFonts w:hint="eastAsia" w:ascii="宋体" w:hAnsi="宋体" w:eastAsia="宋体" w:cs="宋体"/>
          <w:b/>
          <w:color w:val="auto"/>
          <w:kern w:val="0"/>
          <w:sz w:val="32"/>
          <w:szCs w:val="32"/>
          <w:highlight w:val="none"/>
          <w:lang w:val="zh-CN"/>
        </w:rPr>
      </w:pPr>
    </w:p>
    <w:p w14:paraId="238AFA48">
      <w:pPr>
        <w:snapToGrid w:val="0"/>
        <w:spacing w:line="360" w:lineRule="auto"/>
        <w:jc w:val="center"/>
        <w:rPr>
          <w:rFonts w:hint="eastAsia" w:ascii="宋体" w:hAnsi="宋体" w:eastAsia="宋体" w:cs="宋体"/>
          <w:b/>
          <w:color w:val="auto"/>
          <w:kern w:val="0"/>
          <w:sz w:val="32"/>
          <w:szCs w:val="32"/>
          <w:highlight w:val="none"/>
          <w:lang w:val="zh-CN"/>
        </w:rPr>
      </w:pPr>
    </w:p>
    <w:p w14:paraId="61A6AAE5">
      <w:pPr>
        <w:snapToGrid w:val="0"/>
        <w:spacing w:line="360" w:lineRule="auto"/>
        <w:jc w:val="center"/>
        <w:rPr>
          <w:rFonts w:hint="eastAsia" w:ascii="宋体" w:hAnsi="宋体" w:eastAsia="宋体" w:cs="宋体"/>
          <w:b/>
          <w:color w:val="auto"/>
          <w:kern w:val="0"/>
          <w:sz w:val="32"/>
          <w:szCs w:val="32"/>
          <w:highlight w:val="none"/>
          <w:lang w:val="zh-CN"/>
        </w:rPr>
      </w:pPr>
    </w:p>
    <w:p w14:paraId="6DFA5E7B">
      <w:pPr>
        <w:snapToGrid w:val="0"/>
        <w:spacing w:line="360" w:lineRule="auto"/>
        <w:jc w:val="center"/>
        <w:rPr>
          <w:rFonts w:hint="eastAsia" w:ascii="宋体" w:hAnsi="宋体" w:eastAsia="宋体" w:cs="宋体"/>
          <w:b/>
          <w:color w:val="auto"/>
          <w:kern w:val="0"/>
          <w:sz w:val="32"/>
          <w:szCs w:val="32"/>
          <w:highlight w:val="none"/>
          <w:lang w:val="zh-CN"/>
        </w:rPr>
      </w:pPr>
    </w:p>
    <w:p w14:paraId="3EB5DD67">
      <w:pPr>
        <w:snapToGrid w:val="0"/>
        <w:spacing w:line="360" w:lineRule="auto"/>
        <w:jc w:val="center"/>
        <w:rPr>
          <w:rFonts w:hint="eastAsia" w:ascii="宋体" w:hAnsi="宋体" w:eastAsia="宋体" w:cs="宋体"/>
          <w:b/>
          <w:color w:val="auto"/>
          <w:kern w:val="0"/>
          <w:sz w:val="32"/>
          <w:szCs w:val="32"/>
          <w:highlight w:val="none"/>
          <w:lang w:val="zh-CN"/>
        </w:rPr>
      </w:pPr>
    </w:p>
    <w:p w14:paraId="31F66BF6">
      <w:pPr>
        <w:snapToGrid w:val="0"/>
        <w:spacing w:line="360" w:lineRule="auto"/>
        <w:jc w:val="center"/>
        <w:rPr>
          <w:rFonts w:hint="eastAsia" w:ascii="宋体" w:hAnsi="宋体" w:eastAsia="宋体" w:cs="宋体"/>
          <w:b/>
          <w:color w:val="auto"/>
          <w:kern w:val="0"/>
          <w:sz w:val="32"/>
          <w:szCs w:val="32"/>
          <w:highlight w:val="none"/>
          <w:lang w:val="zh-CN"/>
        </w:rPr>
      </w:pPr>
    </w:p>
    <w:p w14:paraId="0E81ADD1">
      <w:pPr>
        <w:snapToGrid w:val="0"/>
        <w:spacing w:line="360" w:lineRule="auto"/>
        <w:jc w:val="center"/>
        <w:rPr>
          <w:rFonts w:hint="eastAsia" w:ascii="宋体" w:hAnsi="宋体" w:eastAsia="宋体" w:cs="宋体"/>
          <w:b/>
          <w:color w:val="auto"/>
          <w:kern w:val="0"/>
          <w:sz w:val="32"/>
          <w:szCs w:val="32"/>
          <w:highlight w:val="none"/>
          <w:lang w:val="zh-CN"/>
        </w:rPr>
      </w:pPr>
    </w:p>
    <w:p w14:paraId="1AFC3ECF">
      <w:pPr>
        <w:snapToGrid w:val="0"/>
        <w:spacing w:line="360" w:lineRule="auto"/>
        <w:jc w:val="center"/>
        <w:rPr>
          <w:rFonts w:hint="eastAsia" w:ascii="宋体" w:hAnsi="宋体" w:eastAsia="宋体" w:cs="宋体"/>
          <w:b/>
          <w:color w:val="auto"/>
          <w:kern w:val="0"/>
          <w:sz w:val="32"/>
          <w:szCs w:val="32"/>
          <w:highlight w:val="none"/>
          <w:lang w:val="zh-CN"/>
        </w:rPr>
      </w:pPr>
    </w:p>
    <w:p w14:paraId="06B3900D">
      <w:pPr>
        <w:snapToGrid w:val="0"/>
        <w:spacing w:line="360" w:lineRule="auto"/>
        <w:jc w:val="center"/>
        <w:rPr>
          <w:rFonts w:hint="eastAsia" w:ascii="宋体" w:hAnsi="宋体" w:eastAsia="宋体" w:cs="宋体"/>
          <w:b/>
          <w:color w:val="auto"/>
          <w:kern w:val="0"/>
          <w:sz w:val="32"/>
          <w:szCs w:val="32"/>
          <w:highlight w:val="none"/>
          <w:lang w:val="zh-CN"/>
        </w:rPr>
      </w:pPr>
    </w:p>
    <w:p w14:paraId="048F1B86">
      <w:pPr>
        <w:snapToGrid w:val="0"/>
        <w:spacing w:line="360" w:lineRule="auto"/>
        <w:jc w:val="center"/>
        <w:rPr>
          <w:rFonts w:hint="eastAsia" w:ascii="宋体" w:hAnsi="宋体" w:eastAsia="宋体" w:cs="宋体"/>
          <w:b/>
          <w:color w:val="auto"/>
          <w:kern w:val="0"/>
          <w:sz w:val="32"/>
          <w:szCs w:val="32"/>
          <w:highlight w:val="none"/>
          <w:lang w:val="zh-CN"/>
        </w:rPr>
      </w:pPr>
    </w:p>
    <w:p w14:paraId="1E106B9A">
      <w:pPr>
        <w:rPr>
          <w:rFonts w:hint="eastAsia" w:ascii="宋体" w:hAnsi="宋体" w:eastAsia="宋体" w:cs="宋体"/>
          <w:b/>
          <w:color w:val="auto"/>
          <w:kern w:val="0"/>
          <w:sz w:val="32"/>
          <w:szCs w:val="32"/>
          <w:highlight w:val="none"/>
          <w:lang w:val="zh-CN"/>
        </w:rPr>
      </w:pPr>
    </w:p>
    <w:p w14:paraId="518E473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9B4C6D9">
      <w:pPr>
        <w:snapToGrid w:val="0"/>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996228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CD95D7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31D960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63223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1E46C18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292690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E51FC3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8" w:name="_Hlk101257010"/>
      <w:r>
        <w:rPr>
          <w:rFonts w:hint="eastAsia" w:ascii="宋体" w:hAnsi="宋体" w:eastAsia="宋体" w:cs="宋体"/>
          <w:color w:val="auto"/>
          <w:sz w:val="24"/>
          <w:highlight w:val="none"/>
        </w:rPr>
        <w:t>（如果有)</w:t>
      </w:r>
      <w:bookmarkEnd w:id="508"/>
      <w:r>
        <w:rPr>
          <w:rFonts w:hint="eastAsia" w:ascii="宋体" w:hAnsi="宋体" w:eastAsia="宋体" w:cs="宋体"/>
          <w:snapToGrid w:val="0"/>
          <w:color w:val="auto"/>
          <w:kern w:val="28"/>
          <w:sz w:val="24"/>
          <w:szCs w:val="20"/>
          <w:highlight w:val="none"/>
        </w:rPr>
        <w:t>；</w:t>
      </w:r>
    </w:p>
    <w:p w14:paraId="05838A7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1EBB0D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3FDD865">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BA6885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AC53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8BD943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14677D9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1245CA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18E99D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9A186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5FA888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E53C74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94F6E0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786F46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2660C9A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147E7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142A6C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A3AA11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2E9DDA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A683C4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2D5F854">
      <w:pPr>
        <w:snapToGrid w:val="0"/>
        <w:spacing w:line="360" w:lineRule="auto"/>
        <w:ind w:left="210" w:leftChars="100" w:firstLine="480"/>
        <w:rPr>
          <w:rFonts w:hint="eastAsia"/>
          <w:highlight w:val="none"/>
        </w:rPr>
      </w:pP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C68E57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B77E11">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4F998A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B839A2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7BE4C7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685DA69">
      <w:pPr>
        <w:snapToGrid w:val="0"/>
        <w:spacing w:line="360" w:lineRule="auto"/>
        <w:jc w:val="center"/>
        <w:rPr>
          <w:rFonts w:hint="eastAsia" w:ascii="宋体" w:hAnsi="宋体" w:eastAsia="宋体" w:cs="宋体"/>
          <w:b/>
          <w:color w:val="auto"/>
          <w:kern w:val="0"/>
          <w:sz w:val="32"/>
          <w:szCs w:val="32"/>
          <w:highlight w:val="none"/>
        </w:rPr>
      </w:pPr>
    </w:p>
    <w:p w14:paraId="4868C318">
      <w:pPr>
        <w:snapToGrid w:val="0"/>
        <w:spacing w:line="360" w:lineRule="auto"/>
        <w:rPr>
          <w:rFonts w:hint="eastAsia" w:ascii="宋体" w:hAnsi="宋体" w:eastAsia="宋体" w:cs="宋体"/>
          <w:color w:val="auto"/>
          <w:sz w:val="24"/>
          <w:highlight w:val="none"/>
        </w:rPr>
      </w:pPr>
    </w:p>
    <w:p w14:paraId="40432498">
      <w:pPr>
        <w:jc w:val="center"/>
        <w:rPr>
          <w:rFonts w:hint="eastAsia" w:ascii="宋体" w:hAnsi="宋体" w:eastAsia="宋体" w:cs="宋体"/>
          <w:b/>
          <w:color w:val="auto"/>
          <w:kern w:val="0"/>
          <w:sz w:val="32"/>
          <w:szCs w:val="32"/>
          <w:highlight w:val="none"/>
        </w:rPr>
      </w:pPr>
    </w:p>
    <w:p w14:paraId="66FCDD7C">
      <w:pPr>
        <w:jc w:val="center"/>
        <w:rPr>
          <w:rFonts w:hint="eastAsia" w:ascii="宋体" w:hAnsi="宋体" w:eastAsia="宋体" w:cs="宋体"/>
          <w:b/>
          <w:color w:val="auto"/>
          <w:kern w:val="0"/>
          <w:sz w:val="32"/>
          <w:szCs w:val="32"/>
          <w:highlight w:val="none"/>
        </w:rPr>
      </w:pPr>
    </w:p>
    <w:p w14:paraId="4445AACA">
      <w:pPr>
        <w:jc w:val="center"/>
        <w:rPr>
          <w:rFonts w:hint="eastAsia" w:ascii="宋体" w:hAnsi="宋体" w:eastAsia="宋体" w:cs="宋体"/>
          <w:b/>
          <w:color w:val="auto"/>
          <w:kern w:val="0"/>
          <w:sz w:val="32"/>
          <w:szCs w:val="32"/>
          <w:highlight w:val="none"/>
        </w:rPr>
      </w:pPr>
    </w:p>
    <w:p w14:paraId="0C4CC742">
      <w:pPr>
        <w:jc w:val="center"/>
        <w:rPr>
          <w:rFonts w:hint="eastAsia" w:ascii="宋体" w:hAnsi="宋体" w:eastAsia="宋体" w:cs="宋体"/>
          <w:b/>
          <w:color w:val="auto"/>
          <w:kern w:val="0"/>
          <w:sz w:val="32"/>
          <w:szCs w:val="32"/>
          <w:highlight w:val="none"/>
        </w:rPr>
      </w:pPr>
    </w:p>
    <w:p w14:paraId="44A7EB28">
      <w:pPr>
        <w:jc w:val="center"/>
        <w:rPr>
          <w:rFonts w:hint="eastAsia" w:ascii="宋体" w:hAnsi="宋体" w:eastAsia="宋体" w:cs="宋体"/>
          <w:b/>
          <w:color w:val="auto"/>
          <w:kern w:val="0"/>
          <w:sz w:val="32"/>
          <w:szCs w:val="32"/>
          <w:highlight w:val="none"/>
        </w:rPr>
      </w:pPr>
    </w:p>
    <w:p w14:paraId="343866BA">
      <w:pPr>
        <w:jc w:val="center"/>
        <w:rPr>
          <w:rFonts w:hint="eastAsia" w:ascii="宋体" w:hAnsi="宋体" w:eastAsia="宋体" w:cs="宋体"/>
          <w:b/>
          <w:color w:val="auto"/>
          <w:kern w:val="0"/>
          <w:sz w:val="32"/>
          <w:szCs w:val="32"/>
          <w:highlight w:val="none"/>
        </w:rPr>
      </w:pPr>
    </w:p>
    <w:p w14:paraId="60A61EC6">
      <w:pPr>
        <w:jc w:val="center"/>
        <w:rPr>
          <w:rFonts w:hint="eastAsia" w:ascii="宋体" w:hAnsi="宋体" w:eastAsia="宋体" w:cs="宋体"/>
          <w:b/>
          <w:color w:val="auto"/>
          <w:kern w:val="0"/>
          <w:sz w:val="32"/>
          <w:szCs w:val="32"/>
          <w:highlight w:val="none"/>
        </w:rPr>
      </w:pPr>
    </w:p>
    <w:p w14:paraId="30958CE9">
      <w:pPr>
        <w:jc w:val="center"/>
        <w:rPr>
          <w:rFonts w:hint="eastAsia" w:ascii="宋体" w:hAnsi="宋体" w:eastAsia="宋体" w:cs="宋体"/>
          <w:b/>
          <w:color w:val="auto"/>
          <w:kern w:val="0"/>
          <w:sz w:val="32"/>
          <w:szCs w:val="32"/>
          <w:highlight w:val="none"/>
        </w:rPr>
      </w:pPr>
    </w:p>
    <w:p w14:paraId="56B1E965">
      <w:pPr>
        <w:jc w:val="center"/>
        <w:rPr>
          <w:rFonts w:hint="eastAsia" w:ascii="宋体" w:hAnsi="宋体" w:eastAsia="宋体" w:cs="宋体"/>
          <w:b/>
          <w:color w:val="auto"/>
          <w:kern w:val="0"/>
          <w:sz w:val="32"/>
          <w:szCs w:val="32"/>
          <w:highlight w:val="none"/>
        </w:rPr>
      </w:pPr>
    </w:p>
    <w:p w14:paraId="2CBD58FB">
      <w:pPr>
        <w:jc w:val="center"/>
        <w:rPr>
          <w:rFonts w:hint="eastAsia" w:ascii="宋体" w:hAnsi="宋体" w:eastAsia="宋体" w:cs="宋体"/>
          <w:b/>
          <w:color w:val="auto"/>
          <w:kern w:val="0"/>
          <w:sz w:val="32"/>
          <w:szCs w:val="32"/>
          <w:highlight w:val="none"/>
        </w:rPr>
      </w:pPr>
    </w:p>
    <w:p w14:paraId="43CA3966">
      <w:pPr>
        <w:jc w:val="center"/>
        <w:rPr>
          <w:rFonts w:hint="eastAsia" w:ascii="宋体" w:hAnsi="宋体" w:eastAsia="宋体" w:cs="宋体"/>
          <w:b/>
          <w:color w:val="auto"/>
          <w:kern w:val="0"/>
          <w:sz w:val="32"/>
          <w:szCs w:val="32"/>
          <w:highlight w:val="none"/>
        </w:rPr>
      </w:pPr>
    </w:p>
    <w:p w14:paraId="06313CA5">
      <w:pPr>
        <w:jc w:val="center"/>
        <w:rPr>
          <w:rFonts w:hint="eastAsia" w:ascii="宋体" w:hAnsi="宋体" w:eastAsia="宋体" w:cs="宋体"/>
          <w:b/>
          <w:color w:val="auto"/>
          <w:kern w:val="0"/>
          <w:sz w:val="32"/>
          <w:szCs w:val="32"/>
          <w:highlight w:val="none"/>
        </w:rPr>
      </w:pPr>
    </w:p>
    <w:p w14:paraId="2E603BD5">
      <w:pPr>
        <w:jc w:val="center"/>
        <w:rPr>
          <w:rFonts w:hint="eastAsia" w:ascii="宋体" w:hAnsi="宋体" w:eastAsia="宋体" w:cs="宋体"/>
          <w:b/>
          <w:color w:val="auto"/>
          <w:kern w:val="0"/>
          <w:sz w:val="32"/>
          <w:szCs w:val="32"/>
          <w:highlight w:val="none"/>
        </w:rPr>
      </w:pPr>
    </w:p>
    <w:p w14:paraId="7394DFE4">
      <w:pPr>
        <w:jc w:val="center"/>
        <w:rPr>
          <w:rFonts w:hint="eastAsia" w:ascii="宋体" w:hAnsi="宋体" w:eastAsia="宋体" w:cs="宋体"/>
          <w:b/>
          <w:color w:val="auto"/>
          <w:kern w:val="0"/>
          <w:sz w:val="32"/>
          <w:szCs w:val="32"/>
          <w:highlight w:val="none"/>
        </w:rPr>
      </w:pPr>
    </w:p>
    <w:p w14:paraId="21BEB014">
      <w:pPr>
        <w:jc w:val="center"/>
        <w:rPr>
          <w:rFonts w:hint="eastAsia" w:ascii="宋体" w:hAnsi="宋体" w:eastAsia="宋体" w:cs="宋体"/>
          <w:b/>
          <w:color w:val="auto"/>
          <w:kern w:val="0"/>
          <w:sz w:val="32"/>
          <w:szCs w:val="32"/>
          <w:highlight w:val="none"/>
        </w:rPr>
      </w:pPr>
    </w:p>
    <w:p w14:paraId="78A03C21">
      <w:pPr>
        <w:jc w:val="center"/>
        <w:rPr>
          <w:rFonts w:hint="eastAsia" w:ascii="宋体" w:hAnsi="宋体" w:eastAsia="宋体" w:cs="宋体"/>
          <w:b/>
          <w:color w:val="auto"/>
          <w:kern w:val="0"/>
          <w:sz w:val="32"/>
          <w:szCs w:val="32"/>
          <w:highlight w:val="none"/>
        </w:rPr>
      </w:pPr>
    </w:p>
    <w:p w14:paraId="13DD3572">
      <w:pPr>
        <w:jc w:val="center"/>
        <w:rPr>
          <w:rFonts w:hint="eastAsia" w:ascii="宋体" w:hAnsi="宋体" w:eastAsia="宋体" w:cs="宋体"/>
          <w:b/>
          <w:color w:val="auto"/>
          <w:kern w:val="0"/>
          <w:sz w:val="32"/>
          <w:szCs w:val="32"/>
          <w:highlight w:val="none"/>
        </w:rPr>
      </w:pPr>
    </w:p>
    <w:p w14:paraId="734A78F5">
      <w:pPr>
        <w:jc w:val="center"/>
        <w:rPr>
          <w:rFonts w:hint="eastAsia" w:ascii="宋体" w:hAnsi="宋体" w:eastAsia="宋体" w:cs="宋体"/>
          <w:b/>
          <w:color w:val="auto"/>
          <w:kern w:val="0"/>
          <w:sz w:val="32"/>
          <w:szCs w:val="32"/>
          <w:highlight w:val="none"/>
        </w:rPr>
      </w:pPr>
    </w:p>
    <w:p w14:paraId="5DC534BE">
      <w:pPr>
        <w:jc w:val="center"/>
        <w:rPr>
          <w:rFonts w:hint="eastAsia" w:ascii="宋体" w:hAnsi="宋体" w:eastAsia="宋体" w:cs="宋体"/>
          <w:b/>
          <w:color w:val="auto"/>
          <w:kern w:val="0"/>
          <w:sz w:val="32"/>
          <w:szCs w:val="32"/>
          <w:highlight w:val="none"/>
        </w:rPr>
      </w:pPr>
    </w:p>
    <w:p w14:paraId="6C27D9A8">
      <w:pPr>
        <w:jc w:val="center"/>
        <w:rPr>
          <w:rFonts w:hint="eastAsia" w:ascii="宋体" w:hAnsi="宋体" w:eastAsia="宋体" w:cs="宋体"/>
          <w:b/>
          <w:color w:val="auto"/>
          <w:kern w:val="0"/>
          <w:sz w:val="32"/>
          <w:szCs w:val="32"/>
          <w:highlight w:val="none"/>
        </w:rPr>
      </w:pPr>
    </w:p>
    <w:p w14:paraId="09D838E3">
      <w:pPr>
        <w:outlineLvl w:val="9"/>
        <w:rPr>
          <w:rFonts w:hint="eastAsia" w:ascii="宋体" w:hAnsi="宋体" w:eastAsia="宋体" w:cs="宋体"/>
          <w:color w:val="auto"/>
          <w:highlight w:val="none"/>
          <w:lang w:val="en-US"/>
        </w:rPr>
      </w:pPr>
    </w:p>
    <w:p w14:paraId="5C640E01">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B0210D5">
      <w:pPr>
        <w:jc w:val="center"/>
        <w:outlineLvl w:val="1"/>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430B2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BB9D5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701F0D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CE6F78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C3DF1D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1D3A1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9D62CF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956CF0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6E2F52A">
      <w:pPr>
        <w:snapToGrid w:val="0"/>
        <w:spacing w:line="360" w:lineRule="auto"/>
        <w:rPr>
          <w:rFonts w:hint="eastAsia" w:ascii="宋体" w:hAnsi="宋体" w:eastAsia="宋体" w:cs="宋体"/>
          <w:color w:val="auto"/>
          <w:sz w:val="24"/>
          <w:highlight w:val="none"/>
        </w:rPr>
      </w:pPr>
    </w:p>
    <w:p w14:paraId="6D47CBC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3D62782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F39F2F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D83727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DF805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80BE033">
      <w:pPr>
        <w:jc w:val="center"/>
        <w:rPr>
          <w:rFonts w:hint="eastAsia" w:ascii="宋体" w:hAnsi="宋体" w:eastAsia="宋体" w:cs="宋体"/>
          <w:b/>
          <w:color w:val="auto"/>
          <w:kern w:val="0"/>
          <w:sz w:val="32"/>
          <w:szCs w:val="32"/>
          <w:highlight w:val="none"/>
        </w:rPr>
      </w:pPr>
    </w:p>
    <w:p w14:paraId="244416DE">
      <w:pPr>
        <w:rPr>
          <w:rFonts w:hint="eastAsia" w:ascii="宋体" w:hAnsi="宋体" w:eastAsia="宋体" w:cs="宋体"/>
          <w:color w:val="auto"/>
          <w:highlight w:val="none"/>
        </w:rPr>
      </w:pPr>
    </w:p>
    <w:p w14:paraId="2F97480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E70CB2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BCE76E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5AC73B9">
      <w:pPr>
        <w:snapToGrid w:val="0"/>
        <w:spacing w:line="36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14:paraId="3ADCC1DE">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9D7E827">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D807C2E">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0C9023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EDE83AD">
      <w:pPr>
        <w:pStyle w:val="10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56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97E7C35">
            <w:pPr>
              <w:pStyle w:val="101"/>
              <w:adjustRightInd w:val="0"/>
              <w:spacing w:before="0" w:beforeAutospacing="0" w:after="0" w:afterAutospacing="0" w:line="360" w:lineRule="auto"/>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正面：                                 反面：</w:t>
            </w:r>
          </w:p>
          <w:p w14:paraId="5819E70F">
            <w:pPr>
              <w:pStyle w:val="101"/>
              <w:adjustRightInd w:val="0"/>
              <w:spacing w:before="0" w:beforeAutospacing="0" w:after="0" w:afterAutospacing="0" w:line="360" w:lineRule="auto"/>
              <w:ind w:left="0" w:right="0"/>
              <w:rPr>
                <w:rFonts w:hint="eastAsia" w:ascii="宋体" w:hAnsi="宋体" w:eastAsia="宋体" w:cs="宋体"/>
                <w:bCs/>
                <w:color w:val="auto"/>
                <w:sz w:val="24"/>
                <w:szCs w:val="20"/>
                <w:highlight w:val="none"/>
              </w:rPr>
            </w:pPr>
          </w:p>
        </w:tc>
      </w:tr>
    </w:tbl>
    <w:p w14:paraId="334C91A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3B3483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F9D06E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6914E90">
      <w:pPr>
        <w:jc w:val="center"/>
        <w:rPr>
          <w:rFonts w:hint="eastAsia" w:ascii="宋体" w:hAnsi="宋体" w:eastAsia="宋体" w:cs="宋体"/>
          <w:b/>
          <w:color w:val="auto"/>
          <w:kern w:val="0"/>
          <w:sz w:val="32"/>
          <w:szCs w:val="32"/>
          <w:highlight w:val="none"/>
        </w:rPr>
      </w:pPr>
    </w:p>
    <w:p w14:paraId="3069AED7">
      <w:pPr>
        <w:jc w:val="center"/>
        <w:rPr>
          <w:rFonts w:hint="eastAsia" w:ascii="宋体" w:hAnsi="宋体" w:eastAsia="宋体" w:cs="宋体"/>
          <w:b/>
          <w:color w:val="auto"/>
          <w:kern w:val="0"/>
          <w:sz w:val="32"/>
          <w:szCs w:val="32"/>
          <w:highlight w:val="none"/>
        </w:rPr>
      </w:pPr>
    </w:p>
    <w:p w14:paraId="32C333B5">
      <w:pPr>
        <w:jc w:val="center"/>
        <w:rPr>
          <w:rFonts w:hint="eastAsia" w:ascii="宋体" w:hAnsi="宋体" w:eastAsia="宋体" w:cs="宋体"/>
          <w:b/>
          <w:color w:val="auto"/>
          <w:kern w:val="0"/>
          <w:sz w:val="32"/>
          <w:szCs w:val="32"/>
          <w:highlight w:val="none"/>
        </w:rPr>
      </w:pPr>
    </w:p>
    <w:p w14:paraId="0264B0FB">
      <w:pPr>
        <w:jc w:val="center"/>
        <w:rPr>
          <w:rFonts w:hint="eastAsia" w:ascii="宋体" w:hAnsi="宋体" w:eastAsia="宋体" w:cs="宋体"/>
          <w:b/>
          <w:color w:val="auto"/>
          <w:kern w:val="0"/>
          <w:sz w:val="32"/>
          <w:szCs w:val="32"/>
          <w:highlight w:val="none"/>
        </w:rPr>
      </w:pPr>
    </w:p>
    <w:p w14:paraId="248671CB">
      <w:pPr>
        <w:jc w:val="center"/>
        <w:rPr>
          <w:rFonts w:hint="eastAsia" w:ascii="宋体" w:hAnsi="宋体" w:eastAsia="宋体" w:cs="宋体"/>
          <w:b/>
          <w:color w:val="auto"/>
          <w:kern w:val="0"/>
          <w:sz w:val="32"/>
          <w:szCs w:val="32"/>
          <w:highlight w:val="none"/>
        </w:rPr>
      </w:pPr>
    </w:p>
    <w:p w14:paraId="12106DBE">
      <w:pPr>
        <w:jc w:val="center"/>
        <w:rPr>
          <w:rFonts w:hint="eastAsia" w:ascii="宋体" w:hAnsi="宋体" w:eastAsia="宋体" w:cs="宋体"/>
          <w:b/>
          <w:color w:val="auto"/>
          <w:kern w:val="0"/>
          <w:sz w:val="32"/>
          <w:szCs w:val="32"/>
          <w:highlight w:val="none"/>
        </w:rPr>
      </w:pPr>
    </w:p>
    <w:p w14:paraId="7DE83D2D">
      <w:pPr>
        <w:jc w:val="center"/>
        <w:rPr>
          <w:rFonts w:hint="eastAsia" w:ascii="宋体" w:hAnsi="宋体" w:eastAsia="宋体" w:cs="宋体"/>
          <w:b/>
          <w:color w:val="auto"/>
          <w:kern w:val="0"/>
          <w:sz w:val="32"/>
          <w:szCs w:val="32"/>
          <w:highlight w:val="none"/>
        </w:rPr>
      </w:pPr>
    </w:p>
    <w:p w14:paraId="0906C8AA">
      <w:pPr>
        <w:jc w:val="center"/>
        <w:rPr>
          <w:rFonts w:hint="eastAsia" w:ascii="宋体" w:hAnsi="宋体" w:eastAsia="宋体" w:cs="宋体"/>
          <w:b/>
          <w:color w:val="auto"/>
          <w:kern w:val="0"/>
          <w:sz w:val="32"/>
          <w:szCs w:val="32"/>
          <w:highlight w:val="none"/>
        </w:rPr>
      </w:pPr>
    </w:p>
    <w:p w14:paraId="211046E9">
      <w:pPr>
        <w:jc w:val="center"/>
        <w:rPr>
          <w:rFonts w:hint="eastAsia" w:ascii="宋体" w:hAnsi="宋体" w:eastAsia="宋体" w:cs="宋体"/>
          <w:b/>
          <w:color w:val="auto"/>
          <w:kern w:val="0"/>
          <w:sz w:val="32"/>
          <w:szCs w:val="32"/>
          <w:highlight w:val="none"/>
        </w:rPr>
      </w:pPr>
    </w:p>
    <w:p w14:paraId="1D27F333">
      <w:pPr>
        <w:jc w:val="center"/>
        <w:rPr>
          <w:rFonts w:hint="eastAsia" w:ascii="宋体" w:hAnsi="宋体" w:eastAsia="宋体" w:cs="宋体"/>
          <w:b/>
          <w:color w:val="auto"/>
          <w:kern w:val="0"/>
          <w:sz w:val="32"/>
          <w:szCs w:val="32"/>
          <w:highlight w:val="none"/>
        </w:rPr>
      </w:pPr>
    </w:p>
    <w:p w14:paraId="0AE02623">
      <w:pPr>
        <w:snapToGrid w:val="0"/>
        <w:spacing w:line="360" w:lineRule="auto"/>
        <w:ind w:right="480"/>
        <w:rPr>
          <w:rFonts w:hint="eastAsia" w:ascii="宋体" w:hAnsi="宋体" w:eastAsia="宋体" w:cs="宋体"/>
          <w:b/>
          <w:color w:val="auto"/>
          <w:kern w:val="0"/>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5139440C">
      <w:pPr>
        <w:snapToGrid w:val="0"/>
        <w:spacing w:line="360" w:lineRule="auto"/>
        <w:ind w:firstLine="3534" w:firstLineChars="1100"/>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47B2FC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445D29C8">
      <w:pPr>
        <w:snapToGrid w:val="0"/>
        <w:spacing w:line="360" w:lineRule="auto"/>
        <w:rPr>
          <w:rFonts w:hint="eastAsia" w:ascii="宋体" w:hAnsi="宋体" w:eastAsia="宋体" w:cs="宋体"/>
          <w:color w:val="auto"/>
          <w:kern w:val="0"/>
          <w:sz w:val="24"/>
          <w:highlight w:val="none"/>
        </w:rPr>
      </w:pPr>
    </w:p>
    <w:p w14:paraId="0FA1BA1B">
      <w:pPr>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8DEE2E1">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90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AEEE933">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4991" w:type="dxa"/>
            <w:vAlign w:val="center"/>
          </w:tcPr>
          <w:p w14:paraId="5F3B6237">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实质性要求</w:t>
            </w:r>
          </w:p>
        </w:tc>
        <w:tc>
          <w:tcPr>
            <w:tcW w:w="2551" w:type="dxa"/>
            <w:vAlign w:val="center"/>
          </w:tcPr>
          <w:p w14:paraId="14FBFF98">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需要提供的符合性审查资料</w:t>
            </w:r>
          </w:p>
        </w:tc>
        <w:tc>
          <w:tcPr>
            <w:tcW w:w="1418" w:type="dxa"/>
            <w:vAlign w:val="center"/>
          </w:tcPr>
          <w:p w14:paraId="2438C069">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投标文件中的</w:t>
            </w:r>
          </w:p>
          <w:p w14:paraId="7C463E09">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页码位置</w:t>
            </w:r>
          </w:p>
        </w:tc>
      </w:tr>
      <w:tr w14:paraId="3630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0960FA">
            <w:pPr>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4991" w:type="dxa"/>
            <w:vAlign w:val="top"/>
          </w:tcPr>
          <w:p w14:paraId="18D8CF87">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投标文件按照招标文件要求签署、盖章。</w:t>
            </w:r>
          </w:p>
        </w:tc>
        <w:tc>
          <w:tcPr>
            <w:tcW w:w="2551" w:type="dxa"/>
            <w:vAlign w:val="center"/>
          </w:tcPr>
          <w:p w14:paraId="0A1028C7">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需要使用电子签名或者签字盖章的投标文件的组成部分</w:t>
            </w:r>
          </w:p>
        </w:tc>
        <w:tc>
          <w:tcPr>
            <w:tcW w:w="1418" w:type="dxa"/>
            <w:vAlign w:val="top"/>
          </w:tcPr>
          <w:p w14:paraId="561A1EAD">
            <w:pPr>
              <w:spacing w:before="0" w:beforeAutospacing="0" w:after="0" w:afterAutospacing="0"/>
              <w:ind w:left="0" w:right="0"/>
              <w:rPr>
                <w:rFonts w:hint="eastAsia" w:ascii="宋体" w:hAnsi="宋体" w:eastAsia="宋体" w:cs="宋体"/>
                <w:color w:val="auto"/>
                <w:sz w:val="24"/>
                <w:szCs w:val="20"/>
                <w:highlight w:val="none"/>
              </w:rPr>
            </w:pPr>
          </w:p>
          <w:p w14:paraId="4FAA3DE8">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见投标文件</w:t>
            </w:r>
          </w:p>
          <w:p w14:paraId="25AED02F">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r w14:paraId="4ABE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738A3">
            <w:pPr>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4991" w:type="dxa"/>
            <w:vAlign w:val="top"/>
          </w:tcPr>
          <w:p w14:paraId="5CD93324">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投标文件中承诺的投标有效期不少于招标文件中载明的投标有效期。</w:t>
            </w:r>
          </w:p>
        </w:tc>
        <w:tc>
          <w:tcPr>
            <w:tcW w:w="2551" w:type="dxa"/>
            <w:vAlign w:val="center"/>
          </w:tcPr>
          <w:p w14:paraId="1FB9CF1A">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投标函</w:t>
            </w:r>
          </w:p>
        </w:tc>
        <w:tc>
          <w:tcPr>
            <w:tcW w:w="1418" w:type="dxa"/>
            <w:vAlign w:val="top"/>
          </w:tcPr>
          <w:p w14:paraId="025DF442">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见投标文件第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r w14:paraId="638B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F8F0B0">
            <w:pPr>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4991" w:type="dxa"/>
            <w:vAlign w:val="top"/>
          </w:tcPr>
          <w:p w14:paraId="6EABB9F2">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投标文件满足招标文件的其它实质性要求。</w:t>
            </w:r>
          </w:p>
        </w:tc>
        <w:tc>
          <w:tcPr>
            <w:tcW w:w="2551" w:type="dxa"/>
            <w:vAlign w:val="center"/>
          </w:tcPr>
          <w:p w14:paraId="588D628F">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2EC82D2F">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见投标文件第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bl>
    <w:p w14:paraId="60FC69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按本格式和要求提供。2、招标文件中实质性要求必须明确响应。</w:t>
      </w:r>
    </w:p>
    <w:p w14:paraId="6FE58A44">
      <w:pPr>
        <w:jc w:val="center"/>
        <w:rPr>
          <w:rFonts w:hint="eastAsia" w:ascii="宋体" w:hAnsi="宋体" w:eastAsia="宋体" w:cs="宋体"/>
          <w:b/>
          <w:color w:val="auto"/>
          <w:kern w:val="0"/>
          <w:sz w:val="32"/>
          <w:szCs w:val="32"/>
          <w:highlight w:val="none"/>
        </w:rPr>
      </w:pPr>
    </w:p>
    <w:p w14:paraId="2CE88D1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5F75DD9">
      <w:pPr>
        <w:jc w:val="center"/>
        <w:rPr>
          <w:rFonts w:hint="eastAsia" w:ascii="宋体" w:hAnsi="宋体" w:eastAsia="宋体" w:cs="宋体"/>
          <w:b/>
          <w:color w:val="auto"/>
          <w:kern w:val="0"/>
          <w:sz w:val="32"/>
          <w:szCs w:val="32"/>
          <w:highlight w:val="none"/>
        </w:rPr>
      </w:pPr>
    </w:p>
    <w:p w14:paraId="2FB64EC5">
      <w:pPr>
        <w:jc w:val="center"/>
        <w:rPr>
          <w:rFonts w:hint="eastAsia" w:ascii="宋体" w:hAnsi="宋体" w:eastAsia="宋体" w:cs="宋体"/>
          <w:b/>
          <w:color w:val="auto"/>
          <w:kern w:val="0"/>
          <w:sz w:val="32"/>
          <w:szCs w:val="32"/>
          <w:highlight w:val="none"/>
        </w:rPr>
      </w:pPr>
    </w:p>
    <w:p w14:paraId="41BA87C0">
      <w:pPr>
        <w:jc w:val="center"/>
        <w:rPr>
          <w:rFonts w:hint="eastAsia" w:ascii="宋体" w:hAnsi="宋体" w:eastAsia="宋体" w:cs="宋体"/>
          <w:b/>
          <w:color w:val="auto"/>
          <w:kern w:val="0"/>
          <w:sz w:val="32"/>
          <w:szCs w:val="32"/>
          <w:highlight w:val="none"/>
        </w:rPr>
      </w:pPr>
    </w:p>
    <w:p w14:paraId="230FBF4D">
      <w:pPr>
        <w:jc w:val="center"/>
        <w:rPr>
          <w:rFonts w:hint="eastAsia" w:ascii="宋体" w:hAnsi="宋体" w:eastAsia="宋体" w:cs="宋体"/>
          <w:b/>
          <w:color w:val="auto"/>
          <w:kern w:val="0"/>
          <w:sz w:val="32"/>
          <w:szCs w:val="32"/>
          <w:highlight w:val="none"/>
        </w:rPr>
      </w:pPr>
    </w:p>
    <w:p w14:paraId="4810D6BD">
      <w:pPr>
        <w:jc w:val="center"/>
        <w:rPr>
          <w:rFonts w:hint="eastAsia" w:ascii="宋体" w:hAnsi="宋体" w:eastAsia="宋体" w:cs="宋体"/>
          <w:b/>
          <w:color w:val="auto"/>
          <w:kern w:val="0"/>
          <w:sz w:val="32"/>
          <w:szCs w:val="32"/>
          <w:highlight w:val="none"/>
        </w:rPr>
      </w:pPr>
    </w:p>
    <w:p w14:paraId="322681A1">
      <w:pPr>
        <w:jc w:val="center"/>
        <w:rPr>
          <w:rFonts w:hint="eastAsia" w:ascii="宋体" w:hAnsi="宋体" w:eastAsia="宋体" w:cs="宋体"/>
          <w:b/>
          <w:color w:val="auto"/>
          <w:kern w:val="0"/>
          <w:sz w:val="32"/>
          <w:szCs w:val="32"/>
          <w:highlight w:val="none"/>
        </w:rPr>
      </w:pPr>
    </w:p>
    <w:p w14:paraId="1770D648">
      <w:pPr>
        <w:jc w:val="center"/>
        <w:rPr>
          <w:rFonts w:hint="eastAsia" w:ascii="宋体" w:hAnsi="宋体" w:eastAsia="宋体" w:cs="宋体"/>
          <w:b/>
          <w:color w:val="auto"/>
          <w:kern w:val="0"/>
          <w:sz w:val="32"/>
          <w:szCs w:val="32"/>
          <w:highlight w:val="none"/>
        </w:rPr>
      </w:pPr>
    </w:p>
    <w:p w14:paraId="7C573849">
      <w:pPr>
        <w:jc w:val="center"/>
        <w:rPr>
          <w:rFonts w:hint="eastAsia" w:ascii="宋体" w:hAnsi="宋体" w:eastAsia="宋体" w:cs="宋体"/>
          <w:b/>
          <w:color w:val="auto"/>
          <w:kern w:val="0"/>
          <w:sz w:val="32"/>
          <w:szCs w:val="32"/>
          <w:highlight w:val="none"/>
        </w:rPr>
      </w:pPr>
    </w:p>
    <w:p w14:paraId="55D420E3">
      <w:pPr>
        <w:jc w:val="center"/>
        <w:rPr>
          <w:rFonts w:hint="eastAsia" w:ascii="宋体" w:hAnsi="宋体" w:eastAsia="宋体" w:cs="宋体"/>
          <w:b/>
          <w:color w:val="auto"/>
          <w:kern w:val="0"/>
          <w:sz w:val="32"/>
          <w:szCs w:val="32"/>
          <w:highlight w:val="none"/>
        </w:rPr>
      </w:pPr>
    </w:p>
    <w:p w14:paraId="757B2D93">
      <w:pPr>
        <w:jc w:val="center"/>
        <w:rPr>
          <w:rFonts w:hint="eastAsia" w:ascii="宋体" w:hAnsi="宋体" w:eastAsia="宋体" w:cs="宋体"/>
          <w:b/>
          <w:color w:val="auto"/>
          <w:kern w:val="0"/>
          <w:sz w:val="32"/>
          <w:szCs w:val="32"/>
          <w:highlight w:val="none"/>
        </w:rPr>
      </w:pPr>
    </w:p>
    <w:p w14:paraId="06439F22">
      <w:pPr>
        <w:jc w:val="center"/>
        <w:rPr>
          <w:rFonts w:hint="eastAsia" w:ascii="宋体" w:hAnsi="宋体" w:eastAsia="宋体" w:cs="宋体"/>
          <w:b/>
          <w:color w:val="auto"/>
          <w:kern w:val="0"/>
          <w:sz w:val="32"/>
          <w:szCs w:val="32"/>
          <w:highlight w:val="none"/>
        </w:rPr>
      </w:pPr>
    </w:p>
    <w:p w14:paraId="518DD350">
      <w:pPr>
        <w:jc w:val="center"/>
        <w:rPr>
          <w:rFonts w:hint="eastAsia" w:ascii="宋体" w:hAnsi="宋体" w:eastAsia="宋体" w:cs="宋体"/>
          <w:b/>
          <w:color w:val="auto"/>
          <w:kern w:val="0"/>
          <w:sz w:val="32"/>
          <w:szCs w:val="32"/>
          <w:highlight w:val="none"/>
        </w:rPr>
      </w:pPr>
    </w:p>
    <w:p w14:paraId="03A80ADF">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DBF5022">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83C082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638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3A8B495F">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序号</w:t>
            </w:r>
          </w:p>
        </w:tc>
        <w:tc>
          <w:tcPr>
            <w:tcW w:w="5465" w:type="dxa"/>
            <w:tcBorders>
              <w:top w:val="single" w:color="auto" w:sz="4" w:space="0"/>
              <w:left w:val="nil"/>
              <w:bottom w:val="single" w:color="auto" w:sz="4" w:space="0"/>
              <w:right w:val="single" w:color="auto" w:sz="4" w:space="0"/>
            </w:tcBorders>
            <w:vAlign w:val="top"/>
          </w:tcPr>
          <w:p w14:paraId="475D542B">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投标文件中评标标准相应的商务技术资料目录*</w:t>
            </w:r>
          </w:p>
        </w:tc>
        <w:tc>
          <w:tcPr>
            <w:tcW w:w="3046" w:type="dxa"/>
            <w:tcBorders>
              <w:top w:val="single" w:color="auto" w:sz="4" w:space="0"/>
              <w:left w:val="nil"/>
              <w:bottom w:val="single" w:color="auto" w:sz="4" w:space="0"/>
              <w:right w:val="single" w:color="auto" w:sz="4" w:space="0"/>
            </w:tcBorders>
            <w:vAlign w:val="top"/>
          </w:tcPr>
          <w:p w14:paraId="41C7C5AF">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投标文件中的页码位置</w:t>
            </w:r>
          </w:p>
        </w:tc>
      </w:tr>
      <w:tr w14:paraId="30E6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3D5FEA3E">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1</w:t>
            </w:r>
          </w:p>
        </w:tc>
        <w:tc>
          <w:tcPr>
            <w:tcW w:w="5465" w:type="dxa"/>
            <w:tcBorders>
              <w:top w:val="single" w:color="auto" w:sz="4" w:space="0"/>
              <w:left w:val="nil"/>
              <w:bottom w:val="single" w:color="auto" w:sz="4" w:space="0"/>
              <w:right w:val="single" w:color="auto" w:sz="4" w:space="0"/>
            </w:tcBorders>
            <w:vAlign w:val="top"/>
          </w:tcPr>
          <w:p w14:paraId="2FB2A540">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XXX（预先填写）</w:t>
            </w:r>
          </w:p>
        </w:tc>
        <w:tc>
          <w:tcPr>
            <w:tcW w:w="3046" w:type="dxa"/>
            <w:tcBorders>
              <w:top w:val="single" w:color="auto" w:sz="4" w:space="0"/>
              <w:left w:val="nil"/>
              <w:bottom w:val="single" w:color="auto" w:sz="4" w:space="0"/>
              <w:right w:val="single" w:color="auto" w:sz="4" w:space="0"/>
            </w:tcBorders>
            <w:vAlign w:val="top"/>
          </w:tcPr>
          <w:p w14:paraId="77AEEE6C">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见投标文件第</w:t>
            </w:r>
            <w:r>
              <w:rPr>
                <w:rFonts w:hint="eastAsia" w:ascii="宋体" w:hAnsi="宋体" w:eastAsia="宋体" w:cs="仿宋_GB2312"/>
                <w:b w:val="0"/>
                <w:color w:val="000000"/>
                <w:kern w:val="2"/>
                <w:sz w:val="24"/>
                <w:szCs w:val="24"/>
                <w:highlight w:val="none"/>
                <w:u w:val="none"/>
                <w:lang w:val="en-US" w:eastAsia="zh-CN"/>
              </w:rPr>
              <w:t xml:space="preserve">  </w:t>
            </w:r>
            <w:r>
              <w:rPr>
                <w:rFonts w:hint="eastAsia" w:ascii="宋体" w:hAnsi="宋体" w:eastAsia="宋体" w:cs="仿宋_GB2312"/>
                <w:b w:val="0"/>
                <w:color w:val="000000"/>
                <w:kern w:val="2"/>
                <w:sz w:val="24"/>
                <w:szCs w:val="24"/>
                <w:highlight w:val="none"/>
                <w:lang w:val="en-US" w:eastAsia="zh-CN"/>
              </w:rPr>
              <w:t>页</w:t>
            </w:r>
          </w:p>
        </w:tc>
      </w:tr>
      <w:tr w14:paraId="7A50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5481384B">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2</w:t>
            </w:r>
          </w:p>
        </w:tc>
        <w:tc>
          <w:tcPr>
            <w:tcW w:w="5465" w:type="dxa"/>
            <w:tcBorders>
              <w:top w:val="single" w:color="auto" w:sz="4" w:space="0"/>
              <w:left w:val="nil"/>
              <w:bottom w:val="single" w:color="auto" w:sz="4" w:space="0"/>
              <w:right w:val="single" w:color="auto" w:sz="4" w:space="0"/>
            </w:tcBorders>
            <w:vAlign w:val="top"/>
          </w:tcPr>
          <w:p w14:paraId="3F852D84">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XXX</w:t>
            </w:r>
          </w:p>
        </w:tc>
        <w:tc>
          <w:tcPr>
            <w:tcW w:w="3046" w:type="dxa"/>
            <w:tcBorders>
              <w:top w:val="single" w:color="auto" w:sz="4" w:space="0"/>
              <w:left w:val="nil"/>
              <w:bottom w:val="single" w:color="auto" w:sz="4" w:space="0"/>
              <w:right w:val="single" w:color="auto" w:sz="4" w:space="0"/>
            </w:tcBorders>
            <w:vAlign w:val="top"/>
          </w:tcPr>
          <w:p w14:paraId="0A558CBE">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见投标文件第</w:t>
            </w:r>
            <w:r>
              <w:rPr>
                <w:rFonts w:hint="eastAsia" w:ascii="宋体" w:hAnsi="宋体" w:eastAsia="宋体" w:cs="仿宋_GB2312"/>
                <w:b w:val="0"/>
                <w:color w:val="000000"/>
                <w:kern w:val="2"/>
                <w:sz w:val="24"/>
                <w:szCs w:val="24"/>
                <w:highlight w:val="none"/>
                <w:u w:val="none"/>
                <w:lang w:val="en-US" w:eastAsia="zh-CN"/>
              </w:rPr>
              <w:t xml:space="preserve">  </w:t>
            </w:r>
            <w:r>
              <w:rPr>
                <w:rFonts w:hint="eastAsia" w:ascii="宋体" w:hAnsi="宋体" w:eastAsia="宋体" w:cs="仿宋_GB2312"/>
                <w:b w:val="0"/>
                <w:color w:val="000000"/>
                <w:kern w:val="2"/>
                <w:sz w:val="24"/>
                <w:szCs w:val="24"/>
                <w:highlight w:val="none"/>
                <w:lang w:val="en-US" w:eastAsia="zh-CN"/>
              </w:rPr>
              <w:t>页</w:t>
            </w:r>
          </w:p>
        </w:tc>
      </w:tr>
      <w:tr w14:paraId="4E99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58F660CA">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color w:val="000000"/>
                <w:kern w:val="2"/>
                <w:sz w:val="24"/>
                <w:szCs w:val="24"/>
                <w:highlight w:val="none"/>
                <w:lang w:val="en-US" w:eastAsia="zh-CN"/>
              </w:rPr>
              <w:t>……</w:t>
            </w:r>
          </w:p>
        </w:tc>
        <w:tc>
          <w:tcPr>
            <w:tcW w:w="5465" w:type="dxa"/>
            <w:tcBorders>
              <w:top w:val="single" w:color="auto" w:sz="4" w:space="0"/>
              <w:left w:val="nil"/>
              <w:bottom w:val="single" w:color="auto" w:sz="4" w:space="0"/>
              <w:right w:val="single" w:color="auto" w:sz="4" w:space="0"/>
            </w:tcBorders>
            <w:vAlign w:val="top"/>
          </w:tcPr>
          <w:p w14:paraId="36A704A6">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vAlign w:val="top"/>
          </w:tcPr>
          <w:p w14:paraId="798057BF">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见投标文件第</w:t>
            </w:r>
            <w:r>
              <w:rPr>
                <w:rFonts w:hint="eastAsia" w:ascii="宋体" w:hAnsi="宋体" w:eastAsia="宋体" w:cs="仿宋_GB2312"/>
                <w:b w:val="0"/>
                <w:color w:val="000000"/>
                <w:kern w:val="2"/>
                <w:sz w:val="24"/>
                <w:szCs w:val="24"/>
                <w:highlight w:val="none"/>
                <w:u w:val="none"/>
                <w:lang w:val="en-US" w:eastAsia="zh-CN"/>
              </w:rPr>
              <w:t xml:space="preserve">  </w:t>
            </w:r>
            <w:r>
              <w:rPr>
                <w:rFonts w:hint="eastAsia" w:ascii="宋体" w:hAnsi="宋体" w:eastAsia="宋体" w:cs="仿宋_GB2312"/>
                <w:b w:val="0"/>
                <w:color w:val="000000"/>
                <w:kern w:val="2"/>
                <w:sz w:val="24"/>
                <w:szCs w:val="24"/>
                <w:highlight w:val="none"/>
                <w:lang w:val="en-US" w:eastAsia="zh-CN"/>
              </w:rPr>
              <w:t>页</w:t>
            </w:r>
          </w:p>
        </w:tc>
      </w:tr>
    </w:tbl>
    <w:p w14:paraId="38477B64">
      <w:pPr>
        <w:jc w:val="center"/>
        <w:rPr>
          <w:rFonts w:hint="eastAsia" w:ascii="宋体" w:hAnsi="宋体" w:eastAsia="宋体" w:cs="宋体"/>
          <w:b/>
          <w:color w:val="auto"/>
          <w:kern w:val="0"/>
          <w:sz w:val="32"/>
          <w:szCs w:val="32"/>
          <w:highlight w:val="none"/>
        </w:rPr>
      </w:pPr>
    </w:p>
    <w:p w14:paraId="5BE96E07">
      <w:pPr>
        <w:jc w:val="center"/>
        <w:rPr>
          <w:rFonts w:hint="eastAsia" w:ascii="宋体" w:hAnsi="宋体" w:eastAsia="宋体" w:cs="宋体"/>
          <w:b/>
          <w:color w:val="auto"/>
          <w:kern w:val="0"/>
          <w:sz w:val="32"/>
          <w:szCs w:val="32"/>
          <w:highlight w:val="none"/>
        </w:rPr>
      </w:pPr>
    </w:p>
    <w:p w14:paraId="5565BB30">
      <w:pPr>
        <w:jc w:val="center"/>
        <w:rPr>
          <w:rFonts w:hint="eastAsia" w:ascii="宋体" w:hAnsi="宋体" w:eastAsia="宋体" w:cs="宋体"/>
          <w:b/>
          <w:color w:val="auto"/>
          <w:kern w:val="0"/>
          <w:sz w:val="32"/>
          <w:szCs w:val="32"/>
          <w:highlight w:val="none"/>
        </w:rPr>
      </w:pPr>
    </w:p>
    <w:p w14:paraId="49DA46B7">
      <w:pPr>
        <w:jc w:val="center"/>
        <w:rPr>
          <w:rFonts w:hint="eastAsia" w:ascii="宋体" w:hAnsi="宋体" w:eastAsia="宋体" w:cs="宋体"/>
          <w:b/>
          <w:color w:val="auto"/>
          <w:kern w:val="0"/>
          <w:sz w:val="32"/>
          <w:szCs w:val="32"/>
          <w:highlight w:val="none"/>
        </w:rPr>
      </w:pPr>
    </w:p>
    <w:p w14:paraId="279EABA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45FD28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9A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C4A0AE">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D08C22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B9BFE5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77BB4A1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F4BB2E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2AFD5A2">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A477A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38AC61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7EB4DB32">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备注（如果有）</w:t>
            </w:r>
          </w:p>
          <w:p w14:paraId="2D5586EB">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08DC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894EE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8D2316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A98A5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30D3D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6490A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50F9B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5168C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C3C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C751C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D0C24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7877C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AAA87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5040F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B6894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DE527A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65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6582E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67D08D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C0EB4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FEE6D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8E343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FC380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64930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3536499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FFEED66">
      <w:pPr>
        <w:jc w:val="center"/>
        <w:rPr>
          <w:rFonts w:hint="eastAsia" w:ascii="宋体" w:hAnsi="宋体" w:eastAsia="宋体" w:cs="宋体"/>
          <w:b/>
          <w:color w:val="auto"/>
          <w:kern w:val="0"/>
          <w:sz w:val="32"/>
          <w:szCs w:val="32"/>
          <w:highlight w:val="none"/>
        </w:rPr>
      </w:pPr>
    </w:p>
    <w:p w14:paraId="18F14E25">
      <w:pPr>
        <w:jc w:val="center"/>
        <w:rPr>
          <w:rFonts w:hint="eastAsia" w:ascii="宋体" w:hAnsi="宋体" w:eastAsia="宋体" w:cs="宋体"/>
          <w:b/>
          <w:color w:val="auto"/>
          <w:kern w:val="0"/>
          <w:sz w:val="32"/>
          <w:szCs w:val="32"/>
          <w:highlight w:val="none"/>
        </w:rPr>
      </w:pPr>
    </w:p>
    <w:p w14:paraId="16CAE2D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630F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vAlign w:val="top"/>
          </w:tcPr>
          <w:p w14:paraId="1BC89A43">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588" w:type="dxa"/>
            <w:vAlign w:val="top"/>
          </w:tcPr>
          <w:p w14:paraId="15BBDBF4">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54" w:type="dxa"/>
            <w:vAlign w:val="top"/>
          </w:tcPr>
          <w:p w14:paraId="453C026D">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43" w:type="dxa"/>
            <w:vAlign w:val="top"/>
          </w:tcPr>
          <w:p w14:paraId="51A51C97">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A3B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3B10766B">
            <w:pPr>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588" w:type="dxa"/>
            <w:vAlign w:val="top"/>
          </w:tcPr>
          <w:p w14:paraId="43EAE325">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165D2FDA">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5970BE94">
            <w:pPr>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0E2F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64BB989A">
            <w:pPr>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588" w:type="dxa"/>
            <w:vAlign w:val="top"/>
          </w:tcPr>
          <w:p w14:paraId="135C96FF">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03E2E4BA">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78F5DE81">
            <w:pPr>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2AEA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vAlign w:val="top"/>
          </w:tcPr>
          <w:p w14:paraId="5FED9485">
            <w:pPr>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588" w:type="dxa"/>
            <w:vAlign w:val="top"/>
          </w:tcPr>
          <w:p w14:paraId="576A5312">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1B6FE896">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12DAE433">
            <w:pPr>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32F2EAAB">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本表格所反映的偏离情况与“符合性审查资料</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评标标准相应的商务技术资料”不一致的，以“符合性审查资料</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评标标准相应的商务技术资料”为准。</w:t>
      </w:r>
    </w:p>
    <w:p w14:paraId="64C425CE">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28244C35">
      <w:pPr>
        <w:spacing w:line="360" w:lineRule="auto"/>
        <w:ind w:right="420" w:firstLine="480" w:firstLineChars="200"/>
        <w:jc w:val="left"/>
        <w:rPr>
          <w:rFonts w:hint="eastAsia" w:ascii="宋体" w:hAnsi="宋体" w:eastAsia="宋体" w:cs="宋体"/>
          <w:b w:val="0"/>
          <w:color w:val="auto"/>
          <w:kern w:val="2"/>
          <w:sz w:val="24"/>
          <w:szCs w:val="24"/>
          <w:highlight w:val="none"/>
        </w:rPr>
      </w:pPr>
    </w:p>
    <w:p w14:paraId="63EF3BE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CFCA350">
      <w:pPr>
        <w:rPr>
          <w:highlight w:val="none"/>
        </w:rPr>
      </w:pPr>
    </w:p>
    <w:p w14:paraId="646B32B8">
      <w:pPr>
        <w:ind w:firstLine="1911" w:firstLineChars="595"/>
        <w:rPr>
          <w:rFonts w:hint="eastAsia" w:ascii="宋体" w:hAnsi="宋体" w:eastAsia="宋体" w:cs="宋体"/>
          <w:b/>
          <w:bCs/>
          <w:color w:val="auto"/>
          <w:sz w:val="32"/>
          <w:szCs w:val="32"/>
          <w:highlight w:val="none"/>
        </w:rPr>
      </w:pPr>
    </w:p>
    <w:p w14:paraId="28BC5582">
      <w:pPr>
        <w:ind w:firstLine="1911" w:firstLineChars="595"/>
        <w:rPr>
          <w:rFonts w:hint="eastAsia" w:ascii="宋体" w:hAnsi="宋体" w:eastAsia="宋体" w:cs="宋体"/>
          <w:b/>
          <w:bCs/>
          <w:color w:val="auto"/>
          <w:sz w:val="32"/>
          <w:szCs w:val="32"/>
          <w:highlight w:val="none"/>
        </w:rPr>
      </w:pPr>
    </w:p>
    <w:p w14:paraId="6D3C2AAF">
      <w:pPr>
        <w:ind w:firstLine="1911" w:firstLineChars="595"/>
        <w:rPr>
          <w:rFonts w:hint="eastAsia" w:ascii="宋体" w:hAnsi="宋体" w:eastAsia="宋体" w:cs="宋体"/>
          <w:b/>
          <w:bCs/>
          <w:color w:val="auto"/>
          <w:sz w:val="32"/>
          <w:szCs w:val="32"/>
          <w:highlight w:val="none"/>
        </w:rPr>
      </w:pPr>
    </w:p>
    <w:p w14:paraId="50AEE7BC">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CAEAB8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21100C6">
      <w:pPr>
        <w:snapToGrid w:val="0"/>
        <w:spacing w:line="360" w:lineRule="auto"/>
        <w:rPr>
          <w:rFonts w:hint="eastAsia" w:ascii="宋体" w:hAnsi="宋体" w:eastAsia="宋体" w:cs="宋体"/>
          <w:color w:val="auto"/>
          <w:sz w:val="24"/>
          <w:highlight w:val="none"/>
        </w:rPr>
      </w:pPr>
    </w:p>
    <w:p w14:paraId="6A23B0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D8CB03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ACCA1C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0B9F77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520803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B29B0D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D127B1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7021D7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F6749C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3B3444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0A4318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802211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CBA27D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ED35EF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51B6D6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446482F">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45DFF00">
      <w:pPr>
        <w:spacing w:line="360" w:lineRule="auto"/>
        <w:jc w:val="center"/>
        <w:rPr>
          <w:rFonts w:hint="eastAsia" w:ascii="宋体" w:hAnsi="宋体" w:eastAsia="宋体" w:cs="宋体"/>
          <w:b/>
          <w:bCs/>
          <w:color w:val="auto"/>
          <w:sz w:val="24"/>
          <w:highlight w:val="none"/>
        </w:rPr>
      </w:pPr>
    </w:p>
    <w:p w14:paraId="7C3041D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5233F28">
      <w:pPr>
        <w:spacing w:line="360" w:lineRule="auto"/>
        <w:jc w:val="center"/>
        <w:rPr>
          <w:rFonts w:hint="eastAsia" w:ascii="宋体" w:hAnsi="宋体" w:eastAsia="宋体" w:cs="宋体"/>
          <w:b/>
          <w:bCs/>
          <w:color w:val="auto"/>
          <w:sz w:val="24"/>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4AED1923">
      <w:pPr>
        <w:spacing w:line="360" w:lineRule="auto"/>
        <w:jc w:val="center"/>
        <w:outlineLvl w:val="9"/>
        <w:rPr>
          <w:rFonts w:hint="eastAsia" w:ascii="宋体" w:hAnsi="宋体" w:eastAsia="宋体" w:cs="宋体"/>
          <w:b/>
          <w:color w:val="auto"/>
          <w:kern w:val="0"/>
          <w:sz w:val="36"/>
          <w:szCs w:val="36"/>
          <w:highlight w:val="none"/>
        </w:rPr>
      </w:pPr>
    </w:p>
    <w:p w14:paraId="0125678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FDC4E6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14:paraId="6566F6A5">
      <w:pPr>
        <w:spacing w:line="360" w:lineRule="auto"/>
        <w:jc w:val="center"/>
        <w:outlineLvl w:val="9"/>
        <w:rPr>
          <w:rFonts w:hint="eastAsia" w:ascii="宋体" w:hAnsi="宋体" w:eastAsia="宋体" w:cs="宋体"/>
          <w:b/>
          <w:color w:val="auto"/>
          <w:kern w:val="0"/>
          <w:sz w:val="36"/>
          <w:szCs w:val="36"/>
          <w:highlight w:val="none"/>
        </w:rPr>
      </w:pPr>
    </w:p>
    <w:p w14:paraId="01AB2D4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AC6B8D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………………………………………………………（页码）</w:t>
      </w:r>
    </w:p>
    <w:p w14:paraId="562BA71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（如需）</w:t>
      </w:r>
      <w:r>
        <w:rPr>
          <w:rFonts w:hint="eastAsia" w:ascii="宋体" w:hAnsi="宋体" w:eastAsia="宋体" w:cs="宋体"/>
          <w:color w:val="auto"/>
          <w:sz w:val="24"/>
          <w:highlight w:val="none"/>
        </w:rPr>
        <w:t>……………………………………………………（页码）</w:t>
      </w:r>
    </w:p>
    <w:p w14:paraId="7D5D0F8E">
      <w:pPr>
        <w:snapToGrid w:val="0"/>
        <w:spacing w:line="360" w:lineRule="auto"/>
        <w:ind w:right="480"/>
        <w:jc w:val="center"/>
        <w:rPr>
          <w:rFonts w:hint="eastAsia" w:ascii="宋体" w:hAnsi="宋体" w:eastAsia="宋体" w:cs="宋体"/>
          <w:b/>
          <w:color w:val="auto"/>
          <w:kern w:val="0"/>
          <w:sz w:val="32"/>
          <w:szCs w:val="32"/>
          <w:highlight w:val="none"/>
        </w:rPr>
      </w:pPr>
    </w:p>
    <w:p w14:paraId="60314668">
      <w:pPr>
        <w:snapToGrid w:val="0"/>
        <w:spacing w:line="360" w:lineRule="auto"/>
        <w:ind w:right="480"/>
        <w:jc w:val="center"/>
        <w:rPr>
          <w:rFonts w:hint="eastAsia" w:ascii="宋体" w:hAnsi="宋体" w:eastAsia="宋体" w:cs="宋体"/>
          <w:b/>
          <w:color w:val="auto"/>
          <w:kern w:val="0"/>
          <w:sz w:val="32"/>
          <w:szCs w:val="32"/>
          <w:highlight w:val="none"/>
        </w:rPr>
      </w:pPr>
    </w:p>
    <w:p w14:paraId="4E782B48">
      <w:pPr>
        <w:snapToGrid w:val="0"/>
        <w:spacing w:line="360" w:lineRule="auto"/>
        <w:ind w:right="480"/>
        <w:jc w:val="center"/>
        <w:rPr>
          <w:rFonts w:hint="eastAsia" w:ascii="宋体" w:hAnsi="宋体" w:eastAsia="宋体" w:cs="宋体"/>
          <w:b/>
          <w:color w:val="auto"/>
          <w:kern w:val="0"/>
          <w:sz w:val="32"/>
          <w:szCs w:val="32"/>
          <w:highlight w:val="none"/>
        </w:rPr>
      </w:pPr>
    </w:p>
    <w:p w14:paraId="04E4D65D">
      <w:pPr>
        <w:snapToGrid w:val="0"/>
        <w:spacing w:line="360" w:lineRule="auto"/>
        <w:ind w:right="480"/>
        <w:jc w:val="center"/>
        <w:rPr>
          <w:rFonts w:hint="eastAsia" w:ascii="宋体" w:hAnsi="宋体" w:eastAsia="宋体" w:cs="宋体"/>
          <w:b/>
          <w:color w:val="auto"/>
          <w:kern w:val="0"/>
          <w:sz w:val="32"/>
          <w:szCs w:val="32"/>
          <w:highlight w:val="none"/>
        </w:rPr>
      </w:pPr>
    </w:p>
    <w:p w14:paraId="1B2AF1C7">
      <w:pPr>
        <w:snapToGrid w:val="0"/>
        <w:spacing w:line="360" w:lineRule="auto"/>
        <w:ind w:right="480"/>
        <w:jc w:val="center"/>
        <w:rPr>
          <w:rFonts w:hint="eastAsia" w:ascii="宋体" w:hAnsi="宋体" w:eastAsia="宋体" w:cs="宋体"/>
          <w:b/>
          <w:color w:val="auto"/>
          <w:kern w:val="0"/>
          <w:sz w:val="32"/>
          <w:szCs w:val="32"/>
          <w:highlight w:val="none"/>
        </w:rPr>
      </w:pPr>
    </w:p>
    <w:p w14:paraId="12010204">
      <w:pPr>
        <w:snapToGrid w:val="0"/>
        <w:spacing w:line="360" w:lineRule="auto"/>
        <w:ind w:right="480"/>
        <w:jc w:val="center"/>
        <w:rPr>
          <w:rFonts w:hint="eastAsia" w:ascii="宋体" w:hAnsi="宋体" w:eastAsia="宋体" w:cs="宋体"/>
          <w:b/>
          <w:color w:val="auto"/>
          <w:kern w:val="0"/>
          <w:sz w:val="32"/>
          <w:szCs w:val="32"/>
          <w:highlight w:val="none"/>
        </w:rPr>
      </w:pPr>
    </w:p>
    <w:p w14:paraId="10CB5806">
      <w:pPr>
        <w:snapToGrid w:val="0"/>
        <w:spacing w:line="360" w:lineRule="auto"/>
        <w:ind w:right="480"/>
        <w:jc w:val="center"/>
        <w:rPr>
          <w:rFonts w:hint="eastAsia" w:ascii="宋体" w:hAnsi="宋体" w:eastAsia="宋体" w:cs="宋体"/>
          <w:b/>
          <w:color w:val="auto"/>
          <w:kern w:val="0"/>
          <w:sz w:val="32"/>
          <w:szCs w:val="32"/>
          <w:highlight w:val="none"/>
        </w:rPr>
      </w:pPr>
    </w:p>
    <w:p w14:paraId="1C82C045">
      <w:pPr>
        <w:snapToGrid w:val="0"/>
        <w:spacing w:line="360" w:lineRule="auto"/>
        <w:ind w:right="480"/>
        <w:jc w:val="center"/>
        <w:rPr>
          <w:rFonts w:hint="eastAsia" w:ascii="宋体" w:hAnsi="宋体" w:eastAsia="宋体" w:cs="宋体"/>
          <w:b/>
          <w:color w:val="auto"/>
          <w:kern w:val="0"/>
          <w:sz w:val="32"/>
          <w:szCs w:val="32"/>
          <w:highlight w:val="none"/>
        </w:rPr>
      </w:pPr>
    </w:p>
    <w:p w14:paraId="55E6EBAF">
      <w:pPr>
        <w:snapToGrid w:val="0"/>
        <w:spacing w:line="360" w:lineRule="auto"/>
        <w:ind w:right="480"/>
        <w:jc w:val="center"/>
        <w:rPr>
          <w:rFonts w:hint="eastAsia" w:ascii="宋体" w:hAnsi="宋体" w:eastAsia="宋体" w:cs="宋体"/>
          <w:b/>
          <w:color w:val="auto"/>
          <w:kern w:val="0"/>
          <w:sz w:val="32"/>
          <w:szCs w:val="32"/>
          <w:highlight w:val="none"/>
        </w:rPr>
      </w:pPr>
    </w:p>
    <w:p w14:paraId="119FA51F">
      <w:pPr>
        <w:snapToGrid w:val="0"/>
        <w:spacing w:line="360" w:lineRule="auto"/>
        <w:ind w:right="480"/>
        <w:jc w:val="center"/>
        <w:rPr>
          <w:rFonts w:hint="eastAsia" w:ascii="宋体" w:hAnsi="宋体" w:eastAsia="宋体" w:cs="宋体"/>
          <w:b/>
          <w:color w:val="auto"/>
          <w:kern w:val="0"/>
          <w:sz w:val="32"/>
          <w:szCs w:val="32"/>
          <w:highlight w:val="none"/>
        </w:rPr>
      </w:pPr>
    </w:p>
    <w:p w14:paraId="6FFB0246">
      <w:pPr>
        <w:snapToGrid w:val="0"/>
        <w:spacing w:line="360" w:lineRule="auto"/>
        <w:ind w:right="480"/>
        <w:jc w:val="center"/>
        <w:rPr>
          <w:rFonts w:hint="eastAsia" w:ascii="宋体" w:hAnsi="宋体" w:eastAsia="宋体" w:cs="宋体"/>
          <w:b/>
          <w:color w:val="auto"/>
          <w:kern w:val="0"/>
          <w:sz w:val="32"/>
          <w:szCs w:val="32"/>
          <w:highlight w:val="none"/>
        </w:rPr>
      </w:pPr>
    </w:p>
    <w:p w14:paraId="7ED94DB3">
      <w:pPr>
        <w:snapToGrid w:val="0"/>
        <w:spacing w:line="360" w:lineRule="auto"/>
        <w:ind w:right="480"/>
        <w:jc w:val="center"/>
        <w:rPr>
          <w:rFonts w:hint="eastAsia" w:ascii="宋体" w:hAnsi="宋体" w:eastAsia="宋体" w:cs="宋体"/>
          <w:b/>
          <w:color w:val="auto"/>
          <w:kern w:val="0"/>
          <w:sz w:val="32"/>
          <w:szCs w:val="32"/>
          <w:highlight w:val="none"/>
        </w:rPr>
      </w:pPr>
    </w:p>
    <w:p w14:paraId="056CA656">
      <w:pPr>
        <w:snapToGrid w:val="0"/>
        <w:spacing w:line="360" w:lineRule="auto"/>
        <w:ind w:right="480"/>
        <w:jc w:val="center"/>
        <w:rPr>
          <w:rFonts w:hint="eastAsia" w:ascii="宋体" w:hAnsi="宋体" w:eastAsia="宋体" w:cs="宋体"/>
          <w:b/>
          <w:color w:val="auto"/>
          <w:kern w:val="0"/>
          <w:sz w:val="32"/>
          <w:szCs w:val="32"/>
          <w:highlight w:val="none"/>
        </w:rPr>
      </w:pPr>
    </w:p>
    <w:p w14:paraId="2D1530A1">
      <w:pPr>
        <w:snapToGrid w:val="0"/>
        <w:spacing w:line="360" w:lineRule="auto"/>
        <w:ind w:right="480"/>
        <w:jc w:val="center"/>
        <w:rPr>
          <w:rFonts w:hint="eastAsia" w:ascii="宋体" w:hAnsi="宋体" w:eastAsia="宋体" w:cs="宋体"/>
          <w:b/>
          <w:color w:val="auto"/>
          <w:kern w:val="0"/>
          <w:sz w:val="32"/>
          <w:szCs w:val="32"/>
          <w:highlight w:val="none"/>
        </w:rPr>
      </w:pPr>
    </w:p>
    <w:p w14:paraId="660DF0EC">
      <w:pPr>
        <w:snapToGrid w:val="0"/>
        <w:spacing w:line="360" w:lineRule="auto"/>
        <w:ind w:right="480"/>
        <w:jc w:val="center"/>
        <w:rPr>
          <w:rFonts w:hint="eastAsia" w:ascii="宋体" w:hAnsi="宋体" w:eastAsia="宋体" w:cs="宋体"/>
          <w:b/>
          <w:color w:val="auto"/>
          <w:kern w:val="0"/>
          <w:sz w:val="32"/>
          <w:szCs w:val="32"/>
          <w:highlight w:val="none"/>
        </w:rPr>
      </w:pPr>
    </w:p>
    <w:p w14:paraId="21B714F1">
      <w:pPr>
        <w:pStyle w:val="387"/>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NumType w:fmt="decimal"/>
          <w:cols w:space="720" w:num="1"/>
          <w:titlePg/>
          <w:docGrid w:linePitch="312" w:charSpace="0"/>
        </w:sectPr>
      </w:pPr>
    </w:p>
    <w:p w14:paraId="75E01429">
      <w:pPr>
        <w:pStyle w:val="387"/>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67D8B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748C8C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C31DE0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p w14:paraId="31FC579B">
      <w:pPr>
        <w:snapToGrid w:val="0"/>
        <w:spacing w:line="288" w:lineRule="auto"/>
        <w:ind w:left="480"/>
        <w:rPr>
          <w:rFonts w:hint="eastAsia" w:ascii="宋体" w:hAnsi="宋体" w:eastAsia="宋体" w:cs="宋体"/>
          <w:b/>
          <w:color w:val="auto"/>
          <w:kern w:val="0"/>
          <w:sz w:val="24"/>
          <w:highlight w:val="none"/>
          <w:lang w:val="zh-CN"/>
        </w:rPr>
      </w:pPr>
    </w:p>
    <w:tbl>
      <w:tblPr>
        <w:tblStyle w:val="63"/>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941"/>
        <w:gridCol w:w="783"/>
        <w:gridCol w:w="1100"/>
        <w:gridCol w:w="1567"/>
      </w:tblGrid>
      <w:tr w14:paraId="5F89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F4F2E56">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序号</w:t>
            </w:r>
          </w:p>
        </w:tc>
        <w:tc>
          <w:tcPr>
            <w:tcW w:w="1417" w:type="dxa"/>
            <w:vAlign w:val="center"/>
          </w:tcPr>
          <w:p w14:paraId="1F03B954">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项目名称</w:t>
            </w:r>
          </w:p>
        </w:tc>
        <w:tc>
          <w:tcPr>
            <w:tcW w:w="1843" w:type="dxa"/>
            <w:vAlign w:val="top"/>
          </w:tcPr>
          <w:p w14:paraId="409C37C1">
            <w:pPr>
              <w:spacing w:before="0" w:beforeAutospacing="0" w:after="0" w:afterAutospacing="0" w:line="360" w:lineRule="auto"/>
              <w:ind w:left="0" w:right="0"/>
              <w:jc w:val="center"/>
              <w:rPr>
                <w:rFonts w:hint="default" w:ascii="仿宋_GB2312" w:hAnsi="仿宋" w:eastAsia="仿宋_GB2312" w:cs="Times New Roman"/>
                <w:b/>
                <w:sz w:val="24"/>
                <w:szCs w:val="20"/>
              </w:rPr>
            </w:pPr>
          </w:p>
          <w:p w14:paraId="66918ECD">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项目特征描述</w:t>
            </w:r>
          </w:p>
        </w:tc>
        <w:tc>
          <w:tcPr>
            <w:tcW w:w="1941" w:type="dxa"/>
            <w:vAlign w:val="center"/>
          </w:tcPr>
          <w:p w14:paraId="331431A2">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default" w:ascii="仿宋_GB2312" w:hAnsi="仿宋" w:eastAsia="仿宋_GB2312" w:cs="仿宋_GB2312"/>
                <w:b/>
                <w:sz w:val="24"/>
                <w:szCs w:val="20"/>
              </w:rPr>
              <w:t>计量单位</w:t>
            </w:r>
          </w:p>
        </w:tc>
        <w:tc>
          <w:tcPr>
            <w:tcW w:w="783" w:type="dxa"/>
            <w:vAlign w:val="center"/>
          </w:tcPr>
          <w:p w14:paraId="626390A4">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数量</w:t>
            </w:r>
          </w:p>
        </w:tc>
        <w:tc>
          <w:tcPr>
            <w:tcW w:w="1100" w:type="dxa"/>
            <w:vAlign w:val="center"/>
          </w:tcPr>
          <w:p w14:paraId="4C4AED8D">
            <w:pPr>
              <w:spacing w:before="0" w:beforeAutospacing="0" w:after="0" w:afterAutospacing="0" w:line="360" w:lineRule="auto"/>
              <w:ind w:left="0" w:right="0"/>
              <w:jc w:val="center"/>
              <w:rPr>
                <w:rFonts w:hint="default" w:ascii="仿宋_GB2312" w:hAnsi="仿宋" w:eastAsia="仿宋_GB2312" w:cs="Times New Roman"/>
                <w:b/>
                <w:sz w:val="24"/>
                <w:szCs w:val="20"/>
              </w:rPr>
            </w:pPr>
            <w:r>
              <w:rPr>
                <w:rFonts w:hint="eastAsia" w:ascii="仿宋_GB2312" w:hAnsi="仿宋" w:eastAsia="仿宋_GB2312" w:cs="Times New Roman"/>
                <w:b/>
                <w:sz w:val="24"/>
                <w:szCs w:val="20"/>
              </w:rPr>
              <w:t>综合单价</w:t>
            </w:r>
          </w:p>
          <w:p w14:paraId="680A20DC">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（含税）</w:t>
            </w:r>
          </w:p>
        </w:tc>
        <w:tc>
          <w:tcPr>
            <w:tcW w:w="1567" w:type="dxa"/>
            <w:vAlign w:val="center"/>
          </w:tcPr>
          <w:p w14:paraId="6E6D5F39">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备注</w:t>
            </w:r>
          </w:p>
          <w:p w14:paraId="466F051E">
            <w:pPr>
              <w:spacing w:before="0" w:beforeAutospacing="0" w:after="0" w:afterAutospacing="0" w:line="360" w:lineRule="auto"/>
              <w:ind w:left="0" w:right="0"/>
              <w:jc w:val="center"/>
              <w:rPr>
                <w:rFonts w:hint="default" w:ascii="仿宋_GB2312" w:hAnsi="仿宋" w:eastAsia="仿宋_GB2312" w:cs="Times New Roman"/>
                <w:b/>
                <w:sz w:val="24"/>
                <w:szCs w:val="20"/>
              </w:rPr>
            </w:pPr>
          </w:p>
        </w:tc>
      </w:tr>
      <w:tr w14:paraId="5AD5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048A54">
            <w:pPr>
              <w:spacing w:before="0" w:beforeAutospacing="0" w:after="0" w:afterAutospacing="0" w:line="360" w:lineRule="auto"/>
              <w:ind w:left="0" w:right="0"/>
              <w:jc w:val="center"/>
              <w:rPr>
                <w:rFonts w:hint="default" w:ascii="仿宋_GB2312" w:hAnsi="仿宋" w:eastAsia="仿宋_GB2312" w:cs="仿宋_GB2312"/>
                <w:sz w:val="24"/>
                <w:szCs w:val="20"/>
              </w:rPr>
            </w:pPr>
            <w:r>
              <w:rPr>
                <w:rFonts w:hint="default" w:ascii="仿宋_GB2312" w:hAnsi="仿宋" w:eastAsia="仿宋_GB2312" w:cs="仿宋_GB2312"/>
                <w:sz w:val="24"/>
                <w:szCs w:val="20"/>
              </w:rPr>
              <w:t>1</w:t>
            </w:r>
          </w:p>
        </w:tc>
        <w:tc>
          <w:tcPr>
            <w:tcW w:w="1417" w:type="dxa"/>
            <w:vAlign w:val="center"/>
          </w:tcPr>
          <w:p w14:paraId="1563D333">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Align w:val="center"/>
          </w:tcPr>
          <w:p w14:paraId="2C7ACFE5">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941" w:type="dxa"/>
            <w:vAlign w:val="center"/>
          </w:tcPr>
          <w:p w14:paraId="470483A4">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783" w:type="dxa"/>
            <w:vAlign w:val="center"/>
          </w:tcPr>
          <w:p w14:paraId="39AD3DE4">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100" w:type="dxa"/>
            <w:vAlign w:val="center"/>
          </w:tcPr>
          <w:p w14:paraId="7DD1E7CB">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567" w:type="dxa"/>
            <w:vAlign w:val="center"/>
          </w:tcPr>
          <w:p w14:paraId="490BCD10">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7287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D35816">
            <w:pPr>
              <w:spacing w:before="0" w:beforeAutospacing="0" w:after="0" w:afterAutospacing="0" w:line="360" w:lineRule="auto"/>
              <w:ind w:left="0" w:right="0"/>
              <w:jc w:val="center"/>
              <w:rPr>
                <w:rFonts w:hint="default" w:ascii="仿宋_GB2312" w:hAnsi="仿宋" w:eastAsia="仿宋_GB2312" w:cs="仿宋_GB2312"/>
                <w:sz w:val="24"/>
                <w:szCs w:val="20"/>
              </w:rPr>
            </w:pPr>
            <w:r>
              <w:rPr>
                <w:rFonts w:hint="default" w:ascii="仿宋_GB2312" w:hAnsi="仿宋" w:eastAsia="仿宋_GB2312" w:cs="仿宋_GB2312"/>
                <w:sz w:val="24"/>
                <w:szCs w:val="20"/>
              </w:rPr>
              <w:t>2</w:t>
            </w:r>
          </w:p>
        </w:tc>
        <w:tc>
          <w:tcPr>
            <w:tcW w:w="1417" w:type="dxa"/>
            <w:vAlign w:val="center"/>
          </w:tcPr>
          <w:p w14:paraId="13C04782">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Align w:val="center"/>
          </w:tcPr>
          <w:p w14:paraId="167CA815">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941" w:type="dxa"/>
            <w:vAlign w:val="center"/>
          </w:tcPr>
          <w:p w14:paraId="30279D20">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783" w:type="dxa"/>
            <w:vAlign w:val="center"/>
          </w:tcPr>
          <w:p w14:paraId="4253C811">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100" w:type="dxa"/>
            <w:vAlign w:val="center"/>
          </w:tcPr>
          <w:p w14:paraId="09DB8FF8">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567" w:type="dxa"/>
            <w:vAlign w:val="center"/>
          </w:tcPr>
          <w:p w14:paraId="7AD65051">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5A05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725631">
            <w:pPr>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w:t>
            </w:r>
          </w:p>
        </w:tc>
        <w:tc>
          <w:tcPr>
            <w:tcW w:w="1417" w:type="dxa"/>
            <w:vAlign w:val="center"/>
          </w:tcPr>
          <w:p w14:paraId="25710B08">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Align w:val="center"/>
          </w:tcPr>
          <w:p w14:paraId="0E7BB5DD">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941" w:type="dxa"/>
            <w:vAlign w:val="center"/>
          </w:tcPr>
          <w:p w14:paraId="04C75A9E">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783" w:type="dxa"/>
            <w:vAlign w:val="center"/>
          </w:tcPr>
          <w:p w14:paraId="1D05FEBD">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100" w:type="dxa"/>
            <w:vAlign w:val="center"/>
          </w:tcPr>
          <w:p w14:paraId="449B827E">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567" w:type="dxa"/>
            <w:vAlign w:val="center"/>
          </w:tcPr>
          <w:p w14:paraId="04757F74">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5CE1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192223">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417" w:type="dxa"/>
            <w:vAlign w:val="center"/>
          </w:tcPr>
          <w:p w14:paraId="55C14A93">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Align w:val="center"/>
          </w:tcPr>
          <w:p w14:paraId="1543B3FC">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941" w:type="dxa"/>
            <w:vAlign w:val="center"/>
          </w:tcPr>
          <w:p w14:paraId="01DF34D8">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783" w:type="dxa"/>
            <w:vAlign w:val="center"/>
          </w:tcPr>
          <w:p w14:paraId="6548A928">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100" w:type="dxa"/>
            <w:vAlign w:val="center"/>
          </w:tcPr>
          <w:p w14:paraId="51A0CEBF">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567" w:type="dxa"/>
            <w:vAlign w:val="center"/>
          </w:tcPr>
          <w:p w14:paraId="2607172C">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041C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128A4E">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417" w:type="dxa"/>
            <w:vAlign w:val="center"/>
          </w:tcPr>
          <w:p w14:paraId="631AE713">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Align w:val="center"/>
          </w:tcPr>
          <w:p w14:paraId="01EE3A51">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941" w:type="dxa"/>
            <w:vAlign w:val="center"/>
          </w:tcPr>
          <w:p w14:paraId="7116C240">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783" w:type="dxa"/>
            <w:vAlign w:val="center"/>
          </w:tcPr>
          <w:p w14:paraId="5F57C332">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100" w:type="dxa"/>
            <w:vAlign w:val="center"/>
          </w:tcPr>
          <w:p w14:paraId="6C3EE271">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567" w:type="dxa"/>
            <w:vAlign w:val="center"/>
          </w:tcPr>
          <w:p w14:paraId="415DE3B4">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586B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35" w:type="dxa"/>
            <w:gridSpan w:val="4"/>
            <w:vAlign w:val="center"/>
          </w:tcPr>
          <w:p w14:paraId="7DD30500">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投标单价合计报价（小写）</w:t>
            </w:r>
          </w:p>
        </w:tc>
        <w:tc>
          <w:tcPr>
            <w:tcW w:w="3450" w:type="dxa"/>
            <w:gridSpan w:val="3"/>
            <w:vAlign w:val="center"/>
          </w:tcPr>
          <w:p w14:paraId="20A8065A">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707C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35" w:type="dxa"/>
            <w:gridSpan w:val="4"/>
            <w:vAlign w:val="center"/>
          </w:tcPr>
          <w:p w14:paraId="3D88B284">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投标单价合计报价（大写）</w:t>
            </w:r>
          </w:p>
        </w:tc>
        <w:tc>
          <w:tcPr>
            <w:tcW w:w="3450" w:type="dxa"/>
            <w:gridSpan w:val="3"/>
            <w:vAlign w:val="center"/>
          </w:tcPr>
          <w:p w14:paraId="1A4CA5E4">
            <w:pPr>
              <w:spacing w:before="0" w:beforeAutospacing="0" w:after="0" w:afterAutospacing="0" w:line="360" w:lineRule="auto"/>
              <w:ind w:left="0" w:right="0"/>
              <w:jc w:val="center"/>
              <w:rPr>
                <w:rFonts w:hint="default" w:ascii="仿宋_GB2312" w:hAnsi="仿宋" w:eastAsia="仿宋_GB2312" w:cs="仿宋_GB2312"/>
                <w:sz w:val="24"/>
                <w:szCs w:val="20"/>
              </w:rPr>
            </w:pPr>
          </w:p>
        </w:tc>
      </w:tr>
    </w:tbl>
    <w:p w14:paraId="45B6FE29">
      <w:pPr>
        <w:snapToGrid w:val="0"/>
        <w:spacing w:line="288" w:lineRule="auto"/>
        <w:ind w:left="0"/>
        <w:rPr>
          <w:rFonts w:hint="eastAsia" w:ascii="宋体" w:hAnsi="宋体" w:eastAsia="宋体" w:cs="宋体"/>
          <w:b/>
          <w:color w:val="auto"/>
          <w:kern w:val="0"/>
          <w:sz w:val="24"/>
          <w:highlight w:val="none"/>
          <w:lang w:val="zh-CN"/>
        </w:rPr>
      </w:pPr>
    </w:p>
    <w:p w14:paraId="7F10E292">
      <w:pPr>
        <w:snapToGrid w:val="0"/>
        <w:spacing w:line="288"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169C974">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29AC6BC">
      <w:pPr>
        <w:adjustRightInd w:val="0"/>
        <w:snapToGrid w:val="0"/>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w:t>
      </w:r>
      <w:r>
        <w:rPr>
          <w:rFonts w:hint="eastAsia" w:ascii="宋体" w:hAnsi="宋体" w:eastAsia="宋体" w:cs="宋体"/>
          <w:color w:val="auto"/>
          <w:spacing w:val="0"/>
          <w:kern w:val="0"/>
          <w:sz w:val="24"/>
          <w:szCs w:val="24"/>
          <w:highlight w:val="none"/>
          <w:lang w:val="en-US" w:eastAsia="zh-CN"/>
        </w:rPr>
        <w:t>无效投标</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5D1B0E5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3、特别提示：采购机构将对项目名称和项目编号，中标供应商名称、地址和中标金额，主要中标标的名称、服务范围、服务要求、服务标准等予以公示。</w:t>
      </w:r>
    </w:p>
    <w:p w14:paraId="19D7775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6A1961B">
      <w:pPr>
        <w:spacing w:line="360" w:lineRule="auto"/>
        <w:outlineLvl w:val="9"/>
        <w:rPr>
          <w:rFonts w:hint="eastAsia" w:ascii="宋体" w:hAnsi="宋体" w:eastAsia="宋体" w:cs="宋体"/>
          <w:color w:val="auto"/>
          <w:kern w:val="0"/>
          <w:sz w:val="24"/>
          <w:highlight w:val="none"/>
          <w:lang w:val="zh-CN"/>
        </w:rPr>
      </w:pPr>
    </w:p>
    <w:p w14:paraId="41D84815">
      <w:pPr>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5BBE189">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BD8DD96">
      <w:pPr>
        <w:rPr>
          <w:rFonts w:hint="eastAsia" w:ascii="宋体" w:hAnsi="宋体" w:cs="宋体"/>
          <w:b/>
          <w:bCs/>
          <w:color w:val="auto"/>
          <w:sz w:val="44"/>
          <w:szCs w:val="44"/>
          <w:highlight w:val="none"/>
        </w:rPr>
      </w:pPr>
    </w:p>
    <w:p w14:paraId="248DAF3A">
      <w:pPr>
        <w:pStyle w:val="493"/>
        <w:rPr>
          <w:rFonts w:hint="eastAsia"/>
          <w:highlight w:val="none"/>
        </w:rPr>
      </w:pPr>
    </w:p>
    <w:p w14:paraId="2EBCCAAA">
      <w:pPr>
        <w:rPr>
          <w:rFonts w:hint="eastAsia" w:ascii="宋体" w:hAnsi="宋体" w:eastAsia="宋体" w:cs="宋体"/>
          <w:highlight w:val="none"/>
          <w:lang w:val="zh-CN"/>
        </w:rPr>
      </w:pPr>
    </w:p>
    <w:p w14:paraId="3FA6D72E">
      <w:pPr>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br w:type="page"/>
      </w:r>
    </w:p>
    <w:p w14:paraId="190A3A2A">
      <w:pPr>
        <w:pStyle w:val="387"/>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38A5921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1BD6043">
      <w:pPr>
        <w:pStyle w:val="2"/>
        <w:pageBreakBefore/>
        <w:widowControl/>
        <w:spacing w:before="100" w:beforeAutospacing="1" w:after="100" w:afterAutospacing="1" w:line="360"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附件</w:t>
      </w:r>
    </w:p>
    <w:p w14:paraId="70692005">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48A6315">
      <w:pPr>
        <w:spacing w:line="360" w:lineRule="auto"/>
        <w:jc w:val="center"/>
        <w:rPr>
          <w:rFonts w:hint="eastAsia" w:ascii="宋体" w:hAnsi="宋体" w:eastAsia="宋体" w:cs="宋体"/>
          <w:b/>
          <w:color w:val="auto"/>
          <w:spacing w:val="6"/>
          <w:sz w:val="32"/>
          <w:szCs w:val="32"/>
          <w:highlight w:val="none"/>
        </w:rPr>
      </w:pPr>
      <w:bookmarkStart w:id="509" w:name="OLE_LINK14"/>
      <w:bookmarkStart w:id="510" w:name="OLE_LINK13"/>
      <w:r>
        <w:rPr>
          <w:rFonts w:hint="eastAsia" w:ascii="宋体" w:hAnsi="宋体" w:eastAsia="宋体" w:cs="宋体"/>
          <w:b/>
          <w:color w:val="auto"/>
          <w:spacing w:val="6"/>
          <w:sz w:val="32"/>
          <w:szCs w:val="32"/>
          <w:highlight w:val="none"/>
        </w:rPr>
        <w:t>残疾人福利性单位声明函</w:t>
      </w:r>
    </w:p>
    <w:bookmarkEnd w:id="509"/>
    <w:bookmarkEnd w:id="510"/>
    <w:p w14:paraId="77088891">
      <w:pPr>
        <w:spacing w:line="360" w:lineRule="auto"/>
        <w:rPr>
          <w:rFonts w:hint="eastAsia" w:ascii="宋体" w:hAnsi="宋体" w:eastAsia="宋体" w:cs="宋体"/>
          <w:b/>
          <w:color w:val="auto"/>
          <w:spacing w:val="6"/>
          <w:sz w:val="30"/>
          <w:szCs w:val="30"/>
          <w:highlight w:val="none"/>
        </w:rPr>
      </w:pPr>
    </w:p>
    <w:p w14:paraId="5D4F1C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EC7C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4FC1236">
      <w:pPr>
        <w:spacing w:line="360" w:lineRule="auto"/>
        <w:ind w:firstLine="480" w:firstLineChars="200"/>
        <w:rPr>
          <w:rFonts w:hint="eastAsia" w:ascii="宋体" w:hAnsi="宋体" w:eastAsia="宋体" w:cs="宋体"/>
          <w:color w:val="auto"/>
          <w:sz w:val="24"/>
          <w:highlight w:val="none"/>
        </w:rPr>
      </w:pPr>
    </w:p>
    <w:p w14:paraId="1F2E2CEE">
      <w:pPr>
        <w:spacing w:line="360" w:lineRule="auto"/>
        <w:ind w:firstLine="480" w:firstLineChars="200"/>
        <w:rPr>
          <w:rFonts w:hint="eastAsia" w:ascii="宋体" w:hAnsi="宋体" w:eastAsia="宋体" w:cs="宋体"/>
          <w:color w:val="auto"/>
          <w:sz w:val="24"/>
          <w:highlight w:val="none"/>
        </w:rPr>
      </w:pPr>
    </w:p>
    <w:p w14:paraId="3F13407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970CBF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8A2D384">
      <w:pPr>
        <w:spacing w:line="360" w:lineRule="auto"/>
        <w:ind w:firstLine="480" w:firstLineChars="200"/>
        <w:rPr>
          <w:rFonts w:hint="eastAsia" w:ascii="宋体" w:hAnsi="宋体" w:eastAsia="宋体" w:cs="宋体"/>
          <w:color w:val="auto"/>
          <w:sz w:val="24"/>
          <w:highlight w:val="none"/>
        </w:rPr>
      </w:pPr>
    </w:p>
    <w:p w14:paraId="7E57B263">
      <w:pPr>
        <w:spacing w:line="360" w:lineRule="auto"/>
        <w:ind w:firstLine="420" w:firstLineChars="200"/>
        <w:rPr>
          <w:rFonts w:hint="eastAsia" w:ascii="宋体" w:hAnsi="宋体" w:eastAsia="宋体" w:cs="宋体"/>
          <w:color w:val="auto"/>
          <w:highlight w:val="none"/>
        </w:rPr>
      </w:pPr>
    </w:p>
    <w:p w14:paraId="05461EC3">
      <w:pPr>
        <w:spacing w:line="360" w:lineRule="auto"/>
        <w:ind w:firstLine="420" w:firstLineChars="200"/>
        <w:rPr>
          <w:rFonts w:hint="eastAsia" w:ascii="宋体" w:hAnsi="宋体" w:eastAsia="宋体" w:cs="宋体"/>
          <w:color w:val="auto"/>
          <w:highlight w:val="none"/>
        </w:rPr>
      </w:pPr>
    </w:p>
    <w:p w14:paraId="7232D583">
      <w:pPr>
        <w:spacing w:line="360" w:lineRule="auto"/>
        <w:ind w:firstLine="420" w:firstLineChars="200"/>
        <w:rPr>
          <w:rFonts w:hint="eastAsia" w:ascii="宋体" w:hAnsi="宋体" w:eastAsia="宋体" w:cs="宋体"/>
          <w:color w:val="auto"/>
          <w:highlight w:val="none"/>
        </w:rPr>
      </w:pPr>
    </w:p>
    <w:p w14:paraId="78C59FE2">
      <w:pPr>
        <w:spacing w:line="360" w:lineRule="auto"/>
        <w:ind w:firstLine="420" w:firstLineChars="200"/>
        <w:rPr>
          <w:rFonts w:hint="eastAsia" w:ascii="宋体" w:hAnsi="宋体" w:eastAsia="宋体" w:cs="宋体"/>
          <w:color w:val="auto"/>
          <w:highlight w:val="none"/>
        </w:rPr>
      </w:pPr>
    </w:p>
    <w:p w14:paraId="3082419F">
      <w:pPr>
        <w:spacing w:line="360" w:lineRule="auto"/>
        <w:rPr>
          <w:rFonts w:hint="eastAsia" w:ascii="宋体" w:hAnsi="宋体" w:eastAsia="宋体" w:cs="宋体"/>
          <w:b/>
          <w:color w:val="auto"/>
          <w:sz w:val="24"/>
          <w:highlight w:val="none"/>
        </w:rPr>
      </w:pPr>
    </w:p>
    <w:p w14:paraId="2E4AA90C">
      <w:pPr>
        <w:spacing w:line="360" w:lineRule="auto"/>
        <w:rPr>
          <w:rFonts w:hint="eastAsia" w:ascii="宋体" w:hAnsi="宋体" w:eastAsia="宋体" w:cs="宋体"/>
          <w:b/>
          <w:color w:val="auto"/>
          <w:sz w:val="24"/>
          <w:highlight w:val="none"/>
        </w:rPr>
      </w:pPr>
    </w:p>
    <w:p w14:paraId="0D410283">
      <w:pPr>
        <w:spacing w:line="360" w:lineRule="auto"/>
        <w:rPr>
          <w:rFonts w:hint="eastAsia" w:ascii="宋体" w:hAnsi="宋体" w:eastAsia="宋体" w:cs="宋体"/>
          <w:b/>
          <w:color w:val="auto"/>
          <w:sz w:val="24"/>
          <w:highlight w:val="none"/>
        </w:rPr>
      </w:pPr>
    </w:p>
    <w:p w14:paraId="71A58DD3">
      <w:pPr>
        <w:spacing w:line="360" w:lineRule="auto"/>
        <w:rPr>
          <w:rFonts w:hint="eastAsia" w:ascii="宋体" w:hAnsi="宋体" w:eastAsia="宋体" w:cs="宋体"/>
          <w:b/>
          <w:color w:val="auto"/>
          <w:sz w:val="24"/>
          <w:highlight w:val="none"/>
        </w:rPr>
      </w:pPr>
    </w:p>
    <w:p w14:paraId="51263BB9">
      <w:pPr>
        <w:spacing w:line="360" w:lineRule="auto"/>
        <w:rPr>
          <w:rFonts w:hint="eastAsia" w:ascii="宋体" w:hAnsi="宋体" w:eastAsia="宋体" w:cs="宋体"/>
          <w:b/>
          <w:color w:val="auto"/>
          <w:sz w:val="24"/>
          <w:highlight w:val="none"/>
        </w:rPr>
      </w:pPr>
    </w:p>
    <w:p w14:paraId="530A055C">
      <w:pPr>
        <w:spacing w:line="360" w:lineRule="auto"/>
        <w:rPr>
          <w:rFonts w:hint="eastAsia" w:ascii="宋体" w:hAnsi="宋体" w:eastAsia="宋体" w:cs="宋体"/>
          <w:b/>
          <w:color w:val="auto"/>
          <w:sz w:val="24"/>
          <w:highlight w:val="none"/>
        </w:rPr>
      </w:pPr>
    </w:p>
    <w:p w14:paraId="19F68ADE">
      <w:pPr>
        <w:spacing w:line="360" w:lineRule="auto"/>
        <w:rPr>
          <w:rFonts w:hint="eastAsia" w:ascii="宋体" w:hAnsi="宋体" w:eastAsia="宋体" w:cs="宋体"/>
          <w:b/>
          <w:color w:val="auto"/>
          <w:sz w:val="24"/>
          <w:highlight w:val="none"/>
        </w:rPr>
      </w:pPr>
    </w:p>
    <w:p w14:paraId="6B9D612F">
      <w:pPr>
        <w:spacing w:line="360" w:lineRule="auto"/>
        <w:rPr>
          <w:rFonts w:hint="eastAsia" w:ascii="宋体" w:hAnsi="宋体" w:eastAsia="宋体" w:cs="宋体"/>
          <w:b/>
          <w:color w:val="auto"/>
          <w:sz w:val="24"/>
          <w:highlight w:val="none"/>
        </w:rPr>
      </w:pPr>
    </w:p>
    <w:p w14:paraId="3E7BD32A">
      <w:pPr>
        <w:spacing w:line="360" w:lineRule="auto"/>
        <w:rPr>
          <w:rFonts w:hint="eastAsia" w:ascii="宋体" w:hAnsi="宋体" w:eastAsia="宋体" w:cs="宋体"/>
          <w:b/>
          <w:color w:val="auto"/>
          <w:sz w:val="24"/>
          <w:highlight w:val="none"/>
        </w:rPr>
      </w:pPr>
    </w:p>
    <w:p w14:paraId="4B2BCAD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021F13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6EFB24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CE9E4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40811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4F6604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8B8AB5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9D51D0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7E614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6B4C75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94562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0FFACA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E474AB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F4FE1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C4E81C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FE5151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0B7652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DFECA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1AD0D2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62BE58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612F41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B7F1C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1D0A67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D6DDA1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B0872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4B834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E020319">
      <w:pPr>
        <w:spacing w:line="360" w:lineRule="auto"/>
        <w:jc w:val="center"/>
        <w:rPr>
          <w:rFonts w:hint="eastAsia" w:ascii="宋体" w:hAnsi="宋体" w:eastAsia="宋体" w:cs="宋体"/>
          <w:b/>
          <w:bCs/>
          <w:color w:val="auto"/>
          <w:sz w:val="24"/>
          <w:highlight w:val="none"/>
        </w:rPr>
      </w:pPr>
    </w:p>
    <w:p w14:paraId="0883CED0">
      <w:pPr>
        <w:spacing w:line="360" w:lineRule="auto"/>
        <w:rPr>
          <w:rFonts w:hint="eastAsia" w:ascii="宋体" w:hAnsi="宋体" w:eastAsia="宋体" w:cs="宋体"/>
          <w:b/>
          <w:color w:val="auto"/>
          <w:sz w:val="24"/>
          <w:highlight w:val="none"/>
        </w:rPr>
      </w:pPr>
    </w:p>
    <w:p w14:paraId="6CBD26EC">
      <w:pPr>
        <w:spacing w:line="360" w:lineRule="auto"/>
        <w:rPr>
          <w:rFonts w:hint="eastAsia" w:ascii="宋体" w:hAnsi="宋体" w:eastAsia="宋体" w:cs="宋体"/>
          <w:b/>
          <w:color w:val="auto"/>
          <w:sz w:val="24"/>
          <w:highlight w:val="none"/>
        </w:rPr>
      </w:pPr>
    </w:p>
    <w:p w14:paraId="114656B7">
      <w:pPr>
        <w:spacing w:line="360" w:lineRule="auto"/>
        <w:rPr>
          <w:rFonts w:hint="eastAsia" w:ascii="宋体" w:hAnsi="宋体" w:eastAsia="宋体" w:cs="宋体"/>
          <w:b/>
          <w:color w:val="auto"/>
          <w:sz w:val="24"/>
          <w:highlight w:val="none"/>
        </w:rPr>
      </w:pPr>
    </w:p>
    <w:p w14:paraId="1383115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EA9BCB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1FFB38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BFEF60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66505D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6F725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40D843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D3FDD7">
      <w:pPr>
        <w:widowControl/>
        <w:spacing w:line="360" w:lineRule="auto"/>
        <w:ind w:firstLine="600" w:firstLineChars="200"/>
        <w:jc w:val="left"/>
        <w:rPr>
          <w:rFonts w:hint="eastAsia" w:ascii="宋体" w:hAnsi="宋体" w:eastAsia="宋体" w:cs="宋体"/>
          <w:color w:val="auto"/>
          <w:sz w:val="30"/>
          <w:szCs w:val="30"/>
          <w:highlight w:val="none"/>
        </w:rPr>
      </w:pPr>
    </w:p>
    <w:p w14:paraId="3729F919">
      <w:pPr>
        <w:spacing w:line="360" w:lineRule="auto"/>
        <w:jc w:val="center"/>
        <w:rPr>
          <w:rFonts w:hint="eastAsia" w:ascii="宋体" w:hAnsi="宋体" w:eastAsia="宋体" w:cs="宋体"/>
          <w:b/>
          <w:color w:val="auto"/>
          <w:spacing w:val="6"/>
          <w:sz w:val="32"/>
          <w:szCs w:val="32"/>
          <w:highlight w:val="none"/>
        </w:rPr>
      </w:pPr>
    </w:p>
    <w:p w14:paraId="67B03156">
      <w:pPr>
        <w:spacing w:line="360" w:lineRule="auto"/>
        <w:jc w:val="center"/>
        <w:rPr>
          <w:rFonts w:hint="eastAsia" w:ascii="宋体" w:hAnsi="宋体" w:eastAsia="宋体" w:cs="宋体"/>
          <w:b/>
          <w:color w:val="auto"/>
          <w:spacing w:val="6"/>
          <w:sz w:val="32"/>
          <w:szCs w:val="32"/>
          <w:highlight w:val="none"/>
        </w:rPr>
      </w:pPr>
    </w:p>
    <w:p w14:paraId="08A9DDA1">
      <w:pPr>
        <w:spacing w:line="360" w:lineRule="auto"/>
        <w:jc w:val="center"/>
        <w:rPr>
          <w:rFonts w:hint="eastAsia" w:ascii="宋体" w:hAnsi="宋体" w:eastAsia="宋体" w:cs="宋体"/>
          <w:b/>
          <w:color w:val="auto"/>
          <w:spacing w:val="6"/>
          <w:sz w:val="32"/>
          <w:szCs w:val="32"/>
          <w:highlight w:val="none"/>
        </w:rPr>
      </w:pPr>
    </w:p>
    <w:p w14:paraId="29E6C74A">
      <w:pPr>
        <w:spacing w:line="360" w:lineRule="auto"/>
        <w:jc w:val="center"/>
        <w:rPr>
          <w:rFonts w:hint="eastAsia" w:ascii="宋体" w:hAnsi="宋体" w:eastAsia="宋体" w:cs="宋体"/>
          <w:b/>
          <w:color w:val="auto"/>
          <w:spacing w:val="6"/>
          <w:sz w:val="32"/>
          <w:szCs w:val="32"/>
          <w:highlight w:val="none"/>
        </w:rPr>
      </w:pPr>
    </w:p>
    <w:p w14:paraId="6DED915D">
      <w:pPr>
        <w:spacing w:line="360" w:lineRule="auto"/>
        <w:jc w:val="center"/>
        <w:rPr>
          <w:rFonts w:hint="eastAsia" w:ascii="宋体" w:hAnsi="宋体" w:eastAsia="宋体" w:cs="宋体"/>
          <w:b/>
          <w:color w:val="auto"/>
          <w:spacing w:val="6"/>
          <w:sz w:val="32"/>
          <w:szCs w:val="32"/>
          <w:highlight w:val="none"/>
        </w:rPr>
      </w:pPr>
    </w:p>
    <w:p w14:paraId="51C1654E">
      <w:pPr>
        <w:spacing w:line="360" w:lineRule="auto"/>
        <w:jc w:val="center"/>
        <w:rPr>
          <w:rFonts w:hint="eastAsia" w:ascii="宋体" w:hAnsi="宋体" w:eastAsia="宋体" w:cs="宋体"/>
          <w:b/>
          <w:color w:val="auto"/>
          <w:spacing w:val="6"/>
          <w:sz w:val="32"/>
          <w:szCs w:val="32"/>
          <w:highlight w:val="none"/>
        </w:rPr>
      </w:pPr>
    </w:p>
    <w:p w14:paraId="4705B220">
      <w:pPr>
        <w:spacing w:line="360" w:lineRule="auto"/>
        <w:jc w:val="center"/>
        <w:rPr>
          <w:rFonts w:hint="eastAsia" w:ascii="宋体" w:hAnsi="宋体" w:eastAsia="宋体" w:cs="宋体"/>
          <w:b/>
          <w:color w:val="auto"/>
          <w:spacing w:val="6"/>
          <w:sz w:val="32"/>
          <w:szCs w:val="32"/>
          <w:highlight w:val="none"/>
        </w:rPr>
      </w:pPr>
    </w:p>
    <w:p w14:paraId="3AE46C9E">
      <w:pPr>
        <w:spacing w:line="360" w:lineRule="auto"/>
        <w:jc w:val="center"/>
        <w:rPr>
          <w:rFonts w:hint="eastAsia" w:ascii="宋体" w:hAnsi="宋体" w:eastAsia="宋体" w:cs="宋体"/>
          <w:b/>
          <w:color w:val="auto"/>
          <w:spacing w:val="6"/>
          <w:sz w:val="32"/>
          <w:szCs w:val="32"/>
          <w:highlight w:val="none"/>
        </w:rPr>
      </w:pPr>
    </w:p>
    <w:p w14:paraId="7A0904FE">
      <w:pPr>
        <w:spacing w:line="360" w:lineRule="auto"/>
        <w:jc w:val="center"/>
        <w:rPr>
          <w:rFonts w:hint="eastAsia" w:ascii="宋体" w:hAnsi="宋体" w:eastAsia="宋体" w:cs="宋体"/>
          <w:b/>
          <w:color w:val="auto"/>
          <w:spacing w:val="6"/>
          <w:sz w:val="32"/>
          <w:szCs w:val="32"/>
          <w:highlight w:val="none"/>
        </w:rPr>
      </w:pPr>
    </w:p>
    <w:p w14:paraId="58B6B2ED">
      <w:pPr>
        <w:spacing w:line="360" w:lineRule="auto"/>
        <w:jc w:val="center"/>
        <w:rPr>
          <w:rFonts w:hint="eastAsia" w:ascii="宋体" w:hAnsi="宋体" w:eastAsia="宋体" w:cs="宋体"/>
          <w:b/>
          <w:color w:val="auto"/>
          <w:spacing w:val="6"/>
          <w:sz w:val="32"/>
          <w:szCs w:val="32"/>
          <w:highlight w:val="none"/>
        </w:rPr>
      </w:pPr>
    </w:p>
    <w:p w14:paraId="5CBC75D0">
      <w:pPr>
        <w:spacing w:line="360" w:lineRule="auto"/>
        <w:jc w:val="center"/>
        <w:rPr>
          <w:rFonts w:hint="eastAsia" w:ascii="宋体" w:hAnsi="宋体" w:eastAsia="宋体" w:cs="宋体"/>
          <w:b/>
          <w:color w:val="auto"/>
          <w:spacing w:val="6"/>
          <w:sz w:val="32"/>
          <w:szCs w:val="32"/>
          <w:highlight w:val="none"/>
        </w:rPr>
      </w:pPr>
    </w:p>
    <w:p w14:paraId="5C719C49">
      <w:pPr>
        <w:spacing w:line="360" w:lineRule="auto"/>
        <w:jc w:val="center"/>
        <w:rPr>
          <w:rFonts w:hint="eastAsia" w:ascii="宋体" w:hAnsi="宋体" w:eastAsia="宋体" w:cs="宋体"/>
          <w:b/>
          <w:color w:val="auto"/>
          <w:spacing w:val="6"/>
          <w:sz w:val="32"/>
          <w:szCs w:val="32"/>
          <w:highlight w:val="none"/>
        </w:rPr>
      </w:pPr>
    </w:p>
    <w:p w14:paraId="7EBC6049">
      <w:pPr>
        <w:spacing w:line="360" w:lineRule="auto"/>
        <w:jc w:val="left"/>
        <w:rPr>
          <w:rFonts w:hint="eastAsia" w:ascii="宋体" w:hAnsi="宋体" w:eastAsia="宋体" w:cs="宋体"/>
          <w:b/>
          <w:color w:val="auto"/>
          <w:spacing w:val="6"/>
          <w:sz w:val="32"/>
          <w:szCs w:val="32"/>
          <w:highlight w:val="none"/>
        </w:rPr>
      </w:pPr>
    </w:p>
    <w:p w14:paraId="7CB5A4B3">
      <w:pPr>
        <w:spacing w:line="360" w:lineRule="auto"/>
        <w:jc w:val="left"/>
        <w:rPr>
          <w:rFonts w:hint="eastAsia" w:ascii="宋体" w:hAnsi="宋体" w:eastAsia="宋体" w:cs="宋体"/>
          <w:b/>
          <w:color w:val="auto"/>
          <w:spacing w:val="6"/>
          <w:sz w:val="32"/>
          <w:szCs w:val="32"/>
          <w:highlight w:val="none"/>
        </w:rPr>
      </w:pPr>
    </w:p>
    <w:p w14:paraId="66E1CD9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4DAC687">
      <w:pPr>
        <w:spacing w:line="360" w:lineRule="auto"/>
        <w:jc w:val="center"/>
        <w:rPr>
          <w:rFonts w:hint="eastAsia" w:ascii="宋体" w:hAnsi="宋体" w:eastAsia="宋体" w:cs="宋体"/>
          <w:b/>
          <w:color w:val="auto"/>
          <w:sz w:val="24"/>
          <w:highlight w:val="none"/>
        </w:rPr>
      </w:pPr>
    </w:p>
    <w:p w14:paraId="7E5CE68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E1BA0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A64BC1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5A9E2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60EAB9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78D6EC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A6BA43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0F42C3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318449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AFF18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90CD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12E8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F61D6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4BDA7B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F5384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C0294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615F8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7DDDA2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3E1D5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A5E72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CCE7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F894AE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CFDCB3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BE6DF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A031EA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9B56AC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E50C47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513C0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F66E7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9CCA1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450A7D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EF3E5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D81017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24A3A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6CAC2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04EC3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306F3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20014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70E54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2F6CB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0DD50EA">
      <w:pPr>
        <w:spacing w:line="360" w:lineRule="auto"/>
        <w:rPr>
          <w:rFonts w:hint="eastAsia" w:ascii="宋体" w:hAnsi="宋体" w:eastAsia="宋体" w:cs="宋体"/>
          <w:b/>
          <w:color w:val="auto"/>
          <w:sz w:val="24"/>
          <w:highlight w:val="none"/>
        </w:rPr>
      </w:pPr>
    </w:p>
    <w:p w14:paraId="46E415AD">
      <w:pPr>
        <w:spacing w:line="360" w:lineRule="auto"/>
        <w:rPr>
          <w:rFonts w:hint="eastAsia" w:ascii="宋体" w:hAnsi="宋体" w:eastAsia="宋体" w:cs="宋体"/>
          <w:b/>
          <w:color w:val="auto"/>
          <w:sz w:val="24"/>
          <w:highlight w:val="none"/>
        </w:rPr>
      </w:pPr>
    </w:p>
    <w:p w14:paraId="6EB82BE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4B58D6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468063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EAD4F4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5E497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31D12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2592FD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8406F0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371793">
      <w:pPr>
        <w:spacing w:line="360" w:lineRule="auto"/>
        <w:rPr>
          <w:rFonts w:hint="eastAsia" w:ascii="宋体" w:hAnsi="宋体" w:eastAsia="宋体" w:cs="宋体"/>
          <w:b/>
          <w:color w:val="auto"/>
          <w:sz w:val="24"/>
          <w:highlight w:val="none"/>
        </w:rPr>
      </w:pPr>
    </w:p>
    <w:p w14:paraId="58A58A8F">
      <w:pPr>
        <w:autoSpaceDE w:val="0"/>
        <w:autoSpaceDN w:val="0"/>
        <w:jc w:val="center"/>
        <w:rPr>
          <w:rFonts w:hint="eastAsia" w:ascii="宋体" w:hAnsi="宋体" w:eastAsia="宋体" w:cs="宋体"/>
          <w:b/>
          <w:color w:val="auto"/>
          <w:spacing w:val="6"/>
          <w:sz w:val="32"/>
          <w:szCs w:val="32"/>
          <w:highlight w:val="none"/>
        </w:rPr>
      </w:pPr>
    </w:p>
    <w:p w14:paraId="77821828">
      <w:pPr>
        <w:autoSpaceDE w:val="0"/>
        <w:autoSpaceDN w:val="0"/>
        <w:jc w:val="center"/>
        <w:rPr>
          <w:rFonts w:hint="eastAsia" w:ascii="宋体" w:hAnsi="宋体" w:eastAsia="宋体" w:cs="宋体"/>
          <w:b/>
          <w:color w:val="auto"/>
          <w:spacing w:val="6"/>
          <w:sz w:val="32"/>
          <w:szCs w:val="32"/>
          <w:highlight w:val="none"/>
        </w:rPr>
      </w:pPr>
    </w:p>
    <w:p w14:paraId="505736C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BFF83CA">
      <w:pPr>
        <w:spacing w:line="360" w:lineRule="auto"/>
        <w:rPr>
          <w:rFonts w:hint="eastAsia" w:ascii="宋体" w:hAnsi="宋体" w:eastAsia="宋体" w:cs="宋体"/>
          <w:color w:val="auto"/>
          <w:sz w:val="24"/>
          <w:highlight w:val="none"/>
          <w:u w:val="single"/>
        </w:rPr>
      </w:pPr>
    </w:p>
    <w:p w14:paraId="7533F8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A89F4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DAAE8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2EA1DF0">
      <w:pPr>
        <w:spacing w:line="360" w:lineRule="auto"/>
        <w:ind w:firstLine="494"/>
        <w:rPr>
          <w:rFonts w:hint="eastAsia" w:ascii="宋体" w:hAnsi="宋体" w:eastAsia="宋体" w:cs="宋体"/>
          <w:color w:val="auto"/>
          <w:sz w:val="24"/>
          <w:highlight w:val="none"/>
        </w:rPr>
      </w:pPr>
    </w:p>
    <w:p w14:paraId="65E8E43A">
      <w:pPr>
        <w:spacing w:line="360" w:lineRule="auto"/>
        <w:ind w:firstLine="494"/>
        <w:rPr>
          <w:rFonts w:hint="eastAsia" w:ascii="宋体" w:hAnsi="宋体" w:eastAsia="宋体" w:cs="宋体"/>
          <w:color w:val="auto"/>
          <w:sz w:val="24"/>
          <w:highlight w:val="none"/>
        </w:rPr>
      </w:pPr>
    </w:p>
    <w:p w14:paraId="0EAC68A5">
      <w:pPr>
        <w:spacing w:line="360" w:lineRule="auto"/>
        <w:ind w:firstLine="494"/>
        <w:rPr>
          <w:rFonts w:hint="eastAsia" w:ascii="宋体" w:hAnsi="宋体" w:eastAsia="宋体" w:cs="宋体"/>
          <w:color w:val="auto"/>
          <w:sz w:val="24"/>
          <w:highlight w:val="none"/>
        </w:rPr>
      </w:pPr>
    </w:p>
    <w:p w14:paraId="77DEFD48">
      <w:pPr>
        <w:spacing w:line="360" w:lineRule="auto"/>
        <w:ind w:firstLine="494"/>
        <w:rPr>
          <w:rFonts w:hint="eastAsia" w:ascii="宋体" w:hAnsi="宋体" w:eastAsia="宋体" w:cs="宋体"/>
          <w:color w:val="auto"/>
          <w:sz w:val="24"/>
          <w:highlight w:val="none"/>
        </w:rPr>
      </w:pPr>
    </w:p>
    <w:p w14:paraId="10FE43BA">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FA1AFCE">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CF517A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8163F1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A2B3AD">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3DA2B3AD">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184B75">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57184B75">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671EB6C2">
      <w:pPr>
        <w:autoSpaceDE w:val="0"/>
        <w:autoSpaceDN w:val="0"/>
        <w:jc w:val="center"/>
        <w:rPr>
          <w:rFonts w:hint="eastAsia" w:ascii="宋体" w:hAnsi="宋体" w:eastAsia="宋体" w:cs="宋体"/>
          <w:b/>
          <w:color w:val="auto"/>
          <w:spacing w:val="6"/>
          <w:sz w:val="32"/>
          <w:szCs w:val="32"/>
          <w:highlight w:val="none"/>
        </w:rPr>
      </w:pPr>
    </w:p>
    <w:p w14:paraId="0E730B19">
      <w:pPr>
        <w:autoSpaceDE w:val="0"/>
        <w:autoSpaceDN w:val="0"/>
        <w:jc w:val="center"/>
        <w:rPr>
          <w:rFonts w:hint="eastAsia" w:ascii="宋体" w:hAnsi="宋体" w:eastAsia="宋体" w:cs="宋体"/>
          <w:b/>
          <w:color w:val="auto"/>
          <w:spacing w:val="6"/>
          <w:sz w:val="32"/>
          <w:szCs w:val="32"/>
          <w:highlight w:val="none"/>
        </w:rPr>
      </w:pPr>
    </w:p>
    <w:p w14:paraId="46B1700E">
      <w:pPr>
        <w:autoSpaceDE w:val="0"/>
        <w:autoSpaceDN w:val="0"/>
        <w:jc w:val="center"/>
        <w:rPr>
          <w:rFonts w:hint="eastAsia" w:ascii="宋体" w:hAnsi="宋体" w:eastAsia="宋体" w:cs="宋体"/>
          <w:b/>
          <w:color w:val="auto"/>
          <w:spacing w:val="6"/>
          <w:sz w:val="32"/>
          <w:szCs w:val="32"/>
          <w:highlight w:val="none"/>
        </w:rPr>
      </w:pPr>
    </w:p>
    <w:p w14:paraId="7AAF8BC4">
      <w:pPr>
        <w:autoSpaceDE w:val="0"/>
        <w:autoSpaceDN w:val="0"/>
        <w:jc w:val="center"/>
        <w:rPr>
          <w:rFonts w:hint="eastAsia" w:ascii="宋体" w:hAnsi="宋体" w:eastAsia="宋体" w:cs="宋体"/>
          <w:b/>
          <w:color w:val="auto"/>
          <w:spacing w:val="6"/>
          <w:sz w:val="32"/>
          <w:szCs w:val="32"/>
          <w:highlight w:val="none"/>
        </w:rPr>
      </w:pPr>
    </w:p>
    <w:p w14:paraId="39FCE61B">
      <w:pPr>
        <w:autoSpaceDE w:val="0"/>
        <w:autoSpaceDN w:val="0"/>
        <w:jc w:val="center"/>
        <w:rPr>
          <w:rFonts w:hint="eastAsia" w:ascii="宋体" w:hAnsi="宋体" w:eastAsia="宋体" w:cs="宋体"/>
          <w:b/>
          <w:color w:val="auto"/>
          <w:spacing w:val="6"/>
          <w:sz w:val="32"/>
          <w:szCs w:val="32"/>
          <w:highlight w:val="none"/>
        </w:rPr>
      </w:pPr>
    </w:p>
    <w:p w14:paraId="63D475D0">
      <w:pPr>
        <w:autoSpaceDE w:val="0"/>
        <w:autoSpaceDN w:val="0"/>
        <w:jc w:val="center"/>
        <w:rPr>
          <w:rFonts w:hint="eastAsia" w:ascii="宋体" w:hAnsi="宋体" w:eastAsia="宋体" w:cs="宋体"/>
          <w:b/>
          <w:color w:val="auto"/>
          <w:spacing w:val="6"/>
          <w:sz w:val="32"/>
          <w:szCs w:val="32"/>
          <w:highlight w:val="none"/>
        </w:rPr>
      </w:pPr>
    </w:p>
    <w:p w14:paraId="7A62ACA3">
      <w:pPr>
        <w:autoSpaceDE w:val="0"/>
        <w:autoSpaceDN w:val="0"/>
        <w:jc w:val="center"/>
        <w:rPr>
          <w:rFonts w:hint="eastAsia" w:ascii="宋体" w:hAnsi="宋体" w:eastAsia="宋体" w:cs="宋体"/>
          <w:b/>
          <w:color w:val="auto"/>
          <w:spacing w:val="6"/>
          <w:sz w:val="32"/>
          <w:szCs w:val="32"/>
          <w:highlight w:val="none"/>
        </w:rPr>
      </w:pPr>
    </w:p>
    <w:p w14:paraId="098F2C7C">
      <w:pPr>
        <w:autoSpaceDE w:val="0"/>
        <w:autoSpaceDN w:val="0"/>
        <w:jc w:val="center"/>
        <w:rPr>
          <w:rFonts w:hint="eastAsia" w:ascii="宋体" w:hAnsi="宋体" w:eastAsia="宋体" w:cs="宋体"/>
          <w:b/>
          <w:color w:val="auto"/>
          <w:spacing w:val="6"/>
          <w:sz w:val="32"/>
          <w:szCs w:val="32"/>
          <w:highlight w:val="none"/>
        </w:rPr>
      </w:pPr>
    </w:p>
    <w:p w14:paraId="7750C523">
      <w:pPr>
        <w:autoSpaceDE w:val="0"/>
        <w:autoSpaceDN w:val="0"/>
        <w:jc w:val="center"/>
        <w:rPr>
          <w:rFonts w:hint="eastAsia" w:ascii="宋体" w:hAnsi="宋体" w:eastAsia="宋体" w:cs="宋体"/>
          <w:b/>
          <w:color w:val="auto"/>
          <w:spacing w:val="6"/>
          <w:sz w:val="32"/>
          <w:szCs w:val="32"/>
          <w:highlight w:val="none"/>
        </w:rPr>
      </w:pPr>
    </w:p>
    <w:p w14:paraId="34F78486">
      <w:pPr>
        <w:autoSpaceDE w:val="0"/>
        <w:autoSpaceDN w:val="0"/>
        <w:jc w:val="center"/>
        <w:rPr>
          <w:rFonts w:hint="eastAsia" w:ascii="宋体" w:hAnsi="宋体" w:eastAsia="宋体" w:cs="宋体"/>
          <w:b/>
          <w:color w:val="auto"/>
          <w:spacing w:val="6"/>
          <w:sz w:val="32"/>
          <w:szCs w:val="32"/>
          <w:highlight w:val="none"/>
        </w:rPr>
      </w:pPr>
    </w:p>
    <w:p w14:paraId="4D35A5CF">
      <w:pPr>
        <w:autoSpaceDE w:val="0"/>
        <w:autoSpaceDN w:val="0"/>
        <w:jc w:val="center"/>
        <w:rPr>
          <w:rFonts w:hint="eastAsia" w:ascii="宋体" w:hAnsi="宋体" w:eastAsia="宋体" w:cs="宋体"/>
          <w:b/>
          <w:color w:val="auto"/>
          <w:spacing w:val="6"/>
          <w:sz w:val="32"/>
          <w:szCs w:val="32"/>
          <w:highlight w:val="none"/>
        </w:rPr>
      </w:pPr>
    </w:p>
    <w:p w14:paraId="7F3553E9">
      <w:pPr>
        <w:autoSpaceDE w:val="0"/>
        <w:autoSpaceDN w:val="0"/>
        <w:jc w:val="center"/>
        <w:rPr>
          <w:rFonts w:hint="eastAsia" w:ascii="宋体" w:hAnsi="宋体" w:eastAsia="宋体" w:cs="宋体"/>
          <w:b/>
          <w:color w:val="auto"/>
          <w:spacing w:val="6"/>
          <w:sz w:val="32"/>
          <w:szCs w:val="32"/>
          <w:highlight w:val="none"/>
        </w:rPr>
      </w:pPr>
    </w:p>
    <w:p w14:paraId="2A969C51">
      <w:pPr>
        <w:autoSpaceDE w:val="0"/>
        <w:autoSpaceDN w:val="0"/>
        <w:jc w:val="center"/>
        <w:rPr>
          <w:rFonts w:hint="eastAsia" w:ascii="宋体" w:hAnsi="宋体" w:eastAsia="宋体" w:cs="宋体"/>
          <w:b/>
          <w:color w:val="auto"/>
          <w:spacing w:val="6"/>
          <w:sz w:val="32"/>
          <w:szCs w:val="32"/>
          <w:highlight w:val="none"/>
        </w:rPr>
      </w:pPr>
    </w:p>
    <w:p w14:paraId="2BC20A05">
      <w:pPr>
        <w:autoSpaceDE w:val="0"/>
        <w:autoSpaceDN w:val="0"/>
        <w:jc w:val="center"/>
        <w:rPr>
          <w:rFonts w:hint="eastAsia" w:ascii="宋体" w:hAnsi="宋体" w:eastAsia="宋体" w:cs="宋体"/>
          <w:b/>
          <w:color w:val="auto"/>
          <w:spacing w:val="6"/>
          <w:sz w:val="32"/>
          <w:szCs w:val="32"/>
          <w:highlight w:val="none"/>
        </w:rPr>
      </w:pPr>
    </w:p>
    <w:p w14:paraId="7BFA56D8">
      <w:pPr>
        <w:autoSpaceDE w:val="0"/>
        <w:autoSpaceDN w:val="0"/>
        <w:jc w:val="center"/>
        <w:rPr>
          <w:rFonts w:hint="eastAsia" w:ascii="宋体" w:hAnsi="宋体" w:eastAsia="宋体" w:cs="宋体"/>
          <w:b/>
          <w:color w:val="auto"/>
          <w:spacing w:val="6"/>
          <w:sz w:val="32"/>
          <w:szCs w:val="32"/>
          <w:highlight w:val="none"/>
        </w:rPr>
      </w:pPr>
    </w:p>
    <w:p w14:paraId="35A18766">
      <w:pPr>
        <w:autoSpaceDE w:val="0"/>
        <w:autoSpaceDN w:val="0"/>
        <w:jc w:val="center"/>
        <w:rPr>
          <w:rFonts w:hint="eastAsia" w:ascii="宋体" w:hAnsi="宋体" w:eastAsia="宋体" w:cs="宋体"/>
          <w:b/>
          <w:color w:val="auto"/>
          <w:spacing w:val="6"/>
          <w:sz w:val="32"/>
          <w:szCs w:val="32"/>
          <w:highlight w:val="none"/>
        </w:rPr>
      </w:pPr>
    </w:p>
    <w:p w14:paraId="3CFC269D">
      <w:pPr>
        <w:autoSpaceDE w:val="0"/>
        <w:autoSpaceDN w:val="0"/>
        <w:jc w:val="center"/>
        <w:rPr>
          <w:rFonts w:hint="eastAsia" w:ascii="宋体" w:hAnsi="宋体" w:eastAsia="宋体" w:cs="宋体"/>
          <w:b/>
          <w:color w:val="auto"/>
          <w:spacing w:val="6"/>
          <w:sz w:val="32"/>
          <w:szCs w:val="32"/>
          <w:highlight w:val="none"/>
        </w:rPr>
      </w:pPr>
    </w:p>
    <w:p w14:paraId="51362E6C">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69F937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851B2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46182C6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27A05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138537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A4591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9AD8E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B6A6D1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DBC8C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D21536E">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1" w:name="_Hlk101131882"/>
      <w:r>
        <w:rPr>
          <w:rFonts w:hint="eastAsia" w:ascii="宋体" w:hAnsi="宋体" w:eastAsia="宋体" w:cs="宋体"/>
          <w:color w:val="auto"/>
          <w:kern w:val="0"/>
          <w:sz w:val="24"/>
          <w:highlight w:val="none"/>
          <w:u w:val="single"/>
        </w:rPr>
        <w:t>联合体成员X,……</w:t>
      </w:r>
      <w:bookmarkEnd w:id="51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2" w:name="_Hlk101133598"/>
      <w:r>
        <w:rPr>
          <w:rFonts w:hint="eastAsia" w:ascii="宋体" w:hAnsi="宋体" w:eastAsia="宋体" w:cs="宋体"/>
          <w:b/>
          <w:color w:val="auto"/>
          <w:kern w:val="0"/>
          <w:sz w:val="24"/>
          <w:highlight w:val="none"/>
          <w:lang w:val="zh-CN"/>
        </w:rPr>
        <w:t>未预留份额专门面向中小企业采购</w:t>
      </w:r>
      <w:r>
        <w:rPr>
          <w:rFonts w:hint="default" w:ascii="宋体" w:hAnsi="宋体" w:cs="宋体"/>
          <w:b/>
          <w:color w:val="auto"/>
          <w:kern w:val="0"/>
          <w:sz w:val="24"/>
          <w:highlight w:val="none"/>
        </w:rPr>
        <w:t>的采购</w:t>
      </w:r>
      <w:r>
        <w:rPr>
          <w:rFonts w:hint="eastAsia" w:ascii="宋体" w:hAnsi="宋体" w:eastAsia="宋体" w:cs="宋体"/>
          <w:b/>
          <w:color w:val="auto"/>
          <w:kern w:val="0"/>
          <w:sz w:val="24"/>
          <w:highlight w:val="none"/>
          <w:lang w:val="zh-CN"/>
        </w:rPr>
        <w:t>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2"/>
      <w:r>
        <w:rPr>
          <w:rFonts w:hint="eastAsia" w:ascii="宋体" w:hAnsi="宋体" w:eastAsia="宋体" w:cs="宋体"/>
          <w:b/>
          <w:color w:val="auto"/>
          <w:kern w:val="0"/>
          <w:sz w:val="24"/>
          <w:highlight w:val="none"/>
          <w:lang w:val="zh-CN"/>
        </w:rPr>
        <w:t>）</w:t>
      </w:r>
    </w:p>
    <w:p w14:paraId="4BC3F53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3"/>
    </w:p>
    <w:p w14:paraId="55D3DA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4868B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7F9BB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DB70D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0B818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1544930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D518BB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63B8884">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9E48B3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D09080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1197451">
      <w:pPr>
        <w:autoSpaceDE w:val="0"/>
        <w:autoSpaceDN w:val="0"/>
        <w:jc w:val="center"/>
        <w:rPr>
          <w:rFonts w:hint="eastAsia" w:ascii="宋体" w:hAnsi="宋体" w:eastAsia="宋体" w:cs="宋体"/>
          <w:b/>
          <w:color w:val="auto"/>
          <w:spacing w:val="6"/>
          <w:sz w:val="32"/>
          <w:szCs w:val="32"/>
          <w:highlight w:val="none"/>
        </w:rPr>
      </w:pPr>
    </w:p>
    <w:p w14:paraId="7E52E1AC">
      <w:pPr>
        <w:autoSpaceDE w:val="0"/>
        <w:autoSpaceDN w:val="0"/>
        <w:jc w:val="center"/>
        <w:rPr>
          <w:rFonts w:hint="eastAsia" w:ascii="宋体" w:hAnsi="宋体" w:eastAsia="宋体" w:cs="宋体"/>
          <w:b/>
          <w:color w:val="auto"/>
          <w:spacing w:val="6"/>
          <w:sz w:val="32"/>
          <w:szCs w:val="32"/>
          <w:highlight w:val="none"/>
        </w:rPr>
      </w:pPr>
    </w:p>
    <w:p w14:paraId="35D4B146">
      <w:pPr>
        <w:autoSpaceDE w:val="0"/>
        <w:autoSpaceDN w:val="0"/>
        <w:jc w:val="center"/>
        <w:rPr>
          <w:rFonts w:hint="eastAsia" w:ascii="宋体" w:hAnsi="宋体" w:eastAsia="宋体" w:cs="宋体"/>
          <w:b/>
          <w:color w:val="auto"/>
          <w:spacing w:val="6"/>
          <w:sz w:val="32"/>
          <w:szCs w:val="32"/>
          <w:highlight w:val="none"/>
        </w:rPr>
      </w:pPr>
    </w:p>
    <w:p w14:paraId="66C9D385">
      <w:pPr>
        <w:autoSpaceDE w:val="0"/>
        <w:autoSpaceDN w:val="0"/>
        <w:jc w:val="center"/>
        <w:rPr>
          <w:rFonts w:hint="eastAsia" w:ascii="宋体" w:hAnsi="宋体" w:eastAsia="宋体" w:cs="宋体"/>
          <w:b/>
          <w:color w:val="auto"/>
          <w:spacing w:val="6"/>
          <w:sz w:val="32"/>
          <w:szCs w:val="32"/>
          <w:highlight w:val="none"/>
        </w:rPr>
      </w:pPr>
    </w:p>
    <w:p w14:paraId="47060530">
      <w:pPr>
        <w:autoSpaceDE w:val="0"/>
        <w:autoSpaceDN w:val="0"/>
        <w:jc w:val="center"/>
        <w:rPr>
          <w:rFonts w:hint="eastAsia" w:ascii="宋体" w:hAnsi="宋体" w:eastAsia="宋体" w:cs="宋体"/>
          <w:b/>
          <w:color w:val="auto"/>
          <w:spacing w:val="6"/>
          <w:sz w:val="32"/>
          <w:szCs w:val="32"/>
          <w:highlight w:val="none"/>
        </w:rPr>
      </w:pPr>
    </w:p>
    <w:p w14:paraId="67FE7DE4">
      <w:pPr>
        <w:autoSpaceDE w:val="0"/>
        <w:autoSpaceDN w:val="0"/>
        <w:jc w:val="center"/>
        <w:rPr>
          <w:rFonts w:hint="eastAsia" w:ascii="宋体" w:hAnsi="宋体" w:eastAsia="宋体" w:cs="宋体"/>
          <w:b/>
          <w:color w:val="auto"/>
          <w:spacing w:val="6"/>
          <w:sz w:val="32"/>
          <w:szCs w:val="32"/>
          <w:highlight w:val="none"/>
        </w:rPr>
      </w:pPr>
    </w:p>
    <w:p w14:paraId="044DD2C2">
      <w:pPr>
        <w:autoSpaceDE w:val="0"/>
        <w:autoSpaceDN w:val="0"/>
        <w:jc w:val="center"/>
        <w:rPr>
          <w:rFonts w:hint="eastAsia" w:ascii="宋体" w:hAnsi="宋体" w:eastAsia="宋体" w:cs="宋体"/>
          <w:b/>
          <w:color w:val="auto"/>
          <w:spacing w:val="6"/>
          <w:sz w:val="32"/>
          <w:szCs w:val="32"/>
          <w:highlight w:val="none"/>
        </w:rPr>
      </w:pPr>
    </w:p>
    <w:p w14:paraId="4F6152A1">
      <w:pPr>
        <w:autoSpaceDE w:val="0"/>
        <w:autoSpaceDN w:val="0"/>
        <w:jc w:val="center"/>
        <w:rPr>
          <w:rFonts w:hint="eastAsia" w:ascii="宋体" w:hAnsi="宋体" w:eastAsia="宋体" w:cs="宋体"/>
          <w:b/>
          <w:color w:val="auto"/>
          <w:spacing w:val="6"/>
          <w:sz w:val="32"/>
          <w:szCs w:val="32"/>
          <w:highlight w:val="none"/>
        </w:rPr>
      </w:pPr>
    </w:p>
    <w:p w14:paraId="21CE155C">
      <w:pPr>
        <w:autoSpaceDE w:val="0"/>
        <w:autoSpaceDN w:val="0"/>
        <w:jc w:val="center"/>
        <w:rPr>
          <w:rFonts w:hint="eastAsia" w:ascii="宋体" w:hAnsi="宋体" w:eastAsia="宋体" w:cs="宋体"/>
          <w:b/>
          <w:color w:val="auto"/>
          <w:spacing w:val="6"/>
          <w:sz w:val="32"/>
          <w:szCs w:val="32"/>
          <w:highlight w:val="none"/>
        </w:rPr>
      </w:pPr>
    </w:p>
    <w:p w14:paraId="506AA028">
      <w:pPr>
        <w:autoSpaceDE w:val="0"/>
        <w:autoSpaceDN w:val="0"/>
        <w:jc w:val="center"/>
        <w:rPr>
          <w:rFonts w:hint="eastAsia" w:ascii="宋体" w:hAnsi="宋体" w:eastAsia="宋体" w:cs="宋体"/>
          <w:b/>
          <w:color w:val="auto"/>
          <w:spacing w:val="6"/>
          <w:sz w:val="32"/>
          <w:szCs w:val="32"/>
          <w:highlight w:val="none"/>
        </w:rPr>
      </w:pPr>
    </w:p>
    <w:p w14:paraId="3F1DFCCF">
      <w:pPr>
        <w:autoSpaceDE w:val="0"/>
        <w:autoSpaceDN w:val="0"/>
        <w:jc w:val="center"/>
        <w:rPr>
          <w:rFonts w:hint="eastAsia" w:ascii="宋体" w:hAnsi="宋体" w:eastAsia="宋体" w:cs="宋体"/>
          <w:b/>
          <w:color w:val="auto"/>
          <w:spacing w:val="6"/>
          <w:sz w:val="32"/>
          <w:szCs w:val="32"/>
          <w:highlight w:val="none"/>
        </w:rPr>
      </w:pPr>
    </w:p>
    <w:p w14:paraId="0CBE6F93">
      <w:pPr>
        <w:autoSpaceDE w:val="0"/>
        <w:autoSpaceDN w:val="0"/>
        <w:jc w:val="center"/>
        <w:rPr>
          <w:rFonts w:hint="eastAsia" w:ascii="宋体" w:hAnsi="宋体" w:eastAsia="宋体" w:cs="宋体"/>
          <w:b/>
          <w:color w:val="auto"/>
          <w:spacing w:val="6"/>
          <w:sz w:val="32"/>
          <w:szCs w:val="32"/>
          <w:highlight w:val="none"/>
        </w:rPr>
      </w:pPr>
    </w:p>
    <w:p w14:paraId="7A084FCA">
      <w:pPr>
        <w:autoSpaceDE w:val="0"/>
        <w:autoSpaceDN w:val="0"/>
        <w:jc w:val="center"/>
        <w:rPr>
          <w:rFonts w:hint="eastAsia" w:ascii="宋体" w:hAnsi="宋体" w:eastAsia="宋体" w:cs="宋体"/>
          <w:b/>
          <w:color w:val="auto"/>
          <w:spacing w:val="6"/>
          <w:sz w:val="32"/>
          <w:szCs w:val="32"/>
          <w:highlight w:val="none"/>
        </w:rPr>
      </w:pPr>
    </w:p>
    <w:p w14:paraId="1D6ADEF9">
      <w:pPr>
        <w:autoSpaceDE w:val="0"/>
        <w:autoSpaceDN w:val="0"/>
        <w:jc w:val="center"/>
        <w:rPr>
          <w:rFonts w:hint="eastAsia" w:ascii="宋体" w:hAnsi="宋体" w:eastAsia="宋体" w:cs="宋体"/>
          <w:b/>
          <w:color w:val="auto"/>
          <w:spacing w:val="6"/>
          <w:sz w:val="32"/>
          <w:szCs w:val="32"/>
          <w:highlight w:val="none"/>
        </w:rPr>
      </w:pPr>
    </w:p>
    <w:p w14:paraId="2715C075">
      <w:pPr>
        <w:autoSpaceDE w:val="0"/>
        <w:autoSpaceDN w:val="0"/>
        <w:jc w:val="center"/>
        <w:rPr>
          <w:rFonts w:hint="eastAsia" w:ascii="宋体" w:hAnsi="宋体" w:eastAsia="宋体" w:cs="宋体"/>
          <w:b/>
          <w:color w:val="auto"/>
          <w:spacing w:val="6"/>
          <w:sz w:val="32"/>
          <w:szCs w:val="32"/>
          <w:highlight w:val="none"/>
        </w:rPr>
      </w:pPr>
    </w:p>
    <w:p w14:paraId="17D43202">
      <w:pPr>
        <w:autoSpaceDE w:val="0"/>
        <w:autoSpaceDN w:val="0"/>
        <w:jc w:val="center"/>
        <w:rPr>
          <w:rFonts w:hint="eastAsia" w:ascii="宋体" w:hAnsi="宋体" w:eastAsia="宋体" w:cs="宋体"/>
          <w:b/>
          <w:color w:val="auto"/>
          <w:spacing w:val="6"/>
          <w:sz w:val="32"/>
          <w:szCs w:val="32"/>
          <w:highlight w:val="none"/>
        </w:rPr>
      </w:pPr>
    </w:p>
    <w:p w14:paraId="7681BC2B">
      <w:pPr>
        <w:autoSpaceDE w:val="0"/>
        <w:autoSpaceDN w:val="0"/>
        <w:jc w:val="center"/>
        <w:rPr>
          <w:rFonts w:hint="eastAsia" w:ascii="宋体" w:hAnsi="宋体" w:eastAsia="宋体" w:cs="宋体"/>
          <w:b/>
          <w:color w:val="auto"/>
          <w:spacing w:val="6"/>
          <w:sz w:val="32"/>
          <w:szCs w:val="32"/>
          <w:highlight w:val="none"/>
        </w:rPr>
      </w:pPr>
    </w:p>
    <w:p w14:paraId="05DBCAB8">
      <w:pPr>
        <w:autoSpaceDE w:val="0"/>
        <w:autoSpaceDN w:val="0"/>
        <w:jc w:val="center"/>
        <w:rPr>
          <w:rFonts w:hint="eastAsia" w:ascii="宋体" w:hAnsi="宋体" w:eastAsia="宋体" w:cs="宋体"/>
          <w:b/>
          <w:color w:val="auto"/>
          <w:spacing w:val="6"/>
          <w:sz w:val="32"/>
          <w:szCs w:val="32"/>
          <w:highlight w:val="none"/>
        </w:rPr>
      </w:pPr>
    </w:p>
    <w:p w14:paraId="73AF6F12">
      <w:pPr>
        <w:autoSpaceDE w:val="0"/>
        <w:autoSpaceDN w:val="0"/>
        <w:jc w:val="center"/>
        <w:rPr>
          <w:rFonts w:hint="eastAsia" w:ascii="宋体" w:hAnsi="宋体" w:eastAsia="宋体" w:cs="宋体"/>
          <w:b/>
          <w:color w:val="auto"/>
          <w:spacing w:val="6"/>
          <w:sz w:val="32"/>
          <w:szCs w:val="32"/>
          <w:highlight w:val="none"/>
        </w:rPr>
      </w:pPr>
    </w:p>
    <w:p w14:paraId="43657683">
      <w:pPr>
        <w:autoSpaceDE w:val="0"/>
        <w:autoSpaceDN w:val="0"/>
        <w:jc w:val="center"/>
        <w:rPr>
          <w:rFonts w:hint="eastAsia" w:ascii="宋体" w:hAnsi="宋体" w:eastAsia="宋体" w:cs="宋体"/>
          <w:b/>
          <w:color w:val="auto"/>
          <w:spacing w:val="6"/>
          <w:sz w:val="32"/>
          <w:szCs w:val="32"/>
          <w:highlight w:val="none"/>
        </w:rPr>
      </w:pPr>
    </w:p>
    <w:p w14:paraId="3D3476AE">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93BCC5C">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2E63737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DC859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607BFC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C707C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05209CD">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485687B">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21ECDB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8177B5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7245A8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035869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2422B71">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29E80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B23060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B0392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3526B2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C0C8B4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37F2B0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9968C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40F196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F2115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5273CA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738D793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D67E09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813E959">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4EE337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FE4FE7C">
      <w:pPr>
        <w:autoSpaceDE w:val="0"/>
        <w:autoSpaceDN w:val="0"/>
        <w:jc w:val="center"/>
        <w:rPr>
          <w:rFonts w:hint="eastAsia" w:ascii="宋体" w:hAnsi="宋体" w:eastAsia="宋体" w:cs="宋体"/>
          <w:b/>
          <w:color w:val="auto"/>
          <w:spacing w:val="6"/>
          <w:sz w:val="32"/>
          <w:szCs w:val="32"/>
          <w:highlight w:val="none"/>
        </w:rPr>
      </w:pPr>
    </w:p>
    <w:p w14:paraId="32FCB39B">
      <w:pPr>
        <w:autoSpaceDE w:val="0"/>
        <w:autoSpaceDN w:val="0"/>
        <w:jc w:val="center"/>
        <w:rPr>
          <w:rFonts w:hint="eastAsia" w:ascii="宋体" w:hAnsi="宋体" w:eastAsia="宋体" w:cs="宋体"/>
          <w:b/>
          <w:color w:val="auto"/>
          <w:spacing w:val="6"/>
          <w:sz w:val="32"/>
          <w:szCs w:val="32"/>
          <w:highlight w:val="none"/>
        </w:rPr>
      </w:pPr>
    </w:p>
    <w:p w14:paraId="65FEB3D3">
      <w:pPr>
        <w:autoSpaceDE w:val="0"/>
        <w:autoSpaceDN w:val="0"/>
        <w:jc w:val="center"/>
        <w:rPr>
          <w:rFonts w:hint="eastAsia" w:ascii="宋体" w:hAnsi="宋体" w:eastAsia="宋体" w:cs="宋体"/>
          <w:b/>
          <w:color w:val="auto"/>
          <w:spacing w:val="6"/>
          <w:sz w:val="32"/>
          <w:szCs w:val="32"/>
          <w:highlight w:val="none"/>
        </w:rPr>
      </w:pPr>
    </w:p>
    <w:p w14:paraId="0CE4A381">
      <w:pPr>
        <w:autoSpaceDE w:val="0"/>
        <w:autoSpaceDN w:val="0"/>
        <w:jc w:val="center"/>
        <w:rPr>
          <w:rFonts w:hint="eastAsia" w:ascii="宋体" w:hAnsi="宋体" w:eastAsia="宋体" w:cs="宋体"/>
          <w:b/>
          <w:color w:val="auto"/>
          <w:spacing w:val="6"/>
          <w:sz w:val="32"/>
          <w:szCs w:val="32"/>
          <w:highlight w:val="none"/>
        </w:rPr>
      </w:pPr>
    </w:p>
    <w:p w14:paraId="4EB84C9D">
      <w:pPr>
        <w:autoSpaceDE w:val="0"/>
        <w:autoSpaceDN w:val="0"/>
        <w:jc w:val="center"/>
        <w:rPr>
          <w:rFonts w:hint="eastAsia" w:ascii="宋体" w:hAnsi="宋体" w:eastAsia="宋体" w:cs="宋体"/>
          <w:b/>
          <w:color w:val="auto"/>
          <w:spacing w:val="6"/>
          <w:sz w:val="32"/>
          <w:szCs w:val="32"/>
          <w:highlight w:val="none"/>
        </w:rPr>
      </w:pPr>
    </w:p>
    <w:p w14:paraId="358EA327">
      <w:pPr>
        <w:autoSpaceDE w:val="0"/>
        <w:autoSpaceDN w:val="0"/>
        <w:jc w:val="center"/>
        <w:rPr>
          <w:rFonts w:hint="eastAsia" w:ascii="宋体" w:hAnsi="宋体" w:eastAsia="宋体" w:cs="宋体"/>
          <w:b/>
          <w:color w:val="auto"/>
          <w:spacing w:val="6"/>
          <w:sz w:val="32"/>
          <w:szCs w:val="32"/>
          <w:highlight w:val="none"/>
        </w:rPr>
      </w:pPr>
    </w:p>
    <w:p w14:paraId="7532B8B7">
      <w:pPr>
        <w:autoSpaceDE w:val="0"/>
        <w:autoSpaceDN w:val="0"/>
        <w:jc w:val="center"/>
        <w:rPr>
          <w:rFonts w:hint="eastAsia" w:ascii="宋体" w:hAnsi="宋体" w:eastAsia="宋体" w:cs="宋体"/>
          <w:b/>
          <w:color w:val="auto"/>
          <w:spacing w:val="6"/>
          <w:sz w:val="32"/>
          <w:szCs w:val="32"/>
          <w:highlight w:val="none"/>
        </w:rPr>
      </w:pPr>
    </w:p>
    <w:p w14:paraId="48C86FB6">
      <w:pPr>
        <w:autoSpaceDE w:val="0"/>
        <w:autoSpaceDN w:val="0"/>
        <w:jc w:val="center"/>
        <w:rPr>
          <w:rFonts w:hint="eastAsia" w:ascii="宋体" w:hAnsi="宋体" w:eastAsia="宋体" w:cs="宋体"/>
          <w:b/>
          <w:color w:val="auto"/>
          <w:spacing w:val="6"/>
          <w:sz w:val="32"/>
          <w:szCs w:val="32"/>
          <w:highlight w:val="none"/>
        </w:rPr>
      </w:pPr>
    </w:p>
    <w:p w14:paraId="3F777886">
      <w:pPr>
        <w:autoSpaceDE w:val="0"/>
        <w:autoSpaceDN w:val="0"/>
        <w:jc w:val="center"/>
        <w:rPr>
          <w:rFonts w:hint="eastAsia" w:ascii="宋体" w:hAnsi="宋体" w:eastAsia="宋体" w:cs="宋体"/>
          <w:b/>
          <w:color w:val="auto"/>
          <w:spacing w:val="6"/>
          <w:sz w:val="32"/>
          <w:szCs w:val="32"/>
          <w:highlight w:val="none"/>
        </w:rPr>
      </w:pPr>
    </w:p>
    <w:p w14:paraId="301EB9D1">
      <w:pPr>
        <w:autoSpaceDE w:val="0"/>
        <w:autoSpaceDN w:val="0"/>
        <w:jc w:val="center"/>
        <w:rPr>
          <w:rFonts w:hint="eastAsia" w:ascii="宋体" w:hAnsi="宋体" w:eastAsia="宋体" w:cs="宋体"/>
          <w:b/>
          <w:color w:val="auto"/>
          <w:spacing w:val="6"/>
          <w:sz w:val="32"/>
          <w:szCs w:val="32"/>
          <w:highlight w:val="none"/>
        </w:rPr>
      </w:pPr>
    </w:p>
    <w:p w14:paraId="61E56E74">
      <w:pPr>
        <w:autoSpaceDE w:val="0"/>
        <w:autoSpaceDN w:val="0"/>
        <w:jc w:val="center"/>
        <w:rPr>
          <w:rFonts w:hint="eastAsia" w:ascii="宋体" w:hAnsi="宋体" w:eastAsia="宋体" w:cs="宋体"/>
          <w:b/>
          <w:color w:val="auto"/>
          <w:spacing w:val="6"/>
          <w:sz w:val="32"/>
          <w:szCs w:val="32"/>
          <w:highlight w:val="none"/>
        </w:rPr>
      </w:pPr>
    </w:p>
    <w:p w14:paraId="5101D719">
      <w:pPr>
        <w:autoSpaceDE w:val="0"/>
        <w:autoSpaceDN w:val="0"/>
        <w:jc w:val="center"/>
        <w:rPr>
          <w:rFonts w:hint="eastAsia" w:ascii="宋体" w:hAnsi="宋体" w:eastAsia="宋体" w:cs="宋体"/>
          <w:b/>
          <w:color w:val="auto"/>
          <w:spacing w:val="6"/>
          <w:sz w:val="32"/>
          <w:szCs w:val="32"/>
          <w:highlight w:val="none"/>
        </w:rPr>
      </w:pPr>
    </w:p>
    <w:p w14:paraId="76795842">
      <w:pPr>
        <w:autoSpaceDE w:val="0"/>
        <w:autoSpaceDN w:val="0"/>
        <w:jc w:val="center"/>
        <w:rPr>
          <w:rFonts w:hint="eastAsia" w:ascii="宋体" w:hAnsi="宋体" w:eastAsia="宋体" w:cs="宋体"/>
          <w:b/>
          <w:color w:val="auto"/>
          <w:spacing w:val="6"/>
          <w:sz w:val="32"/>
          <w:szCs w:val="32"/>
          <w:highlight w:val="none"/>
        </w:rPr>
      </w:pPr>
    </w:p>
    <w:p w14:paraId="33807FFB">
      <w:pPr>
        <w:autoSpaceDE w:val="0"/>
        <w:autoSpaceDN w:val="0"/>
        <w:jc w:val="center"/>
        <w:rPr>
          <w:rFonts w:hint="eastAsia" w:ascii="宋体" w:hAnsi="宋体" w:eastAsia="宋体" w:cs="宋体"/>
          <w:b/>
          <w:color w:val="auto"/>
          <w:spacing w:val="6"/>
          <w:sz w:val="32"/>
          <w:szCs w:val="32"/>
          <w:highlight w:val="none"/>
        </w:rPr>
      </w:pPr>
    </w:p>
    <w:p w14:paraId="0C314286">
      <w:pPr>
        <w:autoSpaceDE w:val="0"/>
        <w:autoSpaceDN w:val="0"/>
        <w:jc w:val="center"/>
        <w:rPr>
          <w:rFonts w:hint="eastAsia" w:ascii="宋体" w:hAnsi="宋体" w:eastAsia="宋体" w:cs="宋体"/>
          <w:b/>
          <w:color w:val="auto"/>
          <w:spacing w:val="6"/>
          <w:sz w:val="32"/>
          <w:szCs w:val="32"/>
          <w:highlight w:val="none"/>
        </w:rPr>
      </w:pPr>
    </w:p>
    <w:p w14:paraId="3C7E0A37">
      <w:pPr>
        <w:autoSpaceDE w:val="0"/>
        <w:autoSpaceDN w:val="0"/>
        <w:jc w:val="center"/>
        <w:rPr>
          <w:rFonts w:hint="eastAsia" w:ascii="宋体" w:hAnsi="宋体" w:eastAsia="宋体" w:cs="宋体"/>
          <w:b/>
          <w:color w:val="auto"/>
          <w:spacing w:val="6"/>
          <w:sz w:val="32"/>
          <w:szCs w:val="32"/>
          <w:highlight w:val="none"/>
        </w:rPr>
      </w:pPr>
    </w:p>
    <w:p w14:paraId="5484D7F0">
      <w:pPr>
        <w:autoSpaceDE w:val="0"/>
        <w:autoSpaceDN w:val="0"/>
        <w:jc w:val="center"/>
        <w:rPr>
          <w:rFonts w:hint="eastAsia" w:ascii="宋体" w:hAnsi="宋体" w:eastAsia="宋体" w:cs="宋体"/>
          <w:b/>
          <w:color w:val="auto"/>
          <w:spacing w:val="6"/>
          <w:sz w:val="32"/>
          <w:szCs w:val="32"/>
          <w:highlight w:val="none"/>
        </w:rPr>
      </w:pPr>
    </w:p>
    <w:p w14:paraId="0B5B8D4B">
      <w:pPr>
        <w:autoSpaceDE w:val="0"/>
        <w:autoSpaceDN w:val="0"/>
        <w:jc w:val="center"/>
        <w:rPr>
          <w:rFonts w:hint="eastAsia" w:ascii="宋体" w:hAnsi="宋体" w:eastAsia="宋体" w:cs="宋体"/>
          <w:b/>
          <w:color w:val="auto"/>
          <w:spacing w:val="6"/>
          <w:sz w:val="32"/>
          <w:szCs w:val="32"/>
          <w:highlight w:val="none"/>
        </w:rPr>
      </w:pPr>
    </w:p>
    <w:p w14:paraId="74B6A387">
      <w:pPr>
        <w:autoSpaceDE w:val="0"/>
        <w:autoSpaceDN w:val="0"/>
        <w:jc w:val="center"/>
        <w:rPr>
          <w:rFonts w:hint="eastAsia" w:ascii="宋体" w:hAnsi="宋体" w:eastAsia="宋体" w:cs="宋体"/>
          <w:b/>
          <w:color w:val="auto"/>
          <w:spacing w:val="6"/>
          <w:sz w:val="32"/>
          <w:szCs w:val="32"/>
          <w:highlight w:val="none"/>
        </w:rPr>
      </w:pPr>
    </w:p>
    <w:p w14:paraId="3EDAA10D">
      <w:pPr>
        <w:autoSpaceDE w:val="0"/>
        <w:autoSpaceDN w:val="0"/>
        <w:jc w:val="center"/>
        <w:rPr>
          <w:rFonts w:hint="eastAsia" w:ascii="宋体" w:hAnsi="宋体" w:eastAsia="宋体" w:cs="宋体"/>
          <w:b/>
          <w:color w:val="auto"/>
          <w:spacing w:val="6"/>
          <w:sz w:val="32"/>
          <w:szCs w:val="32"/>
          <w:highlight w:val="none"/>
        </w:rPr>
      </w:pPr>
    </w:p>
    <w:p w14:paraId="513F6217">
      <w:pPr>
        <w:autoSpaceDE w:val="0"/>
        <w:autoSpaceDN w:val="0"/>
        <w:jc w:val="center"/>
        <w:rPr>
          <w:rFonts w:hint="eastAsia" w:ascii="宋体" w:hAnsi="宋体" w:eastAsia="宋体" w:cs="宋体"/>
          <w:b/>
          <w:color w:val="auto"/>
          <w:spacing w:val="6"/>
          <w:sz w:val="32"/>
          <w:szCs w:val="32"/>
          <w:highlight w:val="none"/>
        </w:rPr>
      </w:pPr>
    </w:p>
    <w:p w14:paraId="04444DB9">
      <w:pPr>
        <w:autoSpaceDE w:val="0"/>
        <w:autoSpaceDN w:val="0"/>
        <w:jc w:val="center"/>
        <w:rPr>
          <w:rFonts w:hint="eastAsia" w:ascii="宋体" w:hAnsi="宋体" w:eastAsia="宋体" w:cs="宋体"/>
          <w:b/>
          <w:color w:val="auto"/>
          <w:spacing w:val="6"/>
          <w:sz w:val="32"/>
          <w:szCs w:val="32"/>
          <w:highlight w:val="none"/>
        </w:rPr>
      </w:pPr>
    </w:p>
    <w:p w14:paraId="7E76C9C3">
      <w:pPr>
        <w:autoSpaceDE w:val="0"/>
        <w:autoSpaceDN w:val="0"/>
        <w:jc w:val="center"/>
        <w:rPr>
          <w:rFonts w:hint="eastAsia" w:ascii="宋体" w:hAnsi="宋体" w:eastAsia="宋体" w:cs="宋体"/>
          <w:b/>
          <w:color w:val="auto"/>
          <w:spacing w:val="6"/>
          <w:sz w:val="32"/>
          <w:szCs w:val="32"/>
          <w:highlight w:val="none"/>
        </w:rPr>
      </w:pPr>
    </w:p>
    <w:p w14:paraId="33E26C8D">
      <w:pPr>
        <w:autoSpaceDE w:val="0"/>
        <w:autoSpaceDN w:val="0"/>
        <w:jc w:val="center"/>
        <w:rPr>
          <w:rFonts w:hint="eastAsia" w:ascii="宋体" w:hAnsi="宋体" w:eastAsia="宋体" w:cs="宋体"/>
          <w:b/>
          <w:color w:val="auto"/>
          <w:spacing w:val="6"/>
          <w:sz w:val="32"/>
          <w:szCs w:val="32"/>
          <w:highlight w:val="none"/>
        </w:rPr>
      </w:pPr>
    </w:p>
    <w:p w14:paraId="7CAA950B">
      <w:pPr>
        <w:autoSpaceDE w:val="0"/>
        <w:autoSpaceDN w:val="0"/>
        <w:jc w:val="center"/>
        <w:rPr>
          <w:rFonts w:hint="eastAsia" w:ascii="宋体" w:hAnsi="宋体" w:eastAsia="宋体" w:cs="宋体"/>
          <w:b/>
          <w:color w:val="auto"/>
          <w:spacing w:val="6"/>
          <w:sz w:val="32"/>
          <w:szCs w:val="32"/>
          <w:highlight w:val="none"/>
        </w:rPr>
      </w:pPr>
    </w:p>
    <w:p w14:paraId="3388E1BF">
      <w:pPr>
        <w:autoSpaceDE w:val="0"/>
        <w:autoSpaceDN w:val="0"/>
        <w:jc w:val="center"/>
        <w:rPr>
          <w:rFonts w:hint="eastAsia" w:ascii="宋体" w:hAnsi="宋体" w:eastAsia="宋体" w:cs="宋体"/>
          <w:b/>
          <w:color w:val="auto"/>
          <w:spacing w:val="6"/>
          <w:sz w:val="32"/>
          <w:szCs w:val="32"/>
          <w:highlight w:val="none"/>
        </w:rPr>
      </w:pPr>
    </w:p>
    <w:p w14:paraId="658B6C13">
      <w:pPr>
        <w:autoSpaceDE w:val="0"/>
        <w:autoSpaceDN w:val="0"/>
        <w:jc w:val="center"/>
        <w:rPr>
          <w:rFonts w:hint="eastAsia" w:ascii="宋体" w:hAnsi="宋体" w:eastAsia="宋体" w:cs="宋体"/>
          <w:b/>
          <w:color w:val="auto"/>
          <w:spacing w:val="6"/>
          <w:sz w:val="32"/>
          <w:szCs w:val="32"/>
          <w:highlight w:val="none"/>
        </w:rPr>
      </w:pPr>
    </w:p>
    <w:p w14:paraId="0455716C">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w:t>
      </w:r>
      <w:r>
        <w:rPr>
          <w:rFonts w:hint="eastAsia" w:ascii="宋体" w:hAnsi="宋体" w:cs="宋体"/>
          <w:b/>
          <w:color w:val="auto"/>
          <w:sz w:val="36"/>
          <w:szCs w:val="20"/>
          <w:highlight w:val="none"/>
          <w:lang w:val="en-US" w:eastAsia="zh-CN"/>
        </w:rPr>
        <w:t>中小</w:t>
      </w:r>
      <w:r>
        <w:rPr>
          <w:rFonts w:hint="eastAsia" w:ascii="宋体" w:hAnsi="宋体" w:eastAsia="宋体" w:cs="宋体"/>
          <w:b/>
          <w:color w:val="auto"/>
          <w:sz w:val="36"/>
          <w:szCs w:val="20"/>
          <w:highlight w:val="none"/>
        </w:rPr>
        <w:t>企业声明函</w:t>
      </w:r>
    </w:p>
    <w:p w14:paraId="57F760F8">
      <w:pPr>
        <w:spacing w:line="360" w:lineRule="auto"/>
        <w:jc w:val="center"/>
        <w:rPr>
          <w:rFonts w:hint="eastAsia" w:ascii="宋体" w:hAnsi="宋体" w:eastAsia="宋体" w:cs="宋体"/>
          <w:color w:val="auto"/>
          <w:sz w:val="24"/>
          <w:highlight w:val="none"/>
          <w:u w:val="single"/>
        </w:rPr>
      </w:pPr>
    </w:p>
    <w:p w14:paraId="36F756E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BD8BA6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515A4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6A6979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FC7269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A47B0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3EFAC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9DE4CA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23E6DC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58EB34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BC6D924">
      <w:pPr>
        <w:rPr>
          <w:rFonts w:hint="eastAsia" w:ascii="宋体" w:hAnsi="宋体" w:eastAsia="宋体" w:cs="宋体"/>
          <w:highlight w:val="none"/>
        </w:rPr>
      </w:pPr>
    </w:p>
    <w:p w14:paraId="2EFA0C4A">
      <w:pPr>
        <w:spacing w:line="360" w:lineRule="auto"/>
        <w:rPr>
          <w:rFonts w:hint="eastAsia" w:ascii="宋体" w:hAnsi="宋体" w:eastAsia="宋体" w:cs="宋体"/>
          <w:bCs/>
          <w:sz w:val="24"/>
          <w:highlight w:val="none"/>
        </w:rPr>
      </w:pPr>
    </w:p>
    <w:p w14:paraId="2EF7F031">
      <w:pPr>
        <w:rPr>
          <w:rFonts w:hint="eastAsia" w:ascii="宋体" w:hAnsi="宋体" w:eastAsia="宋体" w:cs="宋体"/>
          <w:highlight w:val="none"/>
        </w:rPr>
      </w:pPr>
    </w:p>
    <w:p w14:paraId="6E839C5F">
      <w:pPr>
        <w:rPr>
          <w:rFonts w:hint="eastAsia" w:ascii="宋体" w:hAnsi="宋体" w:eastAsia="宋体" w:cs="宋体"/>
          <w:highlight w:val="none"/>
        </w:rPr>
      </w:pPr>
    </w:p>
    <w:p w14:paraId="79945E19">
      <w:pPr>
        <w:rPr>
          <w:highlight w:val="none"/>
        </w:rPr>
      </w:pPr>
    </w:p>
    <w:p w14:paraId="2B3FF0EA"/>
    <w:p w14:paraId="33D55600"/>
    <w:sectPr>
      <w:headerReference r:id="rId30" w:type="first"/>
      <w:footerReference r:id="rId32" w:type="first"/>
      <w:headerReference r:id="rId29" w:type="default"/>
      <w:footerReference r:id="rId31"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隶书">
    <w:altName w:val="微软雅黑"/>
    <w:panose1 w:val="020105090600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001010101"/>
    <w:charset w:val="86"/>
    <w:family w:val="auto"/>
    <w:pitch w:val="default"/>
    <w:sig w:usb0="00000000" w:usb1="0000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005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001010101"/>
    <w:charset w:val="86"/>
    <w:family w:val="auto"/>
    <w:pitch w:val="default"/>
    <w:sig w:usb0="00000000" w:usb1="00000000" w:usb2="00000000" w:usb3="00000000" w:csb0="00040000" w:csb1="00000000"/>
  </w:font>
  <w:font w:name="Arial Narrow">
    <w:altName w:val="Arial"/>
    <w:panose1 w:val="020B06060200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002020204"/>
    <w:charset w:val="86"/>
    <w:family w:val="auto"/>
    <w:pitch w:val="default"/>
    <w:sig w:usb0="00000000" w:usb1="00000000" w:usb2="0000003F" w:usb3="00000000" w:csb0="603F01FF" w:csb1="FFFF0000"/>
  </w:font>
  <w:font w:name="Helvetica">
    <w:altName w:val="Arial"/>
    <w:panose1 w:val="020B06040200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0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0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4750">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FF303E">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1W6i3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1W6i3EAQAAjwMAAA4AAAAAAAAAAQAgAAAAHwEAAGRycy9lMm9Eb2MueG1s&#10;UEsFBgAAAAAGAAYAWQEAAFUFAAAAAA==&#10;">
              <v:fill on="f" focussize="0,0"/>
              <v:stroke on="f"/>
              <v:imagedata o:title=""/>
              <o:lock v:ext="edit" aspectratio="f"/>
              <v:textbox inset="0mm,0mm,0mm,0mm" style="mso-fit-shape-to-text:t;">
                <w:txbxContent>
                  <w:p w14:paraId="21FF303E">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9288">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46925C">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e9Z6PFAQAAkQ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AmlJw5YenGL9+/XX78uvz8&#10;ysqbZFAfsKK+p/AIU4YUJrVDCza9SQcbsqnnq6lqiExSsVyv1usl+S3pbE4Ip3j+PADGB+UtS0HN&#10;gW4tmylOHzCOrXNLmub8vTaG6qIy7q8CYaZKkRiPHFMUh/0wEd/75kx6e7rwmjvab87Me0d+pt2Y&#10;A5iD/RwcA+hDR9TKzAvD3TESicwtTRhhp8F0U1ndtFVpFf7Mc9fzn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HvWejxQEAAJEDAAAOAAAAAAAAAAEAIAAAAB8BAABkcnMvZTJvRG9jLnht&#10;bFBLBQYAAAAABgAGAFkBAABWBQAAAAA=&#10;">
              <v:fill on="f" focussize="0,0"/>
              <v:stroke on="f"/>
              <v:imagedata o:title=""/>
              <o:lock v:ext="edit" aspectratio="f"/>
              <v:textbox inset="0mm,0mm,0mm,0mm" style="mso-fit-shape-to-text:t;">
                <w:txbxContent>
                  <w:p w14:paraId="1146925C">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29FB6A0">
                          <w:pPr>
                            <w:pStyle w:val="42"/>
                          </w:pPr>
                        </w:p>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ujgcXFAQAAkQ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7QJK86csHTjlx/fLz9/X359&#10;Y29vkkF9wIr6HsI9TBlSmNQOLdj0Jh1syKaer6aqITJJxeV6tV6X5LekszkhnOLx8wAY3ytvWQpq&#10;DnRr2Uxx+ohxbJ1b0jTn77QxVBeVcX8VCDNVisR45JiiOOyHifjeN2fS29OF19zRfnNmPjjyM+3G&#10;HMAc7OfgGEAfOqK2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bo4HFxQEAAJEDAAAOAAAAAAAAAAEAIAAAAB8BAABkcnMvZTJvRG9jLnht&#10;bFBLBQYAAAAABgAGAFkBAABWBQAAAAA=&#10;">
              <v:fill on="f" focussize="0,0"/>
              <v:stroke on="f"/>
              <v:imagedata o:title=""/>
              <o:lock v:ext="edit" aspectratio="f"/>
              <v:textbox inset="0mm,0mm,0mm,0mm" style="mso-fit-shape-to-text:t;">
                <w:txbxContent>
                  <w:p w14:paraId="029FB6A0">
                    <w:pPr>
                      <w:pStyle w:val="42"/>
                    </w:pP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81E5D43">
                          <w:pPr>
                            <w:pStyle w:val="42"/>
                          </w:pPr>
                        </w:p>
                      </w:txbxContent>
                    </wps:txbx>
                    <wps:bodyPr wrap="none" lIns="0" tIns="0" rIns="0" bIns="0" upright="1">
                      <a:spAutoFit/>
                    </wps:bodyPr>
                  </wps:wsp>
                </a:graphicData>
              </a:graphic>
            </wp:anchor>
          </w:drawing>
        </mc:Choice>
        <mc:Fallback>
          <w:pict>
            <v:rect id="文本框 40"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zfrHXEAQAAkQMAAA4AAAAAAAAAAQAgAAAAHwEAAGRycy9lMm9Eb2MueG1s&#10;UEsFBgAAAAAGAAYAWQEAAFUFAAAAAA==&#10;">
              <v:fill on="f" focussize="0,0"/>
              <v:stroke on="f"/>
              <v:imagedata o:title=""/>
              <o:lock v:ext="edit" aspectratio="f"/>
              <v:textbox inset="0mm,0mm,0mm,0mm" style="mso-fit-shape-to-text:t;">
                <w:txbxContent>
                  <w:p w14:paraId="481E5D43">
                    <w:pPr>
                      <w:pStyle w:val="42"/>
                    </w:pP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9581BD">
                          <w:pPr>
                            <w:pStyle w:val="42"/>
                            <w:rPr>
                              <w:rFonts w:hint="default" w:eastAsia="宋体"/>
                              <w:lang w:val="en-US" w:eastAsia="zh-CN"/>
                            </w:rPr>
                          </w:pPr>
                          <w:r>
                            <w:rPr>
                              <w:rFonts w:hint="eastAsia"/>
                              <w:lang w:val="en-US" w:eastAsia="zh-CN"/>
                            </w:rPr>
                            <w:t>46</w:t>
                          </w:r>
                        </w:p>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EUxXucYBAACRAwAADgAAAAAAAAABACAAAAAfAQAAZHJzL2Uyb0RvYy54&#10;bWxQSwUGAAAAAAYABgBZAQAAVwUAAAAA&#10;">
              <v:fill on="f" focussize="0,0"/>
              <v:stroke on="f"/>
              <v:imagedata o:title=""/>
              <o:lock v:ext="edit" aspectratio="f"/>
              <v:textbox inset="0mm,0mm,0mm,0mm" style="mso-fit-shape-to-text:t;">
                <w:txbxContent>
                  <w:p w14:paraId="679581BD">
                    <w:pPr>
                      <w:pStyle w:val="42"/>
                      <w:rPr>
                        <w:rFonts w:hint="default" w:eastAsia="宋体"/>
                        <w:lang w:val="en-US" w:eastAsia="zh-CN"/>
                      </w:rPr>
                    </w:pPr>
                    <w:r>
                      <w:rPr>
                        <w:rFonts w:hint="eastAsia"/>
                        <w:lang w:val="en-US" w:eastAsia="zh-CN"/>
                      </w:rPr>
                      <w:t>46</w:t>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9498336">
                          <w:pPr>
                            <w:pStyle w:val="42"/>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rdiTLEAQAAkQMAAA4AAAAAAAAAAQAgAAAAHwEAAGRycy9lMm9Eb2MueG1s&#10;UEsFBgAAAAAGAAYAWQEAAFUFAAAAAA==&#10;">
              <v:fill on="f" focussize="0,0"/>
              <v:stroke on="f"/>
              <v:imagedata o:title=""/>
              <o:lock v:ext="edit" aspectratio="f"/>
              <v:textbox inset="0mm,0mm,0mm,0mm" style="mso-fit-shape-to-text:t;">
                <w:txbxContent>
                  <w:p w14:paraId="09498336">
                    <w:pPr>
                      <w:pStyle w:val="42"/>
                    </w:pP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CA88">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747EBB0">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uFH1/EAQAAkA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DW3CDWdOWLrxy4/vl5+/L7++&#10;sbfJnz5gRW0P4R6mDClMYocWbHqTDDZkT89XT9UQmaTicr1ar0uyW9LZnBBO8fh5AIzvlbcsBTUH&#10;urTspTh9xDi2zi1pmvN32hiqi8q4vwqEmSpFYjxyTFEc9sNEfO+bM8nt6b5r7mi9OTMfHNmZVmMO&#10;YA72c3AMoA8dUVtmXhjeHSORyNzShBF2GkwXldVNS5U24Wmeux5/pO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uFH1/EAQAAkAMAAA4AAAAAAAAAAQAgAAAAHwEAAGRycy9lMm9Eb2MueG1s&#10;UEsFBgAAAAAGAAYAWQEAAFUFAAAAAA==&#10;">
              <v:fill on="f" focussize="0,0"/>
              <v:stroke on="f"/>
              <v:imagedata o:title=""/>
              <o:lock v:ext="edit" aspectratio="f"/>
              <v:textbox inset="0mm,0mm,0mm,0mm" style="mso-fit-shape-to-text:t;">
                <w:txbxContent>
                  <w:p w14:paraId="2747EBB0">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6AF6">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9618A26">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fcj4DEAQAAkAMAAA4AAAAAAAAAAQAgAAAAHwEAAGRycy9lMm9Eb2MueG1s&#10;UEsFBgAAAAAGAAYAWQEAAFUFAAAAAA==&#10;">
              <v:fill on="f" focussize="0,0"/>
              <v:stroke on="f"/>
              <v:imagedata o:title=""/>
              <o:lock v:ext="edit" aspectratio="f"/>
              <v:textbox inset="0mm,0mm,0mm,0mm" style="mso-fit-shape-to-text:t;">
                <w:txbxContent>
                  <w:p w14:paraId="69618A26">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F66C">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4D1318E">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ZjoLHEAQAAkAMAAA4AAAAAAAAAAQAgAAAAHwEAAGRycy9lMm9Eb2MueG1s&#10;UEsFBgAAAAAGAAYAWQEAAFUFAAAAAA==&#10;">
              <v:fill on="f" focussize="0,0"/>
              <v:stroke on="f"/>
              <v:imagedata o:title=""/>
              <o:lock v:ext="edit" aspectratio="f"/>
              <v:textbox inset="0mm,0mm,0mm,0mm" style="mso-fit-shape-to-text:t;">
                <w:txbxContent>
                  <w:p w14:paraId="74D1318E">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CAB0">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389D1E0">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Sv0+sMBAACRAwAADgAAAAAAAAABACAAAAAfAQAAZHJzL2Uyb0RvYy54bWxQ&#10;SwUGAAAAAAYABgBZAQAAVAUAAAAA&#10;">
              <v:fill on="f" focussize="0,0"/>
              <v:stroke on="f"/>
              <v:imagedata o:title=""/>
              <o:lock v:ext="edit" aspectratio="f"/>
              <v:textbox inset="0mm,0mm,0mm,0mm" style="mso-fit-shape-to-text:t;">
                <w:txbxContent>
                  <w:p w14:paraId="5389D1E0">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F78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BF89D23">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ESp3HEAQAAkQMAAA4AAAAAAAAAAQAgAAAAHwEAAGRycy9lMm9Eb2MueG1s&#10;UEsFBgAAAAAGAAYAWQEAAFUFAAAAAA==&#10;">
              <v:fill on="f" focussize="0,0"/>
              <v:stroke on="f"/>
              <v:imagedata o:title=""/>
              <o:lock v:ext="edit" aspectratio="f"/>
              <v:textbox inset="0mm,0mm,0mm,0mm" style="mso-fit-shape-to-text:t;">
                <w:txbxContent>
                  <w:p w14:paraId="5BF89D23">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F52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4C31E99">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dgec4xQEAAJEDAAAOAAAAAAAAAAEAIAAAAB8BAABkcnMvZTJvRG9jLnht&#10;bFBLBQYAAAAABgAGAFkBAABWBQAAAAA=&#10;">
              <v:fill on="f" focussize="0,0"/>
              <v:stroke on="f"/>
              <v:imagedata o:title=""/>
              <o:lock v:ext="edit" aspectratio="f"/>
              <v:textbox inset="0mm,0mm,0mm,0mm" style="mso-fit-shape-to-text:t;">
                <w:txbxContent>
                  <w:p w14:paraId="74C31E99">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DC132">
    <w:pPr>
      <w:pStyle w:val="42"/>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F696D80">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8yuLWxQEAAJEDAAAOAAAAAAAAAAEAIAAAAB8BAABkcnMvZTJvRG9jLnht&#10;bFBLBQYAAAAABgAGAFkBAABWBQAAAAA=&#10;">
              <v:fill on="f" focussize="0,0"/>
              <v:stroke on="f"/>
              <v:imagedata o:title=""/>
              <o:lock v:ext="edit" aspectratio="f"/>
              <v:textbox inset="0mm,0mm,0mm,0mm" style="mso-fit-shape-to-text:t;">
                <w:txbxContent>
                  <w:p w14:paraId="4F696D80">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29FB">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F0E4BF2">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nZqrGAQAAkQMAAA4AAABkcnMvZTJvRG9jLnhtbK1TzY7TMBC+I/EO&#10;lu80SU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Dla86csHTj5x/fzz9/n399&#10;Y9WbZNAQsKa++3AHc4YUJrVjBza9SQcbs6mnq6lqjExSsVotV6uS/JZ0dkkIp3j4PADG98pbloKG&#10;A91aNlMcP2KcWi8taZrzt9oYqovauL8KhJkqRWI8cUxRHHfjTHzn2xPpHejCG+5ovzkzHxz5mXbj&#10;EsAl2F2CQwC974lal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JadmqsYBAACRAwAADgAAAAAAAAABACAAAAAfAQAAZHJzL2Uyb0RvYy54&#10;bWxQSwUGAAAAAAYABgBZAQAAVwUAAAAA&#10;">
              <v:fill on="f" focussize="0,0"/>
              <v:stroke on="f"/>
              <v:imagedata o:title=""/>
              <o:lock v:ext="edit" aspectratio="f"/>
              <v:textbox inset="0mm,0mm,0mm,0mm" style="mso-fit-shape-to-text:t;">
                <w:txbxContent>
                  <w:p w14:paraId="1F0E4BF2">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9A24">
    <w:pPr>
      <w:pStyle w:val="42"/>
      <w:framePr w:wrap="around" w:vAnchor="text" w:hAnchor="margin" w:xAlign="right" w:y="1"/>
      <w:rPr>
        <w:rStyle w:val="73"/>
      </w:rPr>
    </w:pPr>
    <w:r>
      <w:fldChar w:fldCharType="begin"/>
    </w:r>
    <w:r>
      <w:rPr>
        <w:rStyle w:val="73"/>
      </w:rPr>
      <w:instrText xml:space="preserve">PAGE  </w:instrText>
    </w:r>
    <w:r>
      <w:fldChar w:fldCharType="end"/>
    </w:r>
  </w:p>
  <w:p w14:paraId="2ECCBD8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AC86">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B5FB54C">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KNXuLEAQAAjwMAAA4AAABkcnMvZTJvRG9jLnhtbK1TzY7TMBC+I/EO&#10;lu80aQW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KNXuLEAQAAjwMAAA4AAAAAAAAAAQAgAAAAHwEAAGRycy9lMm9Eb2MueG1s&#10;UEsFBgAAAAAGAAYAWQEAAFUFAAAAAA==&#10;">
              <v:fill on="f" focussize="0,0"/>
              <v:stroke on="f"/>
              <v:imagedata o:title=""/>
              <o:lock v:ext="edit" aspectratio="f"/>
              <v:textbox inset="0mm,0mm,0mm,0mm" style="mso-fit-shape-to-text:t;">
                <w:txbxContent>
                  <w:p w14:paraId="1B5FB54C">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2E3E">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DE1D08">
                          <w:pPr>
                            <w:pStyle w:val="4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ZjI7EAQAAjwMAAA4AAABkcnMvZTJvRG9jLnhtbK1TzY7TMBC+I/EO&#10;lu80aS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OZjI7EAQAAjwMAAA4AAAAAAAAAAQAgAAAAHwEAAGRycy9lMm9Eb2MueG1s&#10;UEsFBgAAAAAGAAYAWQEAAFUFAAAAAA==&#10;">
              <v:fill on="f" focussize="0,0"/>
              <v:stroke on="f"/>
              <v:imagedata o:title=""/>
              <o:lock v:ext="edit" aspectratio="f"/>
              <v:textbox inset="0mm,0mm,0mm,0mm" style="mso-fit-shape-to-text:t;">
                <w:txbxContent>
                  <w:p w14:paraId="79DE1D08">
                    <w:pPr>
                      <w:pStyle w:val="4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1491">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4FC8A73">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CUQ/EAQAAjw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3fcu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DCUQ/EAQAAjwMAAA4AAAAAAAAAAQAgAAAAHwEAAGRycy9lMm9Eb2MueG1s&#10;UEsFBgAAAAAGAAYAWQEAAFUFAAAAAA==&#10;">
              <v:fill on="f" focussize="0,0"/>
              <v:stroke on="f"/>
              <v:imagedata o:title=""/>
              <o:lock v:ext="edit" aspectratio="f"/>
              <v:textbox inset="0mm,0mm,0mm,0mm" style="mso-fit-shape-to-text:t;">
                <w:txbxContent>
                  <w:p w14:paraId="44FC8A73">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D3BA">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C4B8334">
                          <w:pPr>
                            <w:pStyle w:val="42"/>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bTqIcYBAACRAwAADgAAAAAAAAABACAAAAAfAQAAZHJzL2Uyb0RvYy54&#10;bWxQSwUGAAAAAAYABgBZAQAAVwUAAAAA&#10;">
              <v:fill on="f" focussize="0,0"/>
              <v:stroke on="f"/>
              <v:imagedata o:title=""/>
              <o:lock v:ext="edit" aspectratio="f"/>
              <v:textbox inset="0mm,0mm,0mm,0mm" style="mso-fit-shape-to-text:t;">
                <w:txbxContent>
                  <w:p w14:paraId="3C4B8334">
                    <w:pPr>
                      <w:pStyle w:val="42"/>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9DB9">
    <w:pPr>
      <w:tabs>
        <w:tab w:val="left" w:pos="8775"/>
      </w:tabs>
      <w:spacing w:line="196" w:lineRule="auto"/>
      <w:ind w:left="2062"/>
      <w:rPr>
        <w:rFonts w:ascii="Times New Roman" w:hAnsi="Times New Roman" w:eastAsia="Times New Roman" w:cs="Times New Roman"/>
        <w:sz w:val="17"/>
        <w:szCs w:val="17"/>
      </w:rPr>
    </w:pPr>
    <w:r>
      <w:rPr>
        <w:rFonts w:ascii="Times New Roman" w:hAnsi="Times New Roman" w:eastAsia="宋体" w:cs="Times New Roman"/>
        <w:kern w:val="2"/>
        <w:sz w:val="17"/>
        <w:szCs w:val="24"/>
        <w:lang w:val="en-US" w:eastAsia="zh-CN"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Rectangle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0563E6C">
                          <w:pPr>
                            <w:pStyle w:val="42"/>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upright="1">
                      <a:spAutoFit/>
                    </wps:bodyPr>
                  </wps:wsp>
                </a:graphicData>
              </a:graphic>
            </wp:anchor>
          </w:drawing>
        </mc:Choice>
        <mc:Fallback>
          <w:pict>
            <v:rect id="Rectangle 6" o:spid="_x0000_s1026" o:spt="1"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5G93lbcBAACQAwAADgAAAAAAAAABACAAAAAfAQAAZHJzL2Uyb0RvYy54bWxQSwUGAAAAAAYABgBZ&#10;AQAASAUAAAAA&#10;">
              <v:fill on="f" focussize="0,0"/>
              <v:stroke on="f"/>
              <v:imagedata o:title=""/>
              <o:lock v:ext="edit" aspectratio="f"/>
              <v:textbox inset="0mm,0mm,0mm,0mm" style="mso-fit-shape-to-text:t;">
                <w:txbxContent>
                  <w:p w14:paraId="10563E6C">
                    <w:pPr>
                      <w:pStyle w:val="42"/>
                    </w:pPr>
                    <w:r>
                      <w:t xml:space="preserve">第 </w:t>
                    </w:r>
                    <w:r>
                      <w:fldChar w:fldCharType="begin"/>
                    </w:r>
                    <w:r>
                      <w:instrText xml:space="preserve"> PAGE  \* MERGEFORMAT </w:instrText>
                    </w:r>
                    <w:r>
                      <w:fldChar w:fldCharType="separate"/>
                    </w:r>
                    <w:r>
                      <w:t>26</w:t>
                    </w:r>
                    <w:r>
                      <w:fldChar w:fldCharType="end"/>
                    </w:r>
                    <w: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2BF81">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54C47B5">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fo769xQEAAJADAAAOAAAAAAAAAAEAIAAAAB8BAABkcnMvZTJvRG9jLnht&#10;bFBLBQYAAAAABgAGAFkBAABWBQAAAAA=&#10;">
              <v:fill on="f" focussize="0,0"/>
              <v:stroke on="f"/>
              <v:imagedata o:title=""/>
              <o:lock v:ext="edit" aspectratio="f"/>
              <v:textbox inset="0mm,0mm,0mm,0mm" style="mso-fit-shape-to-text:t;">
                <w:txbxContent>
                  <w:p w14:paraId="154C47B5">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9434">
    <w:pPr>
      <w:pStyle w:val="42"/>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06C4706">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OOsHFAQAAkAMAAA4AAABkcnMvZTJvRG9jLnhtbK1TzY7TMBC+I/EO&#10;lu80aUGoRE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kbzpywdOGX798uP35dfn5l&#10;L18l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GzjrBxQEAAJADAAAOAAAAAAAAAAEAIAAAAB8BAABkcnMvZTJvRG9jLnht&#10;bFBLBQYAAAAABgAGAFkBAABWBQAAAAA=&#10;">
              <v:fill on="f" focussize="0,0"/>
              <v:stroke on="f"/>
              <v:imagedata o:title=""/>
              <o:lock v:ext="edit" aspectratio="f"/>
              <v:textbox inset="0mm,0mm,0mm,0mm" style="mso-fit-shape-to-text:t;">
                <w:txbxContent>
                  <w:p w14:paraId="506C4706">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D8FCD7">
                          <w:pPr>
                            <w:pStyle w:val="42"/>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Sgz7E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ssQJSzd++f7t8uPX5edX&#10;tnqX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oSgz7EAQAAkQMAAA4AAAAAAAAAAQAgAAAAHwEAAGRycy9lMm9Eb2MueG1s&#10;UEsFBgAAAAAGAAYAWQEAAFUFAAAAAA==&#10;">
              <v:fill on="f" focussize="0,0"/>
              <v:stroke on="f"/>
              <v:imagedata o:title=""/>
              <o:lock v:ext="edit" aspectratio="f"/>
              <v:textbox inset="0mm,0mm,0mm,0mm" style="mso-fit-shape-to-text:t;">
                <w:txbxContent>
                  <w:p w14:paraId="4DD8FCD7">
                    <w:pPr>
                      <w:pStyle w:val="42"/>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A5EA">
    <w:pPr>
      <w:pStyle w:val="43"/>
      <w:pBdr>
        <w:bottom w:val="single" w:color="auto" w:sz="6" w:space="4"/>
      </w:pBdr>
      <w:jc w:val="right"/>
    </w:pPr>
    <w:r>
      <w:t></w:t>
    </w:r>
    <w:r>
      <w:rPr>
        <w:rFonts w:hint="eastAsia"/>
      </w:rPr>
      <w:t xml:space="preserve">             </w:t>
    </w:r>
    <w:r>
      <w:t>杭州市政府采购公开招标文件</w:t>
    </w:r>
  </w:p>
  <w:p w14:paraId="3C1515D3">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A376">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3412">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0F88">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6446">
    <w:pPr>
      <w:pStyle w:val="43"/>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7F57">
    <w:pPr>
      <w:pStyle w:val="43"/>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237F">
    <w:pPr>
      <w:pStyle w:val="43"/>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6CB1">
    <w:pPr>
      <w:pStyle w:val="43"/>
      <w:rPr>
        <w:rFonts w:ascii="仿宋_GB2312" w:eastAsia="仿宋_GB2312"/>
        <w:b/>
        <w:i/>
        <w:u w:val="single"/>
      </w:rPr>
    </w:pPr>
    <w:r>
      <w:t></w:t>
    </w:r>
    <w:r>
      <w:rPr>
        <w:rFonts w:hint="eastAsia"/>
      </w:rPr>
      <w:t xml:space="preserve">                                                  </w:t>
    </w:r>
    <w:r>
      <w:t xml:space="preserve">             杭州市政府采购公开招标文件</w:t>
    </w:r>
  </w:p>
  <w:p w14:paraId="5314FD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A8AE">
    <w:pPr>
      <w:pStyle w:val="43"/>
    </w:pPr>
    <w:r>
      <w:t></w:t>
    </w:r>
    <w:r>
      <w:rPr>
        <w:rFonts w:hint="eastAsia"/>
      </w:rPr>
      <w:t xml:space="preserve">         </w:t>
    </w:r>
  </w:p>
  <w:p w14:paraId="60DD4895">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9683">
    <w:pPr>
      <w:pStyle w:val="43"/>
      <w:rPr>
        <w:rFonts w:ascii="仿宋_GB2312" w:eastAsia="仿宋_GB2312"/>
        <w:b/>
        <w:i/>
        <w:u w:val="single"/>
      </w:rPr>
    </w:pPr>
    <w:r>
      <w:t></w:t>
    </w:r>
    <w:r>
      <w:rPr>
        <w:rFonts w:hint="eastAsia"/>
      </w:rPr>
      <w:t xml:space="preserve">                                                  </w:t>
    </w:r>
    <w:r>
      <w:t>杭州市政府采购公开招标文件</w:t>
    </w:r>
  </w:p>
  <w:p w14:paraId="231B45F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A48B4">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B595">
    <w:pPr>
      <w:pStyle w:val="43"/>
      <w:jc w:val="right"/>
      <w:rPr>
        <w:rFonts w:ascii="仿宋_GB2312" w:eastAsia="仿宋_GB2312"/>
        <w:b/>
        <w:i/>
        <w:u w:val="single"/>
      </w:rPr>
    </w:pPr>
    <w:r>
      <w:rPr>
        <w:rFonts w:hint="eastAsia"/>
      </w:rPr>
      <w:t xml:space="preserve">                                  </w:t>
    </w:r>
    <w:r>
      <w:t>杭州市政府采购公开招标文件</w:t>
    </w:r>
  </w:p>
  <w:p w14:paraId="1DB3678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space"/>
      <w:lvlText w:val="第%1部分"/>
      <w:lvlJc w:val="left"/>
      <w:rPr>
        <w:rFonts w:hint="eastAsia"/>
      </w:rPr>
    </w:lvl>
  </w:abstractNum>
  <w:abstractNum w:abstractNumId="1">
    <w:nsid w:val="00000001"/>
    <w:multiLevelType w:val="singleLevel"/>
    <w:tmpl w:val="00000001"/>
    <w:lvl w:ilvl="0" w:tentative="0">
      <w:start w:val="2"/>
      <w:numFmt w:val="decimal"/>
      <w:suff w:val="space"/>
      <w:lvlText w:val="%1."/>
      <w:lvlJc w:val="left"/>
      <w:pPr>
        <w:ind w:left="360" w:leftChars="0" w:firstLine="0" w:firstLineChars="0"/>
      </w:pPr>
    </w:lvl>
  </w:abstractNum>
  <w:abstractNum w:abstractNumId="2">
    <w:nsid w:val="17CD5671"/>
    <w:multiLevelType w:val="multilevel"/>
    <w:tmpl w:val="17CD56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C914EB"/>
    <w:multiLevelType w:val="multilevel"/>
    <w:tmpl w:val="32C914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D55F2A"/>
    <w:multiLevelType w:val="multilevel"/>
    <w:tmpl w:val="5AD55F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100691"/>
    <w:multiLevelType w:val="multilevel"/>
    <w:tmpl w:val="6F1006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3E2086"/>
    <w:multiLevelType w:val="multilevel"/>
    <w:tmpl w:val="753E20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95B6C"/>
    <w:rsid w:val="06FC5DAA"/>
    <w:rsid w:val="07315502"/>
    <w:rsid w:val="079375D8"/>
    <w:rsid w:val="0D180B0A"/>
    <w:rsid w:val="12514C60"/>
    <w:rsid w:val="15FF4C2B"/>
    <w:rsid w:val="20963186"/>
    <w:rsid w:val="225A293F"/>
    <w:rsid w:val="237E2BC9"/>
    <w:rsid w:val="26BA06B6"/>
    <w:rsid w:val="2892026F"/>
    <w:rsid w:val="2A721D30"/>
    <w:rsid w:val="30E43BE6"/>
    <w:rsid w:val="341B154E"/>
    <w:rsid w:val="392B7FCA"/>
    <w:rsid w:val="3BAB67F1"/>
    <w:rsid w:val="3BB77314"/>
    <w:rsid w:val="3F043070"/>
    <w:rsid w:val="3FDA766E"/>
    <w:rsid w:val="418C2A9A"/>
    <w:rsid w:val="41D04DCF"/>
    <w:rsid w:val="47C9329B"/>
    <w:rsid w:val="49B13FCD"/>
    <w:rsid w:val="4A822353"/>
    <w:rsid w:val="4B6B258C"/>
    <w:rsid w:val="4C8D0224"/>
    <w:rsid w:val="4E456012"/>
    <w:rsid w:val="4E6D0ABA"/>
    <w:rsid w:val="54CC667E"/>
    <w:rsid w:val="55E53FFB"/>
    <w:rsid w:val="58E5194D"/>
    <w:rsid w:val="5B4848FC"/>
    <w:rsid w:val="5F8D1FD1"/>
    <w:rsid w:val="642207D6"/>
    <w:rsid w:val="686B61EB"/>
    <w:rsid w:val="690430DB"/>
    <w:rsid w:val="699243C0"/>
    <w:rsid w:val="6D767FA9"/>
    <w:rsid w:val="6FC83F81"/>
    <w:rsid w:val="70566167"/>
    <w:rsid w:val="78A25EF7"/>
    <w:rsid w:val="7EDC79A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6"/>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736"/>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799"/>
    <w:qFormat/>
    <w:uiPriority w:val="0"/>
    <w:pPr>
      <w:spacing w:line="480" w:lineRule="exact"/>
      <w:ind w:firstLine="480" w:firstLineChars="200"/>
    </w:pPr>
    <w:rPr>
      <w:rFonts w:ascii="宋体" w:hAnsi="宋体"/>
      <w:sz w:val="24"/>
    </w:rPr>
  </w:style>
  <w:style w:type="paragraph" w:styleId="17">
    <w:name w:val="Body Text First Indent 2"/>
    <w:basedOn w:val="16"/>
    <w:next w:val="1"/>
    <w:link w:val="672"/>
    <w:qFormat/>
    <w:uiPriority w:val="0"/>
    <w:pPr>
      <w:adjustRightInd/>
      <w:spacing w:after="120" w:line="240" w:lineRule="auto"/>
      <w:ind w:left="420" w:leftChars="200" w:firstLine="210"/>
    </w:pPr>
    <w:rPr>
      <w:sz w:val="21"/>
    </w:rPr>
  </w:style>
  <w:style w:type="paragraph" w:styleId="18">
    <w:name w:val="caption"/>
    <w:basedOn w:val="1"/>
    <w:next w:val="1"/>
    <w:link w:val="76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43"/>
    <w:qFormat/>
    <w:uiPriority w:val="0"/>
    <w:pPr>
      <w:shd w:val="clear" w:color="auto" w:fill="000080"/>
    </w:pPr>
  </w:style>
  <w:style w:type="paragraph" w:styleId="21">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22">
    <w:name w:val="annotation text"/>
    <w:basedOn w:val="1"/>
    <w:link w:val="871"/>
    <w:qFormat/>
    <w:uiPriority w:val="99"/>
    <w:pPr>
      <w:jc w:val="left"/>
    </w:pPr>
  </w:style>
  <w:style w:type="paragraph" w:styleId="23">
    <w:name w:val="Salutation"/>
    <w:basedOn w:val="1"/>
    <w:next w:val="1"/>
    <w:link w:val="831"/>
    <w:qFormat/>
    <w:uiPriority w:val="0"/>
    <w:rPr>
      <w:rFonts w:ascii="仿宋_GB2312" w:eastAsia="仿宋_GB2312"/>
      <w:sz w:val="28"/>
      <w:szCs w:val="20"/>
    </w:rPr>
  </w:style>
  <w:style w:type="paragraph" w:styleId="24">
    <w:name w:val="Body Text 3"/>
    <w:basedOn w:val="1"/>
    <w:link w:val="859"/>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w:basedOn w:val="1"/>
    <w:next w:val="27"/>
    <w:link w:val="948"/>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link w:val="850"/>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6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7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5"/>
    <w:qFormat/>
    <w:uiPriority w:val="0"/>
    <w:pPr>
      <w:ind w:left="100" w:leftChars="2500"/>
    </w:pPr>
    <w:rPr>
      <w:rFonts w:ascii="宋体"/>
      <w:sz w:val="24"/>
      <w:szCs w:val="21"/>
      <w:lang w:val="zh-CN"/>
    </w:rPr>
  </w:style>
  <w:style w:type="paragraph" w:styleId="39">
    <w:name w:val="Body Text Indent 2"/>
    <w:basedOn w:val="1"/>
    <w:link w:val="839"/>
    <w:qFormat/>
    <w:uiPriority w:val="0"/>
    <w:pPr>
      <w:spacing w:line="360" w:lineRule="auto"/>
      <w:ind w:firstLine="601"/>
      <w:textAlignment w:val="baseline"/>
    </w:pPr>
    <w:rPr>
      <w:rFonts w:ascii="宋体"/>
      <w:kern w:val="0"/>
      <w:sz w:val="28"/>
      <w:szCs w:val="20"/>
    </w:rPr>
  </w:style>
  <w:style w:type="paragraph" w:styleId="40">
    <w:name w:val="endnote text"/>
    <w:basedOn w:val="1"/>
    <w:link w:val="956"/>
    <w:qFormat/>
    <w:uiPriority w:val="0"/>
    <w:rPr>
      <w:lang w:val="zh-CN"/>
    </w:rPr>
  </w:style>
  <w:style w:type="paragraph" w:styleId="41">
    <w:name w:val="Balloon Text"/>
    <w:basedOn w:val="1"/>
    <w:link w:val="732"/>
    <w:qFormat/>
    <w:uiPriority w:val="0"/>
    <w:rPr>
      <w:sz w:val="18"/>
      <w:szCs w:val="18"/>
    </w:rPr>
  </w:style>
  <w:style w:type="paragraph" w:styleId="42">
    <w:name w:val="footer"/>
    <w:basedOn w:val="1"/>
    <w:link w:val="907"/>
    <w:qFormat/>
    <w:uiPriority w:val="99"/>
    <w:pPr>
      <w:tabs>
        <w:tab w:val="center" w:pos="4153"/>
        <w:tab w:val="right" w:pos="8306"/>
      </w:tabs>
      <w:snapToGrid w:val="0"/>
      <w:jc w:val="left"/>
    </w:pPr>
    <w:rPr>
      <w:sz w:val="18"/>
      <w:szCs w:val="18"/>
    </w:rPr>
  </w:style>
  <w:style w:type="paragraph" w:styleId="43">
    <w:name w:val="header"/>
    <w:basedOn w:val="1"/>
    <w:link w:val="91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7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8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41"/>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90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35"/>
    <w:qFormat/>
    <w:uiPriority w:val="0"/>
    <w:pPr>
      <w:spacing w:after="120" w:line="480" w:lineRule="auto"/>
    </w:pPr>
  </w:style>
  <w:style w:type="paragraph" w:styleId="59">
    <w:name w:val="HTML Preformatted"/>
    <w:basedOn w:val="1"/>
    <w:link w:val="8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19"/>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2"/>
    <w:next w:val="22"/>
    <w:link w:val="649"/>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next w:val="1"/>
    <w:qFormat/>
    <w:uiPriority w:val="0"/>
    <w:pPr>
      <w:spacing w:before="280" w:after="280" w:line="100" w:lineRule="exact"/>
      <w:jc w:val="center"/>
    </w:pPr>
    <w:rPr>
      <w:b/>
      <w:sz w:val="20"/>
    </w:rPr>
  </w:style>
  <w:style w:type="paragraph" w:customStyle="1" w:styleId="81">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2">
    <w:name w:val="_Style 3"/>
    <w:basedOn w:val="1"/>
    <w:qFormat/>
    <w:uiPriority w:val="0"/>
    <w:pPr>
      <w:adjustRightInd/>
      <w:ind w:firstLine="420" w:firstLineChars="200"/>
    </w:pPr>
    <w:rPr>
      <w:rFonts w:eastAsia="仿宋_GB2312"/>
      <w:sz w:val="28"/>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表格文字"/>
    <w:basedOn w:val="35"/>
    <w:next w:val="26"/>
    <w:qFormat/>
    <w:uiPriority w:val="0"/>
    <w:pPr>
      <w:adjustRightInd/>
      <w:ind w:firstLine="200" w:firstLineChars="200"/>
    </w:pPr>
    <w:rPr>
      <w:rFonts w:ascii="Arial" w:hAnsi="Arial"/>
      <w:spacing w:val="-5"/>
      <w:kern w:val="0"/>
      <w:sz w:val="24"/>
      <w:szCs w:val="20"/>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正文文本首行缩进 2"/>
    <w:basedOn w:val="89"/>
    <w:qFormat/>
    <w:uiPriority w:val="99"/>
    <w:pPr>
      <w:tabs>
        <w:tab w:val="right" w:leader="dot" w:pos="8268"/>
      </w:tabs>
      <w:spacing w:line="200" w:lineRule="atLeast"/>
      <w:ind w:firstLine="420"/>
    </w:pPr>
    <w:rPr>
      <w:rFonts w:ascii="宋体" w:hAnsi="Courier New"/>
      <w:spacing w:val="-4"/>
      <w:sz w:val="18"/>
    </w:rPr>
  </w:style>
  <w:style w:type="paragraph" w:customStyle="1" w:styleId="89">
    <w:name w:val="正文缩进1"/>
    <w:basedOn w:val="90"/>
    <w:next w:val="1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0">
    <w:name w:val="正文1"/>
    <w:basedOn w:val="34"/>
    <w:next w:val="91"/>
    <w:qFormat/>
    <w:uiPriority w:val="0"/>
    <w:pPr>
      <w:ind w:left="0" w:leftChars="0" w:firstLine="480" w:firstLineChars="200"/>
    </w:pPr>
    <w:rPr>
      <w:rFonts w:ascii="仿宋_GB2312" w:hAnsi="Courier New" w:eastAsia="仿宋_GB2312"/>
      <w:kern w:val="28"/>
      <w:sz w:val="24"/>
    </w:rPr>
  </w:style>
  <w:style w:type="paragraph" w:customStyle="1" w:styleId="91">
    <w:name w:val="标题 21"/>
    <w:basedOn w:val="90"/>
    <w:next w:val="90"/>
    <w:qFormat/>
    <w:uiPriority w:val="0"/>
    <w:pPr>
      <w:keepNext/>
      <w:keepLines/>
      <w:tabs>
        <w:tab w:val="clear" w:pos="8268"/>
      </w:tabs>
      <w:ind w:left="106" w:firstLine="454"/>
      <w:outlineLvl w:val="1"/>
    </w:pPr>
    <w:rPr>
      <w:rFonts w:ascii="Arial" w:hAnsi="Arial" w:eastAsia="??"/>
      <w:b/>
      <w:bCs/>
      <w:szCs w:val="32"/>
    </w:rPr>
  </w:style>
  <w:style w:type="paragraph" w:customStyle="1" w:styleId="92">
    <w:name w:val="Default"/>
    <w:link w:val="77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3">
    <w:name w:val="表格非标题文字"/>
    <w:link w:val="63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4">
    <w:name w:val="*正文"/>
    <w:basedOn w:val="1"/>
    <w:link w:val="639"/>
    <w:qFormat/>
    <w:uiPriority w:val="0"/>
    <w:pPr>
      <w:snapToGrid w:val="0"/>
      <w:spacing w:line="360" w:lineRule="auto"/>
      <w:ind w:firstLine="482"/>
      <w:jc w:val="left"/>
    </w:pPr>
    <w:rPr>
      <w:rFonts w:ascii="宋体" w:hAnsi="宋体"/>
      <w:kern w:val="0"/>
      <w:sz w:val="24"/>
      <w:szCs w:val="20"/>
    </w:rPr>
  </w:style>
  <w:style w:type="paragraph" w:customStyle="1" w:styleId="95">
    <w:name w:val="U_正文"/>
    <w:basedOn w:val="1"/>
    <w:link w:val="647"/>
    <w:qFormat/>
    <w:uiPriority w:val="0"/>
    <w:pPr>
      <w:adjustRightInd/>
      <w:spacing w:beforeLines="20" w:afterLines="20" w:line="300" w:lineRule="auto"/>
      <w:ind w:firstLine="200" w:firstLineChars="200"/>
    </w:pPr>
    <w:rPr>
      <w:kern w:val="0"/>
      <w:sz w:val="24"/>
    </w:rPr>
  </w:style>
  <w:style w:type="paragraph" w:customStyle="1" w:styleId="96">
    <w:name w:val="哈哈正文"/>
    <w:basedOn w:val="1"/>
    <w:link w:val="654"/>
    <w:qFormat/>
    <w:uiPriority w:val="0"/>
    <w:pPr>
      <w:adjustRightInd/>
      <w:spacing w:line="360" w:lineRule="auto"/>
      <w:ind w:firstLine="200" w:firstLineChars="200"/>
    </w:pPr>
    <w:rPr>
      <w:rFonts w:ascii="宋体" w:hAnsi="宋体"/>
      <w:sz w:val="24"/>
      <w:szCs w:val="20"/>
    </w:rPr>
  </w:style>
  <w:style w:type="paragraph" w:customStyle="1" w:styleId="97">
    <w:name w:val="5正文"/>
    <w:basedOn w:val="1"/>
    <w:link w:val="66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8">
    <w:name w:val="正文2"/>
    <w:basedOn w:val="99"/>
    <w:link w:val="681"/>
    <w:qFormat/>
    <w:uiPriority w:val="0"/>
    <w:pPr>
      <w:spacing w:before="156" w:line="360" w:lineRule="auto"/>
      <w:ind w:firstLine="510" w:firstLineChars="200"/>
    </w:pPr>
    <w:rPr>
      <w:sz w:val="24"/>
      <w:szCs w:val="20"/>
    </w:rPr>
  </w:style>
  <w:style w:type="paragraph" w:customStyle="1" w:styleId="99">
    <w:name w:val="正文11"/>
    <w:next w:val="9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0">
    <w:name w:val="无间隔1"/>
    <w:link w:val="689"/>
    <w:qFormat/>
    <w:uiPriority w:val="1"/>
    <w:rPr>
      <w:rFonts w:ascii="Times New Roman" w:hAnsi="Times New Roman" w:eastAsia="宋体" w:cs="Times New Roman"/>
      <w:sz w:val="22"/>
      <w:szCs w:val="22"/>
      <w:lang w:val="en-US" w:eastAsia="zh-CN" w:bidi="ar-SA"/>
    </w:rPr>
  </w:style>
  <w:style w:type="paragraph" w:customStyle="1" w:styleId="101">
    <w:name w:val="纯文本_0_0"/>
    <w:basedOn w:val="102"/>
    <w:link w:val="697"/>
    <w:qFormat/>
    <w:uiPriority w:val="0"/>
    <w:rPr>
      <w:rFonts w:ascii="宋体" w:hAnsi="Courier New"/>
      <w:szCs w:val="21"/>
    </w:rPr>
  </w:style>
  <w:style w:type="paragraph" w:customStyle="1" w:styleId="10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绿盟科技）"/>
    <w:link w:val="707"/>
    <w:qFormat/>
    <w:uiPriority w:val="0"/>
    <w:pPr>
      <w:spacing w:line="300" w:lineRule="auto"/>
    </w:pPr>
    <w:rPr>
      <w:rFonts w:ascii="Arial" w:hAnsi="Arial" w:eastAsia="宋体" w:cs="Times New Roman"/>
      <w:sz w:val="21"/>
      <w:szCs w:val="21"/>
      <w:lang w:val="en-US" w:eastAsia="zh-CN" w:bidi="ar-SA"/>
    </w:rPr>
  </w:style>
  <w:style w:type="paragraph" w:customStyle="1" w:styleId="104">
    <w:name w:val="表格名称"/>
    <w:basedOn w:val="3"/>
    <w:link w:val="715"/>
    <w:qFormat/>
    <w:uiPriority w:val="0"/>
    <w:pPr>
      <w:snapToGrid w:val="0"/>
      <w:spacing w:before="240" w:after="240" w:line="240" w:lineRule="auto"/>
      <w:ind w:left="0" w:firstLine="0"/>
    </w:pPr>
    <w:rPr>
      <w:rFonts w:ascii="Calibri" w:hAnsi="Calibri"/>
      <w:b w:val="0"/>
      <w:bCs w:val="0"/>
      <w:kern w:val="0"/>
      <w:szCs w:val="20"/>
    </w:rPr>
  </w:style>
  <w:style w:type="paragraph" w:customStyle="1" w:styleId="105">
    <w:name w:val="my正文"/>
    <w:basedOn w:val="1"/>
    <w:link w:val="735"/>
    <w:qFormat/>
    <w:uiPriority w:val="0"/>
    <w:pPr>
      <w:adjustRightInd/>
      <w:spacing w:line="360" w:lineRule="auto"/>
      <w:ind w:firstLine="480" w:firstLineChars="200"/>
    </w:pPr>
    <w:rPr>
      <w:rFonts w:ascii="Tahoma" w:hAnsi="Tahoma"/>
      <w:kern w:val="0"/>
      <w:sz w:val="24"/>
    </w:rPr>
  </w:style>
  <w:style w:type="paragraph" w:customStyle="1" w:styleId="106">
    <w:name w:val="3级"/>
    <w:basedOn w:val="107"/>
    <w:link w:val="741"/>
    <w:qFormat/>
    <w:uiPriority w:val="0"/>
    <w:pPr>
      <w:ind w:left="0" w:right="466" w:firstLine="288"/>
    </w:pPr>
    <w:rPr>
      <w:rFonts w:hAnsi="宋体"/>
    </w:rPr>
  </w:style>
  <w:style w:type="paragraph" w:customStyle="1" w:styleId="10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8">
    <w:name w:val="标题4-dyf"/>
    <w:basedOn w:val="5"/>
    <w:link w:val="763"/>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109">
    <w:name w:val="冯"/>
    <w:basedOn w:val="1"/>
    <w:link w:val="765"/>
    <w:qFormat/>
    <w:uiPriority w:val="0"/>
    <w:pPr>
      <w:widowControl/>
      <w:adjustRightInd/>
      <w:spacing w:line="360" w:lineRule="auto"/>
      <w:ind w:firstLine="480" w:firstLineChars="200"/>
    </w:pPr>
    <w:rPr>
      <w:rFonts w:ascii="宋体" w:hAnsi="宋体"/>
      <w:color w:val="000000"/>
      <w:kern w:val="0"/>
      <w:sz w:val="24"/>
    </w:rPr>
  </w:style>
  <w:style w:type="paragraph" w:customStyle="1" w:styleId="110">
    <w:name w:val="正文样式"/>
    <w:basedOn w:val="1"/>
    <w:link w:val="783"/>
    <w:qFormat/>
    <w:uiPriority w:val="0"/>
    <w:pPr>
      <w:adjustRightInd/>
      <w:spacing w:line="360" w:lineRule="auto"/>
      <w:ind w:firstLine="480" w:firstLineChars="200"/>
    </w:pPr>
    <w:rPr>
      <w:kern w:val="0"/>
      <w:sz w:val="24"/>
    </w:rPr>
  </w:style>
  <w:style w:type="paragraph" w:customStyle="1" w:styleId="111">
    <w:name w:val="gf正文1"/>
    <w:basedOn w:val="1"/>
    <w:link w:val="78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2">
    <w:name w:val="列表1"/>
    <w:basedOn w:val="1"/>
    <w:next w:val="113"/>
    <w:link w:val="79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3">
    <w:name w:val="List Paragraph_d671f093-5a87-402a-8b2f-c64e57f518a8"/>
    <w:basedOn w:val="1"/>
    <w:qFormat/>
    <w:uiPriority w:val="34"/>
    <w:pPr>
      <w:spacing w:line="360" w:lineRule="auto"/>
      <w:ind w:firstLine="200" w:firstLineChars="200"/>
    </w:pPr>
    <w:rPr>
      <w:rFonts w:eastAsia="楷体_GB2312" w:cs="Lucida Sans"/>
      <w:sz w:val="24"/>
    </w:rPr>
  </w:style>
  <w:style w:type="paragraph" w:customStyle="1" w:styleId="114">
    <w:name w:val="此正文"/>
    <w:basedOn w:val="1"/>
    <w:link w:val="814"/>
    <w:qFormat/>
    <w:uiPriority w:val="0"/>
    <w:pPr>
      <w:adjustRightInd/>
      <w:spacing w:line="360" w:lineRule="auto"/>
      <w:ind w:firstLine="200" w:firstLineChars="200"/>
    </w:pPr>
    <w:rPr>
      <w:sz w:val="24"/>
    </w:rPr>
  </w:style>
  <w:style w:type="paragraph" w:customStyle="1" w:styleId="115">
    <w:name w:val="样式 样式 标题 4h4H4Fab-4T5Ref Heading 1rh1Heading sqlsect 1.2.3.... +..."/>
    <w:basedOn w:val="116"/>
    <w:link w:val="836"/>
    <w:qFormat/>
    <w:uiPriority w:val="0"/>
    <w:pPr>
      <w:tabs>
        <w:tab w:val="left" w:pos="2356"/>
      </w:tabs>
    </w:pPr>
  </w:style>
  <w:style w:type="paragraph" w:customStyle="1" w:styleId="116">
    <w:name w:val="样式 标题 4h4H4Fab-4T5Ref Heading 1rh1Heading sqlsect 1.2.3...."/>
    <w:basedOn w:val="5"/>
    <w:link w:val="93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7">
    <w:name w:val="Item List"/>
    <w:link w:val="84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8">
    <w:name w:val="纯文本1"/>
    <w:basedOn w:val="1"/>
    <w:link w:val="849"/>
    <w:qFormat/>
    <w:uiPriority w:val="0"/>
    <w:pPr>
      <w:adjustRightInd/>
    </w:pPr>
    <w:rPr>
      <w:rFonts w:ascii="宋体" w:hAnsi="Courier New"/>
      <w:kern w:val="0"/>
      <w:sz w:val="20"/>
      <w:szCs w:val="20"/>
    </w:rPr>
  </w:style>
  <w:style w:type="paragraph" w:customStyle="1" w:styleId="119">
    <w:name w:val="正文说明"/>
    <w:basedOn w:val="1"/>
    <w:link w:val="861"/>
    <w:qFormat/>
    <w:uiPriority w:val="0"/>
    <w:pPr>
      <w:adjustRightInd/>
      <w:spacing w:line="360" w:lineRule="auto"/>
    </w:pPr>
    <w:rPr>
      <w:kern w:val="0"/>
      <w:sz w:val="24"/>
    </w:rPr>
  </w:style>
  <w:style w:type="paragraph" w:customStyle="1" w:styleId="120">
    <w:name w:val="Table Text"/>
    <w:basedOn w:val="1"/>
    <w:link w:val="867"/>
    <w:qFormat/>
    <w:uiPriority w:val="0"/>
    <w:pPr>
      <w:widowControl/>
      <w:spacing w:before="60" w:after="60"/>
      <w:jc w:val="left"/>
    </w:pPr>
    <w:rPr>
      <w:kern w:val="0"/>
      <w:sz w:val="24"/>
    </w:rPr>
  </w:style>
  <w:style w:type="paragraph" w:customStyle="1" w:styleId="121">
    <w:name w:val="公文正文"/>
    <w:basedOn w:val="1"/>
    <w:link w:val="879"/>
    <w:qFormat/>
    <w:uiPriority w:val="0"/>
    <w:pPr>
      <w:adjustRightInd/>
      <w:spacing w:before="156" w:line="360" w:lineRule="auto"/>
      <w:ind w:firstLine="360" w:firstLineChars="200"/>
    </w:pPr>
    <w:rPr>
      <w:rFonts w:ascii="仿宋_GB2312" w:eastAsia="仿宋_GB2312"/>
      <w:sz w:val="24"/>
    </w:rPr>
  </w:style>
  <w:style w:type="paragraph" w:customStyle="1" w:styleId="122">
    <w:name w:val="正文（缩进2汉字）"/>
    <w:basedOn w:val="1"/>
    <w:link w:val="88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3">
    <w:name w:val="b11_01b"/>
    <w:basedOn w:val="1"/>
    <w:next w:val="1"/>
    <w:link w:val="90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4">
    <w:name w:val="段落"/>
    <w:basedOn w:val="1"/>
    <w:link w:val="912"/>
    <w:qFormat/>
    <w:uiPriority w:val="0"/>
    <w:pPr>
      <w:adjustRightInd/>
      <w:spacing w:line="360" w:lineRule="auto"/>
      <w:ind w:firstLine="480" w:firstLineChars="200"/>
    </w:pPr>
    <w:rPr>
      <w:rFonts w:ascii="宋体" w:hAnsi="宋体"/>
      <w:kern w:val="0"/>
      <w:sz w:val="24"/>
      <w:szCs w:val="20"/>
    </w:rPr>
  </w:style>
  <w:style w:type="paragraph" w:customStyle="1" w:styleId="125">
    <w:name w:val="正文段"/>
    <w:basedOn w:val="1"/>
    <w:link w:val="919"/>
    <w:qFormat/>
    <w:uiPriority w:val="0"/>
    <w:pPr>
      <w:widowControl/>
      <w:snapToGrid w:val="0"/>
      <w:spacing w:after="156" w:afterLines="50"/>
      <w:ind w:firstLine="200" w:firstLineChars="200"/>
    </w:pPr>
    <w:rPr>
      <w:kern w:val="0"/>
      <w:sz w:val="24"/>
      <w:szCs w:val="20"/>
    </w:rPr>
  </w:style>
  <w:style w:type="paragraph" w:customStyle="1" w:styleId="126">
    <w:name w:val="冯广丽"/>
    <w:basedOn w:val="1"/>
    <w:link w:val="922"/>
    <w:qFormat/>
    <w:uiPriority w:val="0"/>
    <w:pPr>
      <w:adjustRightInd/>
      <w:spacing w:line="360" w:lineRule="auto"/>
      <w:ind w:firstLine="480" w:firstLineChars="200"/>
    </w:pPr>
    <w:rPr>
      <w:rFonts w:ascii="宋体" w:hAnsi="宋体"/>
      <w:sz w:val="24"/>
      <w:szCs w:val="22"/>
    </w:rPr>
  </w:style>
  <w:style w:type="paragraph" w:customStyle="1" w:styleId="127">
    <w:name w:val="编号，小四"/>
    <w:basedOn w:val="1"/>
    <w:link w:val="928"/>
    <w:qFormat/>
    <w:uiPriority w:val="0"/>
    <w:pPr>
      <w:tabs>
        <w:tab w:val="left" w:pos="432"/>
      </w:tabs>
      <w:adjustRightInd/>
      <w:spacing w:line="360" w:lineRule="auto"/>
      <w:ind w:left="432" w:hanging="432"/>
    </w:pPr>
    <w:rPr>
      <w:rFonts w:ascii="Arial" w:hAnsi="Arial"/>
      <w:kern w:val="0"/>
      <w:sz w:val="24"/>
      <w:szCs w:val="20"/>
    </w:rPr>
  </w:style>
  <w:style w:type="paragraph" w:customStyle="1" w:styleId="128">
    <w:name w:val="仿宋正文"/>
    <w:basedOn w:val="1"/>
    <w:link w:val="935"/>
    <w:qFormat/>
    <w:uiPriority w:val="0"/>
    <w:pPr>
      <w:adjustRightInd/>
      <w:spacing w:line="360" w:lineRule="auto"/>
      <w:ind w:firstLine="480" w:firstLineChars="200"/>
    </w:pPr>
    <w:rPr>
      <w:rFonts w:ascii="仿宋_GB2312" w:eastAsia="仿宋_GB2312"/>
      <w:sz w:val="24"/>
      <w:szCs w:val="20"/>
    </w:rPr>
  </w:style>
  <w:style w:type="paragraph" w:customStyle="1" w:styleId="129">
    <w:name w:val="样式 正文缩进 + 首行缩进:  2 字符"/>
    <w:basedOn w:val="15"/>
    <w:link w:val="94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0">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7">
    <w:name w:val="标题4_自定义"/>
    <w:basedOn w:val="5"/>
    <w:qFormat/>
    <w:uiPriority w:val="0"/>
    <w:pPr>
      <w:adjustRightInd/>
      <w:spacing w:before="0" w:after="0" w:line="360" w:lineRule="auto"/>
    </w:pPr>
    <w:rPr>
      <w:rFonts w:ascii="Verdana" w:eastAsia="Verdana"/>
      <w:sz w:val="21"/>
      <w:lang w:val="en-US"/>
    </w:rPr>
  </w:style>
  <w:style w:type="paragraph" w:customStyle="1" w:styleId="138">
    <w:name w:val="正文 内标 序号标"/>
    <w:basedOn w:val="139"/>
    <w:qFormat/>
    <w:uiPriority w:val="0"/>
    <w:pPr>
      <w:tabs>
        <w:tab w:val="left" w:pos="0"/>
      </w:tabs>
      <w:adjustRightInd/>
      <w:spacing w:before="0"/>
      <w:ind w:firstLine="482"/>
    </w:pPr>
    <w:rPr>
      <w:rFonts w:ascii="微软雅黑" w:hAnsi="微软雅黑"/>
      <w:sz w:val="24"/>
      <w:szCs w:val="24"/>
    </w:rPr>
  </w:style>
  <w:style w:type="paragraph" w:customStyle="1" w:styleId="139">
    <w:name w:val="My正文"/>
    <w:basedOn w:val="1"/>
    <w:qFormat/>
    <w:uiPriority w:val="0"/>
    <w:pPr>
      <w:spacing w:before="120" w:line="360" w:lineRule="auto"/>
      <w:ind w:firstLine="567"/>
    </w:pPr>
    <w:rPr>
      <w:rFonts w:ascii="Arial" w:hAnsi="Arial"/>
      <w:sz w:val="20"/>
      <w:szCs w:val="20"/>
    </w:rPr>
  </w:style>
  <w:style w:type="paragraph" w:customStyle="1" w:styleId="14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3">
    <w:name w:val="修订2"/>
    <w:qFormat/>
    <w:uiPriority w:val="0"/>
    <w:rPr>
      <w:rFonts w:ascii="Times New Roman" w:hAnsi="Times New Roman" w:eastAsia="宋体" w:cs="Times New Roman"/>
      <w:kern w:val="2"/>
      <w:sz w:val="21"/>
      <w:lang w:val="en-US" w:eastAsia="zh-CN" w:bidi="ar-SA"/>
    </w:rPr>
  </w:style>
  <w:style w:type="paragraph" w:customStyle="1" w:styleId="14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6">
    <w:name w:val="文章标题"/>
    <w:next w:val="14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7">
    <w:name w:val="封面公司名"/>
    <w:qFormat/>
    <w:uiPriority w:val="0"/>
    <w:pPr>
      <w:jc w:val="center"/>
    </w:pPr>
    <w:rPr>
      <w:rFonts w:ascii="Arial" w:hAnsi="Arial" w:eastAsia="楷体_GB2312" w:cs="宋体"/>
      <w:bCs/>
      <w:kern w:val="2"/>
      <w:sz w:val="28"/>
      <w:lang w:val="en-US" w:eastAsia="zh-CN" w:bidi="ar-SA"/>
    </w:rPr>
  </w:style>
  <w:style w:type="paragraph" w:customStyle="1" w:styleId="148">
    <w:name w:val="Char1 Char Char Char5"/>
    <w:basedOn w:val="1"/>
    <w:qFormat/>
    <w:uiPriority w:val="0"/>
    <w:pPr>
      <w:adjustRightInd/>
      <w:ind w:firstLine="200" w:firstLineChars="200"/>
    </w:pPr>
    <w:rPr>
      <w:rFonts w:ascii="Tahoma" w:hAnsi="Tahoma"/>
      <w:sz w:val="24"/>
      <w:szCs w:val="20"/>
    </w:rPr>
  </w:style>
  <w:style w:type="paragraph" w:customStyle="1" w:styleId="14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1">
    <w:name w:val="Char Char Char Char Char Char Char Char"/>
    <w:basedOn w:val="1"/>
    <w:qFormat/>
    <w:uiPriority w:val="0"/>
    <w:pPr>
      <w:tabs>
        <w:tab w:val="left" w:pos="360"/>
      </w:tabs>
    </w:pPr>
    <w:rPr>
      <w:sz w:val="24"/>
      <w:szCs w:val="20"/>
    </w:rPr>
  </w:style>
  <w:style w:type="paragraph" w:customStyle="1" w:styleId="152">
    <w:name w:val="Char Char11 Char Char Char"/>
    <w:basedOn w:val="1"/>
    <w:qFormat/>
    <w:uiPriority w:val="0"/>
    <w:pPr>
      <w:spacing w:line="360" w:lineRule="auto"/>
    </w:pPr>
    <w:rPr>
      <w:szCs w:val="20"/>
    </w:rPr>
  </w:style>
  <w:style w:type="paragraph" w:customStyle="1" w:styleId="15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5">
    <w:name w:val="样式3"/>
    <w:basedOn w:val="156"/>
    <w:qFormat/>
    <w:uiPriority w:val="0"/>
    <w:pPr>
      <w:tabs>
        <w:tab w:val="left" w:pos="2790"/>
        <w:tab w:val="left" w:pos="4230"/>
      </w:tabs>
      <w:spacing w:before="312" w:beforeLines="100"/>
      <w:jc w:val="left"/>
    </w:pPr>
  </w:style>
  <w:style w:type="paragraph" w:customStyle="1" w:styleId="15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7">
    <w:name w:val="Char Char1 Char Char1 Char Char1"/>
    <w:basedOn w:val="1"/>
    <w:qFormat/>
    <w:uiPriority w:val="0"/>
    <w:pPr>
      <w:tabs>
        <w:tab w:val="left" w:pos="840"/>
      </w:tabs>
      <w:ind w:left="840" w:hanging="420"/>
    </w:pPr>
    <w:rPr>
      <w:rFonts w:ascii="Tahoma" w:hAnsi="Tahoma"/>
      <w:sz w:val="24"/>
    </w:rPr>
  </w:style>
  <w:style w:type="paragraph" w:customStyle="1" w:styleId="15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9">
    <w:name w:val="标书标题2"/>
    <w:basedOn w:val="3"/>
    <w:qFormat/>
    <w:uiPriority w:val="0"/>
    <w:pPr>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1">
    <w:name w:val="正文21"/>
    <w:basedOn w:val="1"/>
    <w:qFormat/>
    <w:uiPriority w:val="0"/>
    <w:pPr>
      <w:adjustRightInd/>
      <w:spacing w:before="156" w:line="360" w:lineRule="auto"/>
      <w:ind w:firstLine="510" w:firstLineChars="200"/>
    </w:pPr>
    <w:rPr>
      <w:sz w:val="24"/>
      <w:szCs w:val="20"/>
    </w:rPr>
  </w:style>
  <w:style w:type="paragraph" w:customStyle="1" w:styleId="162">
    <w:name w:val="Test2"/>
    <w:basedOn w:val="3"/>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4">
    <w:name w:val="Char1"/>
    <w:basedOn w:val="1"/>
    <w:qFormat/>
    <w:uiPriority w:val="0"/>
    <w:rPr>
      <w:rFonts w:ascii="仿宋_GB2312" w:eastAsia="仿宋_GB2312"/>
      <w:b/>
      <w:sz w:val="32"/>
      <w:szCs w:val="32"/>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9">
    <w:name w:val="6级标题"/>
    <w:basedOn w:val="170"/>
    <w:qFormat/>
    <w:uiPriority w:val="0"/>
    <w:pPr>
      <w:keepNext/>
      <w:tabs>
        <w:tab w:val="left" w:pos="360"/>
      </w:tabs>
      <w:spacing w:before="0" w:after="0"/>
      <w:outlineLvl w:val="5"/>
    </w:pPr>
  </w:style>
  <w:style w:type="paragraph" w:customStyle="1" w:styleId="170">
    <w:name w:val="5级标题"/>
    <w:basedOn w:val="17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1">
    <w:name w:val="4级标题"/>
    <w:basedOn w:val="11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2">
    <w:name w:val="样式 正文文本缩进 + 段前: 2 字符"/>
    <w:basedOn w:val="1"/>
    <w:qFormat/>
    <w:uiPriority w:val="0"/>
    <w:pPr>
      <w:adjustRightInd/>
      <w:ind w:left="420" w:leftChars="200"/>
      <w:jc w:val="left"/>
    </w:pPr>
    <w:rPr>
      <w:sz w:val="28"/>
      <w:szCs w:val="20"/>
      <w:lang w:eastAsia="zh-TW"/>
    </w:rPr>
  </w:style>
  <w:style w:type="paragraph" w:customStyle="1" w:styleId="173">
    <w:name w:val="Char2 Char Char"/>
    <w:basedOn w:val="1"/>
    <w:qFormat/>
    <w:uiPriority w:val="0"/>
    <w:pPr>
      <w:adjustRightInd/>
    </w:pPr>
    <w:rPr>
      <w:rFonts w:ascii="Tahoma" w:hAnsi="Tahoma"/>
      <w:sz w:val="24"/>
      <w:szCs w:val="20"/>
    </w:rPr>
  </w:style>
  <w:style w:type="paragraph" w:customStyle="1" w:styleId="174">
    <w:name w:val="_Style 11"/>
    <w:basedOn w:val="1"/>
    <w:qFormat/>
    <w:uiPriority w:val="34"/>
    <w:pPr>
      <w:adjustRightInd/>
      <w:ind w:firstLine="420" w:firstLineChars="200"/>
    </w:pPr>
    <w:rPr>
      <w:rFonts w:eastAsia="仿宋_GB2312"/>
      <w:sz w:val="28"/>
    </w:rPr>
  </w:style>
  <w:style w:type="paragraph" w:customStyle="1" w:styleId="17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6">
    <w:name w:val="Char Char Char"/>
    <w:basedOn w:val="1"/>
    <w:qFormat/>
    <w:uiPriority w:val="0"/>
    <w:rPr>
      <w:rFonts w:ascii="Tahoma" w:hAnsi="Tahoma"/>
      <w:sz w:val="24"/>
      <w:szCs w:val="20"/>
    </w:rPr>
  </w:style>
  <w:style w:type="paragraph" w:customStyle="1" w:styleId="177">
    <w:name w:val="数字标题6"/>
    <w:basedOn w:val="7"/>
    <w:next w:val="1"/>
    <w:qFormat/>
    <w:uiPriority w:val="0"/>
    <w:pPr>
      <w:tabs>
        <w:tab w:val="clear" w:pos="1152"/>
      </w:tabs>
      <w:ind w:left="1080" w:hanging="1080"/>
    </w:pPr>
    <w:rPr>
      <w:rFonts w:ascii="Times New Roman" w:hAnsi="Times New Roman" w:eastAsia="宋体"/>
      <w:i/>
    </w:rPr>
  </w:style>
  <w:style w:type="paragraph" w:customStyle="1" w:styleId="17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9">
    <w:name w:val="No Spacing_3e6a1524-6dae-40c8-a34e-4c15c470eafc"/>
    <w:basedOn w:val="1"/>
    <w:link w:val="957"/>
    <w:qFormat/>
    <w:uiPriority w:val="99"/>
    <w:rPr>
      <w:szCs w:val="22"/>
    </w:rPr>
  </w:style>
  <w:style w:type="paragraph" w:customStyle="1" w:styleId="1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1">
    <w:name w:val="Char Char Char Char Char Char Char Char Char Char Char Char1 Char1"/>
    <w:basedOn w:val="1"/>
    <w:qFormat/>
    <w:uiPriority w:val="6"/>
    <w:rPr>
      <w:rFonts w:ascii="Tahoma" w:hAnsi="Tahoma" w:cs="仿宋_GB2312"/>
      <w:sz w:val="24"/>
      <w:szCs w:val="20"/>
    </w:rPr>
  </w:style>
  <w:style w:type="paragraph" w:customStyle="1" w:styleId="18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5">
    <w:name w:val="MM Topic 2"/>
    <w:basedOn w:val="3"/>
    <w:qFormat/>
    <w:uiPriority w:val="0"/>
    <w:pPr>
      <w:tabs>
        <w:tab w:val="clear" w:pos="432"/>
      </w:tabs>
      <w:ind w:left="1260" w:hanging="420"/>
    </w:pPr>
    <w:rPr>
      <w:rFonts w:ascii="Arial" w:hAnsi="Arial" w:eastAsia="黑体"/>
    </w:rPr>
  </w:style>
  <w:style w:type="paragraph" w:customStyle="1" w:styleId="186">
    <w:name w:val="五级无标题条"/>
    <w:basedOn w:val="1"/>
    <w:qFormat/>
    <w:uiPriority w:val="0"/>
    <w:pPr>
      <w:adjustRightInd/>
    </w:pPr>
  </w:style>
  <w:style w:type="paragraph" w:customStyle="1" w:styleId="187">
    <w:name w:val="Char5"/>
    <w:basedOn w:val="1"/>
    <w:qFormat/>
    <w:uiPriority w:val="0"/>
    <w:rPr>
      <w:rFonts w:ascii="仿宋_GB2312" w:eastAsia="仿宋_GB2312"/>
      <w:b/>
      <w:sz w:val="32"/>
      <w:szCs w:val="32"/>
    </w:rPr>
  </w:style>
  <w:style w:type="paragraph" w:customStyle="1" w:styleId="188">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9">
    <w:name w:val="彩色列表 - 强调文字颜色 12"/>
    <w:basedOn w:val="1"/>
    <w:qFormat/>
    <w:uiPriority w:val="0"/>
    <w:pPr>
      <w:adjustRightInd/>
      <w:ind w:firstLine="420" w:firstLineChars="200"/>
    </w:pPr>
    <w:rPr>
      <w:rFonts w:ascii="Calibri" w:hAnsi="Calibri"/>
      <w:szCs w:val="22"/>
    </w:rPr>
  </w:style>
  <w:style w:type="paragraph" w:customStyle="1" w:styleId="19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2"/>
    <w:basedOn w:val="1"/>
    <w:qFormat/>
    <w:uiPriority w:val="0"/>
    <w:rPr>
      <w:rFonts w:ascii="仿宋_GB2312" w:eastAsia="仿宋_GB2312"/>
      <w:b/>
      <w:sz w:val="32"/>
      <w:szCs w:val="32"/>
    </w:rPr>
  </w:style>
  <w:style w:type="paragraph" w:customStyle="1" w:styleId="192">
    <w:name w:val="数字标题3"/>
    <w:basedOn w:val="4"/>
    <w:next w:val="1"/>
    <w:qFormat/>
    <w:uiPriority w:val="0"/>
    <w:pPr>
      <w:spacing w:line="240" w:lineRule="auto"/>
    </w:pPr>
    <w:rPr>
      <w:sz w:val="28"/>
      <w:szCs w:val="28"/>
    </w:rPr>
  </w:style>
  <w:style w:type="paragraph" w:customStyle="1" w:styleId="193">
    <w:name w:val="FA正文"/>
    <w:basedOn w:val="1"/>
    <w:qFormat/>
    <w:uiPriority w:val="0"/>
    <w:pPr>
      <w:spacing w:line="360" w:lineRule="auto"/>
      <w:ind w:firstLine="480" w:firstLineChars="200"/>
    </w:pPr>
    <w:rPr>
      <w:rFonts w:hAnsi="宋体"/>
      <w:sz w:val="24"/>
      <w:szCs w:val="20"/>
    </w:rPr>
  </w:style>
  <w:style w:type="paragraph" w:customStyle="1" w:styleId="194">
    <w:name w:val="MM Topic 5"/>
    <w:basedOn w:val="6"/>
    <w:qFormat/>
    <w:uiPriority w:val="0"/>
    <w:pPr>
      <w:tabs>
        <w:tab w:val="clear" w:pos="1008"/>
      </w:tabs>
      <w:adjustRightInd/>
      <w:ind w:left="2520" w:hanging="420"/>
    </w:pPr>
  </w:style>
  <w:style w:type="paragraph" w:customStyle="1" w:styleId="195">
    <w:name w:val="Char Char Char Char Char Char Char Char Char Char1"/>
    <w:basedOn w:val="1"/>
    <w:qFormat/>
    <w:uiPriority w:val="0"/>
    <w:rPr>
      <w:rFonts w:ascii="仿宋_GB2312" w:eastAsia="仿宋_GB2312"/>
      <w:b/>
      <w:sz w:val="32"/>
      <w:szCs w:val="32"/>
    </w:rPr>
  </w:style>
  <w:style w:type="paragraph" w:customStyle="1" w:styleId="19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7">
    <w:name w:val="修订1"/>
    <w:qFormat/>
    <w:uiPriority w:val="3"/>
    <w:rPr>
      <w:rFonts w:ascii="Times New Roman" w:hAnsi="Times New Roman" w:eastAsia="宋体" w:cs="Times New Roman"/>
      <w:color w:val="000000"/>
      <w:kern w:val="1"/>
      <w:sz w:val="21"/>
      <w:lang w:val="en-US" w:eastAsia="zh-CN" w:bidi="ar-SA"/>
    </w:rPr>
  </w:style>
  <w:style w:type="paragraph" w:customStyle="1" w:styleId="198">
    <w:name w:val="Char2 Char Char Char"/>
    <w:basedOn w:val="1"/>
    <w:qFormat/>
    <w:uiPriority w:val="0"/>
    <w:rPr>
      <w:rFonts w:ascii="仿宋_GB2312" w:eastAsia="仿宋_GB2312"/>
      <w:b/>
      <w:sz w:val="32"/>
      <w:szCs w:val="32"/>
    </w:rPr>
  </w:style>
  <w:style w:type="paragraph" w:customStyle="1" w:styleId="199">
    <w:name w:val="Char2 Char Char Char1"/>
    <w:basedOn w:val="1"/>
    <w:qFormat/>
    <w:uiPriority w:val="6"/>
    <w:rPr>
      <w:rFonts w:ascii="仿宋_GB2312" w:eastAsia="仿宋_GB2312"/>
      <w:b/>
      <w:sz w:val="32"/>
      <w:szCs w:val="32"/>
    </w:rPr>
  </w:style>
  <w:style w:type="paragraph" w:customStyle="1" w:styleId="200">
    <w:name w:val="默认段落样式"/>
    <w:basedOn w:val="98"/>
    <w:qFormat/>
    <w:uiPriority w:val="0"/>
    <w:pPr>
      <w:spacing w:before="0"/>
      <w:ind w:firstLine="480"/>
      <w:outlineLvl w:val="2"/>
    </w:pPr>
    <w:rPr>
      <w:rFonts w:ascii="仿宋_GB2312" w:hAnsi="宋体" w:eastAsia="仿宋_GB2312"/>
      <w:color w:val="000000"/>
      <w:szCs w:val="24"/>
    </w:rPr>
  </w:style>
  <w:style w:type="paragraph" w:customStyle="1" w:styleId="201">
    <w:name w:val="图中文字"/>
    <w:basedOn w:val="1"/>
    <w:qFormat/>
    <w:uiPriority w:val="0"/>
    <w:pPr>
      <w:snapToGrid w:val="0"/>
      <w:spacing w:line="0" w:lineRule="atLeast"/>
      <w:ind w:firstLine="200" w:firstLineChars="200"/>
      <w:jc w:val="center"/>
    </w:pPr>
    <w:rPr>
      <w:sz w:val="24"/>
      <w:szCs w:val="20"/>
    </w:rPr>
  </w:style>
  <w:style w:type="paragraph" w:customStyle="1" w:styleId="20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3">
    <w:name w:val="MM Topic 3"/>
    <w:basedOn w:val="4"/>
    <w:qFormat/>
    <w:uiPriority w:val="0"/>
    <w:pPr>
      <w:tabs>
        <w:tab w:val="clear" w:pos="900"/>
      </w:tabs>
      <w:adjustRightInd/>
      <w:ind w:left="1680" w:hanging="420"/>
    </w:pPr>
  </w:style>
  <w:style w:type="paragraph" w:customStyle="1" w:styleId="204">
    <w:name w:val="标准小四"/>
    <w:basedOn w:val="1"/>
    <w:qFormat/>
    <w:uiPriority w:val="0"/>
    <w:pPr>
      <w:spacing w:line="360" w:lineRule="auto"/>
      <w:ind w:firstLine="480" w:firstLineChars="200"/>
    </w:pPr>
    <w:rPr>
      <w:rFonts w:ascii="Arial" w:hAnsi="Arial"/>
      <w:sz w:val="24"/>
      <w:szCs w:val="21"/>
    </w:rPr>
  </w:style>
  <w:style w:type="paragraph" w:customStyle="1" w:styleId="20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6">
    <w:name w:val="表格（小）"/>
    <w:basedOn w:val="1"/>
    <w:qFormat/>
    <w:uiPriority w:val="0"/>
    <w:pPr>
      <w:adjustRightInd/>
      <w:snapToGrid w:val="0"/>
      <w:spacing w:line="300" w:lineRule="auto"/>
    </w:pPr>
    <w:rPr>
      <w:rFonts w:eastAsia="仿宋"/>
      <w:szCs w:val="21"/>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Char2 Char Char1"/>
    <w:basedOn w:val="1"/>
    <w:qFormat/>
    <w:uiPriority w:val="6"/>
    <w:pPr>
      <w:adjustRightInd/>
    </w:pPr>
    <w:rPr>
      <w:rFonts w:ascii="Tahoma" w:hAnsi="Tahoma"/>
      <w:sz w:val="24"/>
      <w:szCs w:val="20"/>
    </w:rPr>
  </w:style>
  <w:style w:type="paragraph" w:customStyle="1" w:styleId="209">
    <w:name w:val="列出段落5"/>
    <w:basedOn w:val="1"/>
    <w:qFormat/>
    <w:uiPriority w:val="0"/>
    <w:pPr>
      <w:spacing w:line="360" w:lineRule="auto"/>
      <w:ind w:firstLine="200" w:firstLineChars="200"/>
    </w:pPr>
    <w:rPr>
      <w:rFonts w:eastAsia="楷体_GB2312" w:cs="Lucida Sans"/>
      <w:sz w:val="24"/>
    </w:rPr>
  </w:style>
  <w:style w:type="paragraph" w:customStyle="1" w:styleId="21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2">
    <w:name w:val="TOC 标题11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qFormat/>
    <w:uiPriority w:val="0"/>
    <w:pPr>
      <w:adjustRightInd/>
      <w:ind w:firstLine="200" w:firstLineChars="200"/>
      <w:jc w:val="right"/>
    </w:pPr>
  </w:style>
  <w:style w:type="paragraph" w:customStyle="1" w:styleId="219">
    <w:name w:val="Char Char11 Char Char Char Char Char Char Char Char Char"/>
    <w:basedOn w:val="1"/>
    <w:qFormat/>
    <w:uiPriority w:val="0"/>
    <w:pPr>
      <w:spacing w:line="360" w:lineRule="auto"/>
    </w:pPr>
    <w:rPr>
      <w:szCs w:val="20"/>
    </w:rPr>
  </w:style>
  <w:style w:type="paragraph" w:customStyle="1" w:styleId="220">
    <w:name w:val="正文1.25"/>
    <w:basedOn w:val="1"/>
    <w:qFormat/>
    <w:uiPriority w:val="0"/>
    <w:pPr>
      <w:adjustRightInd/>
      <w:spacing w:line="300" w:lineRule="auto"/>
      <w:ind w:firstLine="480" w:firstLineChars="200"/>
    </w:pPr>
    <w:rPr>
      <w:sz w:val="24"/>
      <w:szCs w:val="20"/>
    </w:rPr>
  </w:style>
  <w:style w:type="paragraph" w:customStyle="1" w:styleId="22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qFormat/>
    <w:uiPriority w:val="6"/>
    <w:rPr>
      <w:rFonts w:ascii="仿宋_GB2312" w:eastAsia="仿宋_GB2312"/>
      <w:b/>
      <w:sz w:val="32"/>
      <w:szCs w:val="20"/>
    </w:rPr>
  </w:style>
  <w:style w:type="paragraph" w:customStyle="1" w:styleId="225">
    <w:name w:val="列出段落2"/>
    <w:basedOn w:val="1"/>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qFormat/>
    <w:uiPriority w:val="0"/>
    <w:rPr>
      <w:rFonts w:eastAsia="仿宋_GB2312"/>
      <w:sz w:val="28"/>
      <w:szCs w:val="20"/>
    </w:rPr>
  </w:style>
  <w:style w:type="paragraph" w:customStyle="1" w:styleId="22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5"/>
    <w:qFormat/>
    <w:uiPriority w:val="0"/>
    <w:pPr>
      <w:widowControl/>
      <w:jc w:val="left"/>
    </w:pPr>
    <w:rPr>
      <w:rFonts w:cs="宋体"/>
      <w:sz w:val="24"/>
      <w:szCs w:val="20"/>
    </w:rPr>
  </w:style>
  <w:style w:type="paragraph" w:customStyle="1" w:styleId="229">
    <w:name w:val="彩色列表 - 强调文字颜色 11"/>
    <w:basedOn w:val="1"/>
    <w:qFormat/>
    <w:uiPriority w:val="0"/>
    <w:pPr>
      <w:adjustRightInd/>
      <w:ind w:firstLine="420" w:firstLineChars="200"/>
    </w:pPr>
    <w:rPr>
      <w:rFonts w:ascii="Calibri" w:hAnsi="Calibri"/>
      <w:szCs w:val="22"/>
    </w:rPr>
  </w:style>
  <w:style w:type="paragraph" w:customStyle="1" w:styleId="23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qFormat/>
    <w:uiPriority w:val="6"/>
    <w:rPr>
      <w:szCs w:val="20"/>
    </w:rPr>
  </w:style>
  <w:style w:type="paragraph" w:customStyle="1" w:styleId="23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cs="宋体"/>
      <w:szCs w:val="20"/>
    </w:rPr>
  </w:style>
  <w:style w:type="paragraph" w:customStyle="1" w:styleId="23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92"/>
    <w:next w:val="92"/>
    <w:qFormat/>
    <w:uiPriority w:val="0"/>
    <w:pPr>
      <w:spacing w:after="68"/>
    </w:pPr>
    <w:rPr>
      <w:rFonts w:ascii="FHLHE E+ Futura Bk" w:eastAsia="FHLHE E+ Futura Bk" w:cs="Times New Roman"/>
      <w:color w:val="auto"/>
    </w:rPr>
  </w:style>
  <w:style w:type="paragraph" w:customStyle="1" w:styleId="24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92"/>
    <w:next w:val="92"/>
    <w:qFormat/>
    <w:uiPriority w:val="0"/>
    <w:rPr>
      <w:rFonts w:ascii="宋体" w:eastAsia="宋体" w:cs="Times New Roman"/>
      <w:color w:val="auto"/>
    </w:rPr>
  </w:style>
  <w:style w:type="paragraph" w:customStyle="1" w:styleId="2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0"/>
    <w:rPr>
      <w:rFonts w:ascii="仿宋_GB2312" w:eastAsia="仿宋_GB2312"/>
      <w:b/>
      <w:sz w:val="32"/>
      <w:szCs w:val="32"/>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qFormat/>
    <w:uiPriority w:val="0"/>
    <w:pPr>
      <w:spacing w:line="360" w:lineRule="auto"/>
    </w:pPr>
    <w:rPr>
      <w:szCs w:val="20"/>
    </w:rPr>
  </w:style>
  <w:style w:type="paragraph" w:customStyle="1" w:styleId="249">
    <w:name w:val="Char"/>
    <w:basedOn w:val="1"/>
    <w:qFormat/>
    <w:uiPriority w:val="0"/>
    <w:rPr>
      <w:rFonts w:ascii="仿宋_GB2312" w:eastAsia="仿宋_GB2312"/>
      <w:b/>
      <w:sz w:val="32"/>
      <w:szCs w:val="32"/>
    </w:rPr>
  </w:style>
  <w:style w:type="paragraph" w:customStyle="1" w:styleId="25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0"/>
    <w:rPr>
      <w:szCs w:val="20"/>
    </w:rPr>
  </w:style>
  <w:style w:type="paragraph" w:customStyle="1" w:styleId="253">
    <w:name w:val="正文标准"/>
    <w:basedOn w:val="1"/>
    <w:qFormat/>
    <w:uiPriority w:val="0"/>
    <w:pPr>
      <w:adjustRightInd/>
      <w:spacing w:line="360" w:lineRule="auto"/>
      <w:ind w:firstLine="200" w:firstLineChars="200"/>
    </w:pPr>
    <w:rPr>
      <w:rFonts w:ascii="宋体" w:hAnsi="Calibri"/>
      <w:sz w:val="24"/>
    </w:rPr>
  </w:style>
  <w:style w:type="paragraph" w:customStyle="1" w:styleId="2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6">
    <w:name w:val="Char Char Char Char Char Char Char Char Char Char"/>
    <w:basedOn w:val="1"/>
    <w:qFormat/>
    <w:uiPriority w:val="0"/>
    <w:rPr>
      <w:rFonts w:ascii="仿宋_GB2312" w:eastAsia="仿宋_GB2312"/>
      <w:b/>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8">
    <w:name w:val="_正文段落"/>
    <w:basedOn w:val="1"/>
    <w:qFormat/>
    <w:uiPriority w:val="0"/>
    <w:pPr>
      <w:adjustRightInd/>
      <w:ind w:firstLine="560"/>
    </w:pPr>
    <w:rPr>
      <w:rFonts w:ascii="仿宋_GB2312" w:hAnsi="仿宋" w:eastAsia="仿宋_GB2312"/>
      <w:kern w:val="0"/>
      <w:sz w:val="28"/>
      <w:szCs w:val="28"/>
    </w:rPr>
  </w:style>
  <w:style w:type="paragraph" w:customStyle="1" w:styleId="26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1">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0"/>
    <w:rPr>
      <w:szCs w:val="20"/>
    </w:rPr>
  </w:style>
  <w:style w:type="paragraph" w:customStyle="1" w:styleId="27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7">
    <w:name w:val="默认段落字体 Para Char"/>
    <w:basedOn w:val="1"/>
    <w:qFormat/>
    <w:uiPriority w:val="0"/>
    <w:rPr>
      <w:rFonts w:ascii="Tahoma" w:hAnsi="Tahoma"/>
      <w:sz w:val="24"/>
      <w:szCs w:val="20"/>
    </w:rPr>
  </w:style>
  <w:style w:type="paragraph" w:customStyle="1" w:styleId="278">
    <w:name w:val="标题五"/>
    <w:basedOn w:val="1"/>
    <w:qFormat/>
    <w:uiPriority w:val="0"/>
    <w:pPr>
      <w:adjustRightInd/>
      <w:spacing w:before="156" w:beforeLines="50" w:line="360" w:lineRule="auto"/>
    </w:pPr>
    <w:rPr>
      <w:b/>
      <w:sz w:val="24"/>
    </w:rPr>
  </w:style>
  <w:style w:type="paragraph" w:customStyle="1" w:styleId="279">
    <w:name w:val="Char Char1101"/>
    <w:basedOn w:val="1"/>
    <w:qFormat/>
    <w:uiPriority w:val="0"/>
    <w:pPr>
      <w:spacing w:line="360" w:lineRule="auto"/>
    </w:pPr>
    <w:rPr>
      <w:rFonts w:ascii="Tahoma" w:hAnsi="Tahoma"/>
      <w:sz w:val="24"/>
      <w:szCs w:val="20"/>
    </w:rPr>
  </w:style>
  <w:style w:type="paragraph" w:customStyle="1" w:styleId="280">
    <w:name w:val="Char Char Char Char Char Char Char Char1"/>
    <w:basedOn w:val="1"/>
    <w:qFormat/>
    <w:uiPriority w:val="0"/>
    <w:pPr>
      <w:tabs>
        <w:tab w:val="left" w:pos="360"/>
      </w:tabs>
    </w:pPr>
    <w:rPr>
      <w:sz w:val="24"/>
      <w:szCs w:val="20"/>
    </w:rPr>
  </w:style>
  <w:style w:type="paragraph" w:customStyle="1" w:styleId="281">
    <w:name w:val="Char Char Char 字元 字元"/>
    <w:basedOn w:val="1"/>
    <w:qFormat/>
    <w:uiPriority w:val="0"/>
    <w:pPr>
      <w:adjustRightInd/>
      <w:spacing w:line="360" w:lineRule="auto"/>
      <w:ind w:firstLine="200" w:firstLineChars="200"/>
    </w:pPr>
    <w:rPr>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Char Char Char Char Char Char Char"/>
    <w:basedOn w:val="1"/>
    <w:qFormat/>
    <w:uiPriority w:val="0"/>
    <w:rPr>
      <w:rFonts w:ascii="仿宋_GB2312" w:eastAsia="仿宋_GB2312"/>
      <w:b/>
      <w:sz w:val="32"/>
      <w:szCs w:val="32"/>
    </w:rPr>
  </w:style>
  <w:style w:type="paragraph" w:customStyle="1" w:styleId="28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6">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rPr>
  </w:style>
  <w:style w:type="paragraph" w:customStyle="1" w:styleId="28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8">
    <w:name w:val="批注框文本 Char Char"/>
    <w:basedOn w:val="1"/>
    <w:qFormat/>
    <w:uiPriority w:val="0"/>
    <w:pPr>
      <w:adjustRightInd/>
    </w:pPr>
    <w:rPr>
      <w:sz w:val="18"/>
      <w:szCs w:val="20"/>
    </w:rPr>
  </w:style>
  <w:style w:type="paragraph" w:customStyle="1" w:styleId="28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3">
    <w:name w:val="索引 11"/>
    <w:basedOn w:val="1"/>
    <w:next w:val="1"/>
    <w:qFormat/>
    <w:uiPriority w:val="99"/>
    <w:pPr>
      <w:adjustRightInd/>
      <w:spacing w:line="360" w:lineRule="auto"/>
    </w:pPr>
    <w:rPr>
      <w:rFonts w:ascii="仿宋_GB2312" w:eastAsia="仿宋_GB2312"/>
      <w:sz w:val="24"/>
      <w:szCs w:val="20"/>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6">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7">
    <w:name w:val="文档正文"/>
    <w:basedOn w:val="1"/>
    <w:qFormat/>
    <w:uiPriority w:val="0"/>
    <w:pPr>
      <w:spacing w:line="480" w:lineRule="atLeast"/>
      <w:ind w:firstLine="567"/>
      <w:textAlignment w:val="baseline"/>
    </w:pPr>
    <w:rPr>
      <w:kern w:val="0"/>
      <w:sz w:val="24"/>
      <w:szCs w:val="20"/>
    </w:rPr>
  </w:style>
  <w:style w:type="paragraph" w:customStyle="1" w:styleId="298">
    <w:name w:val="正文文字表格居中"/>
    <w:basedOn w:val="1"/>
    <w:next w:val="58"/>
    <w:qFormat/>
    <w:uiPriority w:val="0"/>
    <w:pPr>
      <w:snapToGrid w:val="0"/>
      <w:spacing w:line="360" w:lineRule="auto"/>
    </w:pPr>
    <w:rPr>
      <w:rFonts w:ascii="宋体"/>
      <w:b/>
      <w:sz w:val="24"/>
      <w:szCs w:val="20"/>
    </w:rPr>
  </w:style>
  <w:style w:type="paragraph" w:customStyle="1" w:styleId="29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1">
    <w:name w:val="Plain Text1"/>
    <w:basedOn w:val="1"/>
    <w:qFormat/>
    <w:uiPriority w:val="7"/>
    <w:pPr>
      <w:adjustRightInd/>
    </w:pPr>
    <w:rPr>
      <w:rFonts w:ascii="宋体" w:hAnsi="Courier New"/>
    </w:rPr>
  </w:style>
  <w:style w:type="paragraph" w:customStyle="1" w:styleId="302">
    <w:name w:val="Char3"/>
    <w:basedOn w:val="1"/>
    <w:qFormat/>
    <w:uiPriority w:val="0"/>
    <w:pPr>
      <w:adjustRightInd/>
    </w:pPr>
    <w:rPr>
      <w:rFonts w:ascii="仿宋_GB2312" w:eastAsia="仿宋_GB2312"/>
      <w:b/>
      <w:sz w:val="32"/>
      <w:szCs w:val="32"/>
    </w:rPr>
  </w:style>
  <w:style w:type="paragraph" w:customStyle="1" w:styleId="30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5">
    <w:name w:val="标题2"/>
    <w:basedOn w:val="3"/>
    <w:next w:val="1"/>
    <w:qFormat/>
    <w:uiPriority w:val="0"/>
    <w:pPr>
      <w:tabs>
        <w:tab w:val="clear" w:pos="432"/>
      </w:tabs>
      <w:ind w:left="1440" w:hanging="360"/>
    </w:pPr>
    <w:rPr>
      <w:rFonts w:ascii="仿宋" w:eastAsia="仿宋" w:cs="宋体"/>
      <w:bCs w:val="0"/>
      <w:szCs w:val="28"/>
    </w:rPr>
  </w:style>
  <w:style w:type="paragraph" w:customStyle="1" w:styleId="306">
    <w:name w:val="List Paragraph1"/>
    <w:basedOn w:val="1"/>
    <w:qFormat/>
    <w:uiPriority w:val="0"/>
    <w:pPr>
      <w:spacing w:line="360" w:lineRule="auto"/>
      <w:ind w:firstLine="200" w:firstLineChars="200"/>
    </w:pPr>
    <w:rPr>
      <w:rFonts w:eastAsia="楷体_GB2312" w:cs="Lucida Sans"/>
      <w:sz w:val="24"/>
    </w:rPr>
  </w:style>
  <w:style w:type="paragraph" w:customStyle="1" w:styleId="3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0">
    <w:name w:val="Char3 Char Char Char"/>
    <w:basedOn w:val="1"/>
    <w:qFormat/>
    <w:uiPriority w:val="0"/>
    <w:pPr>
      <w:widowControl/>
      <w:adjustRightInd/>
      <w:spacing w:after="160" w:line="240" w:lineRule="exact"/>
      <w:jc w:val="left"/>
    </w:pPr>
    <w:rPr>
      <w:szCs w:val="20"/>
    </w:rPr>
  </w:style>
  <w:style w:type="paragraph" w:customStyle="1" w:styleId="311">
    <w:name w:val="表格标题2"/>
    <w:basedOn w:val="312"/>
    <w:qFormat/>
    <w:uiPriority w:val="0"/>
    <w:rPr>
      <w:b/>
    </w:rPr>
  </w:style>
  <w:style w:type="paragraph" w:customStyle="1" w:styleId="312">
    <w:name w:val="表格内文"/>
    <w:basedOn w:val="1"/>
    <w:qFormat/>
    <w:uiPriority w:val="0"/>
    <w:pPr>
      <w:adjustRightInd/>
      <w:spacing w:line="360" w:lineRule="auto"/>
    </w:pPr>
    <w:rPr>
      <w:rFonts w:ascii="宋体" w:hAnsi="宋体" w:cs="宋体"/>
      <w:color w:val="000000"/>
      <w:szCs w:val="20"/>
    </w:rPr>
  </w:style>
  <w:style w:type="paragraph" w:customStyle="1" w:styleId="313">
    <w:name w:val="Char Char Char Char Char Char Char Char Char Char2"/>
    <w:basedOn w:val="1"/>
    <w:qFormat/>
    <w:uiPriority w:val="0"/>
    <w:rPr>
      <w:rFonts w:ascii="仿宋_GB2312" w:eastAsia="仿宋_GB2312"/>
      <w:b/>
      <w:sz w:val="32"/>
      <w:szCs w:val="32"/>
    </w:rPr>
  </w:style>
  <w:style w:type="paragraph" w:customStyle="1" w:styleId="3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6">
    <w:name w:val="Char Char11 Char Char Char Char Char Char Char Char Char11"/>
    <w:basedOn w:val="1"/>
    <w:qFormat/>
    <w:uiPriority w:val="0"/>
    <w:pPr>
      <w:spacing w:line="360" w:lineRule="auto"/>
    </w:pPr>
    <w:rPr>
      <w:szCs w:val="20"/>
    </w:rPr>
  </w:style>
  <w:style w:type="paragraph" w:customStyle="1" w:styleId="31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9">
    <w:name w:val="MM Topic 1"/>
    <w:basedOn w:val="2"/>
    <w:qFormat/>
    <w:uiPriority w:val="0"/>
    <w:pPr>
      <w:tabs>
        <w:tab w:val="clear" w:pos="432"/>
      </w:tabs>
      <w:adjustRightInd/>
      <w:ind w:left="840" w:hanging="420"/>
    </w:pPr>
  </w:style>
  <w:style w:type="paragraph" w:customStyle="1" w:styleId="32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21">
    <w:name w:val="文本正文 Char"/>
    <w:basedOn w:val="1"/>
    <w:qFormat/>
    <w:uiPriority w:val="0"/>
    <w:pPr>
      <w:spacing w:line="360" w:lineRule="auto"/>
      <w:ind w:firstLine="200" w:firstLineChars="200"/>
    </w:pPr>
    <w:rPr>
      <w:kern w:val="0"/>
      <w:sz w:val="24"/>
      <w:szCs w:val="20"/>
    </w:rPr>
  </w:style>
  <w:style w:type="paragraph" w:customStyle="1" w:styleId="322">
    <w:name w:val="表格"/>
    <w:basedOn w:val="1"/>
    <w:qFormat/>
    <w:uiPriority w:val="0"/>
    <w:pPr>
      <w:snapToGrid w:val="0"/>
      <w:ind w:firstLine="42" w:firstLineChars="21"/>
    </w:pPr>
    <w:rPr>
      <w:rFonts w:ascii="宋体" w:hAnsi="宋体"/>
      <w:kern w:val="0"/>
      <w:sz w:val="20"/>
      <w:szCs w:val="20"/>
    </w:rPr>
  </w:style>
  <w:style w:type="paragraph" w:customStyle="1" w:styleId="323">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7">
    <w:name w:val="EB_表格"/>
    <w:basedOn w:val="1"/>
    <w:qFormat/>
    <w:uiPriority w:val="0"/>
    <w:pPr>
      <w:adjustRightInd/>
      <w:spacing w:line="300" w:lineRule="auto"/>
      <w:jc w:val="center"/>
    </w:pPr>
  </w:style>
  <w:style w:type="paragraph" w:customStyle="1" w:styleId="328">
    <w:name w:val="_Style 6"/>
    <w:basedOn w:val="1"/>
    <w:qFormat/>
    <w:uiPriority w:val="34"/>
    <w:pPr>
      <w:adjustRightInd/>
      <w:ind w:firstLine="420" w:firstLineChars="200"/>
    </w:pPr>
    <w:rPr>
      <w:rFonts w:eastAsia="仿宋_GB2312"/>
      <w:sz w:val="28"/>
    </w:rPr>
  </w:style>
  <w:style w:type="paragraph" w:customStyle="1" w:styleId="32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1">
    <w:name w:val="!大节"/>
    <w:basedOn w:val="3"/>
    <w:qFormat/>
    <w:uiPriority w:val="0"/>
    <w:pPr>
      <w:spacing w:before="260" w:after="260" w:line="415" w:lineRule="auto"/>
      <w:ind w:left="420" w:hanging="420"/>
    </w:pPr>
    <w:rPr>
      <w:rFonts w:ascii="Arial" w:hAnsi="Arial" w:eastAsia="微软雅黑"/>
    </w:rPr>
  </w:style>
  <w:style w:type="paragraph" w:customStyle="1" w:styleId="33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3">
    <w:name w:val="正文表标题"/>
    <w:next w:val="33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6">
    <w:name w:val="trademark"/>
    <w:qFormat/>
    <w:uiPriority w:val="0"/>
    <w:pPr>
      <w:spacing w:after="60"/>
    </w:pPr>
    <w:rPr>
      <w:rFonts w:ascii="Futura Bk" w:hAnsi="Futura Bk" w:eastAsia="宋体" w:cs="Times New Roman"/>
      <w:sz w:val="15"/>
      <w:lang w:val="en-US" w:eastAsia="en-US" w:bidi="ar-SA"/>
    </w:rPr>
  </w:style>
  <w:style w:type="paragraph" w:customStyle="1" w:styleId="33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8">
    <w:name w:val="Char Char1 Char Char Char Char Char Char1"/>
    <w:basedOn w:val="1"/>
    <w:qFormat/>
    <w:uiPriority w:val="0"/>
    <w:rPr>
      <w:rFonts w:ascii="仿宋_GB2312" w:eastAsia="仿宋_GB2312"/>
      <w:b/>
      <w:sz w:val="32"/>
      <w:szCs w:val="20"/>
    </w:rPr>
  </w:style>
  <w:style w:type="paragraph" w:customStyle="1" w:styleId="33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样式7"/>
    <w:basedOn w:val="343"/>
    <w:next w:val="1"/>
    <w:qFormat/>
    <w:uiPriority w:val="0"/>
    <w:pPr>
      <w:spacing w:after="156" w:afterLines="50"/>
      <w:jc w:val="left"/>
      <w:outlineLvl w:val="3"/>
    </w:pPr>
    <w:rPr>
      <w:sz w:val="24"/>
      <w:szCs w:val="24"/>
    </w:rPr>
  </w:style>
  <w:style w:type="paragraph" w:customStyle="1" w:styleId="3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6">
    <w:name w:val="样式 样式2 + 左侧:  1 字符 右侧:  1 字符"/>
    <w:basedOn w:val="15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7">
    <w:name w:val="Char2 Char Char2"/>
    <w:basedOn w:val="1"/>
    <w:qFormat/>
    <w:uiPriority w:val="0"/>
    <w:pPr>
      <w:adjustRightInd/>
    </w:pPr>
    <w:rPr>
      <w:rFonts w:ascii="Tahoma" w:hAnsi="Tahoma"/>
      <w:sz w:val="24"/>
      <w:szCs w:val="20"/>
    </w:rPr>
  </w:style>
  <w:style w:type="paragraph" w:customStyle="1" w:styleId="34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9">
    <w:name w:val="三级条标题"/>
    <w:basedOn w:val="350"/>
    <w:next w:val="334"/>
    <w:qFormat/>
    <w:uiPriority w:val="0"/>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0"/>
    <w:pPr>
      <w:tabs>
        <w:tab w:val="left" w:pos="1260"/>
        <w:tab w:val="left" w:pos="1680"/>
        <w:tab w:val="left" w:pos="2100"/>
      </w:tabs>
      <w:ind w:left="0"/>
      <w:outlineLvl w:val="3"/>
    </w:pPr>
  </w:style>
  <w:style w:type="paragraph" w:customStyle="1" w:styleId="351">
    <w:name w:val="一级条标题"/>
    <w:basedOn w:val="352"/>
    <w:next w:val="334"/>
    <w:qFormat/>
    <w:uiPriority w:val="0"/>
    <w:pPr>
      <w:tabs>
        <w:tab w:val="left" w:pos="1260"/>
        <w:tab w:val="left" w:pos="1680"/>
      </w:tabs>
      <w:spacing w:before="0" w:after="0"/>
      <w:ind w:left="1680"/>
      <w:outlineLvl w:val="2"/>
    </w:pPr>
  </w:style>
  <w:style w:type="paragraph" w:customStyle="1" w:styleId="352">
    <w:name w:val="章标题"/>
    <w:next w:val="33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3">
    <w:name w:val="数字标题2"/>
    <w:basedOn w:val="3"/>
    <w:next w:val="1"/>
    <w:qFormat/>
    <w:uiPriority w:val="0"/>
    <w:pPr>
      <w:tabs>
        <w:tab w:val="clear" w:pos="432"/>
      </w:tabs>
      <w:ind w:left="480" w:hanging="480"/>
    </w:pPr>
    <w:rPr>
      <w:rFonts w:ascii="Times New Roman"/>
      <w:i/>
      <w:sz w:val="36"/>
      <w:szCs w:val="36"/>
    </w:rPr>
  </w:style>
  <w:style w:type="paragraph" w:customStyle="1" w:styleId="35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标题 1Level 1 HeadPIM 1Section Headh1l11Heading 0Datash..."/>
    <w:basedOn w:val="2"/>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7">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9">
    <w:name w:val="正文 项目2"/>
    <w:basedOn w:val="360"/>
    <w:qFormat/>
    <w:uiPriority w:val="0"/>
    <w:pPr>
      <w:tabs>
        <w:tab w:val="left" w:pos="840"/>
      </w:tabs>
      <w:spacing w:after="0"/>
      <w:ind w:left="900"/>
    </w:pPr>
  </w:style>
  <w:style w:type="paragraph" w:customStyle="1" w:styleId="36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Body Text 2*"/>
    <w:basedOn w:val="1"/>
    <w:qFormat/>
    <w:uiPriority w:val="6"/>
    <w:pPr>
      <w:widowControl/>
      <w:adjustRightInd/>
      <w:ind w:left="720" w:hanging="720"/>
    </w:pPr>
    <w:rPr>
      <w:color w:val="000000"/>
      <w:kern w:val="0"/>
      <w:sz w:val="24"/>
      <w:szCs w:val="20"/>
    </w:rPr>
  </w:style>
  <w:style w:type="paragraph" w:customStyle="1" w:styleId="362">
    <w:name w:val="表1"/>
    <w:basedOn w:val="1"/>
    <w:qFormat/>
    <w:uiPriority w:val="0"/>
    <w:pPr>
      <w:tabs>
        <w:tab w:val="left" w:pos="703"/>
      </w:tabs>
      <w:adjustRightInd/>
      <w:spacing w:line="360" w:lineRule="auto"/>
      <w:ind w:left="703"/>
      <w:jc w:val="center"/>
    </w:pPr>
  </w:style>
  <w:style w:type="paragraph" w:customStyle="1" w:styleId="36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6">
    <w:name w:val="2级标题"/>
    <w:basedOn w:val="367"/>
    <w:qFormat/>
    <w:uiPriority w:val="0"/>
    <w:pPr>
      <w:jc w:val="left"/>
      <w:outlineLvl w:val="1"/>
    </w:pPr>
    <w:rPr>
      <w:rFonts w:ascii="Times New Roman" w:hAnsi="Times New Roman" w:eastAsia="仿宋"/>
      <w:sz w:val="30"/>
    </w:rPr>
  </w:style>
  <w:style w:type="paragraph" w:customStyle="1" w:styleId="36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2">
    <w:name w:val="bullet"/>
    <w:basedOn w:val="1"/>
    <w:qFormat/>
    <w:uiPriority w:val="0"/>
    <w:pPr>
      <w:tabs>
        <w:tab w:val="left" w:pos="840"/>
      </w:tabs>
      <w:adjustRightInd/>
      <w:ind w:left="840" w:hanging="420"/>
    </w:pPr>
  </w:style>
  <w:style w:type="paragraph" w:customStyle="1" w:styleId="37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0">
    <w:name w:val="MM Topic 4"/>
    <w:basedOn w:val="5"/>
    <w:qFormat/>
    <w:uiPriority w:val="0"/>
    <w:pPr>
      <w:tabs>
        <w:tab w:val="clear" w:pos="864"/>
      </w:tabs>
      <w:adjustRightInd/>
      <w:ind w:left="2100" w:hanging="420"/>
    </w:pPr>
    <w:rPr>
      <w:lang w:val="en-US"/>
    </w:rPr>
  </w:style>
  <w:style w:type="paragraph" w:customStyle="1" w:styleId="38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3">
    <w:name w:val="Char Char11 Char Char Char Char Char Char Char Char Char1"/>
    <w:basedOn w:val="1"/>
    <w:qFormat/>
    <w:uiPriority w:val="6"/>
    <w:pPr>
      <w:spacing w:line="360" w:lineRule="auto"/>
    </w:pPr>
    <w:rPr>
      <w:szCs w:val="20"/>
    </w:rPr>
  </w:style>
  <w:style w:type="paragraph" w:customStyle="1" w:styleId="38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0"/>
    <w:pPr>
      <w:adjustRightInd/>
      <w:spacing w:line="360" w:lineRule="auto"/>
      <w:jc w:val="center"/>
    </w:pPr>
    <w:rPr>
      <w:sz w:val="24"/>
    </w:rPr>
  </w:style>
  <w:style w:type="paragraph" w:customStyle="1" w:styleId="39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5">
    <w:name w:val="Char Char Char Char Char Char Char1"/>
    <w:basedOn w:val="1"/>
    <w:qFormat/>
    <w:uiPriority w:val="6"/>
    <w:rPr>
      <w:rFonts w:ascii="仿宋_GB2312" w:eastAsia="仿宋_GB2312"/>
      <w:b/>
      <w:sz w:val="32"/>
      <w:szCs w:val="32"/>
    </w:rPr>
  </w:style>
  <w:style w:type="paragraph" w:customStyle="1" w:styleId="3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7">
    <w:name w:val="Char3 Char Char Char11"/>
    <w:basedOn w:val="1"/>
    <w:qFormat/>
    <w:uiPriority w:val="0"/>
    <w:pPr>
      <w:widowControl/>
      <w:adjustRightInd/>
      <w:spacing w:after="160" w:line="240" w:lineRule="exact"/>
      <w:jc w:val="left"/>
    </w:pPr>
    <w:rPr>
      <w:szCs w:val="20"/>
    </w:rPr>
  </w:style>
  <w:style w:type="paragraph" w:customStyle="1" w:styleId="398">
    <w:name w:val="Char Char1121"/>
    <w:basedOn w:val="1"/>
    <w:qFormat/>
    <w:uiPriority w:val="0"/>
    <w:pPr>
      <w:spacing w:line="360" w:lineRule="auto"/>
    </w:pPr>
    <w:rPr>
      <w:szCs w:val="20"/>
    </w:rPr>
  </w:style>
  <w:style w:type="paragraph" w:customStyle="1" w:styleId="39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1">
    <w:name w:val="Normal0"/>
    <w:qFormat/>
    <w:uiPriority w:val="0"/>
    <w:rPr>
      <w:rFonts w:ascii="Times New Roman" w:hAnsi="Times New Roman" w:eastAsia="宋体" w:cs="Times New Roman"/>
      <w:lang w:val="en-US" w:eastAsia="en-US" w:bidi="ar-SA"/>
    </w:rPr>
  </w:style>
  <w:style w:type="paragraph" w:customStyle="1" w:styleId="402">
    <w:name w:val="带编号样式"/>
    <w:basedOn w:val="321"/>
    <w:qFormat/>
    <w:uiPriority w:val="0"/>
    <w:pPr>
      <w:tabs>
        <w:tab w:val="left" w:pos="840"/>
      </w:tabs>
      <w:snapToGrid w:val="0"/>
      <w:ind w:left="840" w:hanging="420" w:firstLineChars="0"/>
    </w:pPr>
    <w:rPr>
      <w:rFonts w:ascii="仿宋_GB2312" w:eastAsia="仿宋_GB2312"/>
      <w:color w:val="000000"/>
    </w:rPr>
  </w:style>
  <w:style w:type="paragraph" w:customStyle="1" w:styleId="40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5">
    <w:name w:val="封面"/>
    <w:basedOn w:val="1"/>
    <w:qFormat/>
    <w:uiPriority w:val="0"/>
    <w:pPr>
      <w:spacing w:line="360" w:lineRule="atLeast"/>
      <w:jc w:val="right"/>
      <w:textAlignment w:val="baseline"/>
    </w:pPr>
    <w:rPr>
      <w:rFonts w:ascii="Symbol" w:hAnsi="Symbol"/>
      <w:kern w:val="0"/>
      <w:szCs w:val="20"/>
    </w:rPr>
  </w:style>
  <w:style w:type="paragraph" w:customStyle="1" w:styleId="4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WW-正文文字缩进 2"/>
    <w:basedOn w:val="1"/>
    <w:qFormat/>
    <w:uiPriority w:val="0"/>
    <w:pPr>
      <w:suppressAutoHyphens/>
      <w:adjustRightInd/>
      <w:ind w:firstLine="420"/>
    </w:pPr>
    <w:rPr>
      <w:kern w:val="1"/>
      <w:szCs w:val="20"/>
    </w:rPr>
  </w:style>
  <w:style w:type="paragraph" w:customStyle="1" w:styleId="4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1">
    <w:name w:val="样式 标题 2 + 四号"/>
    <w:basedOn w:val="3"/>
    <w:qFormat/>
    <w:uiPriority w:val="0"/>
    <w:pPr>
      <w:spacing w:before="120" w:after="120"/>
      <w:ind w:left="0" w:firstLine="0"/>
      <w:jc w:val="both"/>
    </w:pPr>
    <w:rPr>
      <w:rFonts w:ascii="宋体" w:hAnsi="Arial"/>
      <w:sz w:val="28"/>
    </w:rPr>
  </w:style>
  <w:style w:type="paragraph" w:customStyle="1" w:styleId="412">
    <w:name w:val="有符号正文"/>
    <w:basedOn w:val="1"/>
    <w:qFormat/>
    <w:uiPriority w:val="0"/>
    <w:pPr>
      <w:adjustRightInd/>
      <w:spacing w:line="400" w:lineRule="exact"/>
      <w:ind w:firstLine="200" w:firstLineChars="200"/>
    </w:pPr>
    <w:rPr>
      <w:rFonts w:ascii="Arial" w:hAnsi="Arial"/>
    </w:rPr>
  </w:style>
  <w:style w:type="paragraph" w:customStyle="1" w:styleId="4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5">
    <w:name w:val="4"/>
    <w:basedOn w:val="1"/>
    <w:next w:val="39"/>
    <w:qFormat/>
    <w:uiPriority w:val="0"/>
    <w:pPr>
      <w:spacing w:after="120" w:line="480" w:lineRule="auto"/>
      <w:ind w:left="420" w:leftChars="200"/>
    </w:pPr>
    <w:rPr>
      <w:sz w:val="24"/>
      <w:szCs w:val="20"/>
    </w:rPr>
  </w:style>
  <w:style w:type="paragraph" w:customStyle="1" w:styleId="41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8">
    <w:name w:val="样式 标题 3H3 + 两端对齐"/>
    <w:basedOn w:val="4"/>
    <w:qFormat/>
    <w:uiPriority w:val="0"/>
    <w:pPr>
      <w:spacing w:before="0" w:after="0" w:line="240" w:lineRule="auto"/>
      <w:jc w:val="left"/>
    </w:pPr>
    <w:rPr>
      <w:rFonts w:cs="宋体"/>
      <w:sz w:val="21"/>
      <w:szCs w:val="20"/>
    </w:rPr>
  </w:style>
  <w:style w:type="paragraph" w:customStyle="1" w:styleId="41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4">
    <w:name w:val="Char Char1 Char Char Char"/>
    <w:basedOn w:val="1"/>
    <w:qFormat/>
    <w:uiPriority w:val="0"/>
    <w:rPr>
      <w:rFonts w:ascii="仿宋_GB2312" w:eastAsia="仿宋_GB2312"/>
      <w:b/>
      <w:sz w:val="32"/>
      <w:szCs w:val="20"/>
    </w:rPr>
  </w:style>
  <w:style w:type="paragraph" w:customStyle="1" w:styleId="42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8">
    <w:name w:val="Char Char1 Char Char Char2"/>
    <w:basedOn w:val="1"/>
    <w:qFormat/>
    <w:uiPriority w:val="0"/>
    <w:rPr>
      <w:rFonts w:ascii="仿宋_GB2312" w:eastAsia="仿宋_GB2312"/>
      <w:b/>
      <w:sz w:val="32"/>
      <w:szCs w:val="32"/>
    </w:rPr>
  </w:style>
  <w:style w:type="paragraph" w:customStyle="1" w:styleId="429">
    <w:name w:val="Char3 Char Char Char1"/>
    <w:basedOn w:val="1"/>
    <w:qFormat/>
    <w:uiPriority w:val="6"/>
    <w:pPr>
      <w:widowControl/>
      <w:adjustRightInd/>
      <w:spacing w:after="160" w:line="240" w:lineRule="exact"/>
      <w:jc w:val="left"/>
    </w:pPr>
    <w:rPr>
      <w:szCs w:val="20"/>
    </w:rPr>
  </w:style>
  <w:style w:type="paragraph" w:customStyle="1" w:styleId="430">
    <w:name w:val="Char1 Char Char Char21"/>
    <w:basedOn w:val="1"/>
    <w:qFormat/>
    <w:uiPriority w:val="0"/>
    <w:rPr>
      <w:rFonts w:ascii="Tahoma" w:hAnsi="Tahoma"/>
      <w:sz w:val="24"/>
      <w:szCs w:val="20"/>
    </w:rPr>
  </w:style>
  <w:style w:type="paragraph" w:customStyle="1" w:styleId="4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2">
    <w:name w:val="正文（标题三）"/>
    <w:basedOn w:val="1"/>
    <w:qFormat/>
    <w:uiPriority w:val="0"/>
    <w:pPr>
      <w:spacing w:line="360" w:lineRule="auto"/>
      <w:ind w:firstLine="200" w:firstLineChars="200"/>
    </w:pPr>
    <w:rPr>
      <w:sz w:val="24"/>
    </w:rPr>
  </w:style>
  <w:style w:type="paragraph" w:customStyle="1" w:styleId="43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8">
    <w:name w:val="Char1 Char Char Char4"/>
    <w:basedOn w:val="1"/>
    <w:qFormat/>
    <w:uiPriority w:val="0"/>
    <w:pPr>
      <w:adjustRightInd/>
      <w:ind w:firstLine="200" w:firstLineChars="200"/>
    </w:pPr>
    <w:rPr>
      <w:rFonts w:ascii="Tahoma" w:hAnsi="Tahoma"/>
      <w:sz w:val="24"/>
      <w:szCs w:val="20"/>
    </w:rPr>
  </w:style>
  <w:style w:type="paragraph" w:customStyle="1" w:styleId="439">
    <w:name w:val="_标题2"/>
    <w:basedOn w:val="406"/>
    <w:next w:val="40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0">
    <w:name w:val="样式1 + (中宋体"/>
    <w:basedOn w:val="41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4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4">
    <w:name w:val="四号　首行缩进"/>
    <w:basedOn w:val="1"/>
    <w:qFormat/>
    <w:uiPriority w:val="0"/>
    <w:pPr>
      <w:adjustRightInd/>
      <w:spacing w:line="360" w:lineRule="auto"/>
    </w:pPr>
    <w:rPr>
      <w:rFonts w:ascii="宋体" w:hAnsi="宋体"/>
      <w:szCs w:val="20"/>
    </w:rPr>
  </w:style>
  <w:style w:type="paragraph" w:customStyle="1" w:styleId="44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6">
    <w:name w:val="Char Char Char Char Char Char Char Char Char Char Char1 Char"/>
    <w:basedOn w:val="1"/>
    <w:qFormat/>
    <w:uiPriority w:val="0"/>
    <w:pPr>
      <w:adjustRightInd/>
    </w:pPr>
    <w:rPr>
      <w:rFonts w:ascii="Tahoma" w:hAnsi="Tahoma"/>
      <w:sz w:val="24"/>
    </w:rPr>
  </w:style>
  <w:style w:type="paragraph" w:customStyle="1" w:styleId="447">
    <w:name w:val="Char Char Char Char11"/>
    <w:basedOn w:val="1"/>
    <w:qFormat/>
    <w:uiPriority w:val="0"/>
    <w:rPr>
      <w:rFonts w:ascii="Tahoma" w:hAnsi="Tahoma"/>
      <w:sz w:val="24"/>
      <w:szCs w:val="20"/>
    </w:rPr>
  </w:style>
  <w:style w:type="paragraph" w:customStyle="1" w:styleId="44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9">
    <w:name w:val="Char Char Char Char"/>
    <w:basedOn w:val="1"/>
    <w:qFormat/>
    <w:uiPriority w:val="0"/>
    <w:rPr>
      <w:rFonts w:ascii="Tahoma" w:hAnsi="Tahoma"/>
      <w:sz w:val="24"/>
      <w:szCs w:val="20"/>
    </w:rPr>
  </w:style>
  <w:style w:type="paragraph" w:customStyle="1" w:styleId="45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1">
    <w:name w:val="Char19"/>
    <w:basedOn w:val="1"/>
    <w:qFormat/>
    <w:uiPriority w:val="0"/>
    <w:pPr>
      <w:adjustRightInd/>
    </w:pPr>
    <w:rPr>
      <w:szCs w:val="20"/>
    </w:rPr>
  </w:style>
  <w:style w:type="paragraph" w:customStyle="1" w:styleId="45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4">
    <w:name w:val="_Style 5"/>
    <w:basedOn w:val="1"/>
    <w:qFormat/>
    <w:uiPriority w:val="34"/>
    <w:pPr>
      <w:adjustRightInd/>
      <w:ind w:firstLine="420" w:firstLineChars="200"/>
    </w:pPr>
    <w:rPr>
      <w:rFonts w:eastAsia="仿宋_GB2312"/>
      <w:sz w:val="28"/>
    </w:rPr>
  </w:style>
  <w:style w:type="paragraph" w:customStyle="1" w:styleId="45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标书表格字体格式"/>
    <w:next w:val="452"/>
    <w:qFormat/>
    <w:uiPriority w:val="0"/>
    <w:rPr>
      <w:rFonts w:ascii="Times New Roman" w:hAnsi="Times New Roman" w:eastAsia="宋体" w:cs="Times New Roman"/>
      <w:kern w:val="2"/>
      <w:sz w:val="21"/>
      <w:szCs w:val="24"/>
      <w:lang w:val="en-US" w:eastAsia="zh-CN" w:bidi="ar-SA"/>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1">
    <w:name w:val="修订3"/>
    <w:qFormat/>
    <w:uiPriority w:val="0"/>
    <w:rPr>
      <w:rFonts w:ascii="Times New Roman" w:hAnsi="Times New Roman" w:eastAsia="宋体" w:cs="Times New Roman"/>
      <w:kern w:val="2"/>
      <w:sz w:val="21"/>
      <w:lang w:val="en-US" w:eastAsia="zh-CN" w:bidi="ar-SA"/>
    </w:rPr>
  </w:style>
  <w:style w:type="paragraph" w:customStyle="1" w:styleId="462">
    <w:name w:val="CSS1级正文 Char"/>
    <w:basedOn w:val="26"/>
    <w:qFormat/>
    <w:uiPriority w:val="0"/>
    <w:pPr>
      <w:snapToGrid w:val="0"/>
      <w:ind w:firstLine="480" w:firstLineChars="200"/>
    </w:pPr>
    <w:rPr>
      <w:rFonts w:ascii="Times New Roman"/>
      <w:szCs w:val="24"/>
      <w:lang w:val="en-US"/>
    </w:rPr>
  </w:style>
  <w:style w:type="paragraph" w:customStyle="1" w:styleId="4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4">
    <w:name w:val="表文字"/>
    <w:qFormat/>
    <w:uiPriority w:val="0"/>
    <w:rPr>
      <w:rFonts w:ascii="宋体" w:hAnsi="Times New Roman" w:eastAsia="宋体" w:cs="Times New Roman"/>
      <w:kern w:val="2"/>
      <w:lang w:val="en-US" w:eastAsia="zh-CN" w:bidi="ar-SA"/>
    </w:rPr>
  </w:style>
  <w:style w:type="paragraph" w:customStyle="1" w:styleId="465">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8">
    <w:name w:val="Char Char Char Char Char Char Char Char2"/>
    <w:basedOn w:val="1"/>
    <w:qFormat/>
    <w:uiPriority w:val="0"/>
    <w:pPr>
      <w:tabs>
        <w:tab w:val="left" w:pos="360"/>
      </w:tabs>
    </w:pPr>
    <w:rPr>
      <w:sz w:val="24"/>
      <w:szCs w:val="20"/>
    </w:rPr>
  </w:style>
  <w:style w:type="paragraph" w:customStyle="1" w:styleId="46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1">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7">
    <w:name w:val="p0"/>
    <w:basedOn w:val="1"/>
    <w:qFormat/>
    <w:uiPriority w:val="0"/>
    <w:pPr>
      <w:widowControl/>
      <w:adjustRightInd/>
    </w:pPr>
    <w:rPr>
      <w:kern w:val="0"/>
      <w:szCs w:val="21"/>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4"/>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49"/>
    <w:next w:val="334"/>
    <w:qFormat/>
    <w:uiPriority w:val="0"/>
    <w:pPr>
      <w:tabs>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8"/>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3"/>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20"/>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113"/>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6"/>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2"/>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2"/>
    <w:next w:val="1"/>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2"/>
    <w:qFormat/>
    <w:uiPriority w:val="0"/>
    <w:rPr>
      <w:b w:val="0"/>
      <w:sz w:val="20"/>
    </w:rPr>
  </w:style>
  <w:style w:type="paragraph" w:customStyle="1" w:styleId="586">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6"/>
    <w:next w:val="1"/>
    <w:qFormat/>
    <w:uiPriority w:val="0"/>
    <w:pPr>
      <w:tabs>
        <w:tab w:val="clear" w:pos="1008"/>
      </w:tabs>
      <w:ind w:left="1080" w:hanging="1080"/>
    </w:pPr>
  </w:style>
  <w:style w:type="paragraph" w:customStyle="1" w:styleId="589">
    <w:name w:val="数字标题1"/>
    <w:basedOn w:val="2"/>
    <w:next w:val="1"/>
    <w:qFormat/>
    <w:uiPriority w:val="0"/>
    <w:pPr>
      <w:tabs>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39"/>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6"/>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8"/>
    <w:qFormat/>
    <w:uiPriority w:val="0"/>
    <w:pPr>
      <w:adjustRightInd/>
      <w:spacing w:line="360" w:lineRule="auto"/>
      <w:ind w:firstLine="480" w:firstLineChars="200"/>
    </w:pPr>
    <w:rPr>
      <w:rFonts w:cs="宋体"/>
      <w:sz w:val="24"/>
      <w:szCs w:val="20"/>
    </w:rPr>
  </w:style>
  <w:style w:type="paragraph" w:customStyle="1" w:styleId="615">
    <w:name w:val="_Style 947"/>
    <w:basedOn w:val="1"/>
    <w:next w:val="113"/>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修订4"/>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正文文本首行缩进 21"/>
    <w:basedOn w:val="16"/>
    <w:qFormat/>
    <w:uiPriority w:val="99"/>
    <w:pPr>
      <w:tabs>
        <w:tab w:val="right" w:leader="dot" w:pos="8268"/>
      </w:tabs>
      <w:spacing w:line="200" w:lineRule="atLeast"/>
      <w:ind w:firstLine="420"/>
    </w:pPr>
    <w:rPr>
      <w:rFonts w:ascii="宋体"/>
      <w:spacing w:val="-4"/>
      <w:sz w:val="18"/>
    </w:rPr>
  </w:style>
  <w:style w:type="paragraph" w:customStyle="1" w:styleId="631">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2">
    <w:name w:val="No Spacing1"/>
    <w:qFormat/>
    <w:uiPriority w:val="0"/>
    <w:rPr>
      <w:rFonts w:ascii="Times New Roman" w:hAnsi="Times New Roman" w:eastAsia="??" w:cs="宋体"/>
      <w:sz w:val="22"/>
      <w:szCs w:val="22"/>
      <w:lang w:val="en-US" w:eastAsia="en-US" w:bidi="ar-SA"/>
    </w:rPr>
  </w:style>
  <w:style w:type="paragraph" w:customStyle="1" w:styleId="633">
    <w:name w:val="Style1"/>
    <w:basedOn w:val="1"/>
    <w:qFormat/>
    <w:uiPriority w:val="99"/>
    <w:pPr>
      <w:tabs>
        <w:tab w:val="left" w:pos="-720"/>
      </w:tabs>
      <w:spacing w:after="120"/>
    </w:pPr>
    <w:rPr>
      <w:spacing w:val="-3"/>
      <w:sz w:val="24"/>
      <w:szCs w:val="20"/>
      <w:lang w:eastAsia="en-US"/>
    </w:rPr>
  </w:style>
  <w:style w:type="paragraph" w:customStyle="1" w:styleId="634">
    <w:name w:val="表格文字（两侧对齐）"/>
    <w:basedOn w:val="1"/>
    <w:qFormat/>
    <w:uiPriority w:val="0"/>
    <w:pPr>
      <w:snapToGrid w:val="0"/>
    </w:pPr>
    <w:rPr>
      <w:sz w:val="20"/>
      <w:szCs w:val="24"/>
    </w:rPr>
  </w:style>
  <w:style w:type="paragraph" w:customStyle="1" w:styleId="635">
    <w:name w:val="Heading1"/>
    <w:basedOn w:val="1"/>
    <w:next w:val="1"/>
    <w:qFormat/>
    <w:uiPriority w:val="0"/>
    <w:pPr>
      <w:suppressAutoHyphens/>
      <w:spacing w:before="100" w:beforeAutospacing="1" w:after="100" w:afterAutospacing="1"/>
      <w:jc w:val="left"/>
      <w:textAlignment w:val="baseline"/>
    </w:pPr>
    <w:rPr>
      <w:rFonts w:ascii="宋体" w:hAnsi="宋体" w:eastAsia="宋体"/>
      <w:b/>
      <w:color w:val="000000"/>
      <w:kern w:val="44"/>
      <w:sz w:val="48"/>
      <w:szCs w:val="48"/>
      <w:lang w:val="en-US" w:eastAsia="zh-CN"/>
    </w:rPr>
  </w:style>
  <w:style w:type="paragraph" w:customStyle="1" w:styleId="636">
    <w:name w:val="List Paragraph"/>
    <w:basedOn w:val="1"/>
    <w:qFormat/>
    <w:uiPriority w:val="34"/>
    <w:pPr>
      <w:spacing w:line="360" w:lineRule="auto"/>
      <w:ind w:firstLine="200" w:firstLineChars="200"/>
    </w:pPr>
    <w:rPr>
      <w:rFonts w:eastAsia="楷体_GB2312" w:cs="Lucida Sans"/>
      <w:sz w:val="24"/>
    </w:rPr>
  </w:style>
  <w:style w:type="character" w:customStyle="1" w:styleId="637">
    <w:name w:val="标题 2 字符"/>
    <w:qFormat/>
    <w:uiPriority w:val="1"/>
    <w:rPr>
      <w:rFonts w:ascii="仿宋_GB2312" w:hAnsi="Times New Roman" w:eastAsia="仿宋_GB2312" w:cs="Times New Roman"/>
      <w:b/>
      <w:kern w:val="2"/>
      <w:sz w:val="24"/>
      <w:lang w:val="zh-CN"/>
    </w:rPr>
  </w:style>
  <w:style w:type="character" w:customStyle="1" w:styleId="638">
    <w:name w:val="表格非标题文字 Char"/>
    <w:link w:val="93"/>
    <w:qFormat/>
    <w:uiPriority w:val="0"/>
    <w:rPr>
      <w:rFonts w:ascii="Futura Bk" w:hAnsi="Futura Bk"/>
      <w:kern w:val="2"/>
      <w:sz w:val="18"/>
      <w:szCs w:val="21"/>
      <w:lang w:val="en-US" w:eastAsia="zh-CN" w:bidi="ar-SA"/>
    </w:rPr>
  </w:style>
  <w:style w:type="character" w:customStyle="1" w:styleId="639">
    <w:name w:val="*正文 Char"/>
    <w:link w:val="94"/>
    <w:qFormat/>
    <w:uiPriority w:val="0"/>
    <w:rPr>
      <w:rFonts w:ascii="宋体" w:hAnsi="宋体"/>
      <w:sz w:val="24"/>
    </w:rPr>
  </w:style>
  <w:style w:type="character" w:customStyle="1" w:styleId="640">
    <w:name w:val="Char Char71"/>
    <w:qFormat/>
    <w:uiPriority w:val="0"/>
    <w:rPr>
      <w:rFonts w:eastAsia="宋体"/>
      <w:kern w:val="2"/>
      <w:sz w:val="21"/>
      <w:szCs w:val="24"/>
      <w:lang w:val="en-US" w:eastAsia="zh-CN" w:bidi="ar-SA"/>
    </w:rPr>
  </w:style>
  <w:style w:type="character" w:customStyle="1" w:styleId="641">
    <w:name w:val="Char Char6"/>
    <w:qFormat/>
    <w:uiPriority w:val="0"/>
    <w:rPr>
      <w:rFonts w:eastAsia="宋体"/>
      <w:kern w:val="2"/>
      <w:sz w:val="21"/>
      <w:szCs w:val="24"/>
      <w:lang w:val="en-US" w:eastAsia="zh-CN" w:bidi="ar-SA"/>
    </w:rPr>
  </w:style>
  <w:style w:type="character" w:customStyle="1" w:styleId="642">
    <w:name w:val="正文缩进 Char"/>
    <w:qFormat/>
    <w:uiPriority w:val="0"/>
    <w:rPr>
      <w:rFonts w:eastAsia="宋体"/>
      <w:kern w:val="2"/>
      <w:sz w:val="21"/>
      <w:lang w:val="en-US" w:eastAsia="zh-CN"/>
    </w:rPr>
  </w:style>
  <w:style w:type="character" w:customStyle="1" w:styleId="643">
    <w:name w:val="正文首行缩进 Char1"/>
    <w:qFormat/>
    <w:uiPriority w:val="0"/>
    <w:rPr>
      <w:rFonts w:ascii="宋体" w:hAnsi="Times New Roman" w:eastAsia="宋体" w:cs="Times New Roman"/>
      <w:snapToGrid w:val="0"/>
      <w:kern w:val="2"/>
      <w:sz w:val="24"/>
      <w:szCs w:val="21"/>
      <w:lang w:val="zh-CN"/>
    </w:rPr>
  </w:style>
  <w:style w:type="character" w:customStyle="1" w:styleId="644">
    <w:name w:val="Char Char28"/>
    <w:qFormat/>
    <w:uiPriority w:val="6"/>
    <w:rPr>
      <w:rFonts w:ascii="仿宋_GB2312" w:hAnsi="仿宋_GB2312" w:eastAsia="仿宋_GB2312"/>
      <w:kern w:val="1"/>
      <w:sz w:val="28"/>
    </w:rPr>
  </w:style>
  <w:style w:type="character" w:customStyle="1" w:styleId="64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6">
    <w:name w:val="Heading 1 Char_e2eabb44-eaf4-44ae-a8f5-a6e4f98443a1"/>
    <w:qFormat/>
    <w:uiPriority w:val="6"/>
    <w:rPr>
      <w:rFonts w:ascii="Times New Roman" w:hAnsi="Times New Roman" w:eastAsia="黑体" w:cs="Times New Roman"/>
      <w:b/>
      <w:kern w:val="0"/>
      <w:sz w:val="24"/>
      <w:szCs w:val="24"/>
    </w:rPr>
  </w:style>
  <w:style w:type="character" w:customStyle="1" w:styleId="647">
    <w:name w:val="U_正文 Char"/>
    <w:link w:val="95"/>
    <w:qFormat/>
    <w:uiPriority w:val="0"/>
    <w:rPr>
      <w:sz w:val="24"/>
      <w:szCs w:val="24"/>
    </w:rPr>
  </w:style>
  <w:style w:type="character" w:customStyle="1" w:styleId="648">
    <w:name w:val="HTML 地址 Char1"/>
    <w:qFormat/>
    <w:uiPriority w:val="0"/>
    <w:rPr>
      <w:rFonts w:ascii="Times New Roman" w:hAnsi="Times New Roman" w:eastAsia="宋体" w:cs="Times New Roman"/>
      <w:i/>
      <w:iCs/>
      <w:szCs w:val="24"/>
    </w:rPr>
  </w:style>
  <w:style w:type="character" w:customStyle="1" w:styleId="649">
    <w:name w:val="批注主题 字符"/>
    <w:link w:val="62"/>
    <w:qFormat/>
    <w:uiPriority w:val="0"/>
    <w:rPr>
      <w:b/>
      <w:bCs/>
      <w:kern w:val="2"/>
      <w:sz w:val="21"/>
      <w:szCs w:val="24"/>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表正文 Char"/>
    <w:qFormat/>
    <w:uiPriority w:val="0"/>
    <w:rPr>
      <w:rFonts w:ascii="宋体" w:eastAsia="宋体"/>
      <w:snapToGrid w:val="0"/>
      <w:color w:val="000000"/>
      <w:kern w:val="28"/>
      <w:sz w:val="28"/>
      <w:lang w:val="en-US" w:eastAsia="zh-CN" w:bidi="ar-SA"/>
    </w:rPr>
  </w:style>
  <w:style w:type="character" w:customStyle="1" w:styleId="652">
    <w:name w:val="Char Char34"/>
    <w:qFormat/>
    <w:uiPriority w:val="6"/>
    <w:rPr>
      <w:b/>
      <w:kern w:val="1"/>
      <w:sz w:val="28"/>
      <w:szCs w:val="28"/>
    </w:rPr>
  </w:style>
  <w:style w:type="character" w:customStyle="1" w:styleId="653">
    <w:name w:val="Normal Indent Char"/>
    <w:qFormat/>
    <w:uiPriority w:val="0"/>
    <w:rPr>
      <w:rFonts w:ascii="Calibri" w:hAnsi="Calibri" w:eastAsia="宋体" w:cs="黑体"/>
      <w:snapToGrid w:val="0"/>
      <w:kern w:val="2"/>
      <w:sz w:val="24"/>
      <w:szCs w:val="22"/>
      <w:lang w:val="en-US" w:eastAsia="zh-CN" w:bidi="ar-SA"/>
    </w:rPr>
  </w:style>
  <w:style w:type="character" w:customStyle="1" w:styleId="654">
    <w:name w:val="哈哈正文 Char"/>
    <w:link w:val="96"/>
    <w:qFormat/>
    <w:uiPriority w:val="0"/>
    <w:rPr>
      <w:rFonts w:ascii="宋体" w:hAnsi="宋体" w:eastAsia="宋体"/>
      <w:kern w:val="2"/>
      <w:sz w:val="24"/>
      <w:lang w:bidi="ar-SA"/>
    </w:rPr>
  </w:style>
  <w:style w:type="character" w:customStyle="1" w:styleId="655">
    <w:name w:val="未处理的提及1"/>
    <w:qFormat/>
    <w:uiPriority w:val="0"/>
    <w:rPr>
      <w:color w:val="808080"/>
      <w:shd w:val="clear" w:color="auto" w:fill="E6E6E6"/>
    </w:rPr>
  </w:style>
  <w:style w:type="character" w:customStyle="1" w:styleId="656">
    <w:name w:val="txt"/>
    <w:qFormat/>
    <w:uiPriority w:val="0"/>
    <w:rPr>
      <w:rFonts w:ascii="仿宋_GB2312" w:eastAsia="微软雅黑"/>
      <w:b/>
      <w:kern w:val="2"/>
      <w:sz w:val="32"/>
      <w:szCs w:val="32"/>
      <w:lang w:val="en-US" w:eastAsia="zh-CN" w:bidi="ar-SA"/>
    </w:rPr>
  </w:style>
  <w:style w:type="character" w:customStyle="1" w:styleId="657">
    <w:name w:val="二级标题 Char Char"/>
    <w:qFormat/>
    <w:uiPriority w:val="0"/>
    <w:rPr>
      <w:rFonts w:ascii="宋体" w:hAnsi="宋体" w:eastAsia="宋体"/>
      <w:b/>
      <w:snapToGrid w:val="0"/>
      <w:kern w:val="2"/>
      <w:sz w:val="24"/>
      <w:szCs w:val="24"/>
      <w:lang w:val="en-US" w:eastAsia="zh-CN" w:bidi="ar-SA"/>
    </w:rPr>
  </w:style>
  <w:style w:type="character" w:customStyle="1" w:styleId="658">
    <w:name w:val="Char Char32"/>
    <w:qFormat/>
    <w:uiPriority w:val="6"/>
    <w:rPr>
      <w:b/>
      <w:kern w:val="1"/>
      <w:sz w:val="24"/>
      <w:szCs w:val="24"/>
    </w:rPr>
  </w:style>
  <w:style w:type="character" w:customStyle="1" w:styleId="659">
    <w:name w:val="PI Char1"/>
    <w:qFormat/>
    <w:uiPriority w:val="0"/>
    <w:rPr>
      <w:rFonts w:ascii="宋体" w:hAnsi="宋体"/>
      <w:kern w:val="2"/>
      <w:sz w:val="24"/>
      <w:szCs w:val="24"/>
    </w:rPr>
  </w:style>
  <w:style w:type="character" w:customStyle="1" w:styleId="660">
    <w:name w:val="tw4winTerm"/>
    <w:qFormat/>
    <w:uiPriority w:val="0"/>
    <w:rPr>
      <w:color w:val="0000FF"/>
    </w:rPr>
  </w:style>
  <w:style w:type="character" w:customStyle="1" w:styleId="661">
    <w:name w:val="Footer Char_93c0497a-00af-4325-bae7-f71d8006a5d4"/>
    <w:qFormat/>
    <w:uiPriority w:val="0"/>
    <w:rPr>
      <w:rFonts w:eastAsia="宋体"/>
      <w:kern w:val="2"/>
      <w:sz w:val="18"/>
      <w:lang w:val="en-US" w:eastAsia="zh-CN" w:bidi="ar-SA"/>
    </w:rPr>
  </w:style>
  <w:style w:type="character" w:customStyle="1" w:styleId="662">
    <w:name w:val="普通文字 Char Char1"/>
    <w:qFormat/>
    <w:uiPriority w:val="0"/>
    <w:rPr>
      <w:rFonts w:ascii="宋体" w:hAnsi="Courier New"/>
      <w:kern w:val="2"/>
      <w:sz w:val="21"/>
    </w:rPr>
  </w:style>
  <w:style w:type="character" w:customStyle="1" w:styleId="663">
    <w:name w:val="Char Char101"/>
    <w:qFormat/>
    <w:uiPriority w:val="6"/>
    <w:rPr>
      <w:rFonts w:ascii="宋体" w:hAnsi="宋体"/>
      <w:kern w:val="2"/>
      <w:sz w:val="21"/>
      <w:szCs w:val="24"/>
      <w:lang w:val="en-US" w:eastAsia="zh-CN"/>
    </w:rPr>
  </w:style>
  <w:style w:type="character" w:customStyle="1" w:styleId="664">
    <w:name w:val="标题 4 Char"/>
    <w:qFormat/>
    <w:uiPriority w:val="0"/>
    <w:rPr>
      <w:rFonts w:ascii="Arial" w:hAnsi="Arial" w:eastAsia="黑体"/>
      <w:b/>
      <w:kern w:val="2"/>
      <w:sz w:val="28"/>
    </w:rPr>
  </w:style>
  <w:style w:type="character" w:customStyle="1" w:styleId="665">
    <w:name w:val="链接"/>
    <w:qFormat/>
    <w:uiPriority w:val="0"/>
    <w:rPr>
      <w:color w:val="0000FF"/>
      <w:sz w:val="21"/>
      <w:szCs w:val="21"/>
      <w:u w:val="single"/>
    </w:rPr>
  </w:style>
  <w:style w:type="character" w:customStyle="1" w:styleId="666">
    <w:name w:val="h4 Char"/>
    <w:qFormat/>
    <w:uiPriority w:val="0"/>
    <w:rPr>
      <w:rFonts w:ascii="Arial" w:hAnsi="Arial" w:eastAsia="黑体"/>
      <w:b/>
      <w:bCs/>
      <w:kern w:val="2"/>
      <w:sz w:val="28"/>
      <w:szCs w:val="28"/>
      <w:lang w:val="zh-CN" w:eastAsia="zh-CN" w:bidi="ar-SA"/>
    </w:rPr>
  </w:style>
  <w:style w:type="character" w:customStyle="1" w:styleId="667">
    <w:name w:val="5正文 Char"/>
    <w:link w:val="97"/>
    <w:qFormat/>
    <w:uiPriority w:val="0"/>
    <w:rPr>
      <w:rFonts w:ascii="仿宋_GB2312" w:hAnsi="微软雅黑" w:eastAsia="仿宋_GB2312"/>
      <w:sz w:val="28"/>
      <w:szCs w:val="21"/>
    </w:rPr>
  </w:style>
  <w:style w:type="character" w:customStyle="1" w:styleId="668">
    <w:name w:val="标题 3 字符"/>
    <w:qFormat/>
    <w:uiPriority w:val="9"/>
    <w:rPr>
      <w:b/>
      <w:bCs/>
      <w:kern w:val="2"/>
      <w:sz w:val="32"/>
      <w:szCs w:val="32"/>
    </w:rPr>
  </w:style>
  <w:style w:type="character" w:customStyle="1" w:styleId="669">
    <w:name w:val="样式6 Char"/>
    <w:qFormat/>
    <w:uiPriority w:val="0"/>
    <w:rPr>
      <w:rFonts w:ascii="仿宋_GB2312" w:hAnsi="宋体" w:eastAsia="仿宋_GB2312"/>
      <w:b/>
      <w:bCs/>
      <w:kern w:val="2"/>
      <w:sz w:val="24"/>
      <w:szCs w:val="24"/>
      <w:lang w:val="en-US" w:eastAsia="zh-CN" w:bidi="ar-SA"/>
    </w:rPr>
  </w:style>
  <w:style w:type="character" w:customStyle="1" w:styleId="670">
    <w:name w:val="Char Char14"/>
    <w:qFormat/>
    <w:uiPriority w:val="6"/>
    <w:rPr>
      <w:rFonts w:ascii="黑体" w:hAnsi="黑体" w:eastAsia="黑体"/>
    </w:rPr>
  </w:style>
  <w:style w:type="character" w:customStyle="1" w:styleId="671">
    <w:name w:val="Heading 2 Hidden Char"/>
    <w:qFormat/>
    <w:uiPriority w:val="0"/>
    <w:rPr>
      <w:rFonts w:ascii="仿宋_GB2312" w:eastAsia="仿宋_GB2312"/>
      <w:b/>
      <w:bCs/>
      <w:kern w:val="2"/>
      <w:sz w:val="24"/>
      <w:szCs w:val="24"/>
      <w:lang w:val="zh-CN" w:eastAsia="zh-CN" w:bidi="ar-SA"/>
    </w:rPr>
  </w:style>
  <w:style w:type="character" w:customStyle="1" w:styleId="672">
    <w:name w:val="正文首行缩进 2 字符"/>
    <w:link w:val="17"/>
    <w:qFormat/>
    <w:uiPriority w:val="0"/>
    <w:rPr>
      <w:rFonts w:ascii="宋体" w:hAnsi="宋体"/>
      <w:kern w:val="2"/>
      <w:sz w:val="21"/>
      <w:szCs w:val="24"/>
    </w:rPr>
  </w:style>
  <w:style w:type="character" w:customStyle="1" w:styleId="673">
    <w:name w:val="font11"/>
    <w:qFormat/>
    <w:uiPriority w:val="0"/>
    <w:rPr>
      <w:rFonts w:hint="default" w:ascii="Times New Roman" w:hAnsi="Times New Roman" w:cs="Times New Roman"/>
      <w:color w:val="000000"/>
      <w:sz w:val="22"/>
      <w:szCs w:val="22"/>
      <w:u w:val="none"/>
    </w:rPr>
  </w:style>
  <w:style w:type="character" w:customStyle="1" w:styleId="674">
    <w:name w:val="表正文 Char1"/>
    <w:qFormat/>
    <w:uiPriority w:val="0"/>
    <w:rPr>
      <w:rFonts w:ascii="宋体" w:eastAsia="宋体"/>
      <w:snapToGrid w:val="0"/>
      <w:color w:val="000000"/>
      <w:kern w:val="28"/>
      <w:sz w:val="28"/>
    </w:rPr>
  </w:style>
  <w:style w:type="character" w:customStyle="1" w:styleId="675">
    <w:name w:val="blue1"/>
    <w:basedOn w:val="70"/>
    <w:qFormat/>
    <w:uiPriority w:val="0"/>
    <w:rPr>
      <w:rFonts w:ascii="Arial" w:hAnsi="Arial" w:eastAsia="黑体" w:cs="Arial"/>
      <w:snapToGrid w:val="0"/>
      <w:kern w:val="0"/>
      <w:szCs w:val="21"/>
    </w:rPr>
  </w:style>
  <w:style w:type="character" w:customStyle="1" w:styleId="67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7">
    <w:name w:val="标书1 Char"/>
    <w:qFormat/>
    <w:uiPriority w:val="0"/>
    <w:rPr>
      <w:rFonts w:eastAsia="宋体"/>
      <w:b/>
      <w:bCs/>
      <w:kern w:val="44"/>
      <w:sz w:val="44"/>
      <w:szCs w:val="44"/>
      <w:lang w:val="en-US" w:eastAsia="zh-CN" w:bidi="ar-SA"/>
    </w:rPr>
  </w:style>
  <w:style w:type="character" w:customStyle="1" w:styleId="678">
    <w:name w:val="样式5 Char"/>
    <w:qFormat/>
    <w:uiPriority w:val="0"/>
    <w:rPr>
      <w:rFonts w:ascii="仿宋_GB2312" w:hAnsi="仿宋" w:eastAsia="仿宋_GB2312"/>
      <w:kern w:val="2"/>
      <w:sz w:val="24"/>
      <w:szCs w:val="24"/>
    </w:rPr>
  </w:style>
  <w:style w:type="character" w:customStyle="1" w:styleId="679">
    <w:name w:val="样式4 Char"/>
    <w:qFormat/>
    <w:uiPriority w:val="0"/>
    <w:rPr>
      <w:rFonts w:ascii="仿宋_GB2312" w:hAnsi="仿宋" w:eastAsia="仿宋_GB2312"/>
      <w:b/>
      <w:kern w:val="2"/>
      <w:sz w:val="32"/>
      <w:szCs w:val="32"/>
      <w:lang w:bidi="ar-SA"/>
    </w:rPr>
  </w:style>
  <w:style w:type="character" w:customStyle="1" w:styleId="680">
    <w:name w:val="插图说明 Char"/>
    <w:qFormat/>
    <w:uiPriority w:val="0"/>
    <w:rPr>
      <w:rFonts w:eastAsia="黑体"/>
      <w:sz w:val="24"/>
      <w:lang w:val="en-US" w:eastAsia="zh-CN"/>
    </w:rPr>
  </w:style>
  <w:style w:type="character" w:customStyle="1" w:styleId="681">
    <w:name w:val="正文2 Char Char"/>
    <w:link w:val="98"/>
    <w:qFormat/>
    <w:uiPriority w:val="0"/>
    <w:rPr>
      <w:rFonts w:eastAsia="宋体"/>
      <w:kern w:val="2"/>
      <w:sz w:val="24"/>
      <w:lang w:val="en-US" w:eastAsia="zh-CN" w:bidi="ar-SA"/>
    </w:rPr>
  </w:style>
  <w:style w:type="character" w:customStyle="1" w:styleId="682">
    <w:name w:val="Char Char24"/>
    <w:qFormat/>
    <w:uiPriority w:val="6"/>
    <w:rPr>
      <w:kern w:val="1"/>
      <w:sz w:val="21"/>
    </w:rPr>
  </w:style>
  <w:style w:type="character" w:customStyle="1" w:styleId="683">
    <w:name w:val="副标题 字符"/>
    <w:link w:val="49"/>
    <w:qFormat/>
    <w:uiPriority w:val="0"/>
    <w:rPr>
      <w:rFonts w:ascii="Arial" w:hAnsi="Arial" w:eastAsia="隶书"/>
      <w:b/>
      <w:bCs/>
      <w:kern w:val="28"/>
      <w:sz w:val="44"/>
      <w:szCs w:val="32"/>
      <w:lang w:val="en-US" w:eastAsia="zh-CN" w:bidi="ar-SA"/>
    </w:rPr>
  </w:style>
  <w:style w:type="character" w:customStyle="1" w:styleId="684">
    <w:name w:val="普通文字 Char1 Char"/>
    <w:qFormat/>
    <w:uiPriority w:val="0"/>
    <w:rPr>
      <w:rFonts w:ascii="宋体" w:hAnsi="Courier New" w:eastAsia="宋体"/>
      <w:kern w:val="2"/>
      <w:sz w:val="21"/>
      <w:szCs w:val="24"/>
      <w:lang w:val="en-US" w:eastAsia="zh-CN" w:bidi="ar-SA"/>
    </w:rPr>
  </w:style>
  <w:style w:type="character" w:customStyle="1" w:styleId="685">
    <w:name w:val="h3 Char1"/>
    <w:qFormat/>
    <w:uiPriority w:val="0"/>
    <w:rPr>
      <w:rFonts w:eastAsia="宋体"/>
      <w:b/>
      <w:bCs/>
      <w:kern w:val="2"/>
      <w:sz w:val="32"/>
      <w:szCs w:val="32"/>
      <w:lang w:bidi="ar-SA"/>
    </w:rPr>
  </w:style>
  <w:style w:type="character" w:customStyle="1" w:styleId="686">
    <w:name w:val="标题 Char1"/>
    <w:qFormat/>
    <w:uiPriority w:val="0"/>
    <w:rPr>
      <w:rFonts w:ascii="Cambria" w:hAnsi="Cambria" w:eastAsia="宋体" w:cs="Times New Roman"/>
      <w:b/>
      <w:bCs/>
      <w:sz w:val="32"/>
      <w:szCs w:val="32"/>
      <w:lang w:bidi="ar-SA"/>
    </w:rPr>
  </w:style>
  <w:style w:type="character" w:customStyle="1" w:styleId="687">
    <w:name w:val="gf正文1 Char"/>
    <w:qFormat/>
    <w:uiPriority w:val="0"/>
    <w:rPr>
      <w:rFonts w:ascii="宋体" w:hAnsi="宋体" w:eastAsia="宋体" w:cs="宋体"/>
      <w:kern w:val="2"/>
      <w:sz w:val="24"/>
      <w:szCs w:val="24"/>
      <w:lang w:val="en-US" w:eastAsia="zh-CN" w:bidi="ar-SA"/>
    </w:rPr>
  </w:style>
  <w:style w:type="character" w:customStyle="1" w:styleId="688">
    <w:name w:val="正文文本缩进 Char1"/>
    <w:qFormat/>
    <w:uiPriority w:val="0"/>
    <w:rPr>
      <w:rFonts w:ascii="Calibri" w:hAnsi="Calibri"/>
      <w:sz w:val="28"/>
    </w:rPr>
  </w:style>
  <w:style w:type="character" w:customStyle="1" w:styleId="689">
    <w:name w:val="No Spacing Char"/>
    <w:link w:val="100"/>
    <w:qFormat/>
    <w:uiPriority w:val="1"/>
    <w:rPr>
      <w:sz w:val="22"/>
      <w:szCs w:val="22"/>
      <w:lang w:val="en-US" w:eastAsia="zh-CN" w:bidi="ar-SA"/>
    </w:rPr>
  </w:style>
  <w:style w:type="character" w:customStyle="1" w:styleId="690">
    <w:name w:val="样式7 Char"/>
    <w:qFormat/>
    <w:uiPriority w:val="0"/>
    <w:rPr>
      <w:rFonts w:ascii="仿宋_GB2312" w:hAnsi="仿宋" w:eastAsia="仿宋_GB2312"/>
      <w:b/>
      <w:kern w:val="2"/>
      <w:sz w:val="24"/>
      <w:szCs w:val="24"/>
    </w:rPr>
  </w:style>
  <w:style w:type="character" w:customStyle="1" w:styleId="691">
    <w:name w:val="font12gray1"/>
    <w:qFormat/>
    <w:uiPriority w:val="0"/>
    <w:rPr>
      <w:rFonts w:ascii="仿宋_GB2312" w:eastAsia="微软雅黑"/>
      <w:b/>
      <w:spacing w:val="300"/>
      <w:kern w:val="2"/>
      <w:sz w:val="18"/>
      <w:szCs w:val="18"/>
      <w:lang w:val="en-US" w:eastAsia="zh-CN" w:bidi="ar-SA"/>
    </w:rPr>
  </w:style>
  <w:style w:type="character" w:customStyle="1" w:styleId="692">
    <w:name w:val="Char Char7"/>
    <w:qFormat/>
    <w:uiPriority w:val="0"/>
    <w:rPr>
      <w:rFonts w:eastAsia="宋体"/>
      <w:kern w:val="2"/>
      <w:sz w:val="21"/>
      <w:szCs w:val="24"/>
      <w:lang w:val="en-US" w:eastAsia="zh-CN" w:bidi="ar-SA"/>
    </w:rPr>
  </w:style>
  <w:style w:type="character" w:customStyle="1" w:styleId="693">
    <w:name w:val="表名 Char"/>
    <w:qFormat/>
    <w:uiPriority w:val="0"/>
    <w:rPr>
      <w:rFonts w:eastAsia="宋体"/>
      <w:b/>
      <w:bCs/>
      <w:kern w:val="2"/>
      <w:sz w:val="24"/>
      <w:szCs w:val="24"/>
      <w:lang w:val="en-US" w:eastAsia="zh-CN" w:bidi="ar-SA"/>
    </w:rPr>
  </w:style>
  <w:style w:type="character" w:customStyle="1" w:styleId="694">
    <w:name w:val="Document Map Char"/>
    <w:qFormat/>
    <w:uiPriority w:val="0"/>
    <w:rPr>
      <w:rFonts w:eastAsia="宋体"/>
      <w:kern w:val="2"/>
      <w:sz w:val="21"/>
      <w:szCs w:val="24"/>
      <w:lang w:val="en-US" w:eastAsia="zh-CN" w:bidi="ar-SA"/>
    </w:rPr>
  </w:style>
  <w:style w:type="character" w:customStyle="1" w:styleId="695">
    <w:name w:val="font41"/>
    <w:qFormat/>
    <w:uiPriority w:val="0"/>
    <w:rPr>
      <w:rFonts w:hint="eastAsia" w:ascii="仿宋_GB2312" w:eastAsia="仿宋_GB2312" w:cs="仿宋_GB2312"/>
      <w:color w:val="000000"/>
      <w:sz w:val="22"/>
      <w:szCs w:val="22"/>
      <w:u w:val="none"/>
    </w:rPr>
  </w:style>
  <w:style w:type="character" w:customStyle="1" w:styleId="696">
    <w:name w:val="标题 6 字符"/>
    <w:link w:val="7"/>
    <w:qFormat/>
    <w:uiPriority w:val="0"/>
    <w:rPr>
      <w:rFonts w:ascii="Arial" w:hAnsi="Arial" w:eastAsia="黑体"/>
      <w:b/>
      <w:bCs/>
      <w:kern w:val="2"/>
      <w:sz w:val="24"/>
      <w:szCs w:val="24"/>
    </w:rPr>
  </w:style>
  <w:style w:type="character" w:customStyle="1" w:styleId="697">
    <w:name w:val="纯文本 Char_0"/>
    <w:link w:val="101"/>
    <w:qFormat/>
    <w:uiPriority w:val="0"/>
    <w:rPr>
      <w:rFonts w:ascii="宋体" w:hAnsi="Courier New"/>
      <w:kern w:val="2"/>
      <w:sz w:val="21"/>
      <w:szCs w:val="21"/>
      <w:lang w:val="en-US" w:eastAsia="zh-CN"/>
    </w:rPr>
  </w:style>
  <w:style w:type="character" w:customStyle="1" w:styleId="698">
    <w:name w:val="Balloon Text Char"/>
    <w:qFormat/>
    <w:uiPriority w:val="0"/>
    <w:rPr>
      <w:rFonts w:eastAsia="宋体"/>
      <w:kern w:val="2"/>
      <w:sz w:val="18"/>
      <w:szCs w:val="18"/>
      <w:lang w:val="en-US" w:eastAsia="zh-CN" w:bidi="ar-SA"/>
    </w:rPr>
  </w:style>
  <w:style w:type="character" w:customStyle="1" w:styleId="699">
    <w:name w:val="正文 项目2 Char"/>
    <w:basedOn w:val="700"/>
    <w:qFormat/>
    <w:uiPriority w:val="0"/>
    <w:rPr>
      <w:rFonts w:ascii="仿宋_GB2312" w:hAnsi="仿宋_GB2312" w:eastAsia="仿宋_GB2312"/>
      <w:kern w:val="2"/>
      <w:sz w:val="24"/>
      <w:lang w:bidi="ar-SA"/>
    </w:rPr>
  </w:style>
  <w:style w:type="character" w:customStyle="1" w:styleId="700">
    <w:name w:val="正文 项目 Char"/>
    <w:qFormat/>
    <w:uiPriority w:val="0"/>
    <w:rPr>
      <w:rFonts w:ascii="仿宋_GB2312" w:hAnsi="仿宋_GB2312" w:eastAsia="仿宋_GB2312"/>
      <w:kern w:val="2"/>
      <w:sz w:val="24"/>
      <w:lang w:bidi="ar-SA"/>
    </w:rPr>
  </w:style>
  <w:style w:type="character" w:customStyle="1" w:styleId="701">
    <w:name w:val="h Char Char1"/>
    <w:qFormat/>
    <w:uiPriority w:val="0"/>
    <w:rPr>
      <w:rFonts w:eastAsia="宋体"/>
      <w:kern w:val="2"/>
      <w:sz w:val="18"/>
      <w:szCs w:val="18"/>
      <w:lang w:val="en-US" w:eastAsia="zh-CN" w:bidi="ar-SA"/>
    </w:rPr>
  </w:style>
  <w:style w:type="character" w:customStyle="1" w:styleId="702">
    <w:name w:val="Char Char27"/>
    <w:qFormat/>
    <w:uiPriority w:val="6"/>
    <w:rPr>
      <w:rFonts w:ascii="宋体" w:hAnsi="宋体" w:eastAsia="宋体"/>
      <w:color w:val="000000"/>
      <w:kern w:val="1"/>
      <w:sz w:val="28"/>
      <w:lang w:val="en-US" w:eastAsia="zh-CN" w:bidi="ar-SA"/>
    </w:rPr>
  </w:style>
  <w:style w:type="character" w:customStyle="1" w:styleId="703">
    <w:name w:val="px14"/>
    <w:qFormat/>
    <w:uiPriority w:val="0"/>
    <w:rPr>
      <w:rFonts w:ascii="仿宋_GB2312" w:eastAsia="微软雅黑" w:cs="Times New Roman"/>
      <w:b/>
      <w:kern w:val="2"/>
      <w:sz w:val="32"/>
      <w:szCs w:val="32"/>
      <w:lang w:val="en-US" w:eastAsia="zh-CN" w:bidi="ar-SA"/>
    </w:rPr>
  </w:style>
  <w:style w:type="character" w:customStyle="1" w:styleId="704">
    <w:name w:val="HTML 预设格式 Char1"/>
    <w:qFormat/>
    <w:uiPriority w:val="0"/>
    <w:rPr>
      <w:rFonts w:ascii="Courier New" w:hAnsi="Courier New" w:eastAsia="宋体" w:cs="Courier New"/>
      <w:sz w:val="20"/>
      <w:szCs w:val="20"/>
    </w:rPr>
  </w:style>
  <w:style w:type="character" w:customStyle="1" w:styleId="705">
    <w:name w:val="普通文字 Char1"/>
    <w:qFormat/>
    <w:uiPriority w:val="0"/>
    <w:rPr>
      <w:rFonts w:ascii="宋体" w:hAnsi="Courier New" w:eastAsia="宋体"/>
      <w:kern w:val="2"/>
      <w:sz w:val="21"/>
      <w:lang w:val="en-US" w:eastAsia="zh-CN"/>
    </w:rPr>
  </w:style>
  <w:style w:type="character" w:customStyle="1" w:styleId="706">
    <w:name w:val="hei16b1"/>
    <w:qFormat/>
    <w:uiPriority w:val="0"/>
    <w:rPr>
      <w:rFonts w:hint="default" w:ascii="Arial" w:hAnsi="Arial" w:cs="Arial"/>
      <w:b/>
      <w:bCs/>
      <w:color w:val="000000"/>
      <w:sz w:val="24"/>
      <w:szCs w:val="24"/>
    </w:rPr>
  </w:style>
  <w:style w:type="character" w:customStyle="1" w:styleId="707">
    <w:name w:val="正文（绿盟科技） Char"/>
    <w:link w:val="103"/>
    <w:qFormat/>
    <w:uiPriority w:val="0"/>
    <w:rPr>
      <w:rFonts w:ascii="Arial" w:hAnsi="Arial"/>
      <w:sz w:val="21"/>
      <w:szCs w:val="21"/>
    </w:rPr>
  </w:style>
  <w:style w:type="character" w:customStyle="1" w:styleId="708">
    <w:name w:val="Char Char19"/>
    <w:qFormat/>
    <w:uiPriority w:val="6"/>
    <w:rPr>
      <w:rFonts w:ascii="宋体" w:hAnsi="宋体"/>
      <w:i/>
      <w:sz w:val="24"/>
      <w:szCs w:val="24"/>
    </w:rPr>
  </w:style>
  <w:style w:type="character" w:customStyle="1" w:styleId="709">
    <w:name w:val="页脚 Char"/>
    <w:qFormat/>
    <w:uiPriority w:val="0"/>
    <w:rPr>
      <w:rFonts w:eastAsia="仿宋_GB2312"/>
      <w:kern w:val="2"/>
      <w:sz w:val="18"/>
      <w:lang w:val="en-US" w:eastAsia="zh-CN"/>
    </w:rPr>
  </w:style>
  <w:style w:type="character" w:customStyle="1" w:styleId="710">
    <w:name w:val="批注主题 Char"/>
    <w:qFormat/>
    <w:uiPriority w:val="0"/>
    <w:rPr>
      <w:rFonts w:eastAsia="宋体"/>
      <w:b/>
      <w:bCs/>
      <w:kern w:val="2"/>
      <w:sz w:val="21"/>
      <w:szCs w:val="24"/>
      <w:lang w:val="en-US" w:eastAsia="zh-CN" w:bidi="ar-SA"/>
    </w:rPr>
  </w:style>
  <w:style w:type="character" w:customStyle="1" w:styleId="711">
    <w:name w:val="Comment Text Char"/>
    <w:qFormat/>
    <w:uiPriority w:val="0"/>
    <w:rPr>
      <w:rFonts w:ascii="宋体" w:hAnsi="宋体" w:eastAsia="宋体"/>
      <w:kern w:val="2"/>
      <w:sz w:val="24"/>
      <w:lang w:val="en-US" w:eastAsia="zh-CN" w:bidi="ar-SA"/>
    </w:rPr>
  </w:style>
  <w:style w:type="character" w:customStyle="1" w:styleId="712">
    <w:name w:val="Char Char72"/>
    <w:qFormat/>
    <w:uiPriority w:val="0"/>
    <w:rPr>
      <w:rFonts w:eastAsia="宋体"/>
      <w:kern w:val="2"/>
      <w:sz w:val="21"/>
      <w:szCs w:val="24"/>
      <w:lang w:val="en-US" w:eastAsia="zh-CN" w:bidi="ar-SA"/>
    </w:rPr>
  </w:style>
  <w:style w:type="character" w:customStyle="1" w:styleId="713">
    <w:name w:val="正文文本缩进 Char2"/>
    <w:qFormat/>
    <w:uiPriority w:val="0"/>
    <w:rPr>
      <w:rFonts w:ascii="Times New Roman" w:hAnsi="Times New Roman" w:eastAsia="宋体" w:cs="Times New Roman"/>
      <w:snapToGrid w:val="0"/>
      <w:kern w:val="0"/>
      <w:szCs w:val="24"/>
    </w:rPr>
  </w:style>
  <w:style w:type="character" w:customStyle="1" w:styleId="714">
    <w:name w:val="样式2 Char"/>
    <w:qFormat/>
    <w:uiPriority w:val="0"/>
    <w:rPr>
      <w:rFonts w:ascii="仿宋_GB2312" w:hAnsi="仿宋" w:eastAsia="仿宋_GB2312" w:cs="仿宋_GB2312"/>
      <w:b/>
      <w:bCs/>
      <w:sz w:val="32"/>
      <w:szCs w:val="30"/>
      <w:lang w:val="zh-CN"/>
    </w:rPr>
  </w:style>
  <w:style w:type="character" w:customStyle="1" w:styleId="715">
    <w:name w:val="表格名称[858D7CFB-ED40-4347-BF05-701D383B685F]"/>
    <w:link w:val="104"/>
    <w:qFormat/>
    <w:uiPriority w:val="0"/>
    <w:rPr>
      <w:sz w:val="32"/>
    </w:rPr>
  </w:style>
  <w:style w:type="character" w:customStyle="1" w:styleId="716">
    <w:name w:val="Char Char4"/>
    <w:qFormat/>
    <w:uiPriority w:val="0"/>
    <w:rPr>
      <w:rFonts w:eastAsia="宋体"/>
      <w:b/>
      <w:sz w:val="24"/>
      <w:lang w:eastAsia="zh-CN" w:bidi="ar-SA"/>
    </w:rPr>
  </w:style>
  <w:style w:type="character" w:customStyle="1" w:styleId="717">
    <w:name w:val="c7 style3"/>
    <w:qFormat/>
    <w:uiPriority w:val="0"/>
  </w:style>
  <w:style w:type="character" w:customStyle="1" w:styleId="718">
    <w:name w:val="正文文本 3 Char1"/>
    <w:qFormat/>
    <w:uiPriority w:val="99"/>
    <w:rPr>
      <w:rFonts w:ascii="Times New Roman" w:hAnsi="Times New Roman" w:eastAsia="宋体" w:cs="Times New Roman"/>
      <w:sz w:val="16"/>
      <w:szCs w:val="16"/>
    </w:rPr>
  </w:style>
  <w:style w:type="character" w:customStyle="1" w:styleId="719">
    <w:name w:val="tw4winInternal"/>
    <w:qFormat/>
    <w:uiPriority w:val="0"/>
    <w:rPr>
      <w:rFonts w:ascii="Courier New" w:hAnsi="Courier New" w:cs="Courier New"/>
      <w:color w:val="FF0000"/>
      <w:lang w:val="en-US" w:eastAsia="zh-CN"/>
    </w:rPr>
  </w:style>
  <w:style w:type="character" w:customStyle="1" w:styleId="720">
    <w:name w:val="Char Char10"/>
    <w:qFormat/>
    <w:uiPriority w:val="0"/>
    <w:rPr>
      <w:rFonts w:ascii="宋体" w:hAnsi="宋体"/>
      <w:kern w:val="2"/>
      <w:sz w:val="21"/>
      <w:szCs w:val="24"/>
      <w:lang w:val="en-US" w:eastAsia="zh-CN"/>
    </w:rPr>
  </w:style>
  <w:style w:type="character" w:customStyle="1" w:styleId="721">
    <w:name w:val="shadow11"/>
    <w:qFormat/>
    <w:uiPriority w:val="0"/>
    <w:rPr>
      <w:color w:val="000000"/>
      <w:sz w:val="21"/>
    </w:rPr>
  </w:style>
  <w:style w:type="character" w:customStyle="1" w:styleId="722">
    <w:name w:val="正文非缩进 Char3"/>
    <w:qFormat/>
    <w:uiPriority w:val="0"/>
    <w:rPr>
      <w:rFonts w:ascii="宋体" w:eastAsia="宋体"/>
      <w:snapToGrid w:val="0"/>
      <w:color w:val="000000"/>
      <w:kern w:val="28"/>
      <w:sz w:val="28"/>
      <w:lang w:val="en-US" w:eastAsia="zh-CN" w:bidi="ar-SA"/>
    </w:rPr>
  </w:style>
  <w:style w:type="character" w:customStyle="1" w:styleId="723">
    <w:name w:val="Char Char"/>
    <w:qFormat/>
    <w:uiPriority w:val="0"/>
    <w:rPr>
      <w:rFonts w:ascii="宋体" w:hAnsi="Courier New" w:eastAsia="宋体"/>
      <w:kern w:val="2"/>
      <w:sz w:val="21"/>
      <w:lang w:val="en-US" w:eastAsia="zh-CN" w:bidi="ar-SA"/>
    </w:rPr>
  </w:style>
  <w:style w:type="character" w:customStyle="1" w:styleId="724">
    <w:name w:val="签名 Char1"/>
    <w:qFormat/>
    <w:uiPriority w:val="0"/>
    <w:rPr>
      <w:rFonts w:ascii="Times New Roman" w:hAnsi="Times New Roman" w:eastAsia="宋体" w:cs="Times New Roman"/>
      <w:szCs w:val="24"/>
    </w:rPr>
  </w:style>
  <w:style w:type="character" w:customStyle="1" w:styleId="725">
    <w:name w:val="日期 字符"/>
    <w:link w:val="38"/>
    <w:qFormat/>
    <w:uiPriority w:val="0"/>
    <w:rPr>
      <w:rFonts w:ascii="宋体"/>
      <w:kern w:val="2"/>
      <w:sz w:val="24"/>
      <w:szCs w:val="21"/>
      <w:lang w:val="zh-CN"/>
    </w:rPr>
  </w:style>
  <w:style w:type="character" w:customStyle="1" w:styleId="726">
    <w:name w:val="标题 9 字符"/>
    <w:link w:val="10"/>
    <w:qFormat/>
    <w:uiPriority w:val="0"/>
    <w:rPr>
      <w:rFonts w:ascii="Arial" w:hAnsi="Arial" w:eastAsia="黑体"/>
      <w:kern w:val="2"/>
      <w:sz w:val="21"/>
      <w:szCs w:val="21"/>
    </w:rPr>
  </w:style>
  <w:style w:type="character" w:customStyle="1" w:styleId="727">
    <w:name w:val="Char Char18"/>
    <w:qFormat/>
    <w:uiPriority w:val="6"/>
    <w:rPr>
      <w:rFonts w:ascii="宋体" w:hAnsi="宋体"/>
      <w:sz w:val="28"/>
    </w:rPr>
  </w:style>
  <w:style w:type="character" w:customStyle="1" w:styleId="728">
    <w:name w:val="批注文字 Char"/>
    <w:qFormat/>
    <w:uiPriority w:val="99"/>
    <w:rPr>
      <w:kern w:val="2"/>
      <w:sz w:val="21"/>
      <w:szCs w:val="24"/>
    </w:rPr>
  </w:style>
  <w:style w:type="character" w:customStyle="1" w:styleId="729">
    <w:name w:val="Char Char22"/>
    <w:qFormat/>
    <w:uiPriority w:val="6"/>
    <w:rPr>
      <w:rFonts w:ascii="宋体" w:hAnsi="宋体"/>
      <w:kern w:val="1"/>
      <w:sz w:val="24"/>
      <w:szCs w:val="24"/>
    </w:rPr>
  </w:style>
  <w:style w:type="character" w:customStyle="1" w:styleId="730">
    <w:name w:val="pt141"/>
    <w:qFormat/>
    <w:uiPriority w:val="0"/>
    <w:rPr>
      <w:color w:val="330066"/>
      <w:sz w:val="22"/>
      <w:szCs w:val="22"/>
    </w:rPr>
  </w:style>
  <w:style w:type="character" w:customStyle="1" w:styleId="731">
    <w:name w:val="正文文本缩进 2 Char1"/>
    <w:qFormat/>
    <w:uiPriority w:val="99"/>
    <w:rPr>
      <w:rFonts w:ascii="Times New Roman" w:hAnsi="Times New Roman" w:eastAsia="宋体" w:cs="Times New Roman"/>
      <w:szCs w:val="24"/>
    </w:rPr>
  </w:style>
  <w:style w:type="character" w:customStyle="1" w:styleId="732">
    <w:name w:val="批注框文本 字符1"/>
    <w:link w:val="41"/>
    <w:qFormat/>
    <w:uiPriority w:val="0"/>
    <w:rPr>
      <w:kern w:val="2"/>
      <w:sz w:val="18"/>
      <w:szCs w:val="18"/>
    </w:rPr>
  </w:style>
  <w:style w:type="character" w:customStyle="1" w:styleId="733">
    <w:name w:val="Char Char611"/>
    <w:qFormat/>
    <w:uiPriority w:val="0"/>
    <w:rPr>
      <w:rFonts w:eastAsia="宋体"/>
      <w:kern w:val="2"/>
      <w:sz w:val="21"/>
      <w:szCs w:val="24"/>
      <w:lang w:val="en-US" w:eastAsia="zh-CN" w:bidi="ar-SA"/>
    </w:rPr>
  </w:style>
  <w:style w:type="character" w:customStyle="1" w:styleId="734">
    <w:name w:val="highlight1"/>
    <w:qFormat/>
    <w:uiPriority w:val="0"/>
    <w:rPr>
      <w:rFonts w:ascii="仿宋_GB2312" w:eastAsia="微软雅黑"/>
      <w:b/>
      <w:kern w:val="2"/>
      <w:sz w:val="23"/>
      <w:szCs w:val="23"/>
      <w:lang w:val="en-US" w:eastAsia="zh-CN" w:bidi="ar-SA"/>
    </w:rPr>
  </w:style>
  <w:style w:type="character" w:customStyle="1" w:styleId="735">
    <w:name w:val="my正文 Char"/>
    <w:link w:val="105"/>
    <w:qFormat/>
    <w:uiPriority w:val="0"/>
    <w:rPr>
      <w:rFonts w:ascii="Tahoma" w:hAnsi="Tahoma"/>
      <w:sz w:val="24"/>
      <w:szCs w:val="24"/>
    </w:rPr>
  </w:style>
  <w:style w:type="character" w:customStyle="1" w:styleId="736">
    <w:name w:val="正文缩进 字符2"/>
    <w:link w:val="15"/>
    <w:qFormat/>
    <w:uiPriority w:val="0"/>
    <w:rPr>
      <w:rFonts w:ascii="宋体" w:eastAsia="宋体"/>
      <w:snapToGrid w:val="0"/>
      <w:color w:val="000000"/>
      <w:kern w:val="28"/>
      <w:sz w:val="28"/>
      <w:lang w:val="en-US" w:eastAsia="zh-CN" w:bidi="ar-SA"/>
    </w:rPr>
  </w:style>
  <w:style w:type="character" w:customStyle="1" w:styleId="737">
    <w:name w:val="Used by Word for text of Help footnotes Char Char1"/>
    <w:qFormat/>
    <w:uiPriority w:val="0"/>
    <w:rPr>
      <w:color w:val="0000FF"/>
      <w:sz w:val="21"/>
    </w:rPr>
  </w:style>
  <w:style w:type="character" w:customStyle="1" w:styleId="738">
    <w:name w:val="页眉 Char"/>
    <w:qFormat/>
    <w:uiPriority w:val="0"/>
    <w:rPr>
      <w:rFonts w:eastAsia="仿宋_GB2312"/>
      <w:kern w:val="2"/>
      <w:sz w:val="18"/>
      <w:lang w:val="en-US" w:eastAsia="zh-CN"/>
    </w:rPr>
  </w:style>
  <w:style w:type="character" w:customStyle="1" w:styleId="739">
    <w:name w:val="FA正文 Char Char"/>
    <w:qFormat/>
    <w:uiPriority w:val="0"/>
    <w:rPr>
      <w:rFonts w:hAnsi="宋体"/>
      <w:kern w:val="2"/>
      <w:sz w:val="24"/>
      <w:lang w:bidi="ar-SA"/>
    </w:rPr>
  </w:style>
  <w:style w:type="character" w:customStyle="1" w:styleId="740">
    <w:name w:val="纯文本 字符"/>
    <w:qFormat/>
    <w:uiPriority w:val="0"/>
    <w:rPr>
      <w:rFonts w:ascii="宋体" w:hAnsi="Courier New" w:eastAsia="宋体" w:cs="Arial"/>
      <w:snapToGrid w:val="0"/>
      <w:kern w:val="2"/>
      <w:sz w:val="21"/>
      <w:szCs w:val="21"/>
      <w:lang w:val="en-US" w:eastAsia="zh-CN" w:bidi="ar-SA"/>
    </w:rPr>
  </w:style>
  <w:style w:type="character" w:customStyle="1" w:styleId="741">
    <w:name w:val="3级 Char"/>
    <w:link w:val="106"/>
    <w:qFormat/>
    <w:uiPriority w:val="0"/>
    <w:rPr>
      <w:rFonts w:ascii="宋体" w:hAnsi="宋体"/>
      <w:b/>
      <w:bCs/>
      <w:sz w:val="28"/>
    </w:rPr>
  </w:style>
  <w:style w:type="character" w:customStyle="1" w:styleId="742">
    <w:name w:val="myp11"/>
    <w:qFormat/>
    <w:uiPriority w:val="0"/>
    <w:rPr>
      <w:rFonts w:ascii="仿宋_GB2312" w:eastAsia="微软雅黑"/>
      <w:b/>
      <w:kern w:val="2"/>
      <w:sz w:val="32"/>
      <w:szCs w:val="32"/>
      <w:lang w:val="en-US" w:eastAsia="zh-CN" w:bidi="ar-SA"/>
    </w:rPr>
  </w:style>
  <w:style w:type="character" w:customStyle="1" w:styleId="743">
    <w:name w:val="文档结构图 字符"/>
    <w:link w:val="20"/>
    <w:qFormat/>
    <w:uiPriority w:val="0"/>
    <w:rPr>
      <w:kern w:val="2"/>
      <w:sz w:val="21"/>
      <w:szCs w:val="24"/>
      <w:shd w:val="clear" w:color="auto" w:fill="000080"/>
    </w:rPr>
  </w:style>
  <w:style w:type="character" w:customStyle="1" w:styleId="744">
    <w:name w:val="H6 Char"/>
    <w:qFormat/>
    <w:uiPriority w:val="0"/>
    <w:rPr>
      <w:rFonts w:ascii="Arial" w:hAnsi="Arial" w:eastAsia="黑体"/>
      <w:b/>
      <w:bCs/>
      <w:kern w:val="2"/>
      <w:sz w:val="24"/>
      <w:szCs w:val="24"/>
    </w:rPr>
  </w:style>
  <w:style w:type="character" w:customStyle="1" w:styleId="745">
    <w:name w:val="Char Char91"/>
    <w:qFormat/>
    <w:uiPriority w:val="0"/>
    <w:rPr>
      <w:rFonts w:eastAsia="宋体"/>
      <w:kern w:val="2"/>
      <w:sz w:val="18"/>
      <w:szCs w:val="18"/>
      <w:lang w:val="en-US" w:eastAsia="zh-CN" w:bidi="ar-SA"/>
    </w:rPr>
  </w:style>
  <w:style w:type="character" w:customStyle="1" w:styleId="746">
    <w:name w:val="副标题 Char1"/>
    <w:qFormat/>
    <w:uiPriority w:val="0"/>
    <w:rPr>
      <w:rFonts w:ascii="Cambria" w:hAnsi="Cambria" w:eastAsia="宋体" w:cs="Times New Roman"/>
      <w:b/>
      <w:bCs/>
      <w:snapToGrid w:val="0"/>
      <w:kern w:val="28"/>
      <w:sz w:val="32"/>
      <w:szCs w:val="32"/>
    </w:rPr>
  </w:style>
  <w:style w:type="character" w:customStyle="1" w:styleId="747">
    <w:name w:val="font61"/>
    <w:qFormat/>
    <w:uiPriority w:val="0"/>
    <w:rPr>
      <w:rFonts w:hint="eastAsia" w:ascii="仿宋" w:hAnsi="仿宋" w:eastAsia="仿宋" w:cs="仿宋"/>
      <w:color w:val="000000"/>
      <w:sz w:val="20"/>
      <w:szCs w:val="20"/>
      <w:u w:val="none"/>
    </w:rPr>
  </w:style>
  <w:style w:type="character" w:customStyle="1" w:styleId="74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9">
    <w:name w:val="Char Char211"/>
    <w:qFormat/>
    <w:uiPriority w:val="0"/>
    <w:rPr>
      <w:rFonts w:eastAsia="宋体"/>
      <w:b/>
      <w:bCs/>
      <w:kern w:val="2"/>
      <w:sz w:val="21"/>
      <w:szCs w:val="24"/>
      <w:lang w:val="en-US" w:eastAsia="zh-CN" w:bidi="ar-SA"/>
    </w:rPr>
  </w:style>
  <w:style w:type="character" w:customStyle="1" w:styleId="750">
    <w:name w:val="标题 2 Char"/>
    <w:qFormat/>
    <w:uiPriority w:val="0"/>
    <w:rPr>
      <w:rFonts w:ascii="Arial" w:hAnsi="Arial" w:eastAsia="黑体"/>
      <w:b/>
      <w:kern w:val="2"/>
      <w:sz w:val="32"/>
      <w:lang w:val="en-US" w:eastAsia="zh-CN"/>
    </w:rPr>
  </w:style>
  <w:style w:type="character" w:customStyle="1" w:styleId="751">
    <w:name w:val="maywed421"/>
    <w:qFormat/>
    <w:uiPriority w:val="0"/>
    <w:rPr>
      <w:color w:val="366FB6"/>
      <w:u w:val="none"/>
    </w:rPr>
  </w:style>
  <w:style w:type="character" w:customStyle="1" w:styleId="752">
    <w:name w:val="正文文本缩进 Char"/>
    <w:qFormat/>
    <w:uiPriority w:val="0"/>
    <w:rPr>
      <w:rFonts w:ascii="宋体" w:hAnsi="宋体"/>
      <w:kern w:val="2"/>
      <w:sz w:val="24"/>
      <w:szCs w:val="24"/>
    </w:rPr>
  </w:style>
  <w:style w:type="character" w:customStyle="1" w:styleId="753">
    <w:name w:val="Char Char102"/>
    <w:qFormat/>
    <w:uiPriority w:val="0"/>
    <w:rPr>
      <w:rFonts w:ascii="宋体" w:hAnsi="宋体"/>
      <w:kern w:val="2"/>
      <w:sz w:val="21"/>
      <w:szCs w:val="24"/>
      <w:lang w:val="en-US" w:eastAsia="zh-CN"/>
    </w:rPr>
  </w:style>
  <w:style w:type="character" w:customStyle="1" w:styleId="754">
    <w:name w:val="页眉 Char1"/>
    <w:qFormat/>
    <w:uiPriority w:val="0"/>
    <w:rPr>
      <w:rFonts w:eastAsia="宋体"/>
      <w:kern w:val="2"/>
      <w:sz w:val="18"/>
      <w:szCs w:val="18"/>
      <w:lang w:val="en-US" w:eastAsia="zh-CN" w:bidi="ar-SA"/>
    </w:rPr>
  </w:style>
  <w:style w:type="character" w:customStyle="1" w:styleId="755">
    <w:name w:val="md"/>
    <w:basedOn w:val="70"/>
    <w:qFormat/>
    <w:uiPriority w:val="0"/>
    <w:rPr>
      <w:rFonts w:ascii="Arial" w:hAnsi="Arial" w:eastAsia="黑体" w:cs="Arial"/>
      <w:snapToGrid w:val="0"/>
      <w:kern w:val="0"/>
      <w:szCs w:val="21"/>
    </w:rPr>
  </w:style>
  <w:style w:type="character" w:customStyle="1" w:styleId="756">
    <w:name w:val="big1"/>
    <w:qFormat/>
    <w:uiPriority w:val="0"/>
    <w:rPr>
      <w:rFonts w:hint="eastAsia" w:ascii="宋体" w:hAnsi="宋体" w:eastAsia="宋体"/>
      <w:color w:val="333333"/>
      <w:sz w:val="22"/>
      <w:szCs w:val="22"/>
    </w:rPr>
  </w:style>
  <w:style w:type="character" w:customStyle="1" w:styleId="757">
    <w:name w:val="Char Char311"/>
    <w:qFormat/>
    <w:uiPriority w:val="0"/>
    <w:rPr>
      <w:rFonts w:eastAsia="宋体"/>
      <w:kern w:val="2"/>
      <w:sz w:val="21"/>
      <w:szCs w:val="24"/>
      <w:lang w:val="en-US" w:eastAsia="zh-CN" w:bidi="ar-SA"/>
    </w:rPr>
  </w:style>
  <w:style w:type="character" w:customStyle="1" w:styleId="758">
    <w:name w:val="Char Char81"/>
    <w:qFormat/>
    <w:uiPriority w:val="6"/>
    <w:rPr>
      <w:rFonts w:eastAsia="宋体"/>
      <w:b/>
      <w:sz w:val="24"/>
      <w:lang w:eastAsia="zh-CN"/>
    </w:rPr>
  </w:style>
  <w:style w:type="character" w:customStyle="1" w:styleId="759">
    <w:name w:val="样式3 Char"/>
    <w:basedOn w:val="714"/>
    <w:qFormat/>
    <w:uiPriority w:val="0"/>
    <w:rPr>
      <w:rFonts w:ascii="仿宋_GB2312" w:hAnsi="仿宋" w:eastAsia="仿宋_GB2312" w:cs="仿宋_GB2312"/>
      <w:sz w:val="32"/>
      <w:szCs w:val="30"/>
      <w:lang w:val="zh-CN"/>
    </w:rPr>
  </w:style>
  <w:style w:type="character" w:customStyle="1" w:styleId="760">
    <w:name w:val="HTML 地址 字符"/>
    <w:link w:val="32"/>
    <w:qFormat/>
    <w:uiPriority w:val="0"/>
    <w:rPr>
      <w:rFonts w:ascii="宋体" w:hAnsi="宋体"/>
      <w:i/>
      <w:iCs/>
      <w:sz w:val="24"/>
      <w:szCs w:val="24"/>
    </w:rPr>
  </w:style>
  <w:style w:type="character" w:customStyle="1" w:styleId="761">
    <w:name w:val="正文首行缩进 2 Char1"/>
    <w:qFormat/>
    <w:uiPriority w:val="0"/>
    <w:rPr>
      <w:rFonts w:ascii="Times New Roman" w:hAnsi="Times New Roman" w:eastAsia="宋体" w:cs="Times New Roman"/>
      <w:kern w:val="2"/>
      <w:sz w:val="24"/>
      <w:szCs w:val="24"/>
    </w:rPr>
  </w:style>
  <w:style w:type="character" w:customStyle="1" w:styleId="762">
    <w:name w:val="副标题 Char2"/>
    <w:qFormat/>
    <w:uiPriority w:val="0"/>
    <w:rPr>
      <w:rFonts w:ascii="Cambria" w:hAnsi="Cambria" w:eastAsia="宋体" w:cs="Times New Roman"/>
      <w:b/>
      <w:bCs/>
      <w:snapToGrid w:val="0"/>
      <w:kern w:val="28"/>
      <w:sz w:val="32"/>
      <w:szCs w:val="32"/>
    </w:rPr>
  </w:style>
  <w:style w:type="character" w:customStyle="1" w:styleId="763">
    <w:name w:val="标题4-dyf Char"/>
    <w:link w:val="108"/>
    <w:qFormat/>
    <w:uiPriority w:val="0"/>
    <w:rPr>
      <w:rFonts w:ascii="Cambria" w:hAnsi="Cambria"/>
      <w:b/>
      <w:bCs/>
      <w:color w:val="000000"/>
      <w:kern w:val="2"/>
      <w:sz w:val="21"/>
      <w:szCs w:val="21"/>
    </w:rPr>
  </w:style>
  <w:style w:type="character" w:customStyle="1" w:styleId="764">
    <w:name w:val="dectext1"/>
    <w:qFormat/>
    <w:uiPriority w:val="0"/>
    <w:rPr>
      <w:rFonts w:ascii="宋体" w:hAnsi="宋体" w:eastAsia="宋体"/>
      <w:color w:val="333333"/>
      <w:sz w:val="21"/>
      <w:szCs w:val="21"/>
      <w:u w:val="none"/>
    </w:rPr>
  </w:style>
  <w:style w:type="character" w:customStyle="1" w:styleId="765">
    <w:name w:val="冯 Char"/>
    <w:link w:val="109"/>
    <w:qFormat/>
    <w:uiPriority w:val="0"/>
    <w:rPr>
      <w:rFonts w:ascii="宋体" w:hAnsi="宋体"/>
      <w:color w:val="000000"/>
      <w:sz w:val="24"/>
      <w:szCs w:val="24"/>
    </w:rPr>
  </w:style>
  <w:style w:type="character" w:customStyle="1" w:styleId="766">
    <w:name w:val="Header Char_7a4eb250-50da-44bb-925b-e397389626ca"/>
    <w:qFormat/>
    <w:uiPriority w:val="0"/>
    <w:rPr>
      <w:rFonts w:eastAsia="宋体"/>
      <w:kern w:val="2"/>
      <w:sz w:val="18"/>
      <w:szCs w:val="18"/>
      <w:lang w:val="en-US" w:eastAsia="zh-CN" w:bidi="ar-SA"/>
    </w:rPr>
  </w:style>
  <w:style w:type="character" w:customStyle="1" w:styleId="767">
    <w:name w:val="Char Char12"/>
    <w:qFormat/>
    <w:uiPriority w:val="0"/>
    <w:rPr>
      <w:rFonts w:ascii="仿宋_GB2312" w:eastAsia="仿宋_GB2312"/>
      <w:b/>
      <w:bCs/>
      <w:kern w:val="2"/>
      <w:sz w:val="24"/>
      <w:szCs w:val="24"/>
      <w:lang w:val="zh-CN" w:eastAsia="zh-CN" w:bidi="ar-SA"/>
    </w:rPr>
  </w:style>
  <w:style w:type="character" w:customStyle="1" w:styleId="768">
    <w:name w:val="题注 字符"/>
    <w:link w:val="18"/>
    <w:qFormat/>
    <w:uiPriority w:val="0"/>
    <w:rPr>
      <w:b/>
      <w:kern w:val="2"/>
      <w:sz w:val="28"/>
    </w:rPr>
  </w:style>
  <w:style w:type="character" w:customStyle="1" w:styleId="769">
    <w:name w:val="普通文字 Char3"/>
    <w:qFormat/>
    <w:uiPriority w:val="0"/>
    <w:rPr>
      <w:rFonts w:ascii="宋体" w:hAnsi="Courier New" w:eastAsia="宋体"/>
      <w:kern w:val="2"/>
      <w:sz w:val="21"/>
      <w:lang w:val="en-US" w:eastAsia="zh-CN" w:bidi="ar-SA"/>
    </w:rPr>
  </w:style>
  <w:style w:type="character" w:customStyle="1" w:styleId="770">
    <w:name w:val="公文正文 Char"/>
    <w:qFormat/>
    <w:uiPriority w:val="0"/>
    <w:rPr>
      <w:rFonts w:ascii="仿宋_GB2312" w:eastAsia="仿宋_GB2312"/>
      <w:kern w:val="2"/>
      <w:sz w:val="24"/>
      <w:szCs w:val="24"/>
      <w:lang w:val="en-US" w:eastAsia="zh-CN" w:bidi="ar-SA"/>
    </w:rPr>
  </w:style>
  <w:style w:type="character" w:customStyle="1" w:styleId="771">
    <w:name w:val="正文首行缩进 Char Char Char Char Char"/>
    <w:qFormat/>
    <w:uiPriority w:val="0"/>
    <w:rPr>
      <w:rFonts w:ascii="宋体"/>
      <w:kern w:val="2"/>
      <w:sz w:val="24"/>
      <w:lang w:val="zh-CN"/>
    </w:rPr>
  </w:style>
  <w:style w:type="character" w:customStyle="1" w:styleId="772">
    <w:name w:val="PI Char"/>
    <w:qFormat/>
    <w:uiPriority w:val="0"/>
    <w:rPr>
      <w:rFonts w:ascii="宋体" w:hAnsi="宋体" w:eastAsia="宋体"/>
      <w:kern w:val="2"/>
      <w:sz w:val="24"/>
      <w:szCs w:val="24"/>
      <w:lang w:val="en-US" w:eastAsia="zh-CN" w:bidi="ar-SA"/>
    </w:rPr>
  </w:style>
  <w:style w:type="character" w:customStyle="1" w:styleId="773">
    <w:name w:val="Default Char"/>
    <w:link w:val="92"/>
    <w:qFormat/>
    <w:uiPriority w:val="0"/>
    <w:rPr>
      <w:rFonts w:ascii="仿宋_GB2312" w:eastAsia="仿宋_GB2312" w:cs="仿宋_GB2312"/>
      <w:color w:val="000000"/>
      <w:sz w:val="24"/>
      <w:szCs w:val="24"/>
      <w:lang w:val="en-US" w:eastAsia="zh-CN" w:bidi="ar-SA"/>
    </w:rPr>
  </w:style>
  <w:style w:type="character" w:customStyle="1" w:styleId="774">
    <w:name w:val="style91"/>
    <w:qFormat/>
    <w:uiPriority w:val="0"/>
    <w:rPr>
      <w:color w:val="333333"/>
    </w:rPr>
  </w:style>
  <w:style w:type="character" w:customStyle="1" w:styleId="775">
    <w:name w:val="列出段落 Char2"/>
    <w:qFormat/>
    <w:uiPriority w:val="34"/>
    <w:rPr>
      <w:rFonts w:ascii="Calibri" w:hAnsi="Calibri"/>
      <w:kern w:val="2"/>
      <w:sz w:val="28"/>
    </w:rPr>
  </w:style>
  <w:style w:type="character" w:customStyle="1" w:styleId="776">
    <w:name w:val="mdeck"/>
    <w:qFormat/>
    <w:uiPriority w:val="0"/>
    <w:rPr>
      <w:rFonts w:ascii="仿宋_GB2312" w:eastAsia="微软雅黑"/>
      <w:b/>
      <w:kern w:val="2"/>
      <w:sz w:val="32"/>
      <w:szCs w:val="32"/>
      <w:lang w:val="en-US" w:eastAsia="zh-CN" w:bidi="ar-SA"/>
    </w:rPr>
  </w:style>
  <w:style w:type="character" w:customStyle="1" w:styleId="777">
    <w:name w:val="unnamed11"/>
    <w:qFormat/>
    <w:uiPriority w:val="0"/>
    <w:rPr>
      <w:sz w:val="20"/>
      <w:szCs w:val="20"/>
    </w:rPr>
  </w:style>
  <w:style w:type="character" w:customStyle="1" w:styleId="778">
    <w:name w:val="正文文本 Char2"/>
    <w:qFormat/>
    <w:uiPriority w:val="99"/>
    <w:rPr>
      <w:rFonts w:ascii="Times New Roman" w:hAnsi="Times New Roman" w:eastAsia="宋体" w:cs="Times New Roman"/>
      <w:snapToGrid w:val="0"/>
      <w:kern w:val="0"/>
      <w:szCs w:val="24"/>
    </w:rPr>
  </w:style>
  <w:style w:type="character" w:customStyle="1" w:styleId="779">
    <w:name w:val="标书正文格式 Char"/>
    <w:qFormat/>
    <w:uiPriority w:val="0"/>
    <w:rPr>
      <w:rFonts w:eastAsia="楷体_GB2312"/>
      <w:kern w:val="2"/>
      <w:sz w:val="24"/>
      <w:szCs w:val="24"/>
      <w:lang w:bidi="ar-SA"/>
    </w:rPr>
  </w:style>
  <w:style w:type="character" w:customStyle="1" w:styleId="780">
    <w:name w:val="Char Char11"/>
    <w:qFormat/>
    <w:uiPriority w:val="0"/>
    <w:rPr>
      <w:rFonts w:ascii="宋体" w:hAnsi="宋体" w:eastAsia="宋体"/>
      <w:b/>
      <w:kern w:val="2"/>
      <w:sz w:val="24"/>
      <w:szCs w:val="24"/>
      <w:lang w:val="en-US" w:eastAsia="zh-CN" w:bidi="ar-SA"/>
    </w:rPr>
  </w:style>
  <w:style w:type="character" w:customStyle="1" w:styleId="781">
    <w:name w:val="ca-131"/>
    <w:qFormat/>
    <w:uiPriority w:val="0"/>
    <w:rPr>
      <w:rFonts w:hint="eastAsia" w:ascii="仿宋_GB2312" w:eastAsia="仿宋_GB2312"/>
      <w:b/>
      <w:bCs/>
      <w:color w:val="000000"/>
      <w:spacing w:val="-20"/>
      <w:sz w:val="24"/>
      <w:szCs w:val="24"/>
    </w:rPr>
  </w:style>
  <w:style w:type="character" w:customStyle="1" w:styleId="782">
    <w:name w:val="tw4winMark"/>
    <w:qFormat/>
    <w:uiPriority w:val="0"/>
    <w:rPr>
      <w:rFonts w:ascii="Courier New" w:hAnsi="Courier New" w:cs="Courier New"/>
      <w:vanish/>
      <w:color w:val="800080"/>
      <w:sz w:val="24"/>
      <w:szCs w:val="24"/>
      <w:vertAlign w:val="subscript"/>
    </w:rPr>
  </w:style>
  <w:style w:type="character" w:customStyle="1" w:styleId="783">
    <w:name w:val="正文样式 Char"/>
    <w:link w:val="110"/>
    <w:qFormat/>
    <w:uiPriority w:val="0"/>
    <w:rPr>
      <w:rFonts w:ascii="Calibri" w:hAnsi="Calibri"/>
      <w:sz w:val="24"/>
      <w:szCs w:val="24"/>
    </w:rPr>
  </w:style>
  <w:style w:type="character" w:customStyle="1" w:styleId="784">
    <w:name w:val="表正文 Char3"/>
    <w:qFormat/>
    <w:uiPriority w:val="0"/>
    <w:rPr>
      <w:rFonts w:eastAsia="宋体"/>
    </w:rPr>
  </w:style>
  <w:style w:type="character" w:customStyle="1" w:styleId="785">
    <w:name w:val="H5 Char"/>
    <w:qFormat/>
    <w:uiPriority w:val="0"/>
    <w:rPr>
      <w:b/>
      <w:bCs/>
      <w:kern w:val="2"/>
      <w:sz w:val="28"/>
      <w:szCs w:val="28"/>
    </w:rPr>
  </w:style>
  <w:style w:type="character" w:customStyle="1" w:styleId="786">
    <w:name w:val="Char Char3"/>
    <w:qFormat/>
    <w:uiPriority w:val="0"/>
    <w:rPr>
      <w:rFonts w:eastAsia="宋体"/>
      <w:kern w:val="2"/>
      <w:sz w:val="21"/>
      <w:szCs w:val="24"/>
      <w:lang w:val="en-US" w:eastAsia="zh-CN" w:bidi="ar-SA"/>
    </w:rPr>
  </w:style>
  <w:style w:type="character" w:customStyle="1" w:styleId="787">
    <w:name w:val="正文 编号 Char"/>
    <w:qFormat/>
    <w:uiPriority w:val="0"/>
    <w:rPr>
      <w:rFonts w:ascii="仿宋_GB2312" w:hAnsi="仿宋_GB2312" w:eastAsia="仿宋_GB2312"/>
      <w:kern w:val="2"/>
      <w:sz w:val="24"/>
      <w:lang w:bidi="ar-SA"/>
    </w:rPr>
  </w:style>
  <w:style w:type="character" w:customStyle="1" w:styleId="788">
    <w:name w:val="question-title2"/>
    <w:qFormat/>
    <w:uiPriority w:val="6"/>
    <w:rPr>
      <w:rFonts w:ascii="Arial" w:hAnsi="Arial" w:eastAsia="黑体" w:cs="Arial"/>
      <w:snapToGrid w:val="0"/>
      <w:kern w:val="0"/>
      <w:szCs w:val="21"/>
    </w:rPr>
  </w:style>
  <w:style w:type="character" w:customStyle="1" w:styleId="789">
    <w:name w:val="gf正文1 Char Char"/>
    <w:link w:val="111"/>
    <w:qFormat/>
    <w:uiPriority w:val="0"/>
    <w:rPr>
      <w:rFonts w:ascii="宋体" w:hAnsi="宋体" w:cs="宋体"/>
      <w:kern w:val="2"/>
      <w:sz w:val="24"/>
      <w:szCs w:val="24"/>
    </w:rPr>
  </w:style>
  <w:style w:type="character" w:customStyle="1" w:styleId="790">
    <w:name w:val="Char Char15"/>
    <w:qFormat/>
    <w:uiPriority w:val="6"/>
    <w:rPr>
      <w:rFonts w:ascii="宋体" w:hAnsi="宋体"/>
      <w:kern w:val="1"/>
      <w:sz w:val="21"/>
    </w:rPr>
  </w:style>
  <w:style w:type="character" w:customStyle="1" w:styleId="791">
    <w:name w:val="正文缩进 Char3"/>
    <w:qFormat/>
    <w:uiPriority w:val="0"/>
    <w:rPr>
      <w:rFonts w:ascii="宋体" w:eastAsia="宋体"/>
      <w:snapToGrid w:val="0"/>
      <w:color w:val="000000"/>
      <w:kern w:val="28"/>
      <w:sz w:val="28"/>
      <w:lang w:val="en-US" w:eastAsia="zh-CN" w:bidi="ar-SA"/>
    </w:rPr>
  </w:style>
  <w:style w:type="character" w:customStyle="1" w:styleId="792">
    <w:name w:val="列出段落 Char1"/>
    <w:link w:val="112"/>
    <w:qFormat/>
    <w:uiPriority w:val="0"/>
    <w:rPr>
      <w:rFonts w:ascii="Calibri" w:hAnsi="Calibri"/>
      <w:sz w:val="24"/>
      <w:lang w:eastAsia="en-US"/>
    </w:rPr>
  </w:style>
  <w:style w:type="character" w:customStyle="1" w:styleId="793">
    <w:name w:val="Char Char8"/>
    <w:qFormat/>
    <w:uiPriority w:val="0"/>
    <w:rPr>
      <w:rFonts w:eastAsia="宋体"/>
      <w:b/>
      <w:sz w:val="24"/>
      <w:lang w:eastAsia="zh-CN"/>
    </w:rPr>
  </w:style>
  <w:style w:type="character" w:customStyle="1" w:styleId="794">
    <w:name w:val="Normal Indent Char Char"/>
    <w:qFormat/>
    <w:uiPriority w:val="0"/>
    <w:rPr>
      <w:rFonts w:eastAsia="宋体"/>
      <w:kern w:val="2"/>
      <w:sz w:val="21"/>
      <w:lang w:val="en-US" w:eastAsia="zh-CN" w:bidi="ar-SA"/>
    </w:rPr>
  </w:style>
  <w:style w:type="character" w:customStyle="1" w:styleId="795">
    <w:name w:val="列表段落 字符"/>
    <w:qFormat/>
    <w:uiPriority w:val="99"/>
  </w:style>
  <w:style w:type="character" w:customStyle="1" w:styleId="796">
    <w:name w:val="Ò³Ã¼ Char Char1"/>
    <w:qFormat/>
    <w:uiPriority w:val="0"/>
    <w:rPr>
      <w:rFonts w:eastAsia="宋体"/>
      <w:kern w:val="2"/>
      <w:sz w:val="18"/>
      <w:szCs w:val="18"/>
      <w:lang w:val="en-US" w:eastAsia="zh-CN" w:bidi="ar-SA"/>
    </w:rPr>
  </w:style>
  <w:style w:type="character" w:customStyle="1" w:styleId="797">
    <w:name w:val="方案正文 Char"/>
    <w:qFormat/>
    <w:uiPriority w:val="0"/>
    <w:rPr>
      <w:rFonts w:ascii="仿宋_GB2312" w:eastAsia="仿宋_GB2312"/>
      <w:b/>
      <w:color w:val="000000"/>
      <w:kern w:val="2"/>
      <w:sz w:val="24"/>
      <w:lang w:val="en-US" w:eastAsia="zh-CN" w:bidi="ar-SA"/>
    </w:rPr>
  </w:style>
  <w:style w:type="character" w:customStyle="1" w:styleId="798">
    <w:name w:val="Char Char30"/>
    <w:qFormat/>
    <w:uiPriority w:val="6"/>
    <w:rPr>
      <w:rFonts w:ascii="Arial" w:hAnsi="Arial" w:eastAsia="黑体"/>
      <w:kern w:val="1"/>
      <w:sz w:val="21"/>
      <w:szCs w:val="21"/>
    </w:rPr>
  </w:style>
  <w:style w:type="character" w:customStyle="1" w:styleId="799">
    <w:name w:val="正文文本缩进 字符1"/>
    <w:link w:val="16"/>
    <w:qFormat/>
    <w:uiPriority w:val="0"/>
    <w:rPr>
      <w:rFonts w:ascii="宋体" w:hAnsi="宋体"/>
      <w:kern w:val="2"/>
      <w:sz w:val="24"/>
      <w:szCs w:val="24"/>
    </w:rPr>
  </w:style>
  <w:style w:type="character" w:customStyle="1" w:styleId="800">
    <w:name w:val="font01"/>
    <w:basedOn w:val="70"/>
    <w:qFormat/>
    <w:uiPriority w:val="0"/>
    <w:rPr>
      <w:rFonts w:hint="eastAsia" w:ascii="微软雅黑" w:hAnsi="微软雅黑" w:eastAsia="微软雅黑" w:cs="微软雅黑"/>
      <w:color w:val="000000"/>
      <w:sz w:val="20"/>
      <w:szCs w:val="20"/>
      <w:u w:val="none"/>
    </w:rPr>
  </w:style>
  <w:style w:type="character" w:customStyle="1" w:styleId="801">
    <w:name w:val="Char Char20"/>
    <w:qFormat/>
    <w:uiPriority w:val="6"/>
    <w:rPr>
      <w:kern w:val="1"/>
      <w:sz w:val="24"/>
    </w:rPr>
  </w:style>
  <w:style w:type="character" w:customStyle="1" w:styleId="802">
    <w:name w:val="tw4winExternal"/>
    <w:qFormat/>
    <w:uiPriority w:val="0"/>
    <w:rPr>
      <w:rFonts w:ascii="Courier New" w:hAnsi="Courier New" w:cs="Courier New"/>
      <w:color w:val="808080"/>
      <w:lang w:val="en-US" w:eastAsia="zh-CN"/>
    </w:rPr>
  </w:style>
  <w:style w:type="character" w:customStyle="1" w:styleId="803">
    <w:name w:val="标题 4 Char1"/>
    <w:qFormat/>
    <w:uiPriority w:val="9"/>
    <w:rPr>
      <w:rFonts w:ascii="Cambria" w:hAnsi="Cambria" w:eastAsia="宋体" w:cs="Times New Roman"/>
      <w:b/>
      <w:bCs/>
      <w:kern w:val="2"/>
      <w:sz w:val="28"/>
      <w:szCs w:val="28"/>
    </w:rPr>
  </w:style>
  <w:style w:type="character" w:customStyle="1" w:styleId="804">
    <w:name w:val="批注文字 Char2"/>
    <w:qFormat/>
    <w:uiPriority w:val="99"/>
    <w:rPr>
      <w:rFonts w:ascii="Times New Roman" w:hAnsi="Times New Roman" w:eastAsia="宋体" w:cs="Times New Roman"/>
      <w:snapToGrid w:val="0"/>
      <w:kern w:val="0"/>
      <w:szCs w:val="24"/>
    </w:rPr>
  </w:style>
  <w:style w:type="character" w:customStyle="1" w:styleId="805">
    <w:name w:val="正文文本 2 Char"/>
    <w:qFormat/>
    <w:uiPriority w:val="0"/>
    <w:rPr>
      <w:rFonts w:eastAsia="宋体"/>
      <w:kern w:val="2"/>
      <w:sz w:val="21"/>
      <w:szCs w:val="24"/>
      <w:lang w:val="en-US" w:eastAsia="zh-CN" w:bidi="ar-SA"/>
    </w:rPr>
  </w:style>
  <w:style w:type="character" w:customStyle="1" w:styleId="806">
    <w:name w:val="Ò³Ã¼ Char Char"/>
    <w:qFormat/>
    <w:uiPriority w:val="0"/>
    <w:rPr>
      <w:rFonts w:eastAsia="宋体"/>
      <w:kern w:val="2"/>
      <w:sz w:val="18"/>
      <w:lang w:val="en-US" w:eastAsia="zh-CN" w:bidi="ar-SA"/>
    </w:rPr>
  </w:style>
  <w:style w:type="character" w:customStyle="1" w:styleId="807">
    <w:name w:val="message1"/>
    <w:qFormat/>
    <w:uiPriority w:val="0"/>
    <w:rPr>
      <w:rFonts w:hint="default" w:ascii="Tahoma" w:hAnsi="Tahoma" w:cs="Tahoma"/>
      <w:sz w:val="18"/>
      <w:szCs w:val="18"/>
    </w:rPr>
  </w:style>
  <w:style w:type="character" w:customStyle="1" w:styleId="808">
    <w:name w:val="Char Char23"/>
    <w:qFormat/>
    <w:uiPriority w:val="6"/>
    <w:rPr>
      <w:color w:val="0000FF"/>
      <w:sz w:val="21"/>
    </w:rPr>
  </w:style>
  <w:style w:type="character" w:customStyle="1" w:styleId="809">
    <w:name w:val="批注框文本 字符"/>
    <w:qFormat/>
    <w:uiPriority w:val="0"/>
    <w:rPr>
      <w:rFonts w:ascii="Arial" w:hAnsi="Arial" w:eastAsia="黑体" w:cs="Arial"/>
      <w:snapToGrid w:val="0"/>
      <w:kern w:val="0"/>
      <w:sz w:val="18"/>
      <w:szCs w:val="18"/>
    </w:rPr>
  </w:style>
  <w:style w:type="character" w:customStyle="1" w:styleId="810">
    <w:name w:val="纯文本 Char2"/>
    <w:qFormat/>
    <w:uiPriority w:val="99"/>
    <w:rPr>
      <w:rFonts w:ascii="宋体" w:hAnsi="Courier New" w:eastAsia="宋体" w:cs="Courier New"/>
    </w:rPr>
  </w:style>
  <w:style w:type="character" w:customStyle="1" w:styleId="811">
    <w:name w:val="Char Char25"/>
    <w:qFormat/>
    <w:uiPriority w:val="6"/>
    <w:rPr>
      <w:rFonts w:ascii="宋体" w:hAnsi="宋体"/>
      <w:kern w:val="1"/>
      <w:sz w:val="24"/>
      <w:lang w:val="zh-CN"/>
    </w:rPr>
  </w:style>
  <w:style w:type="character" w:customStyle="1" w:styleId="812">
    <w:name w:val="Char Char411"/>
    <w:qFormat/>
    <w:uiPriority w:val="0"/>
    <w:rPr>
      <w:rFonts w:eastAsia="宋体"/>
      <w:b/>
      <w:sz w:val="24"/>
      <w:lang w:eastAsia="zh-CN" w:bidi="ar-SA"/>
    </w:rPr>
  </w:style>
  <w:style w:type="character" w:customStyle="1" w:styleId="813">
    <w:name w:val="Heading 7 Char_ab2ab704-5d82-41f7-953b-9089834044e8"/>
    <w:qFormat/>
    <w:uiPriority w:val="0"/>
    <w:rPr>
      <w:rFonts w:ascii="宋体" w:hAnsi="宋体" w:eastAsia="宋体"/>
      <w:b/>
      <w:bCs/>
      <w:kern w:val="2"/>
      <w:sz w:val="24"/>
      <w:szCs w:val="24"/>
      <w:lang w:val="en-US" w:eastAsia="zh-CN" w:bidi="ar-SA"/>
    </w:rPr>
  </w:style>
  <w:style w:type="character" w:customStyle="1" w:styleId="814">
    <w:name w:val="此正文 Char"/>
    <w:link w:val="114"/>
    <w:qFormat/>
    <w:uiPriority w:val="0"/>
    <w:rPr>
      <w:kern w:val="2"/>
      <w:sz w:val="24"/>
      <w:szCs w:val="24"/>
    </w:rPr>
  </w:style>
  <w:style w:type="character" w:customStyle="1" w:styleId="815">
    <w:name w:val="Char Char2"/>
    <w:qFormat/>
    <w:uiPriority w:val="0"/>
    <w:rPr>
      <w:rFonts w:eastAsia="宋体"/>
      <w:b/>
      <w:bCs/>
      <w:kern w:val="2"/>
      <w:sz w:val="21"/>
      <w:szCs w:val="24"/>
      <w:lang w:val="en-US" w:eastAsia="zh-CN" w:bidi="ar-SA"/>
    </w:rPr>
  </w:style>
  <w:style w:type="character" w:customStyle="1" w:styleId="816">
    <w:name w:val="标题 1 字符1"/>
    <w:link w:val="2"/>
    <w:qFormat/>
    <w:uiPriority w:val="9"/>
    <w:rPr>
      <w:rFonts w:eastAsia="宋体"/>
      <w:b/>
      <w:bCs/>
      <w:kern w:val="44"/>
      <w:sz w:val="44"/>
      <w:szCs w:val="44"/>
    </w:rPr>
  </w:style>
  <w:style w:type="character" w:customStyle="1" w:styleId="817">
    <w:name w:val="Footer-Even Char1"/>
    <w:qFormat/>
    <w:uiPriority w:val="0"/>
    <w:rPr>
      <w:rFonts w:eastAsia="宋体"/>
      <w:kern w:val="2"/>
      <w:sz w:val="18"/>
      <w:szCs w:val="18"/>
      <w:lang w:val="en-US" w:eastAsia="zh-CN" w:bidi="ar-SA"/>
    </w:rPr>
  </w:style>
  <w:style w:type="character" w:customStyle="1" w:styleId="818">
    <w:name w:val="Char Char29"/>
    <w:qFormat/>
    <w:uiPriority w:val="6"/>
    <w:rPr>
      <w:rFonts w:ascii="Arial" w:hAnsi="Arial" w:eastAsia="微软雅黑"/>
      <w:b/>
      <w:kern w:val="1"/>
      <w:sz w:val="44"/>
      <w:szCs w:val="32"/>
      <w:lang w:val="en-US" w:eastAsia="zh-CN" w:bidi="ar-SA"/>
    </w:rPr>
  </w:style>
  <w:style w:type="character" w:customStyle="1" w:styleId="819">
    <w:name w:val="标题 字符"/>
    <w:link w:val="61"/>
    <w:qFormat/>
    <w:uiPriority w:val="10"/>
    <w:rPr>
      <w:b/>
      <w:sz w:val="24"/>
    </w:rPr>
  </w:style>
  <w:style w:type="character" w:customStyle="1" w:styleId="820">
    <w:name w:val="font81"/>
    <w:qFormat/>
    <w:uiPriority w:val="0"/>
    <w:rPr>
      <w:rFonts w:ascii="微软雅黑" w:hAnsi="微软雅黑" w:eastAsia="微软雅黑" w:cs="微软雅黑"/>
      <w:color w:val="000000"/>
      <w:sz w:val="20"/>
      <w:szCs w:val="20"/>
      <w:u w:val="none"/>
    </w:rPr>
  </w:style>
  <w:style w:type="character" w:customStyle="1" w:styleId="821">
    <w:name w:val="Char Char312"/>
    <w:qFormat/>
    <w:uiPriority w:val="0"/>
    <w:rPr>
      <w:rFonts w:ascii="Times New Roman" w:hAnsi="Times New Roman" w:eastAsia="宋体" w:cs="Times New Roman"/>
      <w:b/>
      <w:kern w:val="2"/>
      <w:sz w:val="32"/>
      <w:szCs w:val="24"/>
      <w:lang w:val="en-US" w:eastAsia="zh-CN" w:bidi="ar-SA"/>
    </w:rPr>
  </w:style>
  <w:style w:type="character" w:customStyle="1" w:styleId="822">
    <w:name w:val="t21"/>
    <w:qFormat/>
    <w:uiPriority w:val="0"/>
    <w:rPr>
      <w:rFonts w:ascii="仿宋_GB2312" w:eastAsia="微软雅黑"/>
      <w:b/>
      <w:kern w:val="2"/>
      <w:sz w:val="23"/>
      <w:szCs w:val="23"/>
      <w:lang w:val="en-US" w:eastAsia="zh-CN" w:bidi="ar-SA"/>
    </w:rPr>
  </w:style>
  <w:style w:type="character" w:customStyle="1" w:styleId="823">
    <w:name w:val="样式8 Char"/>
    <w:qFormat/>
    <w:uiPriority w:val="0"/>
    <w:rPr>
      <w:rFonts w:ascii="仿宋_GB2312" w:hAnsi="宋体" w:eastAsia="仿宋_GB2312"/>
      <w:b/>
      <w:bCs/>
      <w:kern w:val="2"/>
      <w:sz w:val="24"/>
      <w:szCs w:val="24"/>
    </w:rPr>
  </w:style>
  <w:style w:type="character" w:customStyle="1" w:styleId="824">
    <w:name w:val="表格 Char Char"/>
    <w:qFormat/>
    <w:uiPriority w:val="0"/>
    <w:rPr>
      <w:rFonts w:ascii="宋体" w:hAnsi="宋体" w:eastAsia="宋体"/>
      <w:lang w:bidi="ar-SA"/>
    </w:rPr>
  </w:style>
  <w:style w:type="character" w:customStyle="1" w:styleId="825">
    <w:name w:val="正文文本 字符1"/>
    <w:qFormat/>
    <w:uiPriority w:val="0"/>
    <w:rPr>
      <w:rFonts w:ascii="Calibri" w:hAnsi="Calibri" w:eastAsia="黑体" w:cs="Arial"/>
      <w:snapToGrid w:val="0"/>
      <w:kern w:val="2"/>
      <w:sz w:val="28"/>
      <w:szCs w:val="21"/>
    </w:rPr>
  </w:style>
  <w:style w:type="character" w:customStyle="1" w:styleId="826">
    <w:name w:val="标题 5 字符"/>
    <w:link w:val="6"/>
    <w:qFormat/>
    <w:uiPriority w:val="9"/>
    <w:rPr>
      <w:b/>
      <w:bCs/>
      <w:kern w:val="2"/>
      <w:sz w:val="28"/>
      <w:szCs w:val="28"/>
    </w:rPr>
  </w:style>
  <w:style w:type="character" w:customStyle="1" w:styleId="827">
    <w:name w:val="标题 6 Char1"/>
    <w:qFormat/>
    <w:uiPriority w:val="0"/>
    <w:rPr>
      <w:rFonts w:ascii="Arial" w:hAnsi="Arial" w:eastAsia="黑体" w:cs="Times New Roman"/>
      <w:b/>
      <w:sz w:val="24"/>
      <w:szCs w:val="20"/>
      <w:lang w:bidi="ar-SA"/>
    </w:rPr>
  </w:style>
  <w:style w:type="character" w:customStyle="1" w:styleId="828">
    <w:name w:val="带编号样式 Char"/>
    <w:qFormat/>
    <w:uiPriority w:val="0"/>
    <w:rPr>
      <w:rFonts w:ascii="仿宋_GB2312" w:eastAsia="仿宋_GB2312"/>
      <w:color w:val="000000"/>
      <w:sz w:val="24"/>
      <w:lang w:bidi="ar-SA"/>
    </w:rPr>
  </w:style>
  <w:style w:type="character" w:customStyle="1" w:styleId="829">
    <w:name w:val="unnamed31"/>
    <w:qFormat/>
    <w:uiPriority w:val="0"/>
    <w:rPr>
      <w:rFonts w:ascii="Tahoma" w:hAnsi="Tahoma" w:eastAsia="宋体"/>
      <w:b/>
      <w:kern w:val="2"/>
      <w:sz w:val="24"/>
      <w:szCs w:val="32"/>
      <w:u w:val="none"/>
      <w:lang w:val="en-US" w:eastAsia="zh-CN" w:bidi="ar-SA"/>
    </w:rPr>
  </w:style>
  <w:style w:type="character" w:customStyle="1" w:styleId="830">
    <w:name w:val="正文首行缩进 Char Char Char Char Char Char1"/>
    <w:qFormat/>
    <w:uiPriority w:val="0"/>
    <w:rPr>
      <w:rFonts w:ascii="宋体" w:eastAsia="宋体"/>
      <w:kern w:val="2"/>
      <w:sz w:val="24"/>
      <w:szCs w:val="24"/>
      <w:lang w:val="zh-CN" w:bidi="ar-SA"/>
    </w:rPr>
  </w:style>
  <w:style w:type="character" w:customStyle="1" w:styleId="831">
    <w:name w:val="称呼 字符"/>
    <w:link w:val="23"/>
    <w:qFormat/>
    <w:uiPriority w:val="0"/>
    <w:rPr>
      <w:rFonts w:ascii="仿宋_GB2312" w:eastAsia="仿宋_GB2312"/>
      <w:kern w:val="2"/>
      <w:sz w:val="28"/>
    </w:rPr>
  </w:style>
  <w:style w:type="character" w:customStyle="1" w:styleId="832">
    <w:name w:val="文本正文 Char Char"/>
    <w:qFormat/>
    <w:uiPriority w:val="0"/>
    <w:rPr>
      <w:sz w:val="24"/>
      <w:lang w:bidi="ar-SA"/>
    </w:rPr>
  </w:style>
  <w:style w:type="character" w:customStyle="1" w:styleId="833">
    <w:name w:val="正文缩进 字符"/>
    <w:qFormat/>
    <w:uiPriority w:val="0"/>
    <w:rPr>
      <w:rFonts w:ascii="宋体" w:eastAsia="宋体"/>
      <w:snapToGrid w:val="0"/>
      <w:color w:val="000000"/>
      <w:kern w:val="28"/>
      <w:sz w:val="28"/>
      <w:lang w:val="en-US" w:eastAsia="zh-CN" w:bidi="ar-SA"/>
    </w:rPr>
  </w:style>
  <w:style w:type="character" w:customStyle="1" w:styleId="834">
    <w:name w:val="HTML 预设格式 字符"/>
    <w:link w:val="59"/>
    <w:qFormat/>
    <w:uiPriority w:val="0"/>
    <w:rPr>
      <w:rFonts w:ascii="黑体" w:hAnsi="Courier New" w:eastAsia="黑体"/>
    </w:rPr>
  </w:style>
  <w:style w:type="character" w:customStyle="1" w:styleId="835">
    <w:name w:val="正文文本 2 字符1"/>
    <w:link w:val="58"/>
    <w:qFormat/>
    <w:uiPriority w:val="0"/>
    <w:rPr>
      <w:kern w:val="2"/>
      <w:sz w:val="21"/>
      <w:szCs w:val="24"/>
    </w:rPr>
  </w:style>
  <w:style w:type="character" w:customStyle="1" w:styleId="836">
    <w:name w:val="样式 样式 标题 4h4H4Fab-4T5Ref Heading 1rh1Heading sqlsect 1.2.3.... +... Char"/>
    <w:link w:val="115"/>
    <w:qFormat/>
    <w:uiPriority w:val="0"/>
    <w:rPr>
      <w:rFonts w:ascii="微软雅黑" w:hAnsi="微软雅黑" w:eastAsia="微软雅黑"/>
      <w:b/>
      <w:bCs/>
      <w:kern w:val="2"/>
      <w:sz w:val="24"/>
      <w:szCs w:val="28"/>
    </w:rPr>
  </w:style>
  <w:style w:type="character" w:customStyle="1" w:styleId="837">
    <w:name w:val="正文非缩进 Char"/>
    <w:qFormat/>
    <w:uiPriority w:val="0"/>
    <w:rPr>
      <w:rFonts w:ascii="宋体" w:eastAsia="宋体"/>
      <w:snapToGrid w:val="0"/>
      <w:color w:val="000000"/>
      <w:kern w:val="28"/>
      <w:sz w:val="28"/>
      <w:lang w:val="en-US" w:eastAsia="zh-CN" w:bidi="ar-SA"/>
    </w:rPr>
  </w:style>
  <w:style w:type="character" w:customStyle="1" w:styleId="838">
    <w:name w:val="标题 7 字符"/>
    <w:link w:val="8"/>
    <w:qFormat/>
    <w:uiPriority w:val="0"/>
    <w:rPr>
      <w:b/>
      <w:bCs/>
      <w:kern w:val="2"/>
      <w:sz w:val="24"/>
      <w:szCs w:val="24"/>
    </w:rPr>
  </w:style>
  <w:style w:type="character" w:customStyle="1" w:styleId="839">
    <w:name w:val="正文文本缩进 2 字符"/>
    <w:link w:val="39"/>
    <w:qFormat/>
    <w:uiPriority w:val="0"/>
    <w:rPr>
      <w:rFonts w:ascii="宋体"/>
      <w:sz w:val="28"/>
    </w:rPr>
  </w:style>
  <w:style w:type="character" w:customStyle="1" w:styleId="840">
    <w:name w:val="Char Char5"/>
    <w:qFormat/>
    <w:uiPriority w:val="0"/>
    <w:rPr>
      <w:rFonts w:ascii="宋体" w:hAnsi="Courier New" w:eastAsia="宋体"/>
      <w:kern w:val="2"/>
      <w:sz w:val="21"/>
      <w:lang w:val="en-US" w:eastAsia="zh-CN"/>
    </w:rPr>
  </w:style>
  <w:style w:type="character" w:customStyle="1" w:styleId="841">
    <w:name w:val="脚注文本 字符"/>
    <w:link w:val="52"/>
    <w:qFormat/>
    <w:uiPriority w:val="0"/>
    <w:rPr>
      <w:color w:val="0000FF"/>
      <w:sz w:val="21"/>
    </w:rPr>
  </w:style>
  <w:style w:type="character" w:customStyle="1" w:styleId="842">
    <w:name w:val="称呼 Char1"/>
    <w:qFormat/>
    <w:uiPriority w:val="0"/>
    <w:rPr>
      <w:rFonts w:ascii="Times New Roman" w:hAnsi="Times New Roman" w:eastAsia="宋体" w:cs="Times New Roman"/>
      <w:szCs w:val="24"/>
    </w:rPr>
  </w:style>
  <w:style w:type="character" w:customStyle="1" w:styleId="843">
    <w:name w:val="正文1 Char"/>
    <w:qFormat/>
    <w:uiPriority w:val="0"/>
    <w:rPr>
      <w:rFonts w:ascii="宋体" w:eastAsia="宋体"/>
      <w:snapToGrid w:val="0"/>
      <w:color w:val="000000"/>
      <w:kern w:val="28"/>
      <w:sz w:val="28"/>
      <w:lang w:val="en-US" w:eastAsia="zh-CN" w:bidi="ar-SA"/>
    </w:rPr>
  </w:style>
  <w:style w:type="character" w:customStyle="1" w:styleId="844">
    <w:name w:val="正文缩进 Char1"/>
    <w:qFormat/>
    <w:uiPriority w:val="0"/>
    <w:rPr>
      <w:rFonts w:ascii="宋体" w:eastAsia="宋体"/>
      <w:snapToGrid w:val="0"/>
      <w:color w:val="000000"/>
      <w:kern w:val="28"/>
      <w:sz w:val="28"/>
      <w:lang w:val="en-US" w:eastAsia="zh-CN" w:bidi="ar-SA"/>
    </w:rPr>
  </w:style>
  <w:style w:type="character" w:customStyle="1" w:styleId="845">
    <w:name w:val="font21"/>
    <w:basedOn w:val="70"/>
    <w:qFormat/>
    <w:uiPriority w:val="0"/>
    <w:rPr>
      <w:rFonts w:hint="eastAsia" w:ascii="宋体" w:hAnsi="宋体" w:eastAsia="宋体"/>
      <w:kern w:val="2"/>
      <w:sz w:val="28"/>
      <w:szCs w:val="28"/>
      <w:lang w:val="en-US" w:eastAsia="zh-CN" w:bidi="ar-SA"/>
    </w:rPr>
  </w:style>
  <w:style w:type="character" w:customStyle="1" w:styleId="846">
    <w:name w:val="Char Char26"/>
    <w:qFormat/>
    <w:uiPriority w:val="6"/>
    <w:rPr>
      <w:kern w:val="1"/>
      <w:sz w:val="21"/>
      <w:szCs w:val="24"/>
    </w:rPr>
  </w:style>
  <w:style w:type="character" w:customStyle="1" w:styleId="847">
    <w:name w:val="Item List Char"/>
    <w:link w:val="117"/>
    <w:qFormat/>
    <w:uiPriority w:val="0"/>
    <w:rPr>
      <w:rFonts w:ascii="Arial"/>
      <w:bCs/>
      <w:sz w:val="21"/>
      <w:szCs w:val="21"/>
      <w:lang w:val="en-US" w:eastAsia="zh-CN" w:bidi="ar-SA"/>
    </w:rPr>
  </w:style>
  <w:style w:type="character" w:customStyle="1" w:styleId="848">
    <w:name w:val="批注框文本 Char1"/>
    <w:qFormat/>
    <w:uiPriority w:val="0"/>
    <w:rPr>
      <w:rFonts w:ascii="Times New Roman" w:hAnsi="Times New Roman" w:eastAsia="宋体" w:cs="Times New Roman"/>
      <w:sz w:val="18"/>
      <w:szCs w:val="18"/>
    </w:rPr>
  </w:style>
  <w:style w:type="character" w:customStyle="1" w:styleId="849">
    <w:name w:val="纯文本 Char1"/>
    <w:link w:val="118"/>
    <w:qFormat/>
    <w:uiPriority w:val="0"/>
    <w:rPr>
      <w:rFonts w:ascii="宋体" w:hAnsi="Courier New"/>
    </w:rPr>
  </w:style>
  <w:style w:type="character" w:customStyle="1" w:styleId="850">
    <w:name w:val="正文首行缩进 字符"/>
    <w:link w:val="27"/>
    <w:qFormat/>
    <w:uiPriority w:val="0"/>
    <w:rPr>
      <w:rFonts w:ascii="宋体"/>
      <w:kern w:val="2"/>
      <w:sz w:val="24"/>
      <w:lang w:val="zh-CN"/>
    </w:rPr>
  </w:style>
  <w:style w:type="character" w:customStyle="1" w:styleId="851">
    <w:name w:val="h3 Char"/>
    <w:qFormat/>
    <w:uiPriority w:val="0"/>
    <w:rPr>
      <w:rFonts w:eastAsia="宋体"/>
      <w:b/>
      <w:kern w:val="2"/>
      <w:sz w:val="32"/>
      <w:lang w:val="en-US" w:eastAsia="zh-CN" w:bidi="ar-SA"/>
    </w:rPr>
  </w:style>
  <w:style w:type="character" w:customStyle="1" w:styleId="852">
    <w:name w:val="dandyren_title1"/>
    <w:qFormat/>
    <w:uiPriority w:val="0"/>
    <w:rPr>
      <w:b/>
      <w:bCs/>
      <w:color w:val="FF6633"/>
      <w:sz w:val="18"/>
      <w:szCs w:val="18"/>
    </w:rPr>
  </w:style>
  <w:style w:type="character" w:customStyle="1" w:styleId="853">
    <w:name w:val="Char Char31"/>
    <w:qFormat/>
    <w:uiPriority w:val="6"/>
    <w:rPr>
      <w:rFonts w:ascii="Arial" w:hAnsi="Arial" w:eastAsia="黑体"/>
      <w:kern w:val="1"/>
      <w:sz w:val="24"/>
      <w:szCs w:val="24"/>
    </w:rPr>
  </w:style>
  <w:style w:type="character" w:customStyle="1" w:styleId="854">
    <w:name w:val="h Char1"/>
    <w:qFormat/>
    <w:uiPriority w:val="0"/>
    <w:rPr>
      <w:sz w:val="18"/>
      <w:szCs w:val="18"/>
    </w:rPr>
  </w:style>
  <w:style w:type="character" w:customStyle="1" w:styleId="855">
    <w:name w:val="solutionfonts"/>
    <w:qFormat/>
    <w:uiPriority w:val="0"/>
  </w:style>
  <w:style w:type="character" w:customStyle="1" w:styleId="856">
    <w:name w:val="标题 4 字符1"/>
    <w:link w:val="5"/>
    <w:qFormat/>
    <w:uiPriority w:val="9"/>
    <w:rPr>
      <w:rFonts w:ascii="Arial" w:hAnsi="Arial" w:eastAsia="黑体"/>
      <w:b/>
      <w:bCs/>
      <w:kern w:val="2"/>
      <w:sz w:val="28"/>
      <w:szCs w:val="28"/>
      <w:lang w:val="zh-CN"/>
    </w:rPr>
  </w:style>
  <w:style w:type="character" w:customStyle="1" w:styleId="857">
    <w:name w:val="首行缩进 Char"/>
    <w:qFormat/>
    <w:uiPriority w:val="0"/>
    <w:rPr>
      <w:rFonts w:ascii="宋体" w:eastAsia="宋体"/>
      <w:kern w:val="2"/>
      <w:sz w:val="24"/>
      <w:lang w:val="en-US" w:eastAsia="zh-CN" w:bidi="ar-SA"/>
    </w:rPr>
  </w:style>
  <w:style w:type="character" w:customStyle="1" w:styleId="858">
    <w:name w:val="Char Char52"/>
    <w:qFormat/>
    <w:uiPriority w:val="0"/>
    <w:rPr>
      <w:rFonts w:ascii="宋体" w:hAnsi="Courier New" w:eastAsia="宋体"/>
      <w:kern w:val="2"/>
      <w:sz w:val="21"/>
      <w:lang w:val="en-US" w:eastAsia="zh-CN"/>
    </w:rPr>
  </w:style>
  <w:style w:type="character" w:customStyle="1" w:styleId="859">
    <w:name w:val="正文文本 3 字符"/>
    <w:link w:val="24"/>
    <w:qFormat/>
    <w:uiPriority w:val="0"/>
    <w:rPr>
      <w:kern w:val="2"/>
      <w:sz w:val="21"/>
    </w:rPr>
  </w:style>
  <w:style w:type="character" w:customStyle="1" w:styleId="860">
    <w:name w:val="font31"/>
    <w:qFormat/>
    <w:uiPriority w:val="0"/>
    <w:rPr>
      <w:rFonts w:hint="eastAsia" w:ascii="仿宋" w:hAnsi="仿宋" w:eastAsia="仿宋" w:cs="仿宋"/>
      <w:color w:val="000000"/>
      <w:sz w:val="20"/>
      <w:szCs w:val="20"/>
      <w:u w:val="none"/>
    </w:rPr>
  </w:style>
  <w:style w:type="character" w:customStyle="1" w:styleId="861">
    <w:name w:val="正文说明 Char"/>
    <w:link w:val="119"/>
    <w:qFormat/>
    <w:uiPriority w:val="0"/>
    <w:rPr>
      <w:sz w:val="24"/>
      <w:szCs w:val="24"/>
    </w:rPr>
  </w:style>
  <w:style w:type="character" w:customStyle="1" w:styleId="862">
    <w:name w:val="脚注文本 Char1"/>
    <w:qFormat/>
    <w:uiPriority w:val="0"/>
    <w:rPr>
      <w:rFonts w:ascii="Times New Roman" w:hAnsi="Times New Roman" w:eastAsia="宋体" w:cs="Times New Roman"/>
      <w:sz w:val="18"/>
      <w:szCs w:val="18"/>
    </w:rPr>
  </w:style>
  <w:style w:type="character" w:customStyle="1" w:styleId="863">
    <w:name w:val="Char Char1211"/>
    <w:qFormat/>
    <w:uiPriority w:val="0"/>
    <w:rPr>
      <w:rFonts w:ascii="仿宋_GB2312" w:eastAsia="仿宋_GB2312"/>
      <w:b/>
      <w:bCs/>
      <w:kern w:val="2"/>
      <w:sz w:val="24"/>
      <w:szCs w:val="24"/>
      <w:lang w:val="zh-CN" w:eastAsia="zh-CN" w:bidi="ar-SA"/>
    </w:rPr>
  </w:style>
  <w:style w:type="character" w:customStyle="1" w:styleId="864">
    <w:name w:val="标题 Char"/>
    <w:qFormat/>
    <w:uiPriority w:val="0"/>
    <w:rPr>
      <w:rFonts w:eastAsia="宋体"/>
      <w:b/>
      <w:sz w:val="24"/>
      <w:lang w:eastAsia="zh-CN" w:bidi="ar-SA"/>
    </w:rPr>
  </w:style>
  <w:style w:type="character" w:customStyle="1" w:styleId="865">
    <w:name w:val="Char Char35"/>
    <w:qFormat/>
    <w:uiPriority w:val="6"/>
    <w:rPr>
      <w:rFonts w:ascii="Arial" w:hAnsi="Arial" w:eastAsia="黑体"/>
      <w:b/>
      <w:kern w:val="1"/>
      <w:sz w:val="28"/>
      <w:szCs w:val="28"/>
      <w:lang w:val="zh-CN"/>
    </w:rPr>
  </w:style>
  <w:style w:type="character" w:customStyle="1" w:styleId="866">
    <w:name w:val="纯文本 Char Char Char"/>
    <w:qFormat/>
    <w:uiPriority w:val="0"/>
    <w:rPr>
      <w:rFonts w:ascii="宋体" w:hAnsi="Courier New" w:eastAsia="宋体"/>
      <w:kern w:val="2"/>
      <w:sz w:val="21"/>
      <w:lang w:val="en-US" w:eastAsia="zh-CN" w:bidi="ar-SA"/>
    </w:rPr>
  </w:style>
  <w:style w:type="character" w:customStyle="1" w:styleId="867">
    <w:name w:val="Table Text Char"/>
    <w:link w:val="120"/>
    <w:qFormat/>
    <w:uiPriority w:val="0"/>
    <w:rPr>
      <w:sz w:val="24"/>
      <w:szCs w:val="24"/>
    </w:rPr>
  </w:style>
  <w:style w:type="character" w:customStyle="1" w:styleId="868">
    <w:name w:val="正文1 Char1"/>
    <w:qFormat/>
    <w:uiPriority w:val="0"/>
    <w:rPr>
      <w:rFonts w:ascii="仿宋_GB2312" w:hAnsi="Courier New" w:eastAsia="仿宋_GB2312"/>
      <w:kern w:val="28"/>
      <w:sz w:val="24"/>
      <w:szCs w:val="24"/>
      <w:lang w:val="en-US" w:eastAsia="zh-CN"/>
    </w:rPr>
  </w:style>
  <w:style w:type="character" w:customStyle="1" w:styleId="869">
    <w:name w:val="页脚 Char1"/>
    <w:qFormat/>
    <w:uiPriority w:val="0"/>
    <w:rPr>
      <w:rFonts w:eastAsia="宋体"/>
      <w:kern w:val="2"/>
      <w:sz w:val="18"/>
      <w:szCs w:val="18"/>
      <w:lang w:val="en-US" w:eastAsia="zh-CN" w:bidi="ar-SA"/>
    </w:rPr>
  </w:style>
  <w:style w:type="character" w:customStyle="1" w:styleId="870">
    <w:name w:val="Bold"/>
    <w:qFormat/>
    <w:uiPriority w:val="0"/>
    <w:rPr>
      <w:rFonts w:ascii="Arial" w:hAnsi="Arial" w:eastAsia="黑体" w:cs="Times New Roman"/>
      <w:b/>
      <w:kern w:val="2"/>
      <w:sz w:val="32"/>
      <w:szCs w:val="32"/>
      <w:lang w:val="en-US" w:eastAsia="zh-CN" w:bidi="ar-SA"/>
    </w:rPr>
  </w:style>
  <w:style w:type="character" w:customStyle="1" w:styleId="871">
    <w:name w:val="批注文字 字符1"/>
    <w:link w:val="22"/>
    <w:qFormat/>
    <w:uiPriority w:val="99"/>
    <w:rPr>
      <w:kern w:val="2"/>
      <w:sz w:val="21"/>
      <w:szCs w:val="24"/>
    </w:rPr>
  </w:style>
  <w:style w:type="character" w:customStyle="1" w:styleId="872">
    <w:name w:val="签名 字符"/>
    <w:link w:val="44"/>
    <w:qFormat/>
    <w:uiPriority w:val="0"/>
    <w:rPr>
      <w:rFonts w:eastAsia="仿宋_GB2312"/>
      <w:sz w:val="24"/>
    </w:rPr>
  </w:style>
  <w:style w:type="character" w:customStyle="1" w:styleId="873">
    <w:name w:val="hui3"/>
    <w:qFormat/>
    <w:uiPriority w:val="0"/>
    <w:rPr>
      <w:color w:val="333333"/>
    </w:rPr>
  </w:style>
  <w:style w:type="character" w:customStyle="1" w:styleId="874">
    <w:name w:val="Char Char17"/>
    <w:qFormat/>
    <w:uiPriority w:val="6"/>
    <w:rPr>
      <w:rFonts w:eastAsia="仿宋_GB2312"/>
      <w:sz w:val="24"/>
    </w:rPr>
  </w:style>
  <w:style w:type="character" w:customStyle="1" w:styleId="875">
    <w:name w:val="标题 4 字符"/>
    <w:qFormat/>
    <w:uiPriority w:val="9"/>
    <w:rPr>
      <w:rFonts w:ascii="等线 Light" w:hAnsi="等线 Light" w:eastAsia="等线 Light" w:cs="Times New Roman"/>
      <w:b/>
      <w:bCs/>
      <w:snapToGrid w:val="0"/>
      <w:kern w:val="0"/>
      <w:sz w:val="28"/>
      <w:szCs w:val="28"/>
    </w:rPr>
  </w:style>
  <w:style w:type="character" w:customStyle="1" w:styleId="876">
    <w:name w:val="Char Char37"/>
    <w:qFormat/>
    <w:uiPriority w:val="6"/>
    <w:rPr>
      <w:b/>
      <w:kern w:val="1"/>
      <w:sz w:val="44"/>
      <w:szCs w:val="44"/>
    </w:rPr>
  </w:style>
  <w:style w:type="character" w:customStyle="1" w:styleId="877">
    <w:name w:val="列出段落 Char"/>
    <w:qFormat/>
    <w:uiPriority w:val="0"/>
    <w:rPr>
      <w:rFonts w:eastAsia="楷体_GB2312" w:cs="Lucida Sans"/>
      <w:kern w:val="2"/>
      <w:sz w:val="24"/>
      <w:szCs w:val="24"/>
      <w:lang w:val="en-US" w:eastAsia="zh-CN" w:bidi="ar-SA"/>
    </w:rPr>
  </w:style>
  <w:style w:type="character" w:customStyle="1" w:styleId="878">
    <w:name w:val="正文文本缩进 3 Char1"/>
    <w:qFormat/>
    <w:uiPriority w:val="99"/>
    <w:rPr>
      <w:rFonts w:ascii="Times New Roman" w:hAnsi="Times New Roman" w:eastAsia="宋体" w:cs="Times New Roman"/>
      <w:sz w:val="16"/>
      <w:szCs w:val="16"/>
    </w:rPr>
  </w:style>
  <w:style w:type="character" w:customStyle="1" w:styleId="879">
    <w:name w:val="公文正文 Char Char"/>
    <w:link w:val="121"/>
    <w:qFormat/>
    <w:uiPriority w:val="0"/>
    <w:rPr>
      <w:rFonts w:ascii="仿宋_GB2312" w:eastAsia="仿宋_GB2312"/>
      <w:kern w:val="2"/>
      <w:sz w:val="24"/>
      <w:szCs w:val="24"/>
    </w:rPr>
  </w:style>
  <w:style w:type="character" w:customStyle="1" w:styleId="880">
    <w:name w:val="Table Text Char1"/>
    <w:qFormat/>
    <w:uiPriority w:val="0"/>
    <w:rPr>
      <w:rFonts w:eastAsia="宋体"/>
      <w:sz w:val="24"/>
      <w:szCs w:val="24"/>
      <w:lang w:val="en-US" w:eastAsia="zh-CN" w:bidi="ar-SA"/>
    </w:rPr>
  </w:style>
  <w:style w:type="character" w:customStyle="1" w:styleId="881">
    <w:name w:val="标题 1 Char Char"/>
    <w:qFormat/>
    <w:uiPriority w:val="0"/>
    <w:rPr>
      <w:rFonts w:hint="eastAsia" w:ascii="宋体" w:hAnsi="宋体" w:eastAsia="宋体"/>
      <w:b/>
      <w:spacing w:val="-2"/>
      <w:sz w:val="24"/>
      <w:lang w:val="en-US" w:eastAsia="zh-CN" w:bidi="ar-SA"/>
    </w:rPr>
  </w:style>
  <w:style w:type="character" w:customStyle="1" w:styleId="882">
    <w:name w:val="正文（缩进2汉字） Char"/>
    <w:link w:val="122"/>
    <w:qFormat/>
    <w:uiPriority w:val="0"/>
    <w:rPr>
      <w:rFonts w:ascii="宋体"/>
    </w:rPr>
  </w:style>
  <w:style w:type="character" w:customStyle="1" w:styleId="883">
    <w:name w:val="标题 8 字符"/>
    <w:link w:val="9"/>
    <w:qFormat/>
    <w:uiPriority w:val="0"/>
    <w:rPr>
      <w:rFonts w:ascii="Arial" w:hAnsi="Arial" w:eastAsia="黑体"/>
      <w:kern w:val="2"/>
      <w:sz w:val="24"/>
      <w:szCs w:val="24"/>
    </w:rPr>
  </w:style>
  <w:style w:type="character" w:customStyle="1" w:styleId="884">
    <w:name w:val="标书表格字体格式 Char"/>
    <w:qFormat/>
    <w:uiPriority w:val="0"/>
    <w:rPr>
      <w:kern w:val="2"/>
      <w:sz w:val="21"/>
      <w:szCs w:val="24"/>
      <w:lang w:bidi="ar-SA"/>
    </w:rPr>
  </w:style>
  <w:style w:type="character" w:customStyle="1" w:styleId="885">
    <w:name w:val="tw4winError"/>
    <w:qFormat/>
    <w:uiPriority w:val="0"/>
    <w:rPr>
      <w:rFonts w:ascii="Courier New" w:hAnsi="Courier New" w:cs="Courier New"/>
      <w:color w:val="00FF00"/>
      <w:sz w:val="40"/>
      <w:szCs w:val="40"/>
    </w:rPr>
  </w:style>
  <w:style w:type="character" w:customStyle="1" w:styleId="886">
    <w:name w:val="Body Text(ch) Char Char"/>
    <w:qFormat/>
    <w:uiPriority w:val="0"/>
    <w:rPr>
      <w:rFonts w:ascii="宋体"/>
      <w:kern w:val="2"/>
      <w:sz w:val="24"/>
      <w:szCs w:val="21"/>
      <w:lang w:val="zh-CN"/>
    </w:rPr>
  </w:style>
  <w:style w:type="character" w:customStyle="1" w:styleId="887">
    <w:name w:val="正文首行缩进两字 Char"/>
    <w:qFormat/>
    <w:uiPriority w:val="0"/>
    <w:rPr>
      <w:sz w:val="24"/>
      <w:szCs w:val="24"/>
      <w:lang w:val="en-US" w:eastAsia="zh-CN" w:bidi="ar-SA"/>
    </w:rPr>
  </w:style>
  <w:style w:type="character" w:customStyle="1" w:styleId="888">
    <w:name w:val="正文文本 Char"/>
    <w:qFormat/>
    <w:uiPriority w:val="0"/>
    <w:rPr>
      <w:rFonts w:eastAsia="宋体"/>
      <w:kern w:val="2"/>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99"/>
    <w:rPr>
      <w:rFonts w:ascii="Arial" w:hAnsi="Arial" w:eastAsia="黑体" w:cs="Arial"/>
      <w:snapToGrid w:val="0"/>
      <w:kern w:val="0"/>
      <w:szCs w:val="21"/>
    </w:rPr>
  </w:style>
  <w:style w:type="character" w:customStyle="1" w:styleId="893">
    <w:name w:val="标准正文格式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文档结构图 Char"/>
    <w:qFormat/>
    <w:uiPriority w:val="0"/>
    <w:rPr>
      <w:rFonts w:eastAsia="宋体"/>
      <w:kern w:val="2"/>
      <w:sz w:val="21"/>
      <w:szCs w:val="24"/>
      <w:lang w:val="en-US" w:eastAsia="zh-CN" w:bidi="ar-SA"/>
    </w:rPr>
  </w:style>
  <w:style w:type="character" w:customStyle="1" w:styleId="896">
    <w:name w:val="zbggmain style9"/>
    <w:qFormat/>
    <w:uiPriority w:val="0"/>
  </w:style>
  <w:style w:type="character" w:customStyle="1" w:styleId="897">
    <w:name w:val="Char Char16"/>
    <w:qFormat/>
    <w:uiPriority w:val="6"/>
    <w:rPr>
      <w:kern w:val="1"/>
      <w:sz w:val="18"/>
      <w:szCs w:val="18"/>
    </w:rPr>
  </w:style>
  <w:style w:type="character" w:customStyle="1" w:styleId="898">
    <w:name w:val="font51"/>
    <w:qFormat/>
    <w:uiPriority w:val="0"/>
    <w:rPr>
      <w:rFonts w:hint="eastAsia" w:ascii="仿宋" w:hAnsi="仿宋" w:eastAsia="仿宋" w:cs="仿宋"/>
      <w:color w:val="000000"/>
      <w:sz w:val="20"/>
      <w:szCs w:val="20"/>
      <w:u w:val="none"/>
    </w:rPr>
  </w:style>
  <w:style w:type="character" w:customStyle="1" w:styleId="899">
    <w:name w:val="Char Char82"/>
    <w:qFormat/>
    <w:uiPriority w:val="0"/>
    <w:rPr>
      <w:rFonts w:eastAsia="宋体"/>
      <w:b/>
      <w:sz w:val="24"/>
      <w:lang w:eastAsia="zh-CN"/>
    </w:rPr>
  </w:style>
  <w:style w:type="character" w:customStyle="1" w:styleId="900">
    <w:name w:val="正文文本缩进 3 字符"/>
    <w:link w:val="55"/>
    <w:qFormat/>
    <w:uiPriority w:val="0"/>
    <w:rPr>
      <w:kern w:val="2"/>
      <w:sz w:val="24"/>
    </w:rPr>
  </w:style>
  <w:style w:type="character" w:customStyle="1" w:styleId="901">
    <w:name w:val="日期 Char1"/>
    <w:qFormat/>
    <w:uiPriority w:val="99"/>
    <w:rPr>
      <w:rFonts w:ascii="Times New Roman" w:hAnsi="Times New Roman" w:eastAsia="宋体" w:cs="Times New Roman"/>
      <w:szCs w:val="24"/>
    </w:rPr>
  </w:style>
  <w:style w:type="character" w:customStyle="1" w:styleId="902">
    <w:name w:val="页眉 字符"/>
    <w:qFormat/>
    <w:uiPriority w:val="99"/>
    <w:rPr>
      <w:kern w:val="2"/>
      <w:sz w:val="18"/>
      <w:szCs w:val="18"/>
    </w:rPr>
  </w:style>
  <w:style w:type="character" w:customStyle="1" w:styleId="903">
    <w:name w:val="Char Char33"/>
    <w:qFormat/>
    <w:uiPriority w:val="6"/>
    <w:rPr>
      <w:rFonts w:ascii="Arial" w:hAnsi="Arial" w:eastAsia="黑体"/>
      <w:b/>
      <w:kern w:val="1"/>
      <w:sz w:val="24"/>
      <w:szCs w:val="24"/>
    </w:rPr>
  </w:style>
  <w:style w:type="character" w:customStyle="1" w:styleId="904">
    <w:name w:val="b11_01b Char"/>
    <w:link w:val="123"/>
    <w:qFormat/>
    <w:uiPriority w:val="0"/>
    <w:rPr>
      <w:rFonts w:ascii="Verdana" w:hAnsi="Verdana"/>
      <w:b/>
      <w:bCs/>
      <w:color w:val="4A82CA"/>
      <w:sz w:val="17"/>
      <w:szCs w:val="17"/>
    </w:rPr>
  </w:style>
  <w:style w:type="character" w:customStyle="1" w:styleId="905">
    <w:name w:val="Char Char121"/>
    <w:qFormat/>
    <w:uiPriority w:val="6"/>
    <w:rPr>
      <w:rFonts w:ascii="仿宋_GB2312" w:eastAsia="仿宋_GB2312"/>
      <w:b/>
      <w:bCs/>
      <w:kern w:val="2"/>
      <w:sz w:val="24"/>
      <w:szCs w:val="24"/>
      <w:lang w:val="zh-CN" w:eastAsia="zh-CN" w:bidi="ar-SA"/>
    </w:rPr>
  </w:style>
  <w:style w:type="character" w:customStyle="1" w:styleId="906">
    <w:name w:val="Footer-Even Char"/>
    <w:qFormat/>
    <w:uiPriority w:val="0"/>
    <w:rPr>
      <w:rFonts w:eastAsia="宋体"/>
      <w:kern w:val="2"/>
      <w:sz w:val="18"/>
      <w:lang w:val="en-US" w:eastAsia="zh-CN" w:bidi="ar-SA"/>
    </w:rPr>
  </w:style>
  <w:style w:type="character" w:customStyle="1" w:styleId="907">
    <w:name w:val="页脚 字符2"/>
    <w:link w:val="42"/>
    <w:qFormat/>
    <w:uiPriority w:val="99"/>
    <w:rPr>
      <w:kern w:val="2"/>
      <w:sz w:val="18"/>
      <w:szCs w:val="18"/>
    </w:rPr>
  </w:style>
  <w:style w:type="character" w:customStyle="1" w:styleId="908">
    <w:name w:val="Char Char36"/>
    <w:qFormat/>
    <w:uiPriority w:val="6"/>
    <w:rPr>
      <w:rFonts w:ascii="仿宋_GB2312" w:hAnsi="仿宋_GB2312" w:eastAsia="仿宋_GB2312" w:cs="Arial"/>
      <w:b/>
      <w:kern w:val="1"/>
      <w:sz w:val="32"/>
      <w:szCs w:val="32"/>
      <w:lang w:val="zh-CN" w:eastAsia="zh-CN" w:bidi="ar-SA"/>
    </w:rPr>
  </w:style>
  <w:style w:type="character" w:customStyle="1" w:styleId="909">
    <w:name w:val="Char Char61"/>
    <w:qFormat/>
    <w:uiPriority w:val="6"/>
    <w:rPr>
      <w:rFonts w:eastAsia="宋体"/>
      <w:kern w:val="2"/>
      <w:sz w:val="21"/>
      <w:szCs w:val="24"/>
      <w:lang w:val="en-US" w:eastAsia="zh-CN" w:bidi="ar-SA"/>
    </w:rPr>
  </w:style>
  <w:style w:type="character" w:customStyle="1" w:styleId="910">
    <w:name w:val="正文文字缩进 2 Char Char"/>
    <w:qFormat/>
    <w:uiPriority w:val="0"/>
    <w:rPr>
      <w:rFonts w:ascii="宋体"/>
      <w:sz w:val="28"/>
    </w:rPr>
  </w:style>
  <w:style w:type="character" w:customStyle="1" w:styleId="911">
    <w:name w:val="f141"/>
    <w:qFormat/>
    <w:uiPriority w:val="0"/>
    <w:rPr>
      <w:rFonts w:ascii="Tahoma" w:hAnsi="Tahoma" w:eastAsia="宋体"/>
      <w:b/>
      <w:kern w:val="2"/>
      <w:sz w:val="21"/>
      <w:szCs w:val="21"/>
      <w:lang w:val="en-US" w:eastAsia="zh-CN" w:bidi="ar-SA"/>
    </w:rPr>
  </w:style>
  <w:style w:type="character" w:customStyle="1" w:styleId="912">
    <w:name w:val="段落 Char Char"/>
    <w:link w:val="124"/>
    <w:qFormat/>
    <w:uiPriority w:val="0"/>
    <w:rPr>
      <w:rFonts w:ascii="宋体" w:hAnsi="宋体"/>
      <w:sz w:val="24"/>
    </w:rPr>
  </w:style>
  <w:style w:type="character" w:customStyle="1" w:styleId="913">
    <w:name w:val="标题 3 Char2"/>
    <w:qFormat/>
    <w:uiPriority w:val="0"/>
    <w:rPr>
      <w:rFonts w:eastAsia="宋体"/>
      <w:b/>
      <w:bCs/>
      <w:kern w:val="2"/>
      <w:sz w:val="32"/>
      <w:szCs w:val="32"/>
      <w:lang w:val="en-US" w:eastAsia="zh-CN" w:bidi="ar-SA"/>
    </w:rPr>
  </w:style>
  <w:style w:type="character" w:customStyle="1" w:styleId="914">
    <w:name w:val="apple-converted-space"/>
    <w:qFormat/>
    <w:uiPriority w:val="0"/>
  </w:style>
  <w:style w:type="character" w:customStyle="1" w:styleId="915">
    <w:name w:val="页眉 字符2"/>
    <w:link w:val="43"/>
    <w:qFormat/>
    <w:uiPriority w:val="99"/>
    <w:rPr>
      <w:kern w:val="2"/>
      <w:sz w:val="18"/>
      <w:szCs w:val="18"/>
    </w:rPr>
  </w:style>
  <w:style w:type="character" w:customStyle="1" w:styleId="916">
    <w:name w:val="Char Char9"/>
    <w:qFormat/>
    <w:uiPriority w:val="0"/>
    <w:rPr>
      <w:rFonts w:eastAsia="宋体"/>
      <w:kern w:val="2"/>
      <w:sz w:val="18"/>
      <w:szCs w:val="18"/>
      <w:lang w:val="en-US" w:eastAsia="zh-CN" w:bidi="ar-SA"/>
    </w:rPr>
  </w:style>
  <w:style w:type="character" w:customStyle="1" w:styleId="917">
    <w:name w:val="Char Char41"/>
    <w:qFormat/>
    <w:uiPriority w:val="0"/>
    <w:rPr>
      <w:rFonts w:eastAsia="宋体"/>
      <w:b/>
      <w:sz w:val="24"/>
      <w:lang w:eastAsia="zh-CN" w:bidi="ar-SA"/>
    </w:rPr>
  </w:style>
  <w:style w:type="character" w:customStyle="1" w:styleId="918">
    <w:name w:val="large1"/>
    <w:qFormat/>
    <w:uiPriority w:val="0"/>
    <w:rPr>
      <w:rFonts w:hint="eastAsia" w:ascii="宋体" w:hAnsi="宋体" w:eastAsia="宋体"/>
      <w:sz w:val="21"/>
      <w:szCs w:val="21"/>
    </w:rPr>
  </w:style>
  <w:style w:type="character" w:customStyle="1" w:styleId="919">
    <w:name w:val="正文段 Char"/>
    <w:link w:val="125"/>
    <w:qFormat/>
    <w:uiPriority w:val="0"/>
    <w:rPr>
      <w:sz w:val="24"/>
    </w:rPr>
  </w:style>
  <w:style w:type="character" w:customStyle="1" w:styleId="920">
    <w:name w:val="Char Char13"/>
    <w:qFormat/>
    <w:uiPriority w:val="6"/>
    <w:rPr>
      <w:rFonts w:ascii="宋体" w:hAnsi="宋体"/>
      <w:kern w:val="1"/>
      <w:sz w:val="21"/>
      <w:szCs w:val="24"/>
    </w:rPr>
  </w:style>
  <w:style w:type="character" w:customStyle="1" w:styleId="92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2">
    <w:name w:val="冯广丽 Char"/>
    <w:link w:val="126"/>
    <w:qFormat/>
    <w:uiPriority w:val="0"/>
    <w:rPr>
      <w:rFonts w:ascii="宋体" w:hAnsi="宋体"/>
      <w:kern w:val="2"/>
      <w:sz w:val="24"/>
      <w:szCs w:val="22"/>
    </w:rPr>
  </w:style>
  <w:style w:type="character" w:customStyle="1" w:styleId="923">
    <w:name w:val="批注文字 字符"/>
    <w:qFormat/>
    <w:uiPriority w:val="0"/>
    <w:rPr>
      <w:rFonts w:ascii="Arial" w:hAnsi="Arial" w:eastAsia="黑体" w:cs="Arial"/>
      <w:snapToGrid w:val="0"/>
      <w:kern w:val="0"/>
      <w:szCs w:val="21"/>
    </w:rPr>
  </w:style>
  <w:style w:type="character" w:customStyle="1" w:styleId="924">
    <w:name w:val="Char Char161"/>
    <w:qFormat/>
    <w:uiPriority w:val="0"/>
    <w:rPr>
      <w:rFonts w:eastAsia="宋体"/>
      <w:b/>
      <w:kern w:val="2"/>
      <w:sz w:val="32"/>
      <w:lang w:val="en-US" w:eastAsia="zh-CN"/>
    </w:rPr>
  </w:style>
  <w:style w:type="character" w:customStyle="1" w:styleId="925">
    <w:name w:val="javascript"/>
    <w:qFormat/>
    <w:uiPriority w:val="0"/>
  </w:style>
  <w:style w:type="character" w:customStyle="1" w:styleId="926">
    <w:name w:val="图名 Char"/>
    <w:qFormat/>
    <w:uiPriority w:val="0"/>
    <w:rPr>
      <w:rFonts w:ascii="Arial" w:hAnsi="Arial" w:eastAsia="黑体"/>
      <w:kern w:val="2"/>
      <w:sz w:val="24"/>
      <w:szCs w:val="24"/>
      <w:lang w:val="en-US" w:eastAsia="zh-CN" w:bidi="ar-SA"/>
    </w:rPr>
  </w:style>
  <w:style w:type="character" w:customStyle="1" w:styleId="927">
    <w:name w:val="Used by Word for text of Help footnotes Char Char"/>
    <w:qFormat/>
    <w:uiPriority w:val="0"/>
    <w:rPr>
      <w:rFonts w:ascii="Times New Roman" w:hAnsi="Times New Roman" w:eastAsia="宋体" w:cs="Times New Roman"/>
      <w:sz w:val="20"/>
      <w:szCs w:val="20"/>
    </w:rPr>
  </w:style>
  <w:style w:type="character" w:customStyle="1" w:styleId="928">
    <w:name w:val="编号，小四 Char"/>
    <w:link w:val="127"/>
    <w:qFormat/>
    <w:uiPriority w:val="0"/>
    <w:rPr>
      <w:rFonts w:ascii="Arial" w:hAnsi="Arial"/>
      <w:sz w:val="24"/>
    </w:rPr>
  </w:style>
  <w:style w:type="character" w:customStyle="1" w:styleId="929">
    <w:name w:val="Font Style82"/>
    <w:qFormat/>
    <w:uiPriority w:val="99"/>
    <w:rPr>
      <w:rFonts w:ascii="宋体" w:eastAsia="宋体" w:cs="宋体"/>
      <w:color w:val="000000"/>
      <w:sz w:val="14"/>
      <w:szCs w:val="14"/>
    </w:rPr>
  </w:style>
  <w:style w:type="character" w:customStyle="1" w:styleId="930">
    <w:name w:val="标题 2 Char Char"/>
    <w:qFormat/>
    <w:uiPriority w:val="0"/>
    <w:rPr>
      <w:rFonts w:ascii="楷体_GB2312" w:hAnsi="Arial" w:eastAsia="楷体_GB2312"/>
      <w:b/>
      <w:bCs/>
      <w:kern w:val="2"/>
      <w:sz w:val="24"/>
      <w:szCs w:val="32"/>
      <w:lang w:val="en-US" w:eastAsia="zh-CN" w:bidi="ar-SA"/>
    </w:rPr>
  </w:style>
  <w:style w:type="character" w:customStyle="1" w:styleId="931">
    <w:name w:val="未用 Char"/>
    <w:qFormat/>
    <w:uiPriority w:val="0"/>
    <w:rPr>
      <w:rFonts w:ascii="Arial" w:hAnsi="Arial" w:eastAsia="黑体"/>
      <w:kern w:val="2"/>
      <w:sz w:val="21"/>
      <w:szCs w:val="21"/>
      <w:lang w:val="en-US" w:eastAsia="zh-CN" w:bidi="ar-SA"/>
    </w:rPr>
  </w:style>
  <w:style w:type="character" w:customStyle="1" w:styleId="932">
    <w:name w:val="myp1111"/>
    <w:qFormat/>
    <w:uiPriority w:val="0"/>
    <w:rPr>
      <w:rFonts w:hint="default" w:ascii="ˎ̥" w:hAnsi="ˎ̥"/>
      <w:color w:val="000000"/>
      <w:sz w:val="20"/>
      <w:szCs w:val="20"/>
      <w:u w:val="none"/>
    </w:rPr>
  </w:style>
  <w:style w:type="character" w:customStyle="1" w:styleId="933">
    <w:name w:val="样式 标题 4h4H4Fab-4T5Ref Heading 1rh1Heading sqlsect 1.2.3.... Char"/>
    <w:link w:val="116"/>
    <w:qFormat/>
    <w:uiPriority w:val="0"/>
    <w:rPr>
      <w:rFonts w:ascii="微软雅黑" w:hAnsi="微软雅黑" w:eastAsia="微软雅黑"/>
      <w:b/>
      <w:bCs/>
      <w:kern w:val="2"/>
      <w:sz w:val="24"/>
      <w:szCs w:val="28"/>
    </w:rPr>
  </w:style>
  <w:style w:type="character" w:customStyle="1" w:styleId="934">
    <w:name w:val="h Char Char"/>
    <w:qFormat/>
    <w:uiPriority w:val="0"/>
    <w:rPr>
      <w:rFonts w:eastAsia="宋体"/>
      <w:kern w:val="2"/>
      <w:sz w:val="18"/>
      <w:lang w:val="en-US" w:eastAsia="zh-CN" w:bidi="ar-SA"/>
    </w:rPr>
  </w:style>
  <w:style w:type="character" w:customStyle="1" w:styleId="935">
    <w:name w:val="仿宋正文 Char"/>
    <w:link w:val="128"/>
    <w:qFormat/>
    <w:uiPriority w:val="0"/>
    <w:rPr>
      <w:rFonts w:ascii="仿宋_GB2312" w:eastAsia="仿宋_GB2312"/>
      <w:kern w:val="2"/>
      <w:sz w:val="24"/>
      <w:lang w:val="en-US" w:eastAsia="zh-CN" w:bidi="ar-SA"/>
    </w:rPr>
  </w:style>
  <w:style w:type="character" w:customStyle="1" w:styleId="936">
    <w:name w:val="正文首行缩进 Char Char Char Char Char Char"/>
    <w:qFormat/>
    <w:uiPriority w:val="0"/>
    <w:rPr>
      <w:rFonts w:ascii="宋体" w:eastAsia="宋体"/>
      <w:kern w:val="2"/>
      <w:sz w:val="24"/>
      <w:lang w:val="zh-CN" w:bidi="ar-SA"/>
    </w:rPr>
  </w:style>
  <w:style w:type="character" w:customStyle="1" w:styleId="937">
    <w:name w:val="样式 宋体"/>
    <w:qFormat/>
    <w:uiPriority w:val="0"/>
    <w:rPr>
      <w:rFonts w:ascii="宋体" w:hAnsi="宋体"/>
      <w:sz w:val="24"/>
    </w:rPr>
  </w:style>
  <w:style w:type="character" w:customStyle="1" w:styleId="938">
    <w:name w:val="tw4winJump"/>
    <w:qFormat/>
    <w:uiPriority w:val="0"/>
    <w:rPr>
      <w:rFonts w:ascii="Courier New" w:hAnsi="Courier New" w:cs="Courier New"/>
      <w:color w:val="008080"/>
      <w:lang w:val="en-US" w:eastAsia="zh-CN"/>
    </w:rPr>
  </w:style>
  <w:style w:type="character" w:customStyle="1" w:styleId="939">
    <w:name w:val="标题 1 字符"/>
    <w:qFormat/>
    <w:uiPriority w:val="9"/>
    <w:rPr>
      <w:rFonts w:ascii="Arial" w:hAnsi="Arial" w:eastAsia="黑体" w:cs="Arial"/>
      <w:b/>
      <w:bCs/>
      <w:snapToGrid w:val="0"/>
      <w:kern w:val="44"/>
      <w:sz w:val="44"/>
      <w:szCs w:val="44"/>
    </w:rPr>
  </w:style>
  <w:style w:type="character" w:customStyle="1" w:styleId="940">
    <w:name w:val="style36"/>
    <w:basedOn w:val="70"/>
    <w:qFormat/>
    <w:uiPriority w:val="0"/>
    <w:rPr>
      <w:rFonts w:ascii="Arial" w:hAnsi="Arial" w:eastAsia="黑体" w:cs="Arial"/>
      <w:snapToGrid w:val="0"/>
      <w:kern w:val="0"/>
      <w:szCs w:val="21"/>
    </w:rPr>
  </w:style>
  <w:style w:type="character" w:customStyle="1" w:styleId="941">
    <w:name w:val="pt9"/>
    <w:qFormat/>
    <w:uiPriority w:val="0"/>
    <w:rPr>
      <w:rFonts w:ascii="仿宋_GB2312" w:eastAsia="微软雅黑"/>
      <w:b/>
      <w:kern w:val="2"/>
      <w:sz w:val="32"/>
      <w:szCs w:val="32"/>
      <w:lang w:val="en-US" w:eastAsia="zh-CN" w:bidi="ar-SA"/>
    </w:rPr>
  </w:style>
  <w:style w:type="character" w:customStyle="1" w:styleId="942">
    <w:name w:val="DO_NOT_TRANSLATE"/>
    <w:qFormat/>
    <w:uiPriority w:val="0"/>
    <w:rPr>
      <w:rFonts w:ascii="Courier New" w:hAnsi="Courier New" w:cs="Courier New"/>
      <w:color w:val="800000"/>
      <w:lang w:val="en-US" w:eastAsia="zh-CN"/>
    </w:rPr>
  </w:style>
  <w:style w:type="character" w:customStyle="1" w:styleId="943">
    <w:name w:val="标书1 Char1"/>
    <w:qFormat/>
    <w:uiPriority w:val="0"/>
    <w:rPr>
      <w:rFonts w:eastAsia="宋体"/>
      <w:b/>
      <w:bCs/>
      <w:kern w:val="44"/>
      <w:sz w:val="44"/>
      <w:szCs w:val="44"/>
      <w:lang w:val="en-US" w:eastAsia="zh-CN" w:bidi="ar-SA"/>
    </w:rPr>
  </w:style>
  <w:style w:type="character" w:customStyle="1" w:styleId="944">
    <w:name w:val="页脚 字符"/>
    <w:qFormat/>
    <w:uiPriority w:val="99"/>
    <w:rPr>
      <w:kern w:val="2"/>
      <w:sz w:val="18"/>
      <w:szCs w:val="18"/>
    </w:rPr>
  </w:style>
  <w:style w:type="character" w:customStyle="1" w:styleId="945">
    <w:name w:val="正文2 Char"/>
    <w:qFormat/>
    <w:uiPriority w:val="0"/>
    <w:rPr>
      <w:rFonts w:eastAsia="宋体"/>
      <w:kern w:val="2"/>
      <w:sz w:val="24"/>
      <w:lang w:val="en-US" w:eastAsia="zh-CN" w:bidi="ar-SA"/>
    </w:rPr>
  </w:style>
  <w:style w:type="character" w:customStyle="1" w:styleId="946">
    <w:name w:val="Char Char21"/>
    <w:qFormat/>
    <w:uiPriority w:val="6"/>
    <w:rPr>
      <w:rFonts w:ascii="宋体" w:hAnsi="宋体"/>
      <w:kern w:val="1"/>
      <w:sz w:val="24"/>
      <w:szCs w:val="21"/>
      <w:lang w:val="zh-CN"/>
    </w:rPr>
  </w:style>
  <w:style w:type="character" w:customStyle="1" w:styleId="947">
    <w:name w:val="样式 正文缩进 + 首行缩进:  2 字符 Char Char"/>
    <w:link w:val="129"/>
    <w:qFormat/>
    <w:uiPriority w:val="0"/>
    <w:rPr>
      <w:rFonts w:cs="宋体"/>
      <w:kern w:val="2"/>
      <w:sz w:val="24"/>
    </w:rPr>
  </w:style>
  <w:style w:type="character" w:customStyle="1" w:styleId="948">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49">
    <w:name w:val="gray6"/>
    <w:basedOn w:val="70"/>
    <w:qFormat/>
    <w:uiPriority w:val="0"/>
    <w:rPr>
      <w:rFonts w:ascii="Arial" w:hAnsi="Arial" w:eastAsia="黑体" w:cs="Arial"/>
      <w:snapToGrid w:val="0"/>
      <w:kern w:val="0"/>
      <w:szCs w:val="21"/>
    </w:rPr>
  </w:style>
  <w:style w:type="character" w:customStyle="1" w:styleId="950">
    <w:name w:val="hui"/>
    <w:basedOn w:val="70"/>
    <w:qFormat/>
    <w:uiPriority w:val="0"/>
    <w:rPr>
      <w:rFonts w:ascii="Arial" w:hAnsi="Arial" w:eastAsia="黑体" w:cs="Arial"/>
      <w:snapToGrid w:val="0"/>
      <w:kern w:val="0"/>
      <w:szCs w:val="21"/>
    </w:rPr>
  </w:style>
  <w:style w:type="character" w:customStyle="1" w:styleId="951">
    <w:name w:val="哈哈正文 Char Char"/>
    <w:qFormat/>
    <w:uiPriority w:val="0"/>
    <w:rPr>
      <w:rFonts w:ascii="宋体" w:hAnsi="宋体" w:eastAsia="宋体" w:cs="宋体"/>
      <w:kern w:val="2"/>
      <w:sz w:val="24"/>
      <w:lang w:val="en-US" w:eastAsia="zh-CN" w:bidi="ar-SA"/>
    </w:rPr>
  </w:style>
  <w:style w:type="character" w:customStyle="1" w:styleId="952">
    <w:name w:val="交叉引用"/>
    <w:qFormat/>
    <w:uiPriority w:val="1"/>
    <w:rPr>
      <w:rFonts w:ascii="Arial" w:hAnsi="Arial" w:eastAsia="黑体"/>
      <w:snapToGrid w:val="0"/>
      <w:color w:val="0000FF"/>
      <w:kern w:val="0"/>
      <w:sz w:val="20"/>
      <w:szCs w:val="21"/>
      <w:u w:val="single"/>
      <w:lang w:val="en-US" w:eastAsia="zh-CN"/>
    </w:rPr>
  </w:style>
  <w:style w:type="character" w:customStyle="1" w:styleId="953">
    <w:name w:val="正文缩进 字符1"/>
    <w:qFormat/>
    <w:uiPriority w:val="0"/>
    <w:rPr>
      <w:rFonts w:ascii="宋体" w:eastAsia="宋体"/>
      <w:snapToGrid w:val="0"/>
      <w:color w:val="000000"/>
      <w:kern w:val="28"/>
      <w:sz w:val="28"/>
      <w:lang w:val="en-US" w:eastAsia="zh-CN" w:bidi="ar-SA"/>
    </w:rPr>
  </w:style>
  <w:style w:type="character" w:customStyle="1" w:styleId="954">
    <w:name w:val="页脚 字符1"/>
    <w:qFormat/>
    <w:uiPriority w:val="99"/>
    <w:rPr>
      <w:kern w:val="2"/>
      <w:sz w:val="18"/>
      <w:szCs w:val="18"/>
    </w:rPr>
  </w:style>
  <w:style w:type="character" w:customStyle="1" w:styleId="955">
    <w:name w:val="页眉 字符1"/>
    <w:qFormat/>
    <w:uiPriority w:val="99"/>
    <w:rPr>
      <w:kern w:val="2"/>
      <w:sz w:val="18"/>
      <w:szCs w:val="18"/>
    </w:rPr>
  </w:style>
  <w:style w:type="character" w:customStyle="1" w:styleId="956">
    <w:name w:val="尾注文本 字符"/>
    <w:link w:val="40"/>
    <w:qFormat/>
    <w:uiPriority w:val="0"/>
    <w:rPr>
      <w:kern w:val="2"/>
      <w:sz w:val="21"/>
      <w:szCs w:val="24"/>
      <w:lang w:val="zh-CN"/>
    </w:rPr>
  </w:style>
  <w:style w:type="character" w:customStyle="1" w:styleId="957">
    <w:name w:val="无间隔 字符"/>
    <w:link w:val="179"/>
    <w:qFormat/>
    <w:uiPriority w:val="99"/>
    <w:rPr>
      <w:kern w:val="2"/>
      <w:sz w:val="21"/>
      <w:szCs w:val="22"/>
    </w:rPr>
  </w:style>
  <w:style w:type="character" w:customStyle="1" w:styleId="958">
    <w:name w:val="标准文本 Char Char"/>
    <w:link w:val="614"/>
    <w:qFormat/>
    <w:uiPriority w:val="0"/>
    <w:rPr>
      <w:rFonts w:cs="宋体"/>
      <w:kern w:val="2"/>
      <w:sz w:val="24"/>
    </w:rPr>
  </w:style>
  <w:style w:type="character" w:customStyle="1" w:styleId="959">
    <w:name w:val="Char Char213"/>
    <w:qFormat/>
    <w:uiPriority w:val="0"/>
    <w:rPr>
      <w:rFonts w:eastAsia="Century Gothic"/>
      <w:b/>
      <w:bCs/>
      <w:kern w:val="44"/>
      <w:sz w:val="32"/>
      <w:szCs w:val="44"/>
      <w:lang w:val="en-US" w:eastAsia="zh-CN" w:bidi="ar-SA"/>
    </w:rPr>
  </w:style>
  <w:style w:type="character" w:customStyle="1" w:styleId="960">
    <w:name w:val="apple-style-span"/>
    <w:qFormat/>
    <w:uiPriority w:val="0"/>
    <w:rPr>
      <w:rFonts w:ascii="Arial" w:hAnsi="Arial" w:eastAsia="黑体" w:cs="Arial"/>
      <w:snapToGrid w:val="0"/>
      <w:kern w:val="0"/>
      <w:szCs w:val="21"/>
    </w:rPr>
  </w:style>
  <w:style w:type="character" w:customStyle="1" w:styleId="961">
    <w:name w:val="15"/>
    <w:qFormat/>
    <w:uiPriority w:val="0"/>
    <w:rPr>
      <w:rFonts w:hint="default" w:ascii="Calibri" w:hAnsi="Calibri"/>
      <w:color w:val="0000FF"/>
      <w:u w:val="single"/>
    </w:rPr>
  </w:style>
  <w:style w:type="character" w:customStyle="1" w:styleId="962">
    <w:name w:val="16"/>
    <w:qFormat/>
    <w:uiPriority w:val="0"/>
    <w:rPr>
      <w:rFonts w:hint="eastAsia" w:ascii="宋体" w:hAnsi="宋体" w:eastAsia="宋体"/>
      <w:color w:val="000000"/>
      <w:sz w:val="20"/>
      <w:szCs w:val="20"/>
    </w:rPr>
  </w:style>
  <w:style w:type="character" w:customStyle="1" w:styleId="963">
    <w:name w:val="edui-unclickable"/>
    <w:qFormat/>
    <w:uiPriority w:val="0"/>
    <w:rPr>
      <w:color w:val="808080"/>
    </w:rPr>
  </w:style>
  <w:style w:type="character" w:customStyle="1" w:styleId="964">
    <w:name w:val="tpc_content1"/>
    <w:qFormat/>
    <w:uiPriority w:val="0"/>
    <w:rPr>
      <w:sz w:val="20"/>
      <w:szCs w:val="20"/>
    </w:rPr>
  </w:style>
  <w:style w:type="character" w:customStyle="1" w:styleId="965">
    <w:name w:val="正文文本缩进 字符"/>
    <w:qFormat/>
    <w:uiPriority w:val="0"/>
    <w:rPr>
      <w:rFonts w:ascii="Century Gothic" w:hAnsi="Century Gothic" w:eastAsia="Century Gothic"/>
      <w:kern w:val="2"/>
      <w:sz w:val="24"/>
      <w:lang w:val="en-US" w:eastAsia="zh-CN" w:bidi="ar-SA"/>
    </w:rPr>
  </w:style>
  <w:style w:type="character" w:customStyle="1" w:styleId="966">
    <w:name w:val="正文文本 2 字符"/>
    <w:qFormat/>
    <w:uiPriority w:val="0"/>
    <w:rPr>
      <w:rFonts w:ascii="Arial" w:hAnsi="Arial" w:eastAsia="宋体"/>
      <w:kern w:val="2"/>
      <w:sz w:val="24"/>
      <w:szCs w:val="24"/>
      <w:lang w:val="en-US" w:eastAsia="zh-CN" w:bidi="ar-SA"/>
    </w:rPr>
  </w:style>
  <w:style w:type="character" w:customStyle="1" w:styleId="967">
    <w:name w:val="edui-clickable2"/>
    <w:qFormat/>
    <w:uiPriority w:val="0"/>
    <w:rPr>
      <w:color w:val="0000FF"/>
      <w:u w:val="single"/>
    </w:rPr>
  </w:style>
  <w:style w:type="character" w:customStyle="1" w:styleId="968">
    <w:name w:val="style1"/>
    <w:qFormat/>
    <w:uiPriority w:val="0"/>
    <w:rPr>
      <w:rFonts w:ascii="Arial" w:hAnsi="Arial" w:eastAsia="黑体" w:cs="Arial"/>
      <w:snapToGrid w:val="0"/>
      <w:kern w:val="0"/>
      <w:szCs w:val="21"/>
    </w:rPr>
  </w:style>
  <w:style w:type="character" w:customStyle="1" w:styleId="969">
    <w:name w:val="zbggtop11 style5"/>
    <w:qFormat/>
    <w:uiPriority w:val="0"/>
    <w:rPr>
      <w:rFonts w:ascii="Arial" w:hAnsi="Arial" w:eastAsia="黑体" w:cs="Arial"/>
      <w:snapToGrid w:val="0"/>
      <w:kern w:val="0"/>
      <w:szCs w:val="21"/>
    </w:rPr>
  </w:style>
  <w:style w:type="character" w:customStyle="1" w:styleId="9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1">
    <w:name w:val="bulletintext1"/>
    <w:qFormat/>
    <w:uiPriority w:val="0"/>
    <w:rPr>
      <w:color w:val="000000"/>
      <w:sz w:val="18"/>
    </w:rPr>
  </w:style>
  <w:style w:type="character" w:customStyle="1" w:styleId="972">
    <w:name w:val="ksfind_class_select1"/>
    <w:basedOn w:val="70"/>
    <w:qFormat/>
    <w:uiPriority w:val="0"/>
    <w:rPr>
      <w:color w:val="000000"/>
      <w:shd w:val="clear" w:color="auto" w:fill="EFD200"/>
    </w:rPr>
  </w:style>
  <w:style w:type="character" w:customStyle="1" w:styleId="973">
    <w:name w:val="font71"/>
    <w:qFormat/>
    <w:uiPriority w:val="0"/>
    <w:rPr>
      <w:rFonts w:hint="eastAsia" w:ascii="宋体" w:hAnsi="宋体" w:eastAsia="宋体" w:cs="宋体"/>
      <w:color w:val="000000"/>
      <w:sz w:val="22"/>
      <w:szCs w:val="22"/>
      <w:u w:val="none"/>
    </w:rPr>
  </w:style>
  <w:style w:type="character" w:customStyle="1" w:styleId="974">
    <w:name w:val="font91"/>
    <w:qFormat/>
    <w:uiPriority w:val="0"/>
    <w:rPr>
      <w:rFonts w:hint="eastAsia" w:ascii="仿宋" w:hAnsi="仿宋" w:eastAsia="仿宋" w:cs="仿宋"/>
      <w:color w:val="000000"/>
      <w:sz w:val="22"/>
      <w:szCs w:val="22"/>
      <w:u w:val="none"/>
    </w:rPr>
  </w:style>
  <w:style w:type="table" w:customStyle="1" w:styleId="97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header" Target="header1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138</Pages>
  <Words>9439</Words>
  <Characters>10207</Characters>
  <Lines>0</Lines>
  <Paragraphs>1719</Paragraphs>
  <TotalTime>59</TotalTime>
  <ScaleCrop>false</ScaleCrop>
  <LinksUpToDate>false</LinksUpToDate>
  <CharactersWithSpaces>10523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2023-04-14T09:20:00Z</dcterms:created>
  <dc:creator>成燕</dc:creator>
  <dc:description>耀华代理</dc:description>
  <cp:lastModifiedBy>八哥</cp:lastModifiedBy>
  <cp:lastPrinted>2024-10-15T14:50:00Z</cp:lastPrinted>
  <dcterms:modified xsi:type="dcterms:W3CDTF">2025-07-16T07:44:33Z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BEA11B22F9564C55B4DE7AB58C3B617A_13</vt:lpwstr>
  </property>
  <property fmtid="{D5CDD505-2E9C-101B-9397-08002B2CF9AE}" pid="5" name="KSOTemplateDocerSaveRecord">
    <vt:lpwstr>eyJoZGlkIjoiZTA4NzIyN2MxYTlmMzQ1NGE2MjU5NWRkMjhlOGMxYTAiLCJ1c2VySWQiOiI0MzkxNDcxODYifQ==</vt:lpwstr>
  </property>
</Properties>
</file>