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临平区2023年度“天网工程”建设项目</w:t>
      </w:r>
    </w:p>
    <w:p>
      <w:pPr>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（项目编号：</w:t>
      </w:r>
      <w:r>
        <w:rPr>
          <w:rFonts w:hint="eastAsia" w:ascii="宋体" w:hAnsi="宋体" w:eastAsia="宋体" w:cs="宋体"/>
          <w:b/>
          <w:color w:val="auto"/>
          <w:sz w:val="32"/>
          <w:szCs w:val="32"/>
          <w:lang w:eastAsia="zh-CN"/>
        </w:rPr>
        <w:t>YJZFCG2023-023</w:t>
      </w:r>
      <w:r>
        <w:rPr>
          <w:rFonts w:hint="eastAsia" w:ascii="宋体" w:hAnsi="宋体" w:eastAsia="宋体" w:cs="宋体"/>
          <w:b/>
          <w:color w:val="auto"/>
          <w:sz w:val="32"/>
          <w:szCs w:val="32"/>
        </w:rPr>
        <w:t>）</w:t>
      </w:r>
    </w:p>
    <w:p>
      <w:pPr>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更正公告</w:t>
      </w:r>
    </w:p>
    <w:p>
      <w:pPr>
        <w:pStyle w:val="2"/>
        <w:keepNext/>
        <w:keepLines/>
        <w:pageBreakBefore w:val="0"/>
        <w:widowControl w:val="0"/>
        <w:kinsoku/>
        <w:wordWrap/>
        <w:overflowPunct/>
        <w:topLinePunct w:val="0"/>
        <w:autoSpaceDE/>
        <w:autoSpaceDN/>
        <w:bidi w:val="0"/>
        <w:adjustRightInd w:val="0"/>
        <w:snapToGrid/>
        <w:spacing w:line="240" w:lineRule="auto"/>
        <w:ind w:left="431" w:hanging="431"/>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各潜在供应商：</w:t>
      </w:r>
    </w:p>
    <w:p>
      <w:pPr>
        <w:pStyle w:val="2"/>
        <w:keepNext/>
        <w:keepLines/>
        <w:pageBreakBefore w:val="0"/>
        <w:widowControl w:val="0"/>
        <w:kinsoku/>
        <w:wordWrap/>
        <w:overflowPunct/>
        <w:topLinePunct w:val="0"/>
        <w:autoSpaceDE/>
        <w:autoSpaceDN/>
        <w:bidi w:val="0"/>
        <w:adjustRightInd w:val="0"/>
        <w:snapToGrid/>
        <w:spacing w:line="240" w:lineRule="auto"/>
        <w:ind w:left="433" w:leftChars="202" w:hanging="9" w:hangingChars="4"/>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本项目更正内容如下：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75"/>
        <w:gridCol w:w="1639"/>
        <w:gridCol w:w="3933"/>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5" w:type="dxa"/>
          </w:tcPr>
          <w:p>
            <w:pPr>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639" w:type="dxa"/>
          </w:tcPr>
          <w:p>
            <w:pPr>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更正项</w:t>
            </w:r>
          </w:p>
        </w:tc>
        <w:tc>
          <w:tcPr>
            <w:tcW w:w="3933" w:type="dxa"/>
          </w:tcPr>
          <w:p>
            <w:pPr>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更正前内容</w:t>
            </w:r>
          </w:p>
        </w:tc>
        <w:tc>
          <w:tcPr>
            <w:tcW w:w="3529" w:type="dxa"/>
          </w:tcPr>
          <w:p>
            <w:pPr>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5" w:type="dxa"/>
            <w:vAlign w:val="center"/>
          </w:tcPr>
          <w:p>
            <w:pPr>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39" w:type="dxa"/>
            <w:vAlign w:val="center"/>
          </w:tcPr>
          <w:p>
            <w:pPr>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lang w:val="en-US" w:eastAsia="zh-CN"/>
              </w:rPr>
              <w:t>第三部分采购需求中“</w:t>
            </w:r>
            <w:r>
              <w:rPr>
                <w:rFonts w:hint="eastAsia" w:ascii="宋体" w:hAnsi="宋体" w:eastAsia="宋体" w:cs="宋体"/>
                <w:color w:val="auto"/>
                <w:sz w:val="24"/>
                <w:szCs w:val="24"/>
              </w:rPr>
              <w:t>双目人脸抓拍摄像机</w:t>
            </w:r>
            <w:r>
              <w:rPr>
                <w:rFonts w:hint="eastAsia" w:ascii="宋体" w:hAnsi="宋体" w:eastAsia="宋体" w:cs="宋体"/>
                <w:color w:val="auto"/>
                <w:sz w:val="24"/>
                <w:szCs w:val="24"/>
                <w:lang w:val="en-US" w:eastAsia="zh-CN"/>
              </w:rPr>
              <w:t>”的技术参数</w:t>
            </w:r>
          </w:p>
        </w:tc>
        <w:tc>
          <w:tcPr>
            <w:tcW w:w="3933"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1、不低于400W星光宽动态人脸智能抓拍网络摄像机； 最大分辨率：2688×1520及以上</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2、内置GPU芯片，支持自动变焦功能，内置上下双通道镜头，支持电动变焦；</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3、支持移动目标自动侦测及侦测功能，能分辨侦测目标类型</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4、支持同时检测40张以上人脸;</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5、内置至少4颗混合补光灯，每颗灯由红外灯、白光灯组成，在开启白光灯或混合补光灯时，可输出彩色视频图像。</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6、具备抓拍优先功能，能自动分辨出抓拍获得的分辨率最高的照片</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 xml:space="preserve"> 7、支持人脸比对，比对准确率不低于99%。（需要公安部检验报告证明并加盖厂家公章）</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8、具备前端全结构化功能，能分辨目标对象，支持目标对象跟踪</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9、具备接收布控下发及简要比对功能，内置存储芯片</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10、具备对人体侦测及人像抓拍距离大于，等于25米以上；</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11、具备防抖功能，支持超低照度和相机内置补光，保证夜间正常人脸抓拍</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12、支持当前现行各类数据接口、行业标准和数据推送方式，不得存在需要使用专用视频平台软件的情况</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13、可通过设置、定制，具备漏洞自动更新</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14、符合相关数据安全的行业标准，至少可达到A级以上</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15、在IE浏览器下，具有设备重启和布防动态报警数据感知与记录功能，布防动态报警数据包括异常掉线、历史布防、实时布防3种类型；可记录报警的开始时间、结束时间、布防类型、报警链路地址、端口、链路续传。（需要公安部检验报告证明并加盖厂家公章）</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16、设备具有耀光抑制功能，耀光区域≤1%。（需要公安部检验报告证明并加盖厂家公章）</w:t>
            </w:r>
          </w:p>
        </w:tc>
        <w:tc>
          <w:tcPr>
            <w:tcW w:w="3529" w:type="dxa"/>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1、不低于400W星光宽动态人脸智能抓拍网络摄像机； 最大分辨率：2688×1520及以上</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2、内置不少于2个GPU芯片，支持自动变焦功能，内置双通道镜头，不低于4倍光学变倍；</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3、支持移动目标自动侦测及侦测功能，能分辨侦测目标类型</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◆4、设备内置8个补光灯，其中全景4个补光灯，细节4个补光灯。（需要公安部检验报告证明并加盖厂家公章）</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5、支持同时检测40张以上人脸;；</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◆6、具有人像增强和车牌增强设置选项，车牌增强等级0~100可设置，开启人像增强功能后，可减弱夜间抓拍到的人眼瞳孔内的亮斑。（需要公安部检验报告证明并加盖厂家公章）</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7、具备抓拍优先功能，能自动分辨出抓拍获得的分辨率最高的照片</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8、具备前端全结构化功能，能分辨目标对象，支持目标对象跟踪</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9、具备接收布控下发及简要比对功能，内置存储芯片</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联动模式下，细节通道和全景通道可进行全结构化抓拍和属性分析，在全景通道检测到移动目标后，可联动细节通道进行人脸、人体的抓拍和属性分析，全景通道检测到且框出移动目标至细节通道摄像机开始转动的时间不大于0.2秒，距离设备30m处全景检测宽度不小于15m。（需要公安部检验报告证明并加盖厂家公章）</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11、具备对人体侦测及人像抓拍距离大于，等于25米以上；</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12、具备防抖功能，支持超低照度和相机内置补光，保证夜间正常人脸抓拍</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13、动点镜头支持水平和垂直控制；</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14、支持当前现行各类数据接口、行业标准和数据推送方式，不得存在需要使用专用视频平台软件的情况</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15、可通过设置、定制，具备漏洞自动更新</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rPr>
              <w:t>16、符合相关数据安全的行业标准，至少可达到A级以上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5" w:type="dxa"/>
            <w:vAlign w:val="center"/>
          </w:tcPr>
          <w:p>
            <w:pPr>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639" w:type="dxa"/>
            <w:vAlign w:val="center"/>
          </w:tcPr>
          <w:p>
            <w:pPr>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lang w:val="en-US" w:eastAsia="zh-CN"/>
              </w:rPr>
              <w:t>第三部分采购需求中“</w:t>
            </w:r>
            <w:r>
              <w:rPr>
                <w:rFonts w:hint="eastAsia" w:ascii="宋体" w:hAnsi="宋体" w:eastAsia="宋体" w:cs="宋体"/>
                <w:color w:val="auto"/>
                <w:sz w:val="24"/>
                <w:szCs w:val="24"/>
              </w:rPr>
              <w:t>人脸抓拍摄像机A</w:t>
            </w:r>
            <w:r>
              <w:rPr>
                <w:rFonts w:hint="eastAsia" w:ascii="宋体" w:hAnsi="宋体" w:eastAsia="宋体" w:cs="宋体"/>
                <w:color w:val="auto"/>
                <w:sz w:val="24"/>
                <w:szCs w:val="24"/>
                <w:lang w:val="en-US" w:eastAsia="zh-CN"/>
              </w:rPr>
              <w:t>”的技术参数</w:t>
            </w:r>
          </w:p>
        </w:tc>
        <w:tc>
          <w:tcPr>
            <w:tcW w:w="3933" w:type="dxa"/>
            <w:vAlign w:val="center"/>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1、不低于400W星光宽动态人脸智能抓拍网络摄像机； 最大分辨率：2688×1520及以上</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2、内置不少于2个GPU芯片，支持自动变焦功能，内置双通道镜头，不低于4倍光学变倍；</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3、支持移动目标自动侦测及侦测功能，能分辨侦测目标类型</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◆4、设备内置8个补光灯，其中全景4个补光灯，细节4个补光灯。（需要公安部检验报告证明并加盖厂家公章）</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5、支持同时检测40张以上人脸;；</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◆6、具有人像增强和车牌增强设置选项，车牌增强等级0~100可设置，开启人像增强功能后，可减弱夜间抓拍到的人眼瞳孔内的亮斑。（需要公安部检验报告证明并加盖厂家公章）</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7、具备抓拍优先功能，能自动分辨出抓拍获得的分辨率最高的照片</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8、具备前端全结构化功能，能分辨目标对象，支持目标对象跟踪</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9、具备接收布控下发及简要比对功能，内置存储芯片</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联动模式下，细节通道和全景通道可进行全结构化抓拍和属性分析，在全景通道检测到移动目标后，可联动细节通道进行人脸、人体的抓拍和属性分析，全景通道检测到且框出移动目标至细节通道摄像机开始转动的时间不大于0.2秒，距离设备30m处全景检测宽度不小于15m。（需要公安部检验报告证明并加盖厂家公章）</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11、具备对人体侦测及人像抓拍距离大于，等于25米以上；</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12、具备防抖功能，支持超低照度和相机内置补光，保证夜间正常人脸抓拍</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13、动点镜头支持水平和垂直控制；</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14、支持当前现行各类数据接口、行业标准和数据推送方式，不得存在需要使用专用视频平台软件的情况</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15、可通过设置、定制，具备漏洞自动更新</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rPr>
              <w:t>16、符合相关数据安全的行业标准，至少可达到A级以上</w:t>
            </w:r>
          </w:p>
        </w:tc>
        <w:tc>
          <w:tcPr>
            <w:tcW w:w="3529"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1、不低于400W星光宽动态人脸智能抓拍网络摄像机； 最大分辨率：2688×1520及以上</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2、内置GPU芯片，支持自动变焦功能，内置上下双通道镜头，支持电动变焦；</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3、支持移动目标自动侦测及侦测功能，能分辨侦测目标类型</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4、支持同时检测40张以上人脸;</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5、内置至少4颗混合补光灯，每颗灯由红外灯、白光灯组成，在开启白光灯或混合补光灯时，可输出彩色视频图像。</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6、具备抓拍优先功能，能自动分辨出抓拍获得的分辨率最高的照片</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 xml:space="preserve"> 7、支持人脸比对，比对准确率不低于99%。（需要公安部检验报告证明并加盖厂家公章）</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8、具备前端全结构化功能，能分辨目标对象，支持目标对象跟踪</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9、具备接收布控下发及简要比对功能，内置存储芯片</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10、具备对人体侦测及人像抓拍距离大于，等于25米以上；</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11、具备防抖功能，支持超低照度和相机内置补光，保证夜间正常人脸抓拍</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12、支持当前现行各类数据接口、行业标准和数据推送方式，不得存在需要使用专用视频平台软件的情况</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13、可通过设置、定制，具备漏洞自动更新</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14、符合相关数据安全的行业标准，至少可达到A级以上</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15、在IE浏览器下，具有设备重启和布防动态报警数据感知与记录功能，布防动态报警数据包括异常掉线、历史布防、实时布防3种类型；可记录报警的开始时间、结束时间、布防类型、报警链路地址、端口、链路续传。（需要公安部检验报告证明并加盖厂家公章）</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16、设备具有耀光抑制功能，耀光区域≤1%。（需要公安部检验报告证明并加盖厂家公章）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5" w:type="dxa"/>
            <w:vAlign w:val="center"/>
          </w:tcPr>
          <w:p>
            <w:pPr>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639" w:type="dxa"/>
            <w:vAlign w:val="center"/>
          </w:tcPr>
          <w:p>
            <w:pPr>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提交投标文件截止时间</w:t>
            </w:r>
          </w:p>
        </w:tc>
        <w:tc>
          <w:tcPr>
            <w:tcW w:w="3933" w:type="dxa"/>
          </w:tcPr>
          <w:p>
            <w:pPr>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2023年3月31日9点30分 （北京时间）</w:t>
            </w:r>
          </w:p>
        </w:tc>
        <w:tc>
          <w:tcPr>
            <w:tcW w:w="3529" w:type="dxa"/>
          </w:tcPr>
          <w:p>
            <w:pPr>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2023年4月6日9点30分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5" w:type="dxa"/>
            <w:vAlign w:val="center"/>
          </w:tcPr>
          <w:p>
            <w:pPr>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639" w:type="dxa"/>
            <w:vAlign w:val="center"/>
          </w:tcPr>
          <w:p>
            <w:pPr>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开标时间</w:t>
            </w:r>
          </w:p>
        </w:tc>
        <w:tc>
          <w:tcPr>
            <w:tcW w:w="3933" w:type="dxa"/>
          </w:tcPr>
          <w:p>
            <w:pPr>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2023年3月31日9点30分 （北京时间）</w:t>
            </w:r>
          </w:p>
        </w:tc>
        <w:tc>
          <w:tcPr>
            <w:tcW w:w="3529" w:type="dxa"/>
          </w:tcPr>
          <w:p>
            <w:pPr>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2023年4月6日9点30分 （北京时间）</w:t>
            </w:r>
          </w:p>
        </w:tc>
      </w:tr>
    </w:tbl>
    <w:p>
      <w:pPr>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lang w:val="en-US" w:eastAsia="zh-CN"/>
        </w:rPr>
      </w:pPr>
    </w:p>
    <w:p>
      <w:pPr>
        <w:pStyle w:val="2"/>
        <w:keepNext/>
        <w:keepLines/>
        <w:pageBreakBefore w:val="0"/>
        <w:widowControl w:val="0"/>
        <w:kinsoku/>
        <w:wordWrap/>
        <w:overflowPunct/>
        <w:topLinePunct w:val="0"/>
        <w:autoSpaceDE/>
        <w:autoSpaceDN/>
        <w:bidi w:val="0"/>
        <w:adjustRightInd w:val="0"/>
        <w:snapToGrid/>
        <w:spacing w:line="360" w:lineRule="auto"/>
        <w:ind w:left="431" w:hanging="431"/>
        <w:jc w:val="right"/>
        <w:textAlignment w:val="auto"/>
        <w:rPr>
          <w:rFonts w:hint="default"/>
          <w:b w:val="0"/>
          <w:bCs w:val="0"/>
          <w:sz w:val="24"/>
          <w:szCs w:val="24"/>
          <w:lang w:val="en-US" w:eastAsia="zh-CN"/>
        </w:rPr>
      </w:pPr>
      <w:r>
        <w:rPr>
          <w:rFonts w:hint="default"/>
          <w:b w:val="0"/>
          <w:bCs w:val="0"/>
          <w:sz w:val="24"/>
          <w:szCs w:val="24"/>
          <w:lang w:val="en-US" w:eastAsia="zh-CN"/>
        </w:rPr>
        <w:t>采购人：杭州市公安局临平区分局</w:t>
      </w:r>
    </w:p>
    <w:p>
      <w:pPr>
        <w:pStyle w:val="2"/>
        <w:keepNext/>
        <w:keepLines/>
        <w:pageBreakBefore w:val="0"/>
        <w:widowControl w:val="0"/>
        <w:kinsoku/>
        <w:wordWrap/>
        <w:overflowPunct/>
        <w:topLinePunct w:val="0"/>
        <w:autoSpaceDE/>
        <w:autoSpaceDN/>
        <w:bidi w:val="0"/>
        <w:adjustRightInd w:val="0"/>
        <w:snapToGrid/>
        <w:spacing w:line="360" w:lineRule="auto"/>
        <w:ind w:left="431" w:hanging="431"/>
        <w:jc w:val="right"/>
        <w:textAlignment w:val="auto"/>
        <w:rPr>
          <w:rFonts w:hint="default"/>
          <w:b w:val="0"/>
          <w:bCs w:val="0"/>
          <w:sz w:val="24"/>
          <w:szCs w:val="24"/>
          <w:lang w:val="en-US" w:eastAsia="zh-CN"/>
        </w:rPr>
      </w:pPr>
      <w:bookmarkStart w:id="0" w:name="_GoBack"/>
      <w:bookmarkEnd w:id="0"/>
      <w:r>
        <w:rPr>
          <w:rFonts w:hint="default"/>
          <w:b w:val="0"/>
          <w:bCs w:val="0"/>
          <w:sz w:val="24"/>
          <w:szCs w:val="24"/>
          <w:lang w:val="en-US" w:eastAsia="zh-CN"/>
        </w:rPr>
        <w:t>采购代理机构：杭州益嘉工程咨询代理有限公司</w:t>
      </w:r>
    </w:p>
    <w:p>
      <w:pPr>
        <w:jc w:val="right"/>
        <w:rPr>
          <w:rFonts w:hint="default" w:ascii="Times New Roman" w:hAnsi="Times New Roman" w:eastAsia="宋体" w:cs="Times New Roman"/>
          <w:b w:val="0"/>
          <w:bCs w:val="0"/>
          <w:kern w:val="44"/>
          <w:sz w:val="24"/>
          <w:szCs w:val="24"/>
          <w:lang w:val="en-US" w:eastAsia="zh-CN" w:bidi="ar-SA"/>
        </w:rPr>
      </w:pPr>
      <w:r>
        <w:rPr>
          <w:rFonts w:hint="eastAsia" w:ascii="Times New Roman" w:hAnsi="Times New Roman" w:eastAsia="宋体" w:cs="Times New Roman"/>
          <w:b w:val="0"/>
          <w:bCs w:val="0"/>
          <w:kern w:val="44"/>
          <w:sz w:val="24"/>
          <w:szCs w:val="24"/>
          <w:lang w:val="en-US" w:eastAsia="zh-CN" w:bidi="ar-SA"/>
        </w:rPr>
        <w:t>2023年3月22日</w:t>
      </w:r>
    </w:p>
    <w:sectPr>
      <w:pgSz w:w="11906" w:h="16838"/>
      <w:pgMar w:top="1100" w:right="896" w:bottom="1100"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YjRiNjhiNzVlMDZhMzcyMDYyNjRkOGEyYjM3MjYifQ=="/>
  </w:docVars>
  <w:rsids>
    <w:rsidRoot w:val="00000000"/>
    <w:rsid w:val="47966CD3"/>
    <w:rsid w:val="4BCA2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2705</Words>
  <Characters>2851</Characters>
  <Lines>0</Lines>
  <Paragraphs>0</Paragraphs>
  <TotalTime>1</TotalTime>
  <ScaleCrop>false</ScaleCrop>
  <LinksUpToDate>false</LinksUpToDate>
  <CharactersWithSpaces>2865</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2023-03-22T07:38:35Z</dcterms:created>
  <dc:creator>yjdl</dc:creator>
  <cp:lastModifiedBy>YJDL</cp:lastModifiedBy>
  <dcterms:modified xsi:type="dcterms:W3CDTF">2023-03-22T07:51:05Z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20D111D585DF40F9B6F86C091EA9EBDE_12</vt:lpwstr>
  </property>
</Properties>
</file>