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23099B1C">
      <w:pP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w:t>
      </w:r>
    </w:p>
    <w:p w14:paraId="39F52A93">
      <w:pPr>
        <w:adjustRightInd/>
        <w:spacing w:line="360" w:lineRule="auto"/>
        <w:jc w:val="center"/>
        <w:rPr>
          <w:rFonts w:hint="eastAsia" w:ascii="宋体" w:hAnsi="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2025年礼堂椅采购项目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SXZX-2025-CG-003</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萧山区市心实验中学2025年礼堂椅采购项目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7</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22</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default" w:ascii="宋体" w:hAnsi="宋体" w:cs="宋体"/>
          <w:b/>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SXZX-2025-CG-003</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 760000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 760000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6"/>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萧山区市心实验中学2025年礼堂椅采购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8"/>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b/>
          <w:color w:val="auto"/>
          <w:lang w:eastAsia="zh-CN"/>
        </w:rPr>
        <w:t>详见招标文件</w:t>
      </w:r>
    </w:p>
    <w:p w14:paraId="630135BD">
      <w:pPr>
        <w:pStyle w:val="6"/>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7</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1484130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汪工</w:t>
      </w:r>
    </w:p>
    <w:p w14:paraId="4C6F39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000000" w:themeColor="text1"/>
          <w:sz w:val="24"/>
          <w:highlight w:val="none"/>
          <w:lang w:eastAsia="zh-CN"/>
          <w14:textFill>
            <w14:solidFill>
              <w14:schemeClr w14:val="tx1"/>
            </w14:solidFill>
          </w14:textFill>
        </w:rPr>
        <w:t>18005882291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35DEE6F5">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14:paraId="0CCFA5D3">
      <w:pPr>
        <w:keepNext/>
        <w:keepLines/>
        <w:widowControl w:val="0"/>
        <w:tabs>
          <w:tab w:val="left" w:pos="432"/>
        </w:tabs>
        <w:adjustRightInd/>
        <w:spacing w:line="360" w:lineRule="auto"/>
        <w:ind w:left="432" w:hanging="432"/>
        <w:jc w:val="left"/>
        <w:outlineLvl w:val="1"/>
        <w:rPr>
          <w:rFonts w:hint="eastAsia" w:ascii="宋体" w:hAnsi="宋体" w:eastAsia="仿宋_GB2312" w:cs="宋体"/>
          <w:b/>
          <w:bCs/>
          <w:color w:val="auto"/>
          <w:kern w:val="2"/>
          <w:sz w:val="24"/>
          <w:szCs w:val="32"/>
          <w:lang w:val="zh-CN" w:eastAsia="zh-CN" w:bidi="ar-SA"/>
        </w:rPr>
      </w:pPr>
      <w:r>
        <w:rPr>
          <w:rFonts w:hint="eastAsia" w:ascii="宋体" w:hAnsi="宋体" w:eastAsia="仿宋_GB2312" w:cs="宋体"/>
          <w:b/>
          <w:bCs/>
          <w:color w:val="auto"/>
          <w:kern w:val="2"/>
          <w:sz w:val="24"/>
          <w:szCs w:val="32"/>
          <w:lang w:val="zh-CN" w:eastAsia="zh-CN" w:bidi="ar-SA"/>
        </w:rPr>
        <w:t>CA问题联系电话（人工）：汇信CA 400-888-4636；天谷CA 400-087-8198。</w:t>
      </w:r>
    </w:p>
    <w:p w14:paraId="47F84A8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lang w:eastAsia="zh-CN"/>
                <w14:textFill>
                  <w14:solidFill>
                    <w14:schemeClr w14:val="tx1"/>
                  </w14:solidFill>
                </w14:textFill>
              </w:rPr>
              <w:t>礼堂椅</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招标文件第三部分采购需求-二、</w:t>
            </w:r>
            <w:r>
              <w:rPr>
                <w:rFonts w:hint="eastAsia" w:ascii="宋体" w:hAnsi="宋体" w:cs="宋体"/>
                <w:color w:val="000000" w:themeColor="text1"/>
                <w:sz w:val="24"/>
                <w:highlight w:val="none"/>
                <w:u w:val="single"/>
                <w:lang w:val="en-US" w:eastAsia="zh-CN"/>
                <w14:textFill>
                  <w14:solidFill>
                    <w14:schemeClr w14:val="tx1"/>
                  </w14:solidFill>
                </w14:textFill>
              </w:rPr>
              <w:t>招标</w:t>
            </w:r>
            <w:r>
              <w:rPr>
                <w:rFonts w:hint="eastAsia" w:ascii="宋体" w:hAnsi="宋体" w:cs="宋体"/>
                <w:color w:val="000000" w:themeColor="text1"/>
                <w:sz w:val="24"/>
                <w:highlight w:val="none"/>
                <w:u w:val="single"/>
                <w14:textFill>
                  <w14:solidFill>
                    <w14:schemeClr w14:val="tx1"/>
                  </w14:solidFill>
                </w14:textFill>
              </w:rPr>
              <w:t>需求-1.技术需求</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5BAB8C">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3780165">
            <w:pPr>
              <w:pStyle w:val="3"/>
              <w:rPr>
                <w:rFonts w:hint="eastAsia" w:ascii="宋体" w:hAnsi="宋体" w:cs="宋体"/>
                <w:color w:val="000000" w:themeColor="text1"/>
                <w:sz w:val="24"/>
                <w:highlight w:val="none"/>
                <w14:textFill>
                  <w14:solidFill>
                    <w14:schemeClr w14:val="tx1"/>
                  </w14:solidFill>
                </w14:textFill>
              </w:rPr>
            </w:pPr>
          </w:p>
          <w:p w14:paraId="47557E78">
            <w:pPr>
              <w:rPr>
                <w:rFonts w:hint="eastAsia" w:ascii="宋体" w:hAnsi="宋体" w:cs="宋体"/>
                <w:color w:val="000000" w:themeColor="text1"/>
                <w:sz w:val="24"/>
                <w:highlight w:val="none"/>
                <w14:textFill>
                  <w14:solidFill>
                    <w14:schemeClr w14:val="tx1"/>
                  </w14:solidFill>
                </w14:textFill>
              </w:rPr>
            </w:pPr>
          </w:p>
          <w:p w14:paraId="0E8BAAC6">
            <w:pPr>
              <w:pStyle w:val="3"/>
              <w:rPr>
                <w:rFonts w:hint="eastAsia" w:ascii="宋体" w:hAnsi="宋体" w:cs="宋体"/>
                <w:color w:val="000000" w:themeColor="text1"/>
                <w:sz w:val="24"/>
                <w:highlight w:val="none"/>
                <w14:textFill>
                  <w14:solidFill>
                    <w14:schemeClr w14:val="tx1"/>
                  </w14:solidFill>
                </w14:textFill>
              </w:rPr>
            </w:pPr>
          </w:p>
          <w:p w14:paraId="423AC984">
            <w:pPr>
              <w:rPr>
                <w:rFonts w:hint="eastAsia" w:ascii="宋体" w:hAnsi="宋体" w:cs="宋体"/>
                <w:color w:val="000000" w:themeColor="text1"/>
                <w:sz w:val="24"/>
                <w:highlight w:val="none"/>
                <w14:textFill>
                  <w14:solidFill>
                    <w14:schemeClr w14:val="tx1"/>
                  </w14:solidFill>
                </w14:textFill>
              </w:rPr>
            </w:pPr>
          </w:p>
          <w:p w14:paraId="38D3C38E">
            <w:pPr>
              <w:pStyle w:val="3"/>
              <w:rPr>
                <w:rFonts w:hint="eastAsia" w:ascii="宋体" w:hAnsi="宋体" w:cs="宋体"/>
                <w:color w:val="000000" w:themeColor="text1"/>
                <w:sz w:val="24"/>
                <w:highlight w:val="none"/>
                <w14:textFill>
                  <w14:solidFill>
                    <w14:schemeClr w14:val="tx1"/>
                  </w14:solidFill>
                </w14:textFill>
              </w:rPr>
            </w:pPr>
          </w:p>
          <w:p w14:paraId="07EE4708">
            <w:pPr>
              <w:rPr>
                <w:rFonts w:hint="eastAsia" w:ascii="宋体" w:hAnsi="宋体" w:cs="宋体"/>
                <w:color w:val="000000" w:themeColor="text1"/>
                <w:sz w:val="24"/>
                <w:highlight w:val="none"/>
                <w14:textFill>
                  <w14:solidFill>
                    <w14:schemeClr w14:val="tx1"/>
                  </w14:solidFill>
                </w14:textFill>
              </w:rPr>
            </w:pPr>
          </w:p>
          <w:p w14:paraId="414E4DD4">
            <w:pPr>
              <w:pStyle w:val="3"/>
              <w:rPr>
                <w:rFonts w:hint="eastAsia" w:ascii="宋体" w:hAnsi="宋体" w:cs="宋体"/>
                <w:color w:val="000000" w:themeColor="text1"/>
                <w:sz w:val="24"/>
                <w:highlight w:val="none"/>
                <w14:textFill>
                  <w14:solidFill>
                    <w14:schemeClr w14:val="tx1"/>
                  </w14:solidFill>
                </w14:textFill>
              </w:rPr>
            </w:pPr>
          </w:p>
          <w:p w14:paraId="35F5D681">
            <w:pPr>
              <w:rPr>
                <w:rFonts w:hint="eastAsia" w:ascii="宋体" w:hAnsi="宋体" w:cs="宋体"/>
                <w:color w:val="000000" w:themeColor="text1"/>
                <w:sz w:val="24"/>
                <w:highlight w:val="none"/>
                <w14:textFill>
                  <w14:solidFill>
                    <w14:schemeClr w14:val="tx1"/>
                  </w14:solidFill>
                </w14:textFill>
              </w:rPr>
            </w:pPr>
          </w:p>
          <w:p w14:paraId="5B65D4C0">
            <w:pPr>
              <w:pStyle w:val="3"/>
              <w:rPr>
                <w:rFonts w:hint="eastAsia" w:ascii="宋体" w:hAnsi="宋体" w:cs="宋体"/>
                <w:color w:val="000000" w:themeColor="text1"/>
                <w:sz w:val="24"/>
                <w:highlight w:val="none"/>
                <w14:textFill>
                  <w14:solidFill>
                    <w14:schemeClr w14:val="tx1"/>
                  </w14:solidFill>
                </w14:textFill>
              </w:rPr>
            </w:pPr>
          </w:p>
          <w:p w14:paraId="1F5663B6">
            <w:pPr>
              <w:pStyle w:val="3"/>
              <w:ind w:left="0" w:leftChars="0" w:firstLine="0" w:firstLineChars="0"/>
              <w:rPr>
                <w:rFonts w:hint="eastAsia"/>
              </w:rPr>
            </w:pPr>
          </w:p>
          <w:p w14:paraId="7F506FD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D99E0">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2219"/>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42FCAB76">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634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057FAB70">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礼堂椅</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3C78FD9A">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527277B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70E38621">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51181"/>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147692EE">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59866"/>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24706C27">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）提供样品的时间：开标当天0</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:30分至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DBE9B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18A89BE8">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000000" w:themeColor="text1"/>
                <w:sz w:val="24"/>
                <w:highlight w:val="none"/>
                <w14:textFill>
                  <w14:solidFill>
                    <w14:schemeClr w14:val="tx1"/>
                  </w14:solidFill>
                </w14:textFill>
              </w:rPr>
            </w:pPr>
          </w:p>
          <w:p w14:paraId="0986B05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538E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422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100A7A75">
            <w:pPr>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7"/>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7"/>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262434B">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0269B17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1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19"/>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1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1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19"/>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19"/>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4BAB8C81">
      <w:pPr>
        <w:pStyle w:val="18"/>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8"/>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8"/>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8"/>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8"/>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8"/>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332ECCC8">
      <w:pPr>
        <w:pStyle w:val="18"/>
        <w:spacing w:before="0"/>
        <w:ind w:firstLine="480"/>
        <w:rPr>
          <w:rFonts w:ascii="宋体" w:hAnsi="宋体" w:cs="宋体"/>
          <w:color w:val="000000" w:themeColor="text1"/>
          <w:highlight w:val="none"/>
          <w14:textFill>
            <w14:solidFill>
              <w14:schemeClr w14:val="tx1"/>
            </w14:solidFill>
          </w14:textFill>
        </w:rPr>
      </w:pPr>
    </w:p>
    <w:p w14:paraId="05600AE9">
      <w:pPr>
        <w:pStyle w:val="18"/>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8"/>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0"/>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0"/>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0"/>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0"/>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8"/>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8"/>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8"/>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8"/>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8"/>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8"/>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8"/>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8"/>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8"/>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8"/>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8"/>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74730295"/>
      <w:bookmarkEnd w:id="19"/>
      <w:bookmarkStart w:id="20" w:name="_Hlt74714665"/>
      <w:bookmarkEnd w:id="20"/>
      <w:bookmarkStart w:id="21" w:name="_Hlt74729768"/>
      <w:bookmarkEnd w:id="21"/>
      <w:bookmarkStart w:id="22" w:name="_Hlt68072998"/>
      <w:bookmarkEnd w:id="22"/>
      <w:bookmarkStart w:id="23" w:name="_Hlt68057669"/>
      <w:bookmarkEnd w:id="23"/>
      <w:bookmarkStart w:id="24" w:name="_Hlt68072990"/>
      <w:bookmarkEnd w:id="24"/>
      <w:bookmarkStart w:id="25" w:name="_Hlt75236101"/>
      <w:bookmarkEnd w:id="25"/>
      <w:bookmarkStart w:id="26" w:name="_Hlt68403820"/>
      <w:bookmarkEnd w:id="26"/>
      <w:bookmarkStart w:id="27" w:name="_Hlt68073093"/>
      <w:bookmarkEnd w:id="27"/>
      <w:bookmarkStart w:id="28" w:name="_Hlt75236290"/>
      <w:bookmarkEnd w:id="28"/>
      <w:bookmarkStart w:id="29" w:name="_Hlt75236011"/>
      <w:bookmarkEnd w:id="29"/>
      <w:bookmarkStart w:id="30" w:name="_Hlt74707468"/>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1"/>
          <w:color w:val="000000" w:themeColor="text1"/>
          <w:highlight w:val="none"/>
          <w14:textFill>
            <w14:solidFill>
              <w14:schemeClr w14:val="tx1"/>
            </w14:solidFill>
          </w14:textFill>
        </w:rPr>
      </w:pPr>
      <w:r>
        <w:rPr>
          <w:rStyle w:val="21"/>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1"/>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2"/>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7236B512">
      <w:pPr>
        <w:pStyle w:val="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hAnsi="仿宋" w:eastAsia="仿宋" w:cs="仿宋"/>
          <w:color w:val="000000" w:themeColor="text1"/>
          <w:highlight w:val="none"/>
          <w:lang w:eastAsia="zh-CN"/>
          <w14:textFill>
            <w14:solidFill>
              <w14:schemeClr w14:val="tx1"/>
            </w14:solidFill>
          </w14:textFill>
        </w:rPr>
        <w:t>萧山区市心实验中学2025年礼堂椅采购项目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41C7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4D81BB86">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103" w:type="dxa"/>
            <w:tcMar>
              <w:top w:w="15" w:type="dxa"/>
              <w:left w:w="15" w:type="dxa"/>
              <w:bottom w:w="0" w:type="dxa"/>
              <w:right w:w="15" w:type="dxa"/>
            </w:tcMar>
            <w:vAlign w:val="center"/>
          </w:tcPr>
          <w:p w14:paraId="4C6E0676">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508" w:type="dxa"/>
            <w:tcMar>
              <w:top w:w="15" w:type="dxa"/>
              <w:left w:w="15" w:type="dxa"/>
              <w:bottom w:w="0" w:type="dxa"/>
              <w:right w:w="15" w:type="dxa"/>
            </w:tcMar>
            <w:vAlign w:val="center"/>
          </w:tcPr>
          <w:p w14:paraId="42FF7122">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565" w:type="dxa"/>
            <w:tcMar>
              <w:top w:w="15" w:type="dxa"/>
              <w:left w:w="15" w:type="dxa"/>
              <w:bottom w:w="0" w:type="dxa"/>
              <w:right w:w="15" w:type="dxa"/>
            </w:tcMar>
            <w:vAlign w:val="center"/>
          </w:tcPr>
          <w:p w14:paraId="035663A5">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单位</w:t>
            </w:r>
          </w:p>
        </w:tc>
        <w:tc>
          <w:tcPr>
            <w:tcW w:w="991" w:type="dxa"/>
            <w:vAlign w:val="center"/>
          </w:tcPr>
          <w:p w14:paraId="165325B8">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单价</w:t>
            </w:r>
            <w:r>
              <w:rPr>
                <w:rFonts w:hint="eastAsia" w:ascii="仿宋" w:hAnsi="仿宋" w:eastAsia="仿宋" w:cs="仿宋"/>
                <w:color w:val="000000" w:themeColor="text1"/>
                <w:highlight w:val="none"/>
                <w14:textFill>
                  <w14:solidFill>
                    <w14:schemeClr w14:val="tx1"/>
                  </w14:solidFill>
                </w14:textFill>
              </w:rPr>
              <w:t>（元）</w:t>
            </w:r>
          </w:p>
        </w:tc>
        <w:tc>
          <w:tcPr>
            <w:tcW w:w="2993" w:type="dxa"/>
            <w:vAlign w:val="center"/>
          </w:tcPr>
          <w:p w14:paraId="2D2F3887">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简要规格描述或基本情况介绍</w:t>
            </w:r>
          </w:p>
        </w:tc>
        <w:tc>
          <w:tcPr>
            <w:tcW w:w="1996" w:type="dxa"/>
            <w:vAlign w:val="center"/>
          </w:tcPr>
          <w:p w14:paraId="24ADCF84">
            <w:pPr>
              <w:tabs>
                <w:tab w:val="left" w:pos="0"/>
              </w:tabs>
              <w:snapToGrid w:val="0"/>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最高限价（元）</w:t>
            </w:r>
          </w:p>
        </w:tc>
      </w:tr>
      <w:tr w14:paraId="1DD4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614EE938">
            <w:pPr>
              <w:tabs>
                <w:tab w:val="left" w:pos="0"/>
              </w:tabs>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p>
        </w:tc>
        <w:tc>
          <w:tcPr>
            <w:tcW w:w="1103" w:type="dxa"/>
            <w:tcMar>
              <w:top w:w="15" w:type="dxa"/>
              <w:left w:w="15" w:type="dxa"/>
              <w:bottom w:w="0" w:type="dxa"/>
              <w:right w:w="15" w:type="dxa"/>
            </w:tcMar>
            <w:vAlign w:val="center"/>
          </w:tcPr>
          <w:p w14:paraId="2944FE61">
            <w:pPr>
              <w:jc w:val="center"/>
              <w:textAlignment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eastAsia="zh-CN"/>
                <w14:textFill>
                  <w14:solidFill>
                    <w14:schemeClr w14:val="tx1"/>
                  </w14:solidFill>
                </w14:textFill>
              </w:rPr>
              <w:t>萧山区市心实验中学2025年礼堂椅采购项目</w:t>
            </w:r>
          </w:p>
        </w:tc>
        <w:tc>
          <w:tcPr>
            <w:tcW w:w="508" w:type="dxa"/>
            <w:tcMar>
              <w:top w:w="15" w:type="dxa"/>
              <w:left w:w="15" w:type="dxa"/>
              <w:bottom w:w="0" w:type="dxa"/>
              <w:right w:w="15" w:type="dxa"/>
            </w:tcMar>
            <w:vAlign w:val="center"/>
          </w:tcPr>
          <w:p w14:paraId="0335547C">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950</w:t>
            </w:r>
          </w:p>
        </w:tc>
        <w:tc>
          <w:tcPr>
            <w:tcW w:w="565" w:type="dxa"/>
            <w:tcMar>
              <w:top w:w="15" w:type="dxa"/>
              <w:left w:w="15" w:type="dxa"/>
              <w:bottom w:w="0" w:type="dxa"/>
              <w:right w:w="15" w:type="dxa"/>
            </w:tcMar>
            <w:vAlign w:val="center"/>
          </w:tcPr>
          <w:p w14:paraId="35E8512D">
            <w:pPr>
              <w:jc w:val="center"/>
              <w:textAlignment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把</w:t>
            </w:r>
          </w:p>
        </w:tc>
        <w:tc>
          <w:tcPr>
            <w:tcW w:w="991" w:type="dxa"/>
            <w:vAlign w:val="center"/>
          </w:tcPr>
          <w:p w14:paraId="61BE1CA4">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800</w:t>
            </w:r>
          </w:p>
        </w:tc>
        <w:tc>
          <w:tcPr>
            <w:tcW w:w="2993" w:type="dxa"/>
            <w:vAlign w:val="center"/>
          </w:tcPr>
          <w:p w14:paraId="1B548B74">
            <w:pPr>
              <w:tabs>
                <w:tab w:val="left" w:pos="0"/>
              </w:tabs>
              <w:jc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Hans"/>
                <w14:textFill>
                  <w14:solidFill>
                    <w14:schemeClr w14:val="tx1"/>
                  </w14:solidFill>
                </w14:textFill>
              </w:rPr>
              <w:t>二、</w:t>
            </w:r>
            <w:r>
              <w:rPr>
                <w:rFonts w:hint="eastAsia" w:ascii="仿宋" w:hAnsi="仿宋" w:eastAsia="仿宋" w:cs="仿宋"/>
                <w:color w:val="000000" w:themeColor="text1"/>
                <w:highlight w:val="none"/>
                <w:lang w:val="en-US" w:eastAsia="zh-CN"/>
                <w14:textFill>
                  <w14:solidFill>
                    <w14:schemeClr w14:val="tx1"/>
                  </w14:solidFill>
                </w14:textFill>
              </w:rPr>
              <w:t>招标</w:t>
            </w:r>
            <w:r>
              <w:rPr>
                <w:rFonts w:hint="eastAsia" w:ascii="仿宋" w:hAnsi="仿宋" w:eastAsia="仿宋" w:cs="仿宋"/>
                <w:color w:val="000000" w:themeColor="text1"/>
                <w:highlight w:val="none"/>
                <w14:textFill>
                  <w14:solidFill>
                    <w14:schemeClr w14:val="tx1"/>
                  </w14:solidFill>
                </w14:textFill>
              </w:rPr>
              <w:t>需求-1、技术需求</w:t>
            </w:r>
          </w:p>
        </w:tc>
        <w:tc>
          <w:tcPr>
            <w:tcW w:w="1996" w:type="dxa"/>
            <w:vAlign w:val="center"/>
          </w:tcPr>
          <w:p w14:paraId="4D2D74DD">
            <w:pPr>
              <w:jc w:val="center"/>
              <w:textAlignment w:val="center"/>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760000</w:t>
            </w:r>
          </w:p>
        </w:tc>
      </w:tr>
    </w:tbl>
    <w:p w14:paraId="0DB08BDF">
      <w:pPr>
        <w:pStyle w:val="3"/>
        <w:ind w:left="0" w:firstLine="0"/>
        <w:rPr>
          <w:rFonts w:ascii="仿宋" w:eastAsia="仿宋" w:cs="仿宋"/>
          <w:b w:val="0"/>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15C0442A">
      <w:pPr>
        <w:pStyle w:val="3"/>
        <w:numPr>
          <w:ilvl w:val="0"/>
          <w:numId w:val="2"/>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en-US" w:eastAsia="zh-CN"/>
          <w14:textFill>
            <w14:solidFill>
              <w14:schemeClr w14:val="tx1"/>
            </w14:solidFill>
          </w14:textFill>
        </w:rPr>
        <w:t>招标</w:t>
      </w:r>
      <w:r>
        <w:rPr>
          <w:rFonts w:hint="eastAsia" w:ascii="仿宋" w:eastAsia="仿宋" w:cs="仿宋"/>
          <w:color w:val="000000" w:themeColor="text1"/>
          <w:highlight w:val="none"/>
          <w14:textFill>
            <w14:solidFill>
              <w14:schemeClr w14:val="tx1"/>
            </w14:solidFill>
          </w14:textFill>
        </w:rPr>
        <w:t>需求</w:t>
      </w:r>
    </w:p>
    <w:p w14:paraId="20A9DD9D">
      <w:pPr>
        <w:numPr>
          <w:ilvl w:val="0"/>
          <w:numId w:val="3"/>
        </w:num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p w14:paraId="10122F4A">
      <w:pPr>
        <w:spacing w:line="410" w:lineRule="exact"/>
        <w:rPr>
          <w:rFonts w:hint="eastAsia" w:ascii="宋体" w:hAnsi="宋体" w:eastAsia="宋体" w:cs="宋体"/>
          <w:sz w:val="24"/>
          <w:szCs w:val="24"/>
          <w:lang w:eastAsia="zh-CN"/>
        </w:rPr>
      </w:pPr>
      <w:r>
        <w:rPr>
          <w:rFonts w:hint="eastAsia" w:ascii="宋体" w:hAnsi="宋体" w:eastAsia="宋体" w:cs="宋体"/>
          <w:sz w:val="24"/>
          <w:szCs w:val="24"/>
        </w:rPr>
        <w:t>产品规格：H</w:t>
      </w:r>
      <w:r>
        <w:rPr>
          <w:rFonts w:hint="eastAsia" w:ascii="宋体" w:hAnsi="宋体" w:eastAsia="宋体" w:cs="宋体"/>
          <w:sz w:val="24"/>
          <w:szCs w:val="24"/>
          <w:lang w:val="en-US" w:eastAsia="zh-CN"/>
        </w:rPr>
        <w:t>1000</w:t>
      </w:r>
      <w:bookmarkStart w:id="32" w:name="OLE_LINK2"/>
      <w:r>
        <w:rPr>
          <w:rFonts w:hint="eastAsia" w:ascii="宋体" w:hAnsi="宋体" w:eastAsia="宋体" w:cs="宋体"/>
          <w:sz w:val="24"/>
          <w:szCs w:val="24"/>
          <w:lang w:val="en-US" w:eastAsia="zh-CN"/>
        </w:rPr>
        <w:t>±10mm</w:t>
      </w:r>
      <w:bookmarkEnd w:id="32"/>
      <w:r>
        <w:rPr>
          <w:rFonts w:hint="eastAsia" w:ascii="宋体" w:hAnsi="宋体" w:eastAsia="宋体" w:cs="宋体"/>
          <w:sz w:val="24"/>
          <w:szCs w:val="24"/>
        </w:rPr>
        <w:t>×W5</w:t>
      </w:r>
      <w:r>
        <w:rPr>
          <w:rFonts w:hint="eastAsia" w:ascii="宋体" w:hAnsi="宋体" w:eastAsia="宋体" w:cs="宋体"/>
          <w:sz w:val="24"/>
          <w:szCs w:val="24"/>
          <w:lang w:val="en-US" w:eastAsia="zh-CN"/>
        </w:rPr>
        <w:t>6</w:t>
      </w:r>
      <w:r>
        <w:rPr>
          <w:rFonts w:hint="eastAsia" w:ascii="宋体" w:hAnsi="宋体" w:eastAsia="宋体" w:cs="宋体"/>
          <w:sz w:val="24"/>
          <w:szCs w:val="24"/>
        </w:rPr>
        <w:t>0×D7</w:t>
      </w:r>
      <w:r>
        <w:rPr>
          <w:rFonts w:hint="eastAsia" w:ascii="宋体" w:hAnsi="宋体" w:eastAsia="宋体" w:cs="宋体"/>
          <w:sz w:val="24"/>
          <w:szCs w:val="24"/>
          <w:lang w:val="en-US" w:eastAsia="zh-CN"/>
        </w:rPr>
        <w:t>1</w:t>
      </w:r>
      <w:r>
        <w:rPr>
          <w:rFonts w:hint="eastAsia" w:ascii="宋体" w:hAnsi="宋体" w:eastAsia="宋体" w:cs="宋体"/>
          <w:sz w:val="24"/>
          <w:szCs w:val="24"/>
        </w:rPr>
        <w:t>0</w:t>
      </w:r>
      <w:r>
        <w:rPr>
          <w:rFonts w:hint="eastAsia" w:ascii="宋体" w:hAnsi="宋体" w:eastAsia="宋体" w:cs="宋体"/>
          <w:sz w:val="24"/>
          <w:szCs w:val="24"/>
          <w:lang w:val="en-US" w:eastAsia="zh-CN"/>
        </w:rPr>
        <w:t>±10mm</w:t>
      </w:r>
    </w:p>
    <w:p w14:paraId="29AE8DE6">
      <w:pPr>
        <w:spacing w:line="410" w:lineRule="exact"/>
        <w:rPr>
          <w:rFonts w:hint="eastAsia" w:ascii="宋体" w:hAnsi="宋体" w:eastAsia="宋体" w:cs="宋体"/>
          <w:sz w:val="24"/>
          <w:szCs w:val="24"/>
          <w:lang w:eastAsia="zh-CN"/>
        </w:rPr>
      </w:pPr>
      <w:r>
        <w:rPr>
          <w:rFonts w:hint="eastAsia" w:ascii="宋体" w:hAnsi="宋体" w:eastAsia="宋体" w:cs="宋体"/>
          <w:sz w:val="24"/>
          <w:szCs w:val="24"/>
        </w:rPr>
        <w:t xml:space="preserve">     该产品外形尺寸及倾斜角度是根据人体形态工程学曲线原理设计，能最大限度地贴合人体背部，座感舒适，坚固耐用,无疲劳感，产品美观大方、豪华。设计合理豪华、坐感舒适</w:t>
      </w:r>
      <w:r>
        <w:rPr>
          <w:rFonts w:hint="eastAsia" w:ascii="宋体" w:hAnsi="宋体" w:eastAsia="宋体" w:cs="宋体"/>
          <w:sz w:val="24"/>
          <w:szCs w:val="24"/>
          <w:lang w:eastAsia="zh-CN"/>
        </w:rPr>
        <w:t>。</w:t>
      </w:r>
    </w:p>
    <w:p w14:paraId="4300F830">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座椅的靠背外板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U字造型</w:t>
      </w:r>
      <w:r>
        <w:rPr>
          <w:rFonts w:hint="eastAsia" w:ascii="宋体" w:hAnsi="宋体" w:eastAsia="宋体" w:cs="宋体"/>
          <w:sz w:val="24"/>
          <w:szCs w:val="24"/>
          <w:lang w:eastAsia="zh-CN"/>
        </w:rPr>
        <w:t>）</w:t>
      </w:r>
      <w:r>
        <w:rPr>
          <w:rFonts w:hint="eastAsia" w:ascii="宋体" w:hAnsi="宋体" w:eastAsia="宋体" w:cs="宋体"/>
          <w:sz w:val="24"/>
          <w:szCs w:val="24"/>
        </w:rPr>
        <w:t>、座垫底板选用多层板外履进口红榉木经热压一次成型。座垫底板带有吸音及排气孔。表面喷环保聚酯亚光漆，平滑细腻、雾光。并作防火、耐磨处理，具有精度高、环保、耐腐蚀、耐划痕、易清洗维护等特点。</w:t>
      </w:r>
      <w:r>
        <w:rPr>
          <w:rFonts w:hint="eastAsia" w:ascii="宋体" w:hAnsi="宋体" w:eastAsia="宋体" w:cs="宋体"/>
          <w:sz w:val="24"/>
          <w:szCs w:val="24"/>
          <w:lang w:eastAsia="zh-CN"/>
        </w:rPr>
        <w:t>木制油漆涂装件的含水率为</w:t>
      </w:r>
      <w:r>
        <w:rPr>
          <w:rFonts w:hint="eastAsia" w:ascii="宋体" w:hAnsi="宋体" w:eastAsia="宋体" w:cs="宋体"/>
          <w:sz w:val="24"/>
          <w:szCs w:val="24"/>
          <w:lang w:val="en-US" w:eastAsia="zh-CN"/>
        </w:rPr>
        <w:t>8-12%；耐液性、耐湿热、耐干热、附着力、耐磨性和抗冲击不低于3级；高温（40°C），1h，低温（-20°C），1h，3周期，应无鼓泡、裂缝和明显失光；甲醛释放量≤0.5（mg/L）。</w:t>
      </w:r>
    </w:p>
    <w:p w14:paraId="2A2D3A98">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座椅海绵采用高回弹聚氨酯冷发泡定型海绵，具有独特配方，使海绵具有抗菌性，海绵密度≥6</w:t>
      </w:r>
      <w:r>
        <w:rPr>
          <w:rFonts w:hint="eastAsia" w:ascii="宋体" w:hAnsi="宋体" w:eastAsia="宋体" w:cs="宋体"/>
          <w:sz w:val="24"/>
          <w:szCs w:val="24"/>
          <w:lang w:val="en-US" w:eastAsia="zh-CN"/>
        </w:rPr>
        <w:t>0</w:t>
      </w:r>
      <w:r>
        <w:rPr>
          <w:rFonts w:hint="eastAsia" w:ascii="宋体" w:hAnsi="宋体" w:eastAsia="宋体" w:cs="宋体"/>
          <w:sz w:val="24"/>
          <w:szCs w:val="24"/>
        </w:rPr>
        <w:t>kg/m</w:t>
      </w:r>
      <w:r>
        <w:rPr>
          <w:rFonts w:hint="eastAsia" w:ascii="宋体" w:hAnsi="宋体" w:eastAsia="宋体" w:cs="宋体"/>
          <w:sz w:val="24"/>
          <w:szCs w:val="24"/>
          <w:vertAlign w:val="superscript"/>
        </w:rPr>
        <w:t>3</w:t>
      </w:r>
      <w:r>
        <w:rPr>
          <w:rFonts w:hint="eastAsia" w:ascii="宋体" w:hAnsi="宋体" w:eastAsia="宋体" w:cs="宋体"/>
          <w:sz w:val="24"/>
          <w:szCs w:val="24"/>
        </w:rPr>
        <w:t>；25%压陷硬度（N）≥2</w:t>
      </w:r>
      <w:r>
        <w:rPr>
          <w:rFonts w:hint="eastAsia" w:ascii="宋体" w:hAnsi="宋体" w:eastAsia="宋体" w:cs="宋体"/>
          <w:sz w:val="24"/>
          <w:szCs w:val="24"/>
          <w:lang w:val="en-US" w:eastAsia="zh-CN"/>
        </w:rPr>
        <w:t>30；</w:t>
      </w:r>
      <w:r>
        <w:rPr>
          <w:rFonts w:hint="eastAsia" w:ascii="宋体" w:hAnsi="宋体" w:eastAsia="宋体" w:cs="宋体"/>
          <w:sz w:val="24"/>
          <w:szCs w:val="24"/>
        </w:rPr>
        <w:t>65%/25%压陷比</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75%压缩永久变形</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回弹率</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55；</w:t>
      </w:r>
      <w:r>
        <w:rPr>
          <w:rFonts w:hint="eastAsia" w:ascii="宋体" w:hAnsi="宋体" w:eastAsia="宋体" w:cs="宋体"/>
          <w:sz w:val="24"/>
          <w:szCs w:val="24"/>
        </w:rPr>
        <w:t>拉伸强度（kpa）≥1</w:t>
      </w:r>
      <w:r>
        <w:rPr>
          <w:rFonts w:hint="eastAsia" w:ascii="宋体" w:hAnsi="宋体" w:eastAsia="宋体" w:cs="宋体"/>
          <w:sz w:val="24"/>
          <w:szCs w:val="24"/>
          <w:lang w:val="en-US" w:eastAsia="zh-CN"/>
        </w:rPr>
        <w:t>15；</w:t>
      </w:r>
      <w:r>
        <w:rPr>
          <w:rFonts w:hint="eastAsia" w:ascii="宋体" w:hAnsi="宋体" w:eastAsia="宋体" w:cs="宋体"/>
          <w:sz w:val="24"/>
          <w:szCs w:val="24"/>
        </w:rPr>
        <w:t>伸长率（%）≥1</w:t>
      </w:r>
      <w:r>
        <w:rPr>
          <w:rFonts w:hint="eastAsia" w:ascii="宋体" w:hAnsi="宋体" w:eastAsia="宋体" w:cs="宋体"/>
          <w:sz w:val="24"/>
          <w:szCs w:val="24"/>
          <w:lang w:val="en-US" w:eastAsia="zh-CN"/>
        </w:rPr>
        <w:t>30；</w:t>
      </w:r>
      <w:r>
        <w:rPr>
          <w:rFonts w:hint="eastAsia" w:ascii="宋体" w:hAnsi="宋体" w:eastAsia="宋体" w:cs="宋体"/>
          <w:sz w:val="24"/>
          <w:szCs w:val="24"/>
        </w:rPr>
        <w:t>撕裂强度（N/cm）≥</w:t>
      </w:r>
      <w:r>
        <w:rPr>
          <w:rFonts w:hint="eastAsia" w:ascii="宋体" w:hAnsi="宋体" w:eastAsia="宋体" w:cs="宋体"/>
          <w:sz w:val="24"/>
          <w:szCs w:val="24"/>
          <w:lang w:val="en-US" w:eastAsia="zh-CN"/>
        </w:rPr>
        <w:t>2</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干</w:t>
      </w:r>
      <w:r>
        <w:rPr>
          <w:rFonts w:hint="eastAsia" w:ascii="宋体" w:hAnsi="宋体" w:eastAsia="宋体" w:cs="宋体"/>
          <w:sz w:val="24"/>
          <w:szCs w:val="24"/>
        </w:rPr>
        <w:t>热老化后拉伸强度（Kpa）≥</w:t>
      </w:r>
      <w:r>
        <w:rPr>
          <w:rFonts w:hint="eastAsia" w:ascii="宋体" w:hAnsi="宋体" w:eastAsia="宋体" w:cs="宋体"/>
          <w:sz w:val="24"/>
          <w:szCs w:val="24"/>
          <w:lang w:val="en-US" w:eastAsia="zh-CN"/>
        </w:rPr>
        <w:t>95；</w:t>
      </w:r>
      <w:r>
        <w:rPr>
          <w:rFonts w:hint="eastAsia" w:ascii="宋体" w:hAnsi="宋体" w:eastAsia="宋体" w:cs="宋体"/>
          <w:sz w:val="24"/>
          <w:szCs w:val="24"/>
          <w:lang w:eastAsia="zh-CN"/>
        </w:rPr>
        <w:t>干</w:t>
      </w:r>
      <w:r>
        <w:rPr>
          <w:rFonts w:hint="eastAsia" w:ascii="宋体" w:hAnsi="宋体" w:eastAsia="宋体" w:cs="宋体"/>
          <w:sz w:val="24"/>
          <w:szCs w:val="24"/>
        </w:rPr>
        <w:t>热老化后拉伸强度</w:t>
      </w:r>
      <w:r>
        <w:rPr>
          <w:rFonts w:hint="eastAsia" w:ascii="宋体" w:hAnsi="宋体" w:eastAsia="宋体" w:cs="宋体"/>
          <w:sz w:val="24"/>
          <w:szCs w:val="24"/>
          <w:lang w:eastAsia="zh-CN"/>
        </w:rPr>
        <w:t>变化率（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rPr>
        <w:t>湿热老化后拉伸强度（Kpa）≥</w:t>
      </w:r>
      <w:r>
        <w:rPr>
          <w:rFonts w:hint="eastAsia" w:ascii="宋体" w:hAnsi="宋体" w:eastAsia="宋体" w:cs="宋体"/>
          <w:sz w:val="24"/>
          <w:szCs w:val="24"/>
          <w:lang w:val="en-US" w:eastAsia="zh-CN"/>
        </w:rPr>
        <w:t>100；</w:t>
      </w:r>
      <w:r>
        <w:rPr>
          <w:rFonts w:hint="eastAsia" w:ascii="宋体" w:hAnsi="宋体" w:eastAsia="宋体" w:cs="宋体"/>
          <w:sz w:val="24"/>
          <w:szCs w:val="24"/>
        </w:rPr>
        <w:t>湿热老化后拉伸强度</w:t>
      </w:r>
      <w:r>
        <w:rPr>
          <w:rFonts w:hint="eastAsia" w:ascii="宋体" w:hAnsi="宋体" w:eastAsia="宋体" w:cs="宋体"/>
          <w:sz w:val="24"/>
          <w:szCs w:val="24"/>
          <w:lang w:eastAsia="zh-CN"/>
        </w:rPr>
        <w:t>变化率（</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压陷硬度</w:t>
      </w:r>
      <w:r>
        <w:rPr>
          <w:rFonts w:hint="eastAsia" w:ascii="宋体" w:hAnsi="宋体" w:eastAsia="宋体" w:cs="宋体"/>
          <w:sz w:val="24"/>
          <w:szCs w:val="24"/>
        </w:rPr>
        <w:t>（N）≥</w:t>
      </w:r>
      <w:r>
        <w:rPr>
          <w:rFonts w:hint="eastAsia" w:ascii="宋体" w:hAnsi="宋体" w:eastAsia="宋体" w:cs="宋体"/>
          <w:sz w:val="24"/>
          <w:szCs w:val="24"/>
          <w:lang w:val="en-US" w:eastAsia="zh-CN"/>
        </w:rPr>
        <w:t>290</w:t>
      </w:r>
      <w:r>
        <w:rPr>
          <w:rFonts w:hint="eastAsia" w:ascii="宋体" w:hAnsi="宋体" w:eastAsia="宋体" w:cs="宋体"/>
          <w:sz w:val="24"/>
          <w:szCs w:val="24"/>
        </w:rPr>
        <w:t>；</w:t>
      </w:r>
      <w:r>
        <w:rPr>
          <w:rFonts w:hint="eastAsia" w:ascii="宋体" w:hAnsi="宋体" w:eastAsia="宋体" w:cs="宋体"/>
          <w:sz w:val="24"/>
          <w:szCs w:val="24"/>
          <w:lang w:eastAsia="zh-CN"/>
        </w:rPr>
        <w:t>海绵</w:t>
      </w:r>
      <w:r>
        <w:rPr>
          <w:rFonts w:hint="eastAsia" w:ascii="宋体" w:hAnsi="宋体" w:eastAsia="宋体" w:cs="宋体"/>
          <w:sz w:val="24"/>
          <w:szCs w:val="24"/>
        </w:rPr>
        <w:t>阻燃达到国家</w:t>
      </w:r>
      <w:r>
        <w:rPr>
          <w:rFonts w:hint="eastAsia" w:ascii="宋体" w:hAnsi="宋体" w:eastAsia="宋体" w:cs="宋体"/>
          <w:sz w:val="24"/>
          <w:szCs w:val="24"/>
          <w:lang w:val="en-US" w:eastAsia="zh-CN"/>
        </w:rPr>
        <w:t>B1</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rPr>
        <w:t>标准。</w:t>
      </w:r>
    </w:p>
    <w:p w14:paraId="7F340A3E">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座椅缓冲机构内置</w:t>
      </w:r>
      <w:r>
        <w:rPr>
          <w:rFonts w:hint="eastAsia" w:ascii="宋体" w:hAnsi="宋体" w:eastAsia="宋体" w:cs="宋体"/>
          <w:sz w:val="24"/>
          <w:szCs w:val="24"/>
          <w:lang w:eastAsia="zh-CN"/>
        </w:rPr>
        <w:t>阻尼气杆</w:t>
      </w:r>
      <w:r>
        <w:rPr>
          <w:rFonts w:hint="eastAsia" w:ascii="宋体" w:hAnsi="宋体" w:eastAsia="宋体" w:cs="宋体"/>
          <w:sz w:val="24"/>
          <w:szCs w:val="24"/>
        </w:rPr>
        <w:t>自动回弹装置，保证座椅在人离开座垫后自动缓慢翻起，无冲击、无任何噪音</w:t>
      </w:r>
      <w:r>
        <w:rPr>
          <w:rFonts w:hint="eastAsia" w:ascii="宋体" w:hAnsi="宋体" w:eastAsia="宋体" w:cs="宋体"/>
          <w:sz w:val="24"/>
          <w:szCs w:val="24"/>
          <w:lang w:eastAsia="zh-CN"/>
        </w:rPr>
        <w:t>。阻尼气杆经</w:t>
      </w:r>
      <w:r>
        <w:rPr>
          <w:rFonts w:hint="eastAsia" w:ascii="宋体" w:hAnsi="宋体" w:eastAsia="宋体" w:cs="宋体"/>
          <w:sz w:val="24"/>
          <w:szCs w:val="24"/>
          <w:lang w:val="en-US" w:eastAsia="zh-CN"/>
        </w:rPr>
        <w:t>-30°C和60°C高低温储存后，公称力Fa衰减量应不大于5%。阻尼气杆</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高低温试验后，再经10万次循环寿命试验后，公称力Fa的总衰减量应不大于13%。</w:t>
      </w:r>
    </w:p>
    <w:p w14:paraId="6C638D4C">
      <w:pPr>
        <w:keepNext w:val="0"/>
        <w:keepLines w:val="0"/>
        <w:pageBreakBefore w:val="0"/>
        <w:widowControl w:val="0"/>
        <w:numPr>
          <w:ilvl w:val="0"/>
          <w:numId w:val="4"/>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座椅面料选用优质</w:t>
      </w:r>
      <w:r>
        <w:rPr>
          <w:rFonts w:hint="eastAsia" w:ascii="宋体" w:hAnsi="宋体" w:eastAsia="宋体" w:cs="宋体"/>
          <w:sz w:val="24"/>
          <w:szCs w:val="24"/>
          <w:lang w:eastAsia="zh-CN"/>
        </w:rPr>
        <w:t>高档毛麻</w:t>
      </w:r>
      <w:r>
        <w:rPr>
          <w:rFonts w:hint="eastAsia" w:ascii="宋体" w:hAnsi="宋体" w:eastAsia="宋体" w:cs="宋体"/>
          <w:sz w:val="24"/>
          <w:szCs w:val="24"/>
        </w:rPr>
        <w:t>面料（颜色另定），软硬适中、手感舒适、粘接牢固，使用长时间无皱褶，无断裂、不起球、不褪色、防静电处理、耐磨、吸声、</w:t>
      </w:r>
      <w:r>
        <w:rPr>
          <w:rFonts w:hint="eastAsia" w:ascii="宋体" w:hAnsi="宋体" w:eastAsia="宋体" w:cs="宋体"/>
          <w:b w:val="0"/>
          <w:bCs w:val="0"/>
          <w:color w:val="auto"/>
          <w:sz w:val="24"/>
          <w:szCs w:val="24"/>
          <w:u w:val="none"/>
        </w:rPr>
        <w:t>抗污。</w:t>
      </w:r>
      <w:r>
        <w:rPr>
          <w:rFonts w:hint="eastAsia" w:ascii="宋体" w:hAnsi="宋体" w:eastAsia="宋体" w:cs="宋体"/>
          <w:b w:val="0"/>
          <w:bCs w:val="0"/>
          <w:color w:val="auto"/>
          <w:sz w:val="24"/>
          <w:szCs w:val="24"/>
          <w:u w:val="none"/>
          <w:lang w:eastAsia="zh-CN"/>
        </w:rPr>
        <w:t>面料</w:t>
      </w:r>
      <w:r>
        <w:rPr>
          <w:rFonts w:hint="eastAsia" w:ascii="宋体" w:hAnsi="宋体" w:eastAsia="宋体" w:cs="宋体"/>
          <w:b w:val="0"/>
          <w:bCs w:val="0"/>
          <w:color w:val="auto"/>
          <w:sz w:val="24"/>
          <w:szCs w:val="24"/>
          <w:u w:val="none"/>
          <w:lang w:val="en-US" w:eastAsia="zh-CN"/>
        </w:rPr>
        <w:t>pH值4.0-7.5</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甲醛含量≤</w:t>
      </w:r>
      <w:r>
        <w:rPr>
          <w:rFonts w:hint="eastAsia" w:ascii="宋体" w:hAnsi="宋体" w:eastAsia="宋体" w:cs="宋体"/>
          <w:b w:val="0"/>
          <w:bCs w:val="0"/>
          <w:color w:val="auto"/>
          <w:kern w:val="24"/>
          <w:sz w:val="24"/>
          <w:szCs w:val="24"/>
          <w:u w:val="none"/>
          <w:lang w:val="en-US" w:eastAsia="zh-CN"/>
        </w:rPr>
        <w:t>20mg/kg</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可分解致癌芳香胺染料</w:t>
      </w:r>
      <w:r>
        <w:rPr>
          <w:rFonts w:hint="eastAsia" w:ascii="宋体" w:hAnsi="宋体" w:eastAsia="宋体" w:cs="宋体"/>
          <w:b w:val="0"/>
          <w:bCs w:val="0"/>
          <w:color w:val="auto"/>
          <w:kern w:val="24"/>
          <w:sz w:val="24"/>
          <w:szCs w:val="24"/>
          <w:u w:val="none"/>
        </w:rPr>
        <w:t>≤</w:t>
      </w:r>
      <w:r>
        <w:rPr>
          <w:rFonts w:hint="eastAsia" w:ascii="宋体" w:hAnsi="宋体" w:eastAsia="宋体" w:cs="宋体"/>
          <w:b w:val="0"/>
          <w:bCs w:val="0"/>
          <w:color w:val="auto"/>
          <w:kern w:val="24"/>
          <w:sz w:val="24"/>
          <w:szCs w:val="24"/>
          <w:u w:val="none"/>
          <w:lang w:val="en-US" w:eastAsia="zh-CN"/>
        </w:rPr>
        <w:t>20mg/kg</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耐碱汗渍牢度、耐酸汗渍牢度、耐干摩擦色牢度和耐洗色牢度</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3</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耐磨</w:t>
      </w:r>
      <w:r>
        <w:rPr>
          <w:rFonts w:hint="eastAsia" w:ascii="宋体" w:hAnsi="宋体" w:eastAsia="宋体" w:cs="宋体"/>
          <w:b w:val="0"/>
          <w:bCs w:val="0"/>
          <w:color w:val="auto"/>
          <w:kern w:val="24"/>
          <w:sz w:val="24"/>
          <w:szCs w:val="24"/>
          <w:u w:val="none"/>
          <w:lang w:eastAsia="zh-CN"/>
        </w:rPr>
        <w:t>性能</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rPr>
        <w:t>60000次</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顶破强力：</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2400</w:t>
      </w:r>
      <w:r>
        <w:rPr>
          <w:rFonts w:hint="eastAsia" w:ascii="宋体" w:hAnsi="宋体" w:eastAsia="宋体" w:cs="宋体"/>
          <w:b w:val="0"/>
          <w:bCs w:val="0"/>
          <w:color w:val="auto"/>
          <w:kern w:val="24"/>
          <w:sz w:val="24"/>
          <w:szCs w:val="24"/>
          <w:u w:val="none"/>
        </w:rPr>
        <w:t>N</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eastAsia="zh-CN"/>
        </w:rPr>
        <w:t>起毛起球（</w:t>
      </w:r>
      <w:r>
        <w:rPr>
          <w:rFonts w:hint="eastAsia" w:ascii="宋体" w:hAnsi="宋体" w:eastAsia="宋体" w:cs="宋体"/>
          <w:b w:val="0"/>
          <w:bCs w:val="0"/>
          <w:color w:val="auto"/>
          <w:kern w:val="24"/>
          <w:sz w:val="24"/>
          <w:szCs w:val="24"/>
          <w:u w:val="none"/>
          <w:lang w:val="en-US" w:eastAsia="zh-CN"/>
        </w:rPr>
        <w:t>7000次</w:t>
      </w:r>
      <w:r>
        <w:rPr>
          <w:rFonts w:hint="eastAsia" w:ascii="宋体" w:hAnsi="宋体" w:eastAsia="宋体" w:cs="宋体"/>
          <w:b w:val="0"/>
          <w:bCs w:val="0"/>
          <w:color w:val="auto"/>
          <w:kern w:val="24"/>
          <w:sz w:val="24"/>
          <w:szCs w:val="24"/>
          <w:u w:val="none"/>
          <w:lang w:eastAsia="zh-CN"/>
        </w:rPr>
        <w:t>）达到</w:t>
      </w:r>
      <w:r>
        <w:rPr>
          <w:rFonts w:hint="eastAsia" w:ascii="宋体" w:hAnsi="宋体" w:eastAsia="宋体" w:cs="宋体"/>
          <w:b w:val="0"/>
          <w:bCs w:val="0"/>
          <w:color w:val="auto"/>
          <w:kern w:val="24"/>
          <w:sz w:val="24"/>
          <w:szCs w:val="24"/>
          <w:u w:val="none"/>
          <w:lang w:val="en-US" w:eastAsia="zh-CN"/>
        </w:rPr>
        <w:t>4-5级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lang w:val="en-US" w:eastAsia="zh-CN"/>
        </w:rPr>
        <w:t>耐水色牢度</w:t>
      </w:r>
      <w:r>
        <w:rPr>
          <w:rFonts w:hint="eastAsia" w:ascii="宋体" w:hAnsi="宋体" w:eastAsia="宋体" w:cs="宋体"/>
          <w:b w:val="0"/>
          <w:bCs w:val="0"/>
          <w:color w:val="auto"/>
          <w:kern w:val="24"/>
          <w:sz w:val="24"/>
          <w:szCs w:val="24"/>
          <w:u w:val="none"/>
        </w:rPr>
        <w:t>：</w:t>
      </w:r>
      <w:r>
        <w:rPr>
          <w:rFonts w:hint="eastAsia" w:ascii="宋体" w:hAnsi="宋体" w:eastAsia="宋体" w:cs="宋体"/>
          <w:sz w:val="24"/>
          <w:szCs w:val="24"/>
        </w:rPr>
        <w:t>≥</w:t>
      </w:r>
      <w:r>
        <w:rPr>
          <w:rFonts w:hint="eastAsia" w:ascii="宋体" w:hAnsi="宋体" w:eastAsia="宋体" w:cs="宋体"/>
          <w:b w:val="0"/>
          <w:bCs w:val="0"/>
          <w:color w:val="auto"/>
          <w:kern w:val="24"/>
          <w:sz w:val="24"/>
          <w:szCs w:val="24"/>
          <w:u w:val="none"/>
          <w:lang w:val="en-US" w:eastAsia="zh-CN"/>
        </w:rPr>
        <w:t>3</w:t>
      </w:r>
      <w:r>
        <w:rPr>
          <w:rFonts w:hint="eastAsia" w:ascii="宋体" w:hAnsi="宋体" w:eastAsia="宋体" w:cs="宋体"/>
          <w:b w:val="0"/>
          <w:bCs w:val="0"/>
          <w:color w:val="auto"/>
          <w:kern w:val="24"/>
          <w:sz w:val="24"/>
          <w:szCs w:val="24"/>
          <w:u w:val="none"/>
        </w:rPr>
        <w:t>级</w:t>
      </w:r>
      <w:r>
        <w:rPr>
          <w:rFonts w:hint="eastAsia" w:ascii="宋体" w:hAnsi="宋体" w:eastAsia="宋体" w:cs="宋体"/>
          <w:sz w:val="24"/>
          <w:szCs w:val="24"/>
          <w:lang w:val="en-US" w:eastAsia="zh-CN"/>
        </w:rPr>
        <w:t>；</w:t>
      </w:r>
      <w:r>
        <w:rPr>
          <w:rFonts w:hint="eastAsia" w:ascii="宋体" w:hAnsi="宋体" w:eastAsia="宋体" w:cs="宋体"/>
          <w:b w:val="0"/>
          <w:bCs w:val="0"/>
          <w:color w:val="auto"/>
          <w:kern w:val="24"/>
          <w:sz w:val="24"/>
          <w:szCs w:val="24"/>
          <w:u w:val="none"/>
        </w:rPr>
        <w:t>面料阻燃达到</w:t>
      </w:r>
      <w:r>
        <w:rPr>
          <w:rFonts w:hint="eastAsia" w:ascii="宋体" w:hAnsi="宋体" w:eastAsia="宋体" w:cs="宋体"/>
          <w:b w:val="0"/>
          <w:bCs w:val="0"/>
          <w:color w:val="auto"/>
          <w:kern w:val="24"/>
          <w:sz w:val="24"/>
          <w:szCs w:val="24"/>
          <w:u w:val="none"/>
          <w:lang w:eastAsia="zh-CN"/>
        </w:rPr>
        <w:t>国家</w:t>
      </w:r>
      <w:r>
        <w:rPr>
          <w:rFonts w:hint="eastAsia" w:ascii="宋体" w:hAnsi="宋体" w:eastAsia="宋体" w:cs="宋体"/>
          <w:b w:val="0"/>
          <w:bCs w:val="0"/>
          <w:color w:val="auto"/>
          <w:kern w:val="24"/>
          <w:sz w:val="24"/>
          <w:szCs w:val="24"/>
          <w:u w:val="none"/>
        </w:rPr>
        <w:t>B1级标准。</w:t>
      </w:r>
    </w:p>
    <w:p w14:paraId="13AE4B28">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扶手采用红榉实木经脱水、脱脂及精加工处理，表面喷环保聚酯亚光漆，平滑细腻、雾光。消音效果好，豪华美观，手感舒适，耐磨耐用。</w:t>
      </w:r>
      <w:r>
        <w:rPr>
          <w:rFonts w:hint="eastAsia" w:ascii="宋体" w:hAnsi="宋体" w:eastAsia="宋体" w:cs="宋体"/>
          <w:sz w:val="24"/>
          <w:szCs w:val="24"/>
          <w:lang w:eastAsia="zh-CN"/>
        </w:rPr>
        <w:t>木材含水率为</w:t>
      </w:r>
      <w:r>
        <w:rPr>
          <w:rFonts w:hint="eastAsia" w:ascii="宋体" w:hAnsi="宋体" w:eastAsia="宋体" w:cs="宋体"/>
          <w:sz w:val="24"/>
          <w:szCs w:val="24"/>
          <w:lang w:val="en-US" w:eastAsia="zh-CN"/>
        </w:rPr>
        <w:t>8-12%，甲醛释放量≤0.5（mg/L）。</w:t>
      </w:r>
    </w:p>
    <w:p w14:paraId="6398F909">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扶手面板配置内藏式红榉木书写板，其隐藏内配有保护层。扶手与写字板之间的翻转轴采用铸铝件，强化耐用</w:t>
      </w:r>
      <w:r>
        <w:rPr>
          <w:rFonts w:hint="eastAsia" w:ascii="宋体" w:hAnsi="宋体" w:eastAsia="宋体" w:cs="宋体"/>
          <w:sz w:val="24"/>
          <w:szCs w:val="24"/>
          <w:lang w:eastAsia="zh-CN"/>
        </w:rPr>
        <w:t>。写字板力学性能：写字板垂直向下静载荷试验</w:t>
      </w:r>
      <w:r>
        <w:rPr>
          <w:rFonts w:hint="eastAsia" w:ascii="宋体" w:hAnsi="宋体" w:eastAsia="宋体" w:cs="宋体"/>
          <w:sz w:val="24"/>
          <w:szCs w:val="24"/>
          <w:lang w:val="en-US" w:eastAsia="zh-CN"/>
        </w:rPr>
        <w:t>300N，10次，写字板耐久性试验150N，2.5万次后，零部件应无断裂现象，加载部位应无明显变形，座椅结构应无松动，翻转结构应翻转灵活自如。</w:t>
      </w:r>
    </w:p>
    <w:p w14:paraId="09A1B75B">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扶手侧板选用多层板外履进口红榉木经热压一次成型。表面喷环保聚酯亚光漆，平滑细腻、雾光。并作防火、耐磨处理，具有精度高、环保、耐腐蚀、耐划痕、易清洗维护等特点。</w:t>
      </w:r>
    </w:p>
    <w:p w14:paraId="029C303F">
      <w:pPr>
        <w:numPr>
          <w:ilvl w:val="0"/>
          <w:numId w:val="4"/>
        </w:numPr>
        <w:tabs>
          <w:tab w:val="left" w:pos="680"/>
        </w:tabs>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座椅座框采用优质冷轧钢板经冲压、折边焊接成形，框架装有5根“S”形弹簧。</w:t>
      </w:r>
      <w:r>
        <w:rPr>
          <w:rFonts w:hint="eastAsia" w:ascii="宋体" w:hAnsi="宋体" w:eastAsia="宋体" w:cs="宋体"/>
          <w:sz w:val="24"/>
          <w:szCs w:val="24"/>
          <w:lang w:eastAsia="zh-CN"/>
        </w:rPr>
        <w:t>弹簧抗盐雾性能：</w:t>
      </w:r>
      <w:r>
        <w:rPr>
          <w:rFonts w:hint="eastAsia" w:ascii="宋体" w:hAnsi="宋体" w:eastAsia="宋体" w:cs="宋体"/>
          <w:sz w:val="24"/>
          <w:szCs w:val="24"/>
          <w:lang w:val="en-US" w:eastAsia="zh-CN"/>
        </w:rPr>
        <w:t>18h,直径1.5mm以下锈点≤20点/dm²，其中直径</w:t>
      </w:r>
      <w:r>
        <w:rPr>
          <w:rFonts w:hint="eastAsia" w:ascii="宋体" w:hAnsi="宋体" w:eastAsia="宋体" w:cs="宋体"/>
          <w:sz w:val="24"/>
          <w:szCs w:val="24"/>
        </w:rPr>
        <w:t>≥</w:t>
      </w:r>
      <w:r>
        <w:rPr>
          <w:rFonts w:hint="eastAsia" w:ascii="宋体" w:hAnsi="宋体" w:eastAsia="宋体" w:cs="宋体"/>
          <w:sz w:val="24"/>
          <w:szCs w:val="24"/>
          <w:lang w:val="en-US" w:eastAsia="zh-CN"/>
        </w:rPr>
        <w:t>1.0mm锈点不超过5点/dm²</w:t>
      </w:r>
      <w:r>
        <w:rPr>
          <w:rFonts w:hint="eastAsia" w:ascii="宋体" w:hAnsi="宋体" w:eastAsia="宋体" w:cs="宋体"/>
          <w:sz w:val="24"/>
          <w:szCs w:val="24"/>
        </w:rPr>
        <w:t>。</w:t>
      </w:r>
    </w:p>
    <w:p w14:paraId="55D06934">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落地脚采用优质冷轧钢板经冲压、折边焊接成形，箱式和重力设计，能承受比一般座椅更大的压力，且脚板采用隐蔽技术，与地面固定时用M10×80螺栓隐藏在脚板内部，无积尘，美观大方</w:t>
      </w:r>
      <w:r>
        <w:rPr>
          <w:rFonts w:hint="eastAsia" w:ascii="宋体" w:hAnsi="宋体" w:eastAsia="宋体" w:cs="宋体"/>
          <w:b w:val="0"/>
          <w:bCs w:val="0"/>
          <w:kern w:val="2"/>
          <w:sz w:val="24"/>
          <w:szCs w:val="24"/>
        </w:rPr>
        <w:t>。</w:t>
      </w:r>
    </w:p>
    <w:p w14:paraId="2C5DE45A">
      <w:pPr>
        <w:numPr>
          <w:ilvl w:val="0"/>
          <w:numId w:val="4"/>
        </w:numPr>
        <w:spacing w:line="410" w:lineRule="exact"/>
        <w:rPr>
          <w:rFonts w:hint="eastAsia" w:ascii="宋体" w:hAnsi="宋体" w:eastAsia="宋体" w:cs="宋体"/>
          <w:sz w:val="24"/>
          <w:szCs w:val="24"/>
        </w:rPr>
      </w:pPr>
      <w:r>
        <w:rPr>
          <w:rFonts w:hint="eastAsia" w:ascii="宋体" w:hAnsi="宋体" w:eastAsia="宋体" w:cs="宋体"/>
          <w:bCs/>
          <w:sz w:val="24"/>
          <w:lang w:val="en-US" w:eastAsia="zh-CN"/>
        </w:rPr>
        <w:t>★</w:t>
      </w:r>
      <w:r>
        <w:rPr>
          <w:rFonts w:hint="eastAsia" w:ascii="宋体" w:hAnsi="宋体" w:eastAsia="宋体" w:cs="宋体"/>
          <w:sz w:val="24"/>
          <w:szCs w:val="24"/>
        </w:rPr>
        <w:t>座椅金属件均经磷化、喷塑双重防锈处理，坚固耐用。</w:t>
      </w:r>
      <w:r>
        <w:rPr>
          <w:rFonts w:hint="eastAsia" w:ascii="宋体" w:hAnsi="宋体" w:eastAsia="宋体" w:cs="宋体"/>
          <w:b w:val="0"/>
          <w:bCs/>
          <w:kern w:val="2"/>
          <w:sz w:val="24"/>
          <w:szCs w:val="24"/>
          <w:lang w:val="en-US" w:eastAsia="zh-CN" w:bidi="ar-SA"/>
        </w:rPr>
        <w:t>金属喷漆（塑）涂层：冲击强度：冲击高度400mm，应无剥落、裂纹、皱纹等现象；耐腐蚀：100h内，观察在溶液中样板上划道两侧3mm以外，应无气泡、锈迹、剥落、起皱、变色和失光等现象；附着力应不低于2级。</w:t>
      </w:r>
    </w:p>
    <w:p w14:paraId="675E8C25">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每张座椅及每排座椅侧方均配有座号、排号，其原材料采用特殊的反光材料制作，荧光自发光，在微弱的灯光下清楚地显示。</w:t>
      </w:r>
    </w:p>
    <w:p w14:paraId="39D56F07">
      <w:pPr>
        <w:numPr>
          <w:ilvl w:val="0"/>
          <w:numId w:val="4"/>
        </w:numPr>
        <w:spacing w:line="410" w:lineRule="exact"/>
        <w:rPr>
          <w:rFonts w:hint="eastAsia" w:ascii="宋体" w:hAnsi="宋体" w:eastAsia="宋体" w:cs="宋体"/>
          <w:sz w:val="24"/>
          <w:szCs w:val="24"/>
        </w:rPr>
      </w:pPr>
      <w:r>
        <w:rPr>
          <w:rFonts w:hint="eastAsia" w:ascii="宋体" w:hAnsi="宋体" w:eastAsia="宋体" w:cs="宋体"/>
          <w:sz w:val="24"/>
          <w:szCs w:val="24"/>
        </w:rPr>
        <w:t>产品</w:t>
      </w:r>
      <w:r>
        <w:rPr>
          <w:rFonts w:hint="eastAsia" w:ascii="宋体" w:hAnsi="宋体" w:eastAsia="宋体" w:cs="宋体"/>
          <w:sz w:val="24"/>
          <w:szCs w:val="24"/>
          <w:lang w:eastAsia="zh-CN"/>
        </w:rPr>
        <w:t>结构简图</w:t>
      </w:r>
    </w:p>
    <w:p w14:paraId="1FD455A9">
      <w:pPr>
        <w:spacing w:line="500" w:lineRule="exact"/>
        <w:rPr>
          <w:rFonts w:hint="eastAsia"/>
          <w:sz w:val="24"/>
          <w:szCs w:val="24"/>
        </w:rPr>
      </w:pPr>
    </w:p>
    <w:p w14:paraId="1E4A167A">
      <w:pPr>
        <w:spacing w:line="360" w:lineRule="auto"/>
        <w:ind w:right="560"/>
        <w:jc w:val="right"/>
        <w:rPr>
          <w:rFonts w:hint="eastAsia"/>
          <w:sz w:val="28"/>
          <w:szCs w:val="28"/>
        </w:rPr>
      </w:pPr>
    </w:p>
    <w:p w14:paraId="05BC6190">
      <w:pPr>
        <w:spacing w:line="360" w:lineRule="auto"/>
        <w:ind w:right="560"/>
        <w:jc w:val="right"/>
        <w:rPr>
          <w:rFonts w:hint="eastAsia"/>
          <w:sz w:val="28"/>
          <w:szCs w:val="28"/>
        </w:rPr>
      </w:pPr>
      <w:r>
        <w:rPr>
          <w:rFonts w:hint="eastAsia" w:eastAsia="宋体"/>
          <w:sz w:val="28"/>
          <w:szCs w:val="28"/>
          <w:lang w:eastAsia="zh-CN"/>
        </w:rPr>
        <w:drawing>
          <wp:anchor distT="0" distB="0" distL="114300" distR="114300" simplePos="0" relativeHeight="251661312" behindDoc="0" locked="0" layoutInCell="1" allowOverlap="1">
            <wp:simplePos x="0" y="0"/>
            <wp:positionH relativeFrom="column">
              <wp:posOffset>-85090</wp:posOffset>
            </wp:positionH>
            <wp:positionV relativeFrom="paragraph">
              <wp:posOffset>196850</wp:posOffset>
            </wp:positionV>
            <wp:extent cx="5653405" cy="3997325"/>
            <wp:effectExtent l="0" t="0" r="4445" b="3175"/>
            <wp:wrapNone/>
            <wp:docPr id="5" name="图片 3" descr="SY-920系列-Model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Y-920系列-Model_00(1)"/>
                    <pic:cNvPicPr>
                      <a:picLocks noChangeAspect="1"/>
                    </pic:cNvPicPr>
                  </pic:nvPicPr>
                  <pic:blipFill>
                    <a:blip r:embed="rId26"/>
                    <a:stretch>
                      <a:fillRect/>
                    </a:stretch>
                  </pic:blipFill>
                  <pic:spPr>
                    <a:xfrm>
                      <a:off x="0" y="0"/>
                      <a:ext cx="5653405" cy="3997325"/>
                    </a:xfrm>
                    <a:prstGeom prst="rect">
                      <a:avLst/>
                    </a:prstGeom>
                    <a:noFill/>
                    <a:ln>
                      <a:noFill/>
                    </a:ln>
                  </pic:spPr>
                </pic:pic>
              </a:graphicData>
            </a:graphic>
          </wp:anchor>
        </w:drawing>
      </w:r>
    </w:p>
    <w:p w14:paraId="14CD58A2">
      <w:pPr>
        <w:spacing w:line="360" w:lineRule="auto"/>
        <w:ind w:right="560"/>
        <w:jc w:val="right"/>
        <w:rPr>
          <w:rFonts w:hint="eastAsia"/>
          <w:sz w:val="28"/>
          <w:szCs w:val="28"/>
        </w:rPr>
      </w:pPr>
    </w:p>
    <w:p w14:paraId="363E71A0">
      <w:pPr>
        <w:spacing w:line="360" w:lineRule="auto"/>
        <w:ind w:right="560"/>
        <w:jc w:val="right"/>
        <w:rPr>
          <w:rFonts w:hint="eastAsia" w:eastAsia="宋体"/>
          <w:sz w:val="28"/>
          <w:szCs w:val="28"/>
          <w:lang w:eastAsia="zh-CN"/>
        </w:rPr>
      </w:pPr>
    </w:p>
    <w:p w14:paraId="0BDD46AA">
      <w:pPr>
        <w:spacing w:line="360" w:lineRule="auto"/>
        <w:ind w:right="560"/>
        <w:jc w:val="right"/>
        <w:rPr>
          <w:rFonts w:hint="eastAsia"/>
          <w:sz w:val="28"/>
          <w:szCs w:val="28"/>
        </w:rPr>
      </w:pPr>
    </w:p>
    <w:p w14:paraId="780797FC">
      <w:pPr>
        <w:spacing w:line="360" w:lineRule="auto"/>
        <w:ind w:right="560"/>
        <w:jc w:val="right"/>
        <w:rPr>
          <w:rFonts w:hint="eastAsia"/>
          <w:sz w:val="28"/>
          <w:szCs w:val="28"/>
        </w:rPr>
      </w:pPr>
    </w:p>
    <w:p w14:paraId="5BDBD792">
      <w:pPr>
        <w:spacing w:line="360" w:lineRule="auto"/>
        <w:ind w:right="560"/>
        <w:jc w:val="right"/>
        <w:rPr>
          <w:rFonts w:hint="eastAsia" w:eastAsia="宋体"/>
          <w:sz w:val="28"/>
          <w:szCs w:val="28"/>
          <w:lang w:eastAsia="zh-CN"/>
        </w:rPr>
      </w:pPr>
    </w:p>
    <w:p w14:paraId="0939B9CE">
      <w:pPr>
        <w:spacing w:line="360" w:lineRule="auto"/>
        <w:ind w:right="560"/>
        <w:jc w:val="right"/>
        <w:rPr>
          <w:rFonts w:hint="eastAsia"/>
          <w:sz w:val="28"/>
          <w:szCs w:val="28"/>
        </w:rPr>
      </w:pPr>
    </w:p>
    <w:p w14:paraId="6908722A">
      <w:pPr>
        <w:spacing w:line="360" w:lineRule="auto"/>
        <w:ind w:right="560"/>
        <w:jc w:val="right"/>
        <w:rPr>
          <w:rFonts w:hint="eastAsia"/>
          <w:sz w:val="28"/>
          <w:szCs w:val="28"/>
        </w:rPr>
      </w:pPr>
    </w:p>
    <w:p w14:paraId="21DAB3F1">
      <w:pPr>
        <w:rPr>
          <w:rFonts w:ascii="仿宋" w:hAnsi="仿宋" w:eastAsia="仿宋" w:cs="仿宋"/>
          <w:color w:val="000000" w:themeColor="text1"/>
          <w:highlight w:val="none"/>
          <w14:textFill>
            <w14:solidFill>
              <w14:schemeClr w14:val="tx1"/>
            </w14:solidFill>
          </w14:textFill>
        </w:rPr>
      </w:pPr>
    </w:p>
    <w:p w14:paraId="0D107B82">
      <w:pPr>
        <w:rPr>
          <w:rFonts w:hint="eastAsia" w:ascii="仿宋" w:hAnsi="仿宋" w:eastAsia="仿宋" w:cs="仿宋"/>
          <w:color w:val="000000" w:themeColor="text1"/>
          <w:sz w:val="28"/>
          <w:szCs w:val="28"/>
          <w:highlight w:val="none"/>
          <w14:textFill>
            <w14:solidFill>
              <w14:schemeClr w14:val="tx1"/>
            </w14:solidFill>
          </w14:textFill>
        </w:rPr>
      </w:pPr>
    </w:p>
    <w:p w14:paraId="0981DC00">
      <w:pPr>
        <w:rPr>
          <w:rFonts w:hint="eastAsia" w:ascii="仿宋" w:hAnsi="仿宋" w:eastAsia="仿宋" w:cs="仿宋"/>
          <w:color w:val="000000" w:themeColor="text1"/>
          <w:sz w:val="28"/>
          <w:szCs w:val="28"/>
          <w:highlight w:val="none"/>
          <w14:textFill>
            <w14:solidFill>
              <w14:schemeClr w14:val="tx1"/>
            </w14:solidFill>
          </w14:textFill>
        </w:rPr>
      </w:pPr>
    </w:p>
    <w:p w14:paraId="3F372CFF">
      <w:pPr>
        <w:rPr>
          <w:rFonts w:hint="eastAsia" w:ascii="仿宋" w:hAnsi="仿宋" w:eastAsia="仿宋" w:cs="仿宋"/>
          <w:color w:val="000000" w:themeColor="text1"/>
          <w:sz w:val="28"/>
          <w:szCs w:val="28"/>
          <w:highlight w:val="none"/>
          <w14:textFill>
            <w14:solidFill>
              <w14:schemeClr w14:val="tx1"/>
            </w14:solidFill>
          </w14:textFill>
        </w:rPr>
      </w:pPr>
    </w:p>
    <w:p w14:paraId="396AC1A0">
      <w:pPr>
        <w:rPr>
          <w:rFonts w:hint="eastAsia" w:ascii="仿宋" w:hAnsi="仿宋" w:eastAsia="仿宋" w:cs="仿宋"/>
          <w:color w:val="000000" w:themeColor="text1"/>
          <w:sz w:val="28"/>
          <w:szCs w:val="28"/>
          <w:highlight w:val="none"/>
          <w14:textFill>
            <w14:solidFill>
              <w14:schemeClr w14:val="tx1"/>
            </w14:solidFill>
          </w14:textFill>
        </w:rPr>
      </w:pPr>
    </w:p>
    <w:p w14:paraId="57CA746B">
      <w:pPr>
        <w:rPr>
          <w:rFonts w:hint="eastAsia" w:ascii="仿宋" w:hAnsi="仿宋" w:eastAsia="仿宋" w:cs="仿宋"/>
          <w:color w:val="000000" w:themeColor="text1"/>
          <w:sz w:val="28"/>
          <w:szCs w:val="28"/>
          <w:highlight w:val="none"/>
          <w14:textFill>
            <w14:solidFill>
              <w14:schemeClr w14:val="tx1"/>
            </w14:solidFill>
          </w14:textFill>
        </w:rPr>
      </w:pPr>
    </w:p>
    <w:p w14:paraId="130E20AD">
      <w:pPr>
        <w:rPr>
          <w:rFonts w:hint="eastAsia" w:ascii="仿宋" w:hAnsi="仿宋" w:eastAsia="仿宋" w:cs="仿宋"/>
          <w:color w:val="000000" w:themeColor="text1"/>
          <w:sz w:val="28"/>
          <w:szCs w:val="28"/>
          <w:highlight w:val="none"/>
          <w14:textFill>
            <w14:solidFill>
              <w14:schemeClr w14:val="tx1"/>
            </w14:solidFill>
          </w14:textFill>
        </w:rPr>
      </w:pPr>
    </w:p>
    <w:p w14:paraId="3BEC704E">
      <w:pPr>
        <w:rPr>
          <w:rFonts w:hint="eastAsia" w:ascii="仿宋" w:hAnsi="仿宋" w:eastAsia="仿宋" w:cs="仿宋"/>
          <w:color w:val="000000" w:themeColor="text1"/>
          <w:sz w:val="28"/>
          <w:szCs w:val="28"/>
          <w:highlight w:val="none"/>
          <w14:textFill>
            <w14:solidFill>
              <w14:schemeClr w14:val="tx1"/>
            </w14:solidFill>
          </w14:textFill>
        </w:r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24"/>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8BF84DE">
      <w:pPr>
        <w:spacing w:line="360" w:lineRule="auto"/>
        <w:ind w:firstLine="181" w:firstLineChars="50"/>
        <w:rPr>
          <w:rFonts w:ascii="宋体" w:hAnsi="宋体" w:cs="宋体"/>
          <w:b/>
          <w:color w:val="000000" w:themeColor="text1"/>
          <w:sz w:val="36"/>
          <w:szCs w:val="36"/>
          <w:highlight w:val="none"/>
          <w14:textFill>
            <w14:solidFill>
              <w14:schemeClr w14:val="tx1"/>
            </w14:solidFill>
          </w14:textFill>
        </w:rPr>
      </w:pPr>
    </w:p>
    <w:p w14:paraId="36C10ABC">
      <w:pPr>
        <w:spacing w:line="360" w:lineRule="auto"/>
        <w:rPr>
          <w:rFonts w:ascii="宋体" w:hAnsi="宋体" w:cs="宋体"/>
          <w:color w:val="000000" w:themeColor="text1"/>
          <w:sz w:val="24"/>
          <w:highlight w:val="none"/>
          <w14:textFill>
            <w14:solidFill>
              <w14:schemeClr w14:val="tx1"/>
            </w14:solidFill>
          </w14:textFill>
        </w:rPr>
      </w:pPr>
    </w:p>
    <w:p w14:paraId="2A03176A">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14:paraId="5D97315B">
      <w:pPr>
        <w:rPr>
          <w:rFonts w:ascii="宋体" w:hAnsi="宋体" w:cs="宋体"/>
          <w:snapToGrid w:val="0"/>
          <w:color w:val="000000" w:themeColor="text1"/>
          <w:kern w:val="0"/>
          <w:sz w:val="24"/>
          <w:highlight w:val="none"/>
          <w14:textFill>
            <w14:solidFill>
              <w14:schemeClr w14:val="tx1"/>
            </w14:solidFill>
          </w14:textFill>
        </w:rPr>
      </w:pP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3" w:name="_Toc184308036"/>
      <w:bookmarkEnd w:id="33"/>
      <w:bookmarkStart w:id="34" w:name="_Toc184310338"/>
      <w:bookmarkEnd w:id="34"/>
      <w:bookmarkStart w:id="35" w:name="_Toc184312136"/>
      <w:bookmarkEnd w:id="35"/>
      <w:bookmarkStart w:id="36" w:name="_Toc184308092"/>
      <w:bookmarkEnd w:id="36"/>
      <w:bookmarkStart w:id="37" w:name="_Toc184314452"/>
      <w:bookmarkEnd w:id="37"/>
      <w:bookmarkStart w:id="38" w:name="_Toc184314454"/>
      <w:bookmarkEnd w:id="38"/>
      <w:bookmarkStart w:id="39" w:name="_Toc184308046"/>
      <w:bookmarkEnd w:id="39"/>
      <w:bookmarkStart w:id="40" w:name="_Toc184312068"/>
      <w:bookmarkEnd w:id="40"/>
      <w:bookmarkStart w:id="41" w:name="_Toc184313286"/>
      <w:bookmarkEnd w:id="41"/>
      <w:bookmarkStart w:id="42" w:name="_Toc184314476"/>
      <w:bookmarkEnd w:id="42"/>
      <w:bookmarkStart w:id="43" w:name="_Toc184313278"/>
      <w:bookmarkEnd w:id="43"/>
      <w:bookmarkStart w:id="44" w:name="_Toc184313303"/>
      <w:bookmarkEnd w:id="44"/>
      <w:bookmarkStart w:id="45" w:name="_Toc184313246"/>
      <w:bookmarkEnd w:id="45"/>
      <w:bookmarkStart w:id="46" w:name="_Toc184308066"/>
      <w:bookmarkEnd w:id="46"/>
      <w:bookmarkStart w:id="47" w:name="_Toc184314479"/>
      <w:bookmarkEnd w:id="47"/>
      <w:bookmarkStart w:id="48" w:name="_Toc184308091"/>
      <w:bookmarkEnd w:id="48"/>
      <w:bookmarkStart w:id="49" w:name="_Toc184308090"/>
      <w:bookmarkEnd w:id="49"/>
      <w:bookmarkStart w:id="50" w:name="_Toc184310326"/>
      <w:bookmarkEnd w:id="50"/>
      <w:bookmarkStart w:id="51" w:name="_Toc184308081"/>
      <w:bookmarkEnd w:id="51"/>
      <w:bookmarkStart w:id="52" w:name="_Toc184312076"/>
      <w:bookmarkEnd w:id="52"/>
      <w:bookmarkStart w:id="53" w:name="_Toc184312072"/>
      <w:bookmarkEnd w:id="53"/>
      <w:bookmarkStart w:id="54" w:name="_Toc184314455"/>
      <w:bookmarkEnd w:id="54"/>
      <w:bookmarkStart w:id="55" w:name="_Toc184308065"/>
      <w:bookmarkEnd w:id="55"/>
      <w:bookmarkStart w:id="56" w:name="_Toc184310342"/>
      <w:bookmarkEnd w:id="56"/>
      <w:bookmarkStart w:id="57" w:name="_Toc184310331"/>
      <w:bookmarkEnd w:id="57"/>
      <w:bookmarkStart w:id="58" w:name="_Toc184314417"/>
      <w:bookmarkEnd w:id="58"/>
      <w:bookmarkStart w:id="59" w:name="_Toc184314446"/>
      <w:bookmarkEnd w:id="59"/>
      <w:bookmarkStart w:id="60" w:name="_Toc184314430"/>
      <w:bookmarkEnd w:id="60"/>
      <w:bookmarkStart w:id="61" w:name="_Toc184310288"/>
      <w:bookmarkEnd w:id="61"/>
      <w:bookmarkStart w:id="62" w:name="_Toc184308047"/>
      <w:bookmarkEnd w:id="62"/>
      <w:bookmarkStart w:id="63" w:name="_Toc184308104"/>
      <w:bookmarkEnd w:id="63"/>
      <w:bookmarkStart w:id="64" w:name="_Toc184313268"/>
      <w:bookmarkEnd w:id="64"/>
      <w:bookmarkStart w:id="65" w:name="_Toc184312115"/>
      <w:bookmarkEnd w:id="65"/>
      <w:bookmarkStart w:id="66" w:name="_Toc184310280"/>
      <w:bookmarkEnd w:id="66"/>
      <w:bookmarkStart w:id="67" w:name="_Toc184313298"/>
      <w:bookmarkEnd w:id="67"/>
      <w:bookmarkStart w:id="68" w:name="_Toc184308051"/>
      <w:bookmarkEnd w:id="68"/>
      <w:bookmarkStart w:id="69" w:name="_Toc184313245"/>
      <w:bookmarkEnd w:id="69"/>
      <w:bookmarkStart w:id="70" w:name="_Toc184310305"/>
      <w:bookmarkEnd w:id="70"/>
      <w:bookmarkStart w:id="71" w:name="_Toc184308083"/>
      <w:bookmarkEnd w:id="71"/>
      <w:bookmarkStart w:id="72" w:name="_Toc184312120"/>
      <w:bookmarkEnd w:id="72"/>
      <w:bookmarkStart w:id="73" w:name="_Toc184308085"/>
      <w:bookmarkEnd w:id="73"/>
      <w:bookmarkStart w:id="74" w:name="_Toc184310291"/>
      <w:bookmarkEnd w:id="74"/>
      <w:bookmarkStart w:id="75" w:name="_Toc184312112"/>
      <w:bookmarkEnd w:id="75"/>
      <w:bookmarkStart w:id="76" w:name="_Toc184313281"/>
      <w:bookmarkEnd w:id="76"/>
      <w:bookmarkStart w:id="77" w:name="_Toc184313241"/>
      <w:bookmarkEnd w:id="77"/>
      <w:bookmarkStart w:id="78" w:name="_Toc184314439"/>
      <w:bookmarkEnd w:id="78"/>
      <w:bookmarkStart w:id="79" w:name="_Toc184310337"/>
      <w:bookmarkEnd w:id="79"/>
      <w:bookmarkStart w:id="80" w:name="_Toc184310330"/>
      <w:bookmarkEnd w:id="80"/>
      <w:bookmarkStart w:id="81" w:name="_Toc184314418"/>
      <w:bookmarkEnd w:id="81"/>
      <w:bookmarkStart w:id="82" w:name="_Toc184312091"/>
      <w:bookmarkEnd w:id="82"/>
      <w:bookmarkStart w:id="83" w:name="_Toc184308044"/>
      <w:bookmarkEnd w:id="83"/>
      <w:bookmarkStart w:id="84" w:name="_Toc184314443"/>
      <w:bookmarkEnd w:id="84"/>
      <w:bookmarkStart w:id="85" w:name="_Toc184308048"/>
      <w:bookmarkEnd w:id="85"/>
      <w:bookmarkStart w:id="86" w:name="_Toc184310306"/>
      <w:bookmarkEnd w:id="86"/>
      <w:bookmarkStart w:id="87" w:name="_Toc184312100"/>
      <w:bookmarkEnd w:id="87"/>
      <w:bookmarkStart w:id="88" w:name="_Toc184308038"/>
      <w:bookmarkEnd w:id="88"/>
      <w:bookmarkStart w:id="89" w:name="_Toc184308075"/>
      <w:bookmarkEnd w:id="89"/>
      <w:bookmarkStart w:id="90" w:name="_Toc184313296"/>
      <w:bookmarkEnd w:id="90"/>
      <w:bookmarkStart w:id="91" w:name="_Toc184313299"/>
      <w:bookmarkEnd w:id="91"/>
      <w:bookmarkStart w:id="92" w:name="_Toc184312095"/>
      <w:bookmarkEnd w:id="92"/>
      <w:bookmarkStart w:id="93" w:name="_Toc184312124"/>
      <w:bookmarkEnd w:id="93"/>
      <w:bookmarkStart w:id="94" w:name="_Toc184308042"/>
      <w:bookmarkEnd w:id="94"/>
      <w:bookmarkStart w:id="95" w:name="_Toc184308076"/>
      <w:bookmarkEnd w:id="95"/>
      <w:bookmarkStart w:id="96" w:name="_Toc184312126"/>
      <w:bookmarkEnd w:id="96"/>
      <w:bookmarkStart w:id="97" w:name="_Toc184310278"/>
      <w:bookmarkEnd w:id="97"/>
      <w:bookmarkStart w:id="98" w:name="_Toc184313248"/>
      <w:bookmarkEnd w:id="98"/>
      <w:bookmarkStart w:id="99" w:name="_Toc184310302"/>
      <w:bookmarkEnd w:id="99"/>
      <w:bookmarkStart w:id="100" w:name="_Toc184308088"/>
      <w:bookmarkEnd w:id="100"/>
      <w:bookmarkStart w:id="101" w:name="_Toc184308059"/>
      <w:bookmarkEnd w:id="101"/>
      <w:bookmarkStart w:id="102" w:name="_Toc184310275"/>
      <w:bookmarkEnd w:id="102"/>
      <w:bookmarkStart w:id="103" w:name="_Toc184312087"/>
      <w:bookmarkEnd w:id="103"/>
      <w:bookmarkStart w:id="104" w:name="_Toc184314445"/>
      <w:bookmarkEnd w:id="104"/>
      <w:bookmarkStart w:id="105" w:name="_Toc184313284"/>
      <w:bookmarkEnd w:id="105"/>
      <w:bookmarkStart w:id="106" w:name="_Toc184310309"/>
      <w:bookmarkEnd w:id="106"/>
      <w:bookmarkStart w:id="107" w:name="_Toc184314475"/>
      <w:bookmarkEnd w:id="107"/>
      <w:bookmarkStart w:id="108" w:name="_Toc184308037"/>
      <w:bookmarkEnd w:id="108"/>
      <w:bookmarkStart w:id="109" w:name="_Toc184308107"/>
      <w:bookmarkEnd w:id="109"/>
      <w:bookmarkStart w:id="110" w:name="_Toc184313270"/>
      <w:bookmarkEnd w:id="110"/>
      <w:bookmarkStart w:id="111" w:name="_Toc184312075"/>
      <w:bookmarkEnd w:id="111"/>
      <w:bookmarkStart w:id="112" w:name="_Toc184310282"/>
      <w:bookmarkEnd w:id="112"/>
      <w:bookmarkStart w:id="113" w:name="_Toc184310321"/>
      <w:bookmarkEnd w:id="113"/>
      <w:bookmarkStart w:id="114" w:name="_Toc184314477"/>
      <w:bookmarkEnd w:id="114"/>
      <w:bookmarkStart w:id="115" w:name="_Toc184308072"/>
      <w:bookmarkEnd w:id="115"/>
      <w:bookmarkStart w:id="116" w:name="_Toc184314442"/>
      <w:bookmarkEnd w:id="116"/>
      <w:bookmarkStart w:id="117" w:name="_Toc184310277"/>
      <w:bookmarkEnd w:id="117"/>
      <w:bookmarkStart w:id="118" w:name="_Toc184313275"/>
      <w:bookmarkEnd w:id="118"/>
      <w:bookmarkStart w:id="119" w:name="_Toc184310311"/>
      <w:bookmarkEnd w:id="119"/>
      <w:bookmarkStart w:id="120" w:name="_Toc184313300"/>
      <w:bookmarkEnd w:id="120"/>
      <w:bookmarkStart w:id="121" w:name="_Toc184308045"/>
      <w:bookmarkEnd w:id="121"/>
      <w:bookmarkStart w:id="122" w:name="_Toc184308103"/>
      <w:bookmarkEnd w:id="122"/>
      <w:bookmarkStart w:id="123" w:name="_Toc184313251"/>
      <w:bookmarkEnd w:id="123"/>
      <w:bookmarkStart w:id="124" w:name="_Toc184314458"/>
      <w:bookmarkEnd w:id="124"/>
      <w:bookmarkStart w:id="125" w:name="_Toc184310332"/>
      <w:bookmarkEnd w:id="125"/>
      <w:bookmarkStart w:id="126" w:name="_Toc184313256"/>
      <w:bookmarkEnd w:id="126"/>
      <w:bookmarkStart w:id="127" w:name="_Toc184314461"/>
      <w:bookmarkEnd w:id="127"/>
      <w:bookmarkStart w:id="128" w:name="_Toc184310344"/>
      <w:bookmarkEnd w:id="128"/>
      <w:bookmarkStart w:id="129" w:name="_Toc184310343"/>
      <w:bookmarkEnd w:id="129"/>
      <w:bookmarkStart w:id="130" w:name="_Toc184310339"/>
      <w:bookmarkEnd w:id="130"/>
      <w:bookmarkStart w:id="131" w:name="_Toc184313301"/>
      <w:bookmarkEnd w:id="131"/>
      <w:bookmarkStart w:id="132" w:name="_Toc184308079"/>
      <w:bookmarkEnd w:id="132"/>
      <w:bookmarkStart w:id="133" w:name="_Toc184313282"/>
      <w:bookmarkEnd w:id="133"/>
      <w:bookmarkStart w:id="134" w:name="_Toc184312079"/>
      <w:bookmarkEnd w:id="134"/>
      <w:bookmarkStart w:id="135" w:name="_Toc184308053"/>
      <w:bookmarkEnd w:id="135"/>
      <w:bookmarkStart w:id="136" w:name="_Toc184314421"/>
      <w:bookmarkEnd w:id="136"/>
      <w:bookmarkStart w:id="137" w:name="_Toc184313304"/>
      <w:bookmarkEnd w:id="137"/>
      <w:bookmarkStart w:id="138" w:name="_Toc184310279"/>
      <w:bookmarkEnd w:id="138"/>
      <w:bookmarkStart w:id="139" w:name="_Toc184312107"/>
      <w:bookmarkEnd w:id="139"/>
      <w:bookmarkStart w:id="140" w:name="_Toc184310340"/>
      <w:bookmarkEnd w:id="140"/>
      <w:bookmarkStart w:id="141" w:name="_Toc184310274"/>
      <w:bookmarkEnd w:id="141"/>
      <w:bookmarkStart w:id="142" w:name="_Toc184314456"/>
      <w:bookmarkEnd w:id="142"/>
      <w:bookmarkStart w:id="143" w:name="_Toc184313309"/>
      <w:bookmarkEnd w:id="143"/>
      <w:bookmarkStart w:id="144" w:name="_Toc184308067"/>
      <w:bookmarkEnd w:id="144"/>
      <w:bookmarkStart w:id="145" w:name="_Toc184314425"/>
      <w:bookmarkEnd w:id="145"/>
      <w:bookmarkStart w:id="146" w:name="_Toc184312128"/>
      <w:bookmarkEnd w:id="146"/>
      <w:bookmarkStart w:id="147" w:name="_Toc184308095"/>
      <w:bookmarkEnd w:id="147"/>
      <w:bookmarkStart w:id="148" w:name="_Toc184312082"/>
      <w:bookmarkEnd w:id="148"/>
      <w:bookmarkStart w:id="149" w:name="_Toc184308064"/>
      <w:bookmarkEnd w:id="149"/>
      <w:bookmarkStart w:id="150" w:name="_Toc184308089"/>
      <w:bookmarkEnd w:id="150"/>
      <w:bookmarkStart w:id="151" w:name="_Toc184308078"/>
      <w:bookmarkEnd w:id="151"/>
      <w:bookmarkStart w:id="152" w:name="_Toc184308102"/>
      <w:bookmarkEnd w:id="152"/>
      <w:bookmarkStart w:id="153" w:name="_Toc184314468"/>
      <w:bookmarkEnd w:id="153"/>
      <w:bookmarkStart w:id="154" w:name="_Toc184310294"/>
      <w:bookmarkEnd w:id="154"/>
      <w:bookmarkStart w:id="155" w:name="_Toc184312117"/>
      <w:bookmarkEnd w:id="155"/>
      <w:bookmarkStart w:id="156" w:name="_Toc184314462"/>
      <w:bookmarkEnd w:id="156"/>
      <w:bookmarkStart w:id="157" w:name="_Toc184313289"/>
      <w:bookmarkEnd w:id="157"/>
      <w:bookmarkStart w:id="158" w:name="_Toc184310307"/>
      <w:bookmarkEnd w:id="158"/>
      <w:bookmarkStart w:id="159" w:name="_Toc184312083"/>
      <w:bookmarkEnd w:id="159"/>
      <w:bookmarkStart w:id="160" w:name="_Toc184310298"/>
      <w:bookmarkEnd w:id="160"/>
      <w:bookmarkStart w:id="161" w:name="_Toc184314474"/>
      <w:bookmarkEnd w:id="161"/>
      <w:bookmarkStart w:id="162" w:name="_Toc184310312"/>
      <w:bookmarkEnd w:id="162"/>
      <w:bookmarkStart w:id="163" w:name="_Toc184312130"/>
      <w:bookmarkEnd w:id="163"/>
      <w:bookmarkStart w:id="164" w:name="_Toc184313288"/>
      <w:bookmarkEnd w:id="164"/>
      <w:bookmarkStart w:id="165" w:name="_Toc184314480"/>
      <w:bookmarkEnd w:id="165"/>
      <w:bookmarkStart w:id="166" w:name="_Toc184314464"/>
      <w:bookmarkEnd w:id="166"/>
      <w:bookmarkStart w:id="167" w:name="_Toc184310284"/>
      <w:bookmarkEnd w:id="167"/>
      <w:bookmarkStart w:id="168" w:name="_Toc184314451"/>
      <w:bookmarkEnd w:id="168"/>
      <w:bookmarkStart w:id="169" w:name="_Toc184310328"/>
      <w:bookmarkEnd w:id="169"/>
      <w:bookmarkStart w:id="170" w:name="_Toc184312071"/>
      <w:bookmarkEnd w:id="170"/>
      <w:bookmarkStart w:id="171" w:name="_Toc184314460"/>
      <w:bookmarkEnd w:id="171"/>
      <w:bookmarkStart w:id="172" w:name="_Toc184313292"/>
      <w:bookmarkEnd w:id="172"/>
      <w:bookmarkStart w:id="173" w:name="_Toc184308056"/>
      <w:bookmarkEnd w:id="173"/>
      <w:bookmarkStart w:id="174" w:name="_Toc184314420"/>
      <w:bookmarkEnd w:id="174"/>
      <w:bookmarkStart w:id="175" w:name="_Toc184314457"/>
      <w:bookmarkEnd w:id="175"/>
      <w:bookmarkStart w:id="176" w:name="_Toc184314453"/>
      <w:bookmarkEnd w:id="176"/>
      <w:bookmarkStart w:id="177" w:name="_Toc184313257"/>
      <w:bookmarkEnd w:id="177"/>
      <w:bookmarkStart w:id="178" w:name="_Toc184313242"/>
      <w:bookmarkEnd w:id="178"/>
      <w:bookmarkStart w:id="179" w:name="_Toc184308054"/>
      <w:bookmarkEnd w:id="179"/>
      <w:bookmarkStart w:id="180" w:name="_Toc184310308"/>
      <w:bookmarkEnd w:id="180"/>
      <w:bookmarkStart w:id="181" w:name="_Toc184308049"/>
      <w:bookmarkEnd w:id="181"/>
      <w:bookmarkStart w:id="182" w:name="_Toc184308101"/>
      <w:bookmarkEnd w:id="182"/>
      <w:bookmarkStart w:id="183" w:name="_Toc184314441"/>
      <w:bookmarkEnd w:id="183"/>
      <w:bookmarkStart w:id="184" w:name="_Toc184310283"/>
      <w:bookmarkEnd w:id="184"/>
      <w:bookmarkStart w:id="185" w:name="_Toc184314463"/>
      <w:bookmarkEnd w:id="185"/>
      <w:bookmarkStart w:id="186" w:name="_Toc184314437"/>
      <w:bookmarkEnd w:id="186"/>
      <w:bookmarkStart w:id="187" w:name="_Toc184313302"/>
      <w:bookmarkEnd w:id="187"/>
      <w:bookmarkStart w:id="188" w:name="_Toc184312090"/>
      <w:bookmarkEnd w:id="188"/>
      <w:bookmarkStart w:id="189" w:name="_Toc184312096"/>
      <w:bookmarkEnd w:id="189"/>
      <w:bookmarkStart w:id="190" w:name="_Toc184310300"/>
      <w:bookmarkEnd w:id="190"/>
      <w:bookmarkStart w:id="191" w:name="_Toc184313293"/>
      <w:bookmarkEnd w:id="191"/>
      <w:bookmarkStart w:id="192" w:name="_Toc184312114"/>
      <w:bookmarkEnd w:id="192"/>
      <w:bookmarkStart w:id="193" w:name="_Toc184314413"/>
      <w:bookmarkEnd w:id="193"/>
      <w:bookmarkStart w:id="194" w:name="_Toc184312101"/>
      <w:bookmarkEnd w:id="194"/>
      <w:bookmarkStart w:id="195" w:name="_Toc184310317"/>
      <w:bookmarkEnd w:id="195"/>
      <w:bookmarkStart w:id="196" w:name="_Toc184312104"/>
      <w:bookmarkEnd w:id="196"/>
      <w:bookmarkStart w:id="197" w:name="_Toc184310325"/>
      <w:bookmarkEnd w:id="197"/>
      <w:bookmarkStart w:id="198" w:name="_Toc184312077"/>
      <w:bookmarkEnd w:id="198"/>
      <w:bookmarkStart w:id="199" w:name="_Toc184313267"/>
      <w:bookmarkEnd w:id="199"/>
      <w:bookmarkStart w:id="200" w:name="_Toc184313290"/>
      <w:bookmarkEnd w:id="200"/>
      <w:bookmarkStart w:id="201" w:name="_Toc184312113"/>
      <w:bookmarkEnd w:id="201"/>
      <w:bookmarkStart w:id="202" w:name="_Toc184314467"/>
      <w:bookmarkEnd w:id="202"/>
      <w:bookmarkStart w:id="203" w:name="_Toc184308073"/>
      <w:bookmarkEnd w:id="203"/>
      <w:bookmarkStart w:id="204" w:name="_Toc184314448"/>
      <w:bookmarkEnd w:id="204"/>
      <w:bookmarkStart w:id="205" w:name="_Toc184310273"/>
      <w:bookmarkEnd w:id="205"/>
      <w:bookmarkStart w:id="206" w:name="_Toc184314435"/>
      <w:bookmarkEnd w:id="206"/>
      <w:bookmarkStart w:id="207" w:name="_Toc184312088"/>
      <w:bookmarkEnd w:id="207"/>
      <w:bookmarkStart w:id="208" w:name="_Toc184314414"/>
      <w:bookmarkEnd w:id="208"/>
      <w:bookmarkStart w:id="209" w:name="_Toc184313297"/>
      <w:bookmarkEnd w:id="209"/>
      <w:bookmarkStart w:id="210" w:name="_Toc184308060"/>
      <w:bookmarkEnd w:id="210"/>
      <w:bookmarkStart w:id="211" w:name="_Toc184313280"/>
      <w:bookmarkEnd w:id="211"/>
      <w:bookmarkStart w:id="212" w:name="_Toc184312103"/>
      <w:bookmarkEnd w:id="212"/>
      <w:bookmarkStart w:id="213" w:name="_Toc184312138"/>
      <w:bookmarkEnd w:id="213"/>
      <w:bookmarkStart w:id="214" w:name="_Toc184313263"/>
      <w:bookmarkEnd w:id="214"/>
      <w:bookmarkStart w:id="215" w:name="_Toc184314449"/>
      <w:bookmarkEnd w:id="215"/>
      <w:bookmarkStart w:id="216" w:name="_Toc184312098"/>
      <w:bookmarkEnd w:id="216"/>
      <w:bookmarkStart w:id="217" w:name="_Toc184314436"/>
      <w:bookmarkEnd w:id="217"/>
      <w:bookmarkStart w:id="218" w:name="_Toc184308082"/>
      <w:bookmarkEnd w:id="218"/>
      <w:bookmarkStart w:id="219" w:name="_Toc184314419"/>
      <w:bookmarkEnd w:id="219"/>
      <w:bookmarkStart w:id="220" w:name="_Toc184308093"/>
      <w:bookmarkEnd w:id="220"/>
      <w:bookmarkStart w:id="221" w:name="_Toc184312105"/>
      <w:bookmarkEnd w:id="221"/>
      <w:bookmarkStart w:id="222" w:name="_Toc184313240"/>
      <w:bookmarkEnd w:id="222"/>
      <w:bookmarkStart w:id="223" w:name="_Toc184313291"/>
      <w:bookmarkEnd w:id="223"/>
      <w:bookmarkStart w:id="224" w:name="_Toc184313277"/>
      <w:bookmarkEnd w:id="224"/>
      <w:bookmarkStart w:id="225" w:name="_Toc184312074"/>
      <w:bookmarkEnd w:id="225"/>
      <w:bookmarkStart w:id="226" w:name="_Toc184310329"/>
      <w:bookmarkEnd w:id="226"/>
      <w:bookmarkStart w:id="227" w:name="_Toc184310314"/>
      <w:bookmarkEnd w:id="227"/>
      <w:bookmarkStart w:id="228" w:name="_Toc184312127"/>
      <w:bookmarkEnd w:id="228"/>
      <w:bookmarkStart w:id="229" w:name="_Toc184312108"/>
      <w:bookmarkEnd w:id="229"/>
      <w:bookmarkStart w:id="230" w:name="_Toc184310334"/>
      <w:bookmarkEnd w:id="230"/>
      <w:bookmarkStart w:id="231" w:name="_Toc184310285"/>
      <w:bookmarkEnd w:id="231"/>
      <w:bookmarkStart w:id="232" w:name="_Toc184310296"/>
      <w:bookmarkEnd w:id="232"/>
      <w:bookmarkStart w:id="233" w:name="_Toc184313272"/>
      <w:bookmarkEnd w:id="233"/>
      <w:bookmarkStart w:id="234" w:name="_Toc184314440"/>
      <w:bookmarkEnd w:id="234"/>
      <w:bookmarkStart w:id="235" w:name="_Toc184314423"/>
      <w:bookmarkEnd w:id="235"/>
      <w:bookmarkStart w:id="236" w:name="_Toc184312080"/>
      <w:bookmarkEnd w:id="236"/>
      <w:bookmarkStart w:id="237" w:name="_Toc184314466"/>
      <w:bookmarkEnd w:id="237"/>
      <w:bookmarkStart w:id="238" w:name="_Toc184313252"/>
      <w:bookmarkEnd w:id="238"/>
      <w:bookmarkStart w:id="239" w:name="_Toc184314465"/>
      <w:bookmarkEnd w:id="239"/>
      <w:bookmarkStart w:id="240" w:name="_Toc184308105"/>
      <w:bookmarkEnd w:id="240"/>
      <w:bookmarkStart w:id="241" w:name="_Toc184314427"/>
      <w:bookmarkEnd w:id="241"/>
      <w:bookmarkStart w:id="242" w:name="_Toc184310336"/>
      <w:bookmarkEnd w:id="242"/>
      <w:bookmarkStart w:id="243" w:name="_Toc184314472"/>
      <w:bookmarkEnd w:id="243"/>
      <w:bookmarkStart w:id="244" w:name="_Toc184312133"/>
      <w:bookmarkEnd w:id="244"/>
      <w:bookmarkStart w:id="245" w:name="_Toc184308071"/>
      <w:bookmarkEnd w:id="245"/>
      <w:bookmarkStart w:id="246" w:name="_Toc184313244"/>
      <w:bookmarkEnd w:id="246"/>
      <w:bookmarkStart w:id="247" w:name="_Toc184313259"/>
      <w:bookmarkEnd w:id="247"/>
      <w:bookmarkStart w:id="248" w:name="_Toc184314424"/>
      <w:bookmarkEnd w:id="248"/>
      <w:bookmarkStart w:id="249" w:name="_Toc184308052"/>
      <w:bookmarkEnd w:id="249"/>
      <w:bookmarkStart w:id="250" w:name="_Toc184310323"/>
      <w:bookmarkEnd w:id="250"/>
      <w:bookmarkStart w:id="251" w:name="_Toc184313243"/>
      <w:bookmarkEnd w:id="251"/>
      <w:bookmarkStart w:id="252" w:name="_Toc184310299"/>
      <w:bookmarkEnd w:id="252"/>
      <w:bookmarkStart w:id="253" w:name="_Toc184308094"/>
      <w:bookmarkEnd w:id="253"/>
      <w:bookmarkStart w:id="254" w:name="_Toc184310281"/>
      <w:bookmarkEnd w:id="254"/>
      <w:bookmarkStart w:id="255" w:name="_Toc184310341"/>
      <w:bookmarkEnd w:id="255"/>
      <w:bookmarkStart w:id="256" w:name="_Toc184312123"/>
      <w:bookmarkEnd w:id="256"/>
      <w:bookmarkStart w:id="257" w:name="_Toc184310318"/>
      <w:bookmarkEnd w:id="257"/>
      <w:bookmarkStart w:id="258" w:name="_Toc184308086"/>
      <w:bookmarkEnd w:id="258"/>
      <w:bookmarkStart w:id="259" w:name="_Toc184312085"/>
      <w:bookmarkEnd w:id="259"/>
      <w:bookmarkStart w:id="260" w:name="_Toc184310313"/>
      <w:bookmarkEnd w:id="260"/>
      <w:bookmarkStart w:id="261" w:name="_Toc184314416"/>
      <w:bookmarkEnd w:id="261"/>
      <w:bookmarkStart w:id="262" w:name="_Toc184313308"/>
      <w:bookmarkEnd w:id="262"/>
      <w:bookmarkStart w:id="263" w:name="_Toc184314444"/>
      <w:bookmarkEnd w:id="263"/>
      <w:bookmarkStart w:id="264" w:name="_Toc184314411"/>
      <w:bookmarkEnd w:id="264"/>
      <w:bookmarkStart w:id="265" w:name="_Toc184312069"/>
      <w:bookmarkEnd w:id="265"/>
      <w:bookmarkStart w:id="266" w:name="_Toc184312081"/>
      <w:bookmarkEnd w:id="266"/>
      <w:bookmarkStart w:id="267" w:name="_Toc184308080"/>
      <w:bookmarkEnd w:id="267"/>
      <w:bookmarkStart w:id="268" w:name="_Toc184314447"/>
      <w:bookmarkEnd w:id="268"/>
      <w:bookmarkStart w:id="269" w:name="_Toc184310315"/>
      <w:bookmarkEnd w:id="269"/>
      <w:bookmarkStart w:id="270" w:name="_Toc184313271"/>
      <w:bookmarkEnd w:id="270"/>
      <w:bookmarkStart w:id="271" w:name="_Toc184310301"/>
      <w:bookmarkEnd w:id="271"/>
      <w:bookmarkStart w:id="272" w:name="_Toc184313274"/>
      <w:bookmarkEnd w:id="272"/>
      <w:bookmarkStart w:id="273" w:name="_Toc184312089"/>
      <w:bookmarkEnd w:id="273"/>
      <w:bookmarkStart w:id="274" w:name="_Toc184314433"/>
      <w:bookmarkEnd w:id="274"/>
      <w:bookmarkStart w:id="275" w:name="_Toc184308087"/>
      <w:bookmarkEnd w:id="275"/>
      <w:bookmarkStart w:id="276" w:name="_Toc184308108"/>
      <w:bookmarkEnd w:id="276"/>
      <w:bookmarkStart w:id="277" w:name="_Toc184310303"/>
      <w:bookmarkEnd w:id="277"/>
      <w:bookmarkStart w:id="278" w:name="_Toc184313295"/>
      <w:bookmarkEnd w:id="278"/>
      <w:bookmarkStart w:id="279" w:name="_Toc184312118"/>
      <w:bookmarkEnd w:id="279"/>
      <w:bookmarkStart w:id="280" w:name="_Toc184313305"/>
      <w:bookmarkEnd w:id="280"/>
      <w:bookmarkStart w:id="281" w:name="_Toc184314432"/>
      <w:bookmarkEnd w:id="281"/>
      <w:bookmarkStart w:id="282" w:name="_Toc184313255"/>
      <w:bookmarkEnd w:id="282"/>
      <w:bookmarkStart w:id="283" w:name="_Toc184313269"/>
      <w:bookmarkEnd w:id="283"/>
      <w:bookmarkStart w:id="284" w:name="_Toc184313238"/>
      <w:bookmarkEnd w:id="284"/>
      <w:bookmarkStart w:id="285" w:name="_Toc184313279"/>
      <w:bookmarkEnd w:id="285"/>
      <w:bookmarkStart w:id="286" w:name="_Toc184314478"/>
      <w:bookmarkEnd w:id="286"/>
      <w:bookmarkStart w:id="287" w:name="_Toc184310293"/>
      <w:bookmarkEnd w:id="287"/>
      <w:bookmarkStart w:id="288" w:name="_Toc184308043"/>
      <w:bookmarkEnd w:id="288"/>
      <w:bookmarkStart w:id="289" w:name="_Toc184313307"/>
      <w:bookmarkEnd w:id="289"/>
      <w:bookmarkStart w:id="290" w:name="_Toc184313254"/>
      <w:bookmarkEnd w:id="290"/>
      <w:bookmarkStart w:id="291" w:name="_Toc184313294"/>
      <w:bookmarkEnd w:id="291"/>
      <w:bookmarkStart w:id="292" w:name="_Toc184313250"/>
      <w:bookmarkEnd w:id="292"/>
      <w:bookmarkStart w:id="293" w:name="_Toc184312131"/>
      <w:bookmarkEnd w:id="293"/>
      <w:bookmarkStart w:id="294" w:name="_Toc184314450"/>
      <w:bookmarkEnd w:id="294"/>
      <w:bookmarkStart w:id="295" w:name="_Toc184312078"/>
      <w:bookmarkEnd w:id="295"/>
      <w:bookmarkStart w:id="296" w:name="_Toc184313260"/>
      <w:bookmarkEnd w:id="296"/>
      <w:bookmarkStart w:id="297" w:name="_Toc184312086"/>
      <w:bookmarkEnd w:id="297"/>
      <w:bookmarkStart w:id="298" w:name="_Toc184308096"/>
      <w:bookmarkEnd w:id="298"/>
      <w:bookmarkStart w:id="299" w:name="_Toc184310297"/>
      <w:bookmarkEnd w:id="299"/>
      <w:bookmarkStart w:id="300" w:name="_Toc184312102"/>
      <w:bookmarkEnd w:id="300"/>
      <w:bookmarkStart w:id="301" w:name="_Toc184310333"/>
      <w:bookmarkEnd w:id="301"/>
      <w:bookmarkStart w:id="302" w:name="_Toc184308039"/>
      <w:bookmarkEnd w:id="302"/>
      <w:bookmarkStart w:id="303" w:name="_Toc184310287"/>
      <w:bookmarkEnd w:id="303"/>
      <w:bookmarkStart w:id="304" w:name="_Toc184314482"/>
      <w:bookmarkEnd w:id="304"/>
      <w:bookmarkStart w:id="305" w:name="_Toc184314422"/>
      <w:bookmarkEnd w:id="305"/>
      <w:bookmarkStart w:id="306" w:name="_Toc184308100"/>
      <w:bookmarkEnd w:id="306"/>
      <w:bookmarkStart w:id="307" w:name="_Toc184314473"/>
      <w:bookmarkEnd w:id="307"/>
      <w:bookmarkStart w:id="308" w:name="_Toc184313285"/>
      <w:bookmarkEnd w:id="308"/>
      <w:bookmarkStart w:id="309" w:name="_Toc184310272"/>
      <w:bookmarkEnd w:id="309"/>
      <w:bookmarkStart w:id="310" w:name="_Toc184313261"/>
      <w:bookmarkEnd w:id="310"/>
      <w:bookmarkStart w:id="311" w:name="_Toc184308098"/>
      <w:bookmarkEnd w:id="311"/>
      <w:bookmarkStart w:id="312" w:name="_Toc184312097"/>
      <w:bookmarkEnd w:id="312"/>
      <w:bookmarkStart w:id="313" w:name="_Toc184312070"/>
      <w:bookmarkEnd w:id="313"/>
      <w:bookmarkStart w:id="314" w:name="_Toc184312139"/>
      <w:bookmarkEnd w:id="314"/>
      <w:bookmarkStart w:id="315" w:name="_Toc184313253"/>
      <w:bookmarkEnd w:id="315"/>
      <w:bookmarkStart w:id="316" w:name="_Toc184313249"/>
      <w:bookmarkEnd w:id="316"/>
      <w:bookmarkStart w:id="317" w:name="_Toc184312116"/>
      <w:bookmarkEnd w:id="317"/>
      <w:bookmarkStart w:id="318" w:name="_Toc184308106"/>
      <w:bookmarkEnd w:id="318"/>
      <w:bookmarkStart w:id="319" w:name="_Toc184308040"/>
      <w:bookmarkEnd w:id="319"/>
      <w:bookmarkStart w:id="320" w:name="_Toc184314412"/>
      <w:bookmarkEnd w:id="320"/>
      <w:bookmarkStart w:id="321" w:name="_Toc184308099"/>
      <w:bookmarkEnd w:id="321"/>
      <w:bookmarkStart w:id="322" w:name="_Toc184312132"/>
      <w:bookmarkEnd w:id="322"/>
      <w:bookmarkStart w:id="323" w:name="_Toc184314428"/>
      <w:bookmarkEnd w:id="323"/>
      <w:bookmarkStart w:id="324" w:name="_Toc184314471"/>
      <w:bookmarkEnd w:id="324"/>
      <w:bookmarkStart w:id="325" w:name="_Toc184313247"/>
      <w:bookmarkEnd w:id="325"/>
      <w:bookmarkStart w:id="326" w:name="_Toc184313283"/>
      <w:bookmarkEnd w:id="326"/>
      <w:bookmarkStart w:id="327" w:name="_Toc184310286"/>
      <w:bookmarkEnd w:id="327"/>
      <w:bookmarkStart w:id="328" w:name="_Toc184310276"/>
      <w:bookmarkEnd w:id="328"/>
      <w:bookmarkStart w:id="329" w:name="_Toc184310316"/>
      <w:bookmarkEnd w:id="329"/>
      <w:bookmarkStart w:id="330" w:name="_Toc184310310"/>
      <w:bookmarkEnd w:id="330"/>
      <w:bookmarkStart w:id="331" w:name="_Toc184308097"/>
      <w:bookmarkEnd w:id="331"/>
      <w:bookmarkStart w:id="332" w:name="_Toc184312092"/>
      <w:bookmarkEnd w:id="332"/>
      <w:bookmarkStart w:id="333" w:name="_Toc184308077"/>
      <w:bookmarkEnd w:id="333"/>
      <w:bookmarkStart w:id="334" w:name="_Toc184314470"/>
      <w:bookmarkEnd w:id="334"/>
      <w:bookmarkStart w:id="335" w:name="_Toc184310292"/>
      <w:bookmarkEnd w:id="335"/>
      <w:bookmarkStart w:id="336" w:name="_Toc184310322"/>
      <w:bookmarkEnd w:id="336"/>
      <w:bookmarkStart w:id="337" w:name="_Toc184308068"/>
      <w:bookmarkEnd w:id="337"/>
      <w:bookmarkStart w:id="338" w:name="_Toc184308050"/>
      <w:bookmarkEnd w:id="338"/>
      <w:bookmarkStart w:id="339" w:name="_Toc184314410"/>
      <w:bookmarkEnd w:id="339"/>
      <w:bookmarkStart w:id="340" w:name="_Toc184313264"/>
      <w:bookmarkEnd w:id="340"/>
      <w:bookmarkStart w:id="341" w:name="_Toc184308062"/>
      <w:bookmarkEnd w:id="341"/>
      <w:bookmarkStart w:id="342" w:name="_Toc184308055"/>
      <w:bookmarkEnd w:id="342"/>
      <w:bookmarkStart w:id="343" w:name="_Toc184313273"/>
      <w:bookmarkEnd w:id="343"/>
      <w:bookmarkStart w:id="344" w:name="_Toc184314431"/>
      <w:bookmarkEnd w:id="344"/>
      <w:bookmarkStart w:id="345" w:name="_Toc184310319"/>
      <w:bookmarkEnd w:id="345"/>
      <w:bookmarkStart w:id="346" w:name="_Toc184313262"/>
      <w:bookmarkEnd w:id="346"/>
      <w:bookmarkStart w:id="347" w:name="_Toc184312073"/>
      <w:bookmarkEnd w:id="347"/>
      <w:bookmarkStart w:id="348" w:name="_Toc184314469"/>
      <w:bookmarkEnd w:id="348"/>
      <w:bookmarkStart w:id="349" w:name="_Toc184312110"/>
      <w:bookmarkEnd w:id="349"/>
      <w:bookmarkStart w:id="350" w:name="_Toc184308057"/>
      <w:bookmarkEnd w:id="350"/>
      <w:bookmarkStart w:id="351" w:name="_Toc184308061"/>
      <w:bookmarkEnd w:id="351"/>
      <w:bookmarkStart w:id="352" w:name="_Toc184312121"/>
      <w:bookmarkEnd w:id="352"/>
      <w:bookmarkStart w:id="353" w:name="_Toc184312094"/>
      <w:bookmarkEnd w:id="353"/>
      <w:bookmarkStart w:id="354" w:name="_Toc184308070"/>
      <w:bookmarkEnd w:id="354"/>
      <w:bookmarkStart w:id="355" w:name="_Toc184313239"/>
      <w:bookmarkEnd w:id="355"/>
      <w:bookmarkStart w:id="356" w:name="_Toc184312067"/>
      <w:bookmarkEnd w:id="356"/>
      <w:bookmarkStart w:id="357" w:name="_Toc184314426"/>
      <w:bookmarkEnd w:id="357"/>
      <w:bookmarkStart w:id="358" w:name="_Toc184314459"/>
      <w:bookmarkEnd w:id="358"/>
      <w:bookmarkStart w:id="359" w:name="_Toc184312111"/>
      <w:bookmarkEnd w:id="359"/>
      <w:bookmarkStart w:id="360" w:name="_Toc184308084"/>
      <w:bookmarkEnd w:id="360"/>
      <w:bookmarkStart w:id="361" w:name="_Toc184312129"/>
      <w:bookmarkEnd w:id="361"/>
      <w:bookmarkStart w:id="362" w:name="_Toc184314434"/>
      <w:bookmarkEnd w:id="362"/>
      <w:bookmarkStart w:id="363" w:name="_Toc184308074"/>
      <w:bookmarkEnd w:id="363"/>
      <w:bookmarkStart w:id="364" w:name="_Toc184312084"/>
      <w:bookmarkEnd w:id="364"/>
      <w:bookmarkStart w:id="365" w:name="_Toc184310289"/>
      <w:bookmarkEnd w:id="365"/>
      <w:bookmarkStart w:id="366" w:name="_Toc184314415"/>
      <w:bookmarkEnd w:id="366"/>
      <w:bookmarkStart w:id="367" w:name="_Toc184308063"/>
      <w:bookmarkEnd w:id="367"/>
      <w:bookmarkStart w:id="368" w:name="_Toc184313287"/>
      <w:bookmarkEnd w:id="368"/>
      <w:bookmarkStart w:id="369" w:name="_Toc184312125"/>
      <w:bookmarkEnd w:id="369"/>
      <w:bookmarkStart w:id="370" w:name="_Toc184312099"/>
      <w:bookmarkEnd w:id="370"/>
      <w:bookmarkStart w:id="371" w:name="_Toc184313265"/>
      <w:bookmarkEnd w:id="371"/>
      <w:bookmarkStart w:id="372" w:name="_Toc184313266"/>
      <w:bookmarkEnd w:id="372"/>
      <w:bookmarkStart w:id="373" w:name="_Toc184310295"/>
      <w:bookmarkEnd w:id="373"/>
      <w:bookmarkStart w:id="374" w:name="_Toc184310304"/>
      <w:bookmarkEnd w:id="374"/>
      <w:bookmarkStart w:id="375" w:name="_Toc184310324"/>
      <w:bookmarkEnd w:id="375"/>
      <w:bookmarkStart w:id="376" w:name="_Toc184314429"/>
      <w:bookmarkEnd w:id="376"/>
      <w:bookmarkStart w:id="377" w:name="_Toc184312093"/>
      <w:bookmarkEnd w:id="377"/>
      <w:bookmarkStart w:id="378" w:name="_Toc184310335"/>
      <w:bookmarkEnd w:id="378"/>
      <w:bookmarkStart w:id="379" w:name="_Toc184313276"/>
      <w:bookmarkEnd w:id="379"/>
      <w:bookmarkStart w:id="380" w:name="_Toc184308069"/>
      <w:bookmarkEnd w:id="380"/>
      <w:bookmarkStart w:id="381" w:name="_Toc184312135"/>
      <w:bookmarkEnd w:id="381"/>
      <w:bookmarkStart w:id="382" w:name="_Toc184310290"/>
      <w:bookmarkEnd w:id="382"/>
      <w:bookmarkStart w:id="383" w:name="_Toc184312134"/>
      <w:bookmarkEnd w:id="383"/>
      <w:bookmarkStart w:id="384" w:name="_Toc184313258"/>
      <w:bookmarkEnd w:id="384"/>
      <w:bookmarkStart w:id="385" w:name="_Toc184313306"/>
      <w:bookmarkEnd w:id="385"/>
      <w:bookmarkStart w:id="386" w:name="_Toc184314481"/>
      <w:bookmarkEnd w:id="386"/>
      <w:bookmarkStart w:id="387" w:name="_Toc184310320"/>
      <w:bookmarkEnd w:id="387"/>
      <w:bookmarkStart w:id="388" w:name="_Toc184308058"/>
      <w:bookmarkEnd w:id="388"/>
      <w:bookmarkStart w:id="389" w:name="_Toc184312122"/>
      <w:bookmarkEnd w:id="389"/>
      <w:bookmarkStart w:id="390" w:name="_Toc184312106"/>
      <w:bookmarkEnd w:id="390"/>
      <w:bookmarkStart w:id="391" w:name="_Toc184312137"/>
      <w:bookmarkEnd w:id="391"/>
      <w:bookmarkStart w:id="392" w:name="_Toc184312109"/>
      <w:bookmarkEnd w:id="392"/>
      <w:bookmarkStart w:id="393" w:name="_Toc184313310"/>
      <w:bookmarkEnd w:id="393"/>
      <w:bookmarkStart w:id="394" w:name="_Toc184312119"/>
      <w:bookmarkEnd w:id="394"/>
      <w:bookmarkStart w:id="395" w:name="_Toc184308041"/>
      <w:bookmarkEnd w:id="395"/>
      <w:bookmarkStart w:id="396" w:name="_Toc184314438"/>
      <w:bookmarkEnd w:id="396"/>
      <w:bookmarkStart w:id="397" w:name="_Toc184310327"/>
      <w:bookmarkEnd w:id="397"/>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10349"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69"/>
        <w:gridCol w:w="675"/>
        <w:gridCol w:w="7395"/>
      </w:tblGrid>
      <w:tr w14:paraId="7858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top"/>
          </w:tcPr>
          <w:p w14:paraId="0B75C050">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469" w:type="dxa"/>
            <w:vAlign w:val="top"/>
          </w:tcPr>
          <w:p w14:paraId="2F721B9B">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评分分项名称</w:t>
            </w:r>
          </w:p>
        </w:tc>
        <w:tc>
          <w:tcPr>
            <w:tcW w:w="675" w:type="dxa"/>
            <w:vAlign w:val="top"/>
          </w:tcPr>
          <w:p w14:paraId="1B683941">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分值</w:t>
            </w:r>
          </w:p>
        </w:tc>
        <w:tc>
          <w:tcPr>
            <w:tcW w:w="7395" w:type="dxa"/>
            <w:vAlign w:val="center"/>
          </w:tcPr>
          <w:p w14:paraId="51B4F78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评分分项内容</w:t>
            </w:r>
          </w:p>
        </w:tc>
      </w:tr>
      <w:tr w14:paraId="6131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D410D3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469" w:type="dxa"/>
            <w:vAlign w:val="center"/>
          </w:tcPr>
          <w:p w14:paraId="59D19AD0">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投标价</w:t>
            </w:r>
          </w:p>
        </w:tc>
        <w:tc>
          <w:tcPr>
            <w:tcW w:w="675" w:type="dxa"/>
            <w:vAlign w:val="center"/>
          </w:tcPr>
          <w:p w14:paraId="70268F9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30</w:t>
            </w:r>
          </w:p>
        </w:tc>
        <w:tc>
          <w:tcPr>
            <w:tcW w:w="7395" w:type="dxa"/>
            <w:vAlign w:val="top"/>
          </w:tcPr>
          <w:p w14:paraId="7DB8FC29">
            <w:pPr>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投标报价低于或等于投标最高限价的为有效投标报价，超过投标最高限价的为无效的投标报价，无效投标报价的投标文件不进行评审，也不评标。采用低价优先法计算，即满足招标文件要求且投标价格最低的投标报价为评标基准价，其价格分为满分 30 分。其他投标人的价格分按照下列公式计算（小数点保留两位）：投标价得分=(评标基准价／投标报价)×30</w:t>
            </w:r>
          </w:p>
        </w:tc>
      </w:tr>
      <w:tr w14:paraId="1DA4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10" w:type="dxa"/>
            <w:vMerge w:val="restart"/>
            <w:vAlign w:val="center"/>
          </w:tcPr>
          <w:p w14:paraId="0C1972D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469" w:type="dxa"/>
            <w:vMerge w:val="restart"/>
            <w:vAlign w:val="center"/>
          </w:tcPr>
          <w:p w14:paraId="04F1A044">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企业生产能力、信誉</w:t>
            </w:r>
          </w:p>
        </w:tc>
        <w:tc>
          <w:tcPr>
            <w:tcW w:w="675" w:type="dxa"/>
            <w:vAlign w:val="center"/>
          </w:tcPr>
          <w:p w14:paraId="61AE2780">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8</w:t>
            </w:r>
          </w:p>
        </w:tc>
        <w:tc>
          <w:tcPr>
            <w:tcW w:w="7395" w:type="dxa"/>
            <w:vAlign w:val="top"/>
          </w:tcPr>
          <w:p w14:paraId="359D8E1A">
            <w:pPr>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投标人或制造商主要生产设备配备情况，每提供一种得1分，本项最多得</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分。主要生产设备指：中央</w:t>
            </w:r>
            <w:r>
              <w:rPr>
                <w:rFonts w:asciiTheme="majorEastAsia" w:hAnsiTheme="majorEastAsia" w:eastAsiaTheme="majorEastAsia" w:cstheme="majorEastAsia"/>
                <w:sz w:val="24"/>
              </w:rPr>
              <w:t>除尘设备、</w:t>
            </w:r>
            <w:r>
              <w:rPr>
                <w:rFonts w:hint="eastAsia" w:asciiTheme="majorEastAsia" w:hAnsiTheme="majorEastAsia" w:eastAsiaTheme="majorEastAsia" w:cstheme="majorEastAsia"/>
                <w:sz w:val="24"/>
              </w:rPr>
              <w:t>机器人焊接设备、海绵发泡设备、剪板机、</w:t>
            </w:r>
            <w:r>
              <w:rPr>
                <w:rFonts w:hint="eastAsia" w:asciiTheme="majorEastAsia" w:hAnsiTheme="majorEastAsia" w:eastAsiaTheme="majorEastAsia" w:cstheme="majorEastAsia"/>
                <w:sz w:val="24"/>
                <w:lang w:eastAsia="zh-CN"/>
              </w:rPr>
              <w:t>折弯机、</w:t>
            </w:r>
            <w:r>
              <w:rPr>
                <w:rFonts w:hint="eastAsia" w:asciiTheme="majorEastAsia" w:hAnsiTheme="majorEastAsia" w:eastAsiaTheme="majorEastAsia" w:cstheme="majorEastAsia"/>
                <w:sz w:val="24"/>
              </w:rPr>
              <w:t>喷漆房、废气处理设备、环保打磨房等。</w:t>
            </w:r>
          </w:p>
          <w:p w14:paraId="155420EC">
            <w:pPr>
              <w:spacing w:line="40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注：</w:t>
            </w:r>
            <w:r>
              <w:rPr>
                <w:rFonts w:hint="eastAsia" w:asciiTheme="majorEastAsia" w:hAnsiTheme="majorEastAsia" w:eastAsiaTheme="majorEastAsia" w:cstheme="majorEastAsia"/>
                <w:b/>
                <w:sz w:val="24"/>
                <w:lang w:eastAsia="zh-CN"/>
              </w:rPr>
              <w:t>提供</w:t>
            </w:r>
            <w:r>
              <w:rPr>
                <w:rFonts w:hint="eastAsia" w:asciiTheme="majorEastAsia" w:hAnsiTheme="majorEastAsia" w:eastAsiaTheme="majorEastAsia" w:cstheme="majorEastAsia"/>
                <w:b/>
                <w:sz w:val="24"/>
              </w:rPr>
              <w:t>设备购置发票复印件，否则不得分。</w:t>
            </w:r>
          </w:p>
        </w:tc>
      </w:tr>
      <w:tr w14:paraId="4AB0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vMerge w:val="continue"/>
            <w:vAlign w:val="center"/>
          </w:tcPr>
          <w:p w14:paraId="38E7CD6F">
            <w:pPr>
              <w:jc w:val="center"/>
              <w:rPr>
                <w:rFonts w:asciiTheme="majorEastAsia" w:hAnsiTheme="majorEastAsia" w:eastAsiaTheme="majorEastAsia" w:cstheme="majorEastAsia"/>
                <w:sz w:val="24"/>
              </w:rPr>
            </w:pPr>
          </w:p>
        </w:tc>
        <w:tc>
          <w:tcPr>
            <w:tcW w:w="1469" w:type="dxa"/>
            <w:vMerge w:val="continue"/>
            <w:vAlign w:val="center"/>
          </w:tcPr>
          <w:p w14:paraId="005EB70A">
            <w:pPr>
              <w:jc w:val="center"/>
              <w:rPr>
                <w:rFonts w:asciiTheme="majorEastAsia" w:hAnsiTheme="majorEastAsia" w:eastAsiaTheme="majorEastAsia" w:cstheme="majorEastAsia"/>
                <w:sz w:val="24"/>
              </w:rPr>
            </w:pPr>
          </w:p>
        </w:tc>
        <w:tc>
          <w:tcPr>
            <w:tcW w:w="675" w:type="dxa"/>
            <w:vAlign w:val="center"/>
          </w:tcPr>
          <w:p w14:paraId="7116B501">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7</w:t>
            </w:r>
          </w:p>
        </w:tc>
        <w:tc>
          <w:tcPr>
            <w:tcW w:w="7395" w:type="dxa"/>
            <w:vAlign w:val="top"/>
          </w:tcPr>
          <w:p w14:paraId="0B186D81">
            <w:pPr>
              <w:pStyle w:val="12"/>
              <w:keepNext w:val="0"/>
              <w:keepLines w:val="0"/>
              <w:pageBreakBefore w:val="0"/>
              <w:widowControl w:val="0"/>
              <w:numPr>
                <w:ilvl w:val="0"/>
                <w:numId w:val="5"/>
              </w:numPr>
              <w:tabs>
                <w:tab w:val="left" w:pos="0"/>
                <w:tab w:val="left" w:pos="220"/>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提供座椅实用新型专利证书，每出具一份得1分，最多得6分；</w:t>
            </w:r>
          </w:p>
          <w:p w14:paraId="0F0285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2.产品获得中国环境标志认证（十环）证书得1分；</w:t>
            </w:r>
          </w:p>
          <w:p w14:paraId="163676F4">
            <w:pPr>
              <w:pStyle w:val="12"/>
              <w:ind w:left="0" w:leftChars="0" w:firstLine="0" w:firstLineChars="0"/>
              <w:rPr>
                <w:rFonts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kern w:val="2"/>
                <w:sz w:val="24"/>
                <w:szCs w:val="24"/>
                <w:lang w:val="en-US" w:eastAsia="zh-CN" w:bidi="ar-SA"/>
              </w:rPr>
              <w:t>注：提供以上证书复印件，否则不得分。</w:t>
            </w:r>
          </w:p>
        </w:tc>
      </w:tr>
      <w:tr w14:paraId="276A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0" w:type="dxa"/>
            <w:shd w:val="clear" w:color="auto" w:fill="auto"/>
            <w:vAlign w:val="center"/>
          </w:tcPr>
          <w:p w14:paraId="410870D5">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3</w:t>
            </w:r>
          </w:p>
        </w:tc>
        <w:tc>
          <w:tcPr>
            <w:tcW w:w="1469" w:type="dxa"/>
            <w:shd w:val="clear" w:color="auto" w:fill="auto"/>
            <w:vAlign w:val="center"/>
          </w:tcPr>
          <w:p w14:paraId="303DF2C5">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eastAsia="zh-CN"/>
              </w:rPr>
              <w:t>同类项目业绩情况</w:t>
            </w:r>
          </w:p>
        </w:tc>
        <w:tc>
          <w:tcPr>
            <w:tcW w:w="675" w:type="dxa"/>
            <w:shd w:val="clear" w:color="auto" w:fill="auto"/>
            <w:vAlign w:val="center"/>
          </w:tcPr>
          <w:p w14:paraId="22485E9B">
            <w:pPr>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lang w:val="en-US" w:eastAsia="zh-CN"/>
              </w:rPr>
              <w:t>3</w:t>
            </w:r>
          </w:p>
        </w:tc>
        <w:tc>
          <w:tcPr>
            <w:tcW w:w="7395" w:type="dxa"/>
            <w:shd w:val="clear" w:color="auto" w:fill="auto"/>
            <w:vAlign w:val="center"/>
          </w:tcPr>
          <w:p w14:paraId="6C24CFE1">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提供2023年1月1日以来同类项目销售业绩3份，每提供一份完整业绩得1分，最高得3分。（同类项目业绩指椅凳类家具采购业绩）。</w:t>
            </w:r>
          </w:p>
          <w:p w14:paraId="19E51614">
            <w:pPr>
              <w:pStyle w:val="7"/>
              <w:rPr>
                <w:rFonts w:hint="eastAsia" w:ascii="宋体" w:hAnsi="Arial" w:eastAsia="宋体" w:cs="Arial"/>
                <w:snapToGrid w:val="0"/>
                <w:kern w:val="2"/>
                <w:sz w:val="24"/>
                <w:szCs w:val="21"/>
                <w:lang w:val="en-US" w:eastAsia="zh-CN" w:bidi="ar-SA"/>
              </w:rPr>
            </w:pPr>
            <w:r>
              <w:rPr>
                <w:rFonts w:hint="eastAsia" w:asciiTheme="majorEastAsia" w:hAnsiTheme="majorEastAsia" w:eastAsiaTheme="majorEastAsia" w:cstheme="majorEastAsia"/>
                <w:sz w:val="24"/>
                <w:lang w:val="en-US" w:eastAsia="zh-CN"/>
              </w:rPr>
              <w:t>需提供中标通知书、业绩合同复印件，只提供其中一样不得分。</w:t>
            </w:r>
          </w:p>
        </w:tc>
      </w:tr>
      <w:tr w14:paraId="7172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10" w:type="dxa"/>
            <w:shd w:val="clear" w:color="auto" w:fill="auto"/>
            <w:vAlign w:val="center"/>
          </w:tcPr>
          <w:p w14:paraId="440C833D">
            <w:pPr>
              <w:jc w:val="center"/>
              <w:rPr>
                <w:rFonts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4</w:t>
            </w:r>
          </w:p>
        </w:tc>
        <w:tc>
          <w:tcPr>
            <w:tcW w:w="1469" w:type="dxa"/>
            <w:vAlign w:val="center"/>
          </w:tcPr>
          <w:p w14:paraId="6B80F7DA">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技术</w:t>
            </w:r>
            <w:r>
              <w:rPr>
                <w:rFonts w:hint="eastAsia" w:asciiTheme="majorEastAsia" w:hAnsiTheme="majorEastAsia" w:eastAsiaTheme="majorEastAsia" w:cstheme="majorEastAsia"/>
                <w:sz w:val="24"/>
                <w:lang w:eastAsia="zh-CN"/>
              </w:rPr>
              <w:t>指标响应情况</w:t>
            </w:r>
          </w:p>
        </w:tc>
        <w:tc>
          <w:tcPr>
            <w:tcW w:w="675" w:type="dxa"/>
            <w:vAlign w:val="center"/>
          </w:tcPr>
          <w:p w14:paraId="01BD261E">
            <w:pPr>
              <w:spacing w:line="360" w:lineRule="exact"/>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15</w:t>
            </w:r>
          </w:p>
        </w:tc>
        <w:tc>
          <w:tcPr>
            <w:tcW w:w="7395" w:type="dxa"/>
            <w:vAlign w:val="center"/>
          </w:tcPr>
          <w:p w14:paraId="57601791">
            <w:pP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完全响应采购文件技术指标（参数要求）的计 15分，核心技术条款（★条款）每负偏离一项扣 2分，一般技术条款每负偏离一项扣1分，扣完为止。如参数应答时缺项且无证明材料，则视同负偏离处理。未提供或提供不全、不清晰不可辨认，视同该项参数</w:t>
            </w:r>
            <w:r>
              <w:rPr>
                <w:rFonts w:hint="eastAsia" w:asciiTheme="majorEastAsia" w:hAnsiTheme="majorEastAsia" w:eastAsiaTheme="majorEastAsia" w:cstheme="majorEastAsia"/>
                <w:bCs/>
                <w:sz w:val="24"/>
              </w:rPr>
              <w:t>不满足招标文件技术要求。</w:t>
            </w:r>
          </w:p>
          <w:p w14:paraId="7829FA27">
            <w:pP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注：1、参数相关技术资料证明包括但不限于：所投产品供应商须提供公开性技术参数、投标产品彩页、技术白皮书或其他对检测</w:t>
            </w:r>
            <w:r>
              <w:rPr>
                <w:rFonts w:hint="eastAsia" w:asciiTheme="majorEastAsia" w:hAnsiTheme="majorEastAsia" w:eastAsiaTheme="majorEastAsia" w:cstheme="majorEastAsia"/>
                <w:bCs/>
                <w:sz w:val="24"/>
              </w:rPr>
              <w:t>内容关键技术能够印证重要技术指标证明资料</w:t>
            </w:r>
            <w:r>
              <w:rPr>
                <w:rFonts w:hint="eastAsia" w:asciiTheme="majorEastAsia" w:hAnsiTheme="majorEastAsia" w:eastAsiaTheme="majorEastAsia" w:cstheme="majorEastAsia"/>
                <w:bCs/>
                <w:sz w:val="24"/>
                <w:lang w:eastAsia="zh-CN"/>
              </w:rPr>
              <w:t>，如检测报告等</w:t>
            </w:r>
            <w:r>
              <w:rPr>
                <w:rFonts w:hint="eastAsia" w:asciiTheme="majorEastAsia" w:hAnsiTheme="majorEastAsia" w:eastAsiaTheme="majorEastAsia" w:cstheme="majorEastAsia"/>
                <w:bCs/>
                <w:sz w:val="24"/>
              </w:rPr>
              <w:t>。</w:t>
            </w:r>
          </w:p>
          <w:p w14:paraId="4D388D48">
            <w:pP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bCs/>
                <w:sz w:val="24"/>
              </w:rPr>
              <w:t>2、技术偏离表要求须注明证明材料对应的页码。</w:t>
            </w:r>
          </w:p>
        </w:tc>
      </w:tr>
      <w:tr w14:paraId="2B8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10" w:type="dxa"/>
            <w:vMerge w:val="restart"/>
            <w:vAlign w:val="center"/>
          </w:tcPr>
          <w:p w14:paraId="1C499AFF">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469" w:type="dxa"/>
            <w:vAlign w:val="center"/>
          </w:tcPr>
          <w:p w14:paraId="2DB9574C">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材料抽样检测报告</w:t>
            </w:r>
          </w:p>
        </w:tc>
        <w:tc>
          <w:tcPr>
            <w:tcW w:w="675" w:type="dxa"/>
            <w:vAlign w:val="center"/>
          </w:tcPr>
          <w:p w14:paraId="44B8FB50">
            <w:pPr>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10</w:t>
            </w:r>
          </w:p>
        </w:tc>
        <w:tc>
          <w:tcPr>
            <w:tcW w:w="7395" w:type="dxa"/>
            <w:vAlign w:val="top"/>
          </w:tcPr>
          <w:p w14:paraId="542E15C5">
            <w:pPr>
              <w:keepLines/>
              <w:adjustRightInd w:val="0"/>
              <w:snapToGrid w:val="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根据所提供产品获得的202</w:t>
            </w: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年1月1日以来国家认可的检测机构出具的抽样检测报告：</w:t>
            </w:r>
          </w:p>
          <w:p w14:paraId="2AE14F23">
            <w:pPr>
              <w:keepLines/>
              <w:adjustRightInd w:val="0"/>
              <w:snapToGrid w:val="0"/>
              <w:ind w:firstLine="360" w:firstLineChars="15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1</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Cs/>
                <w:sz w:val="24"/>
              </w:rPr>
              <w:t>提供海绵抽检报告且符合检测的技术要求（检测依据须为 GB/T 10802-2023、GB/T10807-2006）：</w:t>
            </w:r>
            <w:r>
              <w:rPr>
                <w:rFonts w:hint="eastAsia" w:asciiTheme="majorEastAsia" w:hAnsiTheme="majorEastAsia" w:eastAsiaTheme="majorEastAsia" w:cstheme="majorEastAsia"/>
                <w:sz w:val="24"/>
              </w:rPr>
              <w:t>海绵密度≥65kg/m</w:t>
            </w:r>
            <w:r>
              <w:rPr>
                <w:rFonts w:hint="eastAsia" w:asciiTheme="majorEastAsia" w:hAnsiTheme="majorEastAsia" w:eastAsiaTheme="majorEastAsia" w:cstheme="majorEastAsia"/>
                <w:sz w:val="24"/>
                <w:vertAlign w:val="superscript"/>
              </w:rPr>
              <w:t>3</w:t>
            </w:r>
            <w:r>
              <w:rPr>
                <w:rFonts w:hint="eastAsia" w:asciiTheme="majorEastAsia" w:hAnsiTheme="majorEastAsia" w:eastAsiaTheme="majorEastAsia" w:cstheme="majorEastAsia"/>
                <w:sz w:val="24"/>
              </w:rPr>
              <w:t>；25%压陷硬度（N）≥230；65%/25%压陷比（%）≥2.0；75%压缩永久变形（%）≤5.5 ；回弹率（%）≥55；拉伸强度（kpa）≥115；伸长率（%）≥130；撕裂强度（N/cm）≥2.0；干热老化后拉伸强度（Kpa）≥95；干热老化后拉伸强度变化率（%）±30；湿热老化后拉伸强度（Kpa）≥100；湿热老化后拉伸强度变化率（%）±30；压陷硬度（N）≥290</w:t>
            </w:r>
            <w:r>
              <w:rPr>
                <w:rFonts w:hint="eastAsia" w:asciiTheme="majorEastAsia" w:hAnsiTheme="majorEastAsia" w:eastAsiaTheme="majorEastAsia" w:cstheme="majorEastAsia"/>
                <w:bCs/>
                <w:sz w:val="24"/>
              </w:rPr>
              <w:t>。</w:t>
            </w:r>
          </w:p>
          <w:p w14:paraId="192219F7">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bCs/>
                <w:sz w:val="24"/>
              </w:rPr>
              <w:t>提供座椅钢板抽检报告且符合检测的技术要求（检测依据须为GB/T10125-2021、GB/T 3325-2024、QB/T4767-2014）：金属喷漆（塑）涂层：冲击强度：冲击高度400mm，应无剥落、裂纹、皱纹等现象；耐腐蚀：100h内，观察在溶液中样板上划道两侧3mm以外，应无气泡、锈迹、剥落、起皱、变色和失光等现象；附着力应不低于2级。</w:t>
            </w:r>
          </w:p>
          <w:p w14:paraId="45823F7A">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3.提供阻尼气杆抽检报告且符合检测的技术要求（检测依据须为GB/T29525-2013）：</w:t>
            </w:r>
            <w:r>
              <w:rPr>
                <w:rFonts w:hint="eastAsia" w:asciiTheme="majorEastAsia" w:hAnsiTheme="majorEastAsia" w:eastAsiaTheme="majorEastAsia" w:cstheme="majorEastAsia"/>
                <w:sz w:val="24"/>
              </w:rPr>
              <w:t>阻尼气杆经-30°C和60°C高低温储存后，公称力Fa衰减量应不大于5%。阻尼气杆经高低温试验后，再经10万次循环寿命试验后，公称力Fa的总衰减量应不大于13%</w:t>
            </w:r>
            <w:r>
              <w:rPr>
                <w:rFonts w:hint="eastAsia" w:asciiTheme="majorEastAsia" w:hAnsiTheme="majorEastAsia" w:eastAsiaTheme="majorEastAsia" w:cstheme="majorEastAsia"/>
                <w:bCs/>
                <w:sz w:val="24"/>
              </w:rPr>
              <w:t>。</w:t>
            </w:r>
          </w:p>
          <w:p w14:paraId="204BAD3A">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4.提供实木扶手抽检报告且符合检测的技术要求（检测依据须为GB/T3324-2017）：</w:t>
            </w:r>
            <w:r>
              <w:rPr>
                <w:rFonts w:hint="eastAsia" w:asciiTheme="majorEastAsia" w:hAnsiTheme="majorEastAsia" w:eastAsiaTheme="majorEastAsia" w:cstheme="majorEastAsia"/>
                <w:sz w:val="24"/>
              </w:rPr>
              <w:t>木材含水率为8-12%，甲醛释放量≤0.5mg/L</w:t>
            </w:r>
            <w:r>
              <w:rPr>
                <w:rFonts w:hint="eastAsia" w:asciiTheme="majorEastAsia" w:hAnsiTheme="majorEastAsia" w:eastAsiaTheme="majorEastAsia" w:cstheme="majorEastAsia"/>
                <w:bCs/>
                <w:sz w:val="24"/>
              </w:rPr>
              <w:t>。</w:t>
            </w:r>
          </w:p>
          <w:p w14:paraId="04BB22B6">
            <w:pPr>
              <w:keepLines/>
              <w:adjustRightInd w:val="0"/>
              <w:snapToGrid w:val="0"/>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5.提供木制油漆件抽检报告且符合检测的技术要求（检测依据须为GB/T9846-2015）：</w:t>
            </w:r>
            <w:r>
              <w:rPr>
                <w:rFonts w:hint="eastAsia" w:asciiTheme="majorEastAsia" w:hAnsiTheme="majorEastAsia" w:eastAsiaTheme="majorEastAsia" w:cstheme="majorEastAsia"/>
                <w:sz w:val="24"/>
              </w:rPr>
              <w:t>含水率为8-12%；耐液性、耐湿热、耐干热、附着力、耐磨性和抗冲击不低于3级；高温（40°C），1h，低温（-20°C），1h，3周期，应无鼓泡、裂缝和明显失光；甲醛释放量≤0.5mg/L</w:t>
            </w:r>
            <w:r>
              <w:rPr>
                <w:rFonts w:hint="eastAsia" w:asciiTheme="majorEastAsia" w:hAnsiTheme="majorEastAsia" w:eastAsiaTheme="majorEastAsia" w:cstheme="majorEastAsia"/>
                <w:bCs/>
                <w:sz w:val="24"/>
              </w:rPr>
              <w:t>。</w:t>
            </w:r>
          </w:p>
          <w:p w14:paraId="774C12DB">
            <w:pPr>
              <w:keepLines/>
              <w:adjustRightInd w:val="0"/>
              <w:snapToGrid w:val="0"/>
              <w:ind w:firstLine="480" w:firstLineChars="200"/>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6.提供弹簧抽检报告且符合检测的技术要求（检测依据须为GB/T 3325-2024）：</w:t>
            </w:r>
            <w:r>
              <w:rPr>
                <w:rFonts w:hint="eastAsia" w:asciiTheme="majorEastAsia" w:hAnsiTheme="majorEastAsia" w:eastAsiaTheme="majorEastAsia" w:cstheme="majorEastAsia"/>
                <w:sz w:val="24"/>
              </w:rPr>
              <w:t>抗盐雾性能：18h,直径1.5mm以下锈点≤20点/dm²，其中直径≥1.0mm锈点不超过5点/dm²</w:t>
            </w:r>
            <w:r>
              <w:rPr>
                <w:rFonts w:hint="eastAsia" w:asciiTheme="majorEastAsia" w:hAnsiTheme="majorEastAsia" w:eastAsiaTheme="majorEastAsia" w:cstheme="majorEastAsia"/>
                <w:bCs/>
                <w:sz w:val="24"/>
              </w:rPr>
              <w:t>。</w:t>
            </w:r>
          </w:p>
          <w:p w14:paraId="1E9030F9">
            <w:pPr>
              <w:keepLines/>
              <w:adjustRightInd w:val="0"/>
              <w:snapToGrid w:val="0"/>
              <w:ind w:firstLine="480" w:firstLineChars="200"/>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7.提供塑粉抽检报告且符合检测的技术要求（检测依据须为GB/T28481-2012）：要求不含重金属。</w:t>
            </w:r>
          </w:p>
          <w:p w14:paraId="555BC7BE">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8.提供粘胶剂抽检报告且符合检测的技术要求（检测依据须为GB/T18583-2008）：苯含量（g/kg）</w:t>
            </w:r>
            <w:r>
              <w:rPr>
                <w:rFonts w:hint="eastAsia" w:asciiTheme="majorEastAsia" w:hAnsiTheme="majorEastAsia" w:eastAsiaTheme="majorEastAsia" w:cstheme="majorEastAsia"/>
                <w:sz w:val="24"/>
              </w:rPr>
              <w:t>≤5.0，甲苯+二甲苯</w:t>
            </w:r>
            <w:r>
              <w:rPr>
                <w:rFonts w:hint="eastAsia" w:asciiTheme="majorEastAsia" w:hAnsiTheme="majorEastAsia" w:eastAsiaTheme="majorEastAsia" w:cstheme="majorEastAsia"/>
                <w:bCs/>
                <w:sz w:val="24"/>
              </w:rPr>
              <w:t>（g/kg）</w:t>
            </w:r>
            <w:r>
              <w:rPr>
                <w:rFonts w:hint="eastAsia" w:asciiTheme="majorEastAsia" w:hAnsiTheme="majorEastAsia" w:eastAsiaTheme="majorEastAsia" w:cstheme="majorEastAsia"/>
                <w:sz w:val="24"/>
              </w:rPr>
              <w:t>≤150,总挥发性有机物（g/L）≤700。</w:t>
            </w:r>
          </w:p>
          <w:p w14:paraId="6688C9FE">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bCs/>
                <w:sz w:val="24"/>
              </w:rPr>
              <w:t>提供油漆抽检报告且符合检测的技术要求（检测依据须为GB/T18581-2020）：</w:t>
            </w:r>
            <w:r>
              <w:rPr>
                <w:rFonts w:hint="eastAsia" w:asciiTheme="majorEastAsia" w:hAnsiTheme="majorEastAsia" w:eastAsiaTheme="majorEastAsia" w:cstheme="majorEastAsia"/>
                <w:sz w:val="24"/>
              </w:rPr>
              <w:t>总挥发性有机物（VOC含量）（g/L）≤650，甲苯+二甲苯</w:t>
            </w:r>
            <w:r>
              <w:rPr>
                <w:rFonts w:hint="eastAsia" w:asciiTheme="majorEastAsia" w:hAnsiTheme="majorEastAsia" w:eastAsiaTheme="majorEastAsia" w:cstheme="majorEastAsia"/>
                <w:bCs/>
                <w:sz w:val="24"/>
              </w:rPr>
              <w:t>（g/kg）</w:t>
            </w:r>
            <w:r>
              <w:rPr>
                <w:rFonts w:hint="eastAsia" w:asciiTheme="majorEastAsia" w:hAnsiTheme="majorEastAsia" w:eastAsiaTheme="majorEastAsia" w:cstheme="majorEastAsia"/>
                <w:sz w:val="24"/>
              </w:rPr>
              <w:t>≤20,</w:t>
            </w:r>
            <w:r>
              <w:rPr>
                <w:rFonts w:hint="eastAsia" w:asciiTheme="majorEastAsia" w:hAnsiTheme="majorEastAsia" w:eastAsiaTheme="majorEastAsia" w:cstheme="majorEastAsia"/>
                <w:bCs/>
                <w:sz w:val="24"/>
              </w:rPr>
              <w:t>苯含量（g/kg）</w:t>
            </w:r>
            <w:r>
              <w:rPr>
                <w:rFonts w:hint="eastAsia" w:asciiTheme="majorEastAsia" w:hAnsiTheme="majorEastAsia" w:eastAsiaTheme="majorEastAsia" w:cstheme="majorEastAsia"/>
                <w:sz w:val="24"/>
              </w:rPr>
              <w:t>≤0.1。-</w:t>
            </w:r>
          </w:p>
          <w:p w14:paraId="29759A7B">
            <w:pPr>
              <w:keepLines/>
              <w:adjustRightInd w:val="0"/>
              <w:snapToGrid w:val="0"/>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提供座椅写字板抽检报告且符合检测的技术要求（检测依据须为QB/T2602-2013）：写字板垂直向下静载荷试验300N，10次，写字板耐久性试验150N，2.5万次后，零部件应无断裂现象，加载部位应无明显变形，座椅结构应无松动，翻转结构应翻转灵活自如。</w:t>
            </w:r>
          </w:p>
          <w:p w14:paraId="24AF3C2A">
            <w:pPr>
              <w:pStyle w:val="12"/>
              <w:ind w:left="0" w:leftChars="0" w:firstLine="0" w:firstLineChars="0"/>
              <w:rPr>
                <w:rFonts w:asciiTheme="majorEastAsia" w:hAnsiTheme="majorEastAsia" w:eastAsiaTheme="majorEastAsia" w:cstheme="majorEastAsia"/>
                <w:b/>
                <w:kern w:val="2"/>
                <w:sz w:val="24"/>
                <w:szCs w:val="24"/>
                <w:lang w:eastAsia="zh-CN"/>
              </w:rPr>
            </w:pPr>
            <w:r>
              <w:rPr>
                <w:rFonts w:hint="eastAsia" w:asciiTheme="majorEastAsia" w:hAnsiTheme="majorEastAsia" w:eastAsiaTheme="majorEastAsia" w:cstheme="majorEastAsia"/>
                <w:b/>
                <w:bCs/>
                <w:sz w:val="24"/>
                <w:szCs w:val="24"/>
                <w:lang w:eastAsia="zh-CN"/>
              </w:rPr>
              <w:t>以上检测报告每提供一个得1分，</w:t>
            </w:r>
            <w:r>
              <w:rPr>
                <w:rFonts w:hint="eastAsia" w:asciiTheme="majorEastAsia" w:hAnsiTheme="majorEastAsia" w:eastAsiaTheme="majorEastAsia" w:cstheme="majorEastAsia"/>
                <w:b/>
                <w:kern w:val="2"/>
                <w:sz w:val="24"/>
                <w:szCs w:val="24"/>
                <w:lang w:eastAsia="zh-CN"/>
              </w:rPr>
              <w:t>技术参数需满足以上要求，否则不得分，</w:t>
            </w:r>
            <w:r>
              <w:rPr>
                <w:rFonts w:hint="eastAsia" w:asciiTheme="majorEastAsia" w:hAnsiTheme="majorEastAsia" w:eastAsiaTheme="majorEastAsia" w:cstheme="majorEastAsia"/>
                <w:b/>
                <w:bCs/>
                <w:sz w:val="24"/>
                <w:szCs w:val="24"/>
                <w:lang w:eastAsia="zh-CN"/>
              </w:rPr>
              <w:t>本项最多得1</w:t>
            </w:r>
            <w:r>
              <w:rPr>
                <w:rFonts w:hint="eastAsia" w:asciiTheme="majorEastAsia" w:hAnsiTheme="majorEastAsia" w:eastAsiaTheme="majorEastAsia" w:cstheme="majorEastAsia"/>
                <w:b/>
                <w:bCs/>
                <w:sz w:val="24"/>
                <w:szCs w:val="24"/>
                <w:lang w:val="en-US" w:eastAsia="zh-CN"/>
              </w:rPr>
              <w:t>0</w:t>
            </w:r>
            <w:r>
              <w:rPr>
                <w:rFonts w:hint="eastAsia" w:asciiTheme="majorEastAsia" w:hAnsiTheme="majorEastAsia" w:eastAsiaTheme="majorEastAsia" w:cstheme="majorEastAsia"/>
                <w:b/>
                <w:bCs/>
                <w:sz w:val="24"/>
                <w:szCs w:val="24"/>
                <w:lang w:eastAsia="zh-CN"/>
              </w:rPr>
              <w:t>分。</w:t>
            </w:r>
          </w:p>
        </w:tc>
      </w:tr>
      <w:tr w14:paraId="2CB3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shd w:val="clear" w:color="auto" w:fill="auto"/>
            <w:vAlign w:val="center"/>
          </w:tcPr>
          <w:p w14:paraId="27CC12E5">
            <w:pPr>
              <w:jc w:val="center"/>
              <w:rPr>
                <w:rFonts w:asciiTheme="majorEastAsia" w:hAnsiTheme="majorEastAsia" w:eastAsiaTheme="majorEastAsia" w:cstheme="majorEastAsia"/>
                <w:kern w:val="2"/>
                <w:sz w:val="24"/>
                <w:szCs w:val="24"/>
                <w:lang w:val="en-US" w:eastAsia="zh-CN" w:bidi="ar-SA"/>
              </w:rPr>
            </w:pPr>
          </w:p>
        </w:tc>
        <w:tc>
          <w:tcPr>
            <w:tcW w:w="1469" w:type="dxa"/>
            <w:vAlign w:val="center"/>
          </w:tcPr>
          <w:p w14:paraId="553AFEB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成品</w:t>
            </w:r>
          </w:p>
          <w:p w14:paraId="6EA48E7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检测报告</w:t>
            </w:r>
          </w:p>
        </w:tc>
        <w:tc>
          <w:tcPr>
            <w:tcW w:w="675" w:type="dxa"/>
            <w:vAlign w:val="center"/>
          </w:tcPr>
          <w:p w14:paraId="721C9566">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3</w:t>
            </w:r>
          </w:p>
        </w:tc>
        <w:tc>
          <w:tcPr>
            <w:tcW w:w="7395" w:type="dxa"/>
            <w:vAlign w:val="top"/>
          </w:tcPr>
          <w:p w14:paraId="46BEF5FD">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提供202</w:t>
            </w: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bCs/>
                <w:sz w:val="24"/>
              </w:rPr>
              <w:t>1月1日以来</w:t>
            </w:r>
            <w:r>
              <w:rPr>
                <w:rFonts w:hint="eastAsia" w:asciiTheme="majorEastAsia" w:hAnsiTheme="majorEastAsia" w:eastAsiaTheme="majorEastAsia" w:cstheme="majorEastAsia"/>
                <w:sz w:val="24"/>
              </w:rPr>
              <w:t>权威检测机构出具的检测报告：</w:t>
            </w:r>
          </w:p>
          <w:p w14:paraId="5E515FD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1、座椅整体性能抽样检测报告；</w:t>
            </w:r>
          </w:p>
          <w:p w14:paraId="7699BA46">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2、座椅力学抽样检测报告：</w:t>
            </w:r>
            <w:r>
              <w:rPr>
                <w:rFonts w:hint="eastAsia" w:asciiTheme="majorEastAsia" w:hAnsiTheme="majorEastAsia" w:eastAsiaTheme="majorEastAsia" w:cstheme="majorEastAsia"/>
                <w:color w:val="000000"/>
                <w:kern w:val="24"/>
                <w:sz w:val="24"/>
              </w:rPr>
              <w:t>座面</w:t>
            </w:r>
            <w:r>
              <w:rPr>
                <w:rFonts w:hint="eastAsia" w:asciiTheme="majorEastAsia" w:hAnsiTheme="majorEastAsia" w:eastAsiaTheme="majorEastAsia" w:cstheme="majorEastAsia"/>
                <w:kern w:val="24"/>
                <w:sz w:val="24"/>
              </w:rPr>
              <w:t>翻转耐久性达到</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kern w:val="24"/>
                <w:sz w:val="24"/>
              </w:rPr>
              <w:t>万次无损；</w:t>
            </w:r>
          </w:p>
          <w:p w14:paraId="44C2B2B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3、座椅吸声性能检测报告；</w:t>
            </w:r>
          </w:p>
          <w:p w14:paraId="004E7BC8">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以上检测报告每提供一个得1分，本项最多得</w:t>
            </w:r>
            <w:r>
              <w:rPr>
                <w:rFonts w:hint="eastAsia" w:asciiTheme="majorEastAsia" w:hAnsiTheme="majorEastAsia" w:eastAsiaTheme="majorEastAsia" w:cstheme="majorEastAsia"/>
                <w:b/>
                <w:sz w:val="24"/>
                <w:lang w:val="en-US" w:eastAsia="zh-CN"/>
              </w:rPr>
              <w:t>3</w:t>
            </w:r>
            <w:r>
              <w:rPr>
                <w:rFonts w:hint="eastAsia" w:asciiTheme="majorEastAsia" w:hAnsiTheme="majorEastAsia" w:eastAsiaTheme="majorEastAsia" w:cstheme="majorEastAsia"/>
                <w:b/>
                <w:sz w:val="24"/>
              </w:rPr>
              <w:t>分。</w:t>
            </w:r>
          </w:p>
        </w:tc>
      </w:tr>
      <w:tr w14:paraId="40A1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14:paraId="6A89C28D">
            <w:pPr>
              <w:jc w:val="center"/>
              <w:rPr>
                <w:rFonts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rPr>
              <w:t>6</w:t>
            </w:r>
          </w:p>
        </w:tc>
        <w:tc>
          <w:tcPr>
            <w:tcW w:w="1469" w:type="dxa"/>
            <w:vAlign w:val="center"/>
          </w:tcPr>
          <w:p w14:paraId="42D03CDA">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样品</w:t>
            </w:r>
          </w:p>
        </w:tc>
        <w:tc>
          <w:tcPr>
            <w:tcW w:w="675" w:type="dxa"/>
            <w:vAlign w:val="center"/>
          </w:tcPr>
          <w:p w14:paraId="51CA30EB">
            <w:pPr>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15</w:t>
            </w:r>
          </w:p>
        </w:tc>
        <w:tc>
          <w:tcPr>
            <w:tcW w:w="7395" w:type="dxa"/>
            <w:vAlign w:val="top"/>
          </w:tcPr>
          <w:p w14:paraId="6EABAA7B">
            <w:pPr>
              <w:numPr>
                <w:ilvl w:val="0"/>
                <w:numId w:val="6"/>
              </w:numPr>
              <w:spacing w:line="400" w:lineRule="exact"/>
              <w:rPr>
                <w:rFonts w:hint="eastAsia" w:ascii="宋体" w:hAnsi="宋体" w:eastAsia="宋体" w:cs="宋体"/>
                <w:sz w:val="24"/>
                <w:szCs w:val="24"/>
              </w:rPr>
            </w:pPr>
            <w:r>
              <w:rPr>
                <w:rFonts w:hint="eastAsia" w:ascii="宋体" w:hAnsi="宋体" w:eastAsia="宋体" w:cs="宋体"/>
                <w:sz w:val="24"/>
                <w:szCs w:val="24"/>
              </w:rPr>
              <w:t>样品的种类、规格是否符合采购需求，完全符合得3分，大部分符合得2分，部分符合得1分，不符合不得分。</w:t>
            </w:r>
          </w:p>
          <w:p w14:paraId="27C5B9C7">
            <w:pPr>
              <w:numPr>
                <w:ilvl w:val="0"/>
                <w:numId w:val="6"/>
              </w:numPr>
              <w:spacing w:line="400" w:lineRule="exact"/>
              <w:rPr>
                <w:rFonts w:hint="eastAsia" w:ascii="宋体" w:hAnsi="宋体" w:eastAsia="宋体" w:cs="宋体"/>
                <w:sz w:val="24"/>
                <w:szCs w:val="24"/>
              </w:rPr>
            </w:pPr>
            <w:bookmarkStart w:id="560" w:name="_GoBack"/>
            <w:bookmarkEnd w:id="560"/>
            <w:r>
              <w:rPr>
                <w:rFonts w:hint="eastAsia" w:ascii="宋体" w:hAnsi="宋体" w:eastAsia="宋体" w:cs="宋体"/>
                <w:sz w:val="24"/>
                <w:szCs w:val="24"/>
              </w:rPr>
              <w:t>样品整体的制作质量好，制作工艺水平高，产品无明显色差，表面没有皱皮、开裂、发粘和流挂现象，承重强度能力强，完全符合得3分，大部分符合得2分，部分符合得1分，不符合不得分。</w:t>
            </w:r>
          </w:p>
          <w:p w14:paraId="7009B414">
            <w:pPr>
              <w:spacing w:line="400" w:lineRule="exact"/>
              <w:rPr>
                <w:rFonts w:hint="eastAsia" w:ascii="宋体" w:hAnsi="宋体" w:eastAsia="宋体" w:cs="宋体"/>
                <w:sz w:val="24"/>
                <w:szCs w:val="24"/>
              </w:rPr>
            </w:pPr>
            <w:r>
              <w:rPr>
                <w:rFonts w:hint="eastAsia" w:ascii="宋体" w:hAnsi="宋体" w:eastAsia="宋体" w:cs="宋体"/>
                <w:sz w:val="24"/>
                <w:szCs w:val="24"/>
              </w:rPr>
              <w:t>3、样品款式、结构符合招标文件的要求，外观式样美观，连接处流畅无突出节点，完全符合得3分，大部分符合得2分，部分符合得1分，不符合不得分。</w:t>
            </w:r>
          </w:p>
          <w:p w14:paraId="69EBB5AA">
            <w:pPr>
              <w:spacing w:line="400" w:lineRule="exact"/>
              <w:rPr>
                <w:rFonts w:hint="eastAsia" w:ascii="宋体" w:hAnsi="宋体" w:eastAsia="宋体" w:cs="宋体"/>
                <w:sz w:val="24"/>
                <w:szCs w:val="24"/>
              </w:rPr>
            </w:pPr>
            <w:r>
              <w:rPr>
                <w:rFonts w:hint="eastAsia" w:ascii="宋体" w:hAnsi="宋体" w:eastAsia="宋体" w:cs="宋体"/>
                <w:sz w:val="24"/>
                <w:szCs w:val="24"/>
              </w:rPr>
              <w:t>4、金属件表面与涂层：根据金属件表面平整度、光泽度、防锈处理，金属涂层有无皱皮、发粘和漏涂现象，有无明显加工痕迹、划痕、白点、鼓泡、流挂、缩孔、刷毛、积粉和杂渣等给分，完全符合得3分，大部分符合得2分，部分符合得1分，不符合不得分；</w:t>
            </w:r>
          </w:p>
          <w:p w14:paraId="5D3CABD6">
            <w:pPr>
              <w:spacing w:line="400" w:lineRule="exact"/>
              <w:rPr>
                <w:rFonts w:hint="eastAsia" w:ascii="宋体" w:hAnsi="宋体" w:eastAsia="宋体" w:cs="宋体"/>
                <w:sz w:val="24"/>
                <w:szCs w:val="24"/>
              </w:rPr>
            </w:pPr>
            <w:r>
              <w:rPr>
                <w:rFonts w:hint="eastAsia" w:ascii="宋体" w:hAnsi="宋体" w:eastAsia="宋体" w:cs="宋体"/>
                <w:sz w:val="24"/>
                <w:szCs w:val="24"/>
              </w:rPr>
              <w:t>5、样品的其他性能的比较：样品的舒适性、安全性、可维护性，完全符合得3分，大部分符合得2分，部分符合得1分，不符合不得分。</w:t>
            </w:r>
          </w:p>
          <w:p w14:paraId="268886D7">
            <w:pPr>
              <w:spacing w:line="400" w:lineRule="exact"/>
              <w:rPr>
                <w:rFonts w:hint="eastAsia" w:ascii="宋体" w:hAnsi="宋体" w:eastAsia="宋体" w:cs="宋体"/>
                <w:sz w:val="24"/>
                <w:szCs w:val="24"/>
              </w:rPr>
            </w:pPr>
            <w:r>
              <w:rPr>
                <w:rFonts w:hint="eastAsia" w:asciiTheme="majorEastAsia" w:hAnsiTheme="majorEastAsia" w:eastAsiaTheme="majorEastAsia" w:cstheme="majorEastAsia"/>
                <w:sz w:val="24"/>
              </w:rPr>
              <w:t>（所有样品费用由投标人承担，样品不得粘贴、设置制造商标志，中标后将作为成品质量对比样本封存）</w:t>
            </w:r>
          </w:p>
        </w:tc>
      </w:tr>
      <w:tr w14:paraId="5ABF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0FAB0D5E">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7</w:t>
            </w:r>
          </w:p>
        </w:tc>
        <w:tc>
          <w:tcPr>
            <w:tcW w:w="1469" w:type="dxa"/>
            <w:vAlign w:val="center"/>
          </w:tcPr>
          <w:p w14:paraId="58E864B9">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项目实施</w:t>
            </w:r>
            <w:r>
              <w:rPr>
                <w:rFonts w:hint="eastAsia" w:asciiTheme="majorEastAsia" w:hAnsiTheme="majorEastAsia" w:eastAsiaTheme="majorEastAsia" w:cstheme="majorEastAsia"/>
                <w:sz w:val="24"/>
                <w:lang w:eastAsia="zh-CN"/>
              </w:rPr>
              <w:t>方案</w:t>
            </w:r>
            <w:r>
              <w:rPr>
                <w:rFonts w:hint="eastAsia" w:asciiTheme="majorEastAsia" w:hAnsiTheme="majorEastAsia" w:eastAsiaTheme="majorEastAsia" w:cstheme="majorEastAsia"/>
                <w:sz w:val="24"/>
              </w:rPr>
              <w:t>及培训方案</w:t>
            </w:r>
          </w:p>
        </w:tc>
        <w:tc>
          <w:tcPr>
            <w:tcW w:w="675" w:type="dxa"/>
            <w:vAlign w:val="center"/>
          </w:tcPr>
          <w:p w14:paraId="454B4FFD">
            <w:pPr>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9</w:t>
            </w:r>
          </w:p>
        </w:tc>
        <w:tc>
          <w:tcPr>
            <w:tcW w:w="7395" w:type="dxa"/>
            <w:vAlign w:val="center"/>
          </w:tcPr>
          <w:p w14:paraId="72A957F7">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根据项目实施方案完善程度，</w:t>
            </w:r>
            <w:r>
              <w:rPr>
                <w:rFonts w:hint="eastAsia" w:ascii="宋体" w:hAnsi="宋体" w:eastAsia="宋体" w:cs="宋体"/>
                <w:i w:val="0"/>
                <w:iCs w:val="0"/>
                <w:caps w:val="0"/>
                <w:snapToGrid/>
                <w:spacing w:val="0"/>
                <w:kern w:val="2"/>
                <w:sz w:val="24"/>
                <w:szCs w:val="24"/>
                <w:highlight w:val="none"/>
                <w:lang w:val="en-US" w:eastAsia="zh-CN" w:bidi="ar-SA"/>
              </w:rPr>
              <w:t>满足得</w:t>
            </w:r>
            <w:r>
              <w:rPr>
                <w:rFonts w:hint="eastAsia" w:ascii="宋体" w:hAnsi="宋体" w:cs="宋体"/>
                <w:i w:val="0"/>
                <w:iCs w:val="0"/>
                <w:caps w:val="0"/>
                <w:snapToGrid/>
                <w:spacing w:val="0"/>
                <w:kern w:val="2"/>
                <w:sz w:val="24"/>
                <w:szCs w:val="24"/>
                <w:highlight w:val="none"/>
                <w:lang w:val="en-US" w:eastAsia="zh-CN" w:bidi="ar-SA"/>
              </w:rPr>
              <w:t>5</w:t>
            </w:r>
            <w:r>
              <w:rPr>
                <w:rFonts w:hint="eastAsia" w:ascii="宋体" w:hAnsi="宋体" w:eastAsia="宋体" w:cs="宋体"/>
                <w:i w:val="0"/>
                <w:iCs w:val="0"/>
                <w:caps w:val="0"/>
                <w:snapToGrid/>
                <w:spacing w:val="0"/>
                <w:kern w:val="2"/>
                <w:sz w:val="24"/>
                <w:szCs w:val="24"/>
                <w:highlight w:val="none"/>
                <w:lang w:val="en-US" w:eastAsia="zh-CN" w:bidi="ar-SA"/>
              </w:rPr>
              <w:t>分，部分满足得</w:t>
            </w:r>
            <w:r>
              <w:rPr>
                <w:rFonts w:hint="eastAsia" w:ascii="宋体" w:hAnsi="宋体" w:cs="宋体"/>
                <w:i w:val="0"/>
                <w:iCs w:val="0"/>
                <w:caps w:val="0"/>
                <w:snapToGrid/>
                <w:spacing w:val="0"/>
                <w:kern w:val="2"/>
                <w:sz w:val="24"/>
                <w:szCs w:val="24"/>
                <w:highlight w:val="none"/>
                <w:lang w:val="en-US" w:eastAsia="zh-CN" w:bidi="ar-SA"/>
              </w:rPr>
              <w:t>3</w:t>
            </w:r>
            <w:r>
              <w:rPr>
                <w:rFonts w:hint="eastAsia" w:ascii="宋体" w:hAnsi="宋体" w:eastAsia="宋体" w:cs="宋体"/>
                <w:i w:val="0"/>
                <w:iCs w:val="0"/>
                <w:caps w:val="0"/>
                <w:snapToGrid/>
                <w:spacing w:val="0"/>
                <w:kern w:val="2"/>
                <w:sz w:val="24"/>
                <w:szCs w:val="24"/>
                <w:highlight w:val="none"/>
                <w:lang w:val="en-US" w:eastAsia="zh-CN" w:bidi="ar-SA"/>
              </w:rPr>
              <w:t>分，不满足得0分。</w:t>
            </w:r>
          </w:p>
          <w:p w14:paraId="67EB78B1">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根据提供的人员培训计划，</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4</w:t>
            </w:r>
            <w:r>
              <w:rPr>
                <w:rFonts w:hint="eastAsia" w:ascii="宋体" w:hAnsi="宋体" w:eastAsia="宋体" w:cs="宋体"/>
                <w:i w:val="0"/>
                <w:iCs w:val="0"/>
                <w:caps w:val="0"/>
                <w:snapToGrid/>
                <w:spacing w:val="0"/>
                <w:kern w:val="2"/>
                <w:sz w:val="24"/>
                <w:szCs w:val="24"/>
                <w:highlight w:val="none"/>
                <w:lang w:val="en-US" w:eastAsia="zh-CN" w:bidi="ar-SA"/>
              </w:rPr>
              <w:t>分；方案较完整、合理、可行得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分；不提供不得分。</w:t>
            </w:r>
          </w:p>
        </w:tc>
      </w:tr>
    </w:tbl>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3BF4F62F">
      <w:pPr>
        <w:pStyle w:val="3"/>
        <w:rPr>
          <w:color w:val="000000" w:themeColor="text1"/>
          <w:highlight w:val="none"/>
          <w:shd w:val="clear" w:color="auto" w:fill="FFFFFF"/>
          <w14:textFill>
            <w14:solidFill>
              <w14:schemeClr w14:val="tx1"/>
            </w14:solidFill>
          </w14:textFill>
        </w:rPr>
      </w:pPr>
      <w:r>
        <w:rPr>
          <w:color w:val="000000" w:themeColor="text1"/>
          <w:highlight w:val="none"/>
          <w:shd w:val="clear" w:color="auto" w:fill="FFFFFF"/>
          <w14:textFill>
            <w14:solidFill>
              <w14:schemeClr w14:val="tx1"/>
            </w14:solidFill>
          </w14:textFill>
        </w:rPr>
        <w:br w:type="page"/>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8"/>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8"/>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8"/>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06A9ADB4">
      <w:pP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3"/>
        <w:rPr>
          <w:rFonts w:ascii="宋体" w:hAnsi="宋体" w:cs="宋体"/>
          <w:color w:val="000000" w:themeColor="text1"/>
          <w:szCs w:val="24"/>
          <w:highlight w:val="none"/>
          <w14:textFill>
            <w14:solidFill>
              <w14:schemeClr w14:val="tx1"/>
            </w14:solidFill>
          </w14:textFill>
        </w:rPr>
      </w:pPr>
    </w:p>
    <w:p w14:paraId="4AE75FC5">
      <w:pPr>
        <w:pStyle w:val="23"/>
        <w:rPr>
          <w:rFonts w:ascii="宋体" w:hAnsi="宋体" w:cs="宋体"/>
          <w:color w:val="000000" w:themeColor="text1"/>
          <w:szCs w:val="24"/>
          <w:highlight w:val="none"/>
          <w14:textFill>
            <w14:solidFill>
              <w14:schemeClr w14:val="tx1"/>
            </w14:solidFill>
          </w14:textFill>
        </w:rPr>
      </w:pPr>
    </w:p>
    <w:p w14:paraId="66C201E6">
      <w:pPr>
        <w:pStyle w:val="23"/>
        <w:jc w:val="center"/>
        <w:rPr>
          <w:rFonts w:ascii="宋体" w:hAnsi="宋体" w:cs="宋体"/>
          <w:color w:val="000000" w:themeColor="text1"/>
          <w:szCs w:val="24"/>
          <w:highlight w:val="none"/>
          <w14:textFill>
            <w14:solidFill>
              <w14:schemeClr w14:val="tx1"/>
            </w14:solidFill>
          </w14:textFill>
        </w:rPr>
      </w:pPr>
    </w:p>
    <w:p w14:paraId="55D101C2">
      <w:pPr>
        <w:pStyle w:val="23"/>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3"/>
        <w:rPr>
          <w:rFonts w:ascii="宋体" w:hAnsi="宋体" w:cs="宋体"/>
          <w:color w:val="000000" w:themeColor="text1"/>
          <w:szCs w:val="24"/>
          <w:highlight w:val="none"/>
          <w14:textFill>
            <w14:solidFill>
              <w14:schemeClr w14:val="tx1"/>
            </w14:solidFill>
          </w14:textFill>
        </w:rPr>
      </w:pPr>
    </w:p>
    <w:p w14:paraId="007AB780">
      <w:pPr>
        <w:pStyle w:val="23"/>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4"/>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4"/>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7" w:h="16840"/>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3029"/>
      <w:bookmarkStart w:id="401" w:name="_Toc2232"/>
      <w:bookmarkStart w:id="402" w:name="_Toc24059"/>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4300"/>
      <w:bookmarkStart w:id="404" w:name="_Toc21295"/>
      <w:bookmarkStart w:id="405" w:name="_Toc27126"/>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1551"/>
      <w:bookmarkStart w:id="407" w:name="_Toc21631"/>
      <w:bookmarkStart w:id="408" w:name="_Toc23292"/>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5"/>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5"/>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5"/>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6"/>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22618"/>
      <w:bookmarkStart w:id="410" w:name="_Toc10340"/>
      <w:bookmarkStart w:id="411" w:name="_Toc1814"/>
      <w:r>
        <w:rPr>
          <w:rFonts w:hint="eastAsia"/>
          <w:b/>
          <w:color w:val="000000" w:themeColor="text1"/>
          <w:highlight w:val="none"/>
          <w14:textFill>
            <w14:solidFill>
              <w14:schemeClr w14:val="tx1"/>
            </w14:solidFill>
          </w14:textFill>
        </w:rPr>
        <w:t>1.4履约保证金</w:t>
      </w:r>
    </w:p>
    <w:p w14:paraId="2839E69B">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6"/>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6"/>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6"/>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19304"/>
      <w:bookmarkStart w:id="413" w:name="_Toc2846"/>
      <w:bookmarkStart w:id="414" w:name="_Toc32071"/>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27250"/>
      <w:bookmarkStart w:id="416" w:name="_Toc19554"/>
      <w:bookmarkStart w:id="417" w:name="_Toc21423"/>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28375"/>
      <w:bookmarkStart w:id="419" w:name="_Toc16021"/>
      <w:bookmarkStart w:id="420" w:name="_Toc15583"/>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1173"/>
      <w:bookmarkStart w:id="422" w:name="_Toc7245"/>
      <w:bookmarkStart w:id="423" w:name="_Toc15322"/>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3"/>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Ref467378463"/>
      <w:bookmarkStart w:id="425" w:name="_Toc259093669"/>
      <w:bookmarkStart w:id="426" w:name="_Toc19614"/>
      <w:bookmarkStart w:id="427" w:name="_Toc279701240"/>
      <w:bookmarkStart w:id="428" w:name="_Ref467379109"/>
      <w:bookmarkStart w:id="429" w:name="_Ref467379094"/>
      <w:bookmarkStart w:id="430" w:name="_Ref467379214"/>
      <w:bookmarkStart w:id="431" w:name="_Ref467379225"/>
      <w:bookmarkStart w:id="432" w:name="_Ref467379195"/>
      <w:bookmarkStart w:id="433" w:name="_Toc16917"/>
      <w:bookmarkStart w:id="434" w:name="_Ref467379205"/>
      <w:bookmarkStart w:id="435" w:name="_Ref467378404"/>
      <w:bookmarkStart w:id="436" w:name="_Ref467379101"/>
      <w:bookmarkStart w:id="437" w:name="_Toc487900349"/>
      <w:bookmarkStart w:id="438" w:name="_Toc28763"/>
      <w:bookmarkStart w:id="439" w:name="_Ref467378499"/>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27635"/>
      <w:bookmarkStart w:id="444" w:name="_Toc279701241"/>
      <w:bookmarkStart w:id="445" w:name="_Toc259093670"/>
      <w:bookmarkStart w:id="446" w:name="_Toc13336"/>
      <w:bookmarkStart w:id="447" w:name="_Toc32504"/>
      <w:bookmarkStart w:id="448" w:name="_Toc487900350"/>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487900351"/>
      <w:bookmarkStart w:id="450" w:name="_Toc27853"/>
      <w:bookmarkStart w:id="451" w:name="_Toc31634"/>
      <w:bookmarkStart w:id="452" w:name="_Toc9829"/>
      <w:bookmarkStart w:id="453" w:name="_Toc259093671"/>
      <w:bookmarkStart w:id="454" w:name="_Toc279701242"/>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29149"/>
      <w:bookmarkStart w:id="456" w:name="_Toc11932"/>
      <w:bookmarkStart w:id="457" w:name="_Toc4194"/>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Ref467379536"/>
      <w:bookmarkStart w:id="459" w:name="_Toc487900354"/>
      <w:bookmarkStart w:id="460" w:name="_Ref467379527"/>
      <w:bookmarkStart w:id="461" w:name="_Toc259093674"/>
      <w:bookmarkStart w:id="462" w:name="_Toc279701245"/>
      <w:bookmarkStart w:id="463" w:name="_Ref467378541"/>
      <w:bookmarkStart w:id="464" w:name="_Ref467378591"/>
      <w:bookmarkStart w:id="465" w:name="_Ref467379542"/>
      <w:bookmarkStart w:id="466" w:name="_Toc19074"/>
      <w:bookmarkStart w:id="467" w:name="_Toc26182"/>
      <w:bookmarkStart w:id="468" w:name="_Toc30272"/>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Ref467379793"/>
      <w:bookmarkStart w:id="472" w:name="_Toc259093676"/>
      <w:bookmarkStart w:id="473" w:name="_Toc279701247"/>
      <w:bookmarkStart w:id="474" w:name="_Toc487900357"/>
      <w:bookmarkStart w:id="475"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Toc259093677"/>
      <w:bookmarkStart w:id="478" w:name="_Ref467379863"/>
      <w:bookmarkStart w:id="479" w:name="_Ref467379923"/>
      <w:bookmarkStart w:id="480" w:name="_Ref467379852"/>
      <w:bookmarkStart w:id="481" w:name="_Toc279701248"/>
      <w:bookmarkStart w:id="482" w:name="_Toc487900358"/>
      <w:bookmarkStart w:id="483" w:name="_Toc16110"/>
      <w:bookmarkStart w:id="484" w:name="_Toc774"/>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259093681"/>
      <w:bookmarkStart w:id="489" w:name="_Toc487900362"/>
      <w:bookmarkStart w:id="490"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Toc259093683"/>
      <w:bookmarkStart w:id="494" w:name="_Ref467378121"/>
      <w:bookmarkStart w:id="495" w:name="_Toc487900364"/>
      <w:bookmarkStart w:id="496" w:name="_Toc279701254"/>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22955"/>
      <w:bookmarkStart w:id="501" w:name="_Toc15237"/>
      <w:bookmarkStart w:id="502" w:name="_Toc10366"/>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4066"/>
      <w:bookmarkStart w:id="504" w:name="_Toc16508"/>
      <w:bookmarkStart w:id="505" w:name="_Toc135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279701255"/>
      <w:bookmarkStart w:id="507" w:name="_Toc689"/>
      <w:bookmarkStart w:id="508" w:name="_Toc30676"/>
      <w:bookmarkStart w:id="509" w:name="_Toc487900365"/>
      <w:bookmarkStart w:id="510" w:name="_Toc6969"/>
      <w:bookmarkStart w:id="511" w:name="_Toc259093684"/>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487900368"/>
      <w:bookmarkStart w:id="513" w:name="_Toc279701258"/>
      <w:bookmarkStart w:id="514" w:name="_Toc8298"/>
      <w:bookmarkStart w:id="515" w:name="_Toc16959"/>
      <w:bookmarkStart w:id="516" w:name="_Toc7102"/>
      <w:bookmarkStart w:id="517" w:name="_Toc259093687"/>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15387"/>
      <w:bookmarkStart w:id="519" w:name="_Toc29333"/>
      <w:bookmarkStart w:id="520" w:name="_Toc6134"/>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6596"/>
      <w:bookmarkStart w:id="522" w:name="_Toc1125"/>
      <w:bookmarkStart w:id="523" w:name="_Toc14563"/>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279701261"/>
      <w:bookmarkStart w:id="525" w:name="_Toc259093690"/>
      <w:bookmarkStart w:id="526" w:name="_Toc487900371"/>
      <w:bookmarkStart w:id="527" w:name="_Toc11284"/>
      <w:bookmarkStart w:id="528" w:name="_Toc25182"/>
      <w:bookmarkStart w:id="529" w:name="_Toc1960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6698"/>
      <w:bookmarkStart w:id="531" w:name="_Toc3135"/>
      <w:bookmarkStart w:id="532" w:name="_Toc487900372"/>
      <w:bookmarkStart w:id="533" w:name="_Toc279701262"/>
      <w:bookmarkStart w:id="534" w:name="_Toc259093691"/>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128"/>
      <w:bookmarkStart w:id="536"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30599"/>
      <w:bookmarkStart w:id="538" w:name="_Toc18540"/>
      <w:bookmarkStart w:id="539" w:name="_Toc4355"/>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279701263"/>
      <w:bookmarkStart w:id="541" w:name="_Toc18567"/>
      <w:bookmarkStart w:id="542" w:name="_Toc10330"/>
      <w:bookmarkStart w:id="543" w:name="_Toc12773"/>
      <w:bookmarkStart w:id="544" w:name="_Toc259093692"/>
      <w:bookmarkStart w:id="545" w:name="_Toc4879003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19890"/>
      <w:bookmarkStart w:id="547" w:name="_Toc6885"/>
      <w:bookmarkStart w:id="548" w:name="_Toc14001"/>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2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2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27"/>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29"/>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29"/>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4"/>
      <w:bookmarkStart w:id="553"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DF6F2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DA85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6C00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CDBD41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35DC5AD"/>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4C929">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8DF6">
    <w:pPr>
      <w:pStyle w:val="10"/>
      <w:framePr w:wrap="around" w:vAnchor="text" w:hAnchor="margin" w:xAlign="right" w:y="1"/>
      <w:rPr>
        <w:rStyle w:val="16"/>
      </w:rPr>
    </w:pPr>
    <w:r>
      <w:fldChar w:fldCharType="begin"/>
    </w:r>
    <w:r>
      <w:rPr>
        <w:rStyle w:val="16"/>
      </w:rPr>
      <w:instrText xml:space="preserve">PAGE  </w:instrText>
    </w:r>
    <w:r>
      <w:fldChar w:fldCharType="end"/>
    </w:r>
  </w:p>
  <w:p w14:paraId="729DF471">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1FD13">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64085800"/>
    <w:bookmarkStart w:id="557" w:name="_Toc91899912"/>
    <w:bookmarkStart w:id="558" w:name="_Toc36110187"/>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6"/>
      </w:rPr>
    </w:pPr>
    <w:r>
      <w:fldChar w:fldCharType="begin"/>
    </w:r>
    <w:r>
      <w:rPr>
        <w:rStyle w:val="16"/>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E2549">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9D689">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p w14:paraId="06EEB03B">
    <w:pPr>
      <w:pStyle w:val="11"/>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6D23">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18A4B"/>
    <w:multiLevelType w:val="singleLevel"/>
    <w:tmpl w:val="DF718A4B"/>
    <w:lvl w:ilvl="0" w:tentative="0">
      <w:start w:val="1"/>
      <w:numFmt w:val="decimal"/>
      <w:lvlText w:val="%1."/>
      <w:lvlJc w:val="left"/>
      <w:pPr>
        <w:tabs>
          <w:tab w:val="left" w:pos="312"/>
        </w:tabs>
      </w:pPr>
    </w:lvl>
  </w:abstractNum>
  <w:abstractNum w:abstractNumId="1">
    <w:nsid w:val="04D894CF"/>
    <w:multiLevelType w:val="singleLevel"/>
    <w:tmpl w:val="04D894CF"/>
    <w:lvl w:ilvl="0" w:tentative="0">
      <w:start w:val="1"/>
      <w:numFmt w:val="decimal"/>
      <w:suff w:val="nothing"/>
      <w:lvlText w:val="%1、"/>
      <w:lvlJc w:val="left"/>
    </w:lvl>
  </w:abstractNum>
  <w:abstractNum w:abstractNumId="2">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239B2500"/>
    <w:multiLevelType w:val="multilevel"/>
    <w:tmpl w:val="239B250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46B5DB"/>
    <w:multiLevelType w:val="singleLevel"/>
    <w:tmpl w:val="6E46B5DB"/>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F1493"/>
    <w:rsid w:val="06B225E3"/>
    <w:rsid w:val="0C7358DA"/>
    <w:rsid w:val="0F056591"/>
    <w:rsid w:val="1DAC3E21"/>
    <w:rsid w:val="1DCD29D8"/>
    <w:rsid w:val="1F1B577C"/>
    <w:rsid w:val="21011847"/>
    <w:rsid w:val="21F023B1"/>
    <w:rsid w:val="268D6AED"/>
    <w:rsid w:val="274A6DDF"/>
    <w:rsid w:val="27C53AA2"/>
    <w:rsid w:val="29560760"/>
    <w:rsid w:val="298760C9"/>
    <w:rsid w:val="2A201043"/>
    <w:rsid w:val="2F6616BD"/>
    <w:rsid w:val="2FCE11D0"/>
    <w:rsid w:val="3289460C"/>
    <w:rsid w:val="329536AA"/>
    <w:rsid w:val="335F63E5"/>
    <w:rsid w:val="39047736"/>
    <w:rsid w:val="43784FA8"/>
    <w:rsid w:val="4E2A50F1"/>
    <w:rsid w:val="4F065565"/>
    <w:rsid w:val="509B2984"/>
    <w:rsid w:val="533646AD"/>
    <w:rsid w:val="538850CE"/>
    <w:rsid w:val="53E7226A"/>
    <w:rsid w:val="53FF1493"/>
    <w:rsid w:val="5B460C26"/>
    <w:rsid w:val="5E445326"/>
    <w:rsid w:val="60AC7BE7"/>
    <w:rsid w:val="64CD45D0"/>
    <w:rsid w:val="65E322FD"/>
    <w:rsid w:val="6712276E"/>
    <w:rsid w:val="6A2151A2"/>
    <w:rsid w:val="6DE24C48"/>
    <w:rsid w:val="6E1911DE"/>
    <w:rsid w:val="73733C44"/>
    <w:rsid w:val="7AFF5B39"/>
    <w:rsid w:val="7CE86C9A"/>
    <w:rsid w:val="7E1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qFormat/>
    <w:uiPriority w:val="0"/>
    <w:pPr>
      <w:spacing w:after="120" w:line="276" w:lineRule="auto"/>
      <w:ind w:left="420" w:leftChars="200"/>
      <w:jc w:val="left"/>
    </w:pPr>
    <w:rPr>
      <w:rFonts w:ascii="Calibri" w:hAnsi="Calibri"/>
      <w:kern w:val="0"/>
      <w:sz w:val="22"/>
      <w:szCs w:val="22"/>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1">
    <w:name w:val="不明显强调1"/>
    <w:qFormat/>
    <w:uiPriority w:val="19"/>
    <w:rPr>
      <w:i/>
      <w:iCs/>
    </w:rPr>
  </w:style>
  <w:style w:type="paragraph" w:styleId="22">
    <w:name w:val="List Paragraph"/>
    <w:basedOn w:val="1"/>
    <w:qFormat/>
    <w:uiPriority w:val="34"/>
    <w:pPr>
      <w:spacing w:line="360" w:lineRule="auto"/>
      <w:ind w:firstLine="200" w:firstLineChars="200"/>
    </w:pPr>
    <w:rPr>
      <w:rFonts w:eastAsia="楷体_GB2312" w:cs="Lucida Sans"/>
      <w:sz w:val="24"/>
    </w:rPr>
  </w:style>
  <w:style w:type="paragraph" w:customStyle="1" w:styleId="23">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4">
    <w:name w:val="索引 11"/>
    <w:basedOn w:val="1"/>
    <w:next w:val="1"/>
    <w:qFormat/>
    <w:uiPriority w:val="99"/>
    <w:pPr>
      <w:adjustRightInd/>
      <w:spacing w:line="360" w:lineRule="auto"/>
    </w:pPr>
    <w:rPr>
      <w:rFonts w:ascii="仿宋_GB2312" w:eastAsia="仿宋_GB2312"/>
      <w:sz w:val="24"/>
      <w:szCs w:val="20"/>
    </w:rPr>
  </w:style>
  <w:style w:type="paragraph" w:customStyle="1" w:styleId="25">
    <w:name w:val="纯文本1"/>
    <w:basedOn w:val="1"/>
    <w:qFormat/>
    <w:uiPriority w:val="0"/>
    <w:pPr>
      <w:adjustRightInd/>
    </w:pPr>
    <w:rPr>
      <w:rFonts w:ascii="宋体" w:hAnsi="Courier New"/>
      <w:kern w:val="0"/>
      <w:sz w:val="20"/>
      <w:szCs w:val="20"/>
    </w:rPr>
  </w:style>
  <w:style w:type="paragraph" w:customStyle="1" w:styleId="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13569</Words>
  <Characters>14784</Characters>
  <Lines>0</Lines>
  <Paragraphs>0</Paragraphs>
  <TotalTime>17</TotalTime>
  <ScaleCrop>false</ScaleCrop>
  <LinksUpToDate>false</LinksUpToDate>
  <CharactersWithSpaces>15140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2025-06-05T01:55:00Z</dcterms:created>
  <dc:creator>Kylian 29</dc:creator>
  <cp:lastModifiedBy>Kylian 29</cp:lastModifiedBy>
  <dcterms:modified xsi:type="dcterms:W3CDTF">2025-07-10T03:49:22Z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295659D3225140D6B6083E7D7B5F5489_13</vt:lpwstr>
  </property>
  <property fmtid="{D5CDD505-2E9C-101B-9397-08002B2CF9AE}" pid="4" name="KSOTemplateDocerSaveRecord">
    <vt:lpwstr>eyJoZGlkIjoiYWUwYWFjY2I4ZWFjZDQwY2Y2NGM4Y2Y3NTBlZTY2MTQiLCJ1c2VySWQiOiI0NDM0ODIzNDQifQ==</vt:lpwstr>
  </property>
</Properties>
</file>