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A1" w:rsidRDefault="00FF13A1" w:rsidP="00FF13A1">
      <w:pPr>
        <w:spacing w:line="420" w:lineRule="exact"/>
        <w:rPr>
          <w:rFonts w:hint="eastAsia"/>
          <w:b/>
          <w:sz w:val="22"/>
        </w:rPr>
      </w:pPr>
      <w:r>
        <w:rPr>
          <w:rFonts w:ascii="宋体" w:hAnsi="宋体" w:hint="eastAsia"/>
          <w:b/>
          <w:color w:val="000000"/>
          <w:sz w:val="22"/>
          <w:szCs w:val="22"/>
        </w:rPr>
        <w:t>1、</w:t>
      </w:r>
      <w:r>
        <w:rPr>
          <w:rFonts w:hint="eastAsia"/>
          <w:b/>
          <w:sz w:val="22"/>
        </w:rPr>
        <w:t>详细采购需求（供应商报价为单价综合折扣率，按实际结算。）</w:t>
      </w:r>
    </w:p>
    <w:tbl>
      <w:tblPr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070"/>
        <w:gridCol w:w="1067"/>
        <w:gridCol w:w="1245"/>
      </w:tblGrid>
      <w:tr w:rsidR="00FF13A1" w:rsidRPr="006D448D" w:rsidTr="00FF13A1">
        <w:tblPrEx>
          <w:tblCellMar>
            <w:left w:w="0" w:type="dxa"/>
            <w:right w:w="0" w:type="dxa"/>
          </w:tblCellMar>
        </w:tblPrEx>
        <w:trPr>
          <w:trHeight w:val="627"/>
          <w:tblHeader/>
        </w:trPr>
        <w:tc>
          <w:tcPr>
            <w:tcW w:w="1060" w:type="dxa"/>
            <w:shd w:val="clear" w:color="auto" w:fill="auto"/>
            <w:vAlign w:val="center"/>
          </w:tcPr>
          <w:p w:rsidR="00FF13A1" w:rsidRPr="006D448D" w:rsidRDefault="00FF13A1" w:rsidP="00CE0F63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60"/>
              <w:ind w:right="-6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bookmarkStart w:id="0" w:name="_GoBack"/>
            <w:bookmarkEnd w:id="0"/>
            <w:r w:rsidRPr="006D448D">
              <w:rPr>
                <w:rFonts w:ascii="宋体" w:hAnsi="宋体" w:cs="宋体" w:hint="eastAsia"/>
                <w:b/>
                <w:sz w:val="22"/>
                <w:szCs w:val="22"/>
              </w:rPr>
              <w:t>项目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FF13A1" w:rsidRPr="006D448D" w:rsidRDefault="00FF13A1" w:rsidP="00CE0F63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60"/>
              <w:ind w:right="-6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F13A1" w:rsidRPr="006D448D" w:rsidRDefault="00FF13A1" w:rsidP="00CE0F63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60"/>
              <w:ind w:right="-6"/>
              <w:rPr>
                <w:rFonts w:ascii="宋体" w:hAnsi="宋体" w:cs="宋体"/>
                <w:b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F13A1" w:rsidRPr="006D448D" w:rsidRDefault="00FF13A1" w:rsidP="00CE0F63"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spacing w:before="60"/>
              <w:ind w:right="-6"/>
              <w:rPr>
                <w:rFonts w:ascii="宋体" w:hAnsi="宋体" w:cs="宋体"/>
                <w:b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b/>
                <w:sz w:val="22"/>
                <w:szCs w:val="22"/>
              </w:rPr>
              <w:t>单价</w:t>
            </w:r>
          </w:p>
        </w:tc>
      </w:tr>
      <w:tr w:rsidR="00FF13A1" w:rsidRPr="006D448D" w:rsidTr="00FF13A1">
        <w:tblPrEx>
          <w:tblCellMar>
            <w:left w:w="0" w:type="dxa"/>
            <w:right w:w="0" w:type="dxa"/>
          </w:tblCellMar>
        </w:tblPrEx>
        <w:trPr>
          <w:trHeight w:val="936"/>
        </w:trPr>
        <w:tc>
          <w:tcPr>
            <w:tcW w:w="1060" w:type="dxa"/>
            <w:shd w:val="clear" w:color="auto" w:fill="auto"/>
            <w:vAlign w:val="center"/>
          </w:tcPr>
          <w:p w:rsidR="00FF13A1" w:rsidRPr="006D448D" w:rsidRDefault="00FF13A1" w:rsidP="00FF13A1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智能电子磅秤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说明：</w:t>
            </w:r>
            <w:bookmarkStart w:id="1" w:name="OLE_LINK1"/>
            <w:bookmarkStart w:id="2" w:name="OLE_LINK2"/>
            <w:r w:rsidRPr="006D448D">
              <w:rPr>
                <w:rFonts w:ascii="宋体" w:hAnsi="宋体" w:cs="宋体" w:hint="eastAsia"/>
                <w:sz w:val="22"/>
                <w:szCs w:val="22"/>
              </w:rPr>
              <w:t>★</w:t>
            </w:r>
            <w:bookmarkEnd w:id="1"/>
            <w:bookmarkEnd w:id="2"/>
            <w:r w:rsidRPr="006D448D">
              <w:rPr>
                <w:rFonts w:ascii="宋体" w:hAnsi="宋体" w:cs="宋体" w:hint="eastAsia"/>
                <w:sz w:val="22"/>
                <w:szCs w:val="22"/>
              </w:rPr>
              <w:t>1、底盘采用优质201发纹贴塑不锈钢板制作，屏幕尺寸≥15英寸；背光类型：LED 背光；显示分辨率：1920*1080；对比度：1000：1；响应时间：≤8ms；可视角度： 85/85/80/80 (Typ.)(CR≥10)；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2、电容式G+G触摸屏，支持10点触控；响应速度：≤25ms；触摸精度：≤2mm；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★3、主板：CPU≥四核，主频率：1.8GHz，内存≥2G DDR3，存储≥8G；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★4、网络接口支持：RJ45有线网络、WIFI无线网络；网络支持：3G、以太网、支持</w:t>
            </w:r>
            <w:proofErr w:type="spellStart"/>
            <w:r w:rsidRPr="006D448D">
              <w:rPr>
                <w:rFonts w:ascii="宋体" w:hAnsi="宋体" w:cs="宋体" w:hint="eastAsia"/>
                <w:sz w:val="22"/>
                <w:szCs w:val="22"/>
              </w:rPr>
              <w:t>WiFi</w:t>
            </w:r>
            <w:proofErr w:type="spellEnd"/>
            <w:r w:rsidRPr="006D448D">
              <w:rPr>
                <w:rFonts w:ascii="宋体" w:hAnsi="宋体" w:cs="宋体" w:hint="eastAsia"/>
                <w:sz w:val="22"/>
                <w:szCs w:val="22"/>
              </w:rPr>
              <w:t>/</w:t>
            </w:r>
            <w:proofErr w:type="gramStart"/>
            <w:r w:rsidRPr="006D448D">
              <w:rPr>
                <w:rFonts w:ascii="宋体" w:hAnsi="宋体" w:cs="宋体" w:hint="eastAsia"/>
                <w:sz w:val="22"/>
                <w:szCs w:val="22"/>
              </w:rPr>
              <w:t>蓝牙</w:t>
            </w:r>
            <w:proofErr w:type="gramEnd"/>
            <w:r w:rsidRPr="006D448D">
              <w:rPr>
                <w:rFonts w:ascii="宋体" w:hAnsi="宋体" w:cs="宋体" w:hint="eastAsia"/>
                <w:sz w:val="22"/>
                <w:szCs w:val="22"/>
              </w:rPr>
              <w:t>4.0、无线外设扩展；4G网络：支持PCI-E4G全网通模块；USB接口：2个USB HOST、4个USB插座；串口支持≥6个可扩展串口（2个RS232串口，1个TTL串口，1个485）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定时开关机：支持多组定时开关机设定GPIO：支持5个GPIO接口；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★5、采用Mali-T764 GPU（或性能相当及以上），支持4K、H.265硬解码；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6、系统定制：支持Android系统定制，提供系统调用接口API 参考代码支持客户上层应用APP开发；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★7、称重模块：材质铝合金；额定负荷≥100KG；精度等级：OIML C3；防护等级：IP66/IP67；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8、像素≥200W，分辨率：1600*1200，目标距离：15CM-130CM，视场角：120°；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★9、电源输入：AC220V；整机功耗：≤60W；整机净重：≤20 kg；使用温度：0℃~50℃；存储温度：-20℃~60℃；环境湿度：10%~90%；喇叭：8</w:t>
            </w:r>
            <w:r w:rsidRPr="006D448D">
              <w:rPr>
                <w:rFonts w:ascii="Times New Roman" w:hAnsi="Times New Roman"/>
                <w:sz w:val="22"/>
                <w:szCs w:val="22"/>
              </w:rPr>
              <w:t>Ω</w:t>
            </w:r>
            <w:r w:rsidRPr="006D448D">
              <w:rPr>
                <w:rFonts w:ascii="宋体" w:hAnsi="宋体" w:cs="宋体" w:hint="eastAsia"/>
                <w:sz w:val="22"/>
                <w:szCs w:val="22"/>
              </w:rPr>
              <w:t>10W；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★10、支持行式热敏打印，打印分辨率≥203dpi；打印速度≥150MM/秒；供电电压：DC24V；通信接口：USB2.0接口；其它：可</w:t>
            </w:r>
            <w:proofErr w:type="gramStart"/>
            <w:r w:rsidRPr="006D448D">
              <w:rPr>
                <w:rFonts w:ascii="宋体" w:hAnsi="宋体" w:cs="宋体" w:hint="eastAsia"/>
                <w:sz w:val="22"/>
                <w:szCs w:val="22"/>
              </w:rPr>
              <w:t>扩展黑标检测</w:t>
            </w:r>
            <w:proofErr w:type="gramEnd"/>
            <w:r w:rsidRPr="006D448D">
              <w:rPr>
                <w:rFonts w:ascii="宋体" w:hAnsi="宋体" w:cs="宋体" w:hint="eastAsia"/>
                <w:sz w:val="22"/>
                <w:szCs w:val="22"/>
              </w:rPr>
              <w:t>、缺纸报警、纸将尽（少纸）提醒；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11、可支持选配电池等移动电源、无线方式连接扩展屏操作；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★12、支持优先完成验收操作，后台不断上传验收图片，在验收高峰期或网络不稳定的场景中，率先保证验收速度。</w:t>
            </w:r>
          </w:p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★13、所投设备能按照采购人需求数据要求无缝对接浙江省教育厅</w:t>
            </w:r>
            <w:proofErr w:type="gramStart"/>
            <w:r w:rsidRPr="006D448D">
              <w:rPr>
                <w:rFonts w:ascii="宋体" w:hAnsi="宋体" w:cs="宋体" w:hint="eastAsia"/>
                <w:sz w:val="22"/>
                <w:szCs w:val="22"/>
              </w:rPr>
              <w:t>校园智治一件</w:t>
            </w:r>
            <w:proofErr w:type="gramEnd"/>
            <w:r w:rsidRPr="006D448D">
              <w:rPr>
                <w:rFonts w:ascii="宋体" w:hAnsi="宋体" w:cs="宋体" w:hint="eastAsia"/>
                <w:sz w:val="22"/>
                <w:szCs w:val="22"/>
              </w:rPr>
              <w:t>事系统。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2"/>
                <w:szCs w:val="22"/>
              </w:rPr>
              <w:t>1台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F13A1" w:rsidRPr="006D448D" w:rsidRDefault="00FF13A1" w:rsidP="00CE0F63">
            <w:pPr>
              <w:rPr>
                <w:rFonts w:ascii="宋体" w:hAnsi="宋体" w:cs="宋体"/>
                <w:sz w:val="22"/>
                <w:szCs w:val="22"/>
              </w:rPr>
            </w:pPr>
            <w:r w:rsidRPr="006D448D">
              <w:rPr>
                <w:rFonts w:ascii="宋体" w:hAnsi="宋体" w:cs="宋体" w:hint="eastAsia"/>
                <w:sz w:val="21"/>
                <w:szCs w:val="21"/>
              </w:rPr>
              <w:t>9500</w:t>
            </w:r>
            <w:r>
              <w:rPr>
                <w:rFonts w:ascii="宋体" w:hAnsi="宋体" w:cs="宋体" w:hint="eastAsia"/>
                <w:sz w:val="21"/>
                <w:szCs w:val="21"/>
              </w:rPr>
              <w:t>（元）</w:t>
            </w:r>
          </w:p>
        </w:tc>
      </w:tr>
    </w:tbl>
    <w:p w:rsidR="003E48A9" w:rsidRDefault="003E48A9"/>
    <w:sectPr w:rsidR="003E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FA" w:rsidRDefault="004354FA" w:rsidP="00FF13A1">
      <w:r>
        <w:separator/>
      </w:r>
    </w:p>
  </w:endnote>
  <w:endnote w:type="continuationSeparator" w:id="0">
    <w:p w:rsidR="004354FA" w:rsidRDefault="004354FA" w:rsidP="00FF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FA" w:rsidRDefault="004354FA" w:rsidP="00FF13A1">
      <w:r>
        <w:separator/>
      </w:r>
    </w:p>
  </w:footnote>
  <w:footnote w:type="continuationSeparator" w:id="0">
    <w:p w:rsidR="004354FA" w:rsidRDefault="004354FA" w:rsidP="00FF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1397"/>
    <w:multiLevelType w:val="singleLevel"/>
    <w:tmpl w:val="64BE139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68"/>
    <w:rsid w:val="00003C63"/>
    <w:rsid w:val="00004A97"/>
    <w:rsid w:val="00017212"/>
    <w:rsid w:val="000320FE"/>
    <w:rsid w:val="00037750"/>
    <w:rsid w:val="0006227A"/>
    <w:rsid w:val="00073057"/>
    <w:rsid w:val="00077536"/>
    <w:rsid w:val="000A5625"/>
    <w:rsid w:val="000E5451"/>
    <w:rsid w:val="001170B2"/>
    <w:rsid w:val="00141D5A"/>
    <w:rsid w:val="00193885"/>
    <w:rsid w:val="001939CC"/>
    <w:rsid w:val="001A0634"/>
    <w:rsid w:val="001A24BF"/>
    <w:rsid w:val="001C0411"/>
    <w:rsid w:val="001C5267"/>
    <w:rsid w:val="001D393C"/>
    <w:rsid w:val="0020250A"/>
    <w:rsid w:val="0021146D"/>
    <w:rsid w:val="0021433C"/>
    <w:rsid w:val="00236449"/>
    <w:rsid w:val="002515EB"/>
    <w:rsid w:val="0025601D"/>
    <w:rsid w:val="00287311"/>
    <w:rsid w:val="002955CD"/>
    <w:rsid w:val="002B04CB"/>
    <w:rsid w:val="002B5E3D"/>
    <w:rsid w:val="002C0E6B"/>
    <w:rsid w:val="002C167C"/>
    <w:rsid w:val="002D1367"/>
    <w:rsid w:val="002D3CCF"/>
    <w:rsid w:val="002F67D7"/>
    <w:rsid w:val="003023EF"/>
    <w:rsid w:val="00316B06"/>
    <w:rsid w:val="00323554"/>
    <w:rsid w:val="003238F5"/>
    <w:rsid w:val="003465F6"/>
    <w:rsid w:val="00353BDD"/>
    <w:rsid w:val="0036326A"/>
    <w:rsid w:val="003C0C37"/>
    <w:rsid w:val="003C2A0B"/>
    <w:rsid w:val="003C4144"/>
    <w:rsid w:val="003E3E99"/>
    <w:rsid w:val="003E48A9"/>
    <w:rsid w:val="003F12A1"/>
    <w:rsid w:val="004014D4"/>
    <w:rsid w:val="00404691"/>
    <w:rsid w:val="00426212"/>
    <w:rsid w:val="00430E87"/>
    <w:rsid w:val="0043356C"/>
    <w:rsid w:val="004354FA"/>
    <w:rsid w:val="004757EA"/>
    <w:rsid w:val="004807ED"/>
    <w:rsid w:val="0049448F"/>
    <w:rsid w:val="004C5350"/>
    <w:rsid w:val="004D0DDD"/>
    <w:rsid w:val="004E66C9"/>
    <w:rsid w:val="004F0F54"/>
    <w:rsid w:val="004F1E3A"/>
    <w:rsid w:val="004F6CA9"/>
    <w:rsid w:val="0050036F"/>
    <w:rsid w:val="0051729C"/>
    <w:rsid w:val="00531256"/>
    <w:rsid w:val="00536D7C"/>
    <w:rsid w:val="00537B56"/>
    <w:rsid w:val="00541F02"/>
    <w:rsid w:val="00546A65"/>
    <w:rsid w:val="005502C9"/>
    <w:rsid w:val="00561C0C"/>
    <w:rsid w:val="00570234"/>
    <w:rsid w:val="005754B7"/>
    <w:rsid w:val="00581271"/>
    <w:rsid w:val="0058265A"/>
    <w:rsid w:val="00585D06"/>
    <w:rsid w:val="0058789F"/>
    <w:rsid w:val="00590510"/>
    <w:rsid w:val="005C1C86"/>
    <w:rsid w:val="005C3292"/>
    <w:rsid w:val="005C7A5C"/>
    <w:rsid w:val="005D3310"/>
    <w:rsid w:val="005D60D5"/>
    <w:rsid w:val="005E43FA"/>
    <w:rsid w:val="005F2A56"/>
    <w:rsid w:val="00606F7D"/>
    <w:rsid w:val="00611A7E"/>
    <w:rsid w:val="0062387F"/>
    <w:rsid w:val="00637EEC"/>
    <w:rsid w:val="00657E8E"/>
    <w:rsid w:val="00672614"/>
    <w:rsid w:val="00677E3E"/>
    <w:rsid w:val="00696260"/>
    <w:rsid w:val="006C0B8D"/>
    <w:rsid w:val="006C2037"/>
    <w:rsid w:val="006C5916"/>
    <w:rsid w:val="006D485B"/>
    <w:rsid w:val="006D7C54"/>
    <w:rsid w:val="006E24C5"/>
    <w:rsid w:val="006E36A3"/>
    <w:rsid w:val="006E58E5"/>
    <w:rsid w:val="006F2BDF"/>
    <w:rsid w:val="00706282"/>
    <w:rsid w:val="00707603"/>
    <w:rsid w:val="00736A09"/>
    <w:rsid w:val="007425D3"/>
    <w:rsid w:val="00760CDD"/>
    <w:rsid w:val="00763C8E"/>
    <w:rsid w:val="00777E18"/>
    <w:rsid w:val="00783511"/>
    <w:rsid w:val="0079370F"/>
    <w:rsid w:val="007A40D1"/>
    <w:rsid w:val="007B06B0"/>
    <w:rsid w:val="007B600B"/>
    <w:rsid w:val="007D4274"/>
    <w:rsid w:val="007F0A88"/>
    <w:rsid w:val="008054EA"/>
    <w:rsid w:val="0081293F"/>
    <w:rsid w:val="00816C21"/>
    <w:rsid w:val="00834A3F"/>
    <w:rsid w:val="00841783"/>
    <w:rsid w:val="00842A68"/>
    <w:rsid w:val="00842FB3"/>
    <w:rsid w:val="0085728D"/>
    <w:rsid w:val="0087508E"/>
    <w:rsid w:val="008A5BC3"/>
    <w:rsid w:val="008B1959"/>
    <w:rsid w:val="008B2619"/>
    <w:rsid w:val="008C4B53"/>
    <w:rsid w:val="008C544A"/>
    <w:rsid w:val="008D497C"/>
    <w:rsid w:val="008E6976"/>
    <w:rsid w:val="008E6A41"/>
    <w:rsid w:val="008F6FD1"/>
    <w:rsid w:val="00906CF6"/>
    <w:rsid w:val="0097069D"/>
    <w:rsid w:val="009717A3"/>
    <w:rsid w:val="00976C8D"/>
    <w:rsid w:val="00986BB3"/>
    <w:rsid w:val="009878FE"/>
    <w:rsid w:val="009A5748"/>
    <w:rsid w:val="009B6105"/>
    <w:rsid w:val="009E4CCB"/>
    <w:rsid w:val="009F243E"/>
    <w:rsid w:val="009F3200"/>
    <w:rsid w:val="00A1177F"/>
    <w:rsid w:val="00A14D58"/>
    <w:rsid w:val="00A207C3"/>
    <w:rsid w:val="00A20F85"/>
    <w:rsid w:val="00A320DD"/>
    <w:rsid w:val="00A40B2B"/>
    <w:rsid w:val="00A44F12"/>
    <w:rsid w:val="00A66DD1"/>
    <w:rsid w:val="00A81485"/>
    <w:rsid w:val="00A81C48"/>
    <w:rsid w:val="00A87321"/>
    <w:rsid w:val="00A87792"/>
    <w:rsid w:val="00AA74C0"/>
    <w:rsid w:val="00AB0407"/>
    <w:rsid w:val="00AB4230"/>
    <w:rsid w:val="00AF6779"/>
    <w:rsid w:val="00B036E8"/>
    <w:rsid w:val="00B13591"/>
    <w:rsid w:val="00B41871"/>
    <w:rsid w:val="00B9145D"/>
    <w:rsid w:val="00BB0EC9"/>
    <w:rsid w:val="00C10813"/>
    <w:rsid w:val="00C15770"/>
    <w:rsid w:val="00C24346"/>
    <w:rsid w:val="00C3311D"/>
    <w:rsid w:val="00C35E51"/>
    <w:rsid w:val="00C40B60"/>
    <w:rsid w:val="00C51C9F"/>
    <w:rsid w:val="00C56599"/>
    <w:rsid w:val="00C878CB"/>
    <w:rsid w:val="00C958AE"/>
    <w:rsid w:val="00CB7DEA"/>
    <w:rsid w:val="00CC093E"/>
    <w:rsid w:val="00CC5074"/>
    <w:rsid w:val="00D16178"/>
    <w:rsid w:val="00D16C8F"/>
    <w:rsid w:val="00D25589"/>
    <w:rsid w:val="00D652A5"/>
    <w:rsid w:val="00D73F19"/>
    <w:rsid w:val="00D842A2"/>
    <w:rsid w:val="00D84D73"/>
    <w:rsid w:val="00D85EC8"/>
    <w:rsid w:val="00D96A80"/>
    <w:rsid w:val="00DA3470"/>
    <w:rsid w:val="00DB7F6C"/>
    <w:rsid w:val="00DD4776"/>
    <w:rsid w:val="00DE296B"/>
    <w:rsid w:val="00DF1542"/>
    <w:rsid w:val="00E107A6"/>
    <w:rsid w:val="00E25814"/>
    <w:rsid w:val="00E27DDD"/>
    <w:rsid w:val="00EA4B5A"/>
    <w:rsid w:val="00EC13B4"/>
    <w:rsid w:val="00EC1759"/>
    <w:rsid w:val="00EC24C3"/>
    <w:rsid w:val="00ED13FC"/>
    <w:rsid w:val="00F024C6"/>
    <w:rsid w:val="00F075C2"/>
    <w:rsid w:val="00F31056"/>
    <w:rsid w:val="00F3729C"/>
    <w:rsid w:val="00F53CA5"/>
    <w:rsid w:val="00F55951"/>
    <w:rsid w:val="00F92FC7"/>
    <w:rsid w:val="00F937C0"/>
    <w:rsid w:val="00F9431F"/>
    <w:rsid w:val="00F96E4E"/>
    <w:rsid w:val="00FB1FAE"/>
    <w:rsid w:val="00FB271B"/>
    <w:rsid w:val="00FE2D39"/>
    <w:rsid w:val="00FF13A1"/>
    <w:rsid w:val="00FF7C87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13A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F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F13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F13A1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F13A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F13A1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F13A1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FF13A1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F13A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F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F13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F13A1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F13A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F13A1"/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F13A1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FF13A1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2025-07-04T09:26:00Z</dcterms:created>
  <dcterms:modified xsi:type="dcterms:W3CDTF">2025-07-04T09:27:00Z</dcterms:modified>
</cp:coreProperties>
</file>