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亚运安保警用装备采购项目</w:t>
      </w:r>
    </w:p>
    <w:p>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QTCG-GK-2023-139</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杭州市公安局钱塘区分局</w:t>
      </w:r>
    </w:p>
    <w:p>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杭州浙经华道企业管理咨询有限公司</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二〇二三年</w:t>
      </w:r>
      <w:r>
        <w:rPr>
          <w:rFonts w:hint="eastAsia" w:ascii="宋体" w:hAnsi="宋体" w:cs="宋体"/>
          <w:bCs/>
          <w:color w:val="auto"/>
          <w:sz w:val="32"/>
          <w:szCs w:val="32"/>
          <w:highlight w:val="none"/>
          <w:lang w:eastAsia="zh-CN"/>
        </w:rPr>
        <w:t>五</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eastAsia="zh-CN"/>
        </w:rPr>
        <w:t>十八</w:t>
      </w:r>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亚运安保警用装备采购项目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2023</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6</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26</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9</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val="en-US" w:eastAsia="zh-CN"/>
        </w:rPr>
        <w:t>30</w:t>
      </w:r>
      <w:r>
        <w:rPr>
          <w:rStyle w:val="76"/>
          <w:rFonts w:hint="eastAsia" w:cs="Times New Roman" w:asciiTheme="minorEastAsia" w:hAnsiTheme="minorEastAsia" w:eastAsiaTheme="minorEastAsia"/>
          <w:snapToGrid/>
          <w:color w:val="auto"/>
          <w:kern w:val="2"/>
          <w:sz w:val="24"/>
          <w:szCs w:val="24"/>
          <w:highlight w:val="none"/>
        </w:rPr>
        <w:t>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QTCG-GK-2023-139</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亚运安保警用装备采购项目</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预算金额（元）：</w:t>
      </w:r>
      <w:r>
        <w:rPr>
          <w:rFonts w:hint="eastAsia" w:ascii="宋体" w:hAnsi="宋体" w:cs="宋体"/>
          <w:b/>
          <w:color w:val="auto"/>
          <w:sz w:val="24"/>
          <w:highlight w:val="none"/>
          <w:lang w:val="en-US" w:eastAsia="zh-CN"/>
        </w:rPr>
        <w:t>1050000</w:t>
      </w:r>
    </w:p>
    <w:p>
      <w:pPr>
        <w:spacing w:line="360" w:lineRule="auto"/>
        <w:ind w:firstLine="241" w:firstLineChars="10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1050000</w:t>
      </w:r>
    </w:p>
    <w:p>
      <w:pPr>
        <w:pStyle w:val="18"/>
        <w:spacing w:line="360" w:lineRule="auto"/>
        <w:ind w:firstLine="241" w:firstLineChars="10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亚运安保警用装备采购项目</w:t>
      </w:r>
      <w:r>
        <w:rPr>
          <w:rFonts w:hint="eastAsia" w:hAnsi="宋体" w:cs="宋体"/>
          <w:bCs/>
          <w:snapToGrid/>
          <w:color w:val="auto"/>
          <w:kern w:val="2"/>
          <w:sz w:val="24"/>
          <w:szCs w:val="24"/>
          <w:highlight w:val="none"/>
        </w:rPr>
        <w:t>主要内容</w:t>
      </w:r>
      <w:r>
        <w:rPr>
          <w:rFonts w:hint="eastAsia" w:asciiTheme="minorEastAsia" w:hAnsiTheme="minorEastAsia" w:eastAsiaTheme="minorEastAsia"/>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lang w:val="en-US" w:eastAsia="zh-CN"/>
        </w:rPr>
        <w:t>肩灯、尼龙白色三件套（对讲机包、手电筒包、工作包）、救生衣、催泪喷射器、新式手铐</w:t>
      </w:r>
      <w:r>
        <w:rPr>
          <w:rFonts w:hint="eastAsia" w:hAnsi="宋体" w:cs="宋体"/>
          <w:color w:val="auto"/>
          <w:sz w:val="24"/>
          <w:highlight w:val="none"/>
        </w:rPr>
        <w:t>等设备购置</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r>
        <w:rPr>
          <w:rFonts w:hint="eastAsia" w:hAnsi="宋体" w:cs="宋体"/>
          <w:color w:val="auto"/>
          <w:sz w:val="24"/>
          <w:highlight w:val="none"/>
        </w:rPr>
        <w:t xml:space="preserve"> </w:t>
      </w:r>
    </w:p>
    <w:p>
      <w:pPr>
        <w:pStyle w:val="18"/>
        <w:spacing w:line="360" w:lineRule="auto"/>
        <w:ind w:firstLine="480"/>
        <w:rPr>
          <w:rFonts w:ascii="宋体" w:hAnsi="宋体" w:cs="宋体"/>
          <w:color w:val="auto"/>
          <w:highlight w:val="none"/>
        </w:rPr>
      </w:pPr>
      <w:r>
        <w:rPr>
          <w:rFonts w:hint="eastAsia" w:hAnsi="宋体" w:cs="宋体"/>
          <w:b/>
          <w:color w:val="auto"/>
          <w:sz w:val="24"/>
          <w:highlight w:val="none"/>
        </w:rPr>
        <w:t>合同履约期限：详见招标文件第三部分采购需求</w:t>
      </w:r>
      <w:r>
        <w:rPr>
          <w:rFonts w:hint="eastAsia" w:ascii="宋体" w:hAnsi="宋体" w:cs="宋体"/>
          <w:b/>
          <w:color w:val="auto"/>
          <w:highlight w:val="none"/>
        </w:rPr>
        <w:t xml:space="preserve">。 </w:t>
      </w:r>
    </w:p>
    <w:p>
      <w:pPr>
        <w:pStyle w:val="18"/>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hint="eastAsia"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2023年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2023年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hint="eastAsia" w:ascii="宋体" w:hAnsi="宋体" w:eastAsia="宋体" w:cs="宋体"/>
          <w:bCs/>
          <w:color w:val="auto"/>
          <w:sz w:val="24"/>
          <w:szCs w:val="24"/>
          <w:highlight w:val="none"/>
          <w:u w:val="single"/>
        </w:rPr>
      </w:pPr>
      <w:r>
        <w:rPr>
          <w:rFonts w:hint="eastAsia" w:ascii="宋体" w:hAnsi="宋体" w:cs="宋体"/>
          <w:b/>
          <w:color w:val="auto"/>
          <w:sz w:val="24"/>
          <w:highlight w:val="none"/>
        </w:rPr>
        <w:t>开标时</w:t>
      </w:r>
      <w:r>
        <w:rPr>
          <w:rFonts w:hint="eastAsia" w:ascii="宋体" w:hAnsi="宋体" w:eastAsia="宋体" w:cs="宋体"/>
          <w:b/>
          <w:color w:val="auto"/>
          <w:sz w:val="24"/>
          <w:szCs w:val="24"/>
          <w:highlight w:val="none"/>
        </w:rPr>
        <w:t>间：</w:t>
      </w:r>
      <w:r>
        <w:rPr>
          <w:rFonts w:hint="eastAsia" w:ascii="宋体" w:hAnsi="宋体" w:eastAsia="宋体" w:cs="宋体"/>
          <w:color w:val="auto"/>
          <w:sz w:val="24"/>
          <w:szCs w:val="24"/>
          <w:highlight w:val="none"/>
          <w:u w:val="single"/>
        </w:rPr>
        <w:t>2023年</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26</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点</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分00秒</w:t>
      </w:r>
    </w:p>
    <w:p>
      <w:pPr>
        <w:pStyle w:val="6"/>
        <w:ind w:left="434" w:leftChars="202" w:hanging="10" w:hangingChars="4"/>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开标地点（网址）：</w:t>
      </w:r>
      <w:r>
        <w:rPr>
          <w:rFonts w:hint="eastAsia" w:ascii="宋体" w:hAnsi="宋体" w:eastAsia="宋体" w:cs="宋体"/>
          <w:color w:val="auto"/>
          <w:sz w:val="24"/>
          <w:szCs w:val="24"/>
          <w:highlight w:val="none"/>
        </w:rPr>
        <w:t>政采云平台（https://www.zcygov.cn/）</w:t>
      </w:r>
    </w:p>
    <w:p>
      <w:pPr>
        <w:pStyle w:val="6"/>
        <w:ind w:left="434" w:leftChars="202" w:hanging="10" w:hangingChars="4"/>
        <w:rPr>
          <w:rFonts w:hint="eastAsia" w:ascii="宋体" w:hAnsi="宋体" w:eastAsia="宋体" w:cs="宋体"/>
          <w:color w:val="auto"/>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bidi="ar-SA"/>
        </w:rPr>
        <w:t>线下开标地点：</w:t>
      </w:r>
      <w:r>
        <w:rPr>
          <w:rFonts w:hint="eastAsia" w:ascii="宋体" w:hAnsi="宋体" w:eastAsia="宋体" w:cs="宋体"/>
          <w:b w:val="0"/>
          <w:bCs w:val="0"/>
          <w:color w:val="auto"/>
          <w:sz w:val="24"/>
          <w:szCs w:val="24"/>
          <w:highlight w:val="none"/>
          <w:lang w:eastAsia="zh-CN"/>
        </w:rPr>
        <w:t>杭州市钱塘区金沙大道</w:t>
      </w:r>
      <w:r>
        <w:rPr>
          <w:rFonts w:hint="eastAsia" w:ascii="宋体" w:hAnsi="宋体" w:eastAsia="宋体" w:cs="宋体"/>
          <w:b w:val="0"/>
          <w:bCs w:val="0"/>
          <w:color w:val="auto"/>
          <w:sz w:val="24"/>
          <w:szCs w:val="24"/>
          <w:highlight w:val="none"/>
          <w:lang w:val="en-US" w:eastAsia="zh-CN"/>
        </w:rPr>
        <w:t>600号东楼6楼</w:t>
      </w:r>
      <w:r>
        <w:rPr>
          <w:rFonts w:hint="eastAsia" w:ascii="宋体" w:hAnsi="宋体" w:eastAsia="宋体" w:cs="宋体"/>
          <w:b w:val="0"/>
          <w:bCs w:val="0"/>
          <w:color w:val="auto"/>
          <w:sz w:val="24"/>
          <w:szCs w:val="24"/>
          <w:highlight w:val="none"/>
          <w:u w:val="single"/>
          <w:lang w:val="en-US" w:eastAsia="zh-CN"/>
        </w:rPr>
        <w:t>4</w:t>
      </w:r>
      <w:r>
        <w:rPr>
          <w:rFonts w:hint="eastAsia" w:ascii="宋体" w:hAnsi="宋体" w:eastAsia="宋体" w:cs="宋体"/>
          <w:b w:val="0"/>
          <w:bCs w:val="0"/>
          <w:color w:val="auto"/>
          <w:sz w:val="24"/>
          <w:szCs w:val="24"/>
          <w:highlight w:val="none"/>
          <w:lang w:val="en-US" w:eastAsia="zh-CN"/>
        </w:rPr>
        <w:t>号开标室</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称：杭州市公安局钱塘区分局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址：杭州市钱塘区学林街1616号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项目联系人（询问）：张警官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项目联系方式（询问）：13666678919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质疑联系人：俞警官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质疑联系方式：13675830428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称：杭州浙经华道企业管理咨询有限公司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址：杭州市拱墅区长浜路15号8楼（长浜路和听胜弄交叉口玻璃楼）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项目联系人（询问）：陈工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项目联系方式（询问）：15306576792/13357182638</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质疑联系人：胡工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质疑联系方式：13357182638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称：杭州市钱塘区财政局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址：杭州市钱塘区青六北路499号钱塘中心5号楼</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传    真：0571-89535550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：任女士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监督投诉电话：0571-89535530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5"/>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bidi w:val="0"/>
        <w:rPr>
          <w:color w:val="auto"/>
          <w:highlight w:val="none"/>
        </w:rPr>
      </w:pPr>
      <w:r>
        <w:rPr>
          <w:color w:val="auto"/>
          <w:highlight w:val="none"/>
        </w:rPr>
        <w:br w:type="page"/>
      </w:r>
    </w:p>
    <w:bookmarkEnd w:id="8"/>
    <w:p>
      <w:pPr>
        <w:numPr>
          <w:ilvl w:val="0"/>
          <w:numId w:val="1"/>
        </w:numPr>
        <w:adjustRightInd/>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投标人须知</w:t>
      </w:r>
      <w:bookmarkEnd w:id="9"/>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420"/>
        <w:gridCol w:w="65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b/>
                <w:bCs/>
                <w:color w:val="auto"/>
                <w:sz w:val="24"/>
                <w:highlight w:val="none"/>
                <w:u w:val="single"/>
                <w:lang w:val="en-US" w:eastAsia="zh-CN"/>
              </w:rPr>
              <w:t>铁骑骑行服</w:t>
            </w:r>
            <w:r>
              <w:rPr>
                <w:rFonts w:hint="eastAsia" w:ascii="宋体" w:hAnsi="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lang w:val="en-US" w:eastAsia="zh-CN"/>
              </w:rPr>
              <w:t>肩灯</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（2）标的：</w:t>
            </w:r>
            <w:r>
              <w:rPr>
                <w:rFonts w:hint="eastAsia" w:ascii="宋体" w:hAnsi="宋体" w:cs="宋体"/>
                <w:color w:val="auto"/>
                <w:kern w:val="0"/>
                <w:sz w:val="24"/>
                <w:highlight w:val="none"/>
                <w:u w:val="single"/>
                <w:lang w:val="en-US" w:eastAsia="zh-CN"/>
              </w:rPr>
              <w:t>尼龙白色三件套（对讲机包、手电筒包、工作包）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（3）标的：</w:t>
            </w:r>
            <w:r>
              <w:rPr>
                <w:rFonts w:hint="eastAsia" w:ascii="宋体" w:hAnsi="宋体" w:cs="宋体"/>
                <w:color w:val="auto"/>
                <w:kern w:val="0"/>
                <w:sz w:val="24"/>
                <w:highlight w:val="none"/>
                <w:u w:val="single"/>
                <w:lang w:val="en-US" w:eastAsia="zh-CN"/>
              </w:rPr>
              <w:t>尼龙黑色三件套（伸缩棍、催泪喷射器、工作包）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（4）标的：</w:t>
            </w:r>
            <w:r>
              <w:rPr>
                <w:rFonts w:hint="eastAsia" w:ascii="宋体" w:hAnsi="宋体" w:cs="宋体"/>
                <w:color w:val="auto"/>
                <w:kern w:val="0"/>
                <w:sz w:val="24"/>
                <w:highlight w:val="none"/>
                <w:u w:val="single"/>
                <w:lang w:val="en-US" w:eastAsia="zh-CN"/>
              </w:rPr>
              <w:t>新标六件套多功能腰带（手铐套、强光手电套、警用工作包、可旋转快拔式警棍套、对讲套、催泪喷射器套）</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（5）标的：</w:t>
            </w:r>
            <w:r>
              <w:rPr>
                <w:rFonts w:hint="eastAsia" w:ascii="宋体" w:hAnsi="宋体" w:cs="宋体"/>
                <w:color w:val="auto"/>
                <w:kern w:val="0"/>
                <w:sz w:val="24"/>
                <w:highlight w:val="none"/>
                <w:u w:val="single"/>
                <w:lang w:val="en-US" w:eastAsia="zh-CN"/>
              </w:rPr>
              <w:t>救生衣</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（6）标的：</w:t>
            </w:r>
            <w:r>
              <w:rPr>
                <w:rFonts w:hint="eastAsia" w:ascii="宋体" w:hAnsi="宋体" w:cs="宋体"/>
                <w:color w:val="auto"/>
                <w:kern w:val="0"/>
                <w:sz w:val="24"/>
                <w:highlight w:val="none"/>
                <w:u w:val="single"/>
                <w:lang w:val="en-US" w:eastAsia="zh-CN"/>
              </w:rPr>
              <w:t>救生圈</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（7）标的：</w:t>
            </w:r>
            <w:r>
              <w:rPr>
                <w:rFonts w:hint="eastAsia" w:ascii="宋体" w:hAnsi="宋体" w:cs="宋体"/>
                <w:color w:val="auto"/>
                <w:kern w:val="0"/>
                <w:sz w:val="24"/>
                <w:highlight w:val="none"/>
                <w:u w:val="single"/>
                <w:lang w:val="en-US" w:eastAsia="zh-CN"/>
              </w:rPr>
              <w:t>新式手铐</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催泪喷射器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指挥棒</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雨鞋</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分体式交警雨衣（套）</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口哨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铁骑骑行服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两用烟雾弹（手投、38毫米发射枪）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便携式酒精测试棒</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自动气胀式工作救生衣</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防化服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防毒面具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窗口证据采集仪（高拍仪）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警用无人机 （干扰套装）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遥控破胎器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便携式手动破拆工具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车辆拖移钢绳</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车载探照光源</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钢制撬棍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事故现场防闯入系统</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现场便携围挡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测距望远镜</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酒精测试仪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牛津布折叠小型单架</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电击钢叉</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电击圆盾</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反式盾牌</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五金工具箱</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停车示意牌（充电款）</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医疗急救箱（含急救药品器具）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便携式水基灭火器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收弹器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太阳能爆闪灯</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pacing w:line="240" w:lineRule="auto"/>
              <w:rPr>
                <w:rFonts w:ascii="宋体" w:hAnsi="宋体" w:cs="宋体"/>
                <w:b/>
                <w:bCs/>
                <w:color w:val="auto"/>
                <w:sz w:val="24"/>
                <w:highlight w:val="none"/>
              </w:rPr>
            </w:pPr>
            <w:r>
              <w:rPr>
                <w:rFonts w:hint="eastAsia" w:ascii="宋体" w:hAnsi="宋体" w:cs="宋体"/>
                <w:b/>
                <w:bCs/>
                <w:color w:val="auto"/>
                <w:sz w:val="24"/>
                <w:highlight w:val="none"/>
              </w:rPr>
              <w:t xml:space="preserve">特别说明：中小企业声明函中，每个标的都需要注明制造 </w:t>
            </w:r>
          </w:p>
          <w:p>
            <w:pPr>
              <w:spacing w:line="240" w:lineRule="auto"/>
              <w:rPr>
                <w:rFonts w:ascii="宋体" w:hAnsi="宋体" w:cs="宋体"/>
                <w:b/>
                <w:bCs/>
                <w:color w:val="auto"/>
                <w:sz w:val="24"/>
                <w:highlight w:val="none"/>
              </w:rPr>
            </w:pPr>
            <w:r>
              <w:rPr>
                <w:rFonts w:hint="eastAsia" w:ascii="宋体" w:hAnsi="宋体" w:cs="宋体"/>
                <w:b/>
                <w:bCs/>
                <w:color w:val="auto"/>
                <w:sz w:val="24"/>
                <w:highlight w:val="none"/>
              </w:rPr>
              <w:t xml:space="preserve">商，该制造商的从业人员人数，营业收入，资产总额，属 </w:t>
            </w:r>
          </w:p>
          <w:p>
            <w:pPr>
              <w:spacing w:line="240" w:lineRule="auto"/>
              <w:rPr>
                <w:rFonts w:ascii="宋体" w:hAnsi="宋体" w:cs="宋体"/>
                <w:b/>
                <w:bCs/>
                <w:color w:val="auto"/>
                <w:sz w:val="24"/>
                <w:highlight w:val="none"/>
              </w:rPr>
            </w:pPr>
            <w:r>
              <w:rPr>
                <w:rFonts w:hint="eastAsia" w:ascii="宋体" w:hAnsi="宋体" w:cs="宋体"/>
                <w:b/>
                <w:bCs/>
                <w:color w:val="auto"/>
                <w:sz w:val="24"/>
                <w:highlight w:val="none"/>
              </w:rPr>
              <w:t xml:space="preserve">于中小微企业类别。只有所有货物制造商属于小微企业的， </w:t>
            </w:r>
          </w:p>
          <w:p>
            <w:pPr>
              <w:spacing w:line="240" w:lineRule="auto"/>
              <w:rPr>
                <w:rFonts w:ascii="宋体" w:hAnsi="宋体" w:cs="宋体"/>
                <w:color w:val="auto"/>
                <w:highlight w:val="none"/>
              </w:rPr>
            </w:pPr>
            <w:r>
              <w:rPr>
                <w:rFonts w:hint="eastAsia" w:ascii="宋体" w:hAnsi="宋体" w:cs="宋体"/>
                <w:b/>
                <w:bCs/>
                <w:color w:val="auto"/>
                <w:sz w:val="24"/>
                <w:highlight w:val="none"/>
              </w:rPr>
              <w:t>才符合资格要求。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设备运输</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sdt>
              <w:sdtPr>
                <w:rPr>
                  <w:rFonts w:hint="eastAsia" w:ascii="仿宋" w:hAnsi="仿宋" w:eastAsia="仿宋" w:cs="仿宋"/>
                  <w:color w:val="auto"/>
                  <w:kern w:val="0"/>
                  <w:sz w:val="24"/>
                  <w:highlight w:val="none"/>
                </w:rPr>
                <w:id w:val="-67657109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ascii="Wingdings" w:hAnsi="Wingdings" w:eastAsia="仿宋" w:cs="仿宋"/>
                    <w:color w:val="auto"/>
                    <w:kern w:val="0"/>
                    <w:sz w:val="24"/>
                    <w:highlight w:val="none"/>
                  </w:rPr>
                  <w:t></w:t>
                </w:r>
              </w:sdtContent>
            </w:sdt>
            <w:sdt>
              <w:sdtPr>
                <w:rPr>
                  <w:rFonts w:hint="eastAsia" w:ascii="仿宋" w:hAnsi="仿宋" w:eastAsia="仿宋" w:cs="仿宋"/>
                  <w:color w:val="auto"/>
                  <w:kern w:val="0"/>
                  <w:sz w:val="24"/>
                  <w:highlight w:val="none"/>
                </w:rPr>
                <w:id w:val="227430350"/>
                <w:showingPlcHdr/>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 xml:space="preserve"> </w:t>
            </w:r>
            <w:r>
              <w:rPr>
                <w:rFonts w:hint="eastAsia" w:ascii="宋体" w:hAnsi="宋体" w:cs="宋体"/>
                <w:color w:val="auto"/>
                <w:sz w:val="24"/>
                <w:highlight w:val="none"/>
              </w:rPr>
              <w:t>B同意中型企业向小微企业、小微企业向小微企业合理分包。</w:t>
            </w:r>
          </w:p>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sz w:val="24"/>
                <w:highlight w:val="none"/>
              </w:rPr>
              <w:t>C不同意分包。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新标六件套多功能腰带（手铐套、强光手电套、警用工作包、可旋转快拔式警棍套、对讲套、催泪喷射器套）、分体式交警雨衣（套）、铁骑骑行服、警用无人机 （干扰套装）、事故现场防闯入系统、测距望远镜、酒精测试仪</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lang w:eastAsia="zh-CN"/>
              </w:rPr>
              <w:t>详见采购需求</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2023年6月26日当天9点30分之前</w:t>
            </w:r>
            <w:r>
              <w:rPr>
                <w:rFonts w:hint="eastAsia" w:ascii="宋体" w:hAnsi="宋体" w:cs="宋体"/>
                <w:color w:val="auto"/>
                <w:kern w:val="0"/>
                <w:sz w:val="24"/>
                <w:highlight w:val="none"/>
              </w:rPr>
              <w:t>；地点：</w:t>
            </w:r>
            <w:r>
              <w:rPr>
                <w:rFonts w:hint="eastAsia" w:ascii="宋体" w:hAnsi="宋体" w:cs="宋体"/>
                <w:color w:val="auto"/>
                <w:sz w:val="24"/>
                <w:highlight w:val="none"/>
                <w:u w:val="single"/>
                <w:lang w:eastAsia="zh-CN"/>
              </w:rPr>
              <w:t>浙江省杭州市钱塘区下沙街道金沙大道 600 号东楼 6 楼</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lang w:eastAsia="zh-CN"/>
              </w:rPr>
              <w:t>号开标室</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eastAsia="zh-CN"/>
              </w:rPr>
              <w:t>胡工</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lang w:val="en-US" w:eastAsia="zh-CN"/>
              </w:rPr>
              <w:t>13357182638</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20（编制时可根据项目情况进行调整）</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3（编制时可根据项目情况进行调整）</w:t>
            </w:r>
            <w:r>
              <w:rPr>
                <w:rFonts w:hint="eastAsia" w:ascii="宋体" w:hAnsi="宋体" w:cs="宋体"/>
                <w:color w:val="auto"/>
                <w:kern w:val="0"/>
                <w:sz w:val="24"/>
                <w:highlight w:val="none"/>
              </w:rPr>
              <w:t>人。讲解演示结束后按要求解答评标委员会提问。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420"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518"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highlight w:val="none"/>
              </w:rPr>
            </w:pPr>
          </w:p>
        </w:tc>
        <w:tc>
          <w:tcPr>
            <w:tcW w:w="1420"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8"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4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518"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8" w:hRule="atLeast"/>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p>
        </w:tc>
        <w:tc>
          <w:tcPr>
            <w:tcW w:w="1420"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8"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8" w:hRule="atLeast"/>
        </w:trPr>
        <w:tc>
          <w:tcPr>
            <w:tcW w:w="629" w:type="dxa"/>
            <w:tcBorders>
              <w:left w:val="single" w:color="000000" w:sz="8"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420" w:type="dxa"/>
            <w:tcBorders>
              <w:left w:val="single" w:color="000000" w:sz="2" w:space="0"/>
              <w:right w:val="single" w:color="000000" w:sz="8" w:space="0"/>
            </w:tcBorders>
            <w:vAlign w:val="center"/>
          </w:tcPr>
          <w:p>
            <w:pPr>
              <w:spacing w:line="360" w:lineRule="auto"/>
              <w:rPr>
                <w:rFonts w:ascii="宋体" w:hAnsi="宋体" w:cs="宋体"/>
                <w:b/>
                <w:color w:val="auto"/>
                <w:sz w:val="24"/>
                <w:highlight w:val="none"/>
              </w:rPr>
            </w:pPr>
            <w:r>
              <w:rPr>
                <w:rFonts w:hint="eastAsia" w:ascii="宋体" w:hAnsi="宋体" w:cs="宋体"/>
                <w:snapToGrid w:val="0"/>
                <w:color w:val="auto"/>
                <w:kern w:val="28"/>
                <w:sz w:val="24"/>
                <w:highlight w:val="none"/>
              </w:rPr>
              <w:t>采购代理服务费</w:t>
            </w:r>
          </w:p>
        </w:tc>
        <w:tc>
          <w:tcPr>
            <w:tcW w:w="6518" w:type="dxa"/>
            <w:tcBorders>
              <w:top w:val="single" w:color="000000" w:sz="8" w:space="0"/>
              <w:left w:val="single" w:color="000000" w:sz="2"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本项目的采购代理服务费由中标供应商支付。</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1、计费标准按《计价格［2002］1980号》及《发改办价格［2003］857号》文件规定按货物类收费标准计算。</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2、结算方式及时间为：在领取中标通知书时由中标供应商一次性向采购代理机构付清。中标结果公告发出后，中标供应商可按中标结果公告上的服务费金额缴纳至如下账号：</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（1）收 款 人：杭州浙经华道企业管理咨询有限公司</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（2）开户银行：平安银行杭州分行营业部</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（3）账    号：15504608730096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备份、演示投标文件送达地点和签收人员 </w:t>
            </w:r>
          </w:p>
        </w:tc>
        <w:tc>
          <w:tcPr>
            <w:tcW w:w="6518"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lang w:val="en-US" w:eastAsia="zh-CN"/>
              </w:rPr>
              <w:t xml:space="preserve"> 杭州市拱墅区长浜路15号8楼</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lang w:eastAsia="zh-CN"/>
              </w:rPr>
              <w:t>胡工</w:t>
            </w:r>
            <w:r>
              <w:rPr>
                <w:rFonts w:hint="eastAsia" w:hAnsi="宋体" w:cs="宋体"/>
                <w:color w:val="auto"/>
                <w:sz w:val="24"/>
                <w:highlight w:val="none"/>
                <w:u w:val="single"/>
                <w:lang w:val="en-US" w:eastAsia="zh-CN"/>
              </w:rPr>
              <w:t xml:space="preserve"> 13357182638</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left w:val="single" w:color="000000" w:sz="8" w:space="0"/>
              <w:right w:val="single" w:color="000000" w:sz="2" w:space="0"/>
            </w:tcBorders>
          </w:tcPr>
          <w:p>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1420" w:type="dxa"/>
            <w:vMerge w:val="restart"/>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Arial" w:asciiTheme="minorEastAsia" w:hAnsiTheme="minorEastAsia" w:eastAsiaTheme="minorEastAsia"/>
                <w:color w:val="auto"/>
                <w:kern w:val="0"/>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highlight w:val="none"/>
              </w:rPr>
            </w:pPr>
          </w:p>
        </w:tc>
        <w:tc>
          <w:tcPr>
            <w:tcW w:w="1420"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bookmarkEnd w:id="10"/>
    </w:tbl>
    <w:p>
      <w:pPr>
        <w:rPr>
          <w:rFonts w:ascii="宋体" w:hAnsi="宋体" w:cs="宋体"/>
          <w:b/>
          <w:color w:val="auto"/>
          <w:sz w:val="32"/>
          <w:szCs w:val="20"/>
          <w:highlight w:val="none"/>
        </w:rPr>
      </w:pPr>
      <w:bookmarkStart w:id="13" w:name="第三部分"/>
      <w:bookmarkStart w:id="14" w:name="_Toc164416483"/>
      <w:r>
        <w:rPr>
          <w:rFonts w:hint="eastAsia" w:ascii="宋体" w:hAnsi="宋体" w:cs="宋体"/>
          <w:b/>
          <w:color w:val="auto"/>
          <w:sz w:val="32"/>
          <w:szCs w:val="20"/>
          <w:highlight w:val="none"/>
        </w:rPr>
        <w:br w:type="page"/>
      </w:r>
    </w:p>
    <w:p>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w:t>
      </w:r>
      <w:r>
        <w:rPr>
          <w:rFonts w:hint="eastAsia" w:ascii="宋体" w:hAnsi="宋体" w:eastAsia="宋体" w:cs="宋体"/>
          <w:color w:val="auto"/>
          <w:sz w:val="24"/>
          <w:highlight w:val="none"/>
        </w:rPr>
        <w:t>款，“★”系产品采购项目中单一产品或核心产品，“※”系指重要技术指标</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 系</w:t>
      </w:r>
      <w:r>
        <w:rPr>
          <w:rFonts w:hint="eastAsia" w:ascii="宋体" w:hAnsi="宋体" w:cs="宋体"/>
          <w:color w:val="auto"/>
          <w:sz w:val="24"/>
          <w:highlight w:val="none"/>
        </w:rPr>
        <w:t>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供应商质疑</w:t>
      </w:r>
    </w:p>
    <w:p>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8"/>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4.2.2.1对招标文件提出质疑的，质疑期限为供应商获得招标文件之日或者招标文件公告期限届满之日起计算。</w:t>
      </w:r>
    </w:p>
    <w:p>
      <w:pPr>
        <w:pStyle w:val="35"/>
        <w:spacing w:line="360" w:lineRule="auto"/>
        <w:ind w:left="479" w:leftChars="228"/>
        <w:rPr>
          <w:rFonts w:hAnsi="宋体" w:cs="宋体"/>
          <w:color w:val="auto"/>
          <w:sz w:val="24"/>
          <w:highlight w:val="none"/>
        </w:rPr>
      </w:pPr>
      <w:r>
        <w:rPr>
          <w:rFonts w:hint="eastAsia" w:hAnsi="宋体" w:cs="宋体"/>
          <w:color w:val="auto"/>
          <w:sz w:val="24"/>
          <w:highlight w:val="none"/>
        </w:rPr>
        <w:t>4.2.2.2对采购过程提出质疑的，质疑期限为各采购程序环节结束之日起计算。</w:t>
      </w:r>
    </w:p>
    <w:p>
      <w:pPr>
        <w:pStyle w:val="35"/>
        <w:spacing w:line="360" w:lineRule="auto"/>
        <w:ind w:left="479" w:leftChars="228"/>
        <w:rPr>
          <w:rFonts w:hAnsi="宋体" w:cs="宋体"/>
          <w:color w:val="auto"/>
          <w:sz w:val="24"/>
          <w:highlight w:val="none"/>
        </w:rPr>
      </w:pPr>
      <w:r>
        <w:rPr>
          <w:rFonts w:hint="eastAsia" w:hAnsi="宋体" w:cs="宋体"/>
          <w:color w:val="auto"/>
          <w:sz w:val="24"/>
          <w:highlight w:val="none"/>
        </w:rPr>
        <w:t>4.2.2.3对采购结果提出质疑的，质疑期限自采购结果公告期限届满之日起计算。</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kern w:val="0"/>
          <w:sz w:val="24"/>
          <w:highlight w:val="none"/>
          <w:lang w:val="zh-CN"/>
        </w:rPr>
        <w:t>.3</w:t>
      </w:r>
      <w:r>
        <w:rPr>
          <w:rFonts w:hint="eastAsia" w:hAnsi="宋体" w:cs="宋体"/>
          <w:color w:val="auto"/>
          <w:sz w:val="24"/>
          <w:highlight w:val="none"/>
        </w:rPr>
        <w:t>供应商提出质疑应当提交质疑函和必要的证明材料。质疑函应当包括下列内容：</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.3.1供应商的姓名或者名称、地址、邮编、联系人及联系电话；</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.3.2质疑项目的名称、编号；</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.3.3具体、明确的质疑事项和与质疑事项相关的请求；</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.3.4事实依据；</w:t>
      </w:r>
    </w:p>
    <w:p>
      <w:pPr>
        <w:pStyle w:val="35"/>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.3.5必要的法律依据；</w:t>
      </w:r>
    </w:p>
    <w:p>
      <w:pPr>
        <w:pStyle w:val="35"/>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kern w:val="0"/>
          <w:sz w:val="24"/>
          <w:highlight w:val="none"/>
          <w:lang w:val="zh-CN"/>
        </w:rPr>
        <w:t>.3.6提出质疑的日期。</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质疑函范本及制作说明详见附件2。</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4.2.4对同一采购程序环节的质疑，供应商须在法定质疑期内一次性提出。</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lang w:val="zh-CN"/>
        </w:rPr>
        <w:t>4.</w:t>
      </w:r>
      <w:r>
        <w:rPr>
          <w:rFonts w:hint="eastAsia"/>
          <w:color w:val="auto"/>
          <w:highlight w:val="none"/>
        </w:rPr>
        <w:t>2.5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lang w:val="zh-CN"/>
        </w:rPr>
        <w:t>4.</w:t>
      </w:r>
      <w:r>
        <w:rPr>
          <w:rFonts w:hint="eastAsia"/>
          <w:color w:val="auto"/>
          <w:highlight w:val="none"/>
        </w:rPr>
        <w:t>2.6询问或者质疑事项可能影响采购结果的，采购人应当暂停签订合同，已经签订合同的，应当中止履行合同。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w:t>
      </w:r>
      <w:r>
        <w:rPr>
          <w:rFonts w:hint="eastAsia"/>
          <w:color w:val="auto"/>
          <w:highlight w:val="none"/>
        </w:rPr>
        <w:t>3</w:t>
      </w:r>
      <w:r>
        <w:rPr>
          <w:rFonts w:hint="eastAsia"/>
          <w:color w:val="auto"/>
          <w:highlight w:val="none"/>
          <w:lang w:val="zh-CN"/>
        </w:rPr>
        <w:t>供应商投诉</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4.3.</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4.3.3供应商投诉应当有明确的请求和必要的证明材料。</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4.3.4以联合体形式参加政府采购活动的，其投诉应当由组成联合体的所有供应商共同提出。</w:t>
      </w:r>
    </w:p>
    <w:p>
      <w:pPr>
        <w:pStyle w:val="886"/>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投诉书范本及制作说明详见附件3。</w:t>
      </w: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5"/>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5"/>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18"/>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11.2.6投标标的清单；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11.2.7拟派项目团队配备情况表；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11.2.8商务技术偏离表；</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9</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snapToGrid w:val="0"/>
        <w:spacing w:line="360" w:lineRule="auto"/>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w:t>
      </w:r>
      <w:r>
        <w:rPr>
          <w:rFonts w:hint="eastAsia" w:ascii="宋体" w:hAnsi="宋体" w:cs="宋体"/>
          <w:b/>
          <w:color w:val="auto"/>
          <w:sz w:val="24"/>
          <w:highlight w:val="none"/>
        </w:rPr>
        <w:t>文件</w:t>
      </w:r>
      <w:r>
        <w:rPr>
          <w:rFonts w:hint="eastAsia" w:ascii="宋体" w:hAnsi="宋体" w:cs="宋体"/>
          <w:b/>
          <w:color w:val="auto"/>
          <w:szCs w:val="24"/>
          <w:highlight w:val="none"/>
        </w:rPr>
        <w:t>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2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28"/>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5"/>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pPr>
        <w:pStyle w:val="35"/>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8"/>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8"/>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28"/>
        <w:spacing w:before="0"/>
        <w:ind w:firstLine="643"/>
        <w:rPr>
          <w:rFonts w:ascii="宋体" w:hAnsi="宋体" w:cs="宋体"/>
          <w:b/>
          <w:color w:val="auto"/>
          <w:sz w:val="32"/>
          <w:highlight w:val="none"/>
        </w:rPr>
      </w:pPr>
    </w:p>
    <w:p>
      <w:pPr>
        <w:adjustRightInd/>
        <w:spacing w:line="360" w:lineRule="auto"/>
        <w:jc w:val="center"/>
        <w:outlineLvl w:val="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4"/>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4"/>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pPr>
        <w:pStyle w:val="12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28"/>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2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日内，与中标供应商按照采购文件确定的事项签订政府采购合同。</w:t>
      </w:r>
    </w:p>
    <w:p>
      <w:pPr>
        <w:pStyle w:val="12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szCs w:val="20"/>
          <w:highlight w:val="none"/>
        </w:rPr>
      </w:pPr>
      <w:r>
        <w:rPr>
          <w:rFonts w:hint="eastAsia" w:ascii="宋体" w:hAnsi="宋体" w:cs="宋体"/>
          <w:color w:val="auto"/>
          <w:sz w:val="24"/>
          <w:szCs w:val="20"/>
          <w:highlight w:val="none"/>
        </w:rPr>
        <w:t xml:space="preserve"> 杭州市政府采购网公布的供应商履约评价为满分的免收履约保证金。确需收取履约保证金的，履约保证金的数额不得超过政府采购合同金额的1%。鼓励和支持供应商以银行、保险公司出具的电子保函形式提供履约保证金。采购人不得拒收履约保函。</w:t>
      </w:r>
    </w:p>
    <w:p>
      <w:pPr>
        <w:tabs>
          <w:tab w:val="left" w:pos="0"/>
        </w:tabs>
        <w:spacing w:line="360" w:lineRule="auto"/>
        <w:ind w:firstLine="482"/>
        <w:rPr>
          <w:rFonts w:ascii="宋体" w:hAnsi="宋体" w:cs="宋体"/>
          <w:color w:val="auto"/>
          <w:sz w:val="24"/>
          <w:szCs w:val="20"/>
          <w:highlight w:val="none"/>
        </w:rPr>
      </w:pPr>
      <w:r>
        <w:rPr>
          <w:rFonts w:hint="eastAsia" w:ascii="宋体" w:hAnsi="宋体" w:cs="宋体"/>
          <w:color w:val="auto"/>
          <w:sz w:val="24"/>
          <w:szCs w:val="20"/>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6"/>
        <w:spacing w:line="360" w:lineRule="auto"/>
        <w:ind w:left="479" w:hanging="477" w:hangingChars="199"/>
        <w:rPr>
          <w:color w:val="auto"/>
          <w:highlight w:val="none"/>
        </w:rPr>
      </w:pPr>
      <w:r>
        <w:rPr>
          <w:rFonts w:ascii="宋体" w:hAnsi="宋体" w:eastAsia="宋体"/>
          <w:color w:val="auto"/>
          <w:sz w:val="24"/>
          <w:highlight w:val="none"/>
          <w:lang w:val="en-US"/>
        </w:rPr>
        <w:t>27.预付款</w:t>
      </w:r>
    </w:p>
    <w:p>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pPr>
        <w:rPr>
          <w:color w:val="auto"/>
          <w:highlight w:val="none"/>
        </w:rPr>
      </w:pPr>
    </w:p>
    <w:p>
      <w:pPr>
        <w:snapToGrid w:val="0"/>
        <w:spacing w:line="360" w:lineRule="auto"/>
        <w:ind w:firstLine="3357" w:firstLineChars="1045"/>
        <w:rPr>
          <w:rFonts w:ascii="宋体" w:hAnsi="宋体" w:cs="宋体"/>
          <w:b/>
          <w:color w:val="auto"/>
          <w:sz w:val="32"/>
          <w:highlight w:val="none"/>
        </w:rPr>
      </w:pPr>
    </w:p>
    <w:p>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8"/>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8"/>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26"/>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14665"/>
      <w:bookmarkEnd w:id="19"/>
      <w:bookmarkStart w:id="20" w:name="_Hlt75236011"/>
      <w:bookmarkEnd w:id="20"/>
      <w:bookmarkStart w:id="21" w:name="_Hlt74707468"/>
      <w:bookmarkEnd w:id="21"/>
      <w:bookmarkStart w:id="22" w:name="_Hlt68057669"/>
      <w:bookmarkEnd w:id="22"/>
      <w:bookmarkStart w:id="23" w:name="_Hlt75236101"/>
      <w:bookmarkEnd w:id="23"/>
      <w:bookmarkStart w:id="24" w:name="_Hlt68073093"/>
      <w:bookmarkEnd w:id="24"/>
      <w:bookmarkStart w:id="25" w:name="_Hlt68072990"/>
      <w:bookmarkEnd w:id="25"/>
      <w:bookmarkStart w:id="26" w:name="_Hlt68072998"/>
      <w:bookmarkEnd w:id="26"/>
      <w:bookmarkStart w:id="27" w:name="_Hlt74730295"/>
      <w:bookmarkEnd w:id="27"/>
      <w:bookmarkStart w:id="28" w:name="_Hlt68403820"/>
      <w:bookmarkEnd w:id="28"/>
      <w:bookmarkStart w:id="29" w:name="_Hlt74729768"/>
      <w:bookmarkEnd w:id="29"/>
      <w:bookmarkStart w:id="30" w:name="_Hlt75236290"/>
      <w:bookmarkEnd w:id="30"/>
    </w:p>
    <w:bookmarkEnd w:id="13"/>
    <w:bookmarkEnd w:id="14"/>
    <w:p>
      <w:pPr>
        <w:numPr>
          <w:ilvl w:val="0"/>
          <w:numId w:val="2"/>
        </w:num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 xml:space="preserve">  采购需求</w:t>
      </w:r>
    </w:p>
    <w:p>
      <w:pPr>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（一）招标一览表</w:t>
      </w:r>
    </w:p>
    <w:tbl>
      <w:tblPr>
        <w:tblStyle w:val="62"/>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3660"/>
        <w:gridCol w:w="2268"/>
        <w:gridCol w:w="709"/>
        <w:gridCol w:w="709"/>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4"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序号</w:t>
            </w:r>
          </w:p>
        </w:tc>
        <w:tc>
          <w:tcPr>
            <w:tcW w:w="3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规格型号与参数</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03"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1</w:t>
            </w:r>
          </w:p>
        </w:tc>
        <w:tc>
          <w:tcPr>
            <w:tcW w:w="3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sz w:val="24"/>
                <w:szCs w:val="28"/>
                <w:highlight w:val="none"/>
                <w:lang w:eastAsia="zh-CN"/>
              </w:rPr>
              <w:t>亚运安保警用装备采购项目</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详见招标需求</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批</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spacing w:before="157" w:beforeLines="50"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rPr>
        <w:t>技术需求</w:t>
      </w:r>
      <w:bookmarkStart w:id="32" w:name="_Toc508198960"/>
    </w:p>
    <w:bookmarkEnd w:id="32"/>
    <w:p>
      <w:pPr>
        <w:pStyle w:val="2"/>
        <w:numPr>
          <w:ilvl w:val="0"/>
          <w:numId w:val="0"/>
        </w:num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采购清单</w:t>
      </w:r>
    </w:p>
    <w:tbl>
      <w:tblPr>
        <w:tblStyle w:val="62"/>
        <w:tblW w:w="909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0"/>
        <w:gridCol w:w="6246"/>
        <w:gridCol w:w="1104"/>
        <w:gridCol w:w="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肩灯</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尼龙白色三件套（对讲机包、手电筒包、工作包）</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2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尼龙黑色三件套（伸缩棍、催泪喷射器、工作包）</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 w:hRule="exact"/>
        </w:trPr>
        <w:tc>
          <w:tcPr>
            <w:tcW w:w="890" w:type="dxa"/>
            <w:tcBorders>
              <w:top w:val="single" w:color="auto"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w:t>
            </w:r>
          </w:p>
        </w:tc>
        <w:tc>
          <w:tcPr>
            <w:tcW w:w="6246"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85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2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救生衣</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救生圈</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新式手铐</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催泪喷射器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指挥棒</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雨鞋</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400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分体式交警雨衣（套）</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400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highlight w:val="none"/>
                <w:u w:val="none"/>
                <w:lang w:val="en-US" w:eastAsia="zh-CN" w:bidi="ar"/>
              </w:rPr>
              <w:t>铁骑骑行服</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83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两用烟雾弹（手投、38毫米发射枪）</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便携式酒精测试棒</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60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自动气胀式工作救生衣</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防化服</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防毒面具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窗口证据采集仪（高拍仪）</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警用无人机 （干扰套装）</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遥控破胎器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便携式手动破拆工具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车辆拖移钢绳</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车载探照光源</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钢制撬棍</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事故现场防闯入系统</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现场便携围挡</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测距望远镜</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29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酒精测试仪</w:t>
            </w:r>
            <w:r>
              <w:rPr>
                <w:rFonts w:hint="eastAsia" w:ascii="宋体" w:hAnsi="宋体" w:cs="宋体"/>
                <w:b/>
                <w:bCs/>
                <w:i w:val="0"/>
                <w:iCs w:val="0"/>
                <w:color w:val="auto"/>
                <w:kern w:val="0"/>
                <w:sz w:val="24"/>
                <w:szCs w:val="24"/>
                <w:highlight w:val="none"/>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牛津布折叠小型单架</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电击钢叉</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电击圆盾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反式盾牌</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五金工具箱</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停车示意牌（充电款）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医疗急救箱（含急救药品器具）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便携式水基灭火器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收弹器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39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太阳能爆闪灯</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r>
    </w:tbl>
    <w:p>
      <w:pPr>
        <w:pStyle w:val="2"/>
        <w:numPr>
          <w:ilvl w:val="0"/>
          <w:numId w:val="0"/>
        </w:numPr>
        <w:rPr>
          <w:rFonts w:hint="eastAsia" w:ascii="仿宋" w:hAnsi="仿宋" w:eastAsia="仿宋" w:cs="仿宋"/>
          <w:b/>
          <w:bCs/>
          <w:color w:val="auto"/>
          <w:sz w:val="24"/>
          <w:szCs w:val="24"/>
          <w:highlight w:val="none"/>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pStyle w:val="2"/>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具体参数要求</w:t>
      </w:r>
    </w:p>
    <w:tbl>
      <w:tblPr>
        <w:tblStyle w:val="62"/>
        <w:tblW w:w="50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1845"/>
        <w:gridCol w:w="8891"/>
        <w:gridCol w:w="3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规格参数</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肩灯</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1、工作温度 :-20℃—+60℃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2、闪动频率 : 5Hz。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3、供电电源 : 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4、电池容量 :3.7V/450mAH。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5、控制方式 : 轻触数控。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6、电源适配器 :DC5V/1000mA。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7、充电时间 : ≤4小时。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8、工作时间：全闪&gt;7小时、单边闪&gt;15小时、频闪&gt;15小时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9、※发光强度 : 夜间可视距离&gt;500米。</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10、发声强度 : 113dB。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11、发光模式 : 红蓝对角闪烁、双红双蓝闪烁、外侧单边闪烁、白光照明。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12、发声模式 :哨音、警笛。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13、警笛连续工作时间：≥ 1小时。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14、震动感应:可通过拍击肩灯，开启或关闭发光模式，切换间隔时间大于2秒。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15、开关耐久性 :＞30000次。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16、低电压提醒 : 锂电池电量偏低时，红蓝闪烁进入慢闪模式。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17、记忆功能：每次启动，自动进入上一次关机前状态。</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18、自由跌落 : 跌落高度1.8m，水泥地面2次，肩灯工作正常。</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19、配戴方式（选配）：选用背夹，可360度方向旋转；选用勾面魔术贴可吸附在带有毛面的魔术贴表面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20、吸附功能：背夹带有磁吸功能，可吸附于金属表面。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21、防护等级 : IP65。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22、外形尺寸 :85*37*42(±1)带旋转背夹</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23、重量：70g带旋转背夹(±2)</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318135</wp:posOffset>
                  </wp:positionH>
                  <wp:positionV relativeFrom="paragraph">
                    <wp:posOffset>1104265</wp:posOffset>
                  </wp:positionV>
                  <wp:extent cx="1280795" cy="1572895"/>
                  <wp:effectExtent l="0" t="0" r="14605" b="8255"/>
                  <wp:wrapNone/>
                  <wp:docPr id="132" name="图片_4"/>
                  <wp:cNvGraphicFramePr/>
                  <a:graphic xmlns:a="http://schemas.openxmlformats.org/drawingml/2006/main">
                    <a:graphicData uri="http://schemas.openxmlformats.org/drawingml/2006/picture">
                      <pic:pic xmlns:pic="http://schemas.openxmlformats.org/drawingml/2006/picture">
                        <pic:nvPicPr>
                          <pic:cNvPr id="132" name="图片_4"/>
                          <pic:cNvPicPr/>
                        </pic:nvPicPr>
                        <pic:blipFill>
                          <a:blip r:embed="rId30"/>
                          <a:stretch>
                            <a:fillRect/>
                          </a:stretch>
                        </pic:blipFill>
                        <pic:spPr>
                          <a:xfrm>
                            <a:off x="0" y="0"/>
                            <a:ext cx="1280795" cy="157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尼龙白色三件套（对讲机包、手电筒包、工作包）</w:t>
            </w:r>
          </w:p>
        </w:tc>
        <w:tc>
          <w:tcPr>
            <w:tcW w:w="3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尼龙多功能腰带可配置警用工作包、对讲机包、手电筒包，尺寸大小可根据人体自行调节。带身经工艺处理，耐磨、柔韧性好、套扣方便。结构：由腰带插子、带体、斜挂带和三个装具套组成，材质：防水牛津布；外观：白色，扣头为合金亚光镍色，铸印有徽章标识字样；执行标准：《GA 890-2010 公安单警装备多功能尼龙腰带》</w:t>
            </w:r>
            <w:r>
              <w:rPr>
                <w:rFonts w:hint="eastAsia" w:ascii="宋体" w:hAnsi="宋体" w:cs="宋体"/>
                <w:i w:val="0"/>
                <w:iCs w:val="0"/>
                <w:color w:val="auto"/>
                <w:kern w:val="0"/>
                <w:sz w:val="24"/>
                <w:szCs w:val="24"/>
                <w:highlight w:val="none"/>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298450</wp:posOffset>
                  </wp:positionH>
                  <wp:positionV relativeFrom="paragraph">
                    <wp:posOffset>393065</wp:posOffset>
                  </wp:positionV>
                  <wp:extent cx="1362710" cy="951865"/>
                  <wp:effectExtent l="0" t="0" r="8890" b="635"/>
                  <wp:wrapNone/>
                  <wp:docPr id="121" name="图片_12"/>
                  <wp:cNvGraphicFramePr/>
                  <a:graphic xmlns:a="http://schemas.openxmlformats.org/drawingml/2006/main">
                    <a:graphicData uri="http://schemas.openxmlformats.org/drawingml/2006/picture">
                      <pic:pic xmlns:pic="http://schemas.openxmlformats.org/drawingml/2006/picture">
                        <pic:nvPicPr>
                          <pic:cNvPr id="121" name="图片_12"/>
                          <pic:cNvPicPr/>
                        </pic:nvPicPr>
                        <pic:blipFill>
                          <a:blip r:embed="rId31"/>
                          <a:stretch>
                            <a:fillRect/>
                          </a:stretch>
                        </pic:blipFill>
                        <pic:spPr>
                          <a:xfrm>
                            <a:off x="0" y="0"/>
                            <a:ext cx="1362710" cy="951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尼龙黑色三件套（伸缩棍、催泪喷射器、工作包）</w:t>
            </w:r>
          </w:p>
        </w:tc>
        <w:tc>
          <w:tcPr>
            <w:tcW w:w="3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多功能腰带可配置警用工作包、伸缩警棍、催泪喷射器，尺寸大小可根据人体自行调节。带身经工艺处理，耐磨、柔韧性好、套扣方便。结构：由腰带插子、带体、斜挂带和三个装具套组成（警用工作包套、警棍套、催泪喷射器套）材质：防水牛津布；外观：黑色，扣头为合金亚光镍色，铸印有徽章标识字样；执行标准：《GA 890-2010 公安单警装备多功能尼龙腰带》</w:t>
            </w:r>
            <w:r>
              <w:rPr>
                <w:rFonts w:hint="eastAsia" w:ascii="宋体" w:hAnsi="宋体" w:cs="宋体"/>
                <w:i w:val="0"/>
                <w:iCs w:val="0"/>
                <w:color w:val="auto"/>
                <w:kern w:val="0"/>
                <w:sz w:val="24"/>
                <w:szCs w:val="24"/>
                <w:highlight w:val="none"/>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226695</wp:posOffset>
                  </wp:positionV>
                  <wp:extent cx="1482725" cy="1080770"/>
                  <wp:effectExtent l="0" t="0" r="3175" b="5080"/>
                  <wp:wrapNone/>
                  <wp:docPr id="123" name="图片_22"/>
                  <wp:cNvGraphicFramePr/>
                  <a:graphic xmlns:a="http://schemas.openxmlformats.org/drawingml/2006/main">
                    <a:graphicData uri="http://schemas.openxmlformats.org/drawingml/2006/picture">
                      <pic:pic xmlns:pic="http://schemas.openxmlformats.org/drawingml/2006/picture">
                        <pic:nvPicPr>
                          <pic:cNvPr id="123" name="图片_22"/>
                          <pic:cNvPicPr/>
                        </pic:nvPicPr>
                        <pic:blipFill>
                          <a:blip r:embed="rId32"/>
                          <a:stretch>
                            <a:fillRect/>
                          </a:stretch>
                        </pic:blipFill>
                        <pic:spPr>
                          <a:xfrm>
                            <a:off x="0" y="0"/>
                            <a:ext cx="1482725" cy="10807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符合《GA890-2018 多功能腰带》相关要求；                                                                        2.结构及组成 多功能腰带应由主腰带、内带、斜挂带、手铐套、强光手电套、警用工作包、可旋转快拔式警棍套、对讲机套、催泪喷射器套构成。                                                                                主腰带由腰带钎子、带体、带箍、锦丝搭扣带组成。                                                                                      腰带钎子为对插式扣盖双保险结构，带箍采用搭扣式活动设计结构，可固定在带体任意位置。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内带由带体、锦丝搭扣带、二道梁组合。                                                                                斜挂带由带体、带袢、挂袢、三道梁、卡扣和锦丝搭扣带组成。带袢采用搭扣式活动结构，可固定在主腰带带体任意位置。三道梁其中一件可调节并固定挂袢位置，另一件三道梁调节斜挂带长短。卡扣结构为可拆卸式。                          警棍套由套体、后袢旋转结构组成。套体下端应有警棍头卡槽，可供出棍时使警棍直接展开。后衬与腰带组合为可拆卸式旋转结构，旋转范围为360度，且具有45度分挡功能。                                                              强光手电套由套面、底盖、后袢组成。后袢与腰带结合，采用滑动式和固定式，为可拆卸结构。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工作包由包体、包盖、侧袋组成。后袢与腰带结合，采用滑动式和固定式，为可拆卸结构。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手铐套由套面、底盖、后袢组成。底盖内有锁匙固定装置；后袢与腰带结合，采用滑动式和固定式两种，为可拆卸结构。                                                                                                                       催泪喷射器套由套面、底盖、后袢旋转结构组成。后袢与腰带组合为可拆卸式旋转结构，旋转范围为360度，且具有45度分挡功能。                                                                                              对讲机套由套面、底盖、后袢组成。后袢与腰带结合，采用滑动式和固定式，为可拆卸结构。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3.质量:多功能腰带全套质量1.06kg。</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469265</wp:posOffset>
                  </wp:positionV>
                  <wp:extent cx="1744345" cy="1372235"/>
                  <wp:effectExtent l="0" t="0" r="8255" b="18415"/>
                  <wp:wrapNone/>
                  <wp:docPr id="124" name="图片_1"/>
                  <wp:cNvGraphicFramePr/>
                  <a:graphic xmlns:a="http://schemas.openxmlformats.org/drawingml/2006/main">
                    <a:graphicData uri="http://schemas.openxmlformats.org/drawingml/2006/picture">
                      <pic:pic xmlns:pic="http://schemas.openxmlformats.org/drawingml/2006/picture">
                        <pic:nvPicPr>
                          <pic:cNvPr id="124" name="图片_1"/>
                          <pic:cNvPicPr/>
                        </pic:nvPicPr>
                        <pic:blipFill>
                          <a:blip r:embed="rId33"/>
                          <a:stretch>
                            <a:fillRect/>
                          </a:stretch>
                        </pic:blipFill>
                        <pic:spPr>
                          <a:xfrm>
                            <a:off x="0" y="0"/>
                            <a:ext cx="1744345" cy="1372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救生衣</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1、外壳材质：聚乙稀材料；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2、内芯材质：内充高密度聚乙烯泡沫或聚氨酯闭孔泡沬塑料、抗老化；</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3、浮力大于等于75N。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4、颜色：橘红色；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5、重量小于等于0.6KG；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6、外层面料：400D防水牛津布；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7、反光材料大于等于200CM2。</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8、配件：配备1只带有绳索哨笛，</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135890</wp:posOffset>
                  </wp:positionV>
                  <wp:extent cx="1661795" cy="1508760"/>
                  <wp:effectExtent l="0" t="0" r="14605" b="15240"/>
                  <wp:wrapNone/>
                  <wp:docPr id="107" name="图片_32"/>
                  <wp:cNvGraphicFramePr/>
                  <a:graphic xmlns:a="http://schemas.openxmlformats.org/drawingml/2006/main">
                    <a:graphicData uri="http://schemas.openxmlformats.org/drawingml/2006/picture">
                      <pic:pic xmlns:pic="http://schemas.openxmlformats.org/drawingml/2006/picture">
                        <pic:nvPicPr>
                          <pic:cNvPr id="107" name="图片_32"/>
                          <pic:cNvPicPr/>
                        </pic:nvPicPr>
                        <pic:blipFill>
                          <a:blip r:embed="rId34"/>
                          <a:stretch>
                            <a:fillRect/>
                          </a:stretch>
                        </pic:blipFill>
                        <pic:spPr>
                          <a:xfrm>
                            <a:off x="0" y="0"/>
                            <a:ext cx="1661795" cy="1508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救生圈</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1、整体式救生圈的材料和外壳内充式救生圈的内充材料应采用闭孔型发泡材料。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2、救生圈外径大于等于800㎜，内径大于等于400㎜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3、重量：大于等于2.5kg；</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4、浮力大于14.5KG。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117475</wp:posOffset>
                  </wp:positionV>
                  <wp:extent cx="1358900" cy="1174115"/>
                  <wp:effectExtent l="0" t="0" r="12700" b="6985"/>
                  <wp:wrapNone/>
                  <wp:docPr id="109" name="图片_5"/>
                  <wp:cNvGraphicFramePr/>
                  <a:graphic xmlns:a="http://schemas.openxmlformats.org/drawingml/2006/main">
                    <a:graphicData uri="http://schemas.openxmlformats.org/drawingml/2006/picture">
                      <pic:pic xmlns:pic="http://schemas.openxmlformats.org/drawingml/2006/picture">
                        <pic:nvPicPr>
                          <pic:cNvPr id="109" name="图片_5"/>
                          <pic:cNvPicPr/>
                        </pic:nvPicPr>
                        <pic:blipFill>
                          <a:blip r:embed="rId35"/>
                          <a:stretch>
                            <a:fillRect/>
                          </a:stretch>
                        </pic:blipFill>
                        <pic:spPr>
                          <a:xfrm>
                            <a:off x="0" y="0"/>
                            <a:ext cx="1358900"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新式手铐</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1、主要功能用途。公安部装备财务局组织研制。重量更轻，防拨性更强，主要用于民警日常执勤执法时控制约束 违法人员使用。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2、符合国家公共安全行业标准GA1512-2018《公安单警装备 金属手铐》。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3、主要技术指标：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两铐体间距离：52mm--56mm；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啮合三齿状态手铐的最小孔径：55mm±2mm；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啮合三齿状态手铐的最大孔径：82mm±2mm；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重量：≤255g（不含钥匙和包装）；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防拨时间：≥2min；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耐用度：使用次数＞7000次；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抗拉强度：纵、横向抗拉强度均大于2200N；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抗压强度：连接轴抗压强度＞2940N；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耐腐蚀性：耐腐蚀性等级应大于或等于制定级发中的6级。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（1）左右铐体、隔板：铝合金a，材料规格6061-T6，质量要求GB/T6892-2015；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（2）扇梁：不锈钢a，材料规格2Crl3，质量要求GB/T1220-2007；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（3）锁齿：钢板，材料规格45#，质量要求GB/T699；</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（4）链环：不锈钢丝，材料规格0Cr18Ni9，质量要求GB/T1220-2007;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（5）钥匙：不锈钢，材料规格2Crl3，质量要求GB/T1220-2007。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6、颜色：表面颜色为铄金色，左右铐体颜色应一致，无明显色差，扇梁为亚光银色。</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1215390</wp:posOffset>
                  </wp:positionV>
                  <wp:extent cx="1628775" cy="1115060"/>
                  <wp:effectExtent l="0" t="0" r="9525" b="8890"/>
                  <wp:wrapNone/>
                  <wp:docPr id="110" name="图片_6"/>
                  <wp:cNvGraphicFramePr/>
                  <a:graphic xmlns:a="http://schemas.openxmlformats.org/drawingml/2006/main">
                    <a:graphicData uri="http://schemas.openxmlformats.org/drawingml/2006/picture">
                      <pic:pic xmlns:pic="http://schemas.openxmlformats.org/drawingml/2006/picture">
                        <pic:nvPicPr>
                          <pic:cNvPr id="110" name="图片_6"/>
                          <pic:cNvPicPr/>
                        </pic:nvPicPr>
                        <pic:blipFill>
                          <a:blip r:embed="rId36"/>
                          <a:stretch>
                            <a:fillRect/>
                          </a:stretch>
                        </pic:blipFill>
                        <pic:spPr>
                          <a:xfrm>
                            <a:off x="0" y="0"/>
                            <a:ext cx="1628775" cy="1115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催泪喷射器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喷射器总体结构为二元灌装结构，主要由罐体、阀体、溶剂袋、喷嘴、喷射剂、保护帽、保险盖等主要部分组成。  主要性能：尺寸：长150mm,喷射器外径35mm，装计量;100±2ml,  喷射可靠性:≥90％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使用温度范围:-30℃---+45℃</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有效期：3年。执行GA 575-2005《警用催泪喷射器》标准</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490855</wp:posOffset>
                  </wp:positionV>
                  <wp:extent cx="1417955" cy="733425"/>
                  <wp:effectExtent l="0" t="0" r="10795" b="9525"/>
                  <wp:wrapNone/>
                  <wp:docPr id="108" name="图片_7"/>
                  <wp:cNvGraphicFramePr/>
                  <a:graphic xmlns:a="http://schemas.openxmlformats.org/drawingml/2006/main">
                    <a:graphicData uri="http://schemas.openxmlformats.org/drawingml/2006/picture">
                      <pic:pic xmlns:pic="http://schemas.openxmlformats.org/drawingml/2006/picture">
                        <pic:nvPicPr>
                          <pic:cNvPr id="108" name="图片_7"/>
                          <pic:cNvPicPr/>
                        </pic:nvPicPr>
                        <pic:blipFill>
                          <a:blip r:embed="rId37"/>
                          <a:stretch>
                            <a:fillRect/>
                          </a:stretch>
                        </pic:blipFill>
                        <pic:spPr>
                          <a:xfrm>
                            <a:off x="0" y="0"/>
                            <a:ext cx="141795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指挥棒</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1.材质：主体PC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2..颜色：红蓝警闪，白光照明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3.电池：内置可充电锂电池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4.LED数量：不小于10红，10蓝，1白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5.口哨声压：不小于100dB（距离10cm处）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6.闪光模式：红蓝齐闪/红蓝轮流闪光/红蓝强光常亮/红蓝弱光常亮/白光照明/关闭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7.充电时间：5.5小时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8.工作时间：红蓝齐闪不小于5小时，红蓝轮流闪光不小于10小时，红蓝强光常亮不小于3小时，红蓝弱光常亮不小于5小时，白光照明不小于10小时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9.可视距离：200~500米（夜间）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10.功能特点：击打制暴，格挡防护，带口哨音、磁吸、腰扣、挂绳</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11.外壳防护等级：IP65（GB/T 4208-2017</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等级</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542290</wp:posOffset>
                  </wp:positionV>
                  <wp:extent cx="1626235" cy="1029335"/>
                  <wp:effectExtent l="0" t="0" r="12065" b="18415"/>
                  <wp:wrapNone/>
                  <wp:docPr id="111" name="图片_1_SpCnt_1"/>
                  <wp:cNvGraphicFramePr/>
                  <a:graphic xmlns:a="http://schemas.openxmlformats.org/drawingml/2006/main">
                    <a:graphicData uri="http://schemas.openxmlformats.org/drawingml/2006/picture">
                      <pic:pic xmlns:pic="http://schemas.openxmlformats.org/drawingml/2006/picture">
                        <pic:nvPicPr>
                          <pic:cNvPr id="111" name="图片_1_SpCnt_1"/>
                          <pic:cNvPicPr/>
                        </pic:nvPicPr>
                        <pic:blipFill>
                          <a:blip r:embed="rId38"/>
                          <a:stretch>
                            <a:fillRect/>
                          </a:stretch>
                        </pic:blipFill>
                        <pic:spPr>
                          <a:xfrm>
                            <a:off x="0" y="0"/>
                            <a:ext cx="1626235" cy="1029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雨鞋</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1、胶靴靴面胶为黑色，帮里系本色棉毛布，规格28/1，沿口条、外围条胶为黑色。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2、鞋底由黑色二次硫化大底、硬中底和海绵底组成，全靴浸亮油。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3、内底布选用棉本色帆布、经菌卫生处理，规格：16×3/3，执行《FZ/T13003-1992警用棉本色帆布》技术标准。</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4、产品生产严格执行公安部《GA315-2001警鞋 胶靴》技术标准</w:t>
            </w:r>
            <w:r>
              <w:rPr>
                <w:rFonts w:hint="eastAsia" w:ascii="宋体" w:hAnsi="宋体" w:cs="宋体"/>
                <w:i w:val="0"/>
                <w:iCs w:val="0"/>
                <w:color w:val="auto"/>
                <w:kern w:val="0"/>
                <w:sz w:val="24"/>
                <w:szCs w:val="24"/>
                <w:highlight w:val="none"/>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146050</wp:posOffset>
                  </wp:positionV>
                  <wp:extent cx="1350010" cy="1376680"/>
                  <wp:effectExtent l="0" t="0" r="2540" b="13970"/>
                  <wp:wrapNone/>
                  <wp:docPr id="112" name="图片_33"/>
                  <wp:cNvGraphicFramePr/>
                  <a:graphic xmlns:a="http://schemas.openxmlformats.org/drawingml/2006/main">
                    <a:graphicData uri="http://schemas.openxmlformats.org/drawingml/2006/picture">
                      <pic:pic xmlns:pic="http://schemas.openxmlformats.org/drawingml/2006/picture">
                        <pic:nvPicPr>
                          <pic:cNvPr id="112" name="图片_33"/>
                          <pic:cNvPicPr/>
                        </pic:nvPicPr>
                        <pic:blipFill>
                          <a:blip r:embed="rId39"/>
                          <a:stretch>
                            <a:fillRect/>
                          </a:stretch>
                        </pic:blipFill>
                        <pic:spPr>
                          <a:xfrm>
                            <a:off x="0" y="0"/>
                            <a:ext cx="1350010" cy="1376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分体式交警雨衣（套）</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1、面料：100%涤纶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2、颜色：上衣萤光黄色，裤子藏蓝色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3、反光条：3M高亮晶格反光带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4、甲醛值：＜200mg/kg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5、透湿量：≥400g/M2.2h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6、工艺技术：接缝全压胶；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7、面料无缝处：静水压≥800mmH20水柱；</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9、色牢度≥3；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10、口袋拉链均为高级防水拉链；</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11、执行标准：GB18401-2010；</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12、具有安全警示性强、防雨透湿性好、穿着便携舒适的功能特点；面料穿着舒适、防雨、高透气、耐磨、耐老化，且上衣帽子的听力孔有增强听力的功能。</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394970</wp:posOffset>
                  </wp:positionV>
                  <wp:extent cx="1424940" cy="1043305"/>
                  <wp:effectExtent l="0" t="0" r="3810" b="4445"/>
                  <wp:wrapNone/>
                  <wp:docPr id="122" name="图片_36"/>
                  <wp:cNvGraphicFramePr/>
                  <a:graphic xmlns:a="http://schemas.openxmlformats.org/drawingml/2006/main">
                    <a:graphicData uri="http://schemas.openxmlformats.org/drawingml/2006/picture">
                      <pic:pic xmlns:pic="http://schemas.openxmlformats.org/drawingml/2006/picture">
                        <pic:nvPicPr>
                          <pic:cNvPr id="122" name="图片_36"/>
                          <pic:cNvPicPr/>
                        </pic:nvPicPr>
                        <pic:blipFill>
                          <a:blip r:embed="rId40"/>
                          <a:stretch>
                            <a:fillRect/>
                          </a:stretch>
                        </pic:blipFill>
                        <pic:spPr>
                          <a:xfrm>
                            <a:off x="0" y="0"/>
                            <a:ext cx="1424940" cy="1043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1、材质：优质304不锈钢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2、哨带：尼龙</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3、连接扣：金属</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162560</wp:posOffset>
                  </wp:positionV>
                  <wp:extent cx="1343660" cy="945515"/>
                  <wp:effectExtent l="0" t="0" r="8890" b="6985"/>
                  <wp:wrapNone/>
                  <wp:docPr id="126" name="图片_17"/>
                  <wp:cNvGraphicFramePr/>
                  <a:graphic xmlns:a="http://schemas.openxmlformats.org/drawingml/2006/main">
                    <a:graphicData uri="http://schemas.openxmlformats.org/drawingml/2006/picture">
                      <pic:pic xmlns:pic="http://schemas.openxmlformats.org/drawingml/2006/picture">
                        <pic:nvPicPr>
                          <pic:cNvPr id="126" name="图片_17"/>
                          <pic:cNvPicPr/>
                        </pic:nvPicPr>
                        <pic:blipFill>
                          <a:blip r:embed="rId41"/>
                          <a:stretch>
                            <a:fillRect/>
                          </a:stretch>
                        </pic:blipFill>
                        <pic:spPr>
                          <a:xfrm>
                            <a:off x="0" y="0"/>
                            <a:ext cx="1343660" cy="945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highlight w:val="none"/>
                <w:u w:val="none"/>
                <w:lang w:val="en-US" w:eastAsia="zh-CN" w:bidi="ar"/>
              </w:rPr>
              <w:t>铁骑骑行服</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一、摩托车头盔-夏盔</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※需依据GA295-2001《警用摩托车头盔》提供</w:t>
            </w:r>
            <w:r>
              <w:rPr>
                <w:rFonts w:hint="eastAsia" w:ascii="宋体" w:hAnsi="宋体" w:cs="宋体"/>
                <w:i w:val="0"/>
                <w:iCs w:val="0"/>
                <w:color w:val="auto"/>
                <w:kern w:val="0"/>
                <w:sz w:val="24"/>
                <w:szCs w:val="24"/>
                <w:highlight w:val="none"/>
                <w:u w:val="none"/>
                <w:lang w:val="en-US" w:eastAsia="zh-CN" w:bidi="ar"/>
              </w:rPr>
              <w:t>国家认可的第三方机构出具的</w:t>
            </w:r>
            <w:r>
              <w:rPr>
                <w:rFonts w:hint="eastAsia" w:ascii="宋体" w:hAnsi="宋体" w:eastAsia="宋体" w:cs="宋体"/>
                <w:i w:val="0"/>
                <w:iCs w:val="0"/>
                <w:color w:val="auto"/>
                <w:kern w:val="0"/>
                <w:sz w:val="24"/>
                <w:szCs w:val="24"/>
                <w:highlight w:val="none"/>
                <w:u w:val="none"/>
                <w:lang w:val="en-US" w:eastAsia="zh-CN" w:bidi="ar"/>
              </w:rPr>
              <w:t>检验报告，检测项目包含头盔吸收碰撞能量性能、结构要求、壳体、缓冲层、佩带装置、头盔耐穿透性能</w:t>
            </w:r>
            <w:r>
              <w:rPr>
                <w:rFonts w:hint="eastAsia" w:ascii="宋体" w:hAnsi="宋体" w:cs="宋体"/>
                <w:i w:val="0"/>
                <w:iCs w:val="0"/>
                <w:color w:val="auto"/>
                <w:kern w:val="0"/>
                <w:sz w:val="24"/>
                <w:szCs w:val="24"/>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1）头盔式样：3/4盔，面罩可抬起，适合夏季配带。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2）头盔颜色：白色。头盔的前额、左右两侧有警徵及“警察”标识。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3）头盔外壳材料：ABS材料；防护衬垫材料：聚苯乙烯泡沫塑料。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4）头盔内置墨镜镜片，墨镜片由头盔盔体上的开关操作打开。同时头盔具有一触即收回墨镜片的功能。头盔镜片材料：聚碳酸酯制成，防刮擦及防紫外线。</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5）头盔防护衬垫上预留耳机凹槽，可安装警用通讯系统。                                                                                                                                                                    二、夏款骑行服</w:t>
            </w:r>
            <w:r>
              <w:rPr>
                <w:rFonts w:hint="eastAsia" w:ascii="宋体" w:hAnsi="宋体" w:cs="宋体"/>
                <w:i w:val="0"/>
                <w:iCs w:val="0"/>
                <w:color w:val="auto"/>
                <w:kern w:val="0"/>
                <w:sz w:val="24"/>
                <w:szCs w:val="24"/>
                <w:highlight w:val="none"/>
                <w:u w:val="none"/>
                <w:lang w:val="en-US" w:eastAsia="zh-CN" w:bidi="ar"/>
              </w:rPr>
              <w:t>衣服</w:t>
            </w:r>
            <w:r>
              <w:rPr>
                <w:rFonts w:hint="eastAsia" w:ascii="宋体" w:hAnsi="宋体" w:eastAsia="宋体" w:cs="宋体"/>
                <w:i w:val="0"/>
                <w:iCs w:val="0"/>
                <w:color w:val="auto"/>
                <w:kern w:val="0"/>
                <w:sz w:val="24"/>
                <w:szCs w:val="24"/>
                <w:highlight w:val="none"/>
                <w:u w:val="none"/>
                <w:lang w:val="en-US" w:eastAsia="zh-CN" w:bidi="ar"/>
              </w:rPr>
              <w:t>：</w:t>
            </w:r>
          </w:p>
          <w:p>
            <w:pPr>
              <w:keepNext w:val="0"/>
              <w:keepLines w:val="0"/>
              <w:widowControl/>
              <w:suppressLineNumbers w:val="0"/>
              <w:jc w:val="left"/>
              <w:textAlignment w:val="center"/>
              <w:rPr>
                <w:rFonts w:hint="eastAsia" w:ascii="宋体" w:hAnsi="宋体" w:cs="宋体"/>
                <w:color w:val="auto"/>
                <w:kern w:val="0"/>
                <w:sz w:val="24"/>
                <w:highlight w:val="none"/>
                <w:lang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上衣主面料：荧黄色高透气耐磨梭织单丝尼龙网布拼接局部黑色单丝尼龙网布，大身单层。</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裤子主</w:t>
            </w:r>
            <w:r>
              <w:rPr>
                <w:rFonts w:hint="eastAsia" w:ascii="宋体" w:hAnsi="宋体" w:cs="宋体"/>
                <w:color w:val="auto"/>
                <w:kern w:val="0"/>
                <w:sz w:val="24"/>
                <w:highlight w:val="none"/>
                <w:lang w:val="en-US" w:eastAsia="zh-CN"/>
              </w:rPr>
              <w:t>面料：黑藏青四面弹尼龙面料。</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※2、面料技术指标（</w:t>
            </w:r>
            <w:r>
              <w:rPr>
                <w:rFonts w:hint="eastAsia" w:ascii="宋体" w:hAnsi="宋体" w:cs="宋体"/>
                <w:color w:val="auto"/>
                <w:kern w:val="0"/>
                <w:sz w:val="24"/>
                <w:highlight w:val="none"/>
                <w:lang w:eastAsia="zh-CN"/>
              </w:rPr>
              <w:t>提供国家认可的第三方机构出具的检测报告扫描件</w:t>
            </w:r>
            <w:r>
              <w:rPr>
                <w:rFonts w:hint="eastAsia" w:ascii="宋体" w:hAnsi="宋体" w:cs="宋体"/>
                <w:color w:val="auto"/>
                <w:kern w:val="0"/>
                <w:sz w:val="24"/>
                <w:highlight w:val="none"/>
                <w:lang w:val="en-US" w:eastAsia="zh-CN"/>
              </w:rPr>
              <w:t>）：</w:t>
            </w:r>
          </w:p>
          <w:p>
            <w:pPr>
              <w:keepNext w:val="0"/>
              <w:keepLines w:val="0"/>
              <w:widowControl/>
              <w:suppressLineNumbers w:val="0"/>
              <w:jc w:val="left"/>
              <w:textAlignment w:val="center"/>
              <w:rPr>
                <w:rFonts w:hint="eastAsia" w:ascii="宋体" w:hAnsi="宋体" w:cs="宋体"/>
                <w:color w:val="auto"/>
                <w:kern w:val="0"/>
                <w:sz w:val="24"/>
                <w:highlight w:val="none"/>
                <w:lang w:val="en-US" w:eastAsia="zh-Hans"/>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en-US" w:eastAsia="zh-Hans"/>
              </w:rPr>
              <w:t>耐酸碱汗渍色牢度:</w:t>
            </w:r>
            <w:r>
              <w:rPr>
                <w:rFonts w:hint="eastAsia" w:ascii="宋体" w:hAnsi="宋体" w:cs="宋体"/>
                <w:color w:val="auto"/>
                <w:kern w:val="0"/>
                <w:sz w:val="24"/>
                <w:highlight w:val="none"/>
                <w:lang w:eastAsia="zh-Hans"/>
              </w:rPr>
              <w:t>4-5</w:t>
            </w:r>
            <w:r>
              <w:rPr>
                <w:rFonts w:hint="eastAsia" w:ascii="宋体" w:hAnsi="宋体" w:cs="宋体"/>
                <w:color w:val="auto"/>
                <w:kern w:val="0"/>
                <w:sz w:val="24"/>
                <w:highlight w:val="none"/>
                <w:lang w:val="en-US" w:eastAsia="zh-Hans"/>
              </w:rPr>
              <w:t>级</w:t>
            </w:r>
          </w:p>
          <w:p>
            <w:pPr>
              <w:keepNext w:val="0"/>
              <w:keepLines w:val="0"/>
              <w:widowControl/>
              <w:suppressLineNumbers w:val="0"/>
              <w:jc w:val="left"/>
              <w:textAlignment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2）甲醛含量（mg/kg）:≤75</w:t>
            </w:r>
          </w:p>
          <w:p>
            <w:pPr>
              <w:keepNext w:val="0"/>
              <w:keepLines w:val="0"/>
              <w:widowControl/>
              <w:suppressLineNumbers w:val="0"/>
              <w:jc w:val="left"/>
              <w:textAlignment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3）PH值：4.0-9.0</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4）分解致癌芳香胺染料：0（禁用）</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5）耐皂洗色牢度:≥4级。</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6）耐光照色牢度：≥4级。</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7）水蒸气透过性能：&gt;10000g/㎡.24h。</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 xml:space="preserve">3、裤子膝盖部位安装可拆卸式护具。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auto"/>
                <w:kern w:val="0"/>
                <w:sz w:val="24"/>
                <w:highlight w:val="none"/>
                <w:lang w:val="en-US" w:eastAsia="zh-CN"/>
              </w:rPr>
              <w:t>4、反光材料级别：2-3级，</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r>
              <w:rPr>
                <w:rFonts w:hint="eastAsia" w:ascii="宋体" w:hAnsi="宋体" w:eastAsia="宋体" w:cs="宋体"/>
                <w:i w:val="0"/>
                <w:iCs w:val="0"/>
                <w:color w:val="auto"/>
                <w:kern w:val="0"/>
                <w:sz w:val="24"/>
                <w:szCs w:val="24"/>
                <w:highlight w:val="none"/>
                <w:u w:val="none"/>
                <w:lang w:val="en-US" w:eastAsia="zh-CN" w:bidi="ar"/>
              </w:rPr>
              <w:t xml:space="preserve">                                                                                                                                                                 三、夏款骑行靴：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1）※靴子主面料：采用黑色优质头层牛皮（皮面打孔处理）；要求：弹性、伸展性好，厚度适中，透气。</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2.1帮底剥离强度：左/右≥70N/㎝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2.2成鞋耐折性能：割口裂口长度　左/右≤5mm（预割口长度不计算在内），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新裂纹长度　左/右≤0mm不得出现裂面。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2.3外底耐磨性能：磨痕长度　左/右≤6㎜</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2.4帮面牛皮甲醛含量：≤300 mg/kg。                                                                                                                                                                                                              四、夏季骑行手套                                                                                                                                                                                                          1.手套主面料：60%羊皮，15%超纤，25涤纶，使用快干排汗网布，要求弹性，透气性，耐磨性高。                                                                                                                                        2.手套手掌面料：使用AMARA超细纤维布，要求具有耐磨，止滑能力，手套手心面料：使用止滑革，手套其他拼接面料：手背处拼接牛皮，要求牛皮具有弹性和耐磨性。手指缝要求拼接透气网布。                                                      3.手套手背护具：要求使用碳纤维手背关节护具。手套其他护具：各手指关节处，手腕腕骨处，手套下方拇指对侧要求使用海绵护垫。                                                                                                  4.设计要求：手背上需要有氨纶布制成的可延展拉伸结构，方便手部活动食指指尖要求使用导电材料，能够戴手套时操作警用PDA等触摸屏设备。</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601345</wp:posOffset>
                  </wp:positionV>
                  <wp:extent cx="1602740" cy="770255"/>
                  <wp:effectExtent l="0" t="0" r="16510" b="10795"/>
                  <wp:wrapNone/>
                  <wp:docPr id="128" name="图片_3"/>
                  <wp:cNvGraphicFramePr/>
                  <a:graphic xmlns:a="http://schemas.openxmlformats.org/drawingml/2006/main">
                    <a:graphicData uri="http://schemas.openxmlformats.org/drawingml/2006/picture">
                      <pic:pic xmlns:pic="http://schemas.openxmlformats.org/drawingml/2006/picture">
                        <pic:nvPicPr>
                          <pic:cNvPr id="128" name="图片_3"/>
                          <pic:cNvPicPr/>
                        </pic:nvPicPr>
                        <pic:blipFill>
                          <a:blip r:embed="rId42"/>
                          <a:stretch>
                            <a:fillRect/>
                          </a:stretch>
                        </pic:blipFill>
                        <pic:spPr>
                          <a:xfrm>
                            <a:off x="0" y="0"/>
                            <a:ext cx="1602740" cy="77025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1889125</wp:posOffset>
                  </wp:positionV>
                  <wp:extent cx="1035050" cy="1003300"/>
                  <wp:effectExtent l="0" t="0" r="12700" b="6350"/>
                  <wp:wrapNone/>
                  <wp:docPr id="106" name="图片_2"/>
                  <wp:cNvGraphicFramePr/>
                  <a:graphic xmlns:a="http://schemas.openxmlformats.org/drawingml/2006/main">
                    <a:graphicData uri="http://schemas.openxmlformats.org/drawingml/2006/picture">
                      <pic:pic xmlns:pic="http://schemas.openxmlformats.org/drawingml/2006/picture">
                        <pic:nvPicPr>
                          <pic:cNvPr id="106" name="图片_2"/>
                          <pic:cNvPicPr/>
                        </pic:nvPicPr>
                        <pic:blipFill>
                          <a:blip r:embed="rId43"/>
                          <a:stretch>
                            <a:fillRect/>
                          </a:stretch>
                        </pic:blipFill>
                        <pic:spPr>
                          <a:xfrm>
                            <a:off x="0" y="0"/>
                            <a:ext cx="1035050" cy="1003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1431925</wp:posOffset>
                  </wp:positionH>
                  <wp:positionV relativeFrom="paragraph">
                    <wp:posOffset>1919605</wp:posOffset>
                  </wp:positionV>
                  <wp:extent cx="340995" cy="789940"/>
                  <wp:effectExtent l="0" t="0" r="1905" b="10160"/>
                  <wp:wrapNone/>
                  <wp:docPr id="127" name="图片_4_SpCnt_1"/>
                  <wp:cNvGraphicFramePr/>
                  <a:graphic xmlns:a="http://schemas.openxmlformats.org/drawingml/2006/main">
                    <a:graphicData uri="http://schemas.openxmlformats.org/drawingml/2006/picture">
                      <pic:pic xmlns:pic="http://schemas.openxmlformats.org/drawingml/2006/picture">
                        <pic:nvPicPr>
                          <pic:cNvPr id="127" name="图片_4_SpCnt_1"/>
                          <pic:cNvPicPr/>
                        </pic:nvPicPr>
                        <pic:blipFill>
                          <a:blip r:embed="rId44"/>
                          <a:stretch>
                            <a:fillRect/>
                          </a:stretch>
                        </pic:blipFill>
                        <pic:spPr>
                          <a:xfrm>
                            <a:off x="0" y="0"/>
                            <a:ext cx="340995" cy="78994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3221990</wp:posOffset>
                  </wp:positionV>
                  <wp:extent cx="1617980" cy="1468120"/>
                  <wp:effectExtent l="0" t="0" r="1270" b="17780"/>
                  <wp:wrapNone/>
                  <wp:docPr id="129" name="图片_1_SpCnt_2"/>
                  <wp:cNvGraphicFramePr/>
                  <a:graphic xmlns:a="http://schemas.openxmlformats.org/drawingml/2006/main">
                    <a:graphicData uri="http://schemas.openxmlformats.org/drawingml/2006/picture">
                      <pic:pic xmlns:pic="http://schemas.openxmlformats.org/drawingml/2006/picture">
                        <pic:nvPicPr>
                          <pic:cNvPr id="129" name="图片_1_SpCnt_2"/>
                          <pic:cNvPicPr/>
                        </pic:nvPicPr>
                        <pic:blipFill>
                          <a:blip r:embed="rId45"/>
                          <a:stretch>
                            <a:fillRect/>
                          </a:stretch>
                        </pic:blipFill>
                        <pic:spPr>
                          <a:xfrm>
                            <a:off x="0" y="0"/>
                            <a:ext cx="1617980" cy="1468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两用烟雾弹（手投、38毫米发射枪）</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弹壳材料铝制，击发方式：枪射手投两用，有效射程≥120m，延期时间2-3sec，发烟时间不少于15-25sec，正常作用率≥97%，有效期：5years。作用：用于演习、训练，击发后弹头释放有色烟雾（红、黄、蓝、绿、橙、白等可选）模拟催泪弹烟雾。</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i w:val="0"/>
                <w:iCs w:val="0"/>
                <w:color w:val="auto"/>
                <w:sz w:val="24"/>
                <w:szCs w:val="24"/>
                <w:highlight w:val="none"/>
                <w:u w:val="none"/>
                <w:lang w:eastAsia="zh-CN"/>
              </w:rPr>
              <w:drawing>
                <wp:inline distT="0" distB="0" distL="114300" distR="114300">
                  <wp:extent cx="1104900" cy="1424940"/>
                  <wp:effectExtent l="0" t="0" r="0" b="3810"/>
                  <wp:docPr id="1" name="图片 1" descr="d677536e23976911c7c600213b29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77536e23976911c7c600213b292cf"/>
                          <pic:cNvPicPr>
                            <a:picLocks noChangeAspect="1"/>
                          </pic:cNvPicPr>
                        </pic:nvPicPr>
                        <pic:blipFill>
                          <a:blip r:embed="rId46"/>
                          <a:stretch>
                            <a:fillRect/>
                          </a:stretch>
                        </pic:blipFill>
                        <pic:spPr>
                          <a:xfrm>
                            <a:off x="0" y="0"/>
                            <a:ext cx="1104900" cy="14249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便携式酒精测试棒</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1、检测探头：采用电化学燃料电池型酒精传感器，该传感器只与酒精起反应，并有寿命长，性能稳定等特点。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2、按键功能：按键伴有声音提示，使用直观。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3、屏幕显示：高亮彩色LCD显示屏。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4、屏幕切换功能：不同环境光照强度下屏幕底色自动切换，确保各种光照环境使用。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5、电子哨音功能：使得交通指挥棒更加灵便和卫生。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6、振动马达提示功能：测试结果低于设定值，振动马达和指示灯不工作；测试结果高于设定值，振动马达和指示灯工作。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7、快速排查检测：采用电机循环抽气采样，被测者只要靠近进气口呼气，就能自动采样分析。检测快速，1秒出结果。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8、定性检测：具备定性检测功能，为确保执法的公平与准确性，其定性测试结果用数据直观显示。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9、不用预热时间：开机直接测试。</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10、电源：节能设计，可充锂离子电池，容量3000mAh，可连续工作8小时以上。</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752475</wp:posOffset>
                  </wp:positionH>
                  <wp:positionV relativeFrom="paragraph">
                    <wp:posOffset>647700</wp:posOffset>
                  </wp:positionV>
                  <wp:extent cx="476250" cy="1217295"/>
                  <wp:effectExtent l="0" t="0" r="0" b="1905"/>
                  <wp:wrapNone/>
                  <wp:docPr id="125" name="图片_4_SpCnt_2"/>
                  <wp:cNvGraphicFramePr/>
                  <a:graphic xmlns:a="http://schemas.openxmlformats.org/drawingml/2006/main">
                    <a:graphicData uri="http://schemas.openxmlformats.org/drawingml/2006/picture">
                      <pic:pic xmlns:pic="http://schemas.openxmlformats.org/drawingml/2006/picture">
                        <pic:nvPicPr>
                          <pic:cNvPr id="125" name="图片_4_SpCnt_2"/>
                          <pic:cNvPicPr/>
                        </pic:nvPicPr>
                        <pic:blipFill>
                          <a:blip r:embed="rId47"/>
                          <a:stretch>
                            <a:fillRect/>
                          </a:stretch>
                        </pic:blipFill>
                        <pic:spPr>
                          <a:xfrm>
                            <a:off x="0" y="0"/>
                            <a:ext cx="476250" cy="1217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自动气胀式工作救生衣</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材料:外壳210D牛津布，气囊布为尼龙TPU2:重量:小于0.8KG3:浮力: ≥150N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小气瓶:二氧化碳总重量小于50克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充气时间:小于5秒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充气方式:遇水触发，自动。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浮力损失:在水中浸泡24时浮力损失不大于5%</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执行标准:JT/T346-2004《船用气胀式救生衣》</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60960</wp:posOffset>
                  </wp:positionV>
                  <wp:extent cx="1268095" cy="1466215"/>
                  <wp:effectExtent l="0" t="0" r="8255" b="635"/>
                  <wp:wrapNone/>
                  <wp:docPr id="115" name="图片_13"/>
                  <wp:cNvGraphicFramePr/>
                  <a:graphic xmlns:a="http://schemas.openxmlformats.org/drawingml/2006/main">
                    <a:graphicData uri="http://schemas.openxmlformats.org/drawingml/2006/picture">
                      <pic:pic xmlns:pic="http://schemas.openxmlformats.org/drawingml/2006/picture">
                        <pic:nvPicPr>
                          <pic:cNvPr id="115" name="图片_13"/>
                          <pic:cNvPicPr/>
                        </pic:nvPicPr>
                        <pic:blipFill>
                          <a:blip r:embed="rId48"/>
                          <a:stretch>
                            <a:fillRect/>
                          </a:stretch>
                        </pic:blipFill>
                        <pic:spPr>
                          <a:xfrm>
                            <a:off x="0" y="0"/>
                            <a:ext cx="1268095" cy="1466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防化服</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一、防化服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款式：连体带帽，松紧帽檐、腰部、袖口和裤管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撕裂强力：经向：108N、纬向：99N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 xml:space="preserve">接缝强力：≥144N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拉伸强度：经向：4KN/m、纬向：3KN/m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 xml:space="preserve">抗化学品渗透性能（二甲基硫酸盐）：≥70min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重量（不包含防化手套和防护靴）：≤1kg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字体：后背印“警察 POLICE”字样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二、防化手套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 xml:space="preserve">撕裂强力：经向：39N、纬向：20N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抗化学品渗透性能（二甲基硫酸盐）：≥63min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耐刺穿力：≥68N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三、防护靴</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1017905</wp:posOffset>
                  </wp:positionV>
                  <wp:extent cx="1352550" cy="2230755"/>
                  <wp:effectExtent l="0" t="0" r="0" b="17145"/>
                  <wp:wrapNone/>
                  <wp:docPr id="116" name="图片_44"/>
                  <wp:cNvGraphicFramePr/>
                  <a:graphic xmlns:a="http://schemas.openxmlformats.org/drawingml/2006/main">
                    <a:graphicData uri="http://schemas.openxmlformats.org/drawingml/2006/picture">
                      <pic:pic xmlns:pic="http://schemas.openxmlformats.org/drawingml/2006/picture">
                        <pic:nvPicPr>
                          <pic:cNvPr id="116" name="图片_44"/>
                          <pic:cNvPicPr/>
                        </pic:nvPicPr>
                        <pic:blipFill>
                          <a:blip r:embed="rId49"/>
                          <a:stretch>
                            <a:fillRect/>
                          </a:stretch>
                        </pic:blipFill>
                        <pic:spPr>
                          <a:xfrm>
                            <a:off x="0" y="0"/>
                            <a:ext cx="1352550" cy="2230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防毒面具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1、独特的面具密封线形状提供完美的贴合度和密封性。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2、体积小巧， 重量轻，方便携带。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3、内部独特的双阀门系统使呼吸阻力极低，长时间佩戴也能保持舒适感。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4、带有网眼和弹性织带的头带系统，方便佩戴和取下。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5、高质量的传声膜片可以提供最佳的通话效果。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6、面罩重量: 小于150克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7、.滤罐尺寸≤90mm*45mm。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8、滤罐重量≤65±5克。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9、保存期限≥10 年。</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10、符合国标GB2890-2009《呼吸防护自吸过滤式防毒面具》标准并</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336550</wp:posOffset>
                  </wp:positionV>
                  <wp:extent cx="1921510" cy="1229995"/>
                  <wp:effectExtent l="0" t="0" r="2540" b="8255"/>
                  <wp:wrapNone/>
                  <wp:docPr id="114" name="图片_45"/>
                  <wp:cNvGraphicFramePr/>
                  <a:graphic xmlns:a="http://schemas.openxmlformats.org/drawingml/2006/main">
                    <a:graphicData uri="http://schemas.openxmlformats.org/drawingml/2006/picture">
                      <pic:pic xmlns:pic="http://schemas.openxmlformats.org/drawingml/2006/picture">
                        <pic:nvPicPr>
                          <pic:cNvPr id="114" name="图片_45"/>
                          <pic:cNvPicPr/>
                        </pic:nvPicPr>
                        <pic:blipFill>
                          <a:blip r:embed="rId50"/>
                          <a:stretch>
                            <a:fillRect/>
                          </a:stretch>
                        </pic:blipFill>
                        <pic:spPr>
                          <a:xfrm>
                            <a:off x="0" y="0"/>
                            <a:ext cx="1921510" cy="1229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19</w:t>
            </w:r>
          </w:p>
        </w:tc>
        <w:tc>
          <w:tcPr>
            <w:tcW w:w="63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窗口证据采集仪（高拍仪）</w:t>
            </w:r>
          </w:p>
        </w:tc>
        <w:tc>
          <w:tcPr>
            <w:tcW w:w="304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1.主摄像头：CMOS镜头；500万像素；分辨率2594X1944。广角镜头，拍摄A4高度。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辅助摄像头：CMOS镜头；200万像素；分辨率1600*1200；高清摄像头，辅助镜头非即插式，稳固大方，不会丢失。水平方向可旋转实现270°可视。 360°视角全覆盖，俯仰角度：≥45°。景深范围：0.3米~5米能满足不同应用场景的拍摄要求。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2.USB接口供电, 2个USB扩展口；智能补光：不低于六颗LED补光灯，触控开关，智能可调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硬质底座，支持A4及以下文档拍摄，便于柜台摆放；重量轻巧、便于搬移；高拍仪与文稿台装配，采用一插到位设计方式，简便拆装工序；主摄像采用专用的精准定位技术，保证视频图像在底座上居中且无畸变，操作员只需按底座上的提示框放置扫描件即可，简单方便；铝合金材质结实耐用,精巧美观，防静电、防震；功率小、节能（2.5W）；设备采用USB 连接与供电，设备使用寿命≥3年。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4.拍摄幅面：固定 A4拍摄幅面，自动调焦方式 ，以简便柜员操作，提高处理效率。扫描尺寸：A4、A5、A6、A7、名片、各种类别身份证件。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成像要求：摄像头采用调焦方式，成像速度1秒。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5.图片格式：支持JPEG、TIF、BMP、TGA、PCX、PNG、RAS等，满足图像质量的前提下，所采集图像文件大小≤300K以满足网络传输需求(可自行设定压缩比例，控制图像存储大小。提供支持任意压缩比例的图像压缩算法SDK)。</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6.高拍仪内置身份阅读器，可直接读取二代、三代身份证信息自动填入我方系统界面。 </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7.高拍仪支持对接专用平台系统成功，以便采集影像化资料及电子档案上传系统。应用于公安内网，与公安系统打通</w:t>
            </w:r>
            <w:r>
              <w:rPr>
                <w:rFonts w:hint="eastAsia" w:ascii="宋体" w:hAnsi="宋体" w:cs="宋体"/>
                <w:i w:val="0"/>
                <w:iCs w:val="0"/>
                <w:color w:val="auto"/>
                <w:kern w:val="0"/>
                <w:sz w:val="24"/>
                <w:szCs w:val="24"/>
                <w:highlight w:val="none"/>
                <w:u w:val="none"/>
                <w:lang w:val="en-US" w:eastAsia="zh-CN" w:bidi="ar"/>
              </w:rPr>
              <w:t>。</w:t>
            </w:r>
          </w:p>
        </w:tc>
        <w:tc>
          <w:tcPr>
            <w:tcW w:w="107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302260</wp:posOffset>
                  </wp:positionV>
                  <wp:extent cx="1433830" cy="2069465"/>
                  <wp:effectExtent l="0" t="0" r="13970" b="6985"/>
                  <wp:wrapNone/>
                  <wp:docPr id="119" name="图片_18"/>
                  <wp:cNvGraphicFramePr/>
                  <a:graphic xmlns:a="http://schemas.openxmlformats.org/drawingml/2006/main">
                    <a:graphicData uri="http://schemas.openxmlformats.org/drawingml/2006/picture">
                      <pic:pic xmlns:pic="http://schemas.openxmlformats.org/drawingml/2006/picture">
                        <pic:nvPicPr>
                          <pic:cNvPr id="119" name="图片_18"/>
                          <pic:cNvPicPr/>
                        </pic:nvPicPr>
                        <pic:blipFill>
                          <a:blip r:embed="rId51"/>
                          <a:stretch>
                            <a:fillRect/>
                          </a:stretch>
                        </pic:blipFill>
                        <pic:spPr>
                          <a:xfrm>
                            <a:off x="0" y="0"/>
                            <a:ext cx="1433830" cy="2069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1" w:hRule="atLeast"/>
        </w:trPr>
        <w:tc>
          <w:tcPr>
            <w:tcW w:w="24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0</w:t>
            </w:r>
          </w:p>
        </w:tc>
        <w:tc>
          <w:tcPr>
            <w:tcW w:w="63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警用无人机 （干扰套装）</w:t>
            </w: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1.飞机自带桨叶保护罩</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2.飞机重约 410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3.外形尺寸180×180×80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4.1/1.7 英寸影像传感器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5.光圈 f/2.8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6.最高 4K/60fps 视频</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7.有效像素 4800 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8.视角范围（FOV）155°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9.支持头部、手部体感控制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10.地平线增稳、超强增稳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11.最远 10 公里图传*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12.1080p/100fps 图传画质：最低延时30毫秒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13.最长 18 分钟悬停时间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14.20GB 机载内存                                                                                                               15.遥控器重量：约 346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16.遥控器尺寸：长 190 毫米，宽 140 毫米，厚 51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17.遥控器续航：约 9 小时</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18.遥控器充电耗时：约 2.5 小时                                                                                                                 19.包装清单：飞行器套装 x1，备用智能飞行电池x1，备用螺旋桨（对）x1，存储卡（128G）x1，包 畅飞配件包（飞行眼镜多功能飞行包）x1，保险：随心换（2年版）x1</w:t>
            </w:r>
          </w:p>
        </w:tc>
        <w:tc>
          <w:tcPr>
            <w:tcW w:w="1078"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859155</wp:posOffset>
                  </wp:positionV>
                  <wp:extent cx="1626870" cy="1520825"/>
                  <wp:effectExtent l="0" t="0" r="11430" b="3175"/>
                  <wp:wrapNone/>
                  <wp:docPr id="113" name="Image1"/>
                  <wp:cNvGraphicFramePr/>
                  <a:graphic xmlns:a="http://schemas.openxmlformats.org/drawingml/2006/main">
                    <a:graphicData uri="http://schemas.openxmlformats.org/drawingml/2006/picture">
                      <pic:pic xmlns:pic="http://schemas.openxmlformats.org/drawingml/2006/picture">
                        <pic:nvPicPr>
                          <pic:cNvPr id="113" name="Image1"/>
                          <pic:cNvPicPr/>
                        </pic:nvPicPr>
                        <pic:blipFill>
                          <a:blip r:embed="rId52"/>
                          <a:stretch>
                            <a:fillRect/>
                          </a:stretch>
                        </pic:blipFill>
                        <pic:spPr>
                          <a:xfrm>
                            <a:off x="0" y="0"/>
                            <a:ext cx="1626870" cy="1520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1</w:t>
            </w:r>
          </w:p>
        </w:tc>
        <w:tc>
          <w:tcPr>
            <w:tcW w:w="63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遥控破胎器</w:t>
            </w:r>
          </w:p>
        </w:tc>
        <w:tc>
          <w:tcPr>
            <w:tcW w:w="304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1.路障应易于展开、收拢和操作方便，各组成部分相互协调、动作准确。展开时间≤5s，收拢时间≤4s。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2.便携尺寸（含手柄搭扣、轮子）约为：长（560mm±2mm）×宽（450mm±2mm）×高（93mm ±2mm）。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3.路障质量（含箱体，但不包括附件及工具）：≤9kg 。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4.路障有效长度：完全展开长度机头顶端至路障箱体底端总长≥7m。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5.手柄连接强度： 手柄与路障箱体间的连接应能承受≥500N 的拉力，不应有断裂、松动或脱落现象。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6.刺针有效长度：≥41mm。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5640705</wp:posOffset>
                  </wp:positionH>
                  <wp:positionV relativeFrom="paragraph">
                    <wp:posOffset>153670</wp:posOffset>
                  </wp:positionV>
                  <wp:extent cx="1820545" cy="1171575"/>
                  <wp:effectExtent l="0" t="0" r="8255" b="9525"/>
                  <wp:wrapNone/>
                  <wp:docPr id="118" name="图片_23"/>
                  <wp:cNvGraphicFramePr/>
                  <a:graphic xmlns:a="http://schemas.openxmlformats.org/drawingml/2006/main">
                    <a:graphicData uri="http://schemas.openxmlformats.org/drawingml/2006/picture">
                      <pic:pic xmlns:pic="http://schemas.openxmlformats.org/drawingml/2006/picture">
                        <pic:nvPicPr>
                          <pic:cNvPr id="118" name="图片_23"/>
                          <pic:cNvPicPr/>
                        </pic:nvPicPr>
                        <pic:blipFill>
                          <a:blip r:embed="rId53"/>
                          <a:stretch>
                            <a:fillRect/>
                          </a:stretch>
                        </pic:blipFill>
                        <pic:spPr>
                          <a:xfrm>
                            <a:off x="0" y="0"/>
                            <a:ext cx="1820545" cy="117157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※7.剌针有效放气孔径：≥6mm。</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8.剌针有效间距：≤55mm。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※9.剌针有效数量：≥110枚。</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10.路障支座尺寸：路障采用长（400mm±5mm）×宽（15mm±5mm）×（厚3mm±2mm ）铝合金型材支座。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11.刺针拔出力：路障的刺针在轴向应承受≥30N的拉力不脱落；施加≥100 N的拉力时应立即脱落。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12.有效拦截时间： 汽车的车轮压过路障后，轮胎完全失去充气压力的时间≤9s。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13.气候环境适应性：路障在环境温度-40℃- +55℃条件下，应符合路障表面无锈蚀和机械损伤，紧固部位应牢靠、无松动，活动部位应灵活、可靠。各部件之间应联接方便。路障应易于展开、收拢和操作方便,各组成部分相互协调、动作准确；机电复合型路障:展开时间应≤5min，收拢时间应≤5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14.电压检测模块：电压检测模块应为≥12V 内数显模式。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15.可脱卸电池：应最少包括两块≥12V、≥4800mah 可脱卸更换电池。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.遥控距离：空旷无干扰距离≥150m。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.执行标准：《GA/T421-2003穿刺放气式路障》。</w:t>
            </w:r>
          </w:p>
        </w:tc>
        <w:tc>
          <w:tcPr>
            <w:tcW w:w="107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便携式手动破拆工具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主要作用在入屋破拆的开路、扩张，特点是收纳方便，易于存放，具有隐蔽性。展开放在地上操作时，防止工具与地面发出碰撞声。弯头螺丝刀：全长28.8cm刀体长17.5cm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 xml:space="preserve">                                                                                    </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 xml:space="preserve">直柄螺丝刀：全长41.5cm  刀体长29.5cm                                                                             </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 xml:space="preserve">活动扳手                                                                                              </w:t>
            </w: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撬杆：携行包</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101600</wp:posOffset>
                  </wp:positionV>
                  <wp:extent cx="1310005" cy="662940"/>
                  <wp:effectExtent l="0" t="0" r="4445" b="3810"/>
                  <wp:wrapNone/>
                  <wp:docPr id="117" name="图片_1_SpCnt_3"/>
                  <wp:cNvGraphicFramePr/>
                  <a:graphic xmlns:a="http://schemas.openxmlformats.org/drawingml/2006/main">
                    <a:graphicData uri="http://schemas.openxmlformats.org/drawingml/2006/picture">
                      <pic:pic xmlns:pic="http://schemas.openxmlformats.org/drawingml/2006/picture">
                        <pic:nvPicPr>
                          <pic:cNvPr id="117" name="图片_1_SpCnt_3"/>
                          <pic:cNvPicPr/>
                        </pic:nvPicPr>
                        <pic:blipFill>
                          <a:blip r:embed="rId54"/>
                          <a:stretch>
                            <a:fillRect/>
                          </a:stretch>
                        </pic:blipFill>
                        <pic:spPr>
                          <a:xfrm>
                            <a:off x="0" y="0"/>
                            <a:ext cx="1310005" cy="662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车辆拖移钢绳</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1、适用车辆：轿车、小面包车、SUV等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2、长度：≥5米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3、钢丝股数：≥0.6毫米钢丝133根（7股*19根）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4、钢丝绳直径：≥9.3毫米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5、钢丝绳材质：镀锌（棉芯）钢丝绳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6、紧固方法：钢丝绳索+铝扣</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7、链接方法：U型钩或挂钩</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464820</wp:posOffset>
                  </wp:positionV>
                  <wp:extent cx="1648460" cy="664845"/>
                  <wp:effectExtent l="0" t="0" r="8890" b="1905"/>
                  <wp:wrapNone/>
                  <wp:docPr id="120" name="图片_47"/>
                  <wp:cNvGraphicFramePr/>
                  <a:graphic xmlns:a="http://schemas.openxmlformats.org/drawingml/2006/main">
                    <a:graphicData uri="http://schemas.openxmlformats.org/drawingml/2006/picture">
                      <pic:pic xmlns:pic="http://schemas.openxmlformats.org/drawingml/2006/picture">
                        <pic:nvPicPr>
                          <pic:cNvPr id="120" name="图片_47"/>
                          <pic:cNvPicPr/>
                        </pic:nvPicPr>
                        <pic:blipFill>
                          <a:blip r:embed="rId55"/>
                          <a:stretch>
                            <a:fillRect/>
                          </a:stretch>
                        </pic:blipFill>
                        <pic:spPr>
                          <a:xfrm>
                            <a:off x="0" y="0"/>
                            <a:ext cx="1648460" cy="664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车载探照光源</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1、采用HID气体放电灯泡，发光效率高，光通量≥3500lm，是同功率卤素灯泡的5倍，灯泡寿命达到10000小时，是普通卤素灯泡的10倍。光色呈白色，聚光效果良好，照射距离远。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2、水平转动无死角，可在360°范围内转动。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3、灯具底盘装有强力吸磁石，可吸附在汽车上移动照明，灯具有无线遥控装置。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4、采用先进的到位检测技术，设有限位开关传动结构电气更可靠，可耐汽车长期振动和冲击。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5、采用无线电遥控器控制灯光的开启，垂直、水平方向的转动进行搜索照明。可在30米内无线控制。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6、灯具和遥控器密封性优，可有效抵御暴雨侵袭。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7、额定电压：DC12V/24V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8、光源功率：≥35W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9、光通量：3500lm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10、遥控距离：≥30m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11、调节旋转角度：上下0～60〫/左右360〫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12、照射距离：≥1200m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13、外形尺寸：≤215×200×265mm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14、重量：≤3kg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1123950</wp:posOffset>
                  </wp:positionV>
                  <wp:extent cx="1635125" cy="1828800"/>
                  <wp:effectExtent l="0" t="0" r="3175" b="0"/>
                  <wp:wrapNone/>
                  <wp:docPr id="105" name="图片_26"/>
                  <wp:cNvGraphicFramePr/>
                  <a:graphic xmlns:a="http://schemas.openxmlformats.org/drawingml/2006/main">
                    <a:graphicData uri="http://schemas.openxmlformats.org/drawingml/2006/picture">
                      <pic:pic xmlns:pic="http://schemas.openxmlformats.org/drawingml/2006/picture">
                        <pic:nvPicPr>
                          <pic:cNvPr id="105" name="图片_26"/>
                          <pic:cNvPicPr/>
                        </pic:nvPicPr>
                        <pic:blipFill>
                          <a:blip r:embed="rId56"/>
                          <a:stretch>
                            <a:fillRect/>
                          </a:stretch>
                        </pic:blipFill>
                        <pic:spPr>
                          <a:xfrm>
                            <a:off x="0" y="0"/>
                            <a:ext cx="1635125" cy="1828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钢制撬棍</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重型扁体撬棍 全长不小于60cm 扁体宽29mmX厚15mm</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200025</wp:posOffset>
                  </wp:positionV>
                  <wp:extent cx="1692910" cy="735965"/>
                  <wp:effectExtent l="0" t="0" r="2540" b="6985"/>
                  <wp:wrapNone/>
                  <wp:docPr id="104" name="图片_60"/>
                  <wp:cNvGraphicFramePr/>
                  <a:graphic xmlns:a="http://schemas.openxmlformats.org/drawingml/2006/main">
                    <a:graphicData uri="http://schemas.openxmlformats.org/drawingml/2006/picture">
                      <pic:pic xmlns:pic="http://schemas.openxmlformats.org/drawingml/2006/picture">
                        <pic:nvPicPr>
                          <pic:cNvPr id="104" name="图片_60"/>
                          <pic:cNvPicPr/>
                        </pic:nvPicPr>
                        <pic:blipFill>
                          <a:blip r:embed="rId57"/>
                          <a:stretch>
                            <a:fillRect/>
                          </a:stretch>
                        </pic:blipFill>
                        <pic:spPr>
                          <a:xfrm>
                            <a:off x="0" y="0"/>
                            <a:ext cx="1692910" cy="735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事故现场防闯入系统</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1、主箱体</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总重量：12kg（含设备）</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蓄电池充电时长：2小时</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大小：480*330*265（尺寸不包含垫脚和拉杆）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电源：AC220V/DC12V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2、预警器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大小：内径：</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10</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mm ；外径：200mm</w:t>
            </w:r>
            <w:r>
              <w:rPr>
                <w:rFonts w:hint="eastAsia" w:ascii="宋体" w:hAnsi="宋体" w:cs="宋体"/>
                <w:i w:val="0"/>
                <w:iCs w:val="0"/>
                <w:color w:val="auto"/>
                <w:kern w:val="0"/>
                <w:sz w:val="24"/>
                <w:szCs w:val="24"/>
                <w:highlight w:val="none"/>
                <w:u w:val="none"/>
                <w:lang w:val="en-US" w:eastAsia="zh-CN" w:bidi="ar"/>
              </w:rPr>
              <w:t>左右</w:t>
            </w:r>
            <w:r>
              <w:rPr>
                <w:rFonts w:hint="eastAsia" w:ascii="宋体" w:hAnsi="宋体" w:eastAsia="宋体" w:cs="宋体"/>
                <w:i w:val="0"/>
                <w:iCs w:val="0"/>
                <w:color w:val="auto"/>
                <w:kern w:val="0"/>
                <w:sz w:val="24"/>
                <w:szCs w:val="24"/>
                <w:highlight w:val="none"/>
                <w:u w:val="none"/>
                <w:lang w:val="en-US" w:eastAsia="zh-CN" w:bidi="ar"/>
              </w:rPr>
              <w:t>；厚度：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34mm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无线传输：采用433MHz工业频段，抗干扰能力强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3、中继报警器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大小：164*57.7*47.7mm 含天线/背夹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报警音量：≥70 分贝</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电池容量：1800mAh</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LED 灯：蓝色和红色闪光（可调）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重量：0.176kg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4、肩灯报警器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大小：80mm(长)*50mm(宽)*43mm(高)</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防护等级：IP67</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报警音量：≥70 分贝</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安装：可以夹带在肩章上</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LED 灯：颜色：白色；蓝色和红色闪光（可调）</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续航：连续照明时间≥7小时</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551180</wp:posOffset>
                  </wp:positionV>
                  <wp:extent cx="1654175" cy="1061085"/>
                  <wp:effectExtent l="0" t="0" r="3175" b="5715"/>
                  <wp:wrapNone/>
                  <wp:docPr id="103" name="图片_48"/>
                  <wp:cNvGraphicFramePr/>
                  <a:graphic xmlns:a="http://schemas.openxmlformats.org/drawingml/2006/main">
                    <a:graphicData uri="http://schemas.openxmlformats.org/drawingml/2006/picture">
                      <pic:pic xmlns:pic="http://schemas.openxmlformats.org/drawingml/2006/picture">
                        <pic:nvPicPr>
                          <pic:cNvPr id="103" name="图片_48"/>
                          <pic:cNvPicPr/>
                        </pic:nvPicPr>
                        <pic:blipFill>
                          <a:blip r:embed="rId58"/>
                          <a:stretch>
                            <a:fillRect/>
                          </a:stretch>
                        </pic:blipFill>
                        <pic:spPr>
                          <a:xfrm>
                            <a:off x="0" y="0"/>
                            <a:ext cx="1654175" cy="1061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现场便携围挡</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加重铁块底座4块（每块10kg）1.8m直径28mm*1.5mm的不锈钢伸缩杆4根、高1.8mX宽2.5m围挡布4张、硬塑便携包1个</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372745</wp:posOffset>
                  </wp:positionV>
                  <wp:extent cx="1262380" cy="1189355"/>
                  <wp:effectExtent l="0" t="0" r="13970" b="10795"/>
                  <wp:wrapNone/>
                  <wp:docPr id="91" name="图片_49"/>
                  <wp:cNvGraphicFramePr/>
                  <a:graphic xmlns:a="http://schemas.openxmlformats.org/drawingml/2006/main">
                    <a:graphicData uri="http://schemas.openxmlformats.org/drawingml/2006/picture">
                      <pic:pic xmlns:pic="http://schemas.openxmlformats.org/drawingml/2006/picture">
                        <pic:nvPicPr>
                          <pic:cNvPr id="91" name="图片_49"/>
                          <pic:cNvPicPr/>
                        </pic:nvPicPr>
                        <pic:blipFill>
                          <a:blip r:embed="rId59"/>
                          <a:stretch>
                            <a:fillRect/>
                          </a:stretch>
                        </pic:blipFill>
                        <pic:spPr>
                          <a:xfrm>
                            <a:off x="0" y="0"/>
                            <a:ext cx="1262380" cy="1189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测距望远镜</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1、测量距离3000m（高反物3500m），无盲区0米起测，精度0.2m；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2、功能强大，测距，测高差，测倾角，测圆形、矩形面积、空间任意两点测距；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3、带有方位角，在方位角模式下同时获取GPS信息显示坐标点的经度纬度；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4、带振动提醒和存储功能，有蓝牙串口，可通过连接APP；</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5、符合人体工学设计，紧凑、轻量测距范围：0m-3000m（一般目标）   0-3500m（高反目标）；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5907405</wp:posOffset>
                  </wp:positionH>
                  <wp:positionV relativeFrom="paragraph">
                    <wp:posOffset>43815</wp:posOffset>
                  </wp:positionV>
                  <wp:extent cx="1626870" cy="1125220"/>
                  <wp:effectExtent l="0" t="0" r="11430" b="17780"/>
                  <wp:wrapNone/>
                  <wp:docPr id="92" name="图片_50"/>
                  <wp:cNvGraphicFramePr/>
                  <a:graphic xmlns:a="http://schemas.openxmlformats.org/drawingml/2006/main">
                    <a:graphicData uri="http://schemas.openxmlformats.org/drawingml/2006/picture">
                      <pic:pic xmlns:pic="http://schemas.openxmlformats.org/drawingml/2006/picture">
                        <pic:nvPicPr>
                          <pic:cNvPr id="92" name="图片_50"/>
                          <pic:cNvPicPr/>
                        </pic:nvPicPr>
                        <pic:blipFill>
                          <a:blip r:embed="rId60"/>
                          <a:stretch>
                            <a:fillRect/>
                          </a:stretch>
                        </pic:blipFill>
                        <pic:spPr>
                          <a:xfrm>
                            <a:off x="0" y="0"/>
                            <a:ext cx="1626870" cy="112522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6、测距精度：±0.2m（＜200m） ±0.2-1m（＞200m）；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7、测距显示：内置和外置LCD显示；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※8、放大倍数：≥8.0X；</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9、物镜口径：Φ26mm；接收直径：32x26mm；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10、出瞳直径：Φ3.7mm；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11、视场：6°出瞳距离：18.8mm，屈光度范围（视度）：±4dpt，工作温度：﹣10~＋50℃，激光人眼安全：是，对焦方式：目镜调焦，测量提示：振动，防护等级：IPX4，蓝牙串口：√ 可通过连接APP，面积测量：√ 圆形、矩形，GPS：√ 显示坐标点经度纬度，方位角：√，空间任意两点测距：√，外置显示屏：√，数据存储：7组，可充电：有，充电提示，产品尺寸：126*79.5*44mm，净重：246g，测量功能：单次测量、扫描测量、高度测量、角度测量、水平距离、高度差测量，三脚架：支持，电源：内置1200MA/H充电锂电池。</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29</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酒精测试仪</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1、采用进口电化学燃料电池型酒精传感器，该传感器只与酒精起反应，并有寿命长，性能稳定等特点。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2、采用了紧凑气路设计、高精度的采样系统、仪表级电路设计及先进的算法，保证测量快速、准确、稳定。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3、3.2英寸240×320 TFT LCD屏，清晰直观。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4、可储存40000条以上的测试记录，可随时查询及打印。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5、数据库管理软件，每次的测试记录可通过GPRS无线网络数据上传至后台。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6、内置GPS定位。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7、简捷的三键操作，全程指示吹气过程，直观。可触摸屏输入车牌号、驾驶证号、执法民警警号等资料信息。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8、一体化打印功能：一体化热敏打印机（标配）；一体化针式打印机（选配），二选其一。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9、拍照功能：吹气过程中自动拍照，直接在测试记录里查看图像。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10、指纹识别功能：吹气前录入指纹，可在测试记录中调出指纹进行比对。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11、语音播报：使用过程中有语音播报。</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12、采用定制大容量可充电锂电池，保障机器连续工作24小时以上。仪器内置时钟芯片和时钟后备电池，保障时间准确。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13、采用特殊设计防倒吸单向吹管，确保测量过程卫生安全。</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14、一键弹出式吹管设计，确保执法过程的卫生安全。</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704850</wp:posOffset>
                  </wp:positionH>
                  <wp:positionV relativeFrom="paragraph">
                    <wp:posOffset>952500</wp:posOffset>
                  </wp:positionV>
                  <wp:extent cx="885190" cy="1320800"/>
                  <wp:effectExtent l="0" t="0" r="10160" b="12700"/>
                  <wp:wrapNone/>
                  <wp:docPr id="90" name="图片_6_SpCnt_1"/>
                  <wp:cNvGraphicFramePr/>
                  <a:graphic xmlns:a="http://schemas.openxmlformats.org/drawingml/2006/main">
                    <a:graphicData uri="http://schemas.openxmlformats.org/drawingml/2006/picture">
                      <pic:pic xmlns:pic="http://schemas.openxmlformats.org/drawingml/2006/picture">
                        <pic:nvPicPr>
                          <pic:cNvPr id="90" name="图片_6_SpCnt_1"/>
                          <pic:cNvPicPr/>
                        </pic:nvPicPr>
                        <pic:blipFill>
                          <a:blip r:embed="rId61"/>
                          <a:stretch>
                            <a:fillRect/>
                          </a:stretch>
                        </pic:blipFill>
                        <pic:spPr>
                          <a:xfrm>
                            <a:off x="0" y="0"/>
                            <a:ext cx="885190" cy="1320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牛津布折叠小型单架</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2、折叠方式：两折；</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3、滚轮材质：加固橡胶滚轮；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4、布面材料：牛津面料；</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5、保险带：两根。</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412115</wp:posOffset>
                  </wp:positionV>
                  <wp:extent cx="1308100" cy="568960"/>
                  <wp:effectExtent l="0" t="0" r="6350" b="2540"/>
                  <wp:wrapNone/>
                  <wp:docPr id="94" name="图片_51"/>
                  <wp:cNvGraphicFramePr/>
                  <a:graphic xmlns:a="http://schemas.openxmlformats.org/drawingml/2006/main">
                    <a:graphicData uri="http://schemas.openxmlformats.org/drawingml/2006/picture">
                      <pic:pic xmlns:pic="http://schemas.openxmlformats.org/drawingml/2006/picture">
                        <pic:nvPicPr>
                          <pic:cNvPr id="94" name="图片_51"/>
                          <pic:cNvPicPr/>
                        </pic:nvPicPr>
                        <pic:blipFill>
                          <a:blip r:embed="rId62"/>
                          <a:stretch>
                            <a:fillRect/>
                          </a:stretch>
                        </pic:blipFill>
                        <pic:spPr>
                          <a:xfrm>
                            <a:off x="0" y="0"/>
                            <a:ext cx="1308100" cy="568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电击钢叉</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1.符合《GA1145-2014 警用约束叉》中相关要求。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2.颜色：黑色，由叉头、叉杆及控制部件组成。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3.尺寸：工作长度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228</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mm；携行长度不小于1500mm，握持直径不小于34mm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4.重量：不大于3kg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5.电击性能：有效电击输出≥1000次</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6.需提供由公安部权威检测机构出具的产品合格检测报告。</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247015</wp:posOffset>
                  </wp:positionV>
                  <wp:extent cx="1709420" cy="643255"/>
                  <wp:effectExtent l="0" t="0" r="5080" b="4445"/>
                  <wp:wrapNone/>
                  <wp:docPr id="95" name="图片_91"/>
                  <wp:cNvGraphicFramePr/>
                  <a:graphic xmlns:a="http://schemas.openxmlformats.org/drawingml/2006/main">
                    <a:graphicData uri="http://schemas.openxmlformats.org/drawingml/2006/picture">
                      <pic:pic xmlns:pic="http://schemas.openxmlformats.org/drawingml/2006/picture">
                        <pic:nvPicPr>
                          <pic:cNvPr id="95" name="图片_91"/>
                          <pic:cNvPicPr/>
                        </pic:nvPicPr>
                        <pic:blipFill>
                          <a:blip r:embed="rId63"/>
                          <a:stretch>
                            <a:fillRect/>
                          </a:stretch>
                        </pic:blipFill>
                        <pic:spPr>
                          <a:xfrm>
                            <a:off x="0" y="0"/>
                            <a:ext cx="1709420" cy="643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电击圆盾</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1、外形尺寸：盾牌主体：直径</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500mm、厚度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2、主要构造：该产品由盾牌主体、充电电池组、高压发生器、充电插孔、电源总开关、电击开关、手柄、调节护带、衬垫、放电极、装饰条、充电器等部分组成。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3、防护功能：盾牌主体具有坚硬轻便，防护能力强的特点，可以有效地抵挡棍棒、石块、铁锤、匕首、尖刀等杀伤性武器的袭击。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4、电击功能：接通电源时，盾牌主体正面放电极之间拉弧输出脉冲高压，产生威憾力。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5、进攻功能：盾牌主体正面的金属物具有扎刺，勾挂歹徒功能。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6、电气指标：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a)电源电压：DC6V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b)耗电电流：拉弧时小于等于1.5A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c)输出电压：高压发生器输出电压大于等于900KV</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d)输出能量：高压发生器输出能量为o.8～lJ／S</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435610</wp:posOffset>
                  </wp:positionV>
                  <wp:extent cx="1223645" cy="1207135"/>
                  <wp:effectExtent l="0" t="0" r="14605" b="12065"/>
                  <wp:wrapNone/>
                  <wp:docPr id="93" name="图片_19"/>
                  <wp:cNvGraphicFramePr/>
                  <a:graphic xmlns:a="http://schemas.openxmlformats.org/drawingml/2006/main">
                    <a:graphicData uri="http://schemas.openxmlformats.org/drawingml/2006/picture">
                      <pic:pic xmlns:pic="http://schemas.openxmlformats.org/drawingml/2006/picture">
                        <pic:nvPicPr>
                          <pic:cNvPr id="93" name="图片_19"/>
                          <pic:cNvPicPr/>
                        </pic:nvPicPr>
                        <pic:blipFill>
                          <a:blip r:embed="rId64"/>
                          <a:stretch>
                            <a:fillRect/>
                          </a:stretch>
                        </pic:blipFill>
                        <pic:spPr>
                          <a:xfrm>
                            <a:off x="0" y="0"/>
                            <a:ext cx="1223645" cy="1207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反式盾牌</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1、尺寸：900*500*3.5mm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2、材质：优质透明聚碳酸脂PC材料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3、重量：≤2.5KG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4、防护面积：≥0.45㎡，盾牌宽度：0.50m；透光率为≥85%，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5、握把连接强度：握把与盾体间的连接能承受500N的拉力，保持1min，握把未松动、断裂或脱落；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6、臂带连接强度：臂带的搭扣搭合好后，臂带与盾体间的连接能承受500N的拉力，保持1min，臂带未松动、断裂或脱落。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7、耐冲击强度：防暴盾牌能承受147J动能的冲击，冲击后盾体受力点没有穿洞，在受力点半径50mm之外出现破裂。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耐穿刺性能：防暴盾牌的盾体能承受147J动能的穿刺，穿刺后盾体受力点小于6mm的穿洞，在受力点半径20mm之外出现破裂。能承受击打试验机的击打，击打能量为342J±13J，击打后盾体没有破碎或出现长度大于50mm的裂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9、防暴盾牌经低温处理（-30℃±2℃，4h）后，5min内进行耐击打强度试验，试验结果符合耐击打强度试验，经高温处理（+55℃±2℃，4h）后，5min内进行耐击打强度试验，试验结果符合耐击打强度试验。</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10、需提供由公安部权威检测机构出具的符合《GA422-2008 防暴盾牌》标准</w:t>
            </w:r>
            <w:r>
              <w:rPr>
                <w:rFonts w:hint="eastAsia" w:ascii="宋体" w:hAnsi="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en-US" w:eastAsia="zh-CN" w:bidi="ar"/>
              </w:rPr>
              <w:t>防暴盾牌检测报告</w:t>
            </w:r>
            <w:r>
              <w:rPr>
                <w:rFonts w:hint="eastAsia" w:ascii="宋体" w:hAnsi="宋体" w:cs="宋体"/>
                <w:i w:val="0"/>
                <w:iCs w:val="0"/>
                <w:color w:val="auto"/>
                <w:kern w:val="0"/>
                <w:sz w:val="24"/>
                <w:szCs w:val="24"/>
                <w:highlight w:val="none"/>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837565</wp:posOffset>
                  </wp:positionV>
                  <wp:extent cx="1314450" cy="2010410"/>
                  <wp:effectExtent l="0" t="0" r="0" b="8890"/>
                  <wp:wrapNone/>
                  <wp:docPr id="97" name="图片_10"/>
                  <wp:cNvGraphicFramePr/>
                  <a:graphic xmlns:a="http://schemas.openxmlformats.org/drawingml/2006/main">
                    <a:graphicData uri="http://schemas.openxmlformats.org/drawingml/2006/picture">
                      <pic:pic xmlns:pic="http://schemas.openxmlformats.org/drawingml/2006/picture">
                        <pic:nvPicPr>
                          <pic:cNvPr id="97" name="图片_10"/>
                          <pic:cNvPicPr/>
                        </pic:nvPicPr>
                        <pic:blipFill>
                          <a:blip r:embed="rId65"/>
                          <a:stretch>
                            <a:fillRect/>
                          </a:stretch>
                        </pic:blipFill>
                        <pic:spPr>
                          <a:xfrm>
                            <a:off x="0" y="0"/>
                            <a:ext cx="1314450" cy="2010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五金工具箱</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1、精品批头*10；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2、锯子*1；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3、高级电笔*1；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4、一字起子；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5、批头手柄；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6、十字起子；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7、螺丝零件盒；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8、内六角*8；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9、水平尺*1；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10、新剥线钳*1；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11、美工刀*1；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12、小螺丝刀；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13、打墙钻头*3；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5828030</wp:posOffset>
                  </wp:positionH>
                  <wp:positionV relativeFrom="paragraph">
                    <wp:posOffset>189865</wp:posOffset>
                  </wp:positionV>
                  <wp:extent cx="1520825" cy="1520190"/>
                  <wp:effectExtent l="0" t="0" r="3175" b="3810"/>
                  <wp:wrapNone/>
                  <wp:docPr id="98" name="图片_55"/>
                  <wp:cNvGraphicFramePr/>
                  <a:graphic xmlns:a="http://schemas.openxmlformats.org/drawingml/2006/main">
                    <a:graphicData uri="http://schemas.openxmlformats.org/drawingml/2006/picture">
                      <pic:pic xmlns:pic="http://schemas.openxmlformats.org/drawingml/2006/picture">
                        <pic:nvPicPr>
                          <pic:cNvPr id="98" name="图片_55"/>
                          <pic:cNvPicPr/>
                        </pic:nvPicPr>
                        <pic:blipFill>
                          <a:blip r:embed="rId66"/>
                          <a:stretch>
                            <a:fillRect/>
                          </a:stretch>
                        </pic:blipFill>
                        <pic:spPr>
                          <a:xfrm>
                            <a:off x="0" y="0"/>
                            <a:ext cx="1520825" cy="152019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14、麻花钻头*3；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15、老虎钳*1；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16、尖嘴钳*1；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17、卷尺*1；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18、活动扳手*1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19、大号胶枪*1；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20、羊角锤*1；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21、电动螺丝批*1；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22、电工胶布*1；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23、加强版冲击钻；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24、高粘加长胶棒*5；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25、钻头套装*1；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26、切磨套装*1；</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27、重量大于7KG.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停车示意牌（充电款）</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尺寸：34CM*18CM*12CM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 xml:space="preserve">重量：≤0.45kg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反光夜视距离： ≥260米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产品灯光：9颗红色LED灯、6颗白色LED灯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工作电压：3.6V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雾灯射程：200米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使用时间：8小时（闪频可连续工作20多小时）</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充电时间：6-8小时</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386715</wp:posOffset>
                  </wp:positionV>
                  <wp:extent cx="1541145" cy="763905"/>
                  <wp:effectExtent l="0" t="0" r="1905" b="17145"/>
                  <wp:wrapNone/>
                  <wp:docPr id="96" name="图片_517"/>
                  <wp:cNvGraphicFramePr/>
                  <a:graphic xmlns:a="http://schemas.openxmlformats.org/drawingml/2006/main">
                    <a:graphicData uri="http://schemas.openxmlformats.org/drawingml/2006/picture">
                      <pic:pic xmlns:pic="http://schemas.openxmlformats.org/drawingml/2006/picture">
                        <pic:nvPicPr>
                          <pic:cNvPr id="96" name="图片_517"/>
                          <pic:cNvPicPr/>
                        </pic:nvPicPr>
                        <pic:blipFill>
                          <a:blip r:embed="rId67"/>
                          <a:stretch>
                            <a:fillRect/>
                          </a:stretch>
                        </pic:blipFill>
                        <pic:spPr>
                          <a:xfrm>
                            <a:off x="0" y="0"/>
                            <a:ext cx="1541145" cy="7639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医疗急救箱（含急救药品器具）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1、医用纱布块（大号）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2、医用弹性绷带 6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3、自粘弹性绷带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4、创可贴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5、医用透气胶带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6、碘伏消毒液 20支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7、医用敷贴（中号） 2 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8、弹力帽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9、三角绷带 1 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10、卡扣式止血带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11、玻璃体温计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12、瞬冷冰袋 1 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13、医用酒精棉片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14、医用烧伤敷料（烫伤膏）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15、急救毯 1 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16、呼吸面罩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17、一次性医用口罩 2 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18、圆头剪刀 1 把</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19、敷料镊子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20、安全别针 10枚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21、高频救生哨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22、急救手册 1 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23、健康急救卡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24、售后服务卡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25、急救知识光盘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26、ZE-L-006A外箱 1 个</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27、配置清单 1 张</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704215</wp:posOffset>
                  </wp:positionV>
                  <wp:extent cx="1247775" cy="1772285"/>
                  <wp:effectExtent l="0" t="0" r="9525" b="18415"/>
                  <wp:wrapNone/>
                  <wp:docPr id="100" name="图片_27"/>
                  <wp:cNvGraphicFramePr/>
                  <a:graphic xmlns:a="http://schemas.openxmlformats.org/drawingml/2006/main">
                    <a:graphicData uri="http://schemas.openxmlformats.org/drawingml/2006/picture">
                      <pic:pic xmlns:pic="http://schemas.openxmlformats.org/drawingml/2006/picture">
                        <pic:nvPicPr>
                          <pic:cNvPr id="100" name="图片_27"/>
                          <pic:cNvPicPr/>
                        </pic:nvPicPr>
                        <pic:blipFill>
                          <a:blip r:embed="rId68"/>
                          <a:stretch>
                            <a:fillRect/>
                          </a:stretch>
                        </pic:blipFill>
                        <pic:spPr>
                          <a:xfrm>
                            <a:off x="0" y="0"/>
                            <a:ext cx="1247775" cy="1772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便携式水基灭火器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1、压力表：没有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2、容量：1公斤以下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3、类型：手提式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4、瓶体材质：铝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5、充装类型：水基</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6、灭火级别：5F，0.5A，13B，E</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527050</wp:posOffset>
                  </wp:positionH>
                  <wp:positionV relativeFrom="paragraph">
                    <wp:posOffset>184150</wp:posOffset>
                  </wp:positionV>
                  <wp:extent cx="935990" cy="1132205"/>
                  <wp:effectExtent l="0" t="0" r="16510" b="10795"/>
                  <wp:wrapNone/>
                  <wp:docPr id="101" name="图片_56"/>
                  <wp:cNvGraphicFramePr/>
                  <a:graphic xmlns:a="http://schemas.openxmlformats.org/drawingml/2006/main">
                    <a:graphicData uri="http://schemas.openxmlformats.org/drawingml/2006/picture">
                      <pic:pic xmlns:pic="http://schemas.openxmlformats.org/drawingml/2006/picture">
                        <pic:nvPicPr>
                          <pic:cNvPr id="101" name="图片_56"/>
                          <pic:cNvPicPr/>
                        </pic:nvPicPr>
                        <pic:blipFill>
                          <a:blip r:embed="rId69"/>
                          <a:stretch>
                            <a:fillRect/>
                          </a:stretch>
                        </pic:blipFill>
                        <pic:spPr>
                          <a:xfrm>
                            <a:off x="0" y="0"/>
                            <a:ext cx="935990"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8</w:t>
            </w:r>
          </w:p>
        </w:tc>
        <w:tc>
          <w:tcPr>
            <w:tcW w:w="63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收弹器</w:t>
            </w:r>
          </w:p>
        </w:tc>
        <w:tc>
          <w:tcPr>
            <w:tcW w:w="304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收弹器主体采用高强无缝钢管与支架组合使用。</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产品功能：支持45-50度角进行调节。 产品对转轮手枪、54式手枪、92式手枪、79式或85式轻型冲锋枪发射的弹头、对95式5.8mm自动步枪、81式7.62mm自动步枪的枪弹弹头有收集作用。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2.产品规格：总重量：约50kg/套（不含支架），主体外型尺寸长920mm、外径137mm、主体收弹内径100±2mm。                                                                                筒体材质：无缝钢管，筒底使用30mm的钢制法兰盘与筒体螺纹旋紧封堵，筒体内层（含底）由芳纶无纬布浸胶缠绕制作。                                                                       3.使用说明：在收弹器使用前，确保主体内部装上细沙，一般为300-400mm高，然后把包装箱中的20mm厚的橡胶垫放入收弹器中，在进行使用。</w:t>
            </w:r>
          </w:p>
        </w:tc>
        <w:tc>
          <w:tcPr>
            <w:tcW w:w="107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554990</wp:posOffset>
                  </wp:positionH>
                  <wp:positionV relativeFrom="paragraph">
                    <wp:posOffset>398145</wp:posOffset>
                  </wp:positionV>
                  <wp:extent cx="1031240" cy="826135"/>
                  <wp:effectExtent l="0" t="0" r="16510" b="12065"/>
                  <wp:wrapNone/>
                  <wp:docPr id="99" name="图片_59"/>
                  <wp:cNvGraphicFramePr/>
                  <a:graphic xmlns:a="http://schemas.openxmlformats.org/drawingml/2006/main">
                    <a:graphicData uri="http://schemas.openxmlformats.org/drawingml/2006/picture">
                      <pic:pic xmlns:pic="http://schemas.openxmlformats.org/drawingml/2006/picture">
                        <pic:nvPicPr>
                          <pic:cNvPr id="99" name="图片_59"/>
                          <pic:cNvPicPr/>
                        </pic:nvPicPr>
                        <pic:blipFill>
                          <a:blip r:embed="rId70"/>
                          <a:stretch>
                            <a:fillRect/>
                          </a:stretch>
                        </pic:blipFill>
                        <pic:spPr>
                          <a:xfrm>
                            <a:off x="0" y="0"/>
                            <a:ext cx="1031240" cy="826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trPr>
        <w:tc>
          <w:tcPr>
            <w:tcW w:w="24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39</w:t>
            </w:r>
          </w:p>
        </w:tc>
        <w:tc>
          <w:tcPr>
            <w:tcW w:w="63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太阳能爆闪灯</w:t>
            </w:r>
          </w:p>
        </w:tc>
        <w:tc>
          <w:tcPr>
            <w:tcW w:w="3047" w:type="pct"/>
            <w:tcBorders>
              <w:top w:val="single" w:color="auto" w:sz="4" w:space="0"/>
              <w:left w:val="nil"/>
              <w:bottom w:val="single" w:color="auto" w:sz="4" w:space="0"/>
              <w:right w:val="nil"/>
            </w:tcBorders>
            <w:shd w:val="clear" w:color="auto" w:fill="auto"/>
            <w:vAlign w:val="center"/>
          </w:tcPr>
          <w:p>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产品尺寸：530mm*165mm*135mm； 太阳能板尺寸：290mm*270mm（5W）；单个灯罩尺寸：100mm*110mm；                                                                               2.工作电压：6V；                                                                                     3.蓄电池：5AH；                                                                                    4.警示距离：800米（夜间）；                                                                              5.光控作用：主控关闭，灯不亮；主控打开，光控关闭，灯一直亮；主控打开，光控打开，强光不亮，弱光亮；可以实现自动控制。                                                                            6.外壳由铝合金型材组合，表面氧化镀锌。同时采用密封结构组合式灯组，防水性能好。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7.每组灯板由20个高亮LED组成，加上真空镀膜的反光板；高亮透明的聚碳酸酯灯罩，使本灯夜间照明可视距离超过800米。                                                                                      8.使用方法：打开主控开关，灯开始正常闪烁。打开光控开关，强光不亮，弱光亮。                              9.阴雨天工作时长：6天；                                                                              10.产品重量:7KG；                                                                                    11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防水防尘：IP53</w:t>
            </w:r>
          </w:p>
        </w:tc>
        <w:tc>
          <w:tcPr>
            <w:tcW w:w="1078"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635000</wp:posOffset>
                  </wp:positionV>
                  <wp:extent cx="1313815" cy="1309370"/>
                  <wp:effectExtent l="0" t="0" r="635" b="5080"/>
                  <wp:wrapNone/>
                  <wp:docPr id="102" name="图片_5_SpCnt_1"/>
                  <wp:cNvGraphicFramePr/>
                  <a:graphic xmlns:a="http://schemas.openxmlformats.org/drawingml/2006/main">
                    <a:graphicData uri="http://schemas.openxmlformats.org/drawingml/2006/picture">
                      <pic:pic xmlns:pic="http://schemas.openxmlformats.org/drawingml/2006/picture">
                        <pic:nvPicPr>
                          <pic:cNvPr id="102" name="图片_5_SpCnt_1"/>
                          <pic:cNvPicPr/>
                        </pic:nvPicPr>
                        <pic:blipFill>
                          <a:blip r:embed="rId71"/>
                          <a:stretch>
                            <a:fillRect/>
                          </a:stretch>
                        </pic:blipFill>
                        <pic:spPr>
                          <a:xfrm>
                            <a:off x="0" y="0"/>
                            <a:ext cx="1313815" cy="1309370"/>
                          </a:xfrm>
                          <a:prstGeom prst="rect">
                            <a:avLst/>
                          </a:prstGeom>
                          <a:noFill/>
                          <a:ln>
                            <a:noFill/>
                          </a:ln>
                        </pic:spPr>
                      </pic:pic>
                    </a:graphicData>
                  </a:graphic>
                </wp:anchor>
              </w:drawing>
            </w:r>
          </w:p>
        </w:tc>
      </w:tr>
    </w:tbl>
    <w:p>
      <w:pPr>
        <w:pStyle w:val="2"/>
        <w:rPr>
          <w:rFonts w:hint="eastAsia"/>
          <w:color w:val="auto"/>
          <w:highlight w:val="none"/>
          <w:lang w:val="en-US" w:eastAsia="zh-CN"/>
        </w:rPr>
        <w:sectPr>
          <w:pgSz w:w="16838" w:h="11906" w:orient="landscape"/>
          <w:pgMar w:top="1418" w:right="1276" w:bottom="1418" w:left="1247" w:header="851" w:footer="992" w:gutter="0"/>
          <w:cols w:space="720" w:num="1"/>
          <w:titlePg/>
          <w:docGrid w:linePitch="312" w:charSpace="0"/>
        </w:sectPr>
      </w:pPr>
    </w:p>
    <w:p>
      <w:pPr>
        <w:widowControl/>
        <w:spacing w:line="360"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商务要求</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2.1供货期：</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▲签订合同后</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0日历天内，中标人将设备运抵采购人</w:t>
      </w:r>
      <w:r>
        <w:rPr>
          <w:rFonts w:hint="eastAsia" w:ascii="宋体" w:hAnsi="宋体" w:eastAsia="宋体" w:cs="宋体"/>
          <w:color w:val="auto"/>
          <w:sz w:val="24"/>
          <w:highlight w:val="none"/>
          <w:lang w:val="en-US" w:eastAsia="zh-CN"/>
        </w:rPr>
        <w:t>指定地点</w:t>
      </w:r>
      <w:r>
        <w:rPr>
          <w:rFonts w:hint="eastAsia" w:ascii="宋体" w:hAnsi="宋体" w:eastAsia="宋体" w:cs="宋体"/>
          <w:color w:val="auto"/>
          <w:sz w:val="24"/>
          <w:highlight w:val="none"/>
        </w:rPr>
        <w:t>，调试并验收合格，交付采购人使用。延期赔偿金按2000元/天计。延期10天以上的，采购方有权终止合同并没收履约保证金。</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2.2供货地点：</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p>
      <w:pPr>
        <w:pStyle w:val="2"/>
        <w:ind w:firstLine="482" w:firstLineChars="200"/>
        <w:rPr>
          <w:rFonts w:hint="eastAsia" w:ascii="宋体" w:hAnsi="宋体" w:eastAsia="宋体" w:cs="宋体"/>
          <w:b/>
          <w:bCs/>
          <w:snapToGrid/>
          <w:color w:val="auto"/>
          <w:kern w:val="2"/>
          <w:sz w:val="24"/>
          <w:szCs w:val="24"/>
          <w:highlight w:val="none"/>
          <w:lang w:val="en-US" w:eastAsia="zh-CN" w:bidi="ar-SA"/>
        </w:rPr>
      </w:pPr>
      <w:r>
        <w:rPr>
          <w:rFonts w:hint="eastAsia" w:ascii="宋体" w:hAnsi="宋体" w:eastAsia="宋体" w:cs="宋体"/>
          <w:b/>
          <w:bCs/>
          <w:snapToGrid/>
          <w:color w:val="auto"/>
          <w:kern w:val="2"/>
          <w:sz w:val="24"/>
          <w:szCs w:val="24"/>
          <w:highlight w:val="none"/>
          <w:lang w:val="en-US" w:eastAsia="zh-CN" w:bidi="ar-SA"/>
        </w:rPr>
        <w:t>2.3</w:t>
      </w:r>
      <w:r>
        <w:rPr>
          <w:rFonts w:hint="eastAsia" w:hAnsi="宋体" w:cs="宋体"/>
          <w:b/>
          <w:bCs/>
          <w:snapToGrid/>
          <w:color w:val="auto"/>
          <w:kern w:val="2"/>
          <w:sz w:val="24"/>
          <w:szCs w:val="24"/>
          <w:highlight w:val="none"/>
          <w:lang w:val="en-US" w:eastAsia="zh-CN" w:bidi="ar-SA"/>
        </w:rPr>
        <w:t>实施要求：</w:t>
      </w:r>
    </w:p>
    <w:p>
      <w:pPr>
        <w:snapToGrid w:val="0"/>
        <w:spacing w:line="360" w:lineRule="auto"/>
        <w:ind w:firstLine="600" w:firstLineChars="25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1）对于本招标文件未列明，而投标人认为必需的费用也需列入投标报价。在合同实施时，采购人将不予支付投标人没有列入的项目费用，并认为此项目所需的费用均已包括在投标总报价中。对在合同实施过程中可能发生的其它费用（如：材料涨价、人工、运输成本增加等因素），采购人概不负责。</w:t>
      </w:r>
    </w:p>
    <w:p>
      <w:pPr>
        <w:snapToGrid w:val="0"/>
        <w:spacing w:line="360" w:lineRule="auto"/>
        <w:ind w:firstLine="600" w:firstLineChars="25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（2）项目需投标人完成产品供货、安装、调试、培训、售后服务等内容，费用需计入投标报价。需收费的内容应当在投标文件中予以体现并计入投标报价，不得再额外收费。</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3</w:t>
      </w:r>
      <w:r>
        <w:rPr>
          <w:rFonts w:hint="eastAsia" w:ascii="宋体" w:hAnsi="宋体" w:eastAsia="宋体" w:cs="宋体"/>
          <w:color w:val="auto"/>
          <w:sz w:val="24"/>
          <w:highlight w:val="none"/>
        </w:rPr>
        <w:t>）对所有中标产品，用户有权要求通过第三方机构对投标人所供应产品进行功能测试，以确保产品实际质量及性能满足需求。对不满足招标文件指标要求的产品，投标人应进行整改直至通过验收，相应的费用由投标人承担。</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质保期：</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▲本次采购质保期为2年。质保期自验收合格之日起计算。质保期内设备质量出现问题，中标单位负责包修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包退</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包换。免费维护服务期内，</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人应免费提供维护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技术支持及软件升级等售后服务，包括对各种故障及对各种突发事件采取应急措施等，</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售后服务：</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中标单位承诺提供7×24小时的技术服务支持，质保期间设备出现的质量问题的，中标单位应在4小时内到达现场，进行修理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更换或退货，由此产生的费用由中标单位承担。如需更换设备或送修的，中标单位必须在5个工作日内解决，且中标单位应提供同样规格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质量的备机供采购单位使用。</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技术培训：</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中标人需制定相关培训计划，在所有设备安装完成后负责对采购人进行不少于2个工作日的日常使用方面的培训，确保系统能够正常</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有效地使用。</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付款方式：</w:t>
      </w:r>
    </w:p>
    <w:p>
      <w:pPr>
        <w:snapToGrid w:val="0"/>
        <w:spacing w:line="360" w:lineRule="auto"/>
        <w:ind w:firstLine="600" w:firstLineChars="250"/>
        <w:rPr>
          <w:rFonts w:hint="eastAsia" w:ascii="宋体" w:hAnsi="宋体" w:eastAsia="宋体" w:cs="宋体"/>
          <w:color w:val="auto"/>
          <w:sz w:val="24"/>
          <w:highlight w:val="none"/>
        </w:rPr>
      </w:pPr>
      <w:r>
        <w:rPr>
          <w:rFonts w:hint="eastAsia" w:hAnsi="宋体" w:cs="宋体"/>
          <w:color w:val="auto"/>
          <w:sz w:val="24"/>
          <w:szCs w:val="24"/>
          <w:highlight w:val="none"/>
        </w:rPr>
        <w:t>在合同生效后5个工作日内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中标人递交</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%作为履约保证金；</w:t>
      </w:r>
      <w:r>
        <w:rPr>
          <w:rFonts w:hint="eastAsia" w:hAnsi="宋体" w:cs="宋体"/>
          <w:color w:val="auto"/>
          <w:sz w:val="24"/>
          <w:szCs w:val="24"/>
          <w:highlight w:val="none"/>
        </w:rPr>
        <w:t>在合同生效以及具备实施条件后5个工作日内</w:t>
      </w:r>
      <w:r>
        <w:rPr>
          <w:rFonts w:hint="eastAsia" w:hAnsi="宋体" w:cs="宋体"/>
          <w:color w:val="auto"/>
          <w:sz w:val="24"/>
          <w:szCs w:val="24"/>
          <w:highlight w:val="none"/>
          <w:lang w:eastAsia="zh-CN"/>
        </w:rPr>
        <w:t>，</w:t>
      </w:r>
      <w:r>
        <w:rPr>
          <w:rFonts w:hint="eastAsia" w:ascii="宋体" w:hAnsi="宋体" w:eastAsia="宋体" w:cs="宋体"/>
          <w:color w:val="auto"/>
          <w:sz w:val="24"/>
          <w:highlight w:val="none"/>
        </w:rPr>
        <w:t>采购人支付</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0%的作为预付款；供货安装到位，并验收合格后，采购人支付</w:t>
      </w:r>
      <w:r>
        <w:rPr>
          <w:rFonts w:hint="eastAsia" w:ascii="宋体" w:hAnsi="宋体" w:eastAsia="宋体" w:cs="宋体"/>
          <w:color w:val="auto"/>
          <w:sz w:val="24"/>
          <w:highlight w:val="none"/>
          <w:lang w:eastAsia="zh-CN"/>
        </w:rPr>
        <w:t>剩余款项</w:t>
      </w:r>
      <w:r>
        <w:rPr>
          <w:rFonts w:hint="eastAsia" w:ascii="宋体" w:hAnsi="宋体" w:eastAsia="宋体" w:cs="宋体"/>
          <w:color w:val="auto"/>
          <w:sz w:val="24"/>
          <w:highlight w:val="none"/>
        </w:rPr>
        <w:t>，同时无息退还履约保证金。</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验收要求</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标准：</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验收包括货物的型号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数量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外观质量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性能功能等是否符合规定，包装是否完好，安装调试是否合格，用户手册</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原厂保修卡</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随机资料及配件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随机工具等是否齐全。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验收标准：符合设备本身的规格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技术条件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相关国家标准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招标文件的各项要求以及中标人承诺的其它指标。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.如有附图，仅作参考。</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.招标文件中打▲内容为实质性要求，不允许有负偏离，否则将以涉及无效投标条款作无效投标。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中标供应商所提供的货物</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服务须与投标承诺一致，不得以次充好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偷工减料，若在项目验收中发现有上述情况，将向有关部门举报，根据相关规定进行处理。</w:t>
      </w:r>
    </w:p>
    <w:p>
      <w:pPr>
        <w:spacing w:line="360" w:lineRule="auto"/>
        <w:ind w:firstLine="482" w:firstLineChars="200"/>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4.供应商报价低于项目预算50%的，应当在报价文件中详细阐述不影响产品质量或者诚信履约的具体原因。</w:t>
      </w:r>
    </w:p>
    <w:p>
      <w:pPr>
        <w:pStyle w:val="2"/>
        <w:rPr>
          <w:color w:val="auto"/>
          <w:highlight w:val="none"/>
        </w:rPr>
      </w:pPr>
    </w:p>
    <w:p>
      <w:pPr>
        <w:spacing w:line="360" w:lineRule="auto"/>
        <w:jc w:val="center"/>
        <w:outlineLvl w:val="0"/>
        <w:rPr>
          <w:rFonts w:hint="eastAsia" w:ascii="宋体" w:hAnsi="宋体" w:cs="宋体"/>
          <w:b/>
          <w:color w:val="auto"/>
          <w:sz w:val="36"/>
          <w:szCs w:val="36"/>
          <w:highlight w:val="none"/>
        </w:rPr>
        <w:sectPr>
          <w:pgSz w:w="11907" w:h="16840"/>
          <w:pgMar w:top="1474" w:right="1531" w:bottom="1474" w:left="1331" w:header="851" w:footer="851" w:gutter="0"/>
          <w:cols w:space="720" w:num="1"/>
        </w:sectPr>
      </w:pPr>
    </w:p>
    <w:p>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3" w:name="_Toc184313250"/>
      <w:bookmarkEnd w:id="33"/>
      <w:bookmarkStart w:id="34" w:name="_Toc184312100"/>
      <w:bookmarkEnd w:id="34"/>
      <w:bookmarkStart w:id="35" w:name="_Toc184312083"/>
      <w:bookmarkEnd w:id="35"/>
      <w:bookmarkStart w:id="36" w:name="_Toc184310316"/>
      <w:bookmarkEnd w:id="36"/>
      <w:bookmarkStart w:id="37" w:name="_Toc184308081"/>
      <w:bookmarkEnd w:id="37"/>
      <w:bookmarkStart w:id="38" w:name="_Toc184313308"/>
      <w:bookmarkEnd w:id="38"/>
      <w:bookmarkStart w:id="39" w:name="_Toc184313256"/>
      <w:bookmarkEnd w:id="39"/>
      <w:bookmarkStart w:id="40" w:name="_Toc184310342"/>
      <w:bookmarkEnd w:id="40"/>
      <w:bookmarkStart w:id="41" w:name="_Toc184308091"/>
      <w:bookmarkEnd w:id="41"/>
      <w:bookmarkStart w:id="42" w:name="_Toc184313246"/>
      <w:bookmarkEnd w:id="42"/>
      <w:bookmarkStart w:id="43" w:name="_Toc184314458"/>
      <w:bookmarkEnd w:id="43"/>
      <w:bookmarkStart w:id="44" w:name="_Toc184308046"/>
      <w:bookmarkEnd w:id="44"/>
      <w:bookmarkStart w:id="45" w:name="_Toc184313283"/>
      <w:bookmarkEnd w:id="45"/>
      <w:bookmarkStart w:id="46" w:name="_Toc184310278"/>
      <w:bookmarkEnd w:id="46"/>
      <w:bookmarkStart w:id="47" w:name="_Toc184314456"/>
      <w:bookmarkEnd w:id="47"/>
      <w:bookmarkStart w:id="48" w:name="_Toc184310299"/>
      <w:bookmarkEnd w:id="48"/>
      <w:bookmarkStart w:id="49" w:name="_Toc184310329"/>
      <w:bookmarkEnd w:id="49"/>
      <w:bookmarkStart w:id="50" w:name="_Toc184313273"/>
      <w:bookmarkEnd w:id="50"/>
      <w:bookmarkStart w:id="51" w:name="_Toc184312077"/>
      <w:bookmarkEnd w:id="51"/>
      <w:bookmarkStart w:id="52" w:name="_Toc184314417"/>
      <w:bookmarkEnd w:id="52"/>
      <w:bookmarkStart w:id="53" w:name="_Toc184314415"/>
      <w:bookmarkEnd w:id="53"/>
      <w:bookmarkStart w:id="54" w:name="_Toc184308063"/>
      <w:bookmarkEnd w:id="54"/>
      <w:bookmarkStart w:id="55" w:name="_Toc184312131"/>
      <w:bookmarkEnd w:id="55"/>
      <w:bookmarkStart w:id="56" w:name="_Toc184313309"/>
      <w:bookmarkEnd w:id="56"/>
      <w:bookmarkStart w:id="57" w:name="_Toc184312089"/>
      <w:bookmarkEnd w:id="57"/>
      <w:bookmarkStart w:id="58" w:name="_Toc184313286"/>
      <w:bookmarkEnd w:id="58"/>
      <w:bookmarkStart w:id="59" w:name="_Toc184314437"/>
      <w:bookmarkEnd w:id="59"/>
      <w:bookmarkStart w:id="60" w:name="_Toc184313292"/>
      <w:bookmarkEnd w:id="60"/>
      <w:bookmarkStart w:id="61" w:name="_Toc184312086"/>
      <w:bookmarkEnd w:id="61"/>
      <w:bookmarkStart w:id="62" w:name="_Toc184313274"/>
      <w:bookmarkEnd w:id="62"/>
      <w:bookmarkStart w:id="63" w:name="_Toc184312122"/>
      <w:bookmarkEnd w:id="63"/>
      <w:bookmarkStart w:id="64" w:name="_Toc184312069"/>
      <w:bookmarkEnd w:id="64"/>
      <w:bookmarkStart w:id="65" w:name="_Toc184312115"/>
      <w:bookmarkEnd w:id="65"/>
      <w:bookmarkStart w:id="66" w:name="_Toc184308052"/>
      <w:bookmarkEnd w:id="66"/>
      <w:bookmarkStart w:id="67" w:name="_Toc184314421"/>
      <w:bookmarkEnd w:id="67"/>
      <w:bookmarkStart w:id="68" w:name="_Toc184310296"/>
      <w:bookmarkEnd w:id="68"/>
      <w:bookmarkStart w:id="69" w:name="_Toc184313280"/>
      <w:bookmarkEnd w:id="69"/>
      <w:bookmarkStart w:id="70" w:name="_Toc184312103"/>
      <w:bookmarkEnd w:id="70"/>
      <w:bookmarkStart w:id="71" w:name="_Toc184314448"/>
      <w:bookmarkEnd w:id="71"/>
      <w:bookmarkStart w:id="72" w:name="_Toc184308101"/>
      <w:bookmarkEnd w:id="72"/>
      <w:bookmarkStart w:id="73" w:name="_Toc184312095"/>
      <w:bookmarkEnd w:id="73"/>
      <w:bookmarkStart w:id="74" w:name="_Toc184312120"/>
      <w:bookmarkEnd w:id="74"/>
      <w:bookmarkStart w:id="75" w:name="_Toc184312101"/>
      <w:bookmarkEnd w:id="75"/>
      <w:bookmarkStart w:id="76" w:name="_Toc184313260"/>
      <w:bookmarkEnd w:id="76"/>
      <w:bookmarkStart w:id="77" w:name="_Toc184312110"/>
      <w:bookmarkEnd w:id="77"/>
      <w:bookmarkStart w:id="78" w:name="_Toc184313265"/>
      <w:bookmarkEnd w:id="78"/>
      <w:bookmarkStart w:id="79" w:name="_Toc184313285"/>
      <w:bookmarkEnd w:id="79"/>
      <w:bookmarkStart w:id="80" w:name="_Toc184310281"/>
      <w:bookmarkEnd w:id="80"/>
      <w:bookmarkStart w:id="81" w:name="_Toc184308108"/>
      <w:bookmarkEnd w:id="81"/>
      <w:bookmarkStart w:id="82" w:name="_Toc184314428"/>
      <w:bookmarkEnd w:id="82"/>
      <w:bookmarkStart w:id="83" w:name="_Toc184308089"/>
      <w:bookmarkEnd w:id="83"/>
      <w:bookmarkStart w:id="84" w:name="_Toc184308100"/>
      <w:bookmarkEnd w:id="84"/>
      <w:bookmarkStart w:id="85" w:name="_Toc184314433"/>
      <w:bookmarkEnd w:id="85"/>
      <w:bookmarkStart w:id="86" w:name="_Toc184312092"/>
      <w:bookmarkEnd w:id="86"/>
      <w:bookmarkStart w:id="87" w:name="_Toc184313277"/>
      <w:bookmarkEnd w:id="87"/>
      <w:bookmarkStart w:id="88" w:name="_Toc184310343"/>
      <w:bookmarkEnd w:id="88"/>
      <w:bookmarkStart w:id="89" w:name="_Toc184308094"/>
      <w:bookmarkEnd w:id="89"/>
      <w:bookmarkStart w:id="90" w:name="_Toc184312102"/>
      <w:bookmarkEnd w:id="90"/>
      <w:bookmarkStart w:id="91" w:name="_Toc184308044"/>
      <w:bookmarkEnd w:id="91"/>
      <w:bookmarkStart w:id="92" w:name="_Toc184308066"/>
      <w:bookmarkEnd w:id="92"/>
      <w:bookmarkStart w:id="93" w:name="_Toc184314445"/>
      <w:bookmarkEnd w:id="93"/>
      <w:bookmarkStart w:id="94" w:name="_Toc184312085"/>
      <w:bookmarkEnd w:id="94"/>
      <w:bookmarkStart w:id="95" w:name="_Toc184308062"/>
      <w:bookmarkEnd w:id="95"/>
      <w:bookmarkStart w:id="96" w:name="_Toc184308045"/>
      <w:bookmarkEnd w:id="96"/>
      <w:bookmarkStart w:id="97" w:name="_Toc184312081"/>
      <w:bookmarkEnd w:id="97"/>
      <w:bookmarkStart w:id="98" w:name="_Toc184314442"/>
      <w:bookmarkEnd w:id="98"/>
      <w:bookmarkStart w:id="99" w:name="_Toc184310306"/>
      <w:bookmarkEnd w:id="99"/>
      <w:bookmarkStart w:id="100" w:name="_Toc184313238"/>
      <w:bookmarkEnd w:id="100"/>
      <w:bookmarkStart w:id="101" w:name="_Toc184314416"/>
      <w:bookmarkEnd w:id="101"/>
      <w:bookmarkStart w:id="102" w:name="_Toc184314420"/>
      <w:bookmarkEnd w:id="102"/>
      <w:bookmarkStart w:id="103" w:name="_Toc184314449"/>
      <w:bookmarkEnd w:id="103"/>
      <w:bookmarkStart w:id="104" w:name="_Toc184314431"/>
      <w:bookmarkEnd w:id="104"/>
      <w:bookmarkStart w:id="105" w:name="_Toc184314411"/>
      <w:bookmarkEnd w:id="105"/>
      <w:bookmarkStart w:id="106" w:name="_Toc184313272"/>
      <w:bookmarkEnd w:id="106"/>
      <w:bookmarkStart w:id="107" w:name="_Toc184310284"/>
      <w:bookmarkEnd w:id="107"/>
      <w:bookmarkStart w:id="108" w:name="_Toc184310285"/>
      <w:bookmarkEnd w:id="108"/>
      <w:bookmarkStart w:id="109" w:name="_Toc184308060"/>
      <w:bookmarkEnd w:id="109"/>
      <w:bookmarkStart w:id="110" w:name="_Toc184314474"/>
      <w:bookmarkEnd w:id="110"/>
      <w:bookmarkStart w:id="111" w:name="_Toc184312071"/>
      <w:bookmarkEnd w:id="111"/>
      <w:bookmarkStart w:id="112" w:name="_Toc184310287"/>
      <w:bookmarkEnd w:id="112"/>
      <w:bookmarkStart w:id="113" w:name="_Toc184310312"/>
      <w:bookmarkEnd w:id="113"/>
      <w:bookmarkStart w:id="114" w:name="_Toc184308041"/>
      <w:bookmarkEnd w:id="114"/>
      <w:bookmarkStart w:id="115" w:name="_Toc184314478"/>
      <w:bookmarkEnd w:id="115"/>
      <w:bookmarkStart w:id="116" w:name="_Toc184310319"/>
      <w:bookmarkEnd w:id="116"/>
      <w:bookmarkStart w:id="117" w:name="_Toc184312099"/>
      <w:bookmarkEnd w:id="117"/>
      <w:bookmarkStart w:id="118" w:name="_Toc184308095"/>
      <w:bookmarkEnd w:id="118"/>
      <w:bookmarkStart w:id="119" w:name="_Toc184314430"/>
      <w:bookmarkEnd w:id="119"/>
      <w:bookmarkStart w:id="120" w:name="_Toc184313266"/>
      <w:bookmarkEnd w:id="120"/>
      <w:bookmarkStart w:id="121" w:name="_Toc184314457"/>
      <w:bookmarkEnd w:id="121"/>
      <w:bookmarkStart w:id="122" w:name="_Toc184313244"/>
      <w:bookmarkEnd w:id="122"/>
      <w:bookmarkStart w:id="123" w:name="_Toc184314432"/>
      <w:bookmarkEnd w:id="123"/>
      <w:bookmarkStart w:id="124" w:name="_Toc184313239"/>
      <w:bookmarkEnd w:id="124"/>
      <w:bookmarkStart w:id="125" w:name="_Toc184313297"/>
      <w:bookmarkEnd w:id="125"/>
      <w:bookmarkStart w:id="126" w:name="_Toc184310318"/>
      <w:bookmarkEnd w:id="126"/>
      <w:bookmarkStart w:id="127" w:name="_Toc184313295"/>
      <w:bookmarkEnd w:id="127"/>
      <w:bookmarkStart w:id="128" w:name="_Toc184310295"/>
      <w:bookmarkEnd w:id="128"/>
      <w:bookmarkStart w:id="129" w:name="_Toc184308056"/>
      <w:bookmarkEnd w:id="129"/>
      <w:bookmarkStart w:id="130" w:name="_Toc184308074"/>
      <w:bookmarkEnd w:id="130"/>
      <w:bookmarkStart w:id="131" w:name="_Toc184312068"/>
      <w:bookmarkEnd w:id="131"/>
      <w:bookmarkStart w:id="132" w:name="_Toc184313291"/>
      <w:bookmarkEnd w:id="132"/>
      <w:bookmarkStart w:id="133" w:name="_Toc184312097"/>
      <w:bookmarkEnd w:id="133"/>
      <w:bookmarkStart w:id="134" w:name="_Toc184308065"/>
      <w:bookmarkEnd w:id="134"/>
      <w:bookmarkStart w:id="135" w:name="_Toc184314429"/>
      <w:bookmarkEnd w:id="135"/>
      <w:bookmarkStart w:id="136" w:name="_Toc184310326"/>
      <w:bookmarkEnd w:id="136"/>
      <w:bookmarkStart w:id="137" w:name="_Toc184312080"/>
      <w:bookmarkEnd w:id="137"/>
      <w:bookmarkStart w:id="138" w:name="_Toc184308040"/>
      <w:bookmarkEnd w:id="138"/>
      <w:bookmarkStart w:id="139" w:name="_Toc184314434"/>
      <w:bookmarkEnd w:id="139"/>
      <w:bookmarkStart w:id="140" w:name="_Toc184308105"/>
      <w:bookmarkEnd w:id="140"/>
      <w:bookmarkStart w:id="141" w:name="_Toc184308071"/>
      <w:bookmarkEnd w:id="141"/>
      <w:bookmarkStart w:id="142" w:name="_Toc184308050"/>
      <w:bookmarkEnd w:id="142"/>
      <w:bookmarkStart w:id="143" w:name="_Toc184313304"/>
      <w:bookmarkEnd w:id="143"/>
      <w:bookmarkStart w:id="144" w:name="_Toc184313267"/>
      <w:bookmarkEnd w:id="144"/>
      <w:bookmarkStart w:id="145" w:name="_Toc184314439"/>
      <w:bookmarkEnd w:id="145"/>
      <w:bookmarkStart w:id="146" w:name="_Toc184314444"/>
      <w:bookmarkEnd w:id="146"/>
      <w:bookmarkStart w:id="147" w:name="_Toc184314466"/>
      <w:bookmarkEnd w:id="147"/>
      <w:bookmarkStart w:id="148" w:name="_Toc184310273"/>
      <w:bookmarkEnd w:id="148"/>
      <w:bookmarkStart w:id="149" w:name="_Toc184312091"/>
      <w:bookmarkEnd w:id="149"/>
      <w:bookmarkStart w:id="150" w:name="_Toc184308079"/>
      <w:bookmarkEnd w:id="150"/>
      <w:bookmarkStart w:id="151" w:name="_Toc184312109"/>
      <w:bookmarkEnd w:id="151"/>
      <w:bookmarkStart w:id="152" w:name="_Toc184312076"/>
      <w:bookmarkEnd w:id="152"/>
      <w:bookmarkStart w:id="153" w:name="_Toc184310328"/>
      <w:bookmarkEnd w:id="153"/>
      <w:bookmarkStart w:id="154" w:name="_Toc184312117"/>
      <w:bookmarkEnd w:id="154"/>
      <w:bookmarkStart w:id="155" w:name="_Toc184308085"/>
      <w:bookmarkEnd w:id="155"/>
      <w:bookmarkStart w:id="156" w:name="_Toc184312088"/>
      <w:bookmarkEnd w:id="156"/>
      <w:bookmarkStart w:id="157" w:name="_Toc184310307"/>
      <w:bookmarkEnd w:id="157"/>
      <w:bookmarkStart w:id="158" w:name="_Toc184310339"/>
      <w:bookmarkEnd w:id="158"/>
      <w:bookmarkStart w:id="159" w:name="_Toc184312084"/>
      <w:bookmarkEnd w:id="159"/>
      <w:bookmarkStart w:id="160" w:name="_Toc184314453"/>
      <w:bookmarkEnd w:id="160"/>
      <w:bookmarkStart w:id="161" w:name="_Toc184308043"/>
      <w:bookmarkEnd w:id="161"/>
      <w:bookmarkStart w:id="162" w:name="_Toc184314422"/>
      <w:bookmarkEnd w:id="162"/>
      <w:bookmarkStart w:id="163" w:name="_Toc184314477"/>
      <w:bookmarkEnd w:id="163"/>
      <w:bookmarkStart w:id="164" w:name="_Toc184314460"/>
      <w:bookmarkEnd w:id="164"/>
      <w:bookmarkStart w:id="165" w:name="_Toc184310274"/>
      <w:bookmarkEnd w:id="165"/>
      <w:bookmarkStart w:id="166" w:name="_Toc184308093"/>
      <w:bookmarkEnd w:id="166"/>
      <w:bookmarkStart w:id="167" w:name="_Toc184313249"/>
      <w:bookmarkEnd w:id="167"/>
      <w:bookmarkStart w:id="168" w:name="_Toc184313289"/>
      <w:bookmarkEnd w:id="168"/>
      <w:bookmarkStart w:id="169" w:name="_Toc184314447"/>
      <w:bookmarkEnd w:id="169"/>
      <w:bookmarkStart w:id="170" w:name="_Toc184308053"/>
      <w:bookmarkEnd w:id="170"/>
      <w:bookmarkStart w:id="171" w:name="_Toc184312111"/>
      <w:bookmarkEnd w:id="171"/>
      <w:bookmarkStart w:id="172" w:name="_Toc184314470"/>
      <w:bookmarkEnd w:id="172"/>
      <w:bookmarkStart w:id="173" w:name="_Toc184314440"/>
      <w:bookmarkEnd w:id="173"/>
      <w:bookmarkStart w:id="174" w:name="_Toc184314418"/>
      <w:bookmarkEnd w:id="174"/>
      <w:bookmarkStart w:id="175" w:name="_Toc184314441"/>
      <w:bookmarkEnd w:id="175"/>
      <w:bookmarkStart w:id="176" w:name="_Toc184308083"/>
      <w:bookmarkEnd w:id="176"/>
      <w:bookmarkStart w:id="177" w:name="_Toc184310344"/>
      <w:bookmarkEnd w:id="177"/>
      <w:bookmarkStart w:id="178" w:name="_Toc184308097"/>
      <w:bookmarkEnd w:id="178"/>
      <w:bookmarkStart w:id="179" w:name="_Toc184308038"/>
      <w:bookmarkEnd w:id="179"/>
      <w:bookmarkStart w:id="180" w:name="_Toc184308061"/>
      <w:bookmarkEnd w:id="180"/>
      <w:bookmarkStart w:id="181" w:name="_Toc184314462"/>
      <w:bookmarkEnd w:id="181"/>
      <w:bookmarkStart w:id="182" w:name="_Toc184314467"/>
      <w:bookmarkEnd w:id="182"/>
      <w:bookmarkStart w:id="183" w:name="_Toc184312126"/>
      <w:bookmarkEnd w:id="183"/>
      <w:bookmarkStart w:id="184" w:name="_Toc184310315"/>
      <w:bookmarkEnd w:id="184"/>
      <w:bookmarkStart w:id="185" w:name="_Toc184312105"/>
      <w:bookmarkEnd w:id="185"/>
      <w:bookmarkStart w:id="186" w:name="_Toc184314464"/>
      <w:bookmarkEnd w:id="186"/>
      <w:bookmarkStart w:id="187" w:name="_Toc184312135"/>
      <w:bookmarkEnd w:id="187"/>
      <w:bookmarkStart w:id="188" w:name="_Toc184310279"/>
      <w:bookmarkEnd w:id="188"/>
      <w:bookmarkStart w:id="189" w:name="_Toc184310337"/>
      <w:bookmarkEnd w:id="189"/>
      <w:bookmarkStart w:id="190" w:name="_Toc184308080"/>
      <w:bookmarkEnd w:id="190"/>
      <w:bookmarkStart w:id="191" w:name="_Toc184314438"/>
      <w:bookmarkEnd w:id="191"/>
      <w:bookmarkStart w:id="192" w:name="_Toc184310332"/>
      <w:bookmarkEnd w:id="192"/>
      <w:bookmarkStart w:id="193" w:name="_Toc184310338"/>
      <w:bookmarkEnd w:id="193"/>
      <w:bookmarkStart w:id="194" w:name="_Toc184312082"/>
      <w:bookmarkEnd w:id="194"/>
      <w:bookmarkStart w:id="195" w:name="_Toc184314463"/>
      <w:bookmarkEnd w:id="195"/>
      <w:bookmarkStart w:id="196" w:name="_Toc184313307"/>
      <w:bookmarkEnd w:id="196"/>
      <w:bookmarkStart w:id="197" w:name="_Toc184308070"/>
      <w:bookmarkEnd w:id="197"/>
      <w:bookmarkStart w:id="198" w:name="_Toc184314451"/>
      <w:bookmarkEnd w:id="198"/>
      <w:bookmarkStart w:id="199" w:name="_Toc184313263"/>
      <w:bookmarkEnd w:id="199"/>
      <w:bookmarkStart w:id="200" w:name="_Toc184313294"/>
      <w:bookmarkEnd w:id="200"/>
      <w:bookmarkStart w:id="201" w:name="_Toc184310297"/>
      <w:bookmarkEnd w:id="201"/>
      <w:bookmarkStart w:id="202" w:name="_Toc184308039"/>
      <w:bookmarkEnd w:id="202"/>
      <w:bookmarkStart w:id="203" w:name="_Toc184310300"/>
      <w:bookmarkEnd w:id="203"/>
      <w:bookmarkStart w:id="204" w:name="_Toc184312123"/>
      <w:bookmarkEnd w:id="204"/>
      <w:bookmarkStart w:id="205" w:name="_Toc184313296"/>
      <w:bookmarkEnd w:id="205"/>
      <w:bookmarkStart w:id="206" w:name="_Toc184308103"/>
      <w:bookmarkEnd w:id="206"/>
      <w:bookmarkStart w:id="207" w:name="_Toc184310282"/>
      <w:bookmarkEnd w:id="207"/>
      <w:bookmarkStart w:id="208" w:name="_Toc184314412"/>
      <w:bookmarkEnd w:id="208"/>
      <w:bookmarkStart w:id="209" w:name="_Toc184310277"/>
      <w:bookmarkEnd w:id="209"/>
      <w:bookmarkStart w:id="210" w:name="_Toc184308057"/>
      <w:bookmarkEnd w:id="210"/>
      <w:bookmarkStart w:id="211" w:name="_Toc184310290"/>
      <w:bookmarkEnd w:id="211"/>
      <w:bookmarkStart w:id="212" w:name="_Toc184312108"/>
      <w:bookmarkEnd w:id="212"/>
      <w:bookmarkStart w:id="213" w:name="_Toc184308076"/>
      <w:bookmarkEnd w:id="213"/>
      <w:bookmarkStart w:id="214" w:name="_Toc184308059"/>
      <w:bookmarkEnd w:id="214"/>
      <w:bookmarkStart w:id="215" w:name="_Toc184314471"/>
      <w:bookmarkEnd w:id="215"/>
      <w:bookmarkStart w:id="216" w:name="_Toc184308090"/>
      <w:bookmarkEnd w:id="216"/>
      <w:bookmarkStart w:id="217" w:name="_Toc184313303"/>
      <w:bookmarkEnd w:id="217"/>
      <w:bookmarkStart w:id="218" w:name="_Toc184312132"/>
      <w:bookmarkEnd w:id="218"/>
      <w:bookmarkStart w:id="219" w:name="_Toc184308064"/>
      <w:bookmarkEnd w:id="219"/>
      <w:bookmarkStart w:id="220" w:name="_Toc184310286"/>
      <w:bookmarkEnd w:id="220"/>
      <w:bookmarkStart w:id="221" w:name="_Toc184310335"/>
      <w:bookmarkEnd w:id="221"/>
      <w:bookmarkStart w:id="222" w:name="_Toc184312087"/>
      <w:bookmarkEnd w:id="222"/>
      <w:bookmarkStart w:id="223" w:name="_Toc184308055"/>
      <w:bookmarkEnd w:id="223"/>
      <w:bookmarkStart w:id="224" w:name="_Toc184313252"/>
      <w:bookmarkEnd w:id="224"/>
      <w:bookmarkStart w:id="225" w:name="_Toc184314459"/>
      <w:bookmarkEnd w:id="225"/>
      <w:bookmarkStart w:id="226" w:name="_Toc184314479"/>
      <w:bookmarkEnd w:id="226"/>
      <w:bookmarkStart w:id="227" w:name="_Toc184314454"/>
      <w:bookmarkEnd w:id="227"/>
      <w:bookmarkStart w:id="228" w:name="_Toc184313270"/>
      <w:bookmarkEnd w:id="228"/>
      <w:bookmarkStart w:id="229" w:name="_Toc184308088"/>
      <w:bookmarkEnd w:id="229"/>
      <w:bookmarkStart w:id="230" w:name="_Toc184312106"/>
      <w:bookmarkEnd w:id="230"/>
      <w:bookmarkStart w:id="231" w:name="_Toc184313281"/>
      <w:bookmarkEnd w:id="231"/>
      <w:bookmarkStart w:id="232" w:name="_Toc184310333"/>
      <w:bookmarkEnd w:id="232"/>
      <w:bookmarkStart w:id="233" w:name="_Toc184313257"/>
      <w:bookmarkEnd w:id="233"/>
      <w:bookmarkStart w:id="234" w:name="_Toc184308084"/>
      <w:bookmarkEnd w:id="234"/>
      <w:bookmarkStart w:id="235" w:name="_Toc184314419"/>
      <w:bookmarkEnd w:id="235"/>
      <w:bookmarkStart w:id="236" w:name="_Toc184312129"/>
      <w:bookmarkEnd w:id="236"/>
      <w:bookmarkStart w:id="237" w:name="_Toc184314461"/>
      <w:bookmarkEnd w:id="237"/>
      <w:bookmarkStart w:id="238" w:name="_Toc184308086"/>
      <w:bookmarkEnd w:id="238"/>
      <w:bookmarkStart w:id="239" w:name="_Toc184313302"/>
      <w:bookmarkEnd w:id="239"/>
      <w:bookmarkStart w:id="240" w:name="_Toc184312113"/>
      <w:bookmarkEnd w:id="240"/>
      <w:bookmarkStart w:id="241" w:name="_Toc184312127"/>
      <w:bookmarkEnd w:id="241"/>
      <w:bookmarkStart w:id="242" w:name="_Toc184310289"/>
      <w:bookmarkEnd w:id="242"/>
      <w:bookmarkStart w:id="243" w:name="_Toc184308096"/>
      <w:bookmarkEnd w:id="243"/>
      <w:bookmarkStart w:id="244" w:name="_Toc184308042"/>
      <w:bookmarkEnd w:id="244"/>
      <w:bookmarkStart w:id="245" w:name="_Toc184314472"/>
      <w:bookmarkEnd w:id="245"/>
      <w:bookmarkStart w:id="246" w:name="_Toc184310323"/>
      <w:bookmarkEnd w:id="246"/>
      <w:bookmarkStart w:id="247" w:name="_Toc184312067"/>
      <w:bookmarkEnd w:id="247"/>
      <w:bookmarkStart w:id="248" w:name="_Toc184310275"/>
      <w:bookmarkEnd w:id="248"/>
      <w:bookmarkStart w:id="249" w:name="_Toc184312075"/>
      <w:bookmarkEnd w:id="249"/>
      <w:bookmarkStart w:id="250" w:name="_Toc184314450"/>
      <w:bookmarkEnd w:id="250"/>
      <w:bookmarkStart w:id="251" w:name="_Toc184310321"/>
      <w:bookmarkEnd w:id="251"/>
      <w:bookmarkStart w:id="252" w:name="_Toc184313254"/>
      <w:bookmarkEnd w:id="252"/>
      <w:bookmarkStart w:id="253" w:name="_Toc184314423"/>
      <w:bookmarkEnd w:id="253"/>
      <w:bookmarkStart w:id="254" w:name="_Toc184310283"/>
      <w:bookmarkEnd w:id="254"/>
      <w:bookmarkStart w:id="255" w:name="_Toc184313282"/>
      <w:bookmarkEnd w:id="255"/>
      <w:bookmarkStart w:id="256" w:name="_Toc184314482"/>
      <w:bookmarkEnd w:id="256"/>
      <w:bookmarkStart w:id="257" w:name="_Toc184310311"/>
      <w:bookmarkEnd w:id="257"/>
      <w:bookmarkStart w:id="258" w:name="_Toc184312107"/>
      <w:bookmarkEnd w:id="258"/>
      <w:bookmarkStart w:id="259" w:name="_Toc184310320"/>
      <w:bookmarkEnd w:id="259"/>
      <w:bookmarkStart w:id="260" w:name="_Toc184310272"/>
      <w:bookmarkEnd w:id="260"/>
      <w:bookmarkStart w:id="261" w:name="_Toc184310314"/>
      <w:bookmarkEnd w:id="261"/>
      <w:bookmarkStart w:id="262" w:name="_Toc184312139"/>
      <w:bookmarkEnd w:id="262"/>
      <w:bookmarkStart w:id="263" w:name="_Toc184313275"/>
      <w:bookmarkEnd w:id="263"/>
      <w:bookmarkStart w:id="264" w:name="_Toc184312138"/>
      <w:bookmarkEnd w:id="264"/>
      <w:bookmarkStart w:id="265" w:name="_Toc184308087"/>
      <w:bookmarkEnd w:id="265"/>
      <w:bookmarkStart w:id="266" w:name="_Toc184310313"/>
      <w:bookmarkEnd w:id="266"/>
      <w:bookmarkStart w:id="267" w:name="_Toc184310310"/>
      <w:bookmarkEnd w:id="267"/>
      <w:bookmarkStart w:id="268" w:name="_Toc184313301"/>
      <w:bookmarkEnd w:id="268"/>
      <w:bookmarkStart w:id="269" w:name="_Toc184314425"/>
      <w:bookmarkEnd w:id="269"/>
      <w:bookmarkStart w:id="270" w:name="_Toc184310334"/>
      <w:bookmarkEnd w:id="270"/>
      <w:bookmarkStart w:id="271" w:name="_Toc184313240"/>
      <w:bookmarkEnd w:id="271"/>
      <w:bookmarkStart w:id="272" w:name="_Toc184313278"/>
      <w:bookmarkEnd w:id="272"/>
      <w:bookmarkStart w:id="273" w:name="_Toc184308069"/>
      <w:bookmarkEnd w:id="273"/>
      <w:bookmarkStart w:id="274" w:name="_Toc184308092"/>
      <w:bookmarkEnd w:id="274"/>
      <w:bookmarkStart w:id="275" w:name="_Toc184308047"/>
      <w:bookmarkEnd w:id="275"/>
      <w:bookmarkStart w:id="276" w:name="_Toc184313258"/>
      <w:bookmarkEnd w:id="276"/>
      <w:bookmarkStart w:id="277" w:name="_Toc184312118"/>
      <w:bookmarkEnd w:id="277"/>
      <w:bookmarkStart w:id="278" w:name="_Toc184313290"/>
      <w:bookmarkEnd w:id="278"/>
      <w:bookmarkStart w:id="279" w:name="_Toc184308036"/>
      <w:bookmarkEnd w:id="279"/>
      <w:bookmarkStart w:id="280" w:name="_Toc184308049"/>
      <w:bookmarkEnd w:id="280"/>
      <w:bookmarkStart w:id="281" w:name="_Toc184314465"/>
      <w:bookmarkEnd w:id="281"/>
      <w:bookmarkStart w:id="282" w:name="_Toc184313271"/>
      <w:bookmarkEnd w:id="282"/>
      <w:bookmarkStart w:id="283" w:name="_Toc184314443"/>
      <w:bookmarkEnd w:id="283"/>
      <w:bookmarkStart w:id="284" w:name="_Toc184310309"/>
      <w:bookmarkEnd w:id="284"/>
      <w:bookmarkStart w:id="285" w:name="_Toc184314455"/>
      <w:bookmarkEnd w:id="285"/>
      <w:bookmarkStart w:id="286" w:name="_Toc184313242"/>
      <w:bookmarkEnd w:id="286"/>
      <w:bookmarkStart w:id="287" w:name="_Toc184310327"/>
      <w:bookmarkEnd w:id="287"/>
      <w:bookmarkStart w:id="288" w:name="_Toc184313268"/>
      <w:bookmarkEnd w:id="288"/>
      <w:bookmarkStart w:id="289" w:name="_Toc184313247"/>
      <w:bookmarkEnd w:id="289"/>
      <w:bookmarkStart w:id="290" w:name="_Toc184310276"/>
      <w:bookmarkEnd w:id="290"/>
      <w:bookmarkStart w:id="291" w:name="_Toc184308078"/>
      <w:bookmarkEnd w:id="291"/>
      <w:bookmarkStart w:id="292" w:name="_Toc184308077"/>
      <w:bookmarkEnd w:id="292"/>
      <w:bookmarkStart w:id="293" w:name="_Toc184308054"/>
      <w:bookmarkEnd w:id="293"/>
      <w:bookmarkStart w:id="294" w:name="_Toc184314446"/>
      <w:bookmarkEnd w:id="294"/>
      <w:bookmarkStart w:id="295" w:name="_Toc184310288"/>
      <w:bookmarkEnd w:id="295"/>
      <w:bookmarkStart w:id="296" w:name="_Toc184308073"/>
      <w:bookmarkEnd w:id="296"/>
      <w:bookmarkStart w:id="297" w:name="_Toc184310336"/>
      <w:bookmarkEnd w:id="297"/>
      <w:bookmarkStart w:id="298" w:name="_Toc184310340"/>
      <w:bookmarkEnd w:id="298"/>
      <w:bookmarkStart w:id="299" w:name="_Toc184313253"/>
      <w:bookmarkEnd w:id="299"/>
      <w:bookmarkStart w:id="300" w:name="_Toc184308072"/>
      <w:bookmarkEnd w:id="300"/>
      <w:bookmarkStart w:id="301" w:name="_Toc184310298"/>
      <w:bookmarkEnd w:id="301"/>
      <w:bookmarkStart w:id="302" w:name="_Toc184308106"/>
      <w:bookmarkEnd w:id="302"/>
      <w:bookmarkStart w:id="303" w:name="_Toc184310304"/>
      <w:bookmarkEnd w:id="303"/>
      <w:bookmarkStart w:id="304" w:name="_Toc184310330"/>
      <w:bookmarkEnd w:id="304"/>
      <w:bookmarkStart w:id="305" w:name="_Toc184310302"/>
      <w:bookmarkEnd w:id="305"/>
      <w:bookmarkStart w:id="306" w:name="_Toc184313255"/>
      <w:bookmarkEnd w:id="306"/>
      <w:bookmarkStart w:id="307" w:name="_Toc184310303"/>
      <w:bookmarkEnd w:id="307"/>
      <w:bookmarkStart w:id="308" w:name="_Toc184313276"/>
      <w:bookmarkEnd w:id="308"/>
      <w:bookmarkStart w:id="309" w:name="_Toc184308037"/>
      <w:bookmarkEnd w:id="309"/>
      <w:bookmarkStart w:id="310" w:name="_Toc184313306"/>
      <w:bookmarkEnd w:id="310"/>
      <w:bookmarkStart w:id="311" w:name="_Toc184308098"/>
      <w:bookmarkEnd w:id="311"/>
      <w:bookmarkStart w:id="312" w:name="_Toc184310301"/>
      <w:bookmarkEnd w:id="312"/>
      <w:bookmarkStart w:id="313" w:name="_Toc184310325"/>
      <w:bookmarkEnd w:id="313"/>
      <w:bookmarkStart w:id="314" w:name="_Toc184312096"/>
      <w:bookmarkEnd w:id="314"/>
      <w:bookmarkStart w:id="315" w:name="_Toc184312133"/>
      <w:bookmarkEnd w:id="315"/>
      <w:bookmarkStart w:id="316" w:name="_Toc184308099"/>
      <w:bookmarkEnd w:id="316"/>
      <w:bookmarkStart w:id="317" w:name="_Toc184312128"/>
      <w:bookmarkEnd w:id="317"/>
      <w:bookmarkStart w:id="318" w:name="_Toc184313269"/>
      <w:bookmarkEnd w:id="318"/>
      <w:bookmarkStart w:id="319" w:name="_Toc184313279"/>
      <w:bookmarkEnd w:id="319"/>
      <w:bookmarkStart w:id="320" w:name="_Toc184312130"/>
      <w:bookmarkEnd w:id="320"/>
      <w:bookmarkStart w:id="321" w:name="_Toc184310280"/>
      <w:bookmarkEnd w:id="321"/>
      <w:bookmarkStart w:id="322" w:name="_Toc184312124"/>
      <w:bookmarkEnd w:id="322"/>
      <w:bookmarkStart w:id="323" w:name="_Toc184314436"/>
      <w:bookmarkEnd w:id="323"/>
      <w:bookmarkStart w:id="324" w:name="_Toc184314427"/>
      <w:bookmarkEnd w:id="324"/>
      <w:bookmarkStart w:id="325" w:name="_Toc184310294"/>
      <w:bookmarkEnd w:id="325"/>
      <w:bookmarkStart w:id="326" w:name="_Toc184308104"/>
      <w:bookmarkEnd w:id="326"/>
      <w:bookmarkStart w:id="327" w:name="_Toc184312112"/>
      <w:bookmarkEnd w:id="327"/>
      <w:bookmarkStart w:id="328" w:name="_Toc184314475"/>
      <w:bookmarkEnd w:id="328"/>
      <w:bookmarkStart w:id="329" w:name="_Toc184308068"/>
      <w:bookmarkEnd w:id="329"/>
      <w:bookmarkStart w:id="330" w:name="_Toc184313251"/>
      <w:bookmarkEnd w:id="330"/>
      <w:bookmarkStart w:id="331" w:name="_Toc184313299"/>
      <w:bookmarkEnd w:id="331"/>
      <w:bookmarkStart w:id="332" w:name="_Toc184314452"/>
      <w:bookmarkEnd w:id="332"/>
      <w:bookmarkStart w:id="333" w:name="_Toc184310322"/>
      <w:bookmarkEnd w:id="333"/>
      <w:bookmarkStart w:id="334" w:name="_Toc184314413"/>
      <w:bookmarkEnd w:id="334"/>
      <w:bookmarkStart w:id="335" w:name="_Toc184310317"/>
      <w:bookmarkEnd w:id="335"/>
      <w:bookmarkStart w:id="336" w:name="_Toc184310305"/>
      <w:bookmarkEnd w:id="336"/>
      <w:bookmarkStart w:id="337" w:name="_Toc184308058"/>
      <w:bookmarkEnd w:id="337"/>
      <w:bookmarkStart w:id="338" w:name="_Toc184310308"/>
      <w:bookmarkEnd w:id="338"/>
      <w:bookmarkStart w:id="339" w:name="_Toc184313298"/>
      <w:bookmarkEnd w:id="339"/>
      <w:bookmarkStart w:id="340" w:name="_Toc184308048"/>
      <w:bookmarkEnd w:id="340"/>
      <w:bookmarkStart w:id="341" w:name="_Toc184313288"/>
      <w:bookmarkEnd w:id="341"/>
      <w:bookmarkStart w:id="342" w:name="_Toc184314469"/>
      <w:bookmarkEnd w:id="342"/>
      <w:bookmarkStart w:id="343" w:name="_Toc184312094"/>
      <w:bookmarkEnd w:id="343"/>
      <w:bookmarkStart w:id="344" w:name="_Toc184312098"/>
      <w:bookmarkEnd w:id="344"/>
      <w:bookmarkStart w:id="345" w:name="_Toc184312119"/>
      <w:bookmarkEnd w:id="345"/>
      <w:bookmarkStart w:id="346" w:name="_Toc184312137"/>
      <w:bookmarkEnd w:id="346"/>
      <w:bookmarkStart w:id="347" w:name="_Toc184314476"/>
      <w:bookmarkEnd w:id="347"/>
      <w:bookmarkStart w:id="348" w:name="_Toc184312114"/>
      <w:bookmarkEnd w:id="348"/>
      <w:bookmarkStart w:id="349" w:name="_Toc184313293"/>
      <w:bookmarkEnd w:id="349"/>
      <w:bookmarkStart w:id="350" w:name="_Toc184312090"/>
      <w:bookmarkEnd w:id="350"/>
      <w:bookmarkStart w:id="351" w:name="_Toc184314424"/>
      <w:bookmarkEnd w:id="351"/>
      <w:bookmarkStart w:id="352" w:name="_Toc184312116"/>
      <w:bookmarkEnd w:id="352"/>
      <w:bookmarkStart w:id="353" w:name="_Toc184313248"/>
      <w:bookmarkEnd w:id="353"/>
      <w:bookmarkStart w:id="354" w:name="_Toc184313310"/>
      <w:bookmarkEnd w:id="354"/>
      <w:bookmarkStart w:id="355" w:name="_Toc184312136"/>
      <w:bookmarkEnd w:id="355"/>
      <w:bookmarkStart w:id="356" w:name="_Toc184314435"/>
      <w:bookmarkEnd w:id="356"/>
      <w:bookmarkStart w:id="357" w:name="_Toc184312134"/>
      <w:bookmarkEnd w:id="357"/>
      <w:bookmarkStart w:id="358" w:name="_Toc184308102"/>
      <w:bookmarkEnd w:id="358"/>
      <w:bookmarkStart w:id="359" w:name="_Toc184312121"/>
      <w:bookmarkEnd w:id="359"/>
      <w:bookmarkStart w:id="360" w:name="_Toc184308107"/>
      <w:bookmarkEnd w:id="360"/>
      <w:bookmarkStart w:id="361" w:name="_Toc184312125"/>
      <w:bookmarkEnd w:id="361"/>
      <w:bookmarkStart w:id="362" w:name="_Toc184312072"/>
      <w:bookmarkEnd w:id="362"/>
      <w:bookmarkStart w:id="363" w:name="_Toc184313241"/>
      <w:bookmarkEnd w:id="363"/>
      <w:bookmarkStart w:id="364" w:name="_Toc184313287"/>
      <w:bookmarkEnd w:id="364"/>
      <w:bookmarkStart w:id="365" w:name="_Toc184314480"/>
      <w:bookmarkEnd w:id="365"/>
      <w:bookmarkStart w:id="366" w:name="_Toc184314481"/>
      <w:bookmarkEnd w:id="366"/>
      <w:bookmarkStart w:id="367" w:name="_Toc184310291"/>
      <w:bookmarkEnd w:id="367"/>
      <w:bookmarkStart w:id="368" w:name="_Toc184314468"/>
      <w:bookmarkEnd w:id="368"/>
      <w:bookmarkStart w:id="369" w:name="_Toc184310331"/>
      <w:bookmarkEnd w:id="369"/>
      <w:bookmarkStart w:id="370" w:name="_Toc184308075"/>
      <w:bookmarkEnd w:id="370"/>
      <w:bookmarkStart w:id="371" w:name="_Toc184308051"/>
      <w:bookmarkEnd w:id="371"/>
      <w:bookmarkStart w:id="372" w:name="_Toc184314426"/>
      <w:bookmarkEnd w:id="372"/>
      <w:bookmarkStart w:id="373" w:name="_Toc184312078"/>
      <w:bookmarkEnd w:id="373"/>
      <w:bookmarkStart w:id="374" w:name="_Toc184312073"/>
      <w:bookmarkEnd w:id="374"/>
      <w:bookmarkStart w:id="375" w:name="_Toc184313262"/>
      <w:bookmarkEnd w:id="375"/>
      <w:bookmarkStart w:id="376" w:name="_Toc184312093"/>
      <w:bookmarkEnd w:id="376"/>
      <w:bookmarkStart w:id="377" w:name="_Toc184312104"/>
      <w:bookmarkEnd w:id="377"/>
      <w:bookmarkStart w:id="378" w:name="_Toc184308082"/>
      <w:bookmarkEnd w:id="378"/>
      <w:bookmarkStart w:id="379" w:name="_Toc184312070"/>
      <w:bookmarkEnd w:id="379"/>
      <w:bookmarkStart w:id="380" w:name="_Toc184313259"/>
      <w:bookmarkEnd w:id="380"/>
      <w:bookmarkStart w:id="381" w:name="_Toc184313284"/>
      <w:bookmarkEnd w:id="381"/>
      <w:bookmarkStart w:id="382" w:name="_Toc184312074"/>
      <w:bookmarkEnd w:id="382"/>
      <w:bookmarkStart w:id="383" w:name="_Toc184313261"/>
      <w:bookmarkEnd w:id="383"/>
      <w:bookmarkStart w:id="384" w:name="_Toc184313305"/>
      <w:bookmarkEnd w:id="384"/>
      <w:bookmarkStart w:id="385" w:name="_Toc184313245"/>
      <w:bookmarkEnd w:id="385"/>
      <w:bookmarkStart w:id="386" w:name="_Toc184314414"/>
      <w:bookmarkEnd w:id="386"/>
      <w:bookmarkStart w:id="387" w:name="_Toc184313243"/>
      <w:bookmarkEnd w:id="387"/>
      <w:bookmarkStart w:id="388" w:name="_Toc184310324"/>
      <w:bookmarkEnd w:id="388"/>
      <w:bookmarkStart w:id="389" w:name="_Toc184308067"/>
      <w:bookmarkEnd w:id="389"/>
      <w:bookmarkStart w:id="390" w:name="_Toc184310293"/>
      <w:bookmarkEnd w:id="390"/>
      <w:bookmarkStart w:id="391" w:name="_Toc184310292"/>
      <w:bookmarkEnd w:id="391"/>
      <w:bookmarkStart w:id="392" w:name="_Toc184310341"/>
      <w:bookmarkEnd w:id="392"/>
      <w:bookmarkStart w:id="393" w:name="_Toc184313300"/>
      <w:bookmarkEnd w:id="393"/>
      <w:bookmarkStart w:id="394" w:name="_Toc184314410"/>
      <w:bookmarkEnd w:id="394"/>
      <w:bookmarkStart w:id="395" w:name="_Toc184314473"/>
      <w:bookmarkEnd w:id="395"/>
      <w:bookmarkStart w:id="396" w:name="_Toc184313264"/>
      <w:bookmarkEnd w:id="396"/>
      <w:bookmarkStart w:id="397" w:name="_Toc184312079"/>
      <w:bookmarkEnd w:id="397"/>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733"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5675"/>
        <w:gridCol w:w="660"/>
        <w:gridCol w:w="103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序号</w:t>
            </w:r>
          </w:p>
        </w:tc>
        <w:tc>
          <w:tcPr>
            <w:tcW w:w="567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评标标准</w:t>
            </w:r>
          </w:p>
        </w:tc>
        <w:tc>
          <w:tcPr>
            <w:tcW w:w="660"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权重</w:t>
            </w:r>
          </w:p>
        </w:tc>
        <w:tc>
          <w:tcPr>
            <w:tcW w:w="1035" w:type="dxa"/>
            <w:vAlign w:val="center"/>
          </w:tcPr>
          <w:p>
            <w:pPr>
              <w:snapToGrid w:val="0"/>
              <w:spacing w:line="360" w:lineRule="auto"/>
              <w:jc w:val="center"/>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主观分/客观分属性</w:t>
            </w:r>
          </w:p>
        </w:tc>
        <w:tc>
          <w:tcPr>
            <w:tcW w:w="1695" w:type="dxa"/>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投标人提供质量管理体系认证证书</w:t>
            </w:r>
            <w:r>
              <w:rPr>
                <w:rFonts w:hint="eastAsia" w:ascii="宋体" w:hAnsi="宋体" w:cs="宋体"/>
                <w:color w:val="auto"/>
                <w:sz w:val="24"/>
                <w:highlight w:val="none"/>
                <w:lang w:eastAsia="zh-CN"/>
              </w:rPr>
              <w:t>、</w:t>
            </w:r>
            <w:r>
              <w:rPr>
                <w:rFonts w:hint="eastAsia" w:ascii="宋体" w:hAnsi="宋体" w:cs="宋体"/>
                <w:color w:val="auto"/>
                <w:sz w:val="24"/>
                <w:highlight w:val="none"/>
              </w:rPr>
              <w:t>环境管理体系认证证书</w:t>
            </w:r>
            <w:r>
              <w:rPr>
                <w:rFonts w:hint="eastAsia" w:ascii="宋体" w:hAnsi="宋体" w:cs="宋体"/>
                <w:color w:val="auto"/>
                <w:sz w:val="24"/>
                <w:highlight w:val="none"/>
                <w:lang w:eastAsia="zh-CN"/>
              </w:rPr>
              <w:t>、</w:t>
            </w:r>
            <w:r>
              <w:rPr>
                <w:rFonts w:hint="eastAsia" w:ascii="宋体" w:hAnsi="宋体" w:cs="宋体"/>
                <w:color w:val="auto"/>
                <w:sz w:val="24"/>
                <w:highlight w:val="none"/>
              </w:rPr>
              <w:t>职业健康体系认证证书（认证范围均包括警用器材及设备</w:t>
            </w:r>
            <w:r>
              <w:rPr>
                <w:rFonts w:hint="eastAsia" w:ascii="宋体" w:hAnsi="宋体" w:cs="宋体"/>
                <w:color w:val="auto"/>
                <w:sz w:val="24"/>
                <w:highlight w:val="none"/>
                <w:lang w:eastAsia="zh-CN"/>
              </w:rPr>
              <w:t>等</w:t>
            </w:r>
            <w:r>
              <w:rPr>
                <w:rFonts w:hint="eastAsia" w:ascii="宋体" w:hAnsi="宋体" w:cs="宋体"/>
                <w:color w:val="auto"/>
                <w:sz w:val="24"/>
                <w:highlight w:val="none"/>
              </w:rPr>
              <w:t>相关内容）得3分，提供扫描件，缺一项不得分。</w:t>
            </w:r>
          </w:p>
          <w:p>
            <w:pPr>
              <w:spacing w:line="360" w:lineRule="auto"/>
              <w:jc w:val="left"/>
              <w:outlineLvl w:val="0"/>
              <w:rPr>
                <w:rFonts w:ascii="宋体" w:hAnsi="宋体" w:cs="宋体"/>
                <w:color w:val="auto"/>
                <w:sz w:val="24"/>
                <w:highlight w:val="none"/>
              </w:rPr>
            </w:pPr>
            <w:r>
              <w:rPr>
                <w:rFonts w:hint="eastAsia" w:ascii="宋体" w:hAnsi="宋体" w:cs="宋体"/>
                <w:color w:val="auto"/>
                <w:sz w:val="24"/>
                <w:highlight w:val="none"/>
              </w:rPr>
              <w:t>注：以上证书须由通过中国国家认证认可监督管理委员会备案通过的认证机构颁发且在全国认证认可信息公共服务平台（www.cnca.gov.cn）的网页可查询。</w:t>
            </w:r>
          </w:p>
          <w:p>
            <w:pPr>
              <w:snapToGrid w:val="0"/>
              <w:spacing w:line="360" w:lineRule="auto"/>
              <w:jc w:val="left"/>
              <w:rPr>
                <w:rFonts w:ascii="宋体" w:hAnsi="宋体" w:cs="宋体"/>
                <w:color w:val="auto"/>
                <w:sz w:val="24"/>
                <w:highlight w:val="none"/>
              </w:rPr>
            </w:pPr>
            <w:r>
              <w:rPr>
                <w:rFonts w:hint="eastAsia" w:ascii="宋体" w:hAnsi="宋体" w:cs="宋体"/>
                <w:b/>
                <w:bCs/>
                <w:color w:val="auto"/>
                <w:sz w:val="24"/>
                <w:highlight w:val="none"/>
              </w:rPr>
              <w:t>须提供认证证书的扫描件和网页截图</w:t>
            </w:r>
            <w:r>
              <w:rPr>
                <w:rFonts w:hint="eastAsia" w:ascii="宋体" w:hAnsi="宋体" w:cs="宋体"/>
                <w:color w:val="auto"/>
                <w:sz w:val="24"/>
                <w:highlight w:val="none"/>
              </w:rPr>
              <w:t>，否则不得分。</w:t>
            </w:r>
          </w:p>
        </w:tc>
        <w:tc>
          <w:tcPr>
            <w:tcW w:w="660"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035"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客观分</w:t>
            </w:r>
          </w:p>
        </w:tc>
        <w:tc>
          <w:tcPr>
            <w:tcW w:w="1695"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投标人自20</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年1月1日（以合同签订时间为准）以来同类项目业绩，提供合同扫描件，每个得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分，本项最高3分。</w:t>
            </w:r>
          </w:p>
          <w:p>
            <w:pPr>
              <w:spacing w:line="360" w:lineRule="auto"/>
              <w:jc w:val="left"/>
              <w:outlineLvl w:val="0"/>
              <w:rPr>
                <w:rFonts w:cs="仿宋_GB2312" w:asciiTheme="minorEastAsia" w:hAnsiTheme="minorEastAsia" w:eastAsiaTheme="minorEastAsia"/>
                <w:color w:val="auto"/>
                <w:sz w:val="24"/>
                <w:highlight w:val="none"/>
              </w:rPr>
            </w:pPr>
            <w:r>
              <w:rPr>
                <w:rFonts w:hint="eastAsia" w:ascii="宋体" w:hAnsi="宋体" w:cs="宋体"/>
                <w:color w:val="auto"/>
                <w:sz w:val="24"/>
                <w:highlight w:val="none"/>
              </w:rPr>
              <w:t>有效证明材料为合同的扫描件，不提供不得分。</w:t>
            </w:r>
          </w:p>
        </w:tc>
        <w:tc>
          <w:tcPr>
            <w:tcW w:w="660"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客观分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全部满足招标文件明确的功能</w:t>
            </w:r>
            <w:r>
              <w:rPr>
                <w:rFonts w:hint="eastAsia" w:ascii="宋体" w:hAnsi="宋体" w:cs="宋体"/>
                <w:color w:val="auto"/>
                <w:sz w:val="24"/>
                <w:highlight w:val="none"/>
                <w:lang w:eastAsia="zh-CN"/>
              </w:rPr>
              <w:t>、</w:t>
            </w:r>
            <w:r>
              <w:rPr>
                <w:rFonts w:hint="eastAsia" w:ascii="宋体" w:hAnsi="宋体" w:cs="宋体"/>
                <w:color w:val="auto"/>
                <w:sz w:val="24"/>
                <w:highlight w:val="none"/>
              </w:rPr>
              <w:t>性能和技术指标参数要求，得1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分；条款功能</w:t>
            </w:r>
            <w:r>
              <w:rPr>
                <w:rFonts w:hint="eastAsia" w:ascii="宋体" w:hAnsi="宋体" w:cs="宋体"/>
                <w:color w:val="auto"/>
                <w:sz w:val="24"/>
                <w:highlight w:val="none"/>
                <w:lang w:eastAsia="zh-CN"/>
              </w:rPr>
              <w:t>、</w:t>
            </w:r>
            <w:r>
              <w:rPr>
                <w:rFonts w:hint="eastAsia" w:ascii="宋体" w:hAnsi="宋体" w:cs="宋体"/>
                <w:color w:val="auto"/>
                <w:sz w:val="24"/>
                <w:highlight w:val="none"/>
              </w:rPr>
              <w:t>性能和技术指标参数低于招标需求（负偏离）的，带“※”招标参数要求为重要功能要求，每有一项负偏离扣</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r>
              <w:rPr>
                <w:rFonts w:hint="eastAsia" w:ascii="宋体" w:hAnsi="宋体" w:cs="宋体"/>
                <w:color w:val="auto"/>
                <w:sz w:val="24"/>
                <w:highlight w:val="none"/>
              </w:rPr>
              <w:t>其他招标参数要求为基础功能配置要求，每有一项负偏离扣0.</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r>
              <w:rPr>
                <w:rFonts w:hint="eastAsia" w:ascii="宋体" w:hAnsi="宋体" w:cs="宋体"/>
                <w:color w:val="auto"/>
                <w:sz w:val="24"/>
                <w:highlight w:val="none"/>
              </w:rPr>
              <w:t>扣完为止。证明材料：有效的技术响应表、相关检测报告。</w:t>
            </w:r>
          </w:p>
          <w:p>
            <w:pPr>
              <w:spacing w:line="360" w:lineRule="auto"/>
              <w:jc w:val="left"/>
              <w:outlineLvl w:val="0"/>
              <w:rPr>
                <w:rFonts w:cs="仿宋_GB2312" w:asciiTheme="minorEastAsia" w:hAnsiTheme="minorEastAsia" w:eastAsiaTheme="minorEastAsia"/>
                <w:color w:val="auto"/>
                <w:sz w:val="24"/>
                <w:highlight w:val="none"/>
              </w:rPr>
            </w:pPr>
            <w:r>
              <w:rPr>
                <w:rFonts w:hint="eastAsia" w:ascii="宋体" w:hAnsi="宋体" w:cs="宋体"/>
                <w:color w:val="auto"/>
                <w:sz w:val="24"/>
                <w:highlight w:val="none"/>
              </w:rPr>
              <w:t>说明：凡标有最低一级序号的要求即为一条要求，无论是否隶属于上一级编号，相同内容的条款不重复计算条数。</w:t>
            </w:r>
          </w:p>
        </w:tc>
        <w:tc>
          <w:tcPr>
            <w:tcW w:w="660" w:type="dxa"/>
            <w:vAlign w:val="center"/>
          </w:tcPr>
          <w:p>
            <w:pPr>
              <w:snapToGrid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13</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客观分</w:t>
            </w:r>
          </w:p>
        </w:tc>
        <w:tc>
          <w:tcPr>
            <w:tcW w:w="1695" w:type="dxa"/>
            <w:vAlign w:val="center"/>
          </w:tcPr>
          <w:p>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投标设备</w:t>
            </w:r>
          </w:p>
          <w:p>
            <w:pPr>
              <w:spacing w:line="360" w:lineRule="auto"/>
              <w:jc w:val="center"/>
              <w:outlineLvl w:val="0"/>
              <w:rPr>
                <w:rFonts w:cs="仿宋_GB2312" w:asciiTheme="minorEastAsia" w:hAnsiTheme="minorEastAsia" w:eastAsiaTheme="minorEastAsia"/>
                <w:color w:val="auto"/>
                <w:sz w:val="24"/>
                <w:highlight w:val="none"/>
              </w:rPr>
            </w:pPr>
            <w:r>
              <w:rPr>
                <w:rFonts w:hint="eastAsia" w:ascii="宋体" w:hAnsi="宋体" w:cs="宋体"/>
                <w:color w:val="auto"/>
                <w:sz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4</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项目实施方案：</w:t>
            </w:r>
            <w:r>
              <w:rPr>
                <w:rFonts w:hint="eastAsia" w:ascii="宋体" w:hAnsi="宋体" w:cs="宋体"/>
                <w:color w:val="auto"/>
                <w:sz w:val="24"/>
                <w:highlight w:val="none"/>
                <w:lang w:val="zh-CN" w:eastAsia="zh-CN"/>
              </w:rPr>
              <w:t>项目实施计划，供货安排、拟投入设施设备等情况</w:t>
            </w:r>
            <w:r>
              <w:rPr>
                <w:rFonts w:hint="eastAsia" w:ascii="宋体" w:hAnsi="宋体" w:cs="宋体"/>
                <w:color w:val="auto"/>
                <w:sz w:val="24"/>
                <w:highlight w:val="none"/>
              </w:rPr>
              <w:t>。</w:t>
            </w:r>
            <w:r>
              <w:rPr>
                <w:rFonts w:hint="eastAsia" w:ascii="宋体" w:hAnsi="宋体" w:cs="宋体"/>
                <w:color w:val="auto"/>
                <w:sz w:val="24"/>
                <w:highlight w:val="none"/>
                <w:lang w:eastAsia="zh-CN"/>
              </w:rPr>
              <w:t>实施</w:t>
            </w:r>
            <w:r>
              <w:rPr>
                <w:rFonts w:hint="eastAsia" w:ascii="宋体" w:hAnsi="宋体" w:cs="宋体"/>
                <w:color w:val="auto"/>
                <w:sz w:val="24"/>
                <w:highlight w:val="none"/>
              </w:rPr>
              <w:t>方案响应完整，可行性强的得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r>
              <w:rPr>
                <w:rFonts w:hint="eastAsia" w:ascii="宋体" w:hAnsi="宋体" w:cs="宋体"/>
                <w:color w:val="auto"/>
                <w:sz w:val="24"/>
                <w:highlight w:val="none"/>
                <w:lang w:eastAsia="zh-CN"/>
              </w:rPr>
              <w:t>实施</w:t>
            </w:r>
            <w:r>
              <w:rPr>
                <w:rFonts w:hint="eastAsia" w:ascii="宋体" w:hAnsi="宋体" w:cs="宋体"/>
                <w:color w:val="auto"/>
                <w:sz w:val="24"/>
                <w:highlight w:val="none"/>
              </w:rPr>
              <w:t>方案响应内容一般，项目匹配性一般的得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r>
              <w:rPr>
                <w:rFonts w:hint="eastAsia" w:ascii="宋体" w:hAnsi="宋体" w:cs="宋体"/>
                <w:color w:val="auto"/>
                <w:sz w:val="24"/>
                <w:highlight w:val="none"/>
                <w:lang w:eastAsia="zh-CN"/>
              </w:rPr>
              <w:t>实施</w:t>
            </w:r>
            <w:r>
              <w:rPr>
                <w:rFonts w:hint="eastAsia" w:ascii="宋体" w:hAnsi="宋体" w:cs="宋体"/>
                <w:color w:val="auto"/>
                <w:sz w:val="24"/>
                <w:highlight w:val="none"/>
              </w:rPr>
              <w:t>方案响应内容存在欠缺的得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5</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5</w:t>
            </w:r>
          </w:p>
        </w:tc>
        <w:tc>
          <w:tcPr>
            <w:tcW w:w="5675" w:type="dxa"/>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lang w:val="zh-CN" w:eastAsia="zh-CN"/>
              </w:rPr>
              <w:t>项目组实施人员能力经验（提供相关证明材料）</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val="zh-CN" w:eastAsia="zh-CN"/>
              </w:rPr>
              <w:t>人员专业配置等情况</w:t>
            </w:r>
            <w:r>
              <w:rPr>
                <w:rFonts w:hint="eastAsia" w:ascii="宋体" w:hAnsi="宋体" w:cs="宋体"/>
                <w:color w:val="auto"/>
                <w:sz w:val="24"/>
                <w:highlight w:val="none"/>
                <w:lang w:eastAsia="zh-CN"/>
              </w:rPr>
              <w:t>，经验丰富得</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分；经验较丰富得</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分；经验较差或未描述完整的得1分。</w:t>
            </w:r>
            <w:r>
              <w:rPr>
                <w:rFonts w:hint="eastAsia" w:ascii="宋体" w:hAnsi="宋体" w:cs="宋体"/>
                <w:color w:val="auto"/>
                <w:sz w:val="24"/>
                <w:highlight w:val="none"/>
              </w:rPr>
              <w:t>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5</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lang w:eastAsia="zh-CN"/>
              </w:rPr>
              <w:t>项目人员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6</w:t>
            </w:r>
          </w:p>
        </w:tc>
        <w:tc>
          <w:tcPr>
            <w:tcW w:w="5675" w:type="dxa"/>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lang w:val="zh-TW"/>
              </w:rPr>
              <w:t>项目验收方案，验收方案科学、合理，质量保证措施完善、有力的，得</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val="zh-TW"/>
              </w:rPr>
              <w:t>分；验收方案及质量保证措施基本完整且有一定针对性的，得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TW"/>
              </w:rPr>
              <w:t>分；验收方案及质量保证措施有较多欠缺，得</w:t>
            </w:r>
            <w:r>
              <w:rPr>
                <w:rFonts w:hint="eastAsia" w:ascii="宋体" w:hAnsi="宋体" w:cs="宋体"/>
                <w:color w:val="auto"/>
                <w:sz w:val="24"/>
                <w:highlight w:val="none"/>
              </w:rPr>
              <w:t>1</w:t>
            </w:r>
            <w:r>
              <w:rPr>
                <w:rFonts w:hint="eastAsia" w:ascii="宋体" w:hAnsi="宋体" w:cs="宋体"/>
                <w:color w:val="auto"/>
                <w:sz w:val="24"/>
                <w:highlight w:val="none"/>
                <w:lang w:val="zh-TW"/>
              </w:rPr>
              <w:t>分。</w:t>
            </w:r>
            <w:r>
              <w:rPr>
                <w:rFonts w:hint="eastAsia" w:ascii="宋体" w:hAnsi="宋体" w:cs="宋体"/>
                <w:color w:val="auto"/>
                <w:sz w:val="24"/>
                <w:highlight w:val="none"/>
              </w:rPr>
              <w:t>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7</w:t>
            </w:r>
          </w:p>
        </w:tc>
        <w:tc>
          <w:tcPr>
            <w:tcW w:w="5675" w:type="dxa"/>
          </w:tcPr>
          <w:p>
            <w:pPr>
              <w:snapToGrid w:val="0"/>
              <w:spacing w:line="360" w:lineRule="auto"/>
              <w:jc w:val="left"/>
              <w:rPr>
                <w:rFonts w:ascii="宋体" w:hAnsi="宋体" w:cs="宋体"/>
                <w:color w:val="auto"/>
                <w:sz w:val="24"/>
                <w:highlight w:val="none"/>
                <w:lang w:val="zh-TW"/>
              </w:rPr>
            </w:pPr>
            <w:r>
              <w:rPr>
                <w:rFonts w:hint="eastAsia" w:ascii="宋体" w:hAnsi="宋体" w:cs="宋体"/>
                <w:color w:val="auto"/>
                <w:sz w:val="24"/>
                <w:highlight w:val="none"/>
                <w:lang w:val="zh-TW"/>
              </w:rPr>
              <w:t>在服务过程中对突发性事件的应对能力、临时任务应急能力、临时故障应对能力等情况。方案合理、针对性强的得</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val="zh-TW"/>
              </w:rPr>
              <w:t>分；方案一般，针对性一般的得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TW"/>
              </w:rPr>
              <w:t xml:space="preserve"> 分；方案内容存在欠缺，可行性、项目匹配性不足的得1分；未提供不得分。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8</w:t>
            </w:r>
          </w:p>
        </w:tc>
        <w:tc>
          <w:tcPr>
            <w:tcW w:w="5675" w:type="dxa"/>
          </w:tcPr>
          <w:p>
            <w:pPr>
              <w:snapToGrid w:val="0"/>
              <w:spacing w:line="360" w:lineRule="auto"/>
              <w:jc w:val="left"/>
              <w:rPr>
                <w:rFonts w:ascii="宋体" w:hAnsi="宋体" w:cs="宋体"/>
                <w:color w:val="auto"/>
                <w:sz w:val="24"/>
                <w:highlight w:val="none"/>
                <w:lang w:val="zh-TW"/>
              </w:rPr>
            </w:pPr>
            <w:r>
              <w:rPr>
                <w:rFonts w:hint="eastAsia" w:ascii="宋体" w:hAnsi="宋体" w:cs="宋体"/>
                <w:color w:val="auto"/>
                <w:sz w:val="24"/>
                <w:highlight w:val="none"/>
                <w:lang w:val="zh-TW"/>
              </w:rPr>
              <w:t>投标人针对本项目提供的培训方案应包括培训内容、培训时间安排、培训人员、培训技术力量等。阐述完整，完全满足要求得</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val="zh-TW"/>
              </w:rPr>
              <w:t>分；阐述一般准确、描述一般透彻的得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TW"/>
              </w:rPr>
              <w:t>分；方案内容存在欠缺，可行性、项目匹配性不足的得1分；未提供不得分。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9</w:t>
            </w:r>
          </w:p>
        </w:tc>
        <w:tc>
          <w:tcPr>
            <w:tcW w:w="5675" w:type="dxa"/>
          </w:tcPr>
          <w:p>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投标人</w:t>
            </w:r>
            <w:r>
              <w:rPr>
                <w:rFonts w:hint="eastAsia" w:ascii="宋体" w:hAnsi="宋体" w:cs="宋体"/>
                <w:color w:val="auto"/>
                <w:sz w:val="24"/>
                <w:highlight w:val="none"/>
                <w:lang w:val="zh-TW"/>
              </w:rPr>
              <w:t>针对本项目提供的售后服务方案科学合理，完全满足采购需求、可行性强的得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分；一般合理，可行性一般的得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分；内容存在欠缺、可行性、项目匹配性不足的得1分。未提供不得分。</w:t>
            </w:r>
          </w:p>
        </w:tc>
        <w:tc>
          <w:tcPr>
            <w:tcW w:w="660" w:type="dxa"/>
            <w:vAlign w:val="center"/>
          </w:tcPr>
          <w:p>
            <w:pPr>
              <w:snapToGrid w:val="0"/>
              <w:spacing w:line="360" w:lineRule="auto"/>
              <w:jc w:val="center"/>
              <w:rPr>
                <w:rFonts w:cs="仿宋_GB2312" w:asciiTheme="minorEastAsia" w:hAnsiTheme="minorEastAsia" w:eastAsiaTheme="minorEastAsia"/>
                <w:color w:val="auto"/>
                <w:sz w:val="24"/>
                <w:highlight w:val="none"/>
              </w:rPr>
            </w:pPr>
          </w:p>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p>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highlight w:val="none"/>
              </w:rPr>
            </w:pPr>
          </w:p>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10</w:t>
            </w:r>
          </w:p>
        </w:tc>
        <w:tc>
          <w:tcPr>
            <w:tcW w:w="5675" w:type="dxa"/>
          </w:tcPr>
          <w:p>
            <w:pPr>
              <w:snapToGrid w:val="0"/>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投标产品的配件、附件、备品备件的准备和保障措施情况。科学合理、</w:t>
            </w:r>
            <w:r>
              <w:rPr>
                <w:rFonts w:hint="eastAsia" w:ascii="宋体" w:hAnsi="宋体" w:cs="宋体"/>
                <w:color w:val="auto"/>
                <w:sz w:val="24"/>
                <w:highlight w:val="none"/>
                <w:lang w:val="zh-TW"/>
              </w:rPr>
              <w:t>可行性强的得</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分；一般合理，可行性一般的得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4</w:t>
            </w:r>
          </w:p>
        </w:tc>
        <w:tc>
          <w:tcPr>
            <w:tcW w:w="1035" w:type="dxa"/>
            <w:vAlign w:val="center"/>
          </w:tcPr>
          <w:p>
            <w:pPr>
              <w:snapToGrid w:val="0"/>
              <w:spacing w:line="360" w:lineRule="auto"/>
              <w:jc w:val="center"/>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主观分</w:t>
            </w:r>
          </w:p>
        </w:tc>
        <w:tc>
          <w:tcPr>
            <w:tcW w:w="1695" w:type="dxa"/>
            <w:vAlign w:val="center"/>
          </w:tcPr>
          <w:p>
            <w:pPr>
              <w:spacing w:line="360" w:lineRule="auto"/>
              <w:jc w:val="center"/>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备品备件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11</w:t>
            </w:r>
          </w:p>
        </w:tc>
        <w:tc>
          <w:tcPr>
            <w:tcW w:w="5675" w:type="dxa"/>
          </w:tcPr>
          <w:p>
            <w:pPr>
              <w:spacing w:line="360" w:lineRule="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b/>
                <w:bCs/>
                <w:color w:val="auto"/>
                <w:sz w:val="24"/>
                <w:highlight w:val="none"/>
                <w:lang w:val="en-US" w:eastAsia="zh-CN"/>
              </w:rPr>
              <w:t>新标六件套多功能腰带（手铐套、强光手电套、警用工作包、可旋转快拔式警棍套、对讲套、催泪喷射器套）：</w:t>
            </w:r>
            <w:r>
              <w:rPr>
                <w:rFonts w:hint="eastAsia" w:cs="仿宋_GB2312" w:asciiTheme="minorEastAsia" w:hAnsiTheme="minorEastAsia" w:eastAsiaTheme="minorEastAsia"/>
                <w:color w:val="auto"/>
                <w:sz w:val="24"/>
                <w:highlight w:val="none"/>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b/>
                <w:bCs/>
                <w:color w:val="auto"/>
                <w:sz w:val="24"/>
                <w:highlight w:val="none"/>
                <w:lang w:val="en-US" w:eastAsia="zh-CN"/>
              </w:rPr>
              <w:t>分体式交警雨衣（套）：</w:t>
            </w:r>
            <w:r>
              <w:rPr>
                <w:rFonts w:hint="eastAsia" w:cs="仿宋_GB2312" w:asciiTheme="minorEastAsia" w:hAnsiTheme="minorEastAsia" w:eastAsiaTheme="minorEastAsia"/>
                <w:color w:val="auto"/>
                <w:sz w:val="24"/>
                <w:highlight w:val="none"/>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b/>
                <w:bCs/>
                <w:color w:val="auto"/>
                <w:sz w:val="24"/>
                <w:highlight w:val="none"/>
                <w:lang w:val="en-US" w:eastAsia="zh-CN"/>
              </w:rPr>
              <w:t>铁骑骑行服：</w:t>
            </w:r>
            <w:r>
              <w:rPr>
                <w:rFonts w:hint="eastAsia" w:cs="仿宋_GB2312" w:asciiTheme="minorEastAsia" w:hAnsiTheme="minorEastAsia" w:eastAsiaTheme="minorEastAsia"/>
                <w:color w:val="auto"/>
                <w:sz w:val="24"/>
                <w:highlight w:val="none"/>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4、</w:t>
            </w:r>
            <w:r>
              <w:rPr>
                <w:rFonts w:hint="eastAsia" w:ascii="宋体" w:hAnsi="宋体" w:eastAsia="宋体" w:cs="宋体"/>
                <w:b/>
                <w:bCs/>
                <w:i w:val="0"/>
                <w:iCs w:val="0"/>
                <w:color w:val="auto"/>
                <w:kern w:val="0"/>
                <w:sz w:val="24"/>
                <w:szCs w:val="24"/>
                <w:highlight w:val="none"/>
                <w:u w:val="none"/>
                <w:lang w:val="en-US" w:eastAsia="zh-CN" w:bidi="ar"/>
              </w:rPr>
              <w:t>警用无人机 （干扰套装）</w:t>
            </w:r>
            <w:r>
              <w:rPr>
                <w:rFonts w:hint="eastAsia" w:ascii="宋体" w:hAnsi="宋体" w:cs="宋体"/>
                <w:b/>
                <w:bCs/>
                <w:i w:val="0"/>
                <w:iCs w:val="0"/>
                <w:color w:val="auto"/>
                <w:kern w:val="0"/>
                <w:sz w:val="24"/>
                <w:szCs w:val="24"/>
                <w:highlight w:val="none"/>
                <w:u w:val="none"/>
                <w:lang w:val="en-US" w:eastAsia="zh-CN" w:bidi="ar"/>
              </w:rPr>
              <w:t>：</w:t>
            </w:r>
            <w:r>
              <w:rPr>
                <w:rFonts w:hint="eastAsia" w:cs="仿宋_GB2312" w:asciiTheme="minorEastAsia" w:hAnsiTheme="minorEastAsia" w:eastAsiaTheme="minorEastAsia"/>
                <w:color w:val="auto"/>
                <w:sz w:val="24"/>
                <w:highlight w:val="none"/>
                <w:lang w:val="en-US" w:eastAsia="zh-CN"/>
              </w:rPr>
              <w:t>样品制作工艺好、用材用料结实耐用、外观美观，符合采购需求得3分；样品制作工艺较好、用材用料较结实耐用、外观较美观，基本符合采购需求得2分；样品部分符合采购需求得1分。（3分）</w:t>
            </w:r>
          </w:p>
          <w:p>
            <w:pPr>
              <w:spacing w:line="360" w:lineRule="auto"/>
              <w:outlineLvl w:val="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5、</w:t>
            </w:r>
            <w:r>
              <w:rPr>
                <w:rFonts w:hint="eastAsia" w:ascii="宋体" w:hAnsi="宋体" w:eastAsia="宋体" w:cs="宋体"/>
                <w:b/>
                <w:bCs/>
                <w:i w:val="0"/>
                <w:iCs w:val="0"/>
                <w:color w:val="auto"/>
                <w:kern w:val="0"/>
                <w:sz w:val="24"/>
                <w:szCs w:val="24"/>
                <w:highlight w:val="none"/>
                <w:u w:val="none"/>
                <w:lang w:val="en-US" w:eastAsia="zh-CN" w:bidi="ar"/>
              </w:rPr>
              <w:t>事故现场防闯入系统</w:t>
            </w:r>
            <w:r>
              <w:rPr>
                <w:rFonts w:hint="eastAsia" w:hAnsi="宋体" w:cs="宋体"/>
                <w:b/>
                <w:bCs/>
                <w:i w:val="0"/>
                <w:iCs w:val="0"/>
                <w:color w:val="auto"/>
                <w:kern w:val="0"/>
                <w:sz w:val="24"/>
                <w:szCs w:val="24"/>
                <w:highlight w:val="none"/>
                <w:u w:val="none"/>
                <w:lang w:val="en-US" w:eastAsia="zh-CN" w:bidi="ar"/>
              </w:rPr>
              <w:t>：</w:t>
            </w:r>
            <w:r>
              <w:rPr>
                <w:rFonts w:hint="eastAsia" w:cs="仿宋_GB2312" w:asciiTheme="minorEastAsia" w:hAnsiTheme="minorEastAsia" w:eastAsiaTheme="minorEastAsia"/>
                <w:color w:val="auto"/>
                <w:sz w:val="24"/>
                <w:highlight w:val="none"/>
                <w:lang w:val="en-US" w:eastAsia="zh-CN"/>
              </w:rPr>
              <w:t>样品制作工艺好、用材用料结实耐用、外观美观，符合采购需求得3分；样品制作工艺较好、用材用料较结实耐用、外观较美观，基本符合采购需求得2分；样品部分符合采购需求得1分。（3分）</w:t>
            </w:r>
          </w:p>
          <w:p>
            <w:pPr>
              <w:pStyle w:val="3"/>
              <w:ind w:left="0" w:leftChars="0" w:firstLine="0" w:firstLineChars="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6、</w:t>
            </w:r>
            <w:r>
              <w:rPr>
                <w:rFonts w:hint="eastAsia" w:ascii="宋体" w:hAnsi="宋体" w:eastAsia="宋体" w:cs="宋体"/>
                <w:b/>
                <w:bCs/>
                <w:i w:val="0"/>
                <w:iCs w:val="0"/>
                <w:color w:val="auto"/>
                <w:kern w:val="0"/>
                <w:sz w:val="24"/>
                <w:szCs w:val="24"/>
                <w:highlight w:val="none"/>
                <w:u w:val="none"/>
                <w:lang w:val="en-US" w:eastAsia="zh-CN" w:bidi="ar"/>
              </w:rPr>
              <w:t>测距望远镜</w:t>
            </w:r>
            <w:r>
              <w:rPr>
                <w:rFonts w:hint="eastAsia" w:hAnsi="宋体" w:cs="宋体"/>
                <w:b/>
                <w:bCs/>
                <w:i w:val="0"/>
                <w:iCs w:val="0"/>
                <w:color w:val="auto"/>
                <w:kern w:val="0"/>
                <w:sz w:val="24"/>
                <w:szCs w:val="24"/>
                <w:highlight w:val="none"/>
                <w:u w:val="none"/>
                <w:lang w:val="en-US" w:eastAsia="zh-CN" w:bidi="ar"/>
              </w:rPr>
              <w:t>：</w:t>
            </w:r>
            <w:r>
              <w:rPr>
                <w:rFonts w:hint="eastAsia" w:cs="仿宋_GB2312" w:asciiTheme="minorEastAsia" w:hAnsiTheme="minorEastAsia" w:eastAsiaTheme="minorEastAsia"/>
                <w:color w:val="auto"/>
                <w:sz w:val="24"/>
                <w:highlight w:val="none"/>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pStyle w:val="3"/>
              <w:ind w:left="0" w:leftChars="0" w:firstLine="0" w:firstLineChars="0"/>
              <w:rPr>
                <w:rFonts w:hint="default"/>
                <w:color w:val="auto"/>
                <w:highlight w:val="none"/>
                <w:lang w:val="en-US" w:eastAsia="zh-CN"/>
              </w:rPr>
            </w:pPr>
            <w:r>
              <w:rPr>
                <w:rFonts w:hint="eastAsia" w:cs="仿宋_GB2312" w:asciiTheme="minorEastAsia" w:hAnsiTheme="minorEastAsia" w:eastAsiaTheme="minorEastAsia"/>
                <w:color w:val="auto"/>
                <w:sz w:val="24"/>
                <w:highlight w:val="none"/>
                <w:lang w:val="en-US" w:eastAsia="zh-CN"/>
              </w:rPr>
              <w:t xml:space="preserve">7、 </w:t>
            </w:r>
            <w:r>
              <w:rPr>
                <w:rFonts w:hint="eastAsia" w:ascii="宋体" w:hAnsi="宋体" w:eastAsia="宋体" w:cs="宋体"/>
                <w:b/>
                <w:bCs/>
                <w:i w:val="0"/>
                <w:iCs w:val="0"/>
                <w:color w:val="auto"/>
                <w:kern w:val="0"/>
                <w:sz w:val="24"/>
                <w:szCs w:val="24"/>
                <w:highlight w:val="none"/>
                <w:u w:val="none"/>
                <w:lang w:val="en-US" w:eastAsia="zh-CN" w:bidi="ar"/>
              </w:rPr>
              <w:t>酒精测试仪</w:t>
            </w:r>
            <w:r>
              <w:rPr>
                <w:rFonts w:hint="eastAsia" w:hAnsi="宋体" w:cs="宋体"/>
                <w:b/>
                <w:bCs/>
                <w:i w:val="0"/>
                <w:iCs w:val="0"/>
                <w:color w:val="auto"/>
                <w:kern w:val="0"/>
                <w:sz w:val="24"/>
                <w:szCs w:val="24"/>
                <w:highlight w:val="none"/>
                <w:u w:val="none"/>
                <w:lang w:val="en-US" w:eastAsia="zh-CN" w:bidi="ar"/>
              </w:rPr>
              <w:t>：</w:t>
            </w:r>
            <w:r>
              <w:rPr>
                <w:rFonts w:hint="eastAsia" w:cs="仿宋_GB2312" w:asciiTheme="minorEastAsia" w:hAnsiTheme="minorEastAsia" w:eastAsiaTheme="minorEastAsia"/>
                <w:color w:val="auto"/>
                <w:sz w:val="24"/>
                <w:highlight w:val="none"/>
                <w:lang w:val="en-US" w:eastAsia="zh-CN"/>
              </w:rPr>
              <w:t>样品制作工艺好、用材用料优质、外观美观、使用感舒适，符合采购需求得3分；样品制作工艺较好、用材用料较优质、外观较美观、使用感较舒适，基本符合采购需求得2分；样品部分符合采购需求得1分。（3分）</w:t>
            </w:r>
          </w:p>
        </w:tc>
        <w:tc>
          <w:tcPr>
            <w:tcW w:w="660" w:type="dxa"/>
            <w:vAlign w:val="center"/>
          </w:tcPr>
          <w:p>
            <w:pPr>
              <w:snapToGrid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21</w:t>
            </w:r>
          </w:p>
        </w:tc>
        <w:tc>
          <w:tcPr>
            <w:tcW w:w="1035"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lang w:eastAsia="zh-CN"/>
              </w:rPr>
              <w:t>主观分</w:t>
            </w:r>
          </w:p>
        </w:tc>
        <w:tc>
          <w:tcPr>
            <w:tcW w:w="1695" w:type="dxa"/>
            <w:vAlign w:val="center"/>
          </w:tcPr>
          <w:p>
            <w:pPr>
              <w:spacing w:line="360" w:lineRule="auto"/>
              <w:jc w:val="center"/>
              <w:outlineLvl w:val="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rPr>
              <w:t>1</w:t>
            </w:r>
            <w:r>
              <w:rPr>
                <w:rFonts w:hint="eastAsia" w:cs="仿宋_GB2312" w:asciiTheme="minorEastAsia" w:hAnsiTheme="minorEastAsia" w:eastAsiaTheme="minorEastAsia"/>
                <w:color w:val="auto"/>
                <w:sz w:val="24"/>
                <w:highlight w:val="none"/>
                <w:lang w:val="en-US" w:eastAsia="zh-CN"/>
              </w:rPr>
              <w:t>2</w:t>
            </w:r>
          </w:p>
        </w:tc>
        <w:tc>
          <w:tcPr>
            <w:tcW w:w="5675" w:type="dxa"/>
          </w:tcPr>
          <w:p>
            <w:pPr>
              <w:spacing w:line="360" w:lineRule="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有效投标报价的最低价作为评标基准价，其最低报价为满分；按［投标报价得分=（评标基准价/投标报价）*30］的计算公式计算。</w:t>
            </w:r>
          </w:p>
          <w:p>
            <w:pPr>
              <w:spacing w:line="360" w:lineRule="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评标过程中，不得去掉报价中的最高报价和最低报价。</w:t>
            </w:r>
          </w:p>
        </w:tc>
        <w:tc>
          <w:tcPr>
            <w:tcW w:w="660" w:type="dxa"/>
            <w:vAlign w:val="center"/>
          </w:tcPr>
          <w:p>
            <w:pPr>
              <w:spacing w:line="360" w:lineRule="auto"/>
              <w:jc w:val="center"/>
              <w:outlineLvl w:val="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30</w:t>
            </w:r>
          </w:p>
        </w:tc>
        <w:tc>
          <w:tcPr>
            <w:tcW w:w="1035" w:type="dxa"/>
            <w:vAlign w:val="center"/>
          </w:tcPr>
          <w:p>
            <w:pPr>
              <w:spacing w:line="360" w:lineRule="auto"/>
              <w:jc w:val="center"/>
              <w:outlineLvl w:val="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客观</w:t>
            </w:r>
          </w:p>
        </w:tc>
        <w:tc>
          <w:tcPr>
            <w:tcW w:w="1695" w:type="dxa"/>
            <w:vAlign w:val="center"/>
          </w:tcPr>
          <w:p>
            <w:pPr>
              <w:spacing w:line="360" w:lineRule="auto"/>
              <w:jc w:val="center"/>
              <w:outlineLvl w:val="0"/>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w:t>
            </w:r>
          </w:p>
        </w:tc>
      </w:tr>
    </w:tbl>
    <w:p>
      <w:pPr>
        <w:rPr>
          <w:color w:val="auto"/>
          <w:highlight w:val="none"/>
        </w:rPr>
      </w:pPr>
    </w:p>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adjustRightInd/>
        <w:spacing w:line="360" w:lineRule="auto"/>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val="en-US" w:eastAsia="zh-CN"/>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w:t>
      </w:r>
      <w:r>
        <w:rPr>
          <w:rFonts w:hint="eastAsia" w:ascii="宋体" w:hAnsi="宋体" w:cs="宋体"/>
          <w:color w:val="auto"/>
          <w:kern w:val="0"/>
          <w:sz w:val="24"/>
          <w:highlight w:val="none"/>
          <w:lang w:val="en-US"/>
        </w:rPr>
        <w:t>文件</w:t>
      </w:r>
      <w:r>
        <w:rPr>
          <w:rFonts w:hint="eastAsia" w:ascii="宋体" w:hAnsi="宋体" w:eastAsia="宋体" w:cs="宋体"/>
          <w:b w:val="0"/>
          <w:bCs w:val="0"/>
          <w:color w:val="auto"/>
          <w:kern w:val="0"/>
          <w:sz w:val="24"/>
          <w:szCs w:val="24"/>
          <w:highlight w:val="none"/>
          <w:lang w:val="en-US"/>
        </w:rPr>
        <w:t>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26"/>
        <w:snapToGrid w:val="0"/>
        <w:spacing w:line="360" w:lineRule="auto"/>
        <w:rPr>
          <w:rFonts w:cs="宋体"/>
          <w:color w:val="auto"/>
          <w:highlight w:val="none"/>
        </w:rPr>
      </w:pPr>
      <w:r>
        <w:rPr>
          <w:rFonts w:hint="eastAsia" w:cs="宋体"/>
          <w:color w:val="auto"/>
          <w:highlight w:val="none"/>
        </w:rPr>
        <w:t>5.4因重大变故，采购任务取消的。</w:t>
      </w:r>
    </w:p>
    <w:p>
      <w:pPr>
        <w:pStyle w:val="26"/>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color w:val="auto"/>
          <w:highlight w:val="none"/>
        </w:rPr>
      </w:pPr>
    </w:p>
    <w:bookmarkEnd w:id="31"/>
    <w:p>
      <w:pPr>
        <w:bidi w:val="0"/>
        <w:rPr>
          <w:color w:val="auto"/>
          <w:highlight w:val="none"/>
        </w:rPr>
      </w:pPr>
      <w:bookmarkStart w:id="398" w:name="第五部分"/>
      <w:bookmarkStart w:id="399" w:name="_Toc86217003"/>
    </w:p>
    <w:p>
      <w:pPr>
        <w:bidi w:val="0"/>
        <w:rPr>
          <w:color w:val="auto"/>
          <w:highlight w:val="none"/>
        </w:rPr>
      </w:pPr>
      <w:r>
        <w:rPr>
          <w:rFonts w:hint="eastAsia"/>
          <w:color w:val="auto"/>
          <w:highlight w:val="none"/>
        </w:rPr>
        <w:t xml:space="preserve">    </w:t>
      </w:r>
    </w:p>
    <w:p>
      <w:pPr>
        <w:bidi w:val="0"/>
        <w:rPr>
          <w:color w:val="auto"/>
          <w:highlight w:val="none"/>
        </w:rPr>
      </w:pPr>
    </w:p>
    <w:p>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                                  签订时间：20* 年  月  日</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甲方（需方）：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乙方（供方）：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需双方根据杭州市</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项目（招标编号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）招标结果和招标文件的要求，并经双方协调一致，订立本采购合同。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合同条款。</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中标通知书。</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更正公告。</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中标单位投标文件。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其他。</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合同金额:</w:t>
      </w:r>
      <w:r>
        <w:rPr>
          <w:rFonts w:hint="eastAsia" w:ascii="宋体" w:hAnsi="宋体" w:eastAsia="宋体" w:cs="宋体"/>
          <w:color w:val="auto"/>
          <w:sz w:val="24"/>
          <w:szCs w:val="24"/>
          <w:highlight w:val="none"/>
          <w:lang w:eastAsia="zh-CN"/>
        </w:rPr>
        <w:t>暂定</w:t>
      </w:r>
      <w:r>
        <w:rPr>
          <w:rFonts w:hint="eastAsia" w:ascii="宋体" w:hAnsi="宋体" w:eastAsia="宋体" w:cs="宋体"/>
          <w:color w:val="auto"/>
          <w:sz w:val="24"/>
          <w:szCs w:val="24"/>
          <w:highlight w:val="none"/>
        </w:rPr>
        <w:t>合同金额为(大写)_________________元（￥　　　　元）人民币。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附《采购项目清单内容》   </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w:t>
            </w: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中标内容</w:t>
            </w: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中标单价（元）</w:t>
            </w: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暂定</w:t>
            </w:r>
            <w:r>
              <w:rPr>
                <w:rFonts w:hint="eastAsia" w:ascii="宋体" w:hAnsi="宋体" w:eastAsia="宋体" w:cs="宋体"/>
                <w:color w:val="auto"/>
                <w:sz w:val="24"/>
                <w:szCs w:val="24"/>
                <w:highlight w:val="none"/>
              </w:rPr>
              <w:t>数量</w:t>
            </w: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合计</w:t>
            </w:r>
            <w:r>
              <w:rPr>
                <w:rFonts w:hint="eastAsia" w:ascii="宋体" w:hAnsi="宋体" w:eastAsia="宋体" w:cs="宋体"/>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6195" w:type="dxa"/>
            <w:gridSpan w:val="4"/>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暂定合同总价（元）</w:t>
            </w:r>
          </w:p>
        </w:tc>
        <w:tc>
          <w:tcPr>
            <w:tcW w:w="2294" w:type="dxa"/>
            <w:gridSpan w:val="2"/>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bl>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质量要求及供方对质量负责条件和期限：</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供方提供的货物必须是现货全新，符合招标要求的规格型号和技术指标。供方对货物提供</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年的免费保修期（货物厂家另有超过此质保期的按原规定执行），保修期内非因需方的人为原因而出现质量问题的，由供方负责包修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包换或者包退，并承担调换或退货的实际费用。</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供方在维保期内接到用户单位的电话后，在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小时内响应，</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小时以内到现场，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小时以内解决问题，不能修复的，必须采取无偿提供备品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备件或备机等措施，以保证用户单位的正常使用。</w:t>
      </w:r>
    </w:p>
    <w:p>
      <w:pPr>
        <w:snapToGrid w:val="0"/>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签订合同后</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0日历天内，</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将</w:t>
      </w:r>
      <w:r>
        <w:rPr>
          <w:rFonts w:hint="eastAsia" w:ascii="宋体" w:hAnsi="宋体" w:eastAsia="宋体" w:cs="宋体"/>
          <w:color w:val="auto"/>
          <w:sz w:val="24"/>
          <w:highlight w:val="none"/>
          <w:lang w:val="en-US" w:eastAsia="zh-CN"/>
        </w:rPr>
        <w:t>警用</w:t>
      </w:r>
      <w:r>
        <w:rPr>
          <w:rFonts w:hint="eastAsia" w:ascii="宋体" w:hAnsi="宋体" w:eastAsia="宋体" w:cs="宋体"/>
          <w:color w:val="auto"/>
          <w:sz w:val="24"/>
          <w:highlight w:val="none"/>
        </w:rPr>
        <w:t>设备运抵</w:t>
      </w:r>
      <w:r>
        <w:rPr>
          <w:rFonts w:hint="eastAsia" w:ascii="宋体" w:hAnsi="宋体" w:eastAsia="宋体" w:cs="宋体"/>
          <w:color w:val="auto"/>
          <w:sz w:val="24"/>
          <w:highlight w:val="none"/>
          <w:lang w:val="en-US" w:eastAsia="zh-CN"/>
        </w:rPr>
        <w:t>甲方指定地点</w:t>
      </w:r>
      <w:r>
        <w:rPr>
          <w:rFonts w:hint="eastAsia" w:ascii="宋体" w:hAnsi="宋体" w:eastAsia="宋体" w:cs="宋体"/>
          <w:color w:val="auto"/>
          <w:sz w:val="24"/>
          <w:highlight w:val="none"/>
        </w:rPr>
        <w:t>，调试并验收合格，交付</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使用。延期赔偿金按2000元/天计。延期10天以上的，</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有权终止合同并没收履约保证金。</w:t>
      </w:r>
      <w:r>
        <w:rPr>
          <w:rFonts w:hint="eastAsia" w:ascii="宋体" w:hAnsi="宋体" w:eastAsia="宋体" w:cs="宋体"/>
          <w:color w:val="auto"/>
          <w:sz w:val="24"/>
          <w:szCs w:val="24"/>
          <w:highlight w:val="none"/>
        </w:rPr>
        <w:t xml:space="preserve">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货款支付</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付款方式：</w:t>
      </w:r>
      <w:r>
        <w:rPr>
          <w:rFonts w:hint="eastAsia" w:hAnsi="宋体" w:cs="宋体"/>
          <w:color w:val="auto"/>
          <w:sz w:val="24"/>
          <w:szCs w:val="24"/>
          <w:highlight w:val="none"/>
        </w:rPr>
        <w:t>在合同生效以及具备实施条件后5个工作日内</w:t>
      </w:r>
      <w:r>
        <w:rPr>
          <w:rFonts w:hint="eastAsia" w:hAnsi="宋体" w:cs="宋体"/>
          <w:color w:val="auto"/>
          <w:sz w:val="24"/>
          <w:szCs w:val="24"/>
          <w:highlight w:val="none"/>
          <w:lang w:eastAsia="zh-CN"/>
        </w:rPr>
        <w:t>，</w:t>
      </w:r>
      <w:r>
        <w:rPr>
          <w:rFonts w:hint="eastAsia" w:ascii="宋体" w:hAnsi="宋体" w:eastAsia="宋体" w:cs="宋体"/>
          <w:color w:val="auto"/>
          <w:sz w:val="24"/>
          <w:highlight w:val="none"/>
        </w:rPr>
        <w:t>采购人支付</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0%的作为预付款；供货安装到位，并验收合格后，采购人支付</w:t>
      </w:r>
      <w:r>
        <w:rPr>
          <w:rFonts w:hint="eastAsia" w:ascii="宋体" w:hAnsi="宋体" w:eastAsia="宋体" w:cs="宋体"/>
          <w:color w:val="auto"/>
          <w:sz w:val="24"/>
          <w:highlight w:val="none"/>
          <w:lang w:eastAsia="zh-CN"/>
        </w:rPr>
        <w:t>剩余款项</w:t>
      </w:r>
      <w:r>
        <w:rPr>
          <w:rFonts w:hint="eastAsia" w:ascii="宋体" w:hAnsi="宋体" w:eastAsia="宋体" w:cs="宋体"/>
          <w:color w:val="auto"/>
          <w:sz w:val="24"/>
          <w:highlight w:val="none"/>
        </w:rPr>
        <w:t>，同时无息退还履约保证金。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合同履行完毕，需方根据合同进行验收，验收合格后供应商按财政结算要求办理货款结算手续。</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履约保证金：为保证政府采购项目合同的顺利执行，</w:t>
      </w:r>
      <w:r>
        <w:rPr>
          <w:rFonts w:hint="eastAsia" w:hAnsi="宋体" w:cs="宋体"/>
          <w:color w:val="auto"/>
          <w:sz w:val="24"/>
          <w:szCs w:val="24"/>
          <w:highlight w:val="none"/>
        </w:rPr>
        <w:t>在合同生效后5个工作日内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中标人递交</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%作为</w:t>
      </w:r>
      <w:r>
        <w:rPr>
          <w:rFonts w:hint="eastAsia" w:ascii="宋体" w:hAnsi="宋体" w:eastAsia="宋体" w:cs="宋体"/>
          <w:color w:val="auto"/>
          <w:sz w:val="24"/>
          <w:szCs w:val="24"/>
          <w:highlight w:val="none"/>
        </w:rPr>
        <w:t>履约保证金。待项目验收合格后，由采购人将履约保证金无息退还供方。</w:t>
      </w:r>
    </w:p>
    <w:p>
      <w:pPr>
        <w:pStyle w:val="26"/>
        <w:snapToGrid w:val="0"/>
        <w:spacing w:line="360" w:lineRule="auto"/>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
        </w:rPr>
        <w:t>履约保证金</w:t>
      </w:r>
      <w:r>
        <w:rPr>
          <w:rFonts w:hint="eastAsia" w:ascii="宋体" w:hAnsi="宋体" w:eastAsia="宋体" w:cs="宋体"/>
          <w:color w:val="auto"/>
          <w:sz w:val="24"/>
          <w:szCs w:val="24"/>
          <w:highlight w:val="none"/>
        </w:rPr>
        <w:t>以支票、汇票、本票或者金融机构、担保机构出具的保函等非</w:t>
      </w:r>
      <w:r>
        <w:rPr>
          <w:rFonts w:hint="eastAsia" w:ascii="宋体" w:hAnsi="宋体" w:eastAsia="宋体" w:cs="宋体"/>
          <w:color w:val="auto"/>
          <w:sz w:val="24"/>
          <w:szCs w:val="24"/>
          <w:highlight w:val="none"/>
          <w:lang w:val="en"/>
        </w:rPr>
        <w:t>现金形式提交。根据《政府采购促进中小企业发展管理办法》要求，允许中小企业引入信用担保手段。</w:t>
      </w:r>
    </w:p>
    <w:p>
      <w:pPr>
        <w:pStyle w:val="26"/>
        <w:snapToGrid w:val="0"/>
        <w:spacing w:line="360" w:lineRule="auto"/>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w:t>
      </w:r>
      <w:r>
        <w:rPr>
          <w:rFonts w:hint="eastAsia" w:ascii="宋体" w:hAnsi="宋体" w:eastAsia="宋体" w:cs="宋体"/>
          <w:color w:val="auto"/>
          <w:sz w:val="24"/>
          <w:szCs w:val="24"/>
          <w:highlight w:val="none"/>
          <w:lang w:val="en" w:eastAsia="zh-CN"/>
        </w:rPr>
        <w:t>府采购货物和服务项目中，甲方可根据杭州市政府采购网公布的供应商履约评价情况减免履约保证金。乙方履约验收评价总分为100分的，可免收履约保证金。</w:t>
      </w:r>
    </w:p>
    <w:p>
      <w:pPr>
        <w:pStyle w:val="26"/>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七</w:t>
      </w:r>
      <w:r>
        <w:rPr>
          <w:rFonts w:hint="eastAsia" w:ascii="宋体" w:hAnsi="宋体" w:eastAsia="宋体" w:cs="宋体"/>
          <w:color w:val="auto"/>
          <w:sz w:val="24"/>
          <w:szCs w:val="24"/>
          <w:highlight w:val="none"/>
          <w:lang w:eastAsia="zh-CN"/>
        </w:rPr>
        <w:t>.验收</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1.甲方按照采购合同规定的技术.服务.标准以及中标单位的投标文件.本项目采购文件等要求，组织对供应商履约情况进行验收，并出具验收合格书。 </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2.验收流程根据政府采购相关规定执行。 </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3.验收标准：根据采购需求.投标文件方案以及合同等进行验收。本项目考察以下内容： </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①项目时间进度是否按要求开展。验收时，审核乙方项目流程相关记录，以及采购人对中标单位时间响应的总结意见。 </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②项目团队是否按要求配备。验收时，提供中标单位实际项目人员清单，应与投标文件的内容一致。如项目人员中途有变更的，应同时提供中标单位的变更申请，以及甲方对变更的答复意见。 </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③委派内容及成果是否全部完成，是否达到采购文件要求及投标文件的响应情况。验收时，提供中标单位台账记录.结案报告，详细记载并说明项目开展过程中的工作内容.工作目标及达成情况。 </w:t>
      </w:r>
    </w:p>
    <w:p>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val="en-US" w:eastAsia="zh-CN"/>
        </w:rPr>
        <w:t>④项目开展过程中的规范性。提供付款流程相关记录，对合同其他条款未违反的相关说明。如合同履行过程中，中标单位有违约行为的，应记录违约内容，甲方</w:t>
      </w:r>
      <w:r>
        <w:rPr>
          <w:rFonts w:hint="eastAsia" w:ascii="宋体" w:hAnsi="宋体" w:eastAsia="宋体" w:cs="宋体"/>
          <w:color w:val="auto"/>
          <w:kern w:val="0"/>
          <w:sz w:val="24"/>
          <w:szCs w:val="24"/>
          <w:highlight w:val="none"/>
          <w:lang w:val="en-US" w:eastAsia="zh-CN" w:bidi="ar"/>
        </w:rPr>
        <w:t xml:space="preserve">的认定说明，违约扣款的金额及相关记录等。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违约责任</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甲方无正当理由拒收货物的，甲方向乙方偿付拒收货款总值的百分之五违约金。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乙方逾期交付货物的，乙方应按逾期交付货款总额每日千分之六向甲方支付违约金，由甲方从待付货款中扣除。逾期超过约定日期 10 个工作日不能交货的，甲方可解除本合同，履约保证金不予退还，如造成甲方损失超过履约保证金的，超出部分由乙方继续承担赔偿责任。</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乙方所交的货物品种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型号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技术参数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质量等不符合合同规定及投标文件承诺标准，甲方有权拒收该货物，乙方愿意更换货物但逾期交货的按乙方逾期交货处理。乙方拒绝更换货物的，甲方可单方面解除合同。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因需方原因逾期支付合同款，自逾期之日起，向供方每日偿付合同总价千分之二的滞纳金；需方无正当理由拒付货款的，应向供方偿付合同总价百分之五的违约金。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如发现乙方违反招投标文件和合同的有关规定，甲方有权根据约定和《杭州市政府采购供应商合同履行和售后服务考核暂行办法》，对乙方进行处罚，并有权提前终止合同。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九.</w:t>
      </w:r>
      <w:r>
        <w:rPr>
          <w:rFonts w:hint="eastAsia" w:ascii="宋体" w:hAnsi="宋体" w:eastAsia="宋体" w:cs="宋体"/>
          <w:color w:val="auto"/>
          <w:sz w:val="24"/>
          <w:szCs w:val="24"/>
          <w:highlight w:val="none"/>
        </w:rPr>
        <w:t>调试和验收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十.</w:t>
      </w:r>
      <w:r>
        <w:rPr>
          <w:rFonts w:hint="eastAsia" w:ascii="宋体" w:hAnsi="宋体" w:eastAsia="宋体" w:cs="宋体"/>
          <w:color w:val="auto"/>
          <w:sz w:val="24"/>
          <w:szCs w:val="24"/>
          <w:highlight w:val="none"/>
        </w:rPr>
        <w:t>争议的解决</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因本合同引起的或与本合同有关的任何争议，合同双方应首先通过协商解决，达成书面协议，如协商不成，可选择下列第</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种方式解决。</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（1）提请杭州仲裁委员会按照该会仲裁规则进行仲裁，仲裁裁决是终局的，对合同双方均有约束力。</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sz w:val="24"/>
          <w:szCs w:val="24"/>
          <w:highlight w:val="none"/>
          <w:lang w:eastAsia="zh-CN"/>
        </w:rPr>
        <w:t>项目所在地</w:t>
      </w:r>
      <w:r>
        <w:rPr>
          <w:rFonts w:hint="eastAsia" w:ascii="宋体" w:hAnsi="宋体" w:eastAsia="宋体" w:cs="宋体"/>
          <w:color w:val="auto"/>
          <w:sz w:val="24"/>
          <w:szCs w:val="24"/>
          <w:highlight w:val="none"/>
        </w:rPr>
        <w:t>的人民法院提起诉讼。</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合同生效</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中标方持中标通知书作为与需方签订合同的凭证。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本合同经需供双方法定代表人或其授权委托人签名并加盖单位公章后生效。</w:t>
      </w:r>
    </w:p>
    <w:p>
      <w:pPr>
        <w:pStyle w:val="26"/>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十二、</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未经过需方的书面同意，供方不得转让其应履行的合同项下的义务，和将部分合同项下的义务分包给其他单位完成。</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供方不得参与可能与合同规定的与需方的利益相冲突的任何活动。</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供方人员在甲方场地工作时，应遵守需方相关规章、制度。</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4、本合同任何一方给另一方的通知，都应以书面或电传/传真/电报的形式发送，而另一方应以书面形式确认并发送到对方明确的地址。</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5、合同履行期内</w:t>
      </w:r>
      <w:r>
        <w:rPr>
          <w:rFonts w:hint="eastAsia" w:ascii="宋体" w:hAnsi="宋体" w:eastAsia="宋体" w:cs="宋体"/>
          <w:color w:val="auto"/>
          <w:sz w:val="24"/>
          <w:szCs w:val="24"/>
          <w:highlight w:val="none"/>
          <w:lang w:eastAsia="zh-CN"/>
        </w:rPr>
        <w:t>供需</w:t>
      </w:r>
      <w:r>
        <w:rPr>
          <w:rFonts w:hint="eastAsia" w:ascii="宋体" w:hAnsi="宋体" w:eastAsia="宋体" w:cs="宋体"/>
          <w:color w:val="auto"/>
          <w:sz w:val="24"/>
          <w:szCs w:val="24"/>
          <w:highlight w:val="none"/>
        </w:rPr>
        <w:t>双方均不得随意变更或解除合同。合同若有未尽事宜，需经双方共同协商，订立补充协议，补充协议与本合同有同等法律效力。</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6、采购文件、投标文件及评标过程中形成的文字资料、询标纪要均作为本合同的组成部分，具有同等效力。</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7、本合同一式肆份，</w:t>
      </w:r>
      <w:r>
        <w:rPr>
          <w:rFonts w:hint="eastAsia" w:ascii="宋体" w:hAnsi="宋体" w:eastAsia="宋体" w:cs="宋体"/>
          <w:color w:val="auto"/>
          <w:sz w:val="24"/>
          <w:szCs w:val="24"/>
          <w:highlight w:val="none"/>
          <w:lang w:eastAsia="zh-CN"/>
        </w:rPr>
        <w:t>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w:t>
      </w:r>
      <w:r>
        <w:rPr>
          <w:rFonts w:hint="eastAsia" w:ascii="宋体" w:hAnsi="宋体" w:eastAsia="宋体" w:cs="宋体"/>
          <w:color w:val="auto"/>
          <w:sz w:val="24"/>
          <w:szCs w:val="24"/>
          <w:highlight w:val="none"/>
        </w:rPr>
        <w:t>双方各执贰份。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8、适用法律：本合同应按照中华人民共和国的法律进行解释。</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需方（加盖公章）：                  供方（加盖公章）：</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地址：</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法定代表人（或委托代理人）签名：   法定代表人（或委托代理人）签名：</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                         邮政编码：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开户银行：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帐号：                             帐号：</w:t>
      </w:r>
    </w:p>
    <w:p>
      <w:pPr>
        <w:pStyle w:val="26"/>
        <w:snapToGrid w:val="0"/>
        <w:spacing w:line="360" w:lineRule="auto"/>
        <w:rPr>
          <w:rFonts w:hint="eastAsia" w:ascii="仿宋" w:hAnsi="仿宋" w:eastAsia="仿宋" w:cs="仿宋"/>
          <w:color w:val="auto"/>
          <w:sz w:val="24"/>
          <w:szCs w:val="24"/>
          <w:highlight w:val="none"/>
        </w:rPr>
      </w:pPr>
    </w:p>
    <w:p>
      <w:pPr>
        <w:pStyle w:val="26"/>
        <w:snapToGrid w:val="0"/>
        <w:spacing w:line="360" w:lineRule="auto"/>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br w:type="page"/>
      </w: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8"/>
      <w:r>
        <w:rPr>
          <w:rFonts w:hint="eastAsia" w:ascii="宋体" w:hAnsi="宋体" w:cs="宋体"/>
          <w:b/>
          <w:color w:val="auto"/>
          <w:sz w:val="36"/>
          <w:szCs w:val="20"/>
          <w:highlight w:val="none"/>
        </w:rPr>
        <w:t xml:space="preserve"> </w:t>
      </w:r>
      <w:bookmarkEnd w:id="399"/>
      <w:r>
        <w:rPr>
          <w:rFonts w:hint="eastAsia" w:ascii="宋体" w:hAnsi="宋体" w:cs="宋体"/>
          <w:b/>
          <w:color w:val="auto"/>
          <w:sz w:val="36"/>
          <w:szCs w:val="20"/>
          <w:highlight w:val="none"/>
        </w:rPr>
        <w:t>应提交的有关格式范例</w:t>
      </w:r>
    </w:p>
    <w:p>
      <w:pPr>
        <w:bidi w:val="0"/>
        <w:rPr>
          <w:color w:val="auto"/>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bidi w:val="0"/>
        <w:rPr>
          <w:color w:val="auto"/>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lang w:eastAsia="zh-CN"/>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（无需提供）</w:t>
      </w:r>
    </w:p>
    <w:p>
      <w:pPr>
        <w:rPr>
          <w:rFonts w:ascii="宋体" w:hAnsi="宋体" w:cs="宋体"/>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pPr>
        <w:pStyle w:val="2"/>
        <w:ind w:firstLine="480" w:firstLineChars="200"/>
        <w:rPr>
          <w:color w:val="auto"/>
          <w:highlight w:val="none"/>
        </w:rPr>
      </w:pPr>
      <w:r>
        <w:rPr>
          <w:rFonts w:hint="eastAsia" w:hAnsi="宋体" w:cs="宋体"/>
          <w:color w:val="auto"/>
          <w:highlight w:val="none"/>
        </w:rPr>
        <w:t>（</w:t>
      </w:r>
      <w:r>
        <w:rPr>
          <w:rFonts w:hint="eastAsia" w:hAnsi="宋体" w:cs="宋体"/>
          <w:color w:val="auto"/>
          <w:highlight w:val="none"/>
          <w:lang w:val="en-US"/>
        </w:rPr>
        <w:t>7</w:t>
      </w:r>
      <w:r>
        <w:rPr>
          <w:rFonts w:hint="eastAsia" w:hAnsi="宋体" w:cs="宋体"/>
          <w:color w:val="auto"/>
          <w:highlight w:val="none"/>
        </w:rPr>
        <w:t>）拟派项目团队配备情况表…………………………………………………（页码）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（8）商务技术偏离表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9</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snapToGrid w:val="0"/>
        <w:spacing w:line="360" w:lineRule="auto"/>
        <w:jc w:val="center"/>
        <w:rPr>
          <w:rFonts w:ascii="宋体" w:hAnsi="宋体" w:cs="宋体"/>
          <w:b/>
          <w:color w:val="auto"/>
          <w:kern w:val="0"/>
          <w:sz w:val="32"/>
          <w:szCs w:val="32"/>
          <w:highlight w:val="none"/>
          <w:lang w:val="zh-CN"/>
        </w:rPr>
      </w:pPr>
    </w:p>
    <w:p>
      <w:pPr>
        <w:bidi w:val="0"/>
        <w:rPr>
          <w:color w:val="auto"/>
          <w:highlight w:val="none"/>
        </w:rPr>
      </w:pPr>
    </w:p>
    <w:p>
      <w:pPr>
        <w:bidi w:val="0"/>
        <w:rPr>
          <w:color w:val="auto"/>
          <w:highlight w:val="none"/>
        </w:rPr>
      </w:pPr>
    </w:p>
    <w:p>
      <w:pPr>
        <w:rPr>
          <w:rFonts w:ascii="宋体" w:hAnsi="宋体" w:cs="宋体"/>
          <w:color w:val="auto"/>
          <w:highlight w:val="none"/>
        </w:rPr>
      </w:pPr>
    </w:p>
    <w:p>
      <w:pPr>
        <w:bidi w:val="0"/>
        <w:rPr>
          <w:color w:val="auto"/>
          <w:highlight w:val="none"/>
        </w:rPr>
      </w:pPr>
    </w:p>
    <w:p>
      <w:pPr>
        <w:bidi w:val="0"/>
        <w:rPr>
          <w:color w:val="auto"/>
          <w:highlight w:val="none"/>
        </w:rPr>
      </w:pPr>
    </w:p>
    <w:p>
      <w:pPr>
        <w:bidi w:val="0"/>
        <w:rPr>
          <w:color w:val="auto"/>
          <w:highlight w:val="none"/>
          <w:lang w:val="en-US"/>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3855" w:firstLineChars="1200"/>
        <w:textAlignment w:val="auto"/>
        <w:outlineLvl w:val="9"/>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2.2.7拟派项目团队配备情况表；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2.2.8商务技术偏离表；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9</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napToGrid w:val="0"/>
        <w:spacing w:line="360" w:lineRule="auto"/>
        <w:jc w:val="center"/>
        <w:rPr>
          <w:rFonts w:ascii="宋体" w:hAnsi="宋体" w:cs="宋体"/>
          <w:b/>
          <w:color w:val="auto"/>
          <w:kern w:val="0"/>
          <w:sz w:val="32"/>
          <w:szCs w:val="32"/>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6"/>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snapToGrid w:val="0"/>
        <w:spacing w:line="360" w:lineRule="auto"/>
        <w:ind w:right="480"/>
        <w:rPr>
          <w:rFonts w:ascii="宋体" w:hAnsi="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400"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0"/>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p>
    <w:p>
      <w:pPr>
        <w:bidi w:val="0"/>
        <w:rPr>
          <w:color w:val="auto"/>
          <w:highlight w:val="none"/>
          <w:lang w:val="en-US"/>
        </w:rPr>
      </w:pPr>
    </w:p>
    <w:p>
      <w:pPr>
        <w:rPr>
          <w:color w:val="auto"/>
          <w:highlight w:val="none"/>
        </w:rPr>
      </w:pPr>
    </w:p>
    <w:p>
      <w:pPr>
        <w:bidi w:val="0"/>
        <w:rPr>
          <w:color w:val="auto"/>
          <w:highlight w:val="none"/>
          <w:lang w:val="en-US"/>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七、拟派项目团队配备情况表</w:t>
      </w:r>
    </w:p>
    <w:tbl>
      <w:tblPr>
        <w:tblStyle w:val="62"/>
        <w:tblW w:w="4996" w:type="pct"/>
        <w:tblInd w:w="0" w:type="dxa"/>
        <w:tblLayout w:type="autofit"/>
        <w:tblCellMar>
          <w:top w:w="0" w:type="dxa"/>
          <w:left w:w="108" w:type="dxa"/>
          <w:bottom w:w="0" w:type="dxa"/>
          <w:right w:w="108" w:type="dxa"/>
        </w:tblCellMar>
      </w:tblPr>
      <w:tblGrid>
        <w:gridCol w:w="793"/>
        <w:gridCol w:w="847"/>
        <w:gridCol w:w="1098"/>
        <w:gridCol w:w="1333"/>
        <w:gridCol w:w="760"/>
        <w:gridCol w:w="689"/>
        <w:gridCol w:w="689"/>
        <w:gridCol w:w="689"/>
        <w:gridCol w:w="1291"/>
        <w:gridCol w:w="1090"/>
      </w:tblGrid>
      <w:tr>
        <w:tblPrEx>
          <w:tblCellMar>
            <w:top w:w="0" w:type="dxa"/>
            <w:left w:w="108" w:type="dxa"/>
            <w:bottom w:w="0" w:type="dxa"/>
            <w:right w:w="108" w:type="dxa"/>
          </w:tblCellMar>
        </w:tblPrEx>
        <w:trPr>
          <w:trHeight w:val="396" w:hRule="atLeast"/>
        </w:trPr>
        <w:tc>
          <w:tcPr>
            <w:tcW w:w="427" w:type="pct"/>
            <w:tcBorders>
              <w:top w:val="single" w:color="auto" w:sz="12" w:space="0"/>
              <w:left w:val="single" w:color="auto" w:sz="12"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序号</w:t>
            </w:r>
          </w:p>
        </w:tc>
        <w:tc>
          <w:tcPr>
            <w:tcW w:w="456"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姓名</w:t>
            </w:r>
          </w:p>
        </w:tc>
        <w:tc>
          <w:tcPr>
            <w:tcW w:w="591"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本项目拟任岗位</w:t>
            </w:r>
          </w:p>
        </w:tc>
        <w:tc>
          <w:tcPr>
            <w:tcW w:w="718"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身份证号码</w:t>
            </w:r>
          </w:p>
        </w:tc>
        <w:tc>
          <w:tcPr>
            <w:tcW w:w="409"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年龄</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性别</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专业</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专业年限</w:t>
            </w:r>
          </w:p>
        </w:tc>
        <w:tc>
          <w:tcPr>
            <w:tcW w:w="695"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zh-CN"/>
              </w:rPr>
              <w:t>证书情况</w:t>
            </w:r>
          </w:p>
        </w:tc>
        <w:tc>
          <w:tcPr>
            <w:tcW w:w="587" w:type="pct"/>
            <w:tcBorders>
              <w:top w:val="single" w:color="auto" w:sz="12" w:space="0"/>
              <w:left w:val="single" w:color="auto" w:sz="6" w:space="0"/>
              <w:bottom w:val="single" w:color="auto" w:sz="12" w:space="0"/>
              <w:right w:val="single" w:color="auto" w:sz="12" w:space="0"/>
            </w:tcBorders>
            <w:vAlign w:val="center"/>
          </w:tcPr>
          <w:p>
            <w:pPr>
              <w:autoSpaceDE w:val="0"/>
              <w:autoSpaceDN w:val="0"/>
              <w:jc w:val="center"/>
              <w:rPr>
                <w:rFonts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备注</w:t>
            </w:r>
          </w:p>
        </w:tc>
      </w:tr>
      <w:tr>
        <w:tblPrEx>
          <w:tblCellMar>
            <w:top w:w="0" w:type="dxa"/>
            <w:left w:w="108" w:type="dxa"/>
            <w:bottom w:w="0" w:type="dxa"/>
            <w:right w:w="108" w:type="dxa"/>
          </w:tblCellMar>
        </w:tblPrEx>
        <w:trPr>
          <w:trHeight w:val="408" w:hRule="atLeast"/>
        </w:trPr>
        <w:tc>
          <w:tcPr>
            <w:tcW w:w="427" w:type="pct"/>
            <w:tcBorders>
              <w:top w:val="single" w:color="auto" w:sz="12"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12"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12" w:space="0"/>
              <w:left w:val="single" w:color="auto" w:sz="6" w:space="0"/>
              <w:bottom w:val="single" w:color="auto" w:sz="6" w:space="0"/>
              <w:right w:val="single" w:color="auto" w:sz="6" w:space="0"/>
            </w:tcBorders>
            <w:vAlign w:val="center"/>
          </w:tcPr>
          <w:p>
            <w:pPr>
              <w:autoSpaceDE w:val="0"/>
              <w:autoSpaceDN w:val="0"/>
              <w:ind w:left="5250"/>
              <w:rPr>
                <w:rFonts w:ascii="仿宋" w:hAnsi="仿宋" w:eastAsia="仿宋" w:cs="仿宋"/>
                <w:color w:val="auto"/>
                <w:szCs w:val="21"/>
                <w:highlight w:val="none"/>
              </w:rPr>
            </w:pPr>
          </w:p>
        </w:tc>
        <w:tc>
          <w:tcPr>
            <w:tcW w:w="587" w:type="pct"/>
            <w:tcBorders>
              <w:top w:val="single" w:color="auto" w:sz="12"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ind w:left="525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highlight w:val="none"/>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56" w:type="pct"/>
            <w:tcBorders>
              <w:top w:val="single" w:color="auto" w:sz="6" w:space="0"/>
              <w:left w:val="single" w:color="auto" w:sz="6" w:space="0"/>
              <w:bottom w:val="single" w:color="auto" w:sz="12" w:space="0"/>
              <w:right w:val="single" w:color="auto" w:sz="6" w:space="0"/>
            </w:tcBorders>
          </w:tcPr>
          <w:p>
            <w:pPr>
              <w:autoSpaceDE w:val="0"/>
              <w:autoSpaceDN w:val="0"/>
              <w:rPr>
                <w:rFonts w:ascii="仿宋" w:hAnsi="仿宋" w:eastAsia="仿宋" w:cs="仿宋"/>
                <w:color w:val="auto"/>
                <w:szCs w:val="21"/>
                <w:highlight w:val="none"/>
              </w:rPr>
            </w:pPr>
          </w:p>
        </w:tc>
        <w:tc>
          <w:tcPr>
            <w:tcW w:w="59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718"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409"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695"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highlight w:val="none"/>
              </w:rPr>
            </w:pPr>
          </w:p>
        </w:tc>
        <w:tc>
          <w:tcPr>
            <w:tcW w:w="587" w:type="pct"/>
            <w:tcBorders>
              <w:top w:val="single" w:color="auto" w:sz="6" w:space="0"/>
              <w:left w:val="single" w:color="auto" w:sz="6" w:space="0"/>
              <w:bottom w:val="single" w:color="auto" w:sz="12" w:space="0"/>
              <w:right w:val="single" w:color="auto" w:sz="12" w:space="0"/>
            </w:tcBorders>
            <w:vAlign w:val="center"/>
          </w:tcPr>
          <w:p>
            <w:pPr>
              <w:autoSpaceDE w:val="0"/>
              <w:autoSpaceDN w:val="0"/>
              <w:rPr>
                <w:rFonts w:ascii="仿宋" w:hAnsi="仿宋" w:eastAsia="仿宋" w:cs="仿宋"/>
                <w:color w:val="auto"/>
                <w:szCs w:val="21"/>
                <w:highlight w:val="none"/>
              </w:rPr>
            </w:pPr>
          </w:p>
        </w:tc>
      </w:tr>
    </w:tbl>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numPr>
          <w:ilvl w:val="0"/>
          <w:numId w:val="6"/>
        </w:num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商务技术偏离表</w:t>
      </w:r>
    </w:p>
    <w:p>
      <w:pPr>
        <w:pStyle w:val="2"/>
        <w:spacing w:before="120" w:beforeLines="50"/>
        <w:ind w:left="420" w:leftChars="200"/>
        <w:jc w:val="center"/>
        <w:rPr>
          <w:rFonts w:ascii="仿宋_GB2312" w:hAnsi="仿宋" w:eastAsia="仿宋_GB2312" w:cs="仿宋_GB2312"/>
          <w:b/>
          <w:snapToGrid/>
          <w:color w:val="auto"/>
          <w:kern w:val="0"/>
          <w:sz w:val="32"/>
          <w:szCs w:val="32"/>
          <w:highlight w:val="none"/>
          <w:lang w:val="en-US"/>
        </w:rPr>
      </w:pPr>
      <w:r>
        <w:rPr>
          <w:rFonts w:hint="eastAsia" w:ascii="仿宋_GB2312" w:hAnsi="仿宋" w:eastAsia="仿宋_GB2312" w:cs="仿宋_GB2312"/>
          <w:b/>
          <w:snapToGrid/>
          <w:color w:val="auto"/>
          <w:kern w:val="0"/>
          <w:sz w:val="32"/>
          <w:szCs w:val="32"/>
          <w:highlight w:val="none"/>
          <w:lang w:val="en-US"/>
        </w:rPr>
        <w:t>（一）商务偏离表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ascii="宋体" w:hAnsi="宋体" w:cs="宋体"/>
          <w:b/>
          <w:bCs/>
          <w:color w:val="auto"/>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（二）技术响应表</w:t>
      </w:r>
    </w:p>
    <w:p>
      <w:pPr>
        <w:pStyle w:val="27"/>
        <w:spacing w:before="120" w:beforeLines="50"/>
        <w:ind w:left="840" w:leftChars="400" w:firstLine="0" w:firstLineChars="0"/>
        <w:rPr>
          <w:rFonts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项目名称：                                                                               项目编号：</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8"/>
        <w:gridCol w:w="2291"/>
        <w:gridCol w:w="8618"/>
        <w:gridCol w:w="2072"/>
        <w:gridCol w:w="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规格参数</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投标响应</w:t>
            </w:r>
          </w:p>
          <w:p>
            <w:pPr>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仿宋_GB2312" w:hAnsi="仿宋" w:eastAsia="仿宋_GB2312" w:cs="仿宋_GB2312"/>
                <w:b/>
                <w:color w:val="auto"/>
                <w:kern w:val="0"/>
                <w:sz w:val="24"/>
                <w:highlight w:val="none"/>
              </w:rPr>
              <w:t>（逐一对应）</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仿宋_GB2312" w:hAnsi="仿宋" w:eastAsia="仿宋_GB2312" w:cs="仿宋_GB2312"/>
                <w:b/>
                <w:color w:val="auto"/>
                <w:kern w:val="0"/>
                <w:sz w:val="24"/>
                <w:highlight w:val="none"/>
              </w:rPr>
              <w:t>偏离说明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肩灯</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1、工作温度 :-20℃—+60℃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2、闪动频率 : 5Hz。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3、供电电源 : 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4、电池容量 :3.7V/450mAH。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5、控制方式 : 轻触数控。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6、电源适配器 :DC5V/1000mA。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7、充电时间 : ≤4小时。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8、工作时间：全闪&gt;7小时、单边闪&gt;15小时、频闪&gt;15小时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9、※发光强度 : 夜间可视距离&gt;500米。</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10、发声强度 : 113dB。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11、发光模式 : 红蓝对角闪烁、双红双蓝闪烁、外侧单边闪烁、白光照明。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12、发声模式 :哨音、警笛。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13、警笛连续工作时间：≥ 1小时。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14、震动感应:可通过拍击肩灯，开启或关闭发光模式，切换间隔时间大于2秒。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15、开关耐久性 :＞30000次。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16、低电压提醒 : 锂电池电量偏低时，红蓝闪烁进入慢闪模式。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17、记忆功能：每次启动，自动进入上一次关机前状态。</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18、自由跌落 : 跌落高度1.8m，水泥地面2次，肩灯工作正常。</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19、配戴方式（选配）：选用背夹，可360度方向旋转；选用勾面魔术贴可吸附在带有毛面的魔术贴表面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20、吸附功能：背夹带有磁吸功能，可吸附于金属表面。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21、防护等级 : IP65。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22、外形尺寸 :85*37*42(±1)带旋转背夹</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23、重量：70g带旋转背夹(±2)</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ascii="仿宋" w:hAnsi="仿宋" w:eastAsia="仿宋" w:cs="仿宋"/>
                <w:b/>
                <w:bCs/>
                <w:color w:val="auto"/>
                <w:kern w:val="0"/>
                <w:sz w:val="24"/>
                <w:highlight w:val="none"/>
                <w:shd w:val="clear" w:color="FFFFFF" w:fill="D9D9D9"/>
                <w:lang w:bidi="ar"/>
              </w:rPr>
              <w:t>严禁完全复制粘贴招标要求</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尼龙白色三件套（对讲机包、手电筒包、工作包）</w:t>
            </w:r>
          </w:p>
        </w:tc>
        <w:tc>
          <w:tcPr>
            <w:tcW w:w="2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尼龙多功能腰带可配置警用工作包、对讲机包、手电筒包，尺寸大小可根据人体自行调节。带身经工艺处理，耐磨、柔韧性好、套扣方便。结构：由腰带插子、带体、斜挂带和三个装具套组成，材质：防水牛津布；外观：白色，扣头为合金亚光镍色，铸印有徽章标识字样；执行标准：《GA 890-2010 公安单警装备多功能尼龙腰带》</w:t>
            </w:r>
            <w:r>
              <w:rPr>
                <w:rFonts w:hint="eastAsia" w:ascii="宋体" w:hAnsi="宋体" w:cs="宋体"/>
                <w:i w:val="0"/>
                <w:iCs w:val="0"/>
                <w:color w:val="auto"/>
                <w:kern w:val="0"/>
                <w:sz w:val="24"/>
                <w:szCs w:val="24"/>
                <w:highlight w:val="none"/>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尼龙黑色三件套（伸缩棍、催泪喷射器、工作包）</w:t>
            </w:r>
          </w:p>
        </w:tc>
        <w:tc>
          <w:tcPr>
            <w:tcW w:w="2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多功能腰带可配置警用工作包、伸缩警棍、催泪喷射器，尺寸大小可根据人体自行调节。带身经工艺处理，耐磨、柔韧性好、套扣方便。结构：由腰带插子、带体、斜挂带和三个装具套组成（警用工作包套、警棍套、催泪喷射器套）材质：防水牛津布；外观：黑色，扣头为合金亚光镍色，铸印有徽章标识字样；执行标准：《GA 890-2010 公安单警装备多功能尼龙腰带》</w:t>
            </w:r>
            <w:r>
              <w:rPr>
                <w:rFonts w:hint="eastAsia" w:ascii="宋体" w:hAnsi="宋体" w:cs="宋体"/>
                <w:i w:val="0"/>
                <w:iCs w:val="0"/>
                <w:color w:val="auto"/>
                <w:kern w:val="0"/>
                <w:sz w:val="24"/>
                <w:szCs w:val="24"/>
                <w:highlight w:val="none"/>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 xml:space="preserve">符合《GA890-2018 多功能腰带》相关要求；                                                                        2.结构及组成 多功能腰带应由主腰带、内带、斜挂带、手铐套、强光手电套、警用工作包、可旋转快拔式警棍套、对讲机套、催泪喷射器套构成。                                                                                主腰带由腰带钎子、带体、带箍、锦丝搭扣带组成。                                                                                      腰带钎子为对插式扣盖双保险结构，带箍采用搭扣式活动设计结构，可固定在带体任意位置。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内带由带体、锦丝搭扣带、二道梁组合。                                                                                斜挂带由带体、带袢、挂袢、三道梁、卡扣和锦丝搭扣带组成。带袢采用搭扣式活动结构，可固定在主腰带带体任意位置。三道梁其中一件可调节并固定挂袢位置，另一件三道梁调节斜挂带长短。卡扣结构为可拆卸式。                          警棍套由套体、后袢旋转结构组成。套体下端应有警棍头卡槽，可供出棍时使警棍直接展开。后衬与腰带组合为可拆卸式旋转结构，旋转范围为360度，且具有45度分挡功能。                                                              强光手电套由套面、底盖、后袢组成。后袢与腰带结合，采用滑动式和固定式，为可拆卸结构。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工作包由包体、包盖、侧袋组成。后袢与腰带结合，采用滑动式和固定式，为可拆卸结构。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手铐套由套面、底盖、后袢组成。底盖内有锁匙固定装置；后袢与腰带结合，采用滑动式和固定式两种，为可拆卸结构。                                                                                                                       催泪喷射器套由套面、底盖、后袢旋转结构组成。后袢与腰带组合为可拆卸式旋转结构，旋转范围为360度，且具有45度分挡功能。                                                                                              对讲机套由套面、底盖、后袢组成。后袢与腰带结合，采用滑动式和固定式，为可拆卸结构。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3.质量:多功能腰带全套质量1.06kg。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救生衣</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1、外壳材质：聚乙稀材料；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2、内芯材质：内充高密度聚乙烯泡沫或聚氨酯闭孔泡沬塑料、抗老化；</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3、浮力大于等于75N。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4、颜色：橘红色；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5、重量小于等于0.6KG；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6、外层面料：400D防水牛津布；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7、反光材料大于等于200CM2。</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8、配件：配备1只带有绳索哨笛，</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救生圈</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1、整体式救生圈的材料和外壳内充式救生圈的内充材料应采用闭孔型发泡材料。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2、救生圈外径大于等于800㎜，内径大于等于400㎜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3、重量：大于等于2.5kg；</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4、浮力大于14.5KG。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新式手铐</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1、主要功能用途。公安部装备财务局组织研制。重量更轻，防拨性更强，主要用于民警日常执勤执法时控制约束 违法人员使用。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2、符合国家公共安全行业标准GA1512-2018《公安单警装备 金属手铐》。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3、主要技术指标：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两铐体间距离：52mm--56mm；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啮合三齿状态手铐的最小孔径：55mm±2mm；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啮合三齿状态手铐的最大孔径：82mm±2mm；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重量：≤255g（不含钥匙和包装）；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防拨时间：≥2min；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耐用度：使用次数＞7000次；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抗拉强度：纵、横向抗拉强度均大于2200N；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抗压强度：连接轴抗压强度＞2940N；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耐腐蚀性：耐腐蚀性等级应大于或等于制定级发中的6级。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（1）左右铐体、隔板：铝合金a，材料规格6061-T6，质量要求GB/T6892-2015；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（2）扇梁：不锈钢a，材料规格2Crl3，质量要求GB/T1220-2007；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（3）锁齿：钢板，材料规格45#，质量要求GB/T699；</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（4）链环：不锈钢丝，材料规格0Cr18Ni9，质量要求GB/T1220-2007;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（5）钥匙：不锈钢，材料规格2Crl3，质量要求GB/T1220-2007。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6、颜色：表面颜色为铄金色，左右铐体颜色应一致，无明显色差，扇梁为亚光银色。</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催泪喷射器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喷射器总体结构为二元灌装结构，主要由罐体、阀体、溶剂袋、喷嘴、喷射剂、保护帽、保险盖等主要部分组成。  主要性能：尺寸：长150mm,喷射器外径35mm，装计量;100±2ml,  喷射可靠性:≥90％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使用温度范围:-30℃---+45℃</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有效期：3年。执行GA 575-2005《警用催泪喷射器》标准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指挥棒</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1.材质：主体PC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2.颜色：红蓝警闪，白光照明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3.电池：内置可充电锂电池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4.LED数量：不小于10红，10蓝，1白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5.口哨声压：不小于100dB（距离10cm处）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6.闪光模式：红蓝齐闪/红蓝轮流闪光/红蓝强光常亮/红蓝弱光常亮/白光照明/关闭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7.充电时间：5.5小时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8.工作时间：红蓝齐闪不小于5小时，红蓝轮流闪光不小于10小时，红蓝强光常亮不小于3小时，红蓝弱光常亮不小于5小时，白光照明不小于10小时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9.可视距离：200~500米（夜间）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10.功能特点：击打制暴，格挡防护，带口哨音、磁吸、腰扣、挂绳</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11.外壳防护等级：IP65（GB/T 4208-2017</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等级</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雨鞋</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1、胶靴靴面胶为黑色，帮里系本色棉毛布，规格28/1，沿口条、外围条胶为黑色。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2、鞋底由黑色二次硫化大底、硬中底和海绵底组成，全靴浸亮油。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3、内底布选用棉本色帆布、经菌卫生处理，规格：16×3/3，执行《FZ/T13003-1992警用棉本色帆布》技术标准。</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4、产品生产严格执行公安部《GA315-2001警鞋 胶靴》技术标准</w:t>
            </w:r>
            <w:r>
              <w:rPr>
                <w:rFonts w:hint="eastAsia" w:ascii="宋体" w:hAnsi="宋体" w:cs="宋体"/>
                <w:i w:val="0"/>
                <w:iCs w:val="0"/>
                <w:color w:val="auto"/>
                <w:kern w:val="0"/>
                <w:sz w:val="24"/>
                <w:szCs w:val="24"/>
                <w:highlight w:val="none"/>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分体式交警雨衣（套）</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1、面料：100%涤纶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2、颜色：上衣萤光黄色，裤子藏蓝色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3、反光条：3M高亮晶格反光带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4、甲醛值：＜200mg/kg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5、透湿量：≥400g/M2.2h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6、工艺技术：接缝全压胶；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7、面料无缝处：静水压≥800mmH20水柱；</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9、色牢度≥3；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10、口袋拉链均为高级防水拉链；</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11、执行标准：GB18401-2010；</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12、具有安全警示性强、防雨透湿性好、穿着便携舒适的功能特点；面料穿着舒适、防雨、高透气、耐磨、耐老化，且上衣帽子的听力孔有增强听力的功能。</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1、材质：优质304不锈钢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2、哨带：尼龙</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3、连接扣：金属</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1"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highlight w:val="none"/>
                <w:u w:val="none"/>
                <w:lang w:val="en-US" w:eastAsia="zh-CN" w:bidi="ar"/>
              </w:rPr>
              <w:t>铁骑骑行服</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一、摩托车头盔-夏盔</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※需依据GA295-2001《警用摩托车头盔》提供</w:t>
            </w:r>
            <w:r>
              <w:rPr>
                <w:rFonts w:hint="eastAsia" w:ascii="宋体" w:hAnsi="宋体" w:cs="宋体"/>
                <w:i w:val="0"/>
                <w:iCs w:val="0"/>
                <w:color w:val="auto"/>
                <w:kern w:val="0"/>
                <w:sz w:val="24"/>
                <w:szCs w:val="24"/>
                <w:highlight w:val="none"/>
                <w:u w:val="none"/>
                <w:lang w:val="en-US" w:eastAsia="zh-CN" w:bidi="ar"/>
              </w:rPr>
              <w:t>国家认可的第三方机构出具的</w:t>
            </w:r>
            <w:r>
              <w:rPr>
                <w:rFonts w:hint="eastAsia" w:ascii="宋体" w:hAnsi="宋体" w:eastAsia="宋体" w:cs="宋体"/>
                <w:i w:val="0"/>
                <w:iCs w:val="0"/>
                <w:color w:val="auto"/>
                <w:kern w:val="0"/>
                <w:sz w:val="24"/>
                <w:szCs w:val="24"/>
                <w:highlight w:val="none"/>
                <w:u w:val="none"/>
                <w:lang w:val="en-US" w:eastAsia="zh-CN" w:bidi="ar"/>
              </w:rPr>
              <w:t>检验报告，检测项目包含头盔吸收碰撞能量性能、结构要求、壳体、缓冲层、佩带装置、头盔耐穿透性能</w:t>
            </w:r>
            <w:r>
              <w:rPr>
                <w:rFonts w:hint="eastAsia" w:ascii="宋体" w:hAnsi="宋体" w:cs="宋体"/>
                <w:i w:val="0"/>
                <w:iCs w:val="0"/>
                <w:color w:val="auto"/>
                <w:kern w:val="0"/>
                <w:sz w:val="24"/>
                <w:szCs w:val="24"/>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1）头盔式样：3/4盔，面罩可抬起，适合夏季配带。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2）头盔颜色：白色。头盔的前额、左右两侧有警徵及“警察”标识。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3）头盔外壳材料：ABS材料；防护衬垫材料：聚苯乙烯泡沫塑料。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4）头盔内置墨镜镜片，墨镜片由头盔盔体上的开关操作打开。同时头盔具有一触即收回墨镜片的功能。头盔镜片材料：聚碳酸酯制成，防刮擦及防紫外线。</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5）头盔防护衬垫上预留耳机凹槽，可安装警用通讯系统。                                                                                                                                                                    二、夏款骑行服</w:t>
            </w:r>
            <w:r>
              <w:rPr>
                <w:rFonts w:hint="eastAsia" w:ascii="宋体" w:hAnsi="宋体" w:cs="宋体"/>
                <w:i w:val="0"/>
                <w:iCs w:val="0"/>
                <w:color w:val="auto"/>
                <w:kern w:val="0"/>
                <w:sz w:val="24"/>
                <w:szCs w:val="24"/>
                <w:highlight w:val="none"/>
                <w:u w:val="none"/>
                <w:lang w:val="en-US" w:eastAsia="zh-CN" w:bidi="ar"/>
              </w:rPr>
              <w:t>衣服</w:t>
            </w:r>
            <w:r>
              <w:rPr>
                <w:rFonts w:hint="eastAsia" w:ascii="宋体" w:hAnsi="宋体" w:eastAsia="宋体" w:cs="宋体"/>
                <w:i w:val="0"/>
                <w:iCs w:val="0"/>
                <w:color w:val="auto"/>
                <w:kern w:val="0"/>
                <w:sz w:val="24"/>
                <w:szCs w:val="24"/>
                <w:highlight w:val="none"/>
                <w:u w:val="none"/>
                <w:lang w:val="en-US" w:eastAsia="zh-CN" w:bidi="ar"/>
              </w:rPr>
              <w:t>：</w:t>
            </w:r>
          </w:p>
          <w:p>
            <w:pPr>
              <w:keepNext w:val="0"/>
              <w:keepLines w:val="0"/>
              <w:widowControl/>
              <w:suppressLineNumbers w:val="0"/>
              <w:jc w:val="left"/>
              <w:textAlignment w:val="center"/>
              <w:rPr>
                <w:rFonts w:hint="eastAsia" w:ascii="宋体" w:hAnsi="宋体" w:cs="宋体"/>
                <w:color w:val="auto"/>
                <w:kern w:val="0"/>
                <w:sz w:val="24"/>
                <w:highlight w:val="none"/>
                <w:lang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上衣主面料：荧黄色高透气耐磨梭织单丝尼龙网布拼接局部黑色单丝尼龙网布，大身单层。</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裤子主</w:t>
            </w:r>
            <w:r>
              <w:rPr>
                <w:rFonts w:hint="eastAsia" w:ascii="宋体" w:hAnsi="宋体" w:cs="宋体"/>
                <w:color w:val="auto"/>
                <w:kern w:val="0"/>
                <w:sz w:val="24"/>
                <w:highlight w:val="none"/>
                <w:lang w:val="en-US" w:eastAsia="zh-CN"/>
              </w:rPr>
              <w:t>面料：黑藏青四面弹尼龙面料。</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※2、面料技术指标（</w:t>
            </w:r>
            <w:r>
              <w:rPr>
                <w:rFonts w:hint="eastAsia" w:ascii="宋体" w:hAnsi="宋体" w:cs="宋体"/>
                <w:color w:val="auto"/>
                <w:kern w:val="0"/>
                <w:sz w:val="24"/>
                <w:highlight w:val="none"/>
                <w:lang w:eastAsia="zh-CN"/>
              </w:rPr>
              <w:t>提供国家认可的第三方机构出具的检测报告扫描件</w:t>
            </w:r>
            <w:r>
              <w:rPr>
                <w:rFonts w:hint="eastAsia" w:ascii="宋体" w:hAnsi="宋体" w:cs="宋体"/>
                <w:color w:val="auto"/>
                <w:kern w:val="0"/>
                <w:sz w:val="24"/>
                <w:highlight w:val="none"/>
                <w:lang w:val="en-US" w:eastAsia="zh-CN"/>
              </w:rPr>
              <w:t>）：</w:t>
            </w:r>
          </w:p>
          <w:p>
            <w:pPr>
              <w:keepNext w:val="0"/>
              <w:keepLines w:val="0"/>
              <w:widowControl/>
              <w:suppressLineNumbers w:val="0"/>
              <w:jc w:val="left"/>
              <w:textAlignment w:val="center"/>
              <w:rPr>
                <w:rFonts w:hint="eastAsia" w:ascii="宋体" w:hAnsi="宋体" w:cs="宋体"/>
                <w:color w:val="auto"/>
                <w:kern w:val="0"/>
                <w:sz w:val="24"/>
                <w:highlight w:val="none"/>
                <w:lang w:val="en-US" w:eastAsia="zh-Hans"/>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en-US" w:eastAsia="zh-Hans"/>
              </w:rPr>
              <w:t>耐酸碱汗渍色牢度:</w:t>
            </w:r>
            <w:r>
              <w:rPr>
                <w:rFonts w:hint="eastAsia" w:ascii="宋体" w:hAnsi="宋体" w:cs="宋体"/>
                <w:color w:val="auto"/>
                <w:kern w:val="0"/>
                <w:sz w:val="24"/>
                <w:highlight w:val="none"/>
                <w:lang w:eastAsia="zh-Hans"/>
              </w:rPr>
              <w:t>4-5</w:t>
            </w:r>
            <w:r>
              <w:rPr>
                <w:rFonts w:hint="eastAsia" w:ascii="宋体" w:hAnsi="宋体" w:cs="宋体"/>
                <w:color w:val="auto"/>
                <w:kern w:val="0"/>
                <w:sz w:val="24"/>
                <w:highlight w:val="none"/>
                <w:lang w:val="en-US" w:eastAsia="zh-Hans"/>
              </w:rPr>
              <w:t>级</w:t>
            </w:r>
          </w:p>
          <w:p>
            <w:pPr>
              <w:keepNext w:val="0"/>
              <w:keepLines w:val="0"/>
              <w:widowControl/>
              <w:suppressLineNumbers w:val="0"/>
              <w:jc w:val="left"/>
              <w:textAlignment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2）甲醛含量（mg/kg）:≤75</w:t>
            </w:r>
          </w:p>
          <w:p>
            <w:pPr>
              <w:keepNext w:val="0"/>
              <w:keepLines w:val="0"/>
              <w:widowControl/>
              <w:suppressLineNumbers w:val="0"/>
              <w:jc w:val="left"/>
              <w:textAlignment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3）PH值：4.0-9.0</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4）分解致癌芳香胺染料：0（禁用）</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5）耐皂洗色牢度:≥4级。</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6）耐光照色牢度：≥4级。</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7）水蒸气透过性能：&gt;10000g/㎡.24h。</w:t>
            </w:r>
          </w:p>
          <w:p>
            <w:pPr>
              <w:keepNext w:val="0"/>
              <w:keepLines w:val="0"/>
              <w:widowControl/>
              <w:suppressLineNumbers w:val="0"/>
              <w:jc w:val="left"/>
              <w:textAlignment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3、裤子膝盖部位安装可拆卸式</w:t>
            </w:r>
            <w:bookmarkStart w:id="410" w:name="_GoBack"/>
            <w:bookmarkEnd w:id="410"/>
            <w:r>
              <w:rPr>
                <w:rFonts w:hint="eastAsia" w:ascii="宋体" w:hAnsi="宋体" w:cs="宋体"/>
                <w:color w:val="auto"/>
                <w:kern w:val="0"/>
                <w:sz w:val="24"/>
                <w:highlight w:val="none"/>
                <w:lang w:val="en-US" w:eastAsia="zh-CN"/>
              </w:rPr>
              <w:t xml:space="preserve">护具。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auto"/>
                <w:kern w:val="0"/>
                <w:sz w:val="24"/>
                <w:highlight w:val="none"/>
                <w:lang w:val="en-US" w:eastAsia="zh-CN"/>
              </w:rPr>
              <w:t>4、反光材料级别：2-3级，</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r>
              <w:rPr>
                <w:rFonts w:hint="eastAsia" w:ascii="宋体" w:hAnsi="宋体" w:eastAsia="宋体" w:cs="宋体"/>
                <w:i w:val="0"/>
                <w:iCs w:val="0"/>
                <w:color w:val="auto"/>
                <w:kern w:val="0"/>
                <w:sz w:val="24"/>
                <w:szCs w:val="24"/>
                <w:highlight w:val="none"/>
                <w:u w:val="none"/>
                <w:lang w:val="en-US" w:eastAsia="zh-CN" w:bidi="ar"/>
              </w:rPr>
              <w:t xml:space="preserve">                                                                                                                                                                            三、夏款骑行靴：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1）※靴子主面料：采用黑色优质头层牛皮（皮面打孔处理）；要求：弹性、伸展性好，厚度适中，透气。</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2.1帮底剥离强度：左/右≥70N/㎝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2.2成鞋耐折性能：割口裂口长度　左/右≤5mm（预割口长度不计算在内），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新裂纹长度　左/右≤0mm不得出现裂面。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2.3外底耐磨性能：磨痕长度　左/右≤6㎜</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2.4帮面牛皮甲醛含量：≤300 mg/kg。                                                                                                                                                                                                              四、夏季骑行手套                                                                                                                                                                                                          1.手套主面料：60%羊皮，15%超纤，25涤纶，使用快干排汗网布，要求弹性，透气性，耐磨性高。                                                                                                                                        2.手套手掌面料：使用AMARA超细纤维布，要求具有耐磨，止滑能力，手套手心面料：使用止滑革，手套其他拼接面料：手背处拼接牛皮，要求牛皮具有弹性和耐磨性。手指缝要求拼接透气网布。                                                      3.手套手背护具：要求使用碳纤维手背关节护具。手套其他护具：各手指关节处，手腕腕骨处，手套下方拇指对侧要求使用海绵护垫。                                                                                                  4.设计要求：手背上需要有氨纶布制成的可延展拉伸结构，方便手部活动食指指尖要求使用导电材料，能够戴手套时操作警用PDA等触摸屏设备。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两用烟雾弹（手投、38毫米发射枪）</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弹壳材料铝制，击发方式：枪射手投两用，有效射程≥120m，延期时间2-3sec，发烟时间不少于15-25sec，正常作用率≥97%，有效期：5years。作用：用于演习、训练，击发后弹头释放有色烟雾（红、黄、蓝、绿、橙、白等可选）模拟催泪弹烟雾。</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便携式酒精测试棒</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1、检测探头：采用电化学燃料电池型酒精传感器，该传感器只与酒精起反应，并有寿命长，性能稳定等特点。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2、按键功能：按键伴有声音提示，使用直观。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3、屏幕显示：高亮彩色LCD显示屏。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4、屏幕切换功能：不同环境光照强度下屏幕底色自动切换，确保各种光照环境使用。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5、电子哨音功能：使得交通指挥棒更加灵便和卫生。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6、振动马达提示功能：测试结果低于设定值，振动马达和指示灯不工作；测试结果高于设定值，振动马达和指示灯工作。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7、快速排查检测：采用电机循环抽气采样，被测者只要靠近进气口呼气，就能自动采样分析。检测快速，1秒出结果。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8、定性检测：具备定性检测功能，为确保执法的公平与准确性，其定性测试结果用数据直观显示。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9、不用预热时间：开机直接测试。</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10、电源：节能设计，可充锂离子电池，容量3000mAh，可连续工作8小时以上。</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自动气胀式工作救生衣</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材料:外壳210D牛津布，气囊布为尼龙TPU2:重量:小于0.8KG3:浮力: ≥150N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小气瓶:二氧化碳总重量小于50克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充气时间:小于5秒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充气方式:遇水触发，自动。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浮力损失:在水中浸泡24时浮力损失不大于5%</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执行标准:JT/T346-2004《船用气胀式救生衣》</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防化服</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一、防化服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款式：连体带帽，松紧帽檐、腰部、袖口和裤管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撕裂强力：经向：108N、纬向：99N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 xml:space="preserve">接缝强力：≥144N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拉伸强度：经向：4KN/m、纬向：3KN/m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 xml:space="preserve">抗化学品渗透性能（二甲基硫酸盐）：≥70min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重量（不包含防化手套和防护靴）：≤1kg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字体：后背印“警察 POLICE”字样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二、防化手套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 xml:space="preserve">撕裂强力：经向：39N、纬向：20N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抗化学品渗透性能（二甲基硫酸盐）：≥63min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耐刺穿力：≥68N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三、防护靴</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执行标准：《GA 770-2008 消防员化学防护服装》</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防毒面具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1、独特的面具密封线形状提供完美的贴合度和密封性。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2、体积小巧， 重量轻，方便携带。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3、内部独特的双阀门系统使呼吸阻力极低，长时间佩戴也能保持舒适感。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4、带有网眼和弹性织带的头带系统，方便佩戴和取下。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5、高质量的传声膜片可以提供最佳的通话效果。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6、面罩重量: 小于150克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7、滤罐尺寸≤90mm*45mm。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8、滤罐重量≤65±5克。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9、保存期限≥10 年。</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10、符合国标GB2890-2009《呼吸防护自吸过滤式防毒面具》标准并</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19</w:t>
            </w:r>
          </w:p>
        </w:tc>
        <w:tc>
          <w:tcPr>
            <w:tcW w:w="78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窗口证据采集仪（高拍仪）</w:t>
            </w:r>
          </w:p>
        </w:tc>
        <w:tc>
          <w:tcPr>
            <w:tcW w:w="296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1.主摄像头：CMOS镜头；500万像素；分辨率2594X1944。广角镜头，拍摄A4高度。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辅助摄像头：CMOS镜头；200万像素；分辨率1600*1200；高清摄像头，辅助镜头非即插式，稳固大方，不会丢失。水平方向可旋转实现270°可视。 360°视角全覆盖，俯仰角度：≥45°。景深范围：0.3米~5米能满足不同应用场景的拍摄要求。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2.USB接口供电, 2个USB扩展口；智能补光：不低于六颗LED补光灯，触控开关，智能可调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硬质底座，支持A4及以下文档拍摄，便于柜台摆放；重量轻巧、便于搬移；高拍仪与文稿台装配，采用一插到位设计方式，简便拆装工序；主摄像采用专用的精准定位技术，保证视频图像在底座上居中且无畸变，操作员只需按底座上的提示框放置扫描件即可，简单方便；铝合金材质结实耐用,精巧美观，防静电、防震；功率小、节能（2.5W）；设备采用USB 连接与供电，设备使用寿命≥3年。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4.拍摄幅面：固定 A4拍摄幅面，自动调焦方式 ，以简便柜员操作，提高处理效率。扫描尺寸：A4、A5、A6、A7、名片、各种类别身份证件。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成像要求：摄像头采用调焦方式，成像速度1秒。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5.图片格式：支持JPEG、TIF、BMP、TGA、PCX、PNG、RAS等，满足图像质量的前提下，所采集图像文件大小≤300K以满足网络传输需求(可自行设定压缩比例，控制图像存储大小。提供支持任意压缩比例的图像压缩算法SDK)。</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6.高拍仪内置身份阅读器，可直接读取二代、三代身份证信息自动填入我方系统界面。 </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7.高拍仪支持对接专用平台系统成功，以便采集影像化资料及电子档案上传系统。应用于公安内网，与公安系统打通</w:t>
            </w:r>
            <w:r>
              <w:rPr>
                <w:rFonts w:hint="eastAsia" w:ascii="宋体" w:hAnsi="宋体" w:cs="宋体"/>
                <w:i w:val="0"/>
                <w:iCs w:val="0"/>
                <w:color w:val="auto"/>
                <w:kern w:val="0"/>
                <w:sz w:val="24"/>
                <w:szCs w:val="24"/>
                <w:highlight w:val="none"/>
                <w:u w:val="none"/>
                <w:lang w:val="en-US" w:eastAsia="zh-CN" w:bidi="ar"/>
              </w:rPr>
              <w:t>。</w:t>
            </w:r>
          </w:p>
        </w:tc>
        <w:tc>
          <w:tcPr>
            <w:tcW w:w="71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1" w:hRule="atLeast"/>
        </w:trPr>
        <w:tc>
          <w:tcPr>
            <w:tcW w:w="25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0</w:t>
            </w:r>
          </w:p>
        </w:tc>
        <w:tc>
          <w:tcPr>
            <w:tcW w:w="788"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警用无人机 （干扰套装）</w:t>
            </w: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1.飞机自带桨叶保护罩</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2.飞机重约 410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3.外形尺寸180×180×80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4.1/1.7 英寸影像传感器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5.光圈 f/2.8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6.最高 4K/60fps 视频</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7.有效像素 4800 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8.视角范围（FOV）155°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9.支持头部、手部体感控制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10.地平线增稳、超强增稳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11.最远 10 公里图传*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12.1080p/100fps 图传画质：最低延时30毫秒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13.最长 18 分钟悬停时间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14.20GB 机载内存                                                                                                               15.遥控器重量：约 346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16.遥控器尺寸：长 190 毫米，宽 140 毫米，厚 51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17.遥控器续航：约 9 小时</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18.遥控器充电耗时：约 2.5 小时                                                                                                                 19.包装清单：飞行器套装 x1，备用智能飞行电池x1，备用螺旋桨（对）x1，存储卡（128G）x1，包 畅飞配件包（飞行眼镜多功能飞行包）x1，保险：随心换（2年版）x1</w:t>
            </w:r>
          </w:p>
        </w:tc>
        <w:tc>
          <w:tcPr>
            <w:tcW w:w="712"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1</w:t>
            </w:r>
          </w:p>
        </w:tc>
        <w:tc>
          <w:tcPr>
            <w:tcW w:w="78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遥控破胎器</w:t>
            </w:r>
          </w:p>
        </w:tc>
        <w:tc>
          <w:tcPr>
            <w:tcW w:w="296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1.路障应易于展开、收拢和操作方便，各组成部分相互协调、动作准确。展开时间≤5s，收拢时间≤4s。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2.便携尺寸（含手柄搭扣、轮子）约为：长（560mm±2mm）×宽（450mm±2mm）×高（93mm ±2mm）。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3.路障质量（含箱体，但不包括附件及工具）：≤9kg 。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4.路障有效长度：完全展开长度机头顶端至路障箱体底端总长≥7m。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5.手柄连接强度： 手柄与路障箱体间的连接应能承受≥500N 的拉力，不应有断裂、松动或脱落现象。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6.刺针有效长度：≥41mm。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※7.剌针有效放气孔径：≥6mm。</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8.剌针有效间距：≤55mm。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※9.剌针有效数量：≥110枚。</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10.路障支座尺寸：路障采用长（400mm±5mm）×宽（15mm±5mm）×（厚3mm±2mm ）铝合金型材支座。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11.刺针拔出力：路障的刺针在轴向应承受≥30N的拉力不脱落；施加≥100 N的拉力时应立即脱落。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12.有效拦截时间： 汽车的车轮压过路障后，轮胎完全失去充气压力的时间≤9s。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13.气候环境适应性：路障在环境温度-40℃- +55℃条件下，应符合路障表面无锈蚀和机械损伤，紧固部位应牢靠、无松动，活动部位应灵活、可靠。各部件之间应联接方便。路障应易于展开、收拢和操作方便,各组成部分相互协调、动作准确；机电复合型路障:展开时间应≤5min，收拢时间应≤5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14.电压检测模块：电压检测模块应为≥12V 内数显模式。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15.可脱卸电池：应最少包括两块≥12V、≥4800mah 可脱卸更换电池。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.遥控距离：空旷无干扰距离≥150m。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.执行标准：《GA/T421-2003穿刺放气式路障》。</w:t>
            </w:r>
          </w:p>
        </w:tc>
        <w:tc>
          <w:tcPr>
            <w:tcW w:w="71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便携式手动破拆工具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主要作用在入屋破拆的开路、扩张，特点是收纳方便，易于存放，具有隐蔽性。展开放在地上操作时，防止工具与地面发出碰撞声。弯头螺丝刀：全长28.8cm刀体长17.5cm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 xml:space="preserve">                                                                                    </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 xml:space="preserve">直柄螺丝刀：全长41.5cm  刀体长29.5cm                                                                             </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 xml:space="preserve">活动扳手                                                                                              </w:t>
            </w: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撬杆：携行包</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车辆拖移钢绳</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1、适用车辆：轿车、小面包车、SUV等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2、长度：≥5米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3、钢丝股数：≥0.6毫米钢丝133根（7股*19根）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4、钢丝绳直径：≥9.3毫米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5、钢丝绳材质：镀锌（棉芯）钢丝绳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6、紧固方法：钢丝绳索+铝扣</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7、链接方法：U型钩或挂钩</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车载探照光源</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1、采用HID气体放电灯泡，发光效率高，光通量≥3500lm，是同功率卤素灯泡的5倍，灯泡寿命达到10000小时，是普通卤素灯泡的10倍。光色呈白色，聚光效果良好，照射距离远。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2、水平转动无死角，可在360°范围内转动。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3、灯具底盘装有强力吸磁石，可吸附在汽车上移动照明，灯具有无线遥控装置。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4、采用先进的到位检测技术，设有限位开关传动结构电气更可靠，可耐汽车长期振动和冲击。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5、采用无线电遥控器控制灯光的开启，垂直、水平方向的转动进行搜索照明。可在30米内无线控制。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6、灯具和遥控器密封性优，可有效抵御暴雨侵袭。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7、额定电压：DC12V/24V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8、光源功率：≥35W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9、光通量：3500lm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10、遥控距离：≥30m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11、调节旋转角度：上下0～60〫/左右360〫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12、照射距离：≥1200m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13、外形尺寸：≤215×200×265mm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14、重量：≤3kg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钢制撬棍</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重型扁体撬棍 全长不小于60cm 扁体宽29mmX厚15mm</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事故现场防闯入系统</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1、主箱体</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总重量：12kg（含设备）</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蓄电池充电时长：2小时</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大小：480*330*265（尺寸不包含垫脚和拉杆）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电源：AC220V/DC12V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2、预警器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大小：内径：</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10</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mm ；外径：200mm</w:t>
            </w:r>
            <w:r>
              <w:rPr>
                <w:rFonts w:hint="eastAsia" w:ascii="宋体" w:hAnsi="宋体" w:cs="宋体"/>
                <w:i w:val="0"/>
                <w:iCs w:val="0"/>
                <w:color w:val="auto"/>
                <w:kern w:val="0"/>
                <w:sz w:val="24"/>
                <w:szCs w:val="24"/>
                <w:highlight w:val="none"/>
                <w:u w:val="none"/>
                <w:lang w:val="en-US" w:eastAsia="zh-CN" w:bidi="ar"/>
              </w:rPr>
              <w:t>左右</w:t>
            </w:r>
            <w:r>
              <w:rPr>
                <w:rFonts w:hint="eastAsia" w:ascii="宋体" w:hAnsi="宋体" w:eastAsia="宋体" w:cs="宋体"/>
                <w:i w:val="0"/>
                <w:iCs w:val="0"/>
                <w:color w:val="auto"/>
                <w:kern w:val="0"/>
                <w:sz w:val="24"/>
                <w:szCs w:val="24"/>
                <w:highlight w:val="none"/>
                <w:u w:val="none"/>
                <w:lang w:val="en-US" w:eastAsia="zh-CN" w:bidi="ar"/>
              </w:rPr>
              <w:t>；厚度：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34mm</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无线传输：采用433MHz工业频段，抗干扰能力强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3、中继报警器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大小：164*57.7*47.7mm 含天线/背夹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报警音量：≥70 分贝</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电池容量：1800mAh</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LED 灯：蓝色和红色闪光（可调）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重量：0.176kg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4、肩灯报警器</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材料：高强度工程塑料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大小：80mm(长)*50mm(宽)*43mm(高)</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防护等级：IP67</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报警音量：≥70 分贝</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安装：可以夹带在肩章上</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LED 灯：颜色：白色；蓝色和红色闪光（可调）</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续航：连续照明时间≥7小时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现场便携围挡</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加重铁块底座4块（每块10kg）1.8m直径28mm*1.5mm的不锈钢伸缩杆4根、高1.8mX宽2.5m围挡布4张、硬塑便携包1个</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ascii="宋体" w:hAnsi="宋体" w:cs="宋体"/>
                <w:i w:val="0"/>
                <w:iCs w:val="0"/>
                <w:color w:val="auto"/>
                <w:kern w:val="0"/>
                <w:sz w:val="24"/>
                <w:szCs w:val="24"/>
                <w:highlight w:val="none"/>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测距望远镜</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1、测量距离3000m（高反物3500m），无盲区0米起测，精度0.2m；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2、功能强大，测距，测高差，测倾角，测圆形、矩形面积、空间任意两点测距；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3、带有方位角，在方位角模式下同时获取GPS信息显示坐标点的经度纬度；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4、带振动提醒和存储功能，有蓝牙串口，可通过连接APP；</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5、符合人体工学设计，紧凑、轻量测距范围：0m-3000m（一般目标）   0-3500m（高反目标）；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6、测距精度：±0.2m（＜200m） ±0.2-1m（＞200m）；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7、测距显示：内置和外置LCD显示；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※8、放大倍数：≥8.0X；</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9、物镜口径：Φ26mm；接收直径：32x26mm；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10、出瞳直径：Φ3.7mm；</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11、视场：6°出瞳距离：18.8mm，屈光度范围（视度）：±4dpt，工作温度：﹣10~＋50℃，激光人眼安全：是，对焦方式：目镜调焦，测量提示：振动，防护等级：IPX4，蓝牙串口：√ 可通过连接APP，面积测量：√ 圆形、矩形，GPS：√ 显示坐标点经度纬度，方位角：√，空间任意两点测距：√，外置显示屏：√，数据存储：7组，可充电：有，充电提示，产品尺寸：126*79.5*44mm，净重：246g，测量功能：单次测量、扫描测量、高度测量、角度测量、水平距离、高度差测量，三脚架：支持，电源：内置1200MA/H充电锂电池。</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29</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酒精测试仪</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1、采用进口电化学燃料电池型酒精传感器，该传感器只与酒精起反应，并有寿命长，性能稳定等特点。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2、采用了紧凑气路设计、高精度的采样系统、仪表级电路设计及先进的算法，保证测量快速、准确、稳定。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3、3.2英寸240×320 TFT LCD屏，清晰直观。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4、可储存40000条以上的测试记录，可随时查询及打印。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5、数据库管理软件，每次的测试记录可通过GPRS无线网络数据上传至后台。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6、内置GPS定位。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7、简捷的三键操作，全程指示吹气过程，直观。可触摸屏输入车牌号、驾驶证号、执法民警警号等资料信息。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8、一体化打印功能：一体化热敏打印机（标配）；一体化针式打印机（选配），二选其一。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9、拍照功能：吹气过程中自动拍照，直接在测试记录里查看图像。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10、指纹识别功能：吹气前录入指纹，可在测试记录中调出指纹进行比对。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11、语音播报：使用过程中有语音播报。</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12、采用定制大容量可充电锂电池，保障机器连续工作24小时以上。仪器内置时钟芯片和时钟后备电池，保障时间准确。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13、采用特殊设计防倒吸单向吹管，确保测量过程卫生安全。</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14、一键弹出式吹管设计，确保执法过程的卫生安全。</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0</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牛津布折叠小型单架</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2、折叠方式：两折；</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3、滚轮材质：加固橡胶滚轮；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4、布面材料：牛津面料；</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5、保险带：两根。</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电击钢叉</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1.符合《GA1145-2014 警用约束叉》中相关要求。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2.颜色：黑色，由叉头、叉杆及控制部件组成。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3.尺寸：工作长度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228</w:t>
            </w:r>
            <w:r>
              <w:rPr>
                <w:rFonts w:hint="eastAsia" w:ascii="宋体" w:hAnsi="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t>mm；携行长度不小于1500mm，握持直径不小于34mm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4.重量：不大于3kg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5.电击性能：有效电击输出≥1000次</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6.需提供由公安部权威检测机构出具的产品合格检测报告。</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电击圆盾</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1、外形尺寸：盾牌主体：直径</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500mm、厚度</w:t>
            </w:r>
            <w:r>
              <w:rPr>
                <w:rFonts w:hint="eastAsia" w:ascii="宋体" w:hAnsi="宋体" w:cs="宋体"/>
                <w:i w:val="0"/>
                <w:iCs w:val="0"/>
                <w:color w:val="auto"/>
                <w:kern w:val="0"/>
                <w:sz w:val="24"/>
                <w:szCs w:val="24"/>
                <w:highlight w:val="none"/>
                <w:u w:val="none"/>
                <w:lang w:val="en-US" w:eastAsia="zh-CN" w:bidi="ar"/>
              </w:rPr>
              <w:t>不小于</w:t>
            </w:r>
            <w:r>
              <w:rPr>
                <w:rFonts w:hint="eastAsia" w:ascii="宋体" w:hAnsi="宋体" w:eastAsia="宋体" w:cs="宋体"/>
                <w:i w:val="0"/>
                <w:iCs w:val="0"/>
                <w:color w:val="auto"/>
                <w:kern w:val="0"/>
                <w:sz w:val="24"/>
                <w:szCs w:val="24"/>
                <w:highlight w:val="none"/>
                <w:u w:val="none"/>
                <w:lang w:val="en-US" w:eastAsia="zh-CN" w:bidi="ar"/>
              </w:rPr>
              <w:t>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2、主要构造：该产品由盾牌主体、充电电池组、高压发生器、充电插孔、电源总开关、电击开关、手柄、调节护带、衬垫、放电极、装饰条、充电器等部分组成。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3、防护功能：盾牌主体具有坚硬轻便，防护能力强的特点，可以有效地抵挡棍棒、石块、铁锤、匕首、尖刀等杀伤性武器的袭击。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4、电击功能：接通电源时，盾牌主体正面放电极之间拉弧输出脉冲高压，产生威憾力。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5、进攻功能：盾牌主体正面的金属物具有扎刺，勾挂歹徒功能。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6、电气指标：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a)电源电压：DC6V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b)耗电电流：拉弧时小于等于1.5A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 c)输出电压：高压发生器输出电压大于等于900KV</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d)输出能量：高压发生器输出能量为o.8～lJ／S</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反式盾牌</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1、尺寸：900*500*3.5mm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2、材质：优质透明聚碳酸脂PC材料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3、重量：≤2.5KG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4、防护面积：≥0.45㎡，盾牌宽度：0.50m；透光率为≥85%，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5、握把连接强度：握把与盾体间的连接能承受500N的拉力，保持1min，握把未松动、断裂或脱落；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6、臂带连接强度：臂带的搭扣搭合好后，臂带与盾体间的连接能承受500N的拉力，保持1min，臂带未松动、断裂或脱落。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7、耐冲击强度：防暴盾牌能承受147J动能的冲击，冲击后盾体受力点没有穿洞，在受力点半径50mm之外出现破裂。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耐穿刺性能：防暴盾牌的盾体能承受147J动能的穿刺，穿刺后盾体受力点小于6mm的穿洞，在受力点半径20mm之外出现破裂。能承受击打试验机的击打，击打能量为342J±13J，击打后盾体没有破碎或出现长度大于50mm的裂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9、防暴盾牌经低温处理（-30℃±2℃，4h）后，5min内进行耐击打强度试验，试验结果符合耐击打强度试验，经高温处理（+55℃±2℃，4h）后，5min内进行耐击打强度试验，试验结果符合耐击打强度试验。</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10、需提供由公安部权威检测机构出具的符合《GA422-2008 防暴盾牌》标准</w:t>
            </w:r>
            <w:r>
              <w:rPr>
                <w:rFonts w:hint="eastAsia" w:ascii="宋体" w:hAnsi="宋体" w:cs="宋体"/>
                <w:i w:val="0"/>
                <w:iCs w:val="0"/>
                <w:color w:val="auto"/>
                <w:kern w:val="0"/>
                <w:sz w:val="24"/>
                <w:szCs w:val="24"/>
                <w:highlight w:val="none"/>
                <w:u w:val="none"/>
                <w:lang w:val="en-US" w:eastAsia="zh-CN" w:bidi="ar"/>
              </w:rPr>
              <w:t>的</w:t>
            </w:r>
            <w:r>
              <w:rPr>
                <w:rFonts w:hint="eastAsia" w:ascii="宋体" w:hAnsi="宋体" w:eastAsia="宋体" w:cs="宋体"/>
                <w:i w:val="0"/>
                <w:iCs w:val="0"/>
                <w:color w:val="auto"/>
                <w:kern w:val="0"/>
                <w:sz w:val="24"/>
                <w:szCs w:val="24"/>
                <w:highlight w:val="none"/>
                <w:u w:val="none"/>
                <w:lang w:val="en-US" w:eastAsia="zh-CN" w:bidi="ar"/>
              </w:rPr>
              <w:t>防暴盾牌检测报告</w:t>
            </w:r>
            <w:r>
              <w:rPr>
                <w:rFonts w:hint="eastAsia" w:ascii="宋体" w:hAnsi="宋体" w:cs="宋体"/>
                <w:i w:val="0"/>
                <w:iCs w:val="0"/>
                <w:color w:val="auto"/>
                <w:kern w:val="0"/>
                <w:sz w:val="24"/>
                <w:szCs w:val="24"/>
                <w:highlight w:val="none"/>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五金工具箱</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1、精品批头*10；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2、锯子*1；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3、高级电笔*1；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4、一字起子；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5、批头手柄；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6、十字起子；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7、螺丝零件盒；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8、内六角*8；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9、水平尺*1；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10、新剥线钳*1；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11、美工刀*1；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12、小螺丝刀；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13、打墙钻头*3；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14、麻花钻头*3；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15、老虎钳*1；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16、尖嘴钳*1；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17、卷尺*1；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18、活动扳手*1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19、大号胶枪*1；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20、羊角锤*1；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21、电动螺丝批*1；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22、电工胶布*1；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23、加强版冲击钻；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24、高粘加长胶棒*5；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25、钻头套装*1；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26、切磨套装*1；</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27、重量大于7KG.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停车示意牌（充电款）</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尺寸：34CM*18CM*12CM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 xml:space="preserve">重量：≤0.45kg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反光夜视距离： ≥260米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r>
              <w:rPr>
                <w:rFonts w:hint="eastAsia" w:ascii="宋体" w:hAnsi="宋体" w:eastAsia="宋体" w:cs="宋体"/>
                <w:i w:val="0"/>
                <w:iCs w:val="0"/>
                <w:color w:val="auto"/>
                <w:kern w:val="0"/>
                <w:sz w:val="24"/>
                <w:szCs w:val="24"/>
                <w:highlight w:val="none"/>
                <w:u w:val="none"/>
                <w:lang w:val="en-US" w:eastAsia="zh-CN" w:bidi="ar"/>
              </w:rPr>
              <w:t>产品灯光：9颗红色LED灯、6颗白色LED灯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工作电压：3.6V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雾灯射程：200米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使用时间：8小时（闪频可连续工作20多小时）</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充电时间：6-8小时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医疗急救箱（含急救药品器具）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1、医用纱布块（大号）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2、医用弹性绷带 6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3、自粘弹性绷带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4、创可贴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5、医用透气胶带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6、碘伏消毒液 20支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7、医用敷贴（中号） 2 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8、弹力帽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9、三角绷带 1 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10、卡扣式止血带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11、玻璃体温计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12、瞬冷冰袋 1 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13、医用酒精棉片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14、医用烧伤敷料（烫伤膏）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15、急救毯 1 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16、呼吸面罩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17、一次性医用口罩 2 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18、圆头剪刀 1 把</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19、敷料镊子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20、安全别针 10枚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21、高频救生哨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22、急救手册 1 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23、健康急救卡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24、售后服务卡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25、急救知识光盘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26、ZE-L-006A外箱 1 个</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27、配置清单 1 张</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便携式水基灭火器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1、压力表：没有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2、容量：1公斤以下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3、类型：手提式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4、瓶体材质：铝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5、充装类型：水基</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6、灭火级别：5F，0.5A，13B，E</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ascii="宋体" w:hAnsi="宋体" w:cs="宋体"/>
                <w:i w:val="0"/>
                <w:iCs w:val="0"/>
                <w:color w:val="auto"/>
                <w:kern w:val="0"/>
                <w:sz w:val="24"/>
                <w:szCs w:val="24"/>
                <w:highlight w:val="none"/>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收弹器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收弹器主体采用高强无缝钢管与支架组合使用。</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产品功能：支持45-50度角进行调节。 产品对转轮手枪、54式手枪、92式手枪、79式或85式轻型冲锋枪发射的弹头、对95式5.8mm自动步枪、81式7.62mm自动步枪的枪弹弹头有收集作用。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2.产品规格：总重量：约50kg/套（不含支架），主体外型尺寸长920mm、外径137mm、主体收弹内径100±2mm。                                                                                筒体材质：无缝钢管，筒底使用30mm的钢制法兰盘与筒体螺纹旋紧封堵，筒体内层（含底）由芳纶无纬布浸胶缠绕制作。                                                                       3.使用说明：在收弹器使用前，确保主体内部装上细沙，一般为300-400mm高，然后把包装箱中的20mm厚的橡胶垫放入收弹器中，在进行使用。</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39</w:t>
            </w:r>
          </w:p>
        </w:tc>
        <w:tc>
          <w:tcPr>
            <w:tcW w:w="78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太阳能爆闪灯</w:t>
            </w:r>
          </w:p>
        </w:tc>
        <w:tc>
          <w:tcPr>
            <w:tcW w:w="296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1.产品尺寸：530mm*165mm*135mm； 太阳能板尺寸：290mm*270mm（5W）；单个灯罩尺寸：100mm*110mm；                                                                               2.工作电压：6V；                                                                                     3.蓄电池：5AH；                                                                                    4.警示距离：800米（夜间）；                                                                              5.光控作用：主控关闭，灯不亮；主控打开，光控关闭，灯一直亮；主控打开，光控打开，强光不亮，弱光亮；可以实现自动控制。                                                                            6.外壳由铝合金型材组合，表面氧化镀锌。同时采用密封结构组合式灯组，防水性能好。                           </w:t>
            </w:r>
          </w:p>
          <w:p>
            <w:pPr>
              <w:keepNext w:val="0"/>
              <w:keepLines w:val="0"/>
              <w:widowControl/>
              <w:numPr>
                <w:ilvl w:val="0"/>
                <w:numId w:val="7"/>
              </w:numPr>
              <w:suppressLineNumbers w:val="0"/>
              <w:ind w:left="0" w:leftChars="0" w:firstLine="0" w:firstLine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每组灯板由20个高亮LED组成，加上真空镀膜的反光板；高亮透明的聚碳酸酯灯罩，使本灯夜间照明可视距离超过800米。                                                                                      8.使用方法：打开主控开关，灯开始正常闪烁。打开光控开关，强光不亮，弱光亮。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9.阴雨天工作时长：6天；                                                                              10.产品重量:7KG；                                                                                    11</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防水防尘：IP53</w:t>
            </w:r>
          </w:p>
        </w:tc>
        <w:tc>
          <w:tcPr>
            <w:tcW w:w="71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8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p>
        </w:tc>
      </w:tr>
    </w:tbl>
    <w:p>
      <w:pPr>
        <w:widowControl/>
        <w:spacing w:before="120" w:beforeLines="50" w:line="360" w:lineRule="auto"/>
        <w:ind w:firstLine="482" w:firstLineChars="200"/>
        <w:jc w:val="left"/>
        <w:rPr>
          <w:rFonts w:ascii="宋体" w:hAnsi="宋体" w:cs="宋体"/>
          <w:b/>
          <w:bCs/>
          <w:color w:val="auto"/>
          <w:sz w:val="32"/>
          <w:szCs w:val="32"/>
          <w:highlight w:val="none"/>
        </w:rPr>
      </w:pPr>
      <w:r>
        <w:rPr>
          <w:rFonts w:ascii="仿宋" w:hAnsi="仿宋" w:eastAsia="仿宋" w:cs="仿宋"/>
          <w:b/>
          <w:bCs/>
          <w:color w:val="auto"/>
          <w:kern w:val="0"/>
          <w:sz w:val="24"/>
          <w:highlight w:val="none"/>
          <w:lang w:bidi="ar"/>
        </w:rPr>
        <w:t>备注：1、对照《第三部分 采购需求》如实填写上表，虚假应标一律按提供虚假材料处理；2、“偏离情况”栏填写：</w:t>
      </w:r>
      <w:r>
        <w:rPr>
          <w:rFonts w:hint="eastAsia" w:ascii="仿宋" w:hAnsi="仿宋" w:eastAsia="仿宋" w:cs="仿宋"/>
          <w:b/>
          <w:bCs/>
          <w:color w:val="auto"/>
          <w:kern w:val="0"/>
          <w:sz w:val="24"/>
          <w:highlight w:val="none"/>
          <w:lang w:bidi="ar"/>
        </w:rPr>
        <w:t>“响应”或“不响应”；3、响应内容除技术参数外还需包含规格型号、品牌等信息； 4、后附技术资料：</w:t>
      </w:r>
      <w:r>
        <w:rPr>
          <w:rFonts w:ascii="仿宋" w:hAnsi="仿宋" w:eastAsia="仿宋" w:cs="仿宋"/>
          <w:b/>
          <w:bCs/>
          <w:color w:val="auto"/>
          <w:kern w:val="0"/>
          <w:sz w:val="24"/>
          <w:highlight w:val="none"/>
          <w:lang w:bidi="ar"/>
        </w:rPr>
        <w:t>如</w:t>
      </w:r>
      <w:r>
        <w:rPr>
          <w:rFonts w:hint="eastAsia" w:ascii="仿宋" w:hAnsi="仿宋" w:eastAsia="仿宋" w:cs="仿宋"/>
          <w:b/>
          <w:bCs/>
          <w:color w:val="auto"/>
          <w:kern w:val="0"/>
          <w:sz w:val="24"/>
          <w:highlight w:val="none"/>
          <w:lang w:bidi="ar"/>
        </w:rPr>
        <w:t>检测报告</w:t>
      </w:r>
      <w:r>
        <w:rPr>
          <w:rFonts w:hint="eastAsia" w:ascii="仿宋" w:hAnsi="仿宋" w:eastAsia="仿宋" w:cs="仿宋"/>
          <w:b/>
          <w:bCs/>
          <w:color w:val="auto"/>
          <w:kern w:val="0"/>
          <w:sz w:val="24"/>
          <w:highlight w:val="none"/>
          <w:lang w:eastAsia="zh-CN" w:bidi="ar"/>
        </w:rPr>
        <w:t>等</w:t>
      </w:r>
      <w:r>
        <w:rPr>
          <w:rFonts w:hint="eastAsia" w:ascii="仿宋" w:hAnsi="仿宋" w:eastAsia="仿宋" w:cs="仿宋"/>
          <w:b/>
          <w:bCs/>
          <w:color w:val="auto"/>
          <w:kern w:val="0"/>
          <w:sz w:val="24"/>
          <w:highlight w:val="none"/>
          <w:lang w:bidi="ar"/>
        </w:rPr>
        <w:t>。</w:t>
      </w:r>
    </w:p>
    <w:p>
      <w:pPr>
        <w:ind w:firstLine="1911" w:firstLineChars="595"/>
        <w:rPr>
          <w:rFonts w:ascii="宋体" w:hAnsi="宋体" w:cs="宋体"/>
          <w:b/>
          <w:bCs/>
          <w:color w:val="auto"/>
          <w:sz w:val="32"/>
          <w:szCs w:val="32"/>
          <w:highlight w:val="none"/>
        </w:rPr>
      </w:pPr>
    </w:p>
    <w:p>
      <w:pPr>
        <w:widowControl/>
        <w:adjustRightInd/>
        <w:jc w:val="left"/>
        <w:rPr>
          <w:rFonts w:ascii="宋体" w:hAnsi="宋体" w:cs="宋体"/>
          <w:b/>
          <w:bCs/>
          <w:color w:val="auto"/>
          <w:sz w:val="32"/>
          <w:szCs w:val="32"/>
          <w:highlight w:val="none"/>
        </w:rPr>
        <w:sectPr>
          <w:pgSz w:w="16838" w:h="11906" w:orient="landscape"/>
          <w:pgMar w:top="1418" w:right="1276" w:bottom="1418" w:left="1247" w:header="851" w:footer="992" w:gutter="0"/>
          <w:cols w:space="720" w:num="1"/>
          <w:titlePg/>
          <w:docGrid w:linePitch="312" w:charSpace="0"/>
        </w:sectPr>
      </w:pPr>
    </w:p>
    <w:p>
      <w:pPr>
        <w:widowControl/>
        <w:adjustRightInd/>
        <w:jc w:val="left"/>
        <w:rPr>
          <w:rFonts w:ascii="宋体" w:hAnsi="宋体" w:cs="宋体"/>
          <w:b/>
          <w:bCs/>
          <w:color w:val="auto"/>
          <w:sz w:val="32"/>
          <w:szCs w:val="32"/>
          <w:highlight w:val="none"/>
        </w:rPr>
      </w:pPr>
    </w:p>
    <w:p>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bidi w:val="0"/>
        <w:rPr>
          <w:color w:val="auto"/>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杭州市公安局钱塘区分局</w:t>
      </w:r>
      <w:r>
        <w:rPr>
          <w:rFonts w:hint="eastAsia" w:ascii="宋体" w:hAnsi="宋体" w:cs="宋体"/>
          <w:color w:val="auto"/>
          <w:sz w:val="24"/>
          <w:highlight w:val="none"/>
        </w:rPr>
        <w:t>、</w:t>
      </w:r>
      <w:r>
        <w:rPr>
          <w:rFonts w:hint="eastAsia" w:ascii="宋体" w:hAnsi="宋体" w:cs="宋体"/>
          <w:color w:val="auto"/>
          <w:sz w:val="24"/>
          <w:highlight w:val="none"/>
          <w:lang w:eastAsia="zh-CN"/>
        </w:rPr>
        <w:t>杭州浙经华道企业管理咨询有限公司</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亚运安保警用装备采购项目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lang w:val="zh-CN"/>
        </w:rPr>
        <w:t>开标一览表（报价表）(单位均为人民币元）</w:t>
      </w:r>
    </w:p>
    <w:tbl>
      <w:tblPr>
        <w:tblStyle w:val="6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229"/>
        <w:gridCol w:w="1364"/>
        <w:gridCol w:w="1686"/>
        <w:gridCol w:w="1115"/>
        <w:gridCol w:w="1089"/>
        <w:gridCol w:w="1304"/>
        <w:gridCol w:w="145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7"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57"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470" w:type="pct"/>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w:t>
            </w:r>
          </w:p>
        </w:tc>
        <w:tc>
          <w:tcPr>
            <w:tcW w:w="578"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384"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375" w:type="pct"/>
            <w:vAlign w:val="center"/>
          </w:tcPr>
          <w:p>
            <w:pPr>
              <w:spacing w:line="360" w:lineRule="auto"/>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单位</w:t>
            </w:r>
          </w:p>
        </w:tc>
        <w:tc>
          <w:tcPr>
            <w:tcW w:w="449"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501" w:type="pct"/>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625" w:type="pct"/>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7" w:type="pc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肩灯</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尼龙白色三件套（对讲机包、手电筒包、工作包）</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尼龙黑色三件套（伸缩棍、催泪喷射器、工作包）</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新标六件套多功能腰带（手铐套、强光手电套、警用工作包、可旋转快拔式警棍套、对讲套、催泪喷射器套）</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救生衣</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6</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救生圈</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新式手铐</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副</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8</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催泪喷射器</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指挥棒</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雨鞋</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400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双</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分体式交警雨衣（套）</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400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12</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口哨</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13</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铁骑骑行服</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hint="default" w:ascii="宋体" w:hAnsi="宋体" w:cs="宋体"/>
                <w:color w:val="auto"/>
                <w:sz w:val="24"/>
                <w:highlight w:val="none"/>
                <w:lang w:val="en-US"/>
              </w:rPr>
            </w:pPr>
            <w:r>
              <w:rPr>
                <w:rFonts w:hint="eastAsia" w:ascii="宋体" w:hAnsi="宋体" w:cs="宋体"/>
                <w:i w:val="0"/>
                <w:iCs w:val="0"/>
                <w:color w:val="auto"/>
                <w:kern w:val="0"/>
                <w:sz w:val="24"/>
                <w:szCs w:val="24"/>
                <w:highlight w:val="none"/>
                <w:u w:val="none"/>
                <w:lang w:val="en-US" w:eastAsia="zh-CN" w:bidi="ar"/>
              </w:rPr>
              <w:t>83</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14</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两用烟雾弹（手投、38毫米发射枪）</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15</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便携式酒精测试棒</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60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自动气胀式工作救生衣</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防化服</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件</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防毒面具</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窗口证据采集仪（高拍仪）</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20</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警用无人机 （干扰套装）</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21</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遥控破胎器</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22</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便携式手动破拆工具</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23</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车辆拖移钢绳</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24</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车载探照光源</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25</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钢制撬棍</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根</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26</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事故现场防闯入系统</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27</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现场便携围挡</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28</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测距望远镜</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29</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酒精测试仪</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30</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牛津布折叠小型单架</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副</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31</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电击钢叉</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32</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电击圆盾</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33</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反式盾牌</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34</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五金工具箱</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35</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停车示意牌（充电款）</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36</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医疗急救箱（含急救药品器具）</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37</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便携式水基灭火器</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20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38</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收弹器</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39</w:t>
            </w:r>
          </w:p>
        </w:tc>
        <w:tc>
          <w:tcPr>
            <w:tcW w:w="1457" w:type="pct"/>
            <w:vAlign w:val="center"/>
          </w:tcPr>
          <w:p>
            <w:pPr>
              <w:keepNext w:val="0"/>
              <w:keepLines w:val="0"/>
              <w:widowControl/>
              <w:suppressLineNumbers w:val="0"/>
              <w:jc w:val="center"/>
              <w:textAlignment w:val="center"/>
              <w:rPr>
                <w:rFonts w:ascii="宋体" w:hAnsi="宋体" w:cs="宋体"/>
                <w:b/>
                <w:bCs/>
                <w:color w:val="auto"/>
                <w:sz w:val="24"/>
                <w:highlight w:val="none"/>
              </w:rPr>
            </w:pPr>
            <w:r>
              <w:rPr>
                <w:rFonts w:hint="eastAsia" w:ascii="宋体" w:hAnsi="宋体" w:eastAsia="宋体" w:cs="宋体"/>
                <w:b/>
                <w:bCs/>
                <w:i w:val="0"/>
                <w:iCs w:val="0"/>
                <w:color w:val="auto"/>
                <w:kern w:val="0"/>
                <w:sz w:val="24"/>
                <w:szCs w:val="24"/>
                <w:highlight w:val="none"/>
                <w:u w:val="none"/>
                <w:lang w:val="en-US" w:eastAsia="zh-CN" w:bidi="ar"/>
              </w:rPr>
              <w:t>太阳能爆闪灯</w:t>
            </w:r>
          </w:p>
        </w:tc>
        <w:tc>
          <w:tcPr>
            <w:tcW w:w="470" w:type="pct"/>
            <w:vAlign w:val="center"/>
          </w:tcPr>
          <w:p>
            <w:pPr>
              <w:snapToGrid w:val="0"/>
              <w:spacing w:line="360" w:lineRule="auto"/>
              <w:jc w:val="center"/>
              <w:rPr>
                <w:rFonts w:ascii="宋体" w:hAnsi="宋体" w:cs="宋体"/>
                <w:color w:val="auto"/>
                <w:sz w:val="24"/>
                <w:highlight w:val="none"/>
              </w:rPr>
            </w:pPr>
          </w:p>
        </w:tc>
        <w:tc>
          <w:tcPr>
            <w:tcW w:w="578" w:type="pct"/>
            <w:vAlign w:val="center"/>
          </w:tcPr>
          <w:p>
            <w:pPr>
              <w:snapToGrid w:val="0"/>
              <w:spacing w:line="360" w:lineRule="auto"/>
              <w:jc w:val="center"/>
              <w:rPr>
                <w:rFonts w:ascii="宋体" w:hAnsi="宋体" w:cs="宋体"/>
                <w:color w:val="auto"/>
                <w:sz w:val="24"/>
                <w:highlight w:val="none"/>
              </w:rPr>
            </w:pPr>
          </w:p>
        </w:tc>
        <w:tc>
          <w:tcPr>
            <w:tcW w:w="384" w:type="pct"/>
            <w:vAlign w:val="center"/>
          </w:tcPr>
          <w:p>
            <w:pPr>
              <w:keepNext w:val="0"/>
              <w:keepLines w:val="0"/>
              <w:widowControl/>
              <w:suppressLineNumbers w:val="0"/>
              <w:jc w:val="center"/>
              <w:textAlignment w:val="center"/>
              <w:rPr>
                <w:rFonts w:ascii="宋体" w:hAnsi="宋体" w:cs="宋体"/>
                <w:color w:val="auto"/>
                <w:sz w:val="24"/>
                <w:highlight w:val="none"/>
              </w:rPr>
            </w:pPr>
            <w:r>
              <w:rPr>
                <w:rFonts w:hint="eastAsia" w:ascii="宋体" w:hAnsi="宋体" w:cs="宋体"/>
                <w:i w:val="0"/>
                <w:iCs w:val="0"/>
                <w:color w:val="auto"/>
                <w:kern w:val="0"/>
                <w:sz w:val="24"/>
                <w:szCs w:val="24"/>
                <w:highlight w:val="none"/>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个</w:t>
            </w:r>
          </w:p>
        </w:tc>
        <w:tc>
          <w:tcPr>
            <w:tcW w:w="449" w:type="pct"/>
            <w:vAlign w:val="center"/>
          </w:tcPr>
          <w:p>
            <w:pPr>
              <w:spacing w:line="360" w:lineRule="auto"/>
              <w:jc w:val="center"/>
              <w:rPr>
                <w:rFonts w:ascii="宋体" w:hAnsi="宋体" w:cs="宋体"/>
                <w:color w:val="auto"/>
                <w:sz w:val="24"/>
                <w:highlight w:val="none"/>
              </w:rPr>
            </w:pPr>
          </w:p>
        </w:tc>
        <w:tc>
          <w:tcPr>
            <w:tcW w:w="501" w:type="pct"/>
            <w:vAlign w:val="center"/>
          </w:tcPr>
          <w:p>
            <w:pPr>
              <w:spacing w:line="360" w:lineRule="auto"/>
              <w:jc w:val="center"/>
              <w:rPr>
                <w:rFonts w:ascii="宋体" w:hAnsi="宋体" w:cs="宋体"/>
                <w:color w:val="auto"/>
                <w:sz w:val="24"/>
                <w:highlight w:val="none"/>
              </w:rPr>
            </w:pPr>
          </w:p>
        </w:tc>
        <w:tc>
          <w:tcPr>
            <w:tcW w:w="625" w:type="pct"/>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665" w:type="pct"/>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2334" w:type="pct"/>
            <w:gridSpan w:val="5"/>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665" w:type="pct"/>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2334" w:type="pct"/>
            <w:gridSpan w:val="5"/>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b/>
          <w:color w:val="auto"/>
          <w:kern w:val="0"/>
          <w:sz w:val="24"/>
          <w:highlight w:val="none"/>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p>
    <w:p>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spacing w:line="360" w:lineRule="auto"/>
        <w:ind w:right="420" w:firstLine="3614" w:firstLineChars="1000"/>
        <w:rPr>
          <w:rFonts w:ascii="宋体" w:hAnsi="宋体" w:cs="宋体"/>
          <w:b/>
          <w:color w:val="auto"/>
          <w:kern w:val="0"/>
          <w:sz w:val="36"/>
          <w:szCs w:val="36"/>
          <w:highlight w:val="none"/>
        </w:rPr>
      </w:pPr>
    </w:p>
    <w:p>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1" w:name="_Toc465665161"/>
      <w:r>
        <w:rPr>
          <w:rFonts w:hint="eastAsia" w:ascii="宋体" w:hAnsi="宋体" w:cs="宋体"/>
          <w:color w:val="auto"/>
          <w:highlight w:val="none"/>
        </w:rPr>
        <w:t>附件</w:t>
      </w:r>
      <w:bookmarkEnd w:id="401"/>
    </w:p>
    <w:p>
      <w:pPr>
        <w:snapToGrid w:val="0"/>
        <w:spacing w:line="360" w:lineRule="auto"/>
        <w:jc w:val="left"/>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402" w:name="OLE_LINK13"/>
      <w:bookmarkStart w:id="403" w:name="OLE_LINK14"/>
      <w:r>
        <w:rPr>
          <w:rFonts w:hint="eastAsia" w:ascii="宋体" w:hAnsi="宋体" w:cs="宋体"/>
          <w:b/>
          <w:color w:val="auto"/>
          <w:spacing w:val="6"/>
          <w:sz w:val="32"/>
          <w:szCs w:val="32"/>
          <w:highlight w:val="none"/>
        </w:rPr>
        <w:t>残疾人福利性单位声明函</w:t>
      </w:r>
    </w:p>
    <w:bookmarkEnd w:id="402"/>
    <w:bookmarkEnd w:id="403"/>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杭州市公安局钱塘区分局</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亚运安保警用装备采购项目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u w:val="single"/>
        </w:rPr>
      </w:pPr>
    </w:p>
    <w:p>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杭州市公安局钱塘区分局</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杭州浙经华道企业管理咨询有限公司</w:t>
      </w:r>
      <w:r>
        <w:rPr>
          <w:rFonts w:hint="eastAsia" w:ascii="宋体" w:hAnsi="宋体" w:cs="宋体"/>
          <w:color w:val="auto"/>
          <w:sz w:val="24"/>
          <w:highlight w:val="none"/>
          <w:u w:val="singl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404"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4"/>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亚运安保警用装备采购项目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QTCG-GK-2023-139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bidi w:val="0"/>
        <w:ind w:firstLine="420" w:firstLineChars="200"/>
        <w:rPr>
          <w:color w:val="auto"/>
          <w:highlight w:val="none"/>
        </w:rPr>
      </w:pPr>
      <w:r>
        <w:rPr>
          <w:rFonts w:hint="eastAsia"/>
          <w:color w:val="auto"/>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5"/>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b/>
          <w:color w:val="auto"/>
          <w:kern w:val="0"/>
          <w:sz w:val="32"/>
          <w:szCs w:val="32"/>
          <w:highlight w:val="none"/>
        </w:rPr>
      </w:pPr>
      <w:r>
        <w:rPr>
          <w:rFonts w:hint="eastAsia" w:ascii="宋体" w:hAnsi="宋体" w:cs="宋体"/>
          <w:color w:val="auto"/>
          <w:sz w:val="24"/>
          <w:highlight w:val="none"/>
        </w:rPr>
        <w:t>注：按本格式和要求提供。</w:t>
      </w:r>
    </w:p>
    <w:p>
      <w:pP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杭州市公安局钱塘区分局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亚运安保警用装备采购项目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宋体" w:hAnsi="宋体" w:cs="宋体"/>
          <w:color w:val="auto"/>
          <w:sz w:val="24"/>
          <w:highlight w:val="none"/>
        </w:rPr>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宋体" w:hAnsi="宋体" w:cs="宋体"/>
          <w:bCs/>
          <w:color w:val="auto"/>
          <w:sz w:val="24"/>
          <w:highlight w:val="none"/>
        </w:rPr>
      </w:pPr>
      <w:r>
        <w:rPr>
          <w:rFonts w:hint="eastAsia" w:ascii="仿宋" w:hAnsi="仿宋" w:eastAsia="仿宋" w:cs="仿宋"/>
          <w:color w:val="auto"/>
          <w:highlight w:val="none"/>
          <w:lang w:val="en-US"/>
        </w:rPr>
        <w:drawing>
          <wp:inline distT="0" distB="0" distL="114300" distR="114300">
            <wp:extent cx="9091295" cy="5498465"/>
            <wp:effectExtent l="0" t="0" r="1460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2"/>
                    <a:stretch>
                      <a:fillRect/>
                    </a:stretch>
                  </pic:blipFill>
                  <pic:spPr>
                    <a:xfrm>
                      <a:off x="0" y="0"/>
                      <a:ext cx="9091295" cy="5498465"/>
                    </a:xfrm>
                    <a:prstGeom prst="rect">
                      <a:avLst/>
                    </a:prstGeom>
                    <a:noFill/>
                    <a:ln>
                      <a:noFill/>
                    </a:ln>
                  </pic:spPr>
                </pic:pic>
              </a:graphicData>
            </a:graphic>
          </wp:inline>
        </w:drawing>
      </w: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bookmarkStart w:id="406" w:name="_Toc36110187"/>
    <w:bookmarkStart w:id="407" w:name="_Toc131845147"/>
    <w:bookmarkStart w:id="408" w:name="_Toc91899912"/>
    <w:bookmarkStart w:id="409" w:name="_Toc164085800"/>
    <w:r>
      <w:rPr>
        <w:rFonts w:hint="eastAsia" w:ascii="仿宋_GB2312" w:eastAsia="仿宋_GB2312"/>
        <w:kern w:val="0"/>
        <w:szCs w:val="21"/>
      </w:rPr>
      <w:t xml:space="preserve"> 页</w:t>
    </w:r>
    <w:bookmarkEnd w:id="406"/>
    <w:bookmarkEnd w:id="407"/>
    <w:bookmarkEnd w:id="408"/>
    <w:bookmarkEnd w:id="4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w:t>
    </w:r>
    <w:r>
      <w:rPr>
        <w:rFonts w:hint="eastAsia"/>
      </w:rPr>
      <w:t>钱塘区</w:t>
    </w:r>
    <w:r>
      <w:t>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w:t>
    </w:r>
    <w:r>
      <w:rPr>
        <w:rFonts w:hint="eastAsia"/>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E8F00"/>
    <w:multiLevelType w:val="singleLevel"/>
    <w:tmpl w:val="926E8F00"/>
    <w:lvl w:ilvl="0" w:tentative="0">
      <w:start w:val="1"/>
      <w:numFmt w:val="decimal"/>
      <w:lvlText w:val="%1."/>
      <w:lvlJc w:val="left"/>
      <w:pPr>
        <w:tabs>
          <w:tab w:val="left" w:pos="312"/>
        </w:tabs>
      </w:pPr>
    </w:lvl>
  </w:abstractNum>
  <w:abstractNum w:abstractNumId="1">
    <w:nsid w:val="98CBCB29"/>
    <w:multiLevelType w:val="singleLevel"/>
    <w:tmpl w:val="98CBCB29"/>
    <w:lvl w:ilvl="0" w:tentative="0">
      <w:start w:val="2"/>
      <w:numFmt w:val="chineseCounting"/>
      <w:suff w:val="space"/>
      <w:lvlText w:val="第%1部分"/>
      <w:lvlJc w:val="left"/>
      <w:rPr>
        <w:rFonts w:hint="eastAsia"/>
      </w:rPr>
    </w:lvl>
  </w:abstractNum>
  <w:abstractNum w:abstractNumId="2">
    <w:nsid w:val="B77B0F10"/>
    <w:multiLevelType w:val="singleLevel"/>
    <w:tmpl w:val="B77B0F10"/>
    <w:lvl w:ilvl="0" w:tentative="0">
      <w:start w:val="7"/>
      <w:numFmt w:val="decimal"/>
      <w:lvlText w:val="%1."/>
      <w:lvlJc w:val="left"/>
      <w:pPr>
        <w:tabs>
          <w:tab w:val="left" w:pos="312"/>
        </w:tabs>
      </w:pPr>
    </w:lvl>
  </w:abstractNum>
  <w:abstractNum w:abstractNumId="3">
    <w:nsid w:val="DDBE84A4"/>
    <w:multiLevelType w:val="singleLevel"/>
    <w:tmpl w:val="DDBE84A4"/>
    <w:lvl w:ilvl="0" w:tentative="0">
      <w:start w:val="3"/>
      <w:numFmt w:val="chineseCounting"/>
      <w:suff w:val="space"/>
      <w:lvlText w:val="第%1部分"/>
      <w:lvlJc w:val="left"/>
      <w:rPr>
        <w:rFonts w:hint="eastAsia"/>
      </w:rPr>
    </w:lvl>
  </w:abstractNum>
  <w:abstractNum w:abstractNumId="4">
    <w:nsid w:val="EA318637"/>
    <w:multiLevelType w:val="singleLevel"/>
    <w:tmpl w:val="EA318637"/>
    <w:lvl w:ilvl="0" w:tentative="0">
      <w:start w:val="1"/>
      <w:numFmt w:val="decimal"/>
      <w:lvlText w:val="%1."/>
      <w:lvlJc w:val="left"/>
      <w:pPr>
        <w:tabs>
          <w:tab w:val="left" w:pos="312"/>
        </w:tabs>
      </w:pPr>
    </w:lvl>
  </w:abstractNum>
  <w:abstractNum w:abstractNumId="5">
    <w:nsid w:val="EE2E19B3"/>
    <w:multiLevelType w:val="singleLevel"/>
    <w:tmpl w:val="EE2E19B3"/>
    <w:lvl w:ilvl="0" w:tentative="0">
      <w:start w:val="1"/>
      <w:numFmt w:val="decimal"/>
      <w:lvlText w:val="%1."/>
      <w:lvlJc w:val="left"/>
      <w:pPr>
        <w:tabs>
          <w:tab w:val="left" w:pos="312"/>
        </w:tabs>
      </w:pPr>
    </w:lvl>
  </w:abstractNum>
  <w:abstractNum w:abstractNumId="6">
    <w:nsid w:val="4E767A57"/>
    <w:multiLevelType w:val="singleLevel"/>
    <w:tmpl w:val="4E767A57"/>
    <w:lvl w:ilvl="0" w:tentative="0">
      <w:start w:val="8"/>
      <w:numFmt w:val="chineseCounting"/>
      <w:suff w:val="nothing"/>
      <w:lvlText w:val="%1、"/>
      <w:lvlJc w:val="left"/>
      <w:rPr>
        <w:rFonts w:hint="eastAsia"/>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mZjBiYjZjMGM5ZTRmMzU0MjIzNDFkNzNiNzUzM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35"/>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66"/>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5999"/>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3F5B"/>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BE"/>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3C246A"/>
    <w:rsid w:val="017E30F2"/>
    <w:rsid w:val="019F7441"/>
    <w:rsid w:val="01B37585"/>
    <w:rsid w:val="01D55165"/>
    <w:rsid w:val="01DF6BF8"/>
    <w:rsid w:val="01EC2C57"/>
    <w:rsid w:val="025F0711"/>
    <w:rsid w:val="026B2E25"/>
    <w:rsid w:val="02824D4D"/>
    <w:rsid w:val="028E2514"/>
    <w:rsid w:val="02DC4B10"/>
    <w:rsid w:val="02DD76CE"/>
    <w:rsid w:val="02F36323"/>
    <w:rsid w:val="02F5619C"/>
    <w:rsid w:val="0326446A"/>
    <w:rsid w:val="032D5555"/>
    <w:rsid w:val="036634D2"/>
    <w:rsid w:val="039F6D34"/>
    <w:rsid w:val="03DD35E4"/>
    <w:rsid w:val="04076900"/>
    <w:rsid w:val="041A5A3B"/>
    <w:rsid w:val="042311BA"/>
    <w:rsid w:val="042B157A"/>
    <w:rsid w:val="04603066"/>
    <w:rsid w:val="04655370"/>
    <w:rsid w:val="048F763B"/>
    <w:rsid w:val="049F330E"/>
    <w:rsid w:val="04AA775C"/>
    <w:rsid w:val="04AF1889"/>
    <w:rsid w:val="04F66F48"/>
    <w:rsid w:val="05251E14"/>
    <w:rsid w:val="052D6C99"/>
    <w:rsid w:val="05300538"/>
    <w:rsid w:val="05A16594"/>
    <w:rsid w:val="05A7762D"/>
    <w:rsid w:val="060E5941"/>
    <w:rsid w:val="06110FAF"/>
    <w:rsid w:val="06493CA7"/>
    <w:rsid w:val="065A6178"/>
    <w:rsid w:val="06671CA4"/>
    <w:rsid w:val="066E7569"/>
    <w:rsid w:val="066F1CF3"/>
    <w:rsid w:val="06930BB8"/>
    <w:rsid w:val="07245D42"/>
    <w:rsid w:val="07264C62"/>
    <w:rsid w:val="074F3FCC"/>
    <w:rsid w:val="0779354C"/>
    <w:rsid w:val="07AC22B3"/>
    <w:rsid w:val="08015DC3"/>
    <w:rsid w:val="08061376"/>
    <w:rsid w:val="08452D77"/>
    <w:rsid w:val="086401F8"/>
    <w:rsid w:val="08751CAA"/>
    <w:rsid w:val="087A0447"/>
    <w:rsid w:val="087E4C40"/>
    <w:rsid w:val="08857D5A"/>
    <w:rsid w:val="08A03535"/>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B31DC"/>
    <w:rsid w:val="0AFC5D3C"/>
    <w:rsid w:val="0B2B0B40"/>
    <w:rsid w:val="0B30404E"/>
    <w:rsid w:val="0B4C6C14"/>
    <w:rsid w:val="0B547599"/>
    <w:rsid w:val="0B631A88"/>
    <w:rsid w:val="0B683D45"/>
    <w:rsid w:val="0B7F3F11"/>
    <w:rsid w:val="0B884417"/>
    <w:rsid w:val="0BF6188C"/>
    <w:rsid w:val="0BF73C91"/>
    <w:rsid w:val="0C013EAE"/>
    <w:rsid w:val="0C170175"/>
    <w:rsid w:val="0C2806B4"/>
    <w:rsid w:val="0C540FAF"/>
    <w:rsid w:val="0C571A41"/>
    <w:rsid w:val="0C5C1171"/>
    <w:rsid w:val="0C5E1CBC"/>
    <w:rsid w:val="0C615B50"/>
    <w:rsid w:val="0C8445DA"/>
    <w:rsid w:val="0C87121B"/>
    <w:rsid w:val="0CC007F7"/>
    <w:rsid w:val="0CC617AC"/>
    <w:rsid w:val="0CCD56E8"/>
    <w:rsid w:val="0CE618DF"/>
    <w:rsid w:val="0CFE707A"/>
    <w:rsid w:val="0D063BDA"/>
    <w:rsid w:val="0D08375F"/>
    <w:rsid w:val="0D184CFB"/>
    <w:rsid w:val="0D4A7419"/>
    <w:rsid w:val="0D523173"/>
    <w:rsid w:val="0D827401"/>
    <w:rsid w:val="0D84094E"/>
    <w:rsid w:val="0D8A00E9"/>
    <w:rsid w:val="0D8D589E"/>
    <w:rsid w:val="0DA01C73"/>
    <w:rsid w:val="0DC108C7"/>
    <w:rsid w:val="0DD63300"/>
    <w:rsid w:val="0DDF0D4D"/>
    <w:rsid w:val="0DF50604"/>
    <w:rsid w:val="0DF702FE"/>
    <w:rsid w:val="0E036710"/>
    <w:rsid w:val="0E060E51"/>
    <w:rsid w:val="0E5604B2"/>
    <w:rsid w:val="0E6D5D79"/>
    <w:rsid w:val="0E9D0089"/>
    <w:rsid w:val="0EB803EE"/>
    <w:rsid w:val="0EF94D4B"/>
    <w:rsid w:val="0F2065EE"/>
    <w:rsid w:val="0F4958DC"/>
    <w:rsid w:val="0F515DF7"/>
    <w:rsid w:val="0F596BA8"/>
    <w:rsid w:val="0F6248D2"/>
    <w:rsid w:val="0F67724C"/>
    <w:rsid w:val="0F693536"/>
    <w:rsid w:val="0F7B0511"/>
    <w:rsid w:val="0F7B76D9"/>
    <w:rsid w:val="0F816ACD"/>
    <w:rsid w:val="0F9832DB"/>
    <w:rsid w:val="0FAA30A6"/>
    <w:rsid w:val="0FBF3FD2"/>
    <w:rsid w:val="0FBF7FF3"/>
    <w:rsid w:val="100B407B"/>
    <w:rsid w:val="10613889"/>
    <w:rsid w:val="10646583"/>
    <w:rsid w:val="107D4B15"/>
    <w:rsid w:val="108A3C80"/>
    <w:rsid w:val="10C26171"/>
    <w:rsid w:val="10F33360"/>
    <w:rsid w:val="10FC16EA"/>
    <w:rsid w:val="110F1D40"/>
    <w:rsid w:val="11266F33"/>
    <w:rsid w:val="11811943"/>
    <w:rsid w:val="118963A1"/>
    <w:rsid w:val="119349FC"/>
    <w:rsid w:val="11C6522A"/>
    <w:rsid w:val="11DA7A69"/>
    <w:rsid w:val="11E104CC"/>
    <w:rsid w:val="11E20309"/>
    <w:rsid w:val="12255233"/>
    <w:rsid w:val="12303925"/>
    <w:rsid w:val="12530213"/>
    <w:rsid w:val="127723A9"/>
    <w:rsid w:val="12862074"/>
    <w:rsid w:val="12883966"/>
    <w:rsid w:val="129E45B4"/>
    <w:rsid w:val="12CA4DA3"/>
    <w:rsid w:val="12D81596"/>
    <w:rsid w:val="12E50BB3"/>
    <w:rsid w:val="12E76E7A"/>
    <w:rsid w:val="13072A44"/>
    <w:rsid w:val="13307FAC"/>
    <w:rsid w:val="135F4BE2"/>
    <w:rsid w:val="13877EBC"/>
    <w:rsid w:val="139B1A0A"/>
    <w:rsid w:val="139D25C7"/>
    <w:rsid w:val="13BF3CE4"/>
    <w:rsid w:val="141008D8"/>
    <w:rsid w:val="14125FE6"/>
    <w:rsid w:val="14601925"/>
    <w:rsid w:val="146D271E"/>
    <w:rsid w:val="14982588"/>
    <w:rsid w:val="149A5AD9"/>
    <w:rsid w:val="14A7619D"/>
    <w:rsid w:val="14F00F00"/>
    <w:rsid w:val="150536C3"/>
    <w:rsid w:val="150C1963"/>
    <w:rsid w:val="151447A0"/>
    <w:rsid w:val="154A6454"/>
    <w:rsid w:val="15762120"/>
    <w:rsid w:val="15B36D47"/>
    <w:rsid w:val="15FD3507"/>
    <w:rsid w:val="169C2916"/>
    <w:rsid w:val="16A8729C"/>
    <w:rsid w:val="16B33777"/>
    <w:rsid w:val="16BC70A7"/>
    <w:rsid w:val="16C6339E"/>
    <w:rsid w:val="172F2D79"/>
    <w:rsid w:val="173454C2"/>
    <w:rsid w:val="17557BEF"/>
    <w:rsid w:val="1766523D"/>
    <w:rsid w:val="176C668F"/>
    <w:rsid w:val="17D349C1"/>
    <w:rsid w:val="18244F26"/>
    <w:rsid w:val="1830729E"/>
    <w:rsid w:val="1870062C"/>
    <w:rsid w:val="18817102"/>
    <w:rsid w:val="18830A15"/>
    <w:rsid w:val="18852B28"/>
    <w:rsid w:val="188B5321"/>
    <w:rsid w:val="192E42A1"/>
    <w:rsid w:val="19932372"/>
    <w:rsid w:val="19A20DD5"/>
    <w:rsid w:val="19A617CC"/>
    <w:rsid w:val="19AE03F1"/>
    <w:rsid w:val="1A071A03"/>
    <w:rsid w:val="1A1F16AE"/>
    <w:rsid w:val="1A3B5C77"/>
    <w:rsid w:val="1A984BAD"/>
    <w:rsid w:val="1AB8220E"/>
    <w:rsid w:val="1AE4166C"/>
    <w:rsid w:val="1AF06CFB"/>
    <w:rsid w:val="1AF11B8D"/>
    <w:rsid w:val="1B0A5170"/>
    <w:rsid w:val="1B11359C"/>
    <w:rsid w:val="1B2A271F"/>
    <w:rsid w:val="1B530544"/>
    <w:rsid w:val="1B6C1CB8"/>
    <w:rsid w:val="1B713184"/>
    <w:rsid w:val="1B8A054A"/>
    <w:rsid w:val="1B936881"/>
    <w:rsid w:val="1BA209CF"/>
    <w:rsid w:val="1BB4777D"/>
    <w:rsid w:val="1BD75AB8"/>
    <w:rsid w:val="1C0459C2"/>
    <w:rsid w:val="1C1B3B4A"/>
    <w:rsid w:val="1C88086E"/>
    <w:rsid w:val="1CC05C52"/>
    <w:rsid w:val="1D266CE1"/>
    <w:rsid w:val="1D2D5631"/>
    <w:rsid w:val="1D3963AF"/>
    <w:rsid w:val="1D6A673C"/>
    <w:rsid w:val="1D9247AE"/>
    <w:rsid w:val="1DA94103"/>
    <w:rsid w:val="1DB567EC"/>
    <w:rsid w:val="1DF51A98"/>
    <w:rsid w:val="1DFB28D0"/>
    <w:rsid w:val="1E051CD9"/>
    <w:rsid w:val="1E3D060F"/>
    <w:rsid w:val="1E3F7D2E"/>
    <w:rsid w:val="1E4134E4"/>
    <w:rsid w:val="1E5062B3"/>
    <w:rsid w:val="1E523514"/>
    <w:rsid w:val="1E6F2BCB"/>
    <w:rsid w:val="1E714A66"/>
    <w:rsid w:val="1E802593"/>
    <w:rsid w:val="1E8B6156"/>
    <w:rsid w:val="1EA703CC"/>
    <w:rsid w:val="1EB7330C"/>
    <w:rsid w:val="1EE80DEF"/>
    <w:rsid w:val="1F0A0FF3"/>
    <w:rsid w:val="1F5771FF"/>
    <w:rsid w:val="1FD52574"/>
    <w:rsid w:val="1FE868A9"/>
    <w:rsid w:val="20034907"/>
    <w:rsid w:val="20173E4B"/>
    <w:rsid w:val="203D1303"/>
    <w:rsid w:val="204D7D98"/>
    <w:rsid w:val="204E48BC"/>
    <w:rsid w:val="208921B3"/>
    <w:rsid w:val="20973DEB"/>
    <w:rsid w:val="20B26522"/>
    <w:rsid w:val="20B44310"/>
    <w:rsid w:val="211116EB"/>
    <w:rsid w:val="2112446B"/>
    <w:rsid w:val="213F5933"/>
    <w:rsid w:val="215634F2"/>
    <w:rsid w:val="216133FC"/>
    <w:rsid w:val="21D56769"/>
    <w:rsid w:val="21E52EF3"/>
    <w:rsid w:val="21FB5D7B"/>
    <w:rsid w:val="22015E94"/>
    <w:rsid w:val="220B1C3D"/>
    <w:rsid w:val="221D1D20"/>
    <w:rsid w:val="22334A87"/>
    <w:rsid w:val="22704963"/>
    <w:rsid w:val="228C104B"/>
    <w:rsid w:val="22BE6801"/>
    <w:rsid w:val="22CB660A"/>
    <w:rsid w:val="22F27077"/>
    <w:rsid w:val="233500BF"/>
    <w:rsid w:val="23377FF7"/>
    <w:rsid w:val="236B425F"/>
    <w:rsid w:val="236E24FF"/>
    <w:rsid w:val="23836192"/>
    <w:rsid w:val="23901F29"/>
    <w:rsid w:val="23944D6C"/>
    <w:rsid w:val="239C0061"/>
    <w:rsid w:val="23A50F33"/>
    <w:rsid w:val="23B908A4"/>
    <w:rsid w:val="23C14D25"/>
    <w:rsid w:val="23E95BEF"/>
    <w:rsid w:val="23FD0064"/>
    <w:rsid w:val="245375B0"/>
    <w:rsid w:val="24642C0A"/>
    <w:rsid w:val="2471674B"/>
    <w:rsid w:val="24B22173"/>
    <w:rsid w:val="24B95AD9"/>
    <w:rsid w:val="24BE24DA"/>
    <w:rsid w:val="24CF5825"/>
    <w:rsid w:val="24D663E6"/>
    <w:rsid w:val="24D77F2B"/>
    <w:rsid w:val="25137802"/>
    <w:rsid w:val="251E1FFF"/>
    <w:rsid w:val="251F57E3"/>
    <w:rsid w:val="25201F1F"/>
    <w:rsid w:val="257038C5"/>
    <w:rsid w:val="258129BE"/>
    <w:rsid w:val="258B00E2"/>
    <w:rsid w:val="25A917A6"/>
    <w:rsid w:val="25BE27CC"/>
    <w:rsid w:val="25F74A5C"/>
    <w:rsid w:val="2613129A"/>
    <w:rsid w:val="2628662C"/>
    <w:rsid w:val="262D45DE"/>
    <w:rsid w:val="26871DC8"/>
    <w:rsid w:val="26A53EF9"/>
    <w:rsid w:val="26A94201"/>
    <w:rsid w:val="26AC274F"/>
    <w:rsid w:val="26B93CEA"/>
    <w:rsid w:val="26DC5D09"/>
    <w:rsid w:val="27044A29"/>
    <w:rsid w:val="271D34C8"/>
    <w:rsid w:val="27422AD2"/>
    <w:rsid w:val="276142BF"/>
    <w:rsid w:val="27783712"/>
    <w:rsid w:val="277A3B68"/>
    <w:rsid w:val="277D71B5"/>
    <w:rsid w:val="27907362"/>
    <w:rsid w:val="27A40BE5"/>
    <w:rsid w:val="28333E1D"/>
    <w:rsid w:val="28397580"/>
    <w:rsid w:val="28454BD6"/>
    <w:rsid w:val="28455253"/>
    <w:rsid w:val="28551971"/>
    <w:rsid w:val="28561A94"/>
    <w:rsid w:val="285B1C53"/>
    <w:rsid w:val="289F7086"/>
    <w:rsid w:val="28C32028"/>
    <w:rsid w:val="28CC490F"/>
    <w:rsid w:val="28DE40AA"/>
    <w:rsid w:val="29345E77"/>
    <w:rsid w:val="294C65AD"/>
    <w:rsid w:val="294F4B81"/>
    <w:rsid w:val="29806583"/>
    <w:rsid w:val="298B3C4C"/>
    <w:rsid w:val="29B82F43"/>
    <w:rsid w:val="29F26D24"/>
    <w:rsid w:val="2A15033F"/>
    <w:rsid w:val="2A1662C1"/>
    <w:rsid w:val="2A1C7367"/>
    <w:rsid w:val="2A250670"/>
    <w:rsid w:val="2A2815FA"/>
    <w:rsid w:val="2A5063FA"/>
    <w:rsid w:val="2A6D6092"/>
    <w:rsid w:val="2A7D76B4"/>
    <w:rsid w:val="2B437463"/>
    <w:rsid w:val="2B7807EE"/>
    <w:rsid w:val="2BA50BF7"/>
    <w:rsid w:val="2BBF00EC"/>
    <w:rsid w:val="2BC37CFD"/>
    <w:rsid w:val="2BD5237F"/>
    <w:rsid w:val="2BE536CE"/>
    <w:rsid w:val="2BE758D9"/>
    <w:rsid w:val="2BF346BB"/>
    <w:rsid w:val="2BF357A5"/>
    <w:rsid w:val="2BFB4B4C"/>
    <w:rsid w:val="2C09049E"/>
    <w:rsid w:val="2C0A653C"/>
    <w:rsid w:val="2C191F85"/>
    <w:rsid w:val="2CE82D6F"/>
    <w:rsid w:val="2D03111D"/>
    <w:rsid w:val="2D343236"/>
    <w:rsid w:val="2D575011"/>
    <w:rsid w:val="2DBD2374"/>
    <w:rsid w:val="2DD15014"/>
    <w:rsid w:val="2DF72DE4"/>
    <w:rsid w:val="2E0220AF"/>
    <w:rsid w:val="2E4B082A"/>
    <w:rsid w:val="2E516CA5"/>
    <w:rsid w:val="2E5D4E86"/>
    <w:rsid w:val="2E5D790B"/>
    <w:rsid w:val="2E9A3C18"/>
    <w:rsid w:val="2EAA74B5"/>
    <w:rsid w:val="2EBB0FEE"/>
    <w:rsid w:val="2EC63002"/>
    <w:rsid w:val="2EF266DA"/>
    <w:rsid w:val="2F0A6B38"/>
    <w:rsid w:val="2F946CCB"/>
    <w:rsid w:val="2FB12379"/>
    <w:rsid w:val="2FB43990"/>
    <w:rsid w:val="2FD25781"/>
    <w:rsid w:val="2FDC745C"/>
    <w:rsid w:val="2FFD7934"/>
    <w:rsid w:val="306424CA"/>
    <w:rsid w:val="30733ACD"/>
    <w:rsid w:val="30890DB9"/>
    <w:rsid w:val="308C3862"/>
    <w:rsid w:val="309379D8"/>
    <w:rsid w:val="30A270F7"/>
    <w:rsid w:val="30AB4799"/>
    <w:rsid w:val="30DF1478"/>
    <w:rsid w:val="30EC586F"/>
    <w:rsid w:val="310C3F66"/>
    <w:rsid w:val="319C6071"/>
    <w:rsid w:val="31AC537E"/>
    <w:rsid w:val="31E0281A"/>
    <w:rsid w:val="31E3679B"/>
    <w:rsid w:val="31E732FD"/>
    <w:rsid w:val="32517576"/>
    <w:rsid w:val="3279231B"/>
    <w:rsid w:val="32BE5C2C"/>
    <w:rsid w:val="32FB6478"/>
    <w:rsid w:val="33263B3F"/>
    <w:rsid w:val="33593B86"/>
    <w:rsid w:val="336963EB"/>
    <w:rsid w:val="33816EEB"/>
    <w:rsid w:val="338B0EAB"/>
    <w:rsid w:val="33EB55CD"/>
    <w:rsid w:val="33EC4C02"/>
    <w:rsid w:val="340D2360"/>
    <w:rsid w:val="3410665D"/>
    <w:rsid w:val="34211214"/>
    <w:rsid w:val="342E63AB"/>
    <w:rsid w:val="3462692C"/>
    <w:rsid w:val="34950E68"/>
    <w:rsid w:val="34986E94"/>
    <w:rsid w:val="34AF62C9"/>
    <w:rsid w:val="34CB4388"/>
    <w:rsid w:val="34CF6B76"/>
    <w:rsid w:val="34FA6E12"/>
    <w:rsid w:val="35473194"/>
    <w:rsid w:val="354D7158"/>
    <w:rsid w:val="35780FBB"/>
    <w:rsid w:val="358D5588"/>
    <w:rsid w:val="358F7287"/>
    <w:rsid w:val="35B43F98"/>
    <w:rsid w:val="35D94150"/>
    <w:rsid w:val="35EC62CF"/>
    <w:rsid w:val="363A3B40"/>
    <w:rsid w:val="365302AE"/>
    <w:rsid w:val="36607A0A"/>
    <w:rsid w:val="366E227C"/>
    <w:rsid w:val="366F2E0D"/>
    <w:rsid w:val="367B6A5C"/>
    <w:rsid w:val="36A74ADA"/>
    <w:rsid w:val="36AD60D5"/>
    <w:rsid w:val="36B224F9"/>
    <w:rsid w:val="36EC0CC9"/>
    <w:rsid w:val="373F410B"/>
    <w:rsid w:val="37EE7094"/>
    <w:rsid w:val="38107BD1"/>
    <w:rsid w:val="38296C89"/>
    <w:rsid w:val="383002EB"/>
    <w:rsid w:val="38580356"/>
    <w:rsid w:val="38586797"/>
    <w:rsid w:val="385D15DF"/>
    <w:rsid w:val="388E25E0"/>
    <w:rsid w:val="38BC0149"/>
    <w:rsid w:val="38D87D1C"/>
    <w:rsid w:val="39636459"/>
    <w:rsid w:val="396B7F6C"/>
    <w:rsid w:val="39B417A9"/>
    <w:rsid w:val="39FC5695"/>
    <w:rsid w:val="3A006D8E"/>
    <w:rsid w:val="3A3651E5"/>
    <w:rsid w:val="3A5959E4"/>
    <w:rsid w:val="3A744481"/>
    <w:rsid w:val="3A8C7BEF"/>
    <w:rsid w:val="3A906246"/>
    <w:rsid w:val="3AB44462"/>
    <w:rsid w:val="3AE2235A"/>
    <w:rsid w:val="3B104E57"/>
    <w:rsid w:val="3B2349B7"/>
    <w:rsid w:val="3B616CFF"/>
    <w:rsid w:val="3B6259F6"/>
    <w:rsid w:val="3B976654"/>
    <w:rsid w:val="3BC01EFC"/>
    <w:rsid w:val="3BCA786A"/>
    <w:rsid w:val="3BD31E2F"/>
    <w:rsid w:val="3BD93B72"/>
    <w:rsid w:val="3BF15831"/>
    <w:rsid w:val="3C105946"/>
    <w:rsid w:val="3C416C9A"/>
    <w:rsid w:val="3C471448"/>
    <w:rsid w:val="3C5F759A"/>
    <w:rsid w:val="3C6C525A"/>
    <w:rsid w:val="3C847748"/>
    <w:rsid w:val="3CCE23CB"/>
    <w:rsid w:val="3CD17D17"/>
    <w:rsid w:val="3CFE0346"/>
    <w:rsid w:val="3D3833CA"/>
    <w:rsid w:val="3D3C7F39"/>
    <w:rsid w:val="3D440F09"/>
    <w:rsid w:val="3D4504A0"/>
    <w:rsid w:val="3D8734BB"/>
    <w:rsid w:val="3D9A11D4"/>
    <w:rsid w:val="3DA16D89"/>
    <w:rsid w:val="3DA364BE"/>
    <w:rsid w:val="3DBF00CF"/>
    <w:rsid w:val="3DE041CB"/>
    <w:rsid w:val="3E0D48F6"/>
    <w:rsid w:val="3E1868B4"/>
    <w:rsid w:val="3E377251"/>
    <w:rsid w:val="3E382184"/>
    <w:rsid w:val="3E42664B"/>
    <w:rsid w:val="3E5A7334"/>
    <w:rsid w:val="3E7A3FBC"/>
    <w:rsid w:val="3E7B5D6B"/>
    <w:rsid w:val="3E843E66"/>
    <w:rsid w:val="3E8F51FE"/>
    <w:rsid w:val="3E926F87"/>
    <w:rsid w:val="3E9A59DE"/>
    <w:rsid w:val="3EAF4836"/>
    <w:rsid w:val="3EC33DFA"/>
    <w:rsid w:val="3F011C59"/>
    <w:rsid w:val="3F060E16"/>
    <w:rsid w:val="3F1D1096"/>
    <w:rsid w:val="3F2F0234"/>
    <w:rsid w:val="3F6363FE"/>
    <w:rsid w:val="3F756B8F"/>
    <w:rsid w:val="3F95482B"/>
    <w:rsid w:val="4019356B"/>
    <w:rsid w:val="40534D2F"/>
    <w:rsid w:val="40592157"/>
    <w:rsid w:val="406E1CAE"/>
    <w:rsid w:val="40A0133A"/>
    <w:rsid w:val="40C31A53"/>
    <w:rsid w:val="40F41E3E"/>
    <w:rsid w:val="40FF545D"/>
    <w:rsid w:val="410067C8"/>
    <w:rsid w:val="413F2C56"/>
    <w:rsid w:val="418F0D2A"/>
    <w:rsid w:val="41A471F1"/>
    <w:rsid w:val="41D01505"/>
    <w:rsid w:val="42474939"/>
    <w:rsid w:val="424C3C57"/>
    <w:rsid w:val="42613FF3"/>
    <w:rsid w:val="42660D96"/>
    <w:rsid w:val="428667D2"/>
    <w:rsid w:val="429309E5"/>
    <w:rsid w:val="42CD1CE0"/>
    <w:rsid w:val="42E1381E"/>
    <w:rsid w:val="42ED6459"/>
    <w:rsid w:val="42FE58DD"/>
    <w:rsid w:val="43174B3D"/>
    <w:rsid w:val="434B790E"/>
    <w:rsid w:val="4360274F"/>
    <w:rsid w:val="43977AB6"/>
    <w:rsid w:val="43A3342B"/>
    <w:rsid w:val="43C77C27"/>
    <w:rsid w:val="43DE09EE"/>
    <w:rsid w:val="44002FAD"/>
    <w:rsid w:val="446D5994"/>
    <w:rsid w:val="449101DD"/>
    <w:rsid w:val="44D206E8"/>
    <w:rsid w:val="44DE1391"/>
    <w:rsid w:val="451B225C"/>
    <w:rsid w:val="452410C9"/>
    <w:rsid w:val="45317DFB"/>
    <w:rsid w:val="455D3F88"/>
    <w:rsid w:val="456D3CE4"/>
    <w:rsid w:val="4579042C"/>
    <w:rsid w:val="457F0571"/>
    <w:rsid w:val="45851176"/>
    <w:rsid w:val="45C63B94"/>
    <w:rsid w:val="460E7DA5"/>
    <w:rsid w:val="46422483"/>
    <w:rsid w:val="4659254A"/>
    <w:rsid w:val="465B0637"/>
    <w:rsid w:val="465E3F0D"/>
    <w:rsid w:val="466A16E6"/>
    <w:rsid w:val="46893F2B"/>
    <w:rsid w:val="46C4686E"/>
    <w:rsid w:val="46C55DCC"/>
    <w:rsid w:val="46D25E8F"/>
    <w:rsid w:val="477B778F"/>
    <w:rsid w:val="478203EC"/>
    <w:rsid w:val="47B025FA"/>
    <w:rsid w:val="47CB6289"/>
    <w:rsid w:val="47F11C27"/>
    <w:rsid w:val="4809698F"/>
    <w:rsid w:val="4811697D"/>
    <w:rsid w:val="482A5A71"/>
    <w:rsid w:val="487A3E25"/>
    <w:rsid w:val="488B5503"/>
    <w:rsid w:val="48937E21"/>
    <w:rsid w:val="489A0361"/>
    <w:rsid w:val="48B94FF3"/>
    <w:rsid w:val="48E2116D"/>
    <w:rsid w:val="48E37AAB"/>
    <w:rsid w:val="48FD4B4C"/>
    <w:rsid w:val="490A68E0"/>
    <w:rsid w:val="491055FE"/>
    <w:rsid w:val="494C2407"/>
    <w:rsid w:val="495F5B3E"/>
    <w:rsid w:val="496F77D7"/>
    <w:rsid w:val="497654FD"/>
    <w:rsid w:val="49B64211"/>
    <w:rsid w:val="49F6167F"/>
    <w:rsid w:val="4A033589"/>
    <w:rsid w:val="4A064FA0"/>
    <w:rsid w:val="4A16615C"/>
    <w:rsid w:val="4A4424D7"/>
    <w:rsid w:val="4AB82D0F"/>
    <w:rsid w:val="4AEB7664"/>
    <w:rsid w:val="4AFD7C19"/>
    <w:rsid w:val="4B0567D1"/>
    <w:rsid w:val="4B236AAE"/>
    <w:rsid w:val="4B692739"/>
    <w:rsid w:val="4B707271"/>
    <w:rsid w:val="4B9739F7"/>
    <w:rsid w:val="4B9F2647"/>
    <w:rsid w:val="4BEE2503"/>
    <w:rsid w:val="4C245A30"/>
    <w:rsid w:val="4CB56D37"/>
    <w:rsid w:val="4CB6685F"/>
    <w:rsid w:val="4CC367FE"/>
    <w:rsid w:val="4D077F3C"/>
    <w:rsid w:val="4D123355"/>
    <w:rsid w:val="4D2A3B31"/>
    <w:rsid w:val="4D312C52"/>
    <w:rsid w:val="4D3632A4"/>
    <w:rsid w:val="4D691CF8"/>
    <w:rsid w:val="4D905305"/>
    <w:rsid w:val="4D945A10"/>
    <w:rsid w:val="4D964A72"/>
    <w:rsid w:val="4D9C1254"/>
    <w:rsid w:val="4DA53613"/>
    <w:rsid w:val="4DB0474C"/>
    <w:rsid w:val="4E0B4C6B"/>
    <w:rsid w:val="4E313070"/>
    <w:rsid w:val="4E793892"/>
    <w:rsid w:val="4E800872"/>
    <w:rsid w:val="4EC569ED"/>
    <w:rsid w:val="4ED50EA1"/>
    <w:rsid w:val="4EEC050C"/>
    <w:rsid w:val="4F104EC3"/>
    <w:rsid w:val="4F47354A"/>
    <w:rsid w:val="4F8C2B9A"/>
    <w:rsid w:val="4F911C54"/>
    <w:rsid w:val="4FE625E0"/>
    <w:rsid w:val="5021480F"/>
    <w:rsid w:val="502D2C76"/>
    <w:rsid w:val="50962ECB"/>
    <w:rsid w:val="50A42E38"/>
    <w:rsid w:val="50A4577F"/>
    <w:rsid w:val="50B73D1F"/>
    <w:rsid w:val="50BD5BC9"/>
    <w:rsid w:val="50C11EEE"/>
    <w:rsid w:val="50E97CFC"/>
    <w:rsid w:val="50FA4028"/>
    <w:rsid w:val="510D65B7"/>
    <w:rsid w:val="511157AB"/>
    <w:rsid w:val="5142540C"/>
    <w:rsid w:val="51637B78"/>
    <w:rsid w:val="51764245"/>
    <w:rsid w:val="518832C8"/>
    <w:rsid w:val="519D3C50"/>
    <w:rsid w:val="51A0432A"/>
    <w:rsid w:val="51A86090"/>
    <w:rsid w:val="51B7396D"/>
    <w:rsid w:val="51FD16F6"/>
    <w:rsid w:val="52120376"/>
    <w:rsid w:val="522E4CC3"/>
    <w:rsid w:val="5244713B"/>
    <w:rsid w:val="52615633"/>
    <w:rsid w:val="526F4DE4"/>
    <w:rsid w:val="52977FD4"/>
    <w:rsid w:val="52A25790"/>
    <w:rsid w:val="52A96B6F"/>
    <w:rsid w:val="52B45975"/>
    <w:rsid w:val="52D94AA4"/>
    <w:rsid w:val="52EA3A62"/>
    <w:rsid w:val="52F50BB8"/>
    <w:rsid w:val="52FE08FA"/>
    <w:rsid w:val="53097272"/>
    <w:rsid w:val="53544462"/>
    <w:rsid w:val="53691369"/>
    <w:rsid w:val="536F582F"/>
    <w:rsid w:val="5397158E"/>
    <w:rsid w:val="54013861"/>
    <w:rsid w:val="543B2B99"/>
    <w:rsid w:val="54487265"/>
    <w:rsid w:val="544D6070"/>
    <w:rsid w:val="54605E1E"/>
    <w:rsid w:val="54B3506A"/>
    <w:rsid w:val="54CA0D16"/>
    <w:rsid w:val="54D728AD"/>
    <w:rsid w:val="54DD4057"/>
    <w:rsid w:val="54E7490F"/>
    <w:rsid w:val="54E96F60"/>
    <w:rsid w:val="550764A4"/>
    <w:rsid w:val="550B2BF6"/>
    <w:rsid w:val="55214EB5"/>
    <w:rsid w:val="55364EFD"/>
    <w:rsid w:val="555D4828"/>
    <w:rsid w:val="557A4C8B"/>
    <w:rsid w:val="558931E1"/>
    <w:rsid w:val="55923347"/>
    <w:rsid w:val="55925180"/>
    <w:rsid w:val="55983B1B"/>
    <w:rsid w:val="55990DAE"/>
    <w:rsid w:val="55A8376B"/>
    <w:rsid w:val="55BB6F76"/>
    <w:rsid w:val="55DC29B6"/>
    <w:rsid w:val="55DD4241"/>
    <w:rsid w:val="56101068"/>
    <w:rsid w:val="56582A17"/>
    <w:rsid w:val="566B6D1E"/>
    <w:rsid w:val="56C02A96"/>
    <w:rsid w:val="57032A2C"/>
    <w:rsid w:val="570F5219"/>
    <w:rsid w:val="575D12B5"/>
    <w:rsid w:val="57610A87"/>
    <w:rsid w:val="57783655"/>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16EBF"/>
    <w:rsid w:val="59166304"/>
    <w:rsid w:val="59493843"/>
    <w:rsid w:val="595E1678"/>
    <w:rsid w:val="596D5BD4"/>
    <w:rsid w:val="597E3DD8"/>
    <w:rsid w:val="59F80043"/>
    <w:rsid w:val="5A09252F"/>
    <w:rsid w:val="5A0B2778"/>
    <w:rsid w:val="5A1E5E52"/>
    <w:rsid w:val="5A2A7C7B"/>
    <w:rsid w:val="5A3E2560"/>
    <w:rsid w:val="5A5D3B6E"/>
    <w:rsid w:val="5A637A76"/>
    <w:rsid w:val="5A6D33BA"/>
    <w:rsid w:val="5A792B1F"/>
    <w:rsid w:val="5A874767"/>
    <w:rsid w:val="5AA85BE2"/>
    <w:rsid w:val="5AAD6F28"/>
    <w:rsid w:val="5AD63A24"/>
    <w:rsid w:val="5B2E1A1D"/>
    <w:rsid w:val="5B315670"/>
    <w:rsid w:val="5B700D42"/>
    <w:rsid w:val="5B843A1C"/>
    <w:rsid w:val="5B873E3F"/>
    <w:rsid w:val="5BDC19F5"/>
    <w:rsid w:val="5C02690E"/>
    <w:rsid w:val="5C196DA7"/>
    <w:rsid w:val="5C1B7154"/>
    <w:rsid w:val="5C2A048C"/>
    <w:rsid w:val="5C80234E"/>
    <w:rsid w:val="5C8A680C"/>
    <w:rsid w:val="5D0C4701"/>
    <w:rsid w:val="5D0F0395"/>
    <w:rsid w:val="5D221076"/>
    <w:rsid w:val="5D397964"/>
    <w:rsid w:val="5D5A391C"/>
    <w:rsid w:val="5D5F10C0"/>
    <w:rsid w:val="5D891B7B"/>
    <w:rsid w:val="5D9B1B67"/>
    <w:rsid w:val="5DAB167E"/>
    <w:rsid w:val="5DAD38EE"/>
    <w:rsid w:val="5DFD1E4B"/>
    <w:rsid w:val="5E006862"/>
    <w:rsid w:val="5E0207B9"/>
    <w:rsid w:val="5E1834A1"/>
    <w:rsid w:val="5E261785"/>
    <w:rsid w:val="5E4A7017"/>
    <w:rsid w:val="5E552BBA"/>
    <w:rsid w:val="5E611C10"/>
    <w:rsid w:val="5E705095"/>
    <w:rsid w:val="5E785187"/>
    <w:rsid w:val="5E7A0F3F"/>
    <w:rsid w:val="5E9B5562"/>
    <w:rsid w:val="5EE15C73"/>
    <w:rsid w:val="5EFC7377"/>
    <w:rsid w:val="5F06174D"/>
    <w:rsid w:val="5F1020E1"/>
    <w:rsid w:val="5F281962"/>
    <w:rsid w:val="5F3A3602"/>
    <w:rsid w:val="5F45733B"/>
    <w:rsid w:val="5F6277C6"/>
    <w:rsid w:val="5F6D0B1D"/>
    <w:rsid w:val="5F8D0B82"/>
    <w:rsid w:val="5FCC5339"/>
    <w:rsid w:val="5FE34A5B"/>
    <w:rsid w:val="5FFE1E36"/>
    <w:rsid w:val="60002500"/>
    <w:rsid w:val="601856F1"/>
    <w:rsid w:val="60232584"/>
    <w:rsid w:val="607330CE"/>
    <w:rsid w:val="60825176"/>
    <w:rsid w:val="609F2AC4"/>
    <w:rsid w:val="60F33A68"/>
    <w:rsid w:val="60FA2EE8"/>
    <w:rsid w:val="61054A27"/>
    <w:rsid w:val="610A52BC"/>
    <w:rsid w:val="611D2366"/>
    <w:rsid w:val="61421856"/>
    <w:rsid w:val="615227C4"/>
    <w:rsid w:val="61654E3F"/>
    <w:rsid w:val="6182292A"/>
    <w:rsid w:val="619F7F92"/>
    <w:rsid w:val="61E7343F"/>
    <w:rsid w:val="61F94C26"/>
    <w:rsid w:val="62000E56"/>
    <w:rsid w:val="624502F4"/>
    <w:rsid w:val="624F3E49"/>
    <w:rsid w:val="62632286"/>
    <w:rsid w:val="62724E61"/>
    <w:rsid w:val="62885958"/>
    <w:rsid w:val="62F40B65"/>
    <w:rsid w:val="62FC2CFE"/>
    <w:rsid w:val="63024505"/>
    <w:rsid w:val="63102F17"/>
    <w:rsid w:val="63316ACA"/>
    <w:rsid w:val="635600A5"/>
    <w:rsid w:val="635B1DB5"/>
    <w:rsid w:val="63711FED"/>
    <w:rsid w:val="637C150E"/>
    <w:rsid w:val="637F3391"/>
    <w:rsid w:val="63880DDC"/>
    <w:rsid w:val="638D750D"/>
    <w:rsid w:val="63AC6CC0"/>
    <w:rsid w:val="64055776"/>
    <w:rsid w:val="64065861"/>
    <w:rsid w:val="64240056"/>
    <w:rsid w:val="643E143A"/>
    <w:rsid w:val="64491666"/>
    <w:rsid w:val="648B6EEF"/>
    <w:rsid w:val="649966D5"/>
    <w:rsid w:val="64C158BF"/>
    <w:rsid w:val="64CE2EAA"/>
    <w:rsid w:val="653C3090"/>
    <w:rsid w:val="655E1860"/>
    <w:rsid w:val="65854376"/>
    <w:rsid w:val="658767BE"/>
    <w:rsid w:val="65892531"/>
    <w:rsid w:val="66195831"/>
    <w:rsid w:val="662E75B1"/>
    <w:rsid w:val="66342C2E"/>
    <w:rsid w:val="663E784C"/>
    <w:rsid w:val="664E34EF"/>
    <w:rsid w:val="66630FF8"/>
    <w:rsid w:val="668B6A45"/>
    <w:rsid w:val="66AB3C37"/>
    <w:rsid w:val="66CE552F"/>
    <w:rsid w:val="672F3F24"/>
    <w:rsid w:val="673E055F"/>
    <w:rsid w:val="67551CE3"/>
    <w:rsid w:val="67A22552"/>
    <w:rsid w:val="67B22DCC"/>
    <w:rsid w:val="67BE71AA"/>
    <w:rsid w:val="67D90273"/>
    <w:rsid w:val="67DE5875"/>
    <w:rsid w:val="67E55852"/>
    <w:rsid w:val="67E74C0F"/>
    <w:rsid w:val="67EB1AB4"/>
    <w:rsid w:val="67FA1285"/>
    <w:rsid w:val="68551F4F"/>
    <w:rsid w:val="687C10C9"/>
    <w:rsid w:val="68840C16"/>
    <w:rsid w:val="68876EFB"/>
    <w:rsid w:val="68884654"/>
    <w:rsid w:val="6894168D"/>
    <w:rsid w:val="689F444F"/>
    <w:rsid w:val="68B7406E"/>
    <w:rsid w:val="68B96DBB"/>
    <w:rsid w:val="68CA2805"/>
    <w:rsid w:val="68D0643D"/>
    <w:rsid w:val="68E937A3"/>
    <w:rsid w:val="693E15D3"/>
    <w:rsid w:val="69627681"/>
    <w:rsid w:val="69733ADD"/>
    <w:rsid w:val="6977531D"/>
    <w:rsid w:val="69AA6B70"/>
    <w:rsid w:val="69CC2BFF"/>
    <w:rsid w:val="69FD55B8"/>
    <w:rsid w:val="6A0B1C62"/>
    <w:rsid w:val="6A2406C8"/>
    <w:rsid w:val="6A9B4C5B"/>
    <w:rsid w:val="6ADE0BD1"/>
    <w:rsid w:val="6AE96859"/>
    <w:rsid w:val="6B0E09DA"/>
    <w:rsid w:val="6B147746"/>
    <w:rsid w:val="6B24787C"/>
    <w:rsid w:val="6B2807B2"/>
    <w:rsid w:val="6B4E646B"/>
    <w:rsid w:val="6B573233"/>
    <w:rsid w:val="6B5B6274"/>
    <w:rsid w:val="6B935D53"/>
    <w:rsid w:val="6BAD4BFE"/>
    <w:rsid w:val="6C196F71"/>
    <w:rsid w:val="6C226FCB"/>
    <w:rsid w:val="6C31226F"/>
    <w:rsid w:val="6C552F0B"/>
    <w:rsid w:val="6C8C67B7"/>
    <w:rsid w:val="6C9D744C"/>
    <w:rsid w:val="6CC92DD1"/>
    <w:rsid w:val="6CF47C17"/>
    <w:rsid w:val="6CF51963"/>
    <w:rsid w:val="6D167928"/>
    <w:rsid w:val="6D26299B"/>
    <w:rsid w:val="6D4772EC"/>
    <w:rsid w:val="6D8D0C68"/>
    <w:rsid w:val="6D9078AF"/>
    <w:rsid w:val="6DAA3FEF"/>
    <w:rsid w:val="6DC0172B"/>
    <w:rsid w:val="6DCB690C"/>
    <w:rsid w:val="6DD41A5B"/>
    <w:rsid w:val="6DF43C2E"/>
    <w:rsid w:val="6DF51CA3"/>
    <w:rsid w:val="6E4E22DE"/>
    <w:rsid w:val="6E8335BD"/>
    <w:rsid w:val="6E8E12EF"/>
    <w:rsid w:val="6E9154B8"/>
    <w:rsid w:val="6E972936"/>
    <w:rsid w:val="6EAF3B61"/>
    <w:rsid w:val="6EC32CCC"/>
    <w:rsid w:val="6ED446C5"/>
    <w:rsid w:val="6EF41A60"/>
    <w:rsid w:val="6F2A7D94"/>
    <w:rsid w:val="6F8331F1"/>
    <w:rsid w:val="6FAE1A09"/>
    <w:rsid w:val="6FD256EB"/>
    <w:rsid w:val="6FD75BF8"/>
    <w:rsid w:val="6FE075B7"/>
    <w:rsid w:val="70230127"/>
    <w:rsid w:val="707723D0"/>
    <w:rsid w:val="708B7819"/>
    <w:rsid w:val="708E3C26"/>
    <w:rsid w:val="70F5661B"/>
    <w:rsid w:val="711E06F7"/>
    <w:rsid w:val="71360107"/>
    <w:rsid w:val="713B688E"/>
    <w:rsid w:val="71505E4E"/>
    <w:rsid w:val="71D43752"/>
    <w:rsid w:val="71F1796A"/>
    <w:rsid w:val="72115342"/>
    <w:rsid w:val="72154626"/>
    <w:rsid w:val="72262B5D"/>
    <w:rsid w:val="72283FF7"/>
    <w:rsid w:val="722E7212"/>
    <w:rsid w:val="723A0474"/>
    <w:rsid w:val="725923E4"/>
    <w:rsid w:val="72864BF7"/>
    <w:rsid w:val="729023FC"/>
    <w:rsid w:val="72A81BF6"/>
    <w:rsid w:val="73005B71"/>
    <w:rsid w:val="73C0646E"/>
    <w:rsid w:val="7408658B"/>
    <w:rsid w:val="742222F5"/>
    <w:rsid w:val="74476126"/>
    <w:rsid w:val="74706664"/>
    <w:rsid w:val="747F3682"/>
    <w:rsid w:val="749C4185"/>
    <w:rsid w:val="75067759"/>
    <w:rsid w:val="752E6DCD"/>
    <w:rsid w:val="75411D31"/>
    <w:rsid w:val="754B0C13"/>
    <w:rsid w:val="7551380D"/>
    <w:rsid w:val="75600BE5"/>
    <w:rsid w:val="7564475C"/>
    <w:rsid w:val="75761854"/>
    <w:rsid w:val="7583797F"/>
    <w:rsid w:val="75AD3D8E"/>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07769"/>
    <w:rsid w:val="777C45C3"/>
    <w:rsid w:val="777F31F2"/>
    <w:rsid w:val="77D1700D"/>
    <w:rsid w:val="77EC04CC"/>
    <w:rsid w:val="77F211BE"/>
    <w:rsid w:val="78775729"/>
    <w:rsid w:val="78A42DB0"/>
    <w:rsid w:val="78A551F0"/>
    <w:rsid w:val="78A656AB"/>
    <w:rsid w:val="78B12922"/>
    <w:rsid w:val="78B2245C"/>
    <w:rsid w:val="78E172CC"/>
    <w:rsid w:val="78EA1D1F"/>
    <w:rsid w:val="7904172F"/>
    <w:rsid w:val="790F7E27"/>
    <w:rsid w:val="792A231A"/>
    <w:rsid w:val="79316829"/>
    <w:rsid w:val="797E66A9"/>
    <w:rsid w:val="798518A4"/>
    <w:rsid w:val="79A97383"/>
    <w:rsid w:val="79B20362"/>
    <w:rsid w:val="79E27E8B"/>
    <w:rsid w:val="79E74EC7"/>
    <w:rsid w:val="79F850CE"/>
    <w:rsid w:val="79FD443C"/>
    <w:rsid w:val="7A1D1975"/>
    <w:rsid w:val="7A3E5150"/>
    <w:rsid w:val="7A403193"/>
    <w:rsid w:val="7A4670D6"/>
    <w:rsid w:val="7A482521"/>
    <w:rsid w:val="7A534B63"/>
    <w:rsid w:val="7A615382"/>
    <w:rsid w:val="7A67303B"/>
    <w:rsid w:val="7A8D0632"/>
    <w:rsid w:val="7AAB1D04"/>
    <w:rsid w:val="7AAC6D0A"/>
    <w:rsid w:val="7AB61937"/>
    <w:rsid w:val="7ABA4368"/>
    <w:rsid w:val="7AD05746"/>
    <w:rsid w:val="7B257FFD"/>
    <w:rsid w:val="7B343476"/>
    <w:rsid w:val="7B5A2978"/>
    <w:rsid w:val="7B5A7E4C"/>
    <w:rsid w:val="7B667AF9"/>
    <w:rsid w:val="7B6B2037"/>
    <w:rsid w:val="7B7468F8"/>
    <w:rsid w:val="7B9522D5"/>
    <w:rsid w:val="7BAF216C"/>
    <w:rsid w:val="7BDF35D5"/>
    <w:rsid w:val="7BE349AD"/>
    <w:rsid w:val="7BEE0103"/>
    <w:rsid w:val="7C0A0FE4"/>
    <w:rsid w:val="7C1D7794"/>
    <w:rsid w:val="7C254906"/>
    <w:rsid w:val="7C590818"/>
    <w:rsid w:val="7C7C10F6"/>
    <w:rsid w:val="7C853BEA"/>
    <w:rsid w:val="7C881368"/>
    <w:rsid w:val="7CB77E6C"/>
    <w:rsid w:val="7CE27788"/>
    <w:rsid w:val="7D0C32F1"/>
    <w:rsid w:val="7D0F408D"/>
    <w:rsid w:val="7D491C6C"/>
    <w:rsid w:val="7D5429C0"/>
    <w:rsid w:val="7D581A36"/>
    <w:rsid w:val="7D6E6D43"/>
    <w:rsid w:val="7DB57A34"/>
    <w:rsid w:val="7DE60973"/>
    <w:rsid w:val="7DEF0916"/>
    <w:rsid w:val="7E1E5218"/>
    <w:rsid w:val="7E9A4E1F"/>
    <w:rsid w:val="7EA7723A"/>
    <w:rsid w:val="7EF053B6"/>
    <w:rsid w:val="7EF56FBB"/>
    <w:rsid w:val="7F0768EB"/>
    <w:rsid w:val="7F143BEC"/>
    <w:rsid w:val="7F171934"/>
    <w:rsid w:val="7F715AF2"/>
    <w:rsid w:val="7F886E69"/>
    <w:rsid w:val="7FC35AC6"/>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6"/>
    <w:next w:val="1"/>
    <w:qFormat/>
    <w:uiPriority w:val="0"/>
    <w:pPr>
      <w:tabs>
        <w:tab w:val="left" w:pos="900"/>
        <w:tab w:val="clear" w:pos="432"/>
      </w:tabs>
      <w:spacing w:before="260" w:after="260" w:line="416" w:lineRule="auto"/>
      <w:ind w:left="900" w:hanging="720"/>
      <w:outlineLvl w:val="2"/>
    </w:p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7"/>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8"/>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link w:val="226"/>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199"/>
    <w:qFormat/>
    <w:uiPriority w:val="0"/>
    <w:pPr>
      <w:shd w:val="clear" w:color="auto" w:fill="000080"/>
    </w:pPr>
  </w:style>
  <w:style w:type="paragraph" w:styleId="22">
    <w:name w:val="annotation text"/>
    <w:basedOn w:val="1"/>
    <w:link w:val="341"/>
    <w:qFormat/>
    <w:uiPriority w:val="99"/>
    <w:pPr>
      <w:jc w:val="left"/>
    </w:pPr>
  </w:style>
  <w:style w:type="paragraph" w:styleId="23">
    <w:name w:val="Salutation"/>
    <w:basedOn w:val="1"/>
    <w:next w:val="1"/>
    <w:link w:val="295"/>
    <w:qFormat/>
    <w:uiPriority w:val="0"/>
    <w:rPr>
      <w:rFonts w:ascii="仿宋_GB2312" w:eastAsia="仿宋_GB2312"/>
      <w:sz w:val="28"/>
      <w:szCs w:val="20"/>
    </w:rPr>
  </w:style>
  <w:style w:type="paragraph" w:styleId="24">
    <w:name w:val="Body Text 3"/>
    <w:basedOn w:val="1"/>
    <w:link w:val="327"/>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27"/>
    <w:link w:val="262"/>
    <w:qFormat/>
    <w:uiPriority w:val="0"/>
    <w:pPr>
      <w:spacing w:line="480" w:lineRule="exact"/>
      <w:ind w:firstLine="480" w:firstLineChars="200"/>
    </w:pPr>
    <w:rPr>
      <w:rFonts w:ascii="宋体" w:hAnsi="宋体"/>
      <w:sz w:val="24"/>
    </w:rPr>
  </w:style>
  <w:style w:type="paragraph" w:styleId="27">
    <w:name w:val="Body Text First Indent 2"/>
    <w:basedOn w:val="26"/>
    <w:link w:val="118"/>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2"/>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78"/>
    <w:qFormat/>
    <w:uiPriority w:val="0"/>
    <w:pPr>
      <w:ind w:left="100" w:leftChars="2500"/>
    </w:pPr>
    <w:rPr>
      <w:rFonts w:ascii="宋体"/>
      <w:sz w:val="24"/>
      <w:szCs w:val="21"/>
      <w:lang w:val="zh-CN"/>
    </w:rPr>
  </w:style>
  <w:style w:type="paragraph" w:styleId="39">
    <w:name w:val="Body Text Indent 2"/>
    <w:basedOn w:val="1"/>
    <w:link w:val="305"/>
    <w:qFormat/>
    <w:uiPriority w:val="0"/>
    <w:pPr>
      <w:spacing w:line="360" w:lineRule="auto"/>
      <w:ind w:firstLine="601"/>
      <w:textAlignment w:val="baseline"/>
    </w:pPr>
    <w:rPr>
      <w:rFonts w:ascii="宋体"/>
      <w:kern w:val="0"/>
      <w:sz w:val="28"/>
      <w:szCs w:val="20"/>
    </w:rPr>
  </w:style>
  <w:style w:type="paragraph" w:styleId="40">
    <w:name w:val="endnote text"/>
    <w:basedOn w:val="1"/>
    <w:link w:val="929"/>
    <w:qFormat/>
    <w:uiPriority w:val="0"/>
    <w:rPr>
      <w:lang w:val="zh-CN"/>
    </w:rPr>
  </w:style>
  <w:style w:type="paragraph" w:styleId="41">
    <w:name w:val="Balloon Text"/>
    <w:basedOn w:val="1"/>
    <w:link w:val="185"/>
    <w:qFormat/>
    <w:uiPriority w:val="0"/>
    <w:rPr>
      <w:sz w:val="18"/>
      <w:szCs w:val="18"/>
    </w:rPr>
  </w:style>
  <w:style w:type="paragraph" w:styleId="42">
    <w:name w:val="footer"/>
    <w:basedOn w:val="1"/>
    <w:link w:val="380"/>
    <w:qFormat/>
    <w:uiPriority w:val="99"/>
    <w:pPr>
      <w:tabs>
        <w:tab w:val="center" w:pos="4153"/>
        <w:tab w:val="right" w:pos="8306"/>
      </w:tabs>
      <w:snapToGrid w:val="0"/>
      <w:jc w:val="left"/>
    </w:pPr>
    <w:rPr>
      <w:sz w:val="18"/>
      <w:szCs w:val="18"/>
    </w:rPr>
  </w:style>
  <w:style w:type="paragraph" w:styleId="43">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8"/>
    <w:link w:val="307"/>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299"/>
    <w:qFormat/>
    <w:uiPriority w:val="0"/>
    <w:pPr>
      <w:spacing w:after="120" w:line="480" w:lineRule="auto"/>
    </w:pPr>
  </w:style>
  <w:style w:type="paragraph" w:styleId="58">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3"/>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61"/>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字符"/>
    <w:link w:val="27"/>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9"/>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8"/>
    <w:qFormat/>
    <w:uiPriority w:val="0"/>
    <w:rPr>
      <w:rFonts w:ascii="宋体"/>
      <w:kern w:val="2"/>
      <w:sz w:val="24"/>
      <w:szCs w:val="21"/>
      <w:lang w:val="zh-CN"/>
    </w:rPr>
  </w:style>
  <w:style w:type="character" w:customStyle="1" w:styleId="179">
    <w:name w:val="标题 9 字符"/>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41"/>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18"/>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spacing w:before="240" w:after="240" w:line="360" w:lineRule="auto"/>
      <w:ind w:left="851" w:right="407" w:rightChars="194" w:hanging="851"/>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21"/>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32"/>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9"/>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26"/>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60"/>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3"/>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8"/>
    <w:qFormat/>
    <w:uiPriority w:val="0"/>
    <w:rPr>
      <w:rFonts w:ascii="黑体" w:hAnsi="Courier New" w:eastAsia="黑体"/>
    </w:rPr>
  </w:style>
  <w:style w:type="character" w:customStyle="1" w:styleId="299">
    <w:name w:val="正文文本 2 字符1"/>
    <w:link w:val="57"/>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11"/>
    <w:qFormat/>
    <w:uiPriority w:val="0"/>
    <w:rPr>
      <w:b/>
      <w:bCs/>
      <w:kern w:val="2"/>
      <w:sz w:val="24"/>
      <w:szCs w:val="24"/>
    </w:rPr>
  </w:style>
  <w:style w:type="character" w:customStyle="1" w:styleId="305">
    <w:name w:val="正文文本缩进 2 字符"/>
    <w:link w:val="39"/>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52"/>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字符"/>
    <w:link w:val="3"/>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4"/>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22"/>
    <w:qFormat/>
    <w:uiPriority w:val="0"/>
    <w:rPr>
      <w:kern w:val="2"/>
      <w:sz w:val="21"/>
      <w:szCs w:val="24"/>
    </w:rPr>
  </w:style>
  <w:style w:type="character" w:customStyle="1" w:styleId="342">
    <w:name w:val="签名 字符"/>
    <w:link w:val="44"/>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4"/>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42"/>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3"/>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7"/>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spacing w:before="200" w:after="200" w:line="560" w:lineRule="exac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9"/>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4"/>
    <w:qFormat/>
    <w:uiPriority w:val="0"/>
    <w:pPr>
      <w:tabs>
        <w:tab w:val="clear" w:pos="900"/>
      </w:tabs>
      <w:spacing w:after="0" w:line="360" w:lineRule="auto"/>
    </w:pPr>
    <w:rPr>
      <w:rFonts w:asci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1"/>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pPr>
    <w:rPr>
      <w:rFonts w:ascii="Arial Narrow" w:hAnsi="Arial Narrow"/>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40"/>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11"/>
    <w:basedOn w:val="69"/>
    <w:qFormat/>
    <w:uiPriority w:val="0"/>
    <w:rPr>
      <w:rFonts w:hint="eastAsia" w:ascii="宋体" w:hAnsi="宋体" w:eastAsia="宋体" w:cs="宋体"/>
      <w:color w:val="FF0000"/>
      <w:sz w:val="16"/>
      <w:szCs w:val="16"/>
      <w:u w:val="none"/>
    </w:rPr>
  </w:style>
  <w:style w:type="character" w:customStyle="1" w:styleId="963">
    <w:name w:val="font122"/>
    <w:basedOn w:val="69"/>
    <w:qFormat/>
    <w:uiPriority w:val="0"/>
    <w:rPr>
      <w:rFonts w:hint="eastAsia" w:ascii="宋体" w:hAnsi="宋体" w:eastAsia="宋体" w:cs="宋体"/>
      <w:color w:val="000000"/>
      <w:sz w:val="16"/>
      <w:szCs w:val="16"/>
      <w:u w:val="none"/>
    </w:rPr>
  </w:style>
  <w:style w:type="character" w:customStyle="1" w:styleId="964">
    <w:name w:val="font131"/>
    <w:basedOn w:val="69"/>
    <w:qFormat/>
    <w:uiPriority w:val="0"/>
    <w:rPr>
      <w:rFonts w:ascii="Arial" w:hAnsi="Arial" w:cs="Arial"/>
      <w:color w:val="000000"/>
      <w:sz w:val="16"/>
      <w:szCs w:val="16"/>
      <w:u w:val="none"/>
    </w:rPr>
  </w:style>
  <w:style w:type="character" w:customStyle="1" w:styleId="965">
    <w:name w:val="font112"/>
    <w:basedOn w:val="69"/>
    <w:qFormat/>
    <w:uiPriority w:val="0"/>
    <w:rPr>
      <w:rFonts w:hint="eastAsia" w:ascii="宋体" w:hAnsi="宋体" w:eastAsia="宋体" w:cs="宋体"/>
      <w:color w:val="FF0000"/>
      <w:sz w:val="16"/>
      <w:szCs w:val="16"/>
      <w:u w:val="none"/>
    </w:rPr>
  </w:style>
  <w:style w:type="character" w:customStyle="1" w:styleId="966">
    <w:name w:val="font121"/>
    <w:basedOn w:val="69"/>
    <w:qFormat/>
    <w:uiPriority w:val="0"/>
    <w:rPr>
      <w:rFonts w:hint="eastAsia" w:ascii="宋体" w:hAnsi="宋体" w:eastAsia="宋体" w:cs="宋体"/>
      <w:color w:val="000000"/>
      <w:sz w:val="16"/>
      <w:szCs w:val="16"/>
      <w:u w:val="none"/>
    </w:rPr>
  </w:style>
  <w:style w:type="character" w:customStyle="1" w:styleId="967">
    <w:name w:val="font101"/>
    <w:basedOn w:val="69"/>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footer" Target="footer3.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116</Pages>
  <Words>53846</Words>
  <Characters>59070</Characters>
  <Lines>480</Lines>
  <Paragraphs>135</Paragraphs>
  <TotalTime>1</TotalTime>
  <ScaleCrop>false</ScaleCrop>
  <LinksUpToDate>false</LinksUpToDate>
  <CharactersWithSpaces>70534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JC林凡</cp:lastModifiedBy>
  <cp:lastPrinted>2021-12-27T11:06:00Z</cp:lastPrinted>
  <dcterms:modified xsi:type="dcterms:W3CDTF">2023-06-06T10:12:13Z</dcterms:modified>
  <dc:title>杭州市市民卡扩大发卡工程</dc:title>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6081351ADDD94AD1811C2CD480C01DDE_13</vt:lpwstr>
  </property>
</Properties>
</file>