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69BC1">
      <w:pPr>
        <w:adjustRightInd w:val="0"/>
        <w:snapToGrid w:val="0"/>
        <w:spacing w:line="288" w:lineRule="auto"/>
        <w:rPr>
          <w:b/>
          <w:color w:val="auto"/>
          <w:spacing w:val="-6"/>
          <w:sz w:val="44"/>
          <w:szCs w:val="44"/>
          <w:highlight w:val="none"/>
        </w:rPr>
      </w:pPr>
    </w:p>
    <w:p w14:paraId="3C8C0CA0">
      <w:pPr>
        <w:adjustRightInd w:val="0"/>
        <w:snapToGrid w:val="0"/>
        <w:spacing w:line="288" w:lineRule="auto"/>
        <w:jc w:val="center"/>
        <w:rPr>
          <w:b/>
          <w:bCs/>
          <w:color w:val="auto"/>
          <w:sz w:val="48"/>
          <w:szCs w:val="48"/>
          <w:highlight w:val="none"/>
        </w:rPr>
      </w:pPr>
      <w:r>
        <w:rPr>
          <w:rFonts w:hint="eastAsia"/>
          <w:b/>
          <w:bCs/>
          <w:color w:val="auto"/>
          <w:sz w:val="48"/>
          <w:szCs w:val="48"/>
          <w:highlight w:val="none"/>
        </w:rPr>
        <w:t>浙江树人学院</w:t>
      </w:r>
    </w:p>
    <w:p w14:paraId="52A78B6C">
      <w:pPr>
        <w:adjustRightInd w:val="0"/>
        <w:snapToGrid w:val="0"/>
        <w:spacing w:line="288" w:lineRule="auto"/>
        <w:jc w:val="center"/>
        <w:rPr>
          <w:b/>
          <w:bCs/>
          <w:color w:val="auto"/>
          <w:sz w:val="48"/>
          <w:szCs w:val="48"/>
          <w:highlight w:val="none"/>
        </w:rPr>
      </w:pPr>
      <w:r>
        <w:rPr>
          <w:rFonts w:hint="eastAsia"/>
          <w:b/>
          <w:bCs/>
          <w:color w:val="auto"/>
          <w:sz w:val="48"/>
          <w:szCs w:val="48"/>
          <w:highlight w:val="none"/>
          <w:lang w:eastAsia="zh-CN"/>
        </w:rPr>
        <w:t>后勤智慧餐厅与仓储管理系统</w:t>
      </w:r>
      <w:r>
        <w:rPr>
          <w:rFonts w:hint="eastAsia"/>
          <w:b/>
          <w:bCs/>
          <w:color w:val="auto"/>
          <w:sz w:val="48"/>
          <w:szCs w:val="48"/>
          <w:highlight w:val="none"/>
        </w:rPr>
        <w:t>项目</w:t>
      </w:r>
    </w:p>
    <w:p w14:paraId="7C1B7D24">
      <w:pPr>
        <w:adjustRightInd w:val="0"/>
        <w:snapToGrid w:val="0"/>
        <w:spacing w:line="288" w:lineRule="auto"/>
        <w:jc w:val="center"/>
        <w:rPr>
          <w:b/>
          <w:bCs/>
          <w:color w:val="auto"/>
          <w:sz w:val="48"/>
          <w:szCs w:val="48"/>
          <w:highlight w:val="none"/>
        </w:rPr>
      </w:pPr>
    </w:p>
    <w:p w14:paraId="19B09B06">
      <w:pPr>
        <w:adjustRightInd w:val="0"/>
        <w:snapToGrid w:val="0"/>
        <w:spacing w:line="288" w:lineRule="auto"/>
        <w:jc w:val="center"/>
        <w:rPr>
          <w:b/>
          <w:bCs/>
          <w:color w:val="auto"/>
          <w:sz w:val="72"/>
          <w:szCs w:val="72"/>
          <w:highlight w:val="none"/>
        </w:rPr>
      </w:pPr>
      <w:r>
        <w:rPr>
          <w:rFonts w:hint="eastAsia"/>
          <w:b/>
          <w:bCs/>
          <w:color w:val="auto"/>
          <w:sz w:val="72"/>
          <w:szCs w:val="72"/>
          <w:highlight w:val="none"/>
        </w:rPr>
        <w:t>竞争性磋商文件</w:t>
      </w:r>
    </w:p>
    <w:p w14:paraId="23467A7A">
      <w:pPr>
        <w:adjustRightInd w:val="0"/>
        <w:snapToGrid w:val="0"/>
        <w:spacing w:line="288" w:lineRule="auto"/>
        <w:jc w:val="center"/>
        <w:rPr>
          <w:b/>
          <w:bCs/>
          <w:color w:val="auto"/>
          <w:sz w:val="36"/>
          <w:szCs w:val="36"/>
          <w:highlight w:val="none"/>
        </w:rPr>
      </w:pPr>
      <w:r>
        <w:rPr>
          <w:rFonts w:hint="eastAsia"/>
          <w:b/>
          <w:bCs/>
          <w:color w:val="auto"/>
          <w:sz w:val="36"/>
          <w:szCs w:val="36"/>
          <w:highlight w:val="none"/>
        </w:rPr>
        <w:t>（线上电子交易）</w:t>
      </w:r>
    </w:p>
    <w:p w14:paraId="09173731">
      <w:pPr>
        <w:adjustRightInd w:val="0"/>
        <w:snapToGrid w:val="0"/>
        <w:spacing w:line="288" w:lineRule="auto"/>
        <w:jc w:val="center"/>
        <w:rPr>
          <w:b/>
          <w:bCs/>
          <w:color w:val="auto"/>
          <w:sz w:val="36"/>
          <w:szCs w:val="36"/>
          <w:highlight w:val="none"/>
        </w:rPr>
      </w:pPr>
    </w:p>
    <w:p w14:paraId="09076CAC">
      <w:pPr>
        <w:adjustRightInd w:val="0"/>
        <w:snapToGrid w:val="0"/>
        <w:spacing w:line="288" w:lineRule="auto"/>
        <w:jc w:val="center"/>
        <w:rPr>
          <w:b/>
          <w:bCs/>
          <w:color w:val="auto"/>
          <w:sz w:val="36"/>
          <w:szCs w:val="36"/>
          <w:highlight w:val="none"/>
        </w:rPr>
      </w:pPr>
    </w:p>
    <w:p w14:paraId="1A5BFBA2">
      <w:pPr>
        <w:pStyle w:val="24"/>
        <w:rPr>
          <w:color w:val="auto"/>
          <w:highlight w:val="none"/>
        </w:rPr>
      </w:pPr>
    </w:p>
    <w:p w14:paraId="1FA21EF6">
      <w:pPr>
        <w:adjustRightInd w:val="0"/>
        <w:snapToGrid w:val="0"/>
        <w:spacing w:line="288" w:lineRule="auto"/>
        <w:jc w:val="center"/>
        <w:rPr>
          <w:b/>
          <w:bCs/>
          <w:color w:val="auto"/>
          <w:sz w:val="36"/>
          <w:szCs w:val="36"/>
          <w:highlight w:val="none"/>
        </w:rPr>
      </w:pPr>
    </w:p>
    <w:p w14:paraId="079E91E9">
      <w:pPr>
        <w:adjustRightInd w:val="0"/>
        <w:snapToGrid w:val="0"/>
        <w:spacing w:line="288" w:lineRule="auto"/>
        <w:rPr>
          <w:b/>
          <w:bCs/>
          <w:color w:val="auto"/>
          <w:sz w:val="30"/>
          <w:szCs w:val="30"/>
          <w:highlight w:val="none"/>
        </w:rPr>
      </w:pPr>
    </w:p>
    <w:p w14:paraId="304C81DE">
      <w:pPr>
        <w:adjustRightInd w:val="0"/>
        <w:snapToGrid w:val="0"/>
        <w:spacing w:line="360" w:lineRule="auto"/>
        <w:rPr>
          <w:b/>
          <w:bCs/>
          <w:color w:val="auto"/>
          <w:sz w:val="30"/>
          <w:szCs w:val="30"/>
          <w:highlight w:val="none"/>
        </w:rPr>
      </w:pPr>
      <w:r>
        <w:rPr>
          <w:rFonts w:hint="eastAsia"/>
          <w:b/>
          <w:bCs/>
          <w:color w:val="auto"/>
          <w:sz w:val="30"/>
          <w:szCs w:val="30"/>
          <w:highlight w:val="none"/>
        </w:rPr>
        <w:t>项目名称：</w:t>
      </w:r>
      <w:r>
        <w:rPr>
          <w:rFonts w:hint="eastAsia"/>
          <w:b/>
          <w:bCs/>
          <w:color w:val="auto"/>
          <w:sz w:val="30"/>
          <w:szCs w:val="30"/>
          <w:highlight w:val="none"/>
          <w:lang w:eastAsia="zh-CN"/>
        </w:rPr>
        <w:t>后勤智慧餐厅与仓储管理系统</w:t>
      </w:r>
      <w:r>
        <w:rPr>
          <w:rFonts w:hint="eastAsia"/>
          <w:b/>
          <w:bCs/>
          <w:color w:val="auto"/>
          <w:sz w:val="30"/>
          <w:szCs w:val="30"/>
          <w:highlight w:val="none"/>
        </w:rPr>
        <w:t>项目</w:t>
      </w:r>
    </w:p>
    <w:p w14:paraId="5E45A4A7">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项目编号：</w:t>
      </w:r>
      <w:r>
        <w:rPr>
          <w:rFonts w:hint="eastAsia"/>
          <w:b/>
          <w:bCs/>
          <w:color w:val="auto"/>
          <w:sz w:val="30"/>
          <w:szCs w:val="30"/>
          <w:highlight w:val="none"/>
          <w:lang w:eastAsia="zh-CN"/>
        </w:rPr>
        <w:t>QSZBB250106ZHCS</w:t>
      </w:r>
    </w:p>
    <w:p w14:paraId="64E74FD6">
      <w:pPr>
        <w:adjustRightInd w:val="0"/>
        <w:snapToGrid w:val="0"/>
        <w:spacing w:line="360" w:lineRule="auto"/>
        <w:rPr>
          <w:b/>
          <w:bCs/>
          <w:color w:val="auto"/>
          <w:sz w:val="30"/>
          <w:szCs w:val="30"/>
          <w:highlight w:val="none"/>
        </w:rPr>
      </w:pPr>
      <w:r>
        <w:rPr>
          <w:rFonts w:hint="eastAsia"/>
          <w:b/>
          <w:bCs/>
          <w:color w:val="auto"/>
          <w:sz w:val="30"/>
          <w:szCs w:val="30"/>
          <w:highlight w:val="none"/>
        </w:rPr>
        <w:t>采 购 人：浙江树人学院</w:t>
      </w:r>
    </w:p>
    <w:p w14:paraId="51E28E14">
      <w:pPr>
        <w:adjustRightInd w:val="0"/>
        <w:snapToGrid w:val="0"/>
        <w:spacing w:line="360" w:lineRule="auto"/>
        <w:rPr>
          <w:b/>
          <w:bCs/>
          <w:color w:val="auto"/>
          <w:sz w:val="30"/>
          <w:szCs w:val="30"/>
          <w:highlight w:val="none"/>
        </w:rPr>
      </w:pPr>
      <w:r>
        <w:rPr>
          <w:rFonts w:hint="eastAsia"/>
          <w:b/>
          <w:bCs/>
          <w:color w:val="auto"/>
          <w:sz w:val="30"/>
          <w:szCs w:val="30"/>
          <w:highlight w:val="none"/>
        </w:rPr>
        <w:t>采购代理机构：浙江求是招标代理有限公司</w:t>
      </w:r>
    </w:p>
    <w:p w14:paraId="3F6754AF">
      <w:pPr>
        <w:adjustRightInd w:val="0"/>
        <w:snapToGrid w:val="0"/>
        <w:spacing w:line="360" w:lineRule="auto"/>
        <w:rPr>
          <w:rFonts w:hint="eastAsia" w:eastAsia="宋体"/>
          <w:b/>
          <w:bCs/>
          <w:color w:val="auto"/>
          <w:sz w:val="30"/>
          <w:szCs w:val="30"/>
          <w:highlight w:val="none"/>
          <w:lang w:eastAsia="zh-CN"/>
        </w:rPr>
      </w:pPr>
      <w:r>
        <w:rPr>
          <w:rFonts w:hint="eastAsia"/>
          <w:b/>
          <w:bCs/>
          <w:color w:val="auto"/>
          <w:sz w:val="30"/>
          <w:szCs w:val="30"/>
          <w:highlight w:val="none"/>
        </w:rPr>
        <w:t>采购计划文号：</w:t>
      </w:r>
      <w:r>
        <w:rPr>
          <w:rFonts w:hint="eastAsia"/>
          <w:b/>
          <w:bCs/>
          <w:color w:val="auto"/>
          <w:sz w:val="30"/>
          <w:szCs w:val="30"/>
          <w:highlight w:val="none"/>
          <w:lang w:eastAsia="zh-CN"/>
        </w:rPr>
        <w:t>[2025]40987号</w:t>
      </w:r>
    </w:p>
    <w:p w14:paraId="37B140A2">
      <w:pPr>
        <w:adjustRightInd w:val="0"/>
        <w:snapToGrid w:val="0"/>
        <w:spacing w:line="288" w:lineRule="auto"/>
        <w:rPr>
          <w:b/>
          <w:bCs/>
          <w:color w:val="auto"/>
          <w:sz w:val="30"/>
          <w:szCs w:val="30"/>
          <w:highlight w:val="none"/>
        </w:rPr>
      </w:pPr>
    </w:p>
    <w:p w14:paraId="1BE3D9E1">
      <w:pPr>
        <w:pStyle w:val="12"/>
        <w:rPr>
          <w:b/>
          <w:bCs/>
          <w:color w:val="auto"/>
          <w:sz w:val="30"/>
          <w:szCs w:val="30"/>
          <w:highlight w:val="none"/>
        </w:rPr>
      </w:pPr>
    </w:p>
    <w:p w14:paraId="09D304F3">
      <w:pPr>
        <w:pStyle w:val="10"/>
        <w:rPr>
          <w:b/>
          <w:bCs/>
          <w:color w:val="auto"/>
          <w:sz w:val="30"/>
          <w:szCs w:val="30"/>
          <w:highlight w:val="none"/>
        </w:rPr>
      </w:pPr>
    </w:p>
    <w:p w14:paraId="430F8F28">
      <w:pPr>
        <w:pStyle w:val="12"/>
        <w:rPr>
          <w:color w:val="auto"/>
          <w:highlight w:val="none"/>
        </w:rPr>
      </w:pPr>
    </w:p>
    <w:p w14:paraId="42729B6D">
      <w:pPr>
        <w:adjustRightInd w:val="0"/>
        <w:snapToGrid w:val="0"/>
        <w:spacing w:line="288" w:lineRule="auto"/>
        <w:rPr>
          <w:b/>
          <w:bCs/>
          <w:color w:val="auto"/>
          <w:sz w:val="30"/>
          <w:szCs w:val="30"/>
          <w:highlight w:val="none"/>
        </w:rPr>
      </w:pPr>
    </w:p>
    <w:p w14:paraId="38F0DD5B">
      <w:pPr>
        <w:adjustRightInd w:val="0"/>
        <w:snapToGrid w:val="0"/>
        <w:spacing w:line="288" w:lineRule="auto"/>
        <w:jc w:val="center"/>
        <w:rPr>
          <w:b/>
          <w:bCs/>
          <w:color w:val="auto"/>
          <w:sz w:val="30"/>
          <w:szCs w:val="30"/>
          <w:highlight w:val="none"/>
        </w:rPr>
        <w:sectPr>
          <w:headerReference r:id="rId5" w:type="first"/>
          <w:headerReference r:id="rId3" w:type="default"/>
          <w:headerReference r:id="rId4" w:type="even"/>
          <w:footerReference r:id="rId6" w:type="even"/>
          <w:pgSz w:w="11906" w:h="16838"/>
          <w:pgMar w:top="1247" w:right="1247" w:bottom="1247" w:left="1247" w:header="0" w:footer="692" w:gutter="0"/>
          <w:pgBorders>
            <w:top w:val="none" w:sz="0" w:space="0"/>
            <w:left w:val="none" w:sz="0" w:space="0"/>
            <w:bottom w:val="none" w:sz="0" w:space="0"/>
            <w:right w:val="none" w:sz="0" w:space="0"/>
          </w:pgBorders>
          <w:cols w:space="720" w:num="1"/>
          <w:titlePg/>
          <w:docGrid w:type="lines" w:linePitch="312" w:charSpace="0"/>
        </w:sectPr>
      </w:pPr>
      <w:r>
        <w:rPr>
          <w:rFonts w:hint="eastAsia"/>
          <w:b/>
          <w:bCs/>
          <w:color w:val="auto"/>
          <w:sz w:val="30"/>
          <w:szCs w:val="30"/>
          <w:highlight w:val="none"/>
        </w:rPr>
        <w:t>二〇二</w:t>
      </w:r>
      <w:r>
        <w:rPr>
          <w:rFonts w:hint="eastAsia"/>
          <w:b/>
          <w:bCs/>
          <w:color w:val="auto"/>
          <w:sz w:val="30"/>
          <w:szCs w:val="30"/>
          <w:highlight w:val="none"/>
          <w:lang w:val="en-US" w:eastAsia="zh-CN"/>
        </w:rPr>
        <w:t>五</w:t>
      </w:r>
      <w:r>
        <w:rPr>
          <w:rFonts w:hint="eastAsia"/>
          <w:b/>
          <w:bCs/>
          <w:color w:val="auto"/>
          <w:sz w:val="30"/>
          <w:szCs w:val="30"/>
          <w:highlight w:val="none"/>
        </w:rPr>
        <w:t>年</w:t>
      </w:r>
      <w:r>
        <w:rPr>
          <w:rFonts w:hint="eastAsia"/>
          <w:b/>
          <w:bCs/>
          <w:color w:val="auto"/>
          <w:sz w:val="30"/>
          <w:szCs w:val="30"/>
          <w:highlight w:val="none"/>
          <w:lang w:val="en-US" w:eastAsia="zh-CN"/>
        </w:rPr>
        <w:t>七</w:t>
      </w:r>
      <w:r>
        <w:rPr>
          <w:rFonts w:hint="eastAsia"/>
          <w:b/>
          <w:bCs/>
          <w:color w:val="auto"/>
          <w:sz w:val="30"/>
          <w:szCs w:val="30"/>
          <w:highlight w:val="none"/>
        </w:rPr>
        <w:t>月</w:t>
      </w:r>
    </w:p>
    <w:p w14:paraId="67A50B2E">
      <w:pPr>
        <w:widowControl/>
        <w:adjustRightInd w:val="0"/>
        <w:snapToGrid w:val="0"/>
        <w:spacing w:line="288" w:lineRule="auto"/>
        <w:rPr>
          <w:b/>
          <w:bCs/>
          <w:color w:val="auto"/>
          <w:sz w:val="21"/>
          <w:szCs w:val="21"/>
          <w:highlight w:val="none"/>
        </w:rPr>
      </w:pPr>
    </w:p>
    <w:p w14:paraId="31FD9F9D">
      <w:pPr>
        <w:jc w:val="center"/>
        <w:rPr>
          <w:color w:val="auto"/>
          <w:sz w:val="48"/>
          <w:szCs w:val="48"/>
          <w:highlight w:val="none"/>
        </w:rPr>
      </w:pPr>
      <w:r>
        <w:rPr>
          <w:color w:val="auto"/>
          <w:sz w:val="48"/>
          <w:szCs w:val="48"/>
          <w:highlight w:val="none"/>
        </w:rPr>
        <w:t>目录</w:t>
      </w:r>
    </w:p>
    <w:p w14:paraId="1108C382">
      <w:pPr>
        <w:pStyle w:val="17"/>
        <w:tabs>
          <w:tab w:val="right" w:leader="dot" w:pos="9412"/>
        </w:tabs>
        <w:spacing w:line="480" w:lineRule="auto"/>
        <w:rPr>
          <w:color w:val="auto"/>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TOC \o "1-1" \h \u </w:instrText>
      </w:r>
      <w:r>
        <w:rPr>
          <w:rFonts w:hint="eastAsia"/>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"_Toc25916" </w:instrText>
      </w:r>
      <w:r>
        <w:rPr>
          <w:color w:val="auto"/>
          <w:highlight w:val="none"/>
        </w:rPr>
        <w:fldChar w:fldCharType="separate"/>
      </w:r>
      <w:r>
        <w:rPr>
          <w:rFonts w:hint="eastAsia"/>
          <w:bCs/>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_Toc25916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F8145E9">
      <w:pPr>
        <w:pStyle w:val="17"/>
        <w:tabs>
          <w:tab w:val="right" w:leader="dot" w:pos="9412"/>
        </w:tabs>
        <w:spacing w:line="480" w:lineRule="auto"/>
        <w:rPr>
          <w:color w:val="auto"/>
          <w:highlight w:val="none"/>
        </w:rPr>
      </w:pPr>
      <w:r>
        <w:rPr>
          <w:color w:val="auto"/>
          <w:highlight w:val="none"/>
        </w:rPr>
        <w:fldChar w:fldCharType="begin"/>
      </w:r>
      <w:r>
        <w:rPr>
          <w:color w:val="auto"/>
          <w:highlight w:val="none"/>
        </w:rPr>
        <w:instrText xml:space="preserve"> HYPERLINK \l "_Toc29537" </w:instrText>
      </w:r>
      <w:r>
        <w:rPr>
          <w:color w:val="auto"/>
          <w:highlight w:val="none"/>
        </w:rPr>
        <w:fldChar w:fldCharType="separate"/>
      </w:r>
      <w:r>
        <w:rPr>
          <w:rFonts w:hint="eastAsia"/>
          <w:bCs/>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_Toc29537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11B45F4">
      <w:pPr>
        <w:pStyle w:val="17"/>
        <w:tabs>
          <w:tab w:val="right" w:leader="dot" w:pos="9412"/>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"_Toc3747" </w:instrText>
      </w:r>
      <w:r>
        <w:rPr>
          <w:color w:val="auto"/>
          <w:highlight w:val="none"/>
        </w:rPr>
        <w:fldChar w:fldCharType="separate"/>
      </w:r>
      <w:r>
        <w:rPr>
          <w:rFonts w:hint="eastAsia"/>
          <w:bCs/>
          <w:color w:val="auto"/>
          <w:szCs w:val="32"/>
          <w:highlight w:val="none"/>
        </w:rPr>
        <w:t>第三章  供应商须知</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1</w:t>
      </w:r>
    </w:p>
    <w:p w14:paraId="3A4F8AB7">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"_Toc2552" </w:instrText>
      </w:r>
      <w:r>
        <w:rPr>
          <w:color w:val="auto"/>
          <w:highlight w:val="none"/>
        </w:rPr>
        <w:fldChar w:fldCharType="separate"/>
      </w:r>
      <w:r>
        <w:rPr>
          <w:rFonts w:hint="eastAsia"/>
          <w:bCs/>
          <w:color w:val="auto"/>
          <w:szCs w:val="32"/>
          <w:highlight w:val="none"/>
        </w:rPr>
        <w:t>第四章  评审方法和评审标准</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7</w:t>
      </w:r>
    </w:p>
    <w:p w14:paraId="72811857">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"_Toc5658" </w:instrText>
      </w:r>
      <w:r>
        <w:rPr>
          <w:color w:val="auto"/>
          <w:highlight w:val="none"/>
        </w:rPr>
        <w:fldChar w:fldCharType="separate"/>
      </w:r>
      <w:r>
        <w:rPr>
          <w:rFonts w:hint="eastAsia"/>
          <w:bCs/>
          <w:color w:val="auto"/>
          <w:szCs w:val="32"/>
          <w:highlight w:val="none"/>
        </w:rPr>
        <w:t>第五章  拟签订的合同文本</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lang w:val="en-US" w:eastAsia="zh-CN"/>
        </w:rPr>
        <w:t>9</w:t>
      </w:r>
    </w:p>
    <w:p w14:paraId="37101567">
      <w:pPr>
        <w:pStyle w:val="17"/>
        <w:tabs>
          <w:tab w:val="right" w:leader="dot" w:pos="9412"/>
        </w:tabs>
        <w:spacing w:line="480" w:lineRule="auto"/>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"_Toc1796" </w:instrText>
      </w:r>
      <w:r>
        <w:rPr>
          <w:color w:val="auto"/>
          <w:highlight w:val="none"/>
        </w:rPr>
        <w:fldChar w:fldCharType="separate"/>
      </w:r>
      <w:r>
        <w:rPr>
          <w:rFonts w:hint="eastAsia"/>
          <w:bCs/>
          <w:color w:val="auto"/>
          <w:szCs w:val="32"/>
          <w:highlight w:val="none"/>
        </w:rPr>
        <w:t>第六章  响应文件格式</w:t>
      </w:r>
      <w:r>
        <w:rPr>
          <w:color w:val="auto"/>
          <w:highlight w:val="none"/>
        </w:rPr>
        <w:tab/>
      </w:r>
      <w:r>
        <w:rPr>
          <w:rFonts w:hint="eastAsia"/>
          <w:color w:val="auto"/>
          <w:highlight w:val="none"/>
          <w:lang w:val="en-US" w:eastAsia="zh-CN"/>
        </w:rPr>
        <w:t>4</w:t>
      </w:r>
      <w:r>
        <w:rPr>
          <w:rFonts w:hint="eastAsia"/>
          <w:color w:val="auto"/>
          <w:highlight w:val="none"/>
        </w:rPr>
        <w:fldChar w:fldCharType="end"/>
      </w:r>
      <w:r>
        <w:rPr>
          <w:rFonts w:hint="eastAsia"/>
          <w:bCs/>
          <w:color w:val="auto"/>
          <w:szCs w:val="28"/>
          <w:highlight w:val="none"/>
          <w:lang w:val="en-US" w:eastAsia="zh-CN"/>
        </w:rPr>
        <w:t>3</w:t>
      </w:r>
    </w:p>
    <w:p w14:paraId="3598446E">
      <w:pPr>
        <w:adjustRightInd w:val="0"/>
        <w:snapToGrid w:val="0"/>
        <w:spacing w:line="480" w:lineRule="auto"/>
        <w:rPr>
          <w:b/>
          <w:bCs/>
          <w:color w:val="auto"/>
          <w:sz w:val="28"/>
          <w:szCs w:val="28"/>
          <w:highlight w:val="none"/>
        </w:rPr>
      </w:pPr>
      <w:r>
        <w:rPr>
          <w:rFonts w:hint="eastAsia"/>
          <w:bCs/>
          <w:color w:val="auto"/>
          <w:szCs w:val="28"/>
          <w:highlight w:val="none"/>
        </w:rPr>
        <w:fldChar w:fldCharType="end"/>
      </w:r>
    </w:p>
    <w:p w14:paraId="5B32AF1A">
      <w:pPr>
        <w:adjustRightInd w:val="0"/>
        <w:snapToGrid w:val="0"/>
        <w:spacing w:line="288" w:lineRule="auto"/>
        <w:rPr>
          <w:b/>
          <w:bCs/>
          <w:color w:val="auto"/>
          <w:sz w:val="30"/>
          <w:szCs w:val="30"/>
          <w:highlight w:val="none"/>
        </w:rPr>
      </w:pPr>
    </w:p>
    <w:p w14:paraId="074B6FEA">
      <w:pPr>
        <w:adjustRightInd w:val="0"/>
        <w:snapToGrid w:val="0"/>
        <w:spacing w:line="288" w:lineRule="auto"/>
        <w:ind w:firstLine="602" w:firstLineChars="200"/>
        <w:rPr>
          <w:b/>
          <w:bCs/>
          <w:color w:val="auto"/>
          <w:sz w:val="30"/>
          <w:szCs w:val="30"/>
          <w:highlight w:val="none"/>
        </w:rPr>
        <w:sectPr>
          <w:footerReference r:id="rId7" w:type="default"/>
          <w:pgSz w:w="11906" w:h="16838"/>
          <w:pgMar w:top="1247" w:right="1247" w:bottom="1247" w:left="1247" w:header="0" w:footer="692" w:gutter="0"/>
          <w:pgBorders>
            <w:top w:val="none" w:sz="0" w:space="0"/>
            <w:left w:val="none" w:sz="0" w:space="0"/>
            <w:bottom w:val="none" w:sz="0" w:space="0"/>
            <w:right w:val="none" w:sz="0" w:space="0"/>
          </w:pgBorders>
          <w:pgNumType w:start="1"/>
          <w:cols w:space="720" w:num="1"/>
          <w:docGrid w:type="lines" w:linePitch="312" w:charSpace="0"/>
        </w:sectPr>
      </w:pPr>
    </w:p>
    <w:p w14:paraId="29894532">
      <w:pPr>
        <w:adjustRightInd w:val="0"/>
        <w:snapToGrid w:val="0"/>
        <w:spacing w:line="288" w:lineRule="auto"/>
        <w:jc w:val="center"/>
        <w:outlineLvl w:val="0"/>
        <w:rPr>
          <w:color w:val="auto"/>
          <w:sz w:val="21"/>
          <w:szCs w:val="21"/>
          <w:highlight w:val="none"/>
        </w:rPr>
      </w:pPr>
      <w:bookmarkStart w:id="0" w:name="_Toc1455"/>
      <w:bookmarkStart w:id="1" w:name="_Toc3095"/>
      <w:bookmarkStart w:id="2" w:name="_Toc4348"/>
      <w:bookmarkStart w:id="3" w:name="_Toc25717"/>
      <w:bookmarkStart w:id="4" w:name="_Toc17664"/>
      <w:bookmarkStart w:id="5" w:name="_Toc25916"/>
      <w:bookmarkStart w:id="6" w:name="_Toc1177"/>
      <w:r>
        <w:rPr>
          <w:rFonts w:hint="eastAsia"/>
          <w:b/>
          <w:bCs/>
          <w:color w:val="auto"/>
          <w:sz w:val="32"/>
          <w:szCs w:val="32"/>
          <w:highlight w:val="none"/>
        </w:rPr>
        <w:t xml:space="preserve">第一章  </w:t>
      </w:r>
      <w:bookmarkEnd w:id="0"/>
      <w:r>
        <w:rPr>
          <w:rFonts w:hint="eastAsia"/>
          <w:b/>
          <w:bCs/>
          <w:color w:val="auto"/>
          <w:sz w:val="32"/>
          <w:szCs w:val="32"/>
          <w:highlight w:val="none"/>
        </w:rPr>
        <w:t>竞争性磋商公告</w:t>
      </w:r>
      <w:bookmarkEnd w:id="1"/>
      <w:bookmarkEnd w:id="2"/>
      <w:bookmarkEnd w:id="3"/>
      <w:bookmarkEnd w:id="4"/>
      <w:bookmarkEnd w:id="5"/>
      <w:bookmarkEnd w:id="6"/>
    </w:p>
    <w:p w14:paraId="794F09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项目概况</w:t>
      </w:r>
    </w:p>
    <w:p w14:paraId="1D4F4CD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 xml:space="preserve"> 浙江树人学院</w:t>
      </w:r>
      <w:r>
        <w:rPr>
          <w:rFonts w:hint="eastAsia" w:ascii="宋体" w:hAnsi="宋体" w:eastAsia="宋体" w:cs="宋体"/>
          <w:b/>
          <w:color w:val="auto"/>
          <w:sz w:val="21"/>
          <w:szCs w:val="21"/>
          <w:highlight w:val="none"/>
          <w:u w:val="single"/>
          <w:lang w:eastAsia="zh-CN"/>
        </w:rPr>
        <w:t>后勤智慧餐厅与仓储管理系统</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项目的潜在供应商应在</w:t>
      </w:r>
      <w:r>
        <w:rPr>
          <w:rFonts w:hint="eastAsia" w:ascii="宋体" w:hAnsi="宋体" w:eastAsia="宋体" w:cs="宋体"/>
          <w:b/>
          <w:color w:val="auto"/>
          <w:sz w:val="21"/>
          <w:szCs w:val="21"/>
          <w:highlight w:val="none"/>
          <w:u w:val="single"/>
        </w:rPr>
        <w:t xml:space="preserve"> 政府采购云平台（https://www.zcygov.cn） </w:t>
      </w:r>
      <w:r>
        <w:rPr>
          <w:rFonts w:hint="eastAsia" w:ascii="宋体" w:hAnsi="宋体" w:eastAsia="宋体" w:cs="宋体"/>
          <w:b/>
          <w:color w:val="auto"/>
          <w:sz w:val="21"/>
          <w:szCs w:val="21"/>
          <w:highlight w:val="none"/>
        </w:rPr>
        <w:t>获取（下载）采购文件，并于</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eastAsia="zh-CN"/>
        </w:rPr>
        <w:t>2025年</w:t>
      </w:r>
      <w:r>
        <w:rPr>
          <w:rFonts w:hint="eastAsia" w:cs="宋体"/>
          <w:b/>
          <w:color w:val="FF0000"/>
          <w:sz w:val="21"/>
          <w:szCs w:val="21"/>
          <w:highlight w:val="none"/>
          <w:u w:val="single"/>
          <w:lang w:eastAsia="zh-CN"/>
        </w:rPr>
        <w:t>7月28日9:00:00</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bCs/>
          <w:color w:val="auto"/>
          <w:sz w:val="21"/>
          <w:szCs w:val="21"/>
          <w:highlight w:val="none"/>
        </w:rPr>
        <w:t>（北京时间）前提交（上传）响应文件</w:t>
      </w:r>
      <w:r>
        <w:rPr>
          <w:rFonts w:hint="eastAsia" w:ascii="宋体" w:hAnsi="宋体" w:eastAsia="宋体" w:cs="宋体"/>
          <w:b/>
          <w:color w:val="auto"/>
          <w:sz w:val="21"/>
          <w:szCs w:val="21"/>
          <w:highlight w:val="none"/>
        </w:rPr>
        <w:t>。</w:t>
      </w:r>
    </w:p>
    <w:p w14:paraId="47956D0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7" w:name="_Toc35393621"/>
      <w:bookmarkStart w:id="8" w:name="_Toc35393790"/>
      <w:bookmarkStart w:id="9" w:name="_Toc28359079"/>
      <w:bookmarkStart w:id="10" w:name="_Toc28359002"/>
      <w:bookmarkStart w:id="11" w:name="_Hlk24379207"/>
      <w:r>
        <w:rPr>
          <w:rFonts w:hint="eastAsia" w:ascii="宋体" w:hAnsi="宋体" w:eastAsia="宋体" w:cs="宋体"/>
          <w:b/>
          <w:color w:val="auto"/>
          <w:sz w:val="21"/>
          <w:szCs w:val="21"/>
          <w:highlight w:val="none"/>
        </w:rPr>
        <w:t>一、项目基本情况</w:t>
      </w:r>
      <w:bookmarkEnd w:id="7"/>
      <w:bookmarkEnd w:id="8"/>
      <w:bookmarkEnd w:id="9"/>
      <w:bookmarkEnd w:id="10"/>
    </w:p>
    <w:p w14:paraId="7F0B79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1.项目编号：</w:t>
      </w:r>
      <w:r>
        <w:rPr>
          <w:rFonts w:hint="eastAsia" w:cs="宋体"/>
          <w:bCs/>
          <w:color w:val="auto"/>
          <w:sz w:val="21"/>
          <w:szCs w:val="21"/>
          <w:highlight w:val="none"/>
          <w:lang w:eastAsia="zh-CN"/>
        </w:rPr>
        <w:t>QSZBB250106ZHCS</w:t>
      </w:r>
    </w:p>
    <w:p w14:paraId="7BC174C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2.项目名称：</w:t>
      </w:r>
      <w:r>
        <w:rPr>
          <w:rFonts w:hint="eastAsia" w:ascii="宋体" w:hAnsi="宋体" w:eastAsia="宋体" w:cs="宋体"/>
          <w:color w:val="auto"/>
          <w:sz w:val="21"/>
          <w:szCs w:val="21"/>
          <w:highlight w:val="none"/>
          <w:lang w:eastAsia="zh-CN"/>
        </w:rPr>
        <w:t>后勤智慧餐厅与仓储管理系统</w:t>
      </w:r>
      <w:r>
        <w:rPr>
          <w:rFonts w:hint="eastAsia" w:ascii="宋体" w:hAnsi="宋体" w:eastAsia="宋体" w:cs="宋体"/>
          <w:color w:val="auto"/>
          <w:sz w:val="21"/>
          <w:szCs w:val="21"/>
          <w:highlight w:val="none"/>
        </w:rPr>
        <w:t>项目</w:t>
      </w:r>
    </w:p>
    <w:p w14:paraId="0B9C1D2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3.采购方式：竞争性磋商</w:t>
      </w:r>
      <w:bookmarkEnd w:id="11"/>
    </w:p>
    <w:p w14:paraId="26F825E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4.预算金额（元）：</w:t>
      </w:r>
      <w:r>
        <w:rPr>
          <w:rFonts w:hint="eastAsia" w:ascii="宋体" w:hAnsi="宋体" w:eastAsia="宋体" w:cs="宋体"/>
          <w:color w:val="auto"/>
          <w:sz w:val="21"/>
          <w:szCs w:val="21"/>
          <w:highlight w:val="none"/>
          <w:lang w:val="en-US" w:eastAsia="zh-CN"/>
        </w:rPr>
        <w:t>275</w:t>
      </w:r>
      <w:r>
        <w:rPr>
          <w:rFonts w:hint="eastAsia" w:ascii="宋体" w:hAnsi="宋体" w:eastAsia="宋体" w:cs="宋体"/>
          <w:color w:val="auto"/>
          <w:sz w:val="21"/>
          <w:szCs w:val="21"/>
          <w:highlight w:val="none"/>
        </w:rPr>
        <w:t>000元</w:t>
      </w:r>
    </w:p>
    <w:p w14:paraId="2CA43BF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5.最高限价（元）：275000元，超过此最高限价作无效标处理。</w:t>
      </w:r>
    </w:p>
    <w:p w14:paraId="6510CFE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6.简要规格描述</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详见第二章“采购需求”。</w:t>
      </w:r>
    </w:p>
    <w:p w14:paraId="7DEA682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7.本项目接受联合体响应。</w:t>
      </w:r>
    </w:p>
    <w:p w14:paraId="120A0B5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8.合同履约期限：</w:t>
      </w:r>
      <w:r>
        <w:rPr>
          <w:rFonts w:hint="eastAsia" w:ascii="宋体" w:hAnsi="宋体" w:eastAsia="宋体" w:cs="宋体"/>
          <w:color w:val="auto"/>
          <w:spacing w:val="-6"/>
          <w:sz w:val="21"/>
          <w:szCs w:val="21"/>
          <w:highlight w:val="none"/>
        </w:rPr>
        <w:t>合同签订之日起</w:t>
      </w:r>
      <w:r>
        <w:rPr>
          <w:rFonts w:hint="eastAsia" w:cs="宋体"/>
          <w:color w:val="auto"/>
          <w:spacing w:val="-6"/>
          <w:sz w:val="21"/>
          <w:szCs w:val="21"/>
          <w:highlight w:val="none"/>
          <w:lang w:val="en-US" w:eastAsia="zh-CN"/>
        </w:rPr>
        <w:t>90</w:t>
      </w:r>
      <w:r>
        <w:rPr>
          <w:rFonts w:hint="eastAsia" w:ascii="宋体" w:hAnsi="宋体" w:eastAsia="宋体" w:cs="宋体"/>
          <w:color w:val="auto"/>
          <w:spacing w:val="-6"/>
          <w:sz w:val="21"/>
          <w:szCs w:val="21"/>
          <w:highlight w:val="none"/>
        </w:rPr>
        <w:t>日内安装完毕并交付，并提供不少于磋商文件要求的质保期</w:t>
      </w:r>
      <w:r>
        <w:rPr>
          <w:rFonts w:hint="eastAsia" w:ascii="宋体" w:hAnsi="宋体" w:eastAsia="宋体" w:cs="宋体"/>
          <w:color w:val="auto"/>
          <w:kern w:val="0"/>
          <w:sz w:val="21"/>
          <w:szCs w:val="21"/>
          <w:highlight w:val="none"/>
        </w:rPr>
        <w:t>。</w:t>
      </w:r>
    </w:p>
    <w:p w14:paraId="1B5D63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12" w:name="_Toc28359080"/>
      <w:bookmarkStart w:id="13" w:name="_Toc35393622"/>
      <w:bookmarkStart w:id="14" w:name="_Toc35393791"/>
      <w:bookmarkStart w:id="15" w:name="_Toc28359003"/>
      <w:r>
        <w:rPr>
          <w:rFonts w:hint="eastAsia" w:ascii="宋体" w:hAnsi="宋体" w:eastAsia="宋体" w:cs="宋体"/>
          <w:b/>
          <w:color w:val="auto"/>
          <w:sz w:val="21"/>
          <w:szCs w:val="21"/>
          <w:highlight w:val="none"/>
        </w:rPr>
        <w:t>二、申请人的资格要求：</w:t>
      </w:r>
      <w:bookmarkEnd w:id="12"/>
      <w:bookmarkEnd w:id="13"/>
      <w:bookmarkEnd w:id="14"/>
      <w:bookmarkEnd w:id="15"/>
      <w:r>
        <w:rPr>
          <w:rFonts w:hint="eastAsia" w:ascii="宋体" w:hAnsi="宋体" w:eastAsia="宋体" w:cs="宋体"/>
          <w:b/>
          <w:color w:val="auto"/>
          <w:sz w:val="21"/>
          <w:szCs w:val="21"/>
          <w:highlight w:val="none"/>
        </w:rPr>
        <w:tab/>
      </w:r>
    </w:p>
    <w:p w14:paraId="6C1389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rPr>
      </w:pPr>
      <w:bookmarkStart w:id="16" w:name="_Toc28359081"/>
      <w:bookmarkStart w:id="17" w:name="_Toc28359004"/>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AE131F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118F674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3.本项目的特定资格要求：无。</w:t>
      </w:r>
    </w:p>
    <w:p w14:paraId="5A3D979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18" w:name="_Toc35393792"/>
      <w:bookmarkStart w:id="19" w:name="_Toc35393623"/>
      <w:r>
        <w:rPr>
          <w:rFonts w:hint="eastAsia" w:ascii="宋体" w:hAnsi="宋体" w:eastAsia="宋体" w:cs="宋体"/>
          <w:b/>
          <w:color w:val="auto"/>
          <w:sz w:val="21"/>
          <w:szCs w:val="21"/>
          <w:highlight w:val="none"/>
        </w:rPr>
        <w:t>三、获取（下载）采购文件</w:t>
      </w:r>
      <w:bookmarkEnd w:id="16"/>
      <w:bookmarkEnd w:id="17"/>
      <w:bookmarkEnd w:id="18"/>
      <w:bookmarkEnd w:id="19"/>
    </w:p>
    <w:p w14:paraId="6067F46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bookmarkStart w:id="20" w:name="_Toc35393624"/>
      <w:bookmarkStart w:id="21" w:name="_Toc28359005"/>
      <w:bookmarkStart w:id="22" w:name="_Toc28359082"/>
      <w:bookmarkStart w:id="23" w:name="_Toc35393793"/>
      <w:r>
        <w:rPr>
          <w:rFonts w:hint="eastAsia" w:ascii="宋体" w:hAnsi="宋体" w:eastAsia="宋体" w:cs="宋体"/>
          <w:color w:val="auto"/>
          <w:sz w:val="21"/>
          <w:szCs w:val="21"/>
          <w:highlight w:val="none"/>
        </w:rPr>
        <w:t>时间：/至</w:t>
      </w:r>
      <w:r>
        <w:rPr>
          <w:rFonts w:hint="eastAsia" w:ascii="宋体" w:hAnsi="宋体" w:eastAsia="宋体" w:cs="宋体"/>
          <w:color w:val="auto"/>
          <w:sz w:val="21"/>
          <w:szCs w:val="21"/>
          <w:highlight w:val="none"/>
          <w:lang w:eastAsia="zh-CN"/>
        </w:rPr>
        <w:t>2025年</w:t>
      </w:r>
      <w:r>
        <w:rPr>
          <w:rFonts w:hint="eastAsia" w:cs="宋体"/>
          <w:color w:val="FF0000"/>
          <w:sz w:val="21"/>
          <w:szCs w:val="21"/>
          <w:highlight w:val="none"/>
          <w:lang w:eastAsia="zh-CN"/>
        </w:rPr>
        <w:t>7月28日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14:paraId="728032A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地点（网址）：政府采购云平台（https://www.zcygov.cn）</w:t>
      </w:r>
    </w:p>
    <w:p w14:paraId="4688E2F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方式：供应商登录政采云平台https://www.zcygov.cn/在线申请获取采购文件（进入“项目采购”应用，在获取采购文件菜单中选择项目，申请获取采购文件）</w:t>
      </w:r>
    </w:p>
    <w:p w14:paraId="1A0DD0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w:t>
      </w:r>
    </w:p>
    <w:p w14:paraId="4756E67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bookmarkEnd w:id="20"/>
      <w:bookmarkEnd w:id="21"/>
      <w:bookmarkEnd w:id="22"/>
      <w:bookmarkEnd w:id="23"/>
      <w:r>
        <w:rPr>
          <w:rFonts w:hint="eastAsia" w:ascii="宋体" w:hAnsi="宋体" w:eastAsia="宋体" w:cs="宋体"/>
          <w:b/>
          <w:color w:val="auto"/>
          <w:sz w:val="21"/>
          <w:szCs w:val="21"/>
          <w:highlight w:val="none"/>
        </w:rPr>
        <w:t>响应文件提交（上传）</w:t>
      </w:r>
    </w:p>
    <w:p w14:paraId="60D6133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2025年</w:t>
      </w:r>
      <w:r>
        <w:rPr>
          <w:rFonts w:hint="eastAsia" w:cs="宋体"/>
          <w:color w:val="FF0000"/>
          <w:sz w:val="21"/>
          <w:szCs w:val="21"/>
          <w:highlight w:val="none"/>
          <w:lang w:eastAsia="zh-CN"/>
        </w:rPr>
        <w:t>7月28日9:00:00</w:t>
      </w:r>
      <w:r>
        <w:rPr>
          <w:rFonts w:hint="eastAsia" w:ascii="宋体" w:hAnsi="宋体" w:eastAsia="宋体" w:cs="宋体"/>
          <w:bCs/>
          <w:color w:val="auto"/>
          <w:sz w:val="21"/>
          <w:szCs w:val="21"/>
          <w:highlight w:val="none"/>
        </w:rPr>
        <w:t>（北京时间）</w:t>
      </w:r>
    </w:p>
    <w:p w14:paraId="2FF4907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eastAsia="宋体" w:cs="宋体"/>
          <w:color w:val="auto"/>
          <w:sz w:val="21"/>
          <w:szCs w:val="21"/>
          <w:highlight w:val="none"/>
        </w:rPr>
        <w:t>（网址）：政府采购云平台（https://www.zcygov.cn）</w:t>
      </w:r>
    </w:p>
    <w:p w14:paraId="52E7543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24" w:name="_Toc35393794"/>
      <w:bookmarkStart w:id="25" w:name="_Toc28359007"/>
      <w:bookmarkStart w:id="26" w:name="_Toc28359084"/>
      <w:bookmarkStart w:id="27" w:name="_Toc35393625"/>
      <w:r>
        <w:rPr>
          <w:rFonts w:hint="eastAsia" w:ascii="宋体" w:hAnsi="宋体" w:eastAsia="宋体" w:cs="宋体"/>
          <w:b/>
          <w:color w:val="auto"/>
          <w:sz w:val="21"/>
          <w:szCs w:val="21"/>
          <w:highlight w:val="none"/>
        </w:rPr>
        <w:t>五、响应文件开启</w:t>
      </w:r>
    </w:p>
    <w:p w14:paraId="4D39333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开启时间：</w:t>
      </w:r>
      <w:r>
        <w:rPr>
          <w:rFonts w:hint="eastAsia" w:ascii="宋体" w:hAnsi="宋体" w:eastAsia="宋体" w:cs="宋体"/>
          <w:bCs/>
          <w:color w:val="auto"/>
          <w:sz w:val="21"/>
          <w:szCs w:val="21"/>
          <w:highlight w:val="none"/>
          <w:lang w:eastAsia="zh-CN"/>
        </w:rPr>
        <w:t>2025年</w:t>
      </w:r>
      <w:r>
        <w:rPr>
          <w:rFonts w:hint="eastAsia" w:cs="宋体"/>
          <w:bCs/>
          <w:color w:val="FF0000"/>
          <w:sz w:val="21"/>
          <w:szCs w:val="21"/>
          <w:highlight w:val="none"/>
          <w:lang w:eastAsia="zh-CN"/>
        </w:rPr>
        <w:t>7月28日9:00:00</w:t>
      </w:r>
      <w:r>
        <w:rPr>
          <w:rFonts w:hint="eastAsia" w:ascii="宋体" w:hAnsi="宋体" w:eastAsia="宋体" w:cs="宋体"/>
          <w:bCs/>
          <w:color w:val="auto"/>
          <w:sz w:val="21"/>
          <w:szCs w:val="21"/>
          <w:highlight w:val="none"/>
        </w:rPr>
        <w:t>（北京时间）</w:t>
      </w:r>
    </w:p>
    <w:p w14:paraId="2AD2890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eastAsia="宋体" w:cs="宋体"/>
          <w:color w:val="auto"/>
          <w:sz w:val="21"/>
          <w:szCs w:val="21"/>
          <w:highlight w:val="none"/>
        </w:rPr>
        <w:t>（网址）：政府采购云平台（https://www.zcygov.cn）/</w:t>
      </w:r>
      <w:bookmarkStart w:id="191" w:name="_GoBack"/>
      <w:r>
        <w:rPr>
          <w:rFonts w:hint="eastAsia" w:ascii="宋体" w:hAnsi="宋体" w:eastAsia="宋体" w:cs="宋体"/>
          <w:color w:val="FF0000"/>
          <w:sz w:val="21"/>
          <w:szCs w:val="21"/>
          <w:highlight w:val="none"/>
        </w:rPr>
        <w:t>杭州市西湖区玉古路173号中田大厦21楼（求是招标会议室</w:t>
      </w:r>
      <w:r>
        <w:rPr>
          <w:rFonts w:hint="eastAsia" w:cs="宋体"/>
          <w:color w:val="FF0000"/>
          <w:sz w:val="21"/>
          <w:szCs w:val="21"/>
          <w:highlight w:val="none"/>
          <w:lang w:val="en-US" w:eastAsia="zh-CN"/>
        </w:rPr>
        <w:t>4</w:t>
      </w:r>
      <w:r>
        <w:rPr>
          <w:rFonts w:hint="eastAsia" w:ascii="宋体" w:hAnsi="宋体" w:eastAsia="宋体" w:cs="宋体"/>
          <w:color w:val="FF0000"/>
          <w:sz w:val="21"/>
          <w:szCs w:val="21"/>
          <w:highlight w:val="none"/>
        </w:rPr>
        <w:t>）</w:t>
      </w:r>
      <w:bookmarkEnd w:id="191"/>
    </w:p>
    <w:p w14:paraId="70BD338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六、公告期限</w:t>
      </w:r>
      <w:bookmarkEnd w:id="24"/>
      <w:bookmarkEnd w:id="25"/>
      <w:bookmarkEnd w:id="26"/>
      <w:bookmarkEnd w:id="27"/>
    </w:p>
    <w:p w14:paraId="408F5B3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14:paraId="41920D4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bookmarkStart w:id="28" w:name="_Toc35393626"/>
      <w:bookmarkStart w:id="29" w:name="_Toc35393795"/>
      <w:r>
        <w:rPr>
          <w:rFonts w:hint="eastAsia" w:ascii="宋体" w:hAnsi="宋体" w:eastAsia="宋体" w:cs="宋体"/>
          <w:b/>
          <w:color w:val="auto"/>
          <w:sz w:val="21"/>
          <w:szCs w:val="21"/>
          <w:highlight w:val="none"/>
        </w:rPr>
        <w:t>七、其他补充事宜</w:t>
      </w:r>
      <w:bookmarkEnd w:id="28"/>
      <w:bookmarkEnd w:id="29"/>
    </w:p>
    <w:p w14:paraId="01D0A68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bookmarkStart w:id="30" w:name="_Toc28359008"/>
      <w:bookmarkStart w:id="31" w:name="_Toc28359085"/>
      <w:bookmarkStart w:id="32" w:name="_Toc35393627"/>
      <w:bookmarkStart w:id="33" w:name="_Toc35393796"/>
      <w:r>
        <w:rPr>
          <w:rFonts w:hint="eastAsia" w:ascii="宋体" w:hAnsi="宋体" w:eastAsia="宋体" w:cs="宋体"/>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F63AC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选择上报采购代理机构）:鼓励供应商在线提起质疑，路径为：政采云-项目采购-询问质疑投诉-质疑列表（选择上报采购代理机构）。质疑供应商对在线质疑答复不满意的，可在线提起投诉，路径为：浙江政府服务网-政府采购投诉处理-在线办理。</w:t>
      </w:r>
    </w:p>
    <w:p w14:paraId="1AEEC6B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4DD36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w:t>
      </w:r>
    </w:p>
    <w:p w14:paraId="3B20E696">
      <w:pPr>
        <w:pStyle w:val="24"/>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（1）需要落实的政府采购政策：包括节约资源、保护环境、支持科技创新、促进中小企业发展等。详见磋商文件的第三章-采购项目需要落实的政府采购政策。</w:t>
      </w:r>
    </w:p>
    <w:p w14:paraId="58C43CA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bookmarkStart w:id="34" w:name="_Hlk92271072"/>
      <w:r>
        <w:rPr>
          <w:rFonts w:hint="eastAsia" w:ascii="宋体" w:hAnsi="宋体" w:eastAsia="宋体" w:cs="宋体"/>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4"/>
    </w:p>
    <w:p w14:paraId="0CA4DE1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4D6F4B1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八、凡对本次采购提出询问、质疑、投诉请按以下方式联系</w:t>
      </w:r>
      <w:bookmarkEnd w:id="30"/>
      <w:bookmarkEnd w:id="31"/>
      <w:bookmarkEnd w:id="32"/>
      <w:bookmarkEnd w:id="33"/>
    </w:p>
    <w:p w14:paraId="3852DD0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714BA89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名称：浙江树人学院</w:t>
      </w:r>
    </w:p>
    <w:p w14:paraId="1BCBBA2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地址：杭州市拱墅区舟山东路19号</w:t>
      </w:r>
    </w:p>
    <w:p w14:paraId="501F660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3D55DA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项目联系人（询问）：李老师</w:t>
      </w:r>
    </w:p>
    <w:p w14:paraId="410C21D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项目联系方式（询问）：0571-88283298；0575-85600849</w:t>
      </w:r>
    </w:p>
    <w:p w14:paraId="159200F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质疑联系人：傅老师</w:t>
      </w:r>
    </w:p>
    <w:p w14:paraId="4709183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质疑联系方式：0571-88297208</w:t>
      </w:r>
    </w:p>
    <w:p w14:paraId="7FC93CC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p>
    <w:p w14:paraId="5CC8554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738D211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名称：浙江求是招标代理有限公司</w:t>
      </w:r>
    </w:p>
    <w:p w14:paraId="44BFD8F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地址：杭州市西湖区玉古路173号中田大厦21楼</w:t>
      </w:r>
    </w:p>
    <w:p w14:paraId="344ED65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9DC7D7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项目联系人（询问）：陈应俭、俞炳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林心怡</w:t>
      </w:r>
    </w:p>
    <w:p w14:paraId="023AF30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项目联系方式（询问）：0571-87670302</w:t>
      </w:r>
    </w:p>
    <w:p w14:paraId="177C120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质疑联系人：周安琪</w:t>
      </w:r>
    </w:p>
    <w:p w14:paraId="536DC42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14:paraId="5ED0A9A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质疑邮箱：jdkh@qszb.net</w:t>
      </w:r>
    </w:p>
    <w:p w14:paraId="2E631FE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p>
    <w:p w14:paraId="0430596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3.政府采购监督管理部门</w:t>
      </w:r>
    </w:p>
    <w:p w14:paraId="35A0CFB0">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名称：浙江树人学院纪委办公室</w:t>
      </w:r>
    </w:p>
    <w:p w14:paraId="170CDC42">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地址：杭州市拱墅区舟山东路19号</w:t>
      </w:r>
    </w:p>
    <w:p w14:paraId="66531A2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5DD0F7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联系人：齐老师</w:t>
      </w:r>
    </w:p>
    <w:p w14:paraId="2812F182">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监督投诉电话：0571-88297019</w:t>
      </w:r>
    </w:p>
    <w:p w14:paraId="07033F6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该项目由采购人处理采购争议。质疑环节，采购人委托采购代理机构处理的，可由采购代理机构答复。对质疑答复不满意的，向采购人内部设置的采购监督机构反映。</w:t>
      </w:r>
    </w:p>
    <w:p w14:paraId="581AE242">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预算金额未达100万元的采购项目，由采购人处理采购争议。</w:t>
      </w:r>
    </w:p>
    <w:p w14:paraId="45B8ABB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p>
    <w:p w14:paraId="76DBE18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2CBE7D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CA问题联系电话（人工）：汇信CA 400-888-4636；天谷CA 400-087-8198。</w:t>
      </w:r>
    </w:p>
    <w:p w14:paraId="23FDA90C">
      <w:pPr>
        <w:adjustRightInd w:val="0"/>
        <w:snapToGrid w:val="0"/>
        <w:spacing w:line="288" w:lineRule="auto"/>
        <w:ind w:firstLine="360" w:firstLineChars="200"/>
        <w:jc w:val="center"/>
        <w:rPr>
          <w:b/>
          <w:bCs/>
          <w:color w:val="auto"/>
          <w:sz w:val="32"/>
          <w:szCs w:val="32"/>
          <w:highlight w:val="none"/>
        </w:rPr>
      </w:pPr>
      <w:r>
        <w:rPr>
          <w:rFonts w:hint="eastAsia"/>
          <w:color w:val="auto"/>
          <w:sz w:val="18"/>
          <w:szCs w:val="18"/>
          <w:highlight w:val="none"/>
        </w:rPr>
        <w:br w:type="page"/>
      </w:r>
      <w:bookmarkStart w:id="35" w:name="_Toc25784"/>
      <w:bookmarkStart w:id="36" w:name="_Toc1636"/>
      <w:bookmarkStart w:id="37" w:name="_Toc731"/>
      <w:bookmarkStart w:id="38" w:name="_Toc21935"/>
      <w:bookmarkStart w:id="39" w:name="_Toc29537"/>
      <w:bookmarkStart w:id="40" w:name="_Toc28092"/>
      <w:bookmarkStart w:id="41" w:name="_Toc11034"/>
      <w:r>
        <w:rPr>
          <w:rFonts w:hint="eastAsia"/>
          <w:b/>
          <w:bCs/>
          <w:color w:val="auto"/>
          <w:sz w:val="32"/>
          <w:szCs w:val="32"/>
          <w:highlight w:val="none"/>
        </w:rPr>
        <w:t>第二章  采购需求</w:t>
      </w:r>
      <w:bookmarkEnd w:id="35"/>
      <w:bookmarkEnd w:id="36"/>
      <w:bookmarkEnd w:id="37"/>
      <w:bookmarkEnd w:id="38"/>
      <w:bookmarkEnd w:id="39"/>
      <w:bookmarkEnd w:id="40"/>
      <w:bookmarkEnd w:id="41"/>
    </w:p>
    <w:p w14:paraId="3147E558">
      <w:pPr>
        <w:adjustRightInd w:val="0"/>
        <w:snapToGrid w:val="0"/>
        <w:spacing w:line="288" w:lineRule="auto"/>
        <w:outlineLvl w:val="1"/>
        <w:rPr>
          <w:b/>
          <w:bCs/>
          <w:color w:val="auto"/>
          <w:sz w:val="21"/>
          <w:szCs w:val="21"/>
          <w:highlight w:val="none"/>
        </w:rPr>
      </w:pPr>
      <w:bookmarkStart w:id="42" w:name="_Toc9952"/>
      <w:bookmarkStart w:id="43" w:name="_Toc4451"/>
      <w:bookmarkStart w:id="44" w:name="_Toc15290"/>
      <w:r>
        <w:rPr>
          <w:rFonts w:hint="eastAsia"/>
          <w:b/>
          <w:bCs/>
          <w:color w:val="auto"/>
          <w:sz w:val="21"/>
          <w:szCs w:val="21"/>
          <w:highlight w:val="none"/>
        </w:rPr>
        <w:t>一、为落实政府采购政策需满足的要求：</w:t>
      </w:r>
      <w:bookmarkEnd w:id="42"/>
      <w:bookmarkEnd w:id="43"/>
      <w:bookmarkEnd w:id="44"/>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298"/>
        <w:gridCol w:w="5604"/>
      </w:tblGrid>
      <w:tr w14:paraId="2FA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04EC8B55">
            <w:pPr>
              <w:adjustRightInd w:val="0"/>
              <w:snapToGrid w:val="0"/>
              <w:spacing w:line="288" w:lineRule="auto"/>
              <w:jc w:val="left"/>
              <w:rPr>
                <w:b/>
                <w:bCs/>
                <w:color w:val="auto"/>
                <w:sz w:val="21"/>
                <w:szCs w:val="21"/>
                <w:highlight w:val="none"/>
              </w:rPr>
            </w:pPr>
            <w:bookmarkStart w:id="45" w:name="_Hlk45005599"/>
            <w:r>
              <w:rPr>
                <w:rFonts w:hint="eastAsia"/>
                <w:b/>
                <w:bCs/>
                <w:color w:val="auto"/>
                <w:sz w:val="21"/>
                <w:szCs w:val="21"/>
                <w:highlight w:val="none"/>
              </w:rPr>
              <w:t>序号</w:t>
            </w:r>
          </w:p>
        </w:tc>
        <w:tc>
          <w:tcPr>
            <w:tcW w:w="1714" w:type="pct"/>
            <w:tcBorders>
              <w:tl2br w:val="nil"/>
              <w:tr2bl w:val="nil"/>
            </w:tcBorders>
            <w:vAlign w:val="center"/>
          </w:tcPr>
          <w:p w14:paraId="1D6443EF">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2912" w:type="pct"/>
            <w:tcBorders>
              <w:tl2br w:val="nil"/>
              <w:tr2bl w:val="nil"/>
            </w:tcBorders>
            <w:vAlign w:val="center"/>
          </w:tcPr>
          <w:p w14:paraId="7AC33AE2">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763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BC9F600">
            <w:pPr>
              <w:adjustRightInd w:val="0"/>
              <w:snapToGrid w:val="0"/>
              <w:spacing w:line="288" w:lineRule="auto"/>
              <w:jc w:val="left"/>
              <w:rPr>
                <w:b/>
                <w:bCs/>
                <w:color w:val="auto"/>
                <w:sz w:val="21"/>
                <w:szCs w:val="21"/>
                <w:highlight w:val="none"/>
              </w:rPr>
            </w:pPr>
            <w:r>
              <w:rPr>
                <w:rFonts w:hint="eastAsia"/>
                <w:color w:val="auto"/>
                <w:sz w:val="21"/>
                <w:szCs w:val="21"/>
                <w:highlight w:val="none"/>
              </w:rPr>
              <w:t>1</w:t>
            </w:r>
          </w:p>
        </w:tc>
        <w:tc>
          <w:tcPr>
            <w:tcW w:w="1714" w:type="pct"/>
            <w:tcBorders>
              <w:tl2br w:val="nil"/>
              <w:tr2bl w:val="nil"/>
            </w:tcBorders>
            <w:vAlign w:val="center"/>
          </w:tcPr>
          <w:p w14:paraId="48DFD2C8">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2912" w:type="pct"/>
            <w:tcBorders>
              <w:tl2br w:val="nil"/>
              <w:tr2bl w:val="nil"/>
            </w:tcBorders>
            <w:vAlign w:val="center"/>
          </w:tcPr>
          <w:p w14:paraId="236E3618">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14:paraId="2194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EAE59EF">
            <w:pPr>
              <w:adjustRightInd w:val="0"/>
              <w:snapToGrid w:val="0"/>
              <w:spacing w:line="288" w:lineRule="auto"/>
              <w:jc w:val="left"/>
              <w:rPr>
                <w:b/>
                <w:bCs/>
                <w:color w:val="auto"/>
                <w:sz w:val="21"/>
                <w:szCs w:val="21"/>
                <w:highlight w:val="none"/>
              </w:rPr>
            </w:pPr>
            <w:r>
              <w:rPr>
                <w:rFonts w:hint="eastAsia"/>
                <w:color w:val="auto"/>
                <w:sz w:val="21"/>
                <w:szCs w:val="21"/>
                <w:highlight w:val="none"/>
              </w:rPr>
              <w:t>2</w:t>
            </w:r>
          </w:p>
        </w:tc>
        <w:tc>
          <w:tcPr>
            <w:tcW w:w="1714" w:type="pct"/>
            <w:tcBorders>
              <w:tl2br w:val="nil"/>
              <w:tr2bl w:val="nil"/>
            </w:tcBorders>
            <w:vAlign w:val="center"/>
          </w:tcPr>
          <w:p w14:paraId="376DA544">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2912" w:type="pct"/>
            <w:tcBorders>
              <w:tl2br w:val="nil"/>
              <w:tr2bl w:val="nil"/>
            </w:tcBorders>
            <w:vAlign w:val="center"/>
          </w:tcPr>
          <w:p w14:paraId="6E49E7D9">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12D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57B94ECB">
            <w:pPr>
              <w:adjustRightInd w:val="0"/>
              <w:snapToGrid w:val="0"/>
              <w:spacing w:line="288" w:lineRule="auto"/>
              <w:jc w:val="left"/>
              <w:rPr>
                <w:b/>
                <w:bCs/>
                <w:color w:val="auto"/>
                <w:sz w:val="21"/>
                <w:szCs w:val="21"/>
                <w:highlight w:val="none"/>
              </w:rPr>
            </w:pPr>
            <w:r>
              <w:rPr>
                <w:rFonts w:hint="eastAsia"/>
                <w:color w:val="auto"/>
                <w:sz w:val="21"/>
                <w:szCs w:val="21"/>
                <w:highlight w:val="none"/>
              </w:rPr>
              <w:t>3</w:t>
            </w:r>
          </w:p>
        </w:tc>
        <w:tc>
          <w:tcPr>
            <w:tcW w:w="1714" w:type="pct"/>
            <w:tcBorders>
              <w:tl2br w:val="nil"/>
              <w:tr2bl w:val="nil"/>
            </w:tcBorders>
            <w:vAlign w:val="center"/>
          </w:tcPr>
          <w:p w14:paraId="3146DD69">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2912" w:type="pct"/>
            <w:tcBorders>
              <w:tl2br w:val="nil"/>
              <w:tr2bl w:val="nil"/>
            </w:tcBorders>
            <w:vAlign w:val="center"/>
          </w:tcPr>
          <w:p w14:paraId="3FEDD049">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14:paraId="651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4622FC54">
            <w:pPr>
              <w:adjustRightInd w:val="0"/>
              <w:snapToGrid w:val="0"/>
              <w:spacing w:line="288" w:lineRule="auto"/>
              <w:jc w:val="left"/>
              <w:rPr>
                <w:color w:val="auto"/>
                <w:sz w:val="21"/>
                <w:szCs w:val="21"/>
                <w:highlight w:val="none"/>
              </w:rPr>
            </w:pPr>
            <w:r>
              <w:rPr>
                <w:rFonts w:hint="eastAsia"/>
                <w:color w:val="auto"/>
                <w:sz w:val="21"/>
                <w:szCs w:val="21"/>
                <w:highlight w:val="none"/>
              </w:rPr>
              <w:t>4</w:t>
            </w:r>
          </w:p>
        </w:tc>
        <w:tc>
          <w:tcPr>
            <w:tcW w:w="1714" w:type="pct"/>
            <w:tcBorders>
              <w:tl2br w:val="nil"/>
              <w:tr2bl w:val="nil"/>
            </w:tcBorders>
            <w:vAlign w:val="center"/>
          </w:tcPr>
          <w:p w14:paraId="5A8201CE">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政府采购支持科技创新</w:t>
            </w:r>
          </w:p>
        </w:tc>
        <w:tc>
          <w:tcPr>
            <w:tcW w:w="2912" w:type="pct"/>
            <w:tcBorders>
              <w:tl2br w:val="nil"/>
              <w:tr2bl w:val="nil"/>
            </w:tcBorders>
            <w:vAlign w:val="center"/>
          </w:tcPr>
          <w:p w14:paraId="125EA3E1">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提供材料详见磋商文件第六章“商务和技术文件”</w:t>
            </w:r>
          </w:p>
        </w:tc>
      </w:tr>
      <w:tr w14:paraId="4FF0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72" w:type="pct"/>
            <w:tcBorders>
              <w:tl2br w:val="nil"/>
              <w:tr2bl w:val="nil"/>
            </w:tcBorders>
            <w:vAlign w:val="center"/>
          </w:tcPr>
          <w:p w14:paraId="059203A0">
            <w:pPr>
              <w:adjustRightInd w:val="0"/>
              <w:snapToGrid w:val="0"/>
              <w:spacing w:line="288" w:lineRule="auto"/>
              <w:jc w:val="left"/>
              <w:rPr>
                <w:b/>
                <w:bCs/>
                <w:color w:val="auto"/>
                <w:sz w:val="21"/>
                <w:szCs w:val="21"/>
                <w:highlight w:val="none"/>
              </w:rPr>
            </w:pPr>
            <w:r>
              <w:rPr>
                <w:rFonts w:hint="eastAsia"/>
                <w:color w:val="auto"/>
                <w:sz w:val="21"/>
                <w:szCs w:val="21"/>
                <w:highlight w:val="none"/>
              </w:rPr>
              <w:t>5</w:t>
            </w:r>
          </w:p>
        </w:tc>
        <w:tc>
          <w:tcPr>
            <w:tcW w:w="1714" w:type="pct"/>
            <w:tcBorders>
              <w:tl2br w:val="nil"/>
              <w:tr2bl w:val="nil"/>
            </w:tcBorders>
            <w:vAlign w:val="center"/>
          </w:tcPr>
          <w:p w14:paraId="110DB6AE">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2912" w:type="pct"/>
            <w:tcBorders>
              <w:tl2br w:val="nil"/>
              <w:tr2bl w:val="nil"/>
            </w:tcBorders>
            <w:vAlign w:val="center"/>
          </w:tcPr>
          <w:p w14:paraId="50CF883F">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报价</w:t>
            </w:r>
            <w:r>
              <w:rPr>
                <w:rFonts w:hint="eastAsia"/>
                <w:color w:val="auto"/>
                <w:sz w:val="21"/>
                <w:szCs w:val="21"/>
                <w:highlight w:val="none"/>
              </w:rPr>
              <w:t>文件”</w:t>
            </w:r>
          </w:p>
          <w:p w14:paraId="1916F346">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本项目属性为：货物</w:t>
            </w:r>
          </w:p>
          <w:p w14:paraId="4C00C4D8">
            <w:pPr>
              <w:adjustRightInd w:val="0"/>
              <w:snapToGrid w:val="0"/>
              <w:spacing w:line="288" w:lineRule="auto"/>
              <w:jc w:val="left"/>
              <w:rPr>
                <w:rFonts w:hint="default" w:eastAsia="宋体"/>
                <w:b/>
                <w:bCs/>
                <w:color w:val="auto"/>
                <w:sz w:val="21"/>
                <w:szCs w:val="21"/>
                <w:highlight w:val="none"/>
                <w:lang w:val="en-US" w:eastAsia="zh-CN"/>
              </w:rPr>
            </w:pPr>
            <w:r>
              <w:rPr>
                <w:rFonts w:hint="eastAsia"/>
                <w:b/>
                <w:bCs/>
                <w:color w:val="auto"/>
                <w:sz w:val="21"/>
                <w:szCs w:val="21"/>
                <w:highlight w:val="none"/>
              </w:rPr>
              <w:t>采购标的对应的中小企业划分标准所属行业：</w:t>
            </w:r>
            <w:r>
              <w:rPr>
                <w:rFonts w:hint="eastAsia"/>
                <w:b/>
                <w:bCs/>
                <w:color w:val="auto"/>
                <w:sz w:val="21"/>
                <w:szCs w:val="21"/>
                <w:highlight w:val="none"/>
                <w:lang w:val="en-US" w:eastAsia="zh-CN"/>
              </w:rPr>
              <w:t>工业</w:t>
            </w:r>
          </w:p>
          <w:p w14:paraId="4717BB7F">
            <w:pPr>
              <w:adjustRightInd w:val="0"/>
              <w:snapToGrid w:val="0"/>
              <w:spacing w:line="288" w:lineRule="auto"/>
              <w:jc w:val="left"/>
              <w:rPr>
                <w:color w:val="auto"/>
                <w:highlight w:val="none"/>
              </w:rPr>
            </w:pPr>
            <w:r>
              <w:rPr>
                <w:rFonts w:hint="eastAsia"/>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6CE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1E4CEA8">
            <w:pPr>
              <w:adjustRightInd w:val="0"/>
              <w:snapToGrid w:val="0"/>
              <w:spacing w:line="288" w:lineRule="auto"/>
              <w:jc w:val="left"/>
              <w:rPr>
                <w:color w:val="auto"/>
                <w:sz w:val="21"/>
                <w:szCs w:val="21"/>
                <w:highlight w:val="none"/>
              </w:rPr>
            </w:pPr>
            <w:r>
              <w:rPr>
                <w:rFonts w:hint="eastAsia"/>
                <w:color w:val="auto"/>
                <w:sz w:val="21"/>
                <w:szCs w:val="21"/>
                <w:highlight w:val="none"/>
              </w:rPr>
              <w:t>6</w:t>
            </w:r>
          </w:p>
        </w:tc>
        <w:tc>
          <w:tcPr>
            <w:tcW w:w="1714" w:type="pct"/>
            <w:tcBorders>
              <w:tl2br w:val="nil"/>
              <w:tr2bl w:val="nil"/>
            </w:tcBorders>
            <w:vAlign w:val="center"/>
          </w:tcPr>
          <w:p w14:paraId="00FCD93B">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2912" w:type="pct"/>
            <w:tcBorders>
              <w:tl2br w:val="nil"/>
              <w:tr2bl w:val="nil"/>
            </w:tcBorders>
            <w:vAlign w:val="center"/>
          </w:tcPr>
          <w:p w14:paraId="7B5480E5">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提供材料详见磋商文件第六章“报价文件”</w:t>
            </w:r>
          </w:p>
        </w:tc>
      </w:tr>
      <w:tr w14:paraId="58A0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2" w:type="pct"/>
            <w:tcBorders>
              <w:tl2br w:val="nil"/>
              <w:tr2bl w:val="nil"/>
            </w:tcBorders>
            <w:vAlign w:val="center"/>
          </w:tcPr>
          <w:p w14:paraId="2D8CF524">
            <w:pPr>
              <w:adjustRightInd w:val="0"/>
              <w:snapToGrid w:val="0"/>
              <w:spacing w:line="288" w:lineRule="auto"/>
              <w:jc w:val="left"/>
              <w:rPr>
                <w:color w:val="auto"/>
                <w:sz w:val="21"/>
                <w:szCs w:val="21"/>
                <w:highlight w:val="none"/>
              </w:rPr>
            </w:pPr>
            <w:r>
              <w:rPr>
                <w:rFonts w:hint="eastAsia"/>
                <w:color w:val="auto"/>
                <w:sz w:val="21"/>
                <w:szCs w:val="21"/>
                <w:highlight w:val="none"/>
              </w:rPr>
              <w:t>7</w:t>
            </w:r>
          </w:p>
        </w:tc>
        <w:tc>
          <w:tcPr>
            <w:tcW w:w="1714" w:type="pct"/>
            <w:tcBorders>
              <w:tl2br w:val="nil"/>
              <w:tr2bl w:val="nil"/>
            </w:tcBorders>
            <w:vAlign w:val="center"/>
          </w:tcPr>
          <w:p w14:paraId="6337413F">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2912" w:type="pct"/>
            <w:tcBorders>
              <w:tl2br w:val="nil"/>
              <w:tr2bl w:val="nil"/>
            </w:tcBorders>
            <w:vAlign w:val="center"/>
          </w:tcPr>
          <w:p w14:paraId="3A5F2A62">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tc>
      </w:tr>
      <w:bookmarkEnd w:id="45"/>
    </w:tbl>
    <w:p w14:paraId="4F56C308">
      <w:pPr>
        <w:adjustRightInd w:val="0"/>
        <w:snapToGrid w:val="0"/>
        <w:spacing w:line="288" w:lineRule="auto"/>
        <w:rPr>
          <w:color w:val="auto"/>
          <w:sz w:val="21"/>
          <w:szCs w:val="21"/>
          <w:highlight w:val="none"/>
        </w:rPr>
      </w:pPr>
    </w:p>
    <w:p w14:paraId="4C241196">
      <w:pPr>
        <w:adjustRightInd w:val="0"/>
        <w:snapToGrid w:val="0"/>
        <w:spacing w:line="288" w:lineRule="auto"/>
        <w:outlineLvl w:val="1"/>
        <w:rPr>
          <w:b/>
          <w:bCs/>
          <w:color w:val="auto"/>
          <w:sz w:val="21"/>
          <w:szCs w:val="21"/>
          <w:highlight w:val="none"/>
        </w:rPr>
      </w:pPr>
      <w:bookmarkStart w:id="46" w:name="_Toc14478"/>
      <w:bookmarkStart w:id="47" w:name="_Toc31100"/>
      <w:r>
        <w:rPr>
          <w:rFonts w:hint="eastAsia"/>
          <w:b/>
          <w:bCs/>
          <w:color w:val="auto"/>
          <w:sz w:val="21"/>
          <w:szCs w:val="21"/>
          <w:highlight w:val="none"/>
        </w:rPr>
        <w:t>二、采购资金的支付方式、时间、条件：</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703"/>
      </w:tblGrid>
      <w:tr w14:paraId="2698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1C65B8AF">
            <w:pPr>
              <w:adjustRightInd w:val="0"/>
              <w:snapToGrid w:val="0"/>
              <w:spacing w:line="288" w:lineRule="auto"/>
              <w:jc w:val="center"/>
              <w:rPr>
                <w:b/>
                <w:color w:val="auto"/>
                <w:spacing w:val="-6"/>
                <w:sz w:val="21"/>
                <w:szCs w:val="21"/>
                <w:highlight w:val="none"/>
              </w:rPr>
            </w:pPr>
            <w:bookmarkStart w:id="48" w:name="_Hlk45005608"/>
            <w:r>
              <w:rPr>
                <w:rFonts w:hint="eastAsia"/>
                <w:b/>
                <w:color w:val="auto"/>
                <w:spacing w:val="-6"/>
                <w:sz w:val="21"/>
                <w:szCs w:val="21"/>
                <w:highlight w:val="none"/>
              </w:rPr>
              <w:t>▲履约保证金</w:t>
            </w:r>
          </w:p>
        </w:tc>
        <w:tc>
          <w:tcPr>
            <w:tcW w:w="4003" w:type="pct"/>
            <w:tcBorders>
              <w:tl2br w:val="nil"/>
              <w:tr2bl w:val="nil"/>
            </w:tcBorders>
            <w:vAlign w:val="center"/>
          </w:tcPr>
          <w:p w14:paraId="2A4C5072">
            <w:pPr>
              <w:adjustRightInd w:val="0"/>
              <w:snapToGrid w:val="0"/>
              <w:spacing w:line="288" w:lineRule="auto"/>
              <w:rPr>
                <w:color w:val="auto"/>
                <w:spacing w:val="-6"/>
                <w:kern w:val="0"/>
                <w:sz w:val="21"/>
                <w:szCs w:val="21"/>
                <w:highlight w:val="none"/>
              </w:rPr>
            </w:pPr>
            <w:r>
              <w:rPr>
                <w:rFonts w:hint="eastAsia"/>
                <w:color w:val="auto"/>
                <w:spacing w:val="-6"/>
                <w:kern w:val="0"/>
                <w:sz w:val="21"/>
                <w:szCs w:val="21"/>
                <w:highlight w:val="none"/>
              </w:rPr>
              <w:t>1.合同签订时，成交供应商向采购人提交合同总价1%的履约保证金，履约保证金在合同履约期间无违约情形的，项目</w:t>
            </w:r>
            <w:r>
              <w:rPr>
                <w:rFonts w:hint="eastAsia"/>
                <w:color w:val="auto"/>
                <w:spacing w:val="-6"/>
                <w:sz w:val="21"/>
                <w:szCs w:val="21"/>
                <w:highlight w:val="none"/>
              </w:rPr>
              <w:t>履约完成后</w:t>
            </w:r>
            <w:r>
              <w:rPr>
                <w:rFonts w:hint="eastAsia"/>
                <w:color w:val="auto"/>
                <w:spacing w:val="-6"/>
                <w:kern w:val="0"/>
                <w:sz w:val="21"/>
                <w:szCs w:val="21"/>
                <w:highlight w:val="none"/>
              </w:rPr>
              <w:t>，于一周内退还（不计息）；</w:t>
            </w:r>
          </w:p>
          <w:p w14:paraId="28CB867A">
            <w:pPr>
              <w:adjustRightInd w:val="0"/>
              <w:snapToGrid w:val="0"/>
              <w:spacing w:line="288" w:lineRule="auto"/>
              <w:rPr>
                <w:color w:val="auto"/>
                <w:spacing w:val="-6"/>
                <w:kern w:val="0"/>
                <w:sz w:val="21"/>
                <w:szCs w:val="21"/>
                <w:highlight w:val="none"/>
              </w:rPr>
            </w:pPr>
            <w:r>
              <w:rPr>
                <w:rFonts w:hint="eastAsia"/>
                <w:color w:val="auto"/>
                <w:spacing w:val="-6"/>
                <w:kern w:val="0"/>
                <w:sz w:val="21"/>
                <w:szCs w:val="21"/>
                <w:highlight w:val="none"/>
              </w:rPr>
              <w:t>2.提交方式：支票、汇票、本票或金融机构、担保机构出具的保函等非现金形式。</w:t>
            </w:r>
          </w:p>
        </w:tc>
      </w:tr>
      <w:tr w14:paraId="653C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6" w:type="pct"/>
            <w:tcBorders>
              <w:tl2br w:val="nil"/>
              <w:tr2bl w:val="nil"/>
            </w:tcBorders>
            <w:vAlign w:val="center"/>
          </w:tcPr>
          <w:p w14:paraId="260F43BD">
            <w:pPr>
              <w:adjustRightInd w:val="0"/>
              <w:snapToGrid w:val="0"/>
              <w:spacing w:line="288" w:lineRule="auto"/>
              <w:jc w:val="center"/>
              <w:rPr>
                <w:b/>
                <w:color w:val="auto"/>
                <w:spacing w:val="-6"/>
                <w:sz w:val="21"/>
                <w:szCs w:val="21"/>
                <w:highlight w:val="none"/>
              </w:rPr>
            </w:pPr>
            <w:r>
              <w:rPr>
                <w:rFonts w:hint="eastAsia"/>
                <w:b/>
                <w:color w:val="auto"/>
                <w:spacing w:val="-6"/>
                <w:sz w:val="21"/>
                <w:szCs w:val="21"/>
                <w:highlight w:val="none"/>
              </w:rPr>
              <w:t>▲付款方式</w:t>
            </w:r>
          </w:p>
        </w:tc>
        <w:tc>
          <w:tcPr>
            <w:tcW w:w="4003" w:type="pct"/>
            <w:tcBorders>
              <w:tl2br w:val="nil"/>
              <w:tr2bl w:val="nil"/>
            </w:tcBorders>
            <w:vAlign w:val="center"/>
          </w:tcPr>
          <w:p w14:paraId="78F6C47F">
            <w:pPr>
              <w:autoSpaceDE w:val="0"/>
              <w:autoSpaceDN w:val="0"/>
              <w:adjustRightInd w:val="0"/>
              <w:snapToGrid w:val="0"/>
              <w:spacing w:line="288" w:lineRule="auto"/>
              <w:jc w:val="left"/>
              <w:rPr>
                <w:rFonts w:hint="eastAsia"/>
                <w:color w:val="auto"/>
                <w:spacing w:val="-6"/>
                <w:kern w:val="0"/>
                <w:sz w:val="21"/>
                <w:szCs w:val="21"/>
                <w:highlight w:val="none"/>
              </w:rPr>
            </w:pPr>
            <w:r>
              <w:rPr>
                <w:rFonts w:hint="eastAsia"/>
                <w:color w:val="auto"/>
                <w:spacing w:val="-6"/>
                <w:kern w:val="0"/>
                <w:sz w:val="21"/>
                <w:szCs w:val="21"/>
                <w:highlight w:val="none"/>
              </w:rPr>
              <w:t>供应商为中小企业的，合同生效以及具备实施条件后7个工作日内，且供应商已向采购人提交银行、保险公司等金融机构出具的预付款保函的，采购人向供应商支付合同总价的40%；项目履约完成，经采购人验收合格后，收到发票后7个工作日内，采购人向供应商支付合同总价的60%。</w:t>
            </w:r>
          </w:p>
          <w:p w14:paraId="4EB44B66">
            <w:pPr>
              <w:autoSpaceDE w:val="0"/>
              <w:autoSpaceDN w:val="0"/>
              <w:adjustRightInd w:val="0"/>
              <w:snapToGrid w:val="0"/>
              <w:spacing w:line="288" w:lineRule="auto"/>
              <w:jc w:val="left"/>
              <w:rPr>
                <w:rFonts w:hint="eastAsia"/>
                <w:color w:val="auto"/>
                <w:spacing w:val="-6"/>
                <w:kern w:val="0"/>
                <w:sz w:val="21"/>
                <w:szCs w:val="21"/>
                <w:highlight w:val="none"/>
              </w:rPr>
            </w:pPr>
            <w:r>
              <w:rPr>
                <w:rFonts w:hint="eastAsia"/>
                <w:color w:val="auto"/>
                <w:spacing w:val="-6"/>
                <w:kern w:val="0"/>
                <w:sz w:val="21"/>
                <w:szCs w:val="21"/>
                <w:highlight w:val="none"/>
              </w:rPr>
              <w:t>供应商为大型企业的，项目履约完成，经采购人验收合格后，收到发票后7个工作日内，采购人向供应商支付合同总价的100%。</w:t>
            </w:r>
          </w:p>
          <w:p w14:paraId="19534F4F">
            <w:pPr>
              <w:autoSpaceDE w:val="0"/>
              <w:autoSpaceDN w:val="0"/>
              <w:adjustRightInd w:val="0"/>
              <w:snapToGrid w:val="0"/>
              <w:spacing w:line="288" w:lineRule="auto"/>
              <w:jc w:val="left"/>
              <w:rPr>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在签订合同时，供应商明确表示无需预付款或者主动要求降低预付款比例的，可降低预付款比例（预付款保函同步调整）。</w:t>
            </w:r>
          </w:p>
        </w:tc>
      </w:tr>
      <w:bookmarkEnd w:id="48"/>
    </w:tbl>
    <w:p w14:paraId="2E305D93">
      <w:pPr>
        <w:adjustRightInd w:val="0"/>
        <w:snapToGrid w:val="0"/>
        <w:spacing w:line="288" w:lineRule="auto"/>
        <w:outlineLvl w:val="1"/>
        <w:rPr>
          <w:b/>
          <w:bCs/>
          <w:color w:val="auto"/>
          <w:sz w:val="21"/>
          <w:szCs w:val="21"/>
          <w:highlight w:val="none"/>
        </w:rPr>
      </w:pPr>
      <w:bookmarkStart w:id="49" w:name="_Toc21207"/>
      <w:bookmarkStart w:id="50" w:name="_Toc3067"/>
      <w:bookmarkStart w:id="51" w:name="_Toc25406"/>
      <w:bookmarkStart w:id="52" w:name="_Toc22248"/>
    </w:p>
    <w:p w14:paraId="7471ACAE">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bookmarkEnd w:id="49"/>
      <w:bookmarkEnd w:id="50"/>
      <w:bookmarkEnd w:id="51"/>
      <w:bookmarkEnd w:id="52"/>
    </w:p>
    <w:bookmarkEnd w:id="46"/>
    <w:bookmarkEnd w:id="47"/>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8061"/>
      </w:tblGrid>
      <w:tr w14:paraId="62F7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0" w:type="pct"/>
            <w:tcBorders>
              <w:tl2br w:val="nil"/>
              <w:tr2bl w:val="nil"/>
            </w:tcBorders>
            <w:noWrap w:val="0"/>
            <w:vAlign w:val="center"/>
          </w:tcPr>
          <w:p w14:paraId="39C09580">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交付时间</w:t>
            </w:r>
          </w:p>
        </w:tc>
        <w:tc>
          <w:tcPr>
            <w:tcW w:w="4189" w:type="pct"/>
            <w:tcBorders>
              <w:tl2br w:val="nil"/>
              <w:tr2bl w:val="nil"/>
            </w:tcBorders>
            <w:noWrap w:val="0"/>
            <w:vAlign w:val="center"/>
          </w:tcPr>
          <w:p w14:paraId="6B9392AF">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自合同签订之日起</w:t>
            </w:r>
            <w:r>
              <w:rPr>
                <w:rFonts w:hint="eastAsia" w:cs="宋体"/>
                <w:color w:val="auto"/>
                <w:spacing w:val="-6"/>
                <w:sz w:val="21"/>
                <w:szCs w:val="21"/>
                <w:highlight w:val="none"/>
                <w:lang w:val="en-US" w:eastAsia="zh-CN"/>
              </w:rPr>
              <w:t>90</w:t>
            </w:r>
            <w:r>
              <w:rPr>
                <w:rFonts w:hint="eastAsia" w:ascii="宋体" w:hAnsi="宋体" w:eastAsia="宋体" w:cs="宋体"/>
                <w:color w:val="auto"/>
                <w:spacing w:val="-6"/>
                <w:sz w:val="21"/>
                <w:szCs w:val="21"/>
                <w:highlight w:val="none"/>
                <w:lang w:val="en-US" w:eastAsia="zh-CN"/>
              </w:rPr>
              <w:t>日内交付</w:t>
            </w:r>
          </w:p>
        </w:tc>
      </w:tr>
      <w:tr w14:paraId="7DD2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0" w:type="pct"/>
            <w:tcBorders>
              <w:tl2br w:val="nil"/>
              <w:tr2bl w:val="nil"/>
            </w:tcBorders>
            <w:noWrap w:val="0"/>
            <w:vAlign w:val="center"/>
          </w:tcPr>
          <w:p w14:paraId="70FF77C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交付地点</w:t>
            </w:r>
          </w:p>
        </w:tc>
        <w:tc>
          <w:tcPr>
            <w:tcW w:w="4189" w:type="pct"/>
            <w:tcBorders>
              <w:tl2br w:val="nil"/>
              <w:tr2bl w:val="nil"/>
            </w:tcBorders>
            <w:noWrap w:val="0"/>
            <w:vAlign w:val="center"/>
          </w:tcPr>
          <w:p w14:paraId="215424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采购人指定地点（杭州拱宸桥校区、绍兴杨汛桥校区）</w:t>
            </w:r>
          </w:p>
        </w:tc>
      </w:tr>
      <w:tr w14:paraId="0ADE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0" w:type="pct"/>
            <w:tcBorders>
              <w:tl2br w:val="nil"/>
              <w:tr2bl w:val="nil"/>
            </w:tcBorders>
            <w:noWrap w:val="0"/>
            <w:vAlign w:val="center"/>
          </w:tcPr>
          <w:p w14:paraId="515D155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质保期</w:t>
            </w:r>
          </w:p>
        </w:tc>
        <w:tc>
          <w:tcPr>
            <w:tcW w:w="4189" w:type="pct"/>
            <w:tcBorders>
              <w:tl2br w:val="nil"/>
              <w:tr2bl w:val="nil"/>
            </w:tcBorders>
            <w:noWrap w:val="0"/>
            <w:vAlign w:val="center"/>
          </w:tcPr>
          <w:p w14:paraId="4E7126F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年，项目验收合格后开始计算。</w:t>
            </w:r>
          </w:p>
        </w:tc>
      </w:tr>
      <w:tr w14:paraId="6A42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10" w:type="pct"/>
            <w:tcBorders>
              <w:tl2br w:val="nil"/>
              <w:tr2bl w:val="nil"/>
            </w:tcBorders>
            <w:noWrap w:val="0"/>
            <w:vAlign w:val="center"/>
          </w:tcPr>
          <w:p w14:paraId="2DF822E9">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服务保障</w:t>
            </w:r>
          </w:p>
        </w:tc>
        <w:tc>
          <w:tcPr>
            <w:tcW w:w="4189" w:type="pct"/>
            <w:tcBorders>
              <w:tl2br w:val="nil"/>
              <w:tr2bl w:val="nil"/>
            </w:tcBorders>
            <w:noWrap w:val="0"/>
            <w:vAlign w:val="center"/>
          </w:tcPr>
          <w:p w14:paraId="1E8C3AAD">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提供提供7×24电话服务和现场技术支持保修服务</w:t>
            </w:r>
            <w:r>
              <w:rPr>
                <w:rFonts w:hint="eastAsia"/>
                <w:color w:val="auto"/>
                <w:sz w:val="21"/>
                <w:szCs w:val="21"/>
                <w:highlight w:val="none"/>
              </w:rPr>
              <w:t>，内容包括免费升级、故障排除、性能调优、技术咨询等</w:t>
            </w:r>
            <w:r>
              <w:rPr>
                <w:rFonts w:hint="eastAsia"/>
                <w:color w:val="auto"/>
                <w:sz w:val="21"/>
                <w:szCs w:val="21"/>
                <w:highlight w:val="none"/>
                <w:lang w:eastAsia="zh-CN"/>
              </w:rPr>
              <w:t>。</w:t>
            </w:r>
            <w:r>
              <w:rPr>
                <w:rFonts w:hint="eastAsia" w:ascii="宋体" w:hAnsi="宋体" w:eastAsia="宋体" w:cs="宋体"/>
                <w:color w:val="auto"/>
                <w:kern w:val="0"/>
                <w:sz w:val="21"/>
                <w:szCs w:val="21"/>
                <w:highlight w:val="none"/>
              </w:rPr>
              <w:t>如系统发生故障，供应商应在1个小时内做出响应，组织技术人员进行故障的分析与排除。若需现场支持的，在2个小时内到达现场。</w:t>
            </w:r>
          </w:p>
          <w:p w14:paraId="54502B96">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2.供应商定期面向系统管理人员及普通用户进行系统回访服务，听取意见并及时分析系统存在的问题，并随时给予解决，必要时需派遣技术人员现场解决存在的问题。</w:t>
            </w:r>
          </w:p>
          <w:p w14:paraId="55294E13">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3.运行服务内容</w:t>
            </w:r>
            <w:r>
              <w:rPr>
                <w:rFonts w:hint="eastAsia" w:ascii="宋体" w:hAnsi="宋体" w:eastAsia="宋体" w:cs="宋体"/>
                <w:color w:val="auto"/>
                <w:kern w:val="0"/>
                <w:sz w:val="21"/>
                <w:szCs w:val="21"/>
                <w:highlight w:val="none"/>
                <w:lang w:eastAsia="zh-CN"/>
              </w:rPr>
              <w:t>：</w:t>
            </w:r>
          </w:p>
          <w:p w14:paraId="4019A505">
            <w:pPr>
              <w:bidi w:val="0"/>
              <w:rPr>
                <w:color w:val="auto"/>
                <w:highlight w:val="none"/>
              </w:rPr>
            </w:pPr>
            <w:r>
              <w:rPr>
                <w:rFonts w:hint="eastAsia" w:ascii="宋体" w:hAnsi="宋体" w:eastAsia="宋体" w:cs="宋体"/>
                <w:color w:val="auto"/>
                <w:kern w:val="0"/>
                <w:sz w:val="21"/>
                <w:szCs w:val="21"/>
                <w:highlight w:val="none"/>
              </w:rPr>
              <w:t>售后维护服务，定期走访或实行远程维护：收费服务的时间区间、周期、费用和详细规划，规划包括：方式、人员和详细的维护内容。</w:t>
            </w:r>
          </w:p>
          <w:p w14:paraId="6F99648D">
            <w:pPr>
              <w:bidi w:val="0"/>
              <w:rPr>
                <w:color w:val="auto"/>
                <w:sz w:val="21"/>
                <w:szCs w:val="21"/>
                <w:highlight w:val="none"/>
              </w:rPr>
            </w:pPr>
            <w:r>
              <w:rPr>
                <w:rFonts w:hint="eastAsia"/>
                <w:color w:val="auto"/>
                <w:sz w:val="21"/>
                <w:szCs w:val="21"/>
                <w:highlight w:val="none"/>
              </w:rPr>
              <w:t>（1）在合同期内，对各类故障应及时提供免费维护服务。</w:t>
            </w:r>
          </w:p>
          <w:p w14:paraId="4FEA2A02">
            <w:pPr>
              <w:bidi w:val="0"/>
              <w:rPr>
                <w:color w:val="auto"/>
                <w:sz w:val="21"/>
                <w:szCs w:val="21"/>
                <w:highlight w:val="none"/>
              </w:rPr>
            </w:pPr>
            <w:r>
              <w:rPr>
                <w:rFonts w:hint="eastAsia"/>
                <w:color w:val="auto"/>
                <w:sz w:val="21"/>
                <w:szCs w:val="21"/>
                <w:highlight w:val="none"/>
              </w:rPr>
              <w:t>（2）提供热线电话、E-mail、传真、网站等途径，随时接受采购方提出的各种技术问题，并在24小时内提出解决方案。及时发现和排除潜在问题或系统功能隐患，保证系统的稳定运行。包括但不限于以下内容：</w:t>
            </w:r>
          </w:p>
          <w:p w14:paraId="4F11B710">
            <w:pPr>
              <w:bidi w:val="0"/>
              <w:rPr>
                <w:color w:val="auto"/>
                <w:sz w:val="21"/>
                <w:szCs w:val="21"/>
                <w:highlight w:val="none"/>
              </w:rPr>
            </w:pPr>
            <w:r>
              <w:rPr>
                <w:rFonts w:hint="eastAsia"/>
                <w:color w:val="auto"/>
                <w:sz w:val="21"/>
                <w:szCs w:val="21"/>
                <w:highlight w:val="none"/>
              </w:rPr>
              <w:t>平台运行的日常监控，及时发现和排除故障，保证一线技术支持人员</w:t>
            </w:r>
            <w:r>
              <w:rPr>
                <w:color w:val="auto"/>
                <w:sz w:val="21"/>
                <w:szCs w:val="21"/>
                <w:highlight w:val="none"/>
              </w:rPr>
              <w:t>7×24</w:t>
            </w:r>
            <w:r>
              <w:rPr>
                <w:rFonts w:hint="eastAsia"/>
                <w:color w:val="auto"/>
                <w:sz w:val="21"/>
                <w:szCs w:val="21"/>
                <w:highlight w:val="none"/>
              </w:rPr>
              <w:t>小时的售后服务。</w:t>
            </w:r>
          </w:p>
          <w:p w14:paraId="1BA2D736">
            <w:pPr>
              <w:bidi w:val="0"/>
              <w:rPr>
                <w:color w:val="auto"/>
                <w:sz w:val="21"/>
                <w:szCs w:val="21"/>
                <w:highlight w:val="none"/>
              </w:rPr>
            </w:pPr>
            <w:r>
              <w:rPr>
                <w:rFonts w:hint="eastAsia"/>
                <w:color w:val="auto"/>
                <w:sz w:val="21"/>
                <w:szCs w:val="21"/>
                <w:highlight w:val="none"/>
              </w:rPr>
              <w:t>各联网接入机构系统运行日常监控，及时发现和排除故障，解决故障。</w:t>
            </w:r>
          </w:p>
          <w:p w14:paraId="5707BA31">
            <w:pPr>
              <w:bidi w:val="0"/>
              <w:rPr>
                <w:color w:val="auto"/>
                <w:sz w:val="21"/>
                <w:szCs w:val="21"/>
                <w:highlight w:val="none"/>
              </w:rPr>
            </w:pPr>
            <w:r>
              <w:rPr>
                <w:rFonts w:hint="eastAsia"/>
                <w:color w:val="auto"/>
                <w:sz w:val="21"/>
                <w:szCs w:val="21"/>
                <w:highlight w:val="none"/>
              </w:rPr>
              <w:t>供中心端的数据备份与恢复服务。</w:t>
            </w:r>
          </w:p>
          <w:p w14:paraId="211B0082">
            <w:pPr>
              <w:bidi w:val="0"/>
              <w:rPr>
                <w:color w:val="auto"/>
                <w:sz w:val="21"/>
                <w:szCs w:val="21"/>
                <w:highlight w:val="none"/>
              </w:rPr>
            </w:pPr>
            <w:r>
              <w:rPr>
                <w:rFonts w:hint="eastAsia"/>
                <w:color w:val="auto"/>
                <w:sz w:val="21"/>
                <w:szCs w:val="21"/>
                <w:highlight w:val="none"/>
              </w:rPr>
              <w:t>需要对问题进行跟踪解决，促使数据质量不断提高。</w:t>
            </w:r>
          </w:p>
          <w:p w14:paraId="4B97BC34">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）负责系统的开发、集成，处理、协调与各系统软件、硬件等供应商的关系</w:t>
            </w:r>
            <w:r>
              <w:rPr>
                <w:rFonts w:hint="eastAsia"/>
                <w:color w:val="auto"/>
                <w:sz w:val="21"/>
                <w:szCs w:val="21"/>
                <w:highlight w:val="none"/>
                <w:lang w:eastAsia="zh-CN"/>
              </w:rPr>
              <w:t>。</w:t>
            </w:r>
          </w:p>
        </w:tc>
      </w:tr>
      <w:tr w14:paraId="59C3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10" w:type="pct"/>
            <w:tcBorders>
              <w:tl2br w:val="nil"/>
              <w:tr2bl w:val="nil"/>
            </w:tcBorders>
            <w:noWrap w:val="0"/>
            <w:vAlign w:val="center"/>
          </w:tcPr>
          <w:p w14:paraId="2F8CF1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kern w:val="0"/>
                <w:sz w:val="21"/>
                <w:szCs w:val="21"/>
                <w:highlight w:val="none"/>
              </w:rPr>
              <w:t>项目实施及人员安排要求</w:t>
            </w:r>
          </w:p>
        </w:tc>
        <w:tc>
          <w:tcPr>
            <w:tcW w:w="4189" w:type="pct"/>
            <w:tcBorders>
              <w:tl2br w:val="nil"/>
              <w:tr2bl w:val="nil"/>
            </w:tcBorders>
            <w:noWrap w:val="0"/>
            <w:vAlign w:val="center"/>
          </w:tcPr>
          <w:p w14:paraId="3526F55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供应商必须成立合理的组织机构，建立健全保障项目顺利实施的各项管理制度和质量保证体系，安排好足够的高素质人才参加本项目的建设；在项目机构中应明确各岗位的职责、任职资格及成果，确保工程顺利实施。根据工作的业务性质，应配备项目经理、承担本项目工作。</w:t>
            </w:r>
          </w:p>
          <w:p w14:paraId="29577F1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2.项目组人员必须具有类似职责的集成、开发经验，能够与用户进行良好的沟通，并掌握数据治理平台管理系统的相关基础知识。</w:t>
            </w:r>
          </w:p>
          <w:p w14:paraId="0BC1432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3.参与此项目的技术人员必须具有强烈的服务意识和高度的责任感。</w:t>
            </w:r>
          </w:p>
          <w:p w14:paraId="416B6D3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4.在建设期内，项目经理应在接到学校通知4小时内到达学校现场处理问题或交流情况。</w:t>
            </w:r>
          </w:p>
        </w:tc>
      </w:tr>
      <w:tr w14:paraId="264C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10" w:type="pct"/>
            <w:tcBorders>
              <w:tl2br w:val="nil"/>
              <w:tr2bl w:val="nil"/>
            </w:tcBorders>
            <w:noWrap w:val="0"/>
            <w:vAlign w:val="center"/>
          </w:tcPr>
          <w:p w14:paraId="15E0110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kern w:val="0"/>
                <w:sz w:val="21"/>
                <w:szCs w:val="21"/>
                <w:highlight w:val="none"/>
                <w:lang w:bidi="ar"/>
              </w:rPr>
              <w:t>培训要求</w:t>
            </w:r>
          </w:p>
        </w:tc>
        <w:tc>
          <w:tcPr>
            <w:tcW w:w="4189" w:type="pct"/>
            <w:tcBorders>
              <w:tl2br w:val="nil"/>
              <w:tr2bl w:val="nil"/>
            </w:tcBorders>
            <w:noWrap w:val="0"/>
            <w:vAlign w:val="center"/>
          </w:tcPr>
          <w:p w14:paraId="405289F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培训贯穿于整个项目的实施过程中，包括在从项目准备、研发到项目运行的全过程中。提供详细的培训方案、培训内容、培训计划、软件使用、后期维护。需要提供以下几方面关于培训的描述：</w:t>
            </w:r>
          </w:p>
          <w:p w14:paraId="2CD584BC">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1.运行管理培训</w:t>
            </w:r>
          </w:p>
          <w:p w14:paraId="56FBC2E8">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使浙江树人学院的相关人员掌握有关应用系统的使用、维护和管理方法，达到能独立进行管理、故障处理、日常测试和维护等工作的目的，应进行系统的技术培训，以保证所建设的系统能够正常、安全、平稳地运行。</w:t>
            </w:r>
          </w:p>
          <w:p w14:paraId="4B407FC6">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2.培训要求：</w:t>
            </w:r>
          </w:p>
          <w:p w14:paraId="509C5283">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供应商派出的培训教师应具有丰富的同类课程的教学经验和应用经验；</w:t>
            </w:r>
          </w:p>
          <w:p w14:paraId="5DA2F54A">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所有的培训教师必须用中文授课；</w:t>
            </w:r>
          </w:p>
          <w:p w14:paraId="607C32A1">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供应商必须为所有被培训人员提供培训用文字资料和讲义等相关材料，如果培训地点在外地，供应商还应为所有被培训人员提供食宿；供应商应按合同规定安排培训时间和培训名额；</w:t>
            </w:r>
          </w:p>
          <w:p w14:paraId="7031843D">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3.培训方式：</w:t>
            </w:r>
          </w:p>
          <w:p w14:paraId="1EEFC0D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包括课堂讲解、上机操作和实际工作的参与。</w:t>
            </w:r>
          </w:p>
          <w:p w14:paraId="12FA3965">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4.培训工作的内容和对象描述：</w:t>
            </w:r>
          </w:p>
          <w:p w14:paraId="72F9718E">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进行的培训工作包括了培训方案的设计、培训制度的制定、培训开发、培训实施和培训效果评估，及时监控培训效果，保证培训课程符合浙江树人学院实际的需要。在系统运行（含试运行）的各个阶段相应的培训内容描述，培训阶段安排包括：系统管理人员培训、系统使用人员培训。各个阶段描述标题包括：培训内容、培训教师水平、参加对象、授课时间和上机操作时间。</w:t>
            </w:r>
          </w:p>
        </w:tc>
      </w:tr>
      <w:tr w14:paraId="3219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0" w:type="pct"/>
            <w:tcBorders>
              <w:tl2br w:val="nil"/>
              <w:tr2bl w:val="nil"/>
            </w:tcBorders>
            <w:noWrap w:val="0"/>
            <w:vAlign w:val="center"/>
          </w:tcPr>
          <w:p w14:paraId="5E59236F">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安全保密要求</w:t>
            </w:r>
          </w:p>
        </w:tc>
        <w:tc>
          <w:tcPr>
            <w:tcW w:w="4189" w:type="pct"/>
            <w:tcBorders>
              <w:tl2br w:val="nil"/>
              <w:tr2bl w:val="nil"/>
            </w:tcBorders>
            <w:noWrap w:val="0"/>
            <w:vAlign w:val="top"/>
          </w:tcPr>
          <w:p w14:paraId="1B71410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所有参与项目的人员并在工作中应坚持保密原则，</w:t>
            </w:r>
            <w:r>
              <w:rPr>
                <w:rFonts w:hint="eastAsia" w:ascii="宋体" w:hAnsi="宋体" w:eastAsia="宋体" w:cs="宋体"/>
                <w:color w:val="auto"/>
                <w:sz w:val="21"/>
                <w:szCs w:val="21"/>
                <w:highlight w:val="none"/>
                <w:lang w:eastAsia="zh-CN" w:bidi="ar"/>
              </w:rPr>
              <w:t>成交人</w:t>
            </w:r>
            <w:r>
              <w:rPr>
                <w:rFonts w:hint="eastAsia" w:ascii="宋体" w:hAnsi="宋体" w:eastAsia="宋体" w:cs="宋体"/>
                <w:color w:val="auto"/>
                <w:sz w:val="21"/>
                <w:szCs w:val="21"/>
                <w:highlight w:val="none"/>
                <w:lang w:bidi="ar"/>
              </w:rPr>
              <w:t>严格规范执行各项保密制度，对在项目招标、建设、质保各阶段取得采购人各类信息进行保密管理，杜绝任何泄密事件的发生。</w:t>
            </w:r>
          </w:p>
        </w:tc>
      </w:tr>
      <w:tr w14:paraId="3DAB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0" w:type="pct"/>
            <w:tcBorders>
              <w:tl2br w:val="nil"/>
              <w:tr2bl w:val="nil"/>
            </w:tcBorders>
            <w:noWrap w:val="0"/>
            <w:vAlign w:val="center"/>
          </w:tcPr>
          <w:p w14:paraId="7C76DA0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bidi="ar"/>
              </w:rPr>
              <w:t>成果交付要求</w:t>
            </w:r>
          </w:p>
        </w:tc>
        <w:tc>
          <w:tcPr>
            <w:tcW w:w="4189" w:type="pct"/>
            <w:tcBorders>
              <w:tl2br w:val="nil"/>
              <w:tr2bl w:val="nil"/>
            </w:tcBorders>
            <w:noWrap w:val="0"/>
            <w:vAlign w:val="top"/>
          </w:tcPr>
          <w:p w14:paraId="7438377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交付成果和文档资料</w:t>
            </w:r>
          </w:p>
          <w:p w14:paraId="302B69D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本期项目的开发过程中和交付使用后，要求将各个阶段产生的全面、规范的成果和文档资料交付给浙江树人学院，而且要提供明确的交付清单。同时，成果和文档资料必须符合软件工程的相关要求。要交付的成果和文档资料主要包括以下部分：</w:t>
            </w:r>
          </w:p>
          <w:p w14:paraId="53A7709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（1）可运行的系统。</w:t>
            </w:r>
          </w:p>
          <w:p w14:paraId="2AED67A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14:paraId="15DD198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（3）管理文档：包括项目开发中的一些工作文档，如，计划、报告、讨论纲要、会议记录等。</w:t>
            </w:r>
          </w:p>
          <w:p w14:paraId="239967A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（4）版权归属及使用要求：该系统的使用权为浙江树人学院完全拥有。</w:t>
            </w:r>
          </w:p>
        </w:tc>
      </w:tr>
      <w:tr w14:paraId="2ABC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0" w:type="pct"/>
            <w:tcBorders>
              <w:tl2br w:val="nil"/>
              <w:tr2bl w:val="nil"/>
            </w:tcBorders>
            <w:noWrap w:val="0"/>
            <w:vAlign w:val="center"/>
          </w:tcPr>
          <w:p w14:paraId="5B8DD52A">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履约验收</w:t>
            </w:r>
          </w:p>
        </w:tc>
        <w:tc>
          <w:tcPr>
            <w:tcW w:w="4189" w:type="pct"/>
            <w:tcBorders>
              <w:tl2br w:val="nil"/>
              <w:tr2bl w:val="nil"/>
            </w:tcBorders>
            <w:noWrap w:val="0"/>
            <w:vAlign w:val="top"/>
          </w:tcPr>
          <w:p w14:paraId="0F0B053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1.项目总体完成以后，须向采购人提交项目验收申请，采购人组织工作组对项目进行验收；</w:t>
            </w:r>
          </w:p>
          <w:p w14:paraId="258CD04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2.采购人在收到项目验收申请的10个工作日内，组织专家验收，并向中标方提供项目验收报告。</w:t>
            </w:r>
          </w:p>
          <w:p w14:paraId="6FF34EF3">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3.投标方必须提供完整的项目验收方案。</w:t>
            </w:r>
          </w:p>
          <w:p w14:paraId="73467E56">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4.验收标准</w:t>
            </w:r>
          </w:p>
          <w:p w14:paraId="16501C3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4.1 验收由采购人负责实施；</w:t>
            </w:r>
          </w:p>
          <w:p w14:paraId="5A2005D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4.2 验收依据；</w:t>
            </w:r>
          </w:p>
          <w:p w14:paraId="1329E27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合同、招标文件、投标文件；</w:t>
            </w:r>
          </w:p>
          <w:p w14:paraId="4DDA9F5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供应商提供的技术规格、经采购人认可的合同货物的有效检验文件；</w:t>
            </w:r>
          </w:p>
          <w:p w14:paraId="703433F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供应商投标文件中提供的经采购人认可的合同货物的验收标准（符合中国有关的国家、地方、行业标准）和检测办法及相应检测手段。</w:t>
            </w:r>
          </w:p>
          <w:p w14:paraId="0589B86B">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4.3 验收合格的条件：</w:t>
            </w:r>
          </w:p>
          <w:p w14:paraId="4DC8A3F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所供产品符合产品标准和及合同的要求；</w:t>
            </w:r>
          </w:p>
          <w:p w14:paraId="7DA70CA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在进行测试和验收过程中发现的问题已被解决并得到采购人的认可；</w:t>
            </w:r>
          </w:p>
          <w:p w14:paraId="73447F5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合同中规定的所有产品和材料均已交付；</w:t>
            </w:r>
          </w:p>
          <w:p w14:paraId="6938951F">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所供货物已通过使用单位组织的验收；</w:t>
            </w:r>
          </w:p>
          <w:p w14:paraId="169379C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所有相关的技术文件及资料均已提交并得到接受。</w:t>
            </w:r>
          </w:p>
          <w:p w14:paraId="068B3B7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4.4 质量保证措施：需要对项目的建设进行科学严格的质量管理，提供有效的手段和保障措施。</w:t>
            </w:r>
          </w:p>
        </w:tc>
      </w:tr>
    </w:tbl>
    <w:p w14:paraId="16D65D28">
      <w:pPr>
        <w:numPr>
          <w:ilvl w:val="0"/>
          <w:numId w:val="0"/>
        </w:numPr>
        <w:adjustRightInd w:val="0"/>
        <w:snapToGrid w:val="0"/>
        <w:spacing w:line="288" w:lineRule="auto"/>
        <w:outlineLvl w:val="1"/>
        <w:rPr>
          <w:b/>
          <w:bCs/>
          <w:color w:val="auto"/>
          <w:sz w:val="21"/>
          <w:szCs w:val="21"/>
          <w:highlight w:val="none"/>
        </w:rPr>
      </w:pPr>
      <w:r>
        <w:rPr>
          <w:rFonts w:hint="eastAsia"/>
          <w:b/>
          <w:bCs/>
          <w:color w:val="auto"/>
          <w:sz w:val="21"/>
          <w:szCs w:val="21"/>
          <w:highlight w:val="none"/>
          <w:lang w:val="en-US" w:eastAsia="zh-CN"/>
        </w:rPr>
        <w:t>四、</w:t>
      </w:r>
      <w:r>
        <w:rPr>
          <w:rFonts w:hint="eastAsia"/>
          <w:b/>
          <w:bCs/>
          <w:color w:val="auto"/>
          <w:sz w:val="21"/>
          <w:szCs w:val="21"/>
          <w:highlight w:val="none"/>
        </w:rPr>
        <w:t>技术要求</w:t>
      </w:r>
    </w:p>
    <w:p w14:paraId="11EA8BC5">
      <w:pPr>
        <w:adjustRightInd w:val="0"/>
        <w:snapToGrid w:val="0"/>
        <w:spacing w:line="288" w:lineRule="auto"/>
        <w:rPr>
          <w:b/>
          <w:bCs/>
          <w:color w:val="auto"/>
          <w:sz w:val="21"/>
          <w:szCs w:val="21"/>
          <w:highlight w:val="none"/>
        </w:rPr>
      </w:pPr>
      <w:r>
        <w:rPr>
          <w:rFonts w:hint="eastAsia"/>
          <w:b/>
          <w:bCs/>
          <w:color w:val="auto"/>
          <w:sz w:val="21"/>
          <w:szCs w:val="21"/>
          <w:highlight w:val="none"/>
        </w:rPr>
        <w:t>1.需执行的国家相关标准、行业标准、地方标准或者其他标准、规范：</w:t>
      </w:r>
      <w:r>
        <w:rPr>
          <w:rFonts w:hint="eastAsia"/>
          <w:color w:val="auto"/>
          <w:sz w:val="21"/>
          <w:szCs w:val="21"/>
          <w:highlight w:val="none"/>
        </w:rPr>
        <w:t>如技术要求中未注明需执行的国家相关标准、行业标准、地方标准或者其他标准、规范的，执行最新标准、规范。</w:t>
      </w:r>
    </w:p>
    <w:p w14:paraId="7329C355">
      <w:pPr>
        <w:adjustRightInd w:val="0"/>
        <w:snapToGrid w:val="0"/>
        <w:spacing w:line="288" w:lineRule="auto"/>
        <w:rPr>
          <w:b/>
          <w:bCs/>
          <w:color w:val="auto"/>
          <w:sz w:val="21"/>
          <w:szCs w:val="21"/>
          <w:highlight w:val="none"/>
        </w:rPr>
      </w:pPr>
      <w:r>
        <w:rPr>
          <w:rFonts w:hint="eastAsia"/>
          <w:b/>
          <w:bCs/>
          <w:color w:val="auto"/>
          <w:sz w:val="21"/>
          <w:szCs w:val="21"/>
          <w:highlight w:val="none"/>
        </w:rPr>
        <w:t>2.需实现的功能或者目标：满足</w:t>
      </w:r>
      <w:r>
        <w:rPr>
          <w:rFonts w:hint="eastAsia"/>
          <w:b/>
          <w:bCs/>
          <w:color w:val="auto"/>
          <w:sz w:val="21"/>
          <w:szCs w:val="21"/>
          <w:highlight w:val="none"/>
          <w:lang w:eastAsia="zh-CN"/>
        </w:rPr>
        <w:t>后勤智慧餐厅与仓储管理系统</w:t>
      </w:r>
      <w:r>
        <w:rPr>
          <w:rFonts w:hint="eastAsia"/>
          <w:b/>
          <w:bCs/>
          <w:color w:val="auto"/>
          <w:sz w:val="21"/>
          <w:szCs w:val="21"/>
          <w:highlight w:val="none"/>
        </w:rPr>
        <w:t>的使用需求。</w:t>
      </w:r>
    </w:p>
    <w:p w14:paraId="69404C9D">
      <w:pPr>
        <w:adjustRightInd w:val="0"/>
        <w:snapToGrid w:val="0"/>
        <w:spacing w:line="288" w:lineRule="auto"/>
        <w:rPr>
          <w:b/>
          <w:bCs/>
          <w:color w:val="auto"/>
          <w:spacing w:val="-4"/>
          <w:sz w:val="21"/>
          <w:szCs w:val="21"/>
          <w:highlight w:val="none"/>
        </w:rPr>
      </w:pPr>
      <w:r>
        <w:rPr>
          <w:rFonts w:hint="eastAsia"/>
          <w:b/>
          <w:bCs/>
          <w:color w:val="auto"/>
          <w:spacing w:val="-4"/>
          <w:sz w:val="21"/>
          <w:szCs w:val="21"/>
          <w:highlight w:val="none"/>
        </w:rPr>
        <w:t>3.需满足的质量、安全、技术规格、物理特性等要求：</w:t>
      </w:r>
    </w:p>
    <w:tbl>
      <w:tblPr>
        <w:tblStyle w:val="25"/>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294"/>
        <w:gridCol w:w="581"/>
        <w:gridCol w:w="574"/>
        <w:gridCol w:w="6476"/>
      </w:tblGrid>
      <w:tr w14:paraId="34B5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5" w:type="pct"/>
            <w:vAlign w:val="center"/>
          </w:tcPr>
          <w:p w14:paraId="456818FB">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序号</w:t>
            </w:r>
          </w:p>
        </w:tc>
        <w:tc>
          <w:tcPr>
            <w:tcW w:w="688" w:type="pct"/>
            <w:vAlign w:val="center"/>
          </w:tcPr>
          <w:p w14:paraId="041C6278">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名称</w:t>
            </w:r>
          </w:p>
        </w:tc>
        <w:tc>
          <w:tcPr>
            <w:tcW w:w="309" w:type="pct"/>
            <w:vAlign w:val="center"/>
          </w:tcPr>
          <w:p w14:paraId="66699188">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数量</w:t>
            </w:r>
          </w:p>
        </w:tc>
        <w:tc>
          <w:tcPr>
            <w:tcW w:w="305" w:type="pct"/>
            <w:vAlign w:val="center"/>
          </w:tcPr>
          <w:p w14:paraId="5E4E3D83">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单位</w:t>
            </w:r>
          </w:p>
        </w:tc>
        <w:tc>
          <w:tcPr>
            <w:tcW w:w="3440" w:type="pct"/>
            <w:vAlign w:val="center"/>
          </w:tcPr>
          <w:p w14:paraId="3A4F1A71">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bidi="ar"/>
              </w:rPr>
              <w:t>（功能或者目标）、质量、安全、技术规格、物理特性等要求</w:t>
            </w:r>
          </w:p>
        </w:tc>
      </w:tr>
      <w:tr w14:paraId="22A1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 w:type="pct"/>
            <w:vAlign w:val="center"/>
          </w:tcPr>
          <w:p w14:paraId="104735F3">
            <w:pPr>
              <w:widowControl/>
              <w:spacing w:line="240" w:lineRule="auto"/>
              <w:jc w:val="center"/>
              <w:textAlignment w:val="center"/>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1</w:t>
            </w:r>
          </w:p>
        </w:tc>
        <w:tc>
          <w:tcPr>
            <w:tcW w:w="688" w:type="pct"/>
            <w:vAlign w:val="center"/>
          </w:tcPr>
          <w:p w14:paraId="57DB3605">
            <w:pPr>
              <w:widowControl/>
              <w:spacing w:line="240" w:lineRule="auto"/>
              <w:jc w:val="center"/>
              <w:textAlignment w:val="center"/>
              <w:rPr>
                <w:rFonts w:hint="eastAsia" w:ascii="宋体" w:hAnsi="宋体" w:eastAsia="宋体" w:cs="宋体"/>
                <w:b/>
                <w:color w:val="auto"/>
                <w:kern w:val="0"/>
                <w:sz w:val="21"/>
                <w:szCs w:val="21"/>
                <w:highlight w:val="none"/>
                <w:lang w:eastAsia="zh-CN" w:bidi="ar"/>
              </w:rPr>
            </w:pPr>
            <w:r>
              <w:rPr>
                <w:rFonts w:hint="eastAsia" w:ascii="宋体" w:hAnsi="宋体" w:eastAsia="宋体" w:cs="宋体"/>
                <w:b/>
                <w:color w:val="auto"/>
                <w:kern w:val="0"/>
                <w:sz w:val="21"/>
                <w:szCs w:val="21"/>
                <w:highlight w:val="none"/>
                <w:lang w:eastAsia="zh-CN" w:bidi="ar"/>
              </w:rPr>
              <w:t>后勤智慧餐厅与仓储管理系统</w:t>
            </w:r>
          </w:p>
        </w:tc>
        <w:tc>
          <w:tcPr>
            <w:tcW w:w="309" w:type="pct"/>
            <w:vAlign w:val="center"/>
          </w:tcPr>
          <w:p w14:paraId="466AE15F">
            <w:pPr>
              <w:widowControl/>
              <w:spacing w:line="240" w:lineRule="auto"/>
              <w:jc w:val="center"/>
              <w:textAlignment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1</w:t>
            </w:r>
          </w:p>
        </w:tc>
        <w:tc>
          <w:tcPr>
            <w:tcW w:w="305" w:type="pct"/>
            <w:vAlign w:val="center"/>
          </w:tcPr>
          <w:p w14:paraId="50C9A5EC">
            <w:pPr>
              <w:widowControl/>
              <w:spacing w:line="240" w:lineRule="auto"/>
              <w:jc w:val="center"/>
              <w:textAlignment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套</w:t>
            </w:r>
          </w:p>
        </w:tc>
        <w:tc>
          <w:tcPr>
            <w:tcW w:w="3440" w:type="pct"/>
            <w:vAlign w:val="center"/>
          </w:tcPr>
          <w:p w14:paraId="57E57CD6">
            <w:pPr>
              <w:pStyle w:val="24"/>
              <w:widowControl/>
              <w:spacing w:line="240" w:lineRule="auto"/>
              <w:ind w:firstLine="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一、智慧食堂综合管理系统PC端：</w:t>
            </w:r>
          </w:p>
          <w:p w14:paraId="6D4EEF08">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1.基础管理：</w:t>
            </w:r>
          </w:p>
          <w:p w14:paraId="4A5FE2DA">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基本信息：</w:t>
            </w:r>
          </w:p>
          <w:p w14:paraId="664B1CD0">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 组织管理：具有多级食堂架构管理系统，包含至少5级食堂架构级别管理，可设置学校、校区、食堂、档口等。可查看组织信息、食堂从业人员信息、超市信息、供应商信息，其中食堂从业人员信息，包含姓名、身份证号、年龄、所属食堂、健康证起始时间、健康证到期时间、电话、健康证照片。</w:t>
            </w:r>
          </w:p>
          <w:p w14:paraId="28A0E12E">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 档口管理：档口管理实现对平台内档口的查询、新增、修改、删除，可设置档口所在食堂、营业状态、供应餐次、档口场景、经营模式、档口类型、营业时间、档口用餐类型、档口负责人、负责人电话等信息。</w:t>
            </w:r>
          </w:p>
          <w:p w14:paraId="3B1FAA9D">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 设备管理：对已接入平台的设备，进行查询、同步和导出，可按设备名称、设备类型、校区名称、食堂名称进行查询，并实现设备启用与否、设备负责人、负责人联系方式的管理。</w:t>
            </w:r>
          </w:p>
          <w:p w14:paraId="49B6C53C">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 合作商管理：合作商管理实现对集团合作商的管理，实现新增、解除、查询，可通过合作商名称、学校名称、合作校区、合作食堂、合作类型进行查询，可新增合作商，录入统一社会信用代码、合作商名称、合作商联系人、合作商联系电话、营业执照照片、合作类型、合作食堂、合作时间等，并可对具体合作商进行详情编辑，包含合作商联系人、合作商联系电话、营业执照照片等。</w:t>
            </w:r>
          </w:p>
          <w:p w14:paraId="48AF3459">
            <w:pPr>
              <w:pStyle w:val="24"/>
              <w:widowControl/>
              <w:spacing w:line="24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 耗材管理：耗材管理实现对集团组的餐具耗材进行管理，批量导入或进行新增、修改、删除。</w:t>
            </w:r>
          </w:p>
          <w:p w14:paraId="7A77638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 通知管理：用于管理不同业务场景的消息通知，是否启用，通知到哪个渠道；支多渠道通知，如钉钉、APP、公众号，并支持通知的订阅配置。</w:t>
            </w:r>
          </w:p>
          <w:p w14:paraId="050C482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招投标信息：</w:t>
            </w:r>
          </w:p>
          <w:p w14:paraId="20A3EE7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 招投标项目信息管理：上传招投标项目ID、项目名称、机构编码、采购发布日期、项目负责人、证件类型、证件号码、是否有招标代理机构、招标代理机构名称、统一社会信用代码、联系人姓名、手机号、创建时间、更新时间、数据状态。、</w:t>
            </w:r>
          </w:p>
          <w:p w14:paraId="29B524A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 评标专家管理：上传机构编码、招投标项目ID、专家姓名、证件类型、证件号码、任职单位、手机号、职务职称、产生方式、创建时间、更新时间、数据状态。</w:t>
            </w:r>
          </w:p>
          <w:p w14:paraId="503EDFB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 投投标供应商信息数据：上传机构编码、招投标项目ID、标项名称、供应商名称、统一社会信用代码、联系人姓名、手机号、是否中标、服务开始日期、服务结束日期、创建时间、更新时间、数据状态。</w:t>
            </w:r>
          </w:p>
          <w:p w14:paraId="1EA0421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食材食谱：</w:t>
            </w:r>
          </w:p>
          <w:p w14:paraId="559B1E7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 食材管理：</w:t>
            </w:r>
          </w:p>
          <w:p w14:paraId="7C2F873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（1）食材库：</w:t>
            </w:r>
          </w:p>
          <w:p w14:paraId="054713A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材库实现对食材进行查询和管理，可通过食材名称、来源进行查询，同时实现食材的创建、禁用、删除，食材信息包含基本信息（商品类别、商品名称）、采购库信息（配送供应商、商品品名、规格、单位、验收单位、参考价、库存单位、保质期、品牌、产地）、食材营养（每百克）（能量、碳水、蛋白质、脂肪），食材营养（每百克）支持自定义，并支持从系统库导入；</w:t>
            </w:r>
          </w:p>
          <w:p w14:paraId="018522C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▲2）支持食材个性转化率配置；支持食材带量营养配置；支持食材验收单位、下单单位、库存单位的关系配置，并按照使用场景支持单位间的自动转化；</w:t>
            </w:r>
          </w:p>
          <w:p w14:paraId="7CD0839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（2）食材分类：对食材分类的统一管理，可查询、可创建、可编辑、可禁用、可删除，便于食材库在新增食材时选择商品类别。在创建食材分类大类时，可配置“直入直出”，便于库存出库。</w:t>
            </w:r>
          </w:p>
          <w:p w14:paraId="2346508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（3）食材单位：单位管理用于配置食材的单位标准，便于食材库在新增食材时选择单位标准，一般单位标准可分为公斤、斤、毫升（mL）、升（L）、个、盒、千克、克、箱、包等。</w:t>
            </w:r>
          </w:p>
          <w:p w14:paraId="669C36F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 菜品管理：</w:t>
            </w:r>
          </w:p>
          <w:p w14:paraId="7DB6CAE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菜品库：对菜品进行查询和管理，可通过菜品名称、来源进行查询，同时实现菜品的创建、编辑、启用、禁用、移除，并可从系统库完成添加。在创建菜品时，菜品信息包含基础信息（菜品名称、菜品照片、菜品别名、菜品类型、适用餐次、打包费）、菜品食材（从食材库选取主料，配置单份含量）、菜品类型及规格（称重菜、普通菜）。</w:t>
            </w:r>
          </w:p>
          <w:p w14:paraId="322288D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（2）菜品分类：对菜品分类的统一管理，可创建、可排序、可编辑、可禁用、可删除，配置完成后用于菜品库菜品分类选择。</w:t>
            </w:r>
          </w:p>
          <w:p w14:paraId="1736B5A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（3）菜品小料：对菜品小料的统一管理，可查询、可创建小料分类、可创建小料、可编辑、可禁用、可删除，配置完成后用于菜品库菜品小料选择。</w:t>
            </w:r>
          </w:p>
          <w:p w14:paraId="5D55796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（4）菜品做法：对菜品做法的统一管理，可查询、可创建做法分类、可创建做法、可编辑、可禁用、可删除，配置完成后用于菜品库菜品做法选择。</w:t>
            </w:r>
          </w:p>
          <w:p w14:paraId="7B640B5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（5）菜品规格：对菜品规格的统一管理，可查询、可创建规格分类、可创建规格、可编辑、可禁用、可删除，配置完成后用于菜品库菜品规格选择。</w:t>
            </w:r>
          </w:p>
          <w:p w14:paraId="7206125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 套餐管理：对集团食堂、档口等菜品套餐的管理，可通过套餐名称、菜品名称进行查询，可新增、编辑、下架、移除套餐。新增套餐时，录入套餐名称、套餐照片、套餐分类、适用餐次、默认价格、打包费、套餐菜品。</w:t>
            </w:r>
          </w:p>
          <w:p w14:paraId="43F3ADD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食谱管理：</w:t>
            </w:r>
          </w:p>
          <w:p w14:paraId="6659FD6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谱管理：实现对集团平台内的食谱统一管理，可通过菜单名称、菜单类型进行查询，可对食谱进行创建、管理、禁用、删除。在创建食谱时，可选取所属组织，进行创建，录入菜谱名称、所属组织、类型（标准菜单、自定义菜单），确定后进行菜单管理，添加菜品、套餐，并关联档口。</w:t>
            </w:r>
          </w:p>
          <w:p w14:paraId="2159B0F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（2）食谱周期设置：</w:t>
            </w:r>
          </w:p>
          <w:p w14:paraId="2CE722D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1）可按季度、双月、月、半月、周等轮换，时间可自由设置；</w:t>
            </w:r>
          </w:p>
          <w:p w14:paraId="4867A48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2）不同食堂可设置不同菜谱；</w:t>
            </w:r>
          </w:p>
          <w:p w14:paraId="308F8DE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3）可导入周、半月、月、双月等的菜谱；对某天的菜谱可进行单独修改等。</w:t>
            </w:r>
          </w:p>
          <w:p w14:paraId="76B5CD8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（3）食谱类型导入：</w:t>
            </w:r>
          </w:p>
          <w:p w14:paraId="3B68950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1）营养食谱：针对职工学校可自行设置套餐等食谱。</w:t>
            </w:r>
          </w:p>
          <w:p w14:paraId="4D10201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2）专用食谱：特殊部门专用食谱，仅适用于该部门职工；</w:t>
            </w:r>
          </w:p>
          <w:p w14:paraId="20E04A6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3）特色食谱：煲类小炒等；</w:t>
            </w:r>
          </w:p>
          <w:p w14:paraId="57AB5FF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4）根据食谱模板导入，一个菜品一行，系统根据食谱名称来判断是否属于同一个菜谱，合并显示在页面。</w:t>
            </w:r>
          </w:p>
          <w:p w14:paraId="425055A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 人员管理：</w:t>
            </w:r>
          </w:p>
          <w:p w14:paraId="429CFFF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 人员档案：对集团旗下所有食堂员工的统一管理，可通过姓名、联系电话、所属学校、所属校区、所属食堂进行查询，可新增、可批量新增、可查看详情、可编辑、可删除。在新增食堂员工过程中，录入基本信息（身份证号、姓名、联系电话、性别、学历、工作年限、健康证编号、发证机构名称、健康证发证时间、健康证到期时间、健康证照片）、在职信息（所属学校、所属校区、所属食堂、所在部门、所在班组、担任职务、入职时间）。</w:t>
            </w:r>
          </w:p>
          <w:p w14:paraId="639FEF0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 人员调度：对集团管理人员的调动，实现人员在食堂之间进行调度，通过姓名、所属学校、所属校区选取需要调度人员，调度前往食堂所在学校、所在校区、所属食堂，完成调度，并将调度记录关联到人员档案。</w:t>
            </w:r>
          </w:p>
          <w:p w14:paraId="453828A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 组织架构：</w:t>
            </w:r>
          </w:p>
          <w:p w14:paraId="43719D9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（1）组织与成员：</w:t>
            </w:r>
          </w:p>
          <w:p w14:paraId="43560FF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1）用于实现组织与成员的统一管理，可以编辑组织信息、在食堂下创建/编辑/删除档口，可以管理不同层级组织下的成员，通过多种方式新增、编辑、删除成员，并且可以管理成员的必填/展示字段；</w:t>
            </w:r>
          </w:p>
          <w:p w14:paraId="6A59598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2）新增职工时，录入基本信息（姓名、性别、联系电话、证件类型、证件号码、入职时间、卡号、用餐组、二维码、人脸信息、职工备注）、就职信息（所属学校、所属校区、所属食堂）。</w:t>
            </w:r>
          </w:p>
          <w:p w14:paraId="15EB1E7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（2）外部访客：管理访客是否可以用餐，并且展示所有访客的账号。</w:t>
            </w:r>
          </w:p>
          <w:p w14:paraId="2C1144B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（3）成员类型：新增、修改、创建成员的类型，并可以设置不同类型成员享受的优惠。</w:t>
            </w:r>
          </w:p>
          <w:p w14:paraId="19B7CAB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（4）成员标签：新增、修改、创建成员的标签，并且可以配置每个标签关联的成员。</w:t>
            </w:r>
          </w:p>
          <w:p w14:paraId="3EA8F1E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（5）信息收集：生成内部成员注册的二维码，给予成员让成员自行注册。</w:t>
            </w:r>
          </w:p>
          <w:p w14:paraId="58778A3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1.4.4 节假日管理：用于配置当年国家法定节假日、学校假期，用于食堂根据节假日开展工作，新增节假日包含节假日名称、开始时间、结束时间。</w:t>
            </w:r>
          </w:p>
          <w:p w14:paraId="308689B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 系统管理：</w:t>
            </w:r>
          </w:p>
          <w:p w14:paraId="0F4E87E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（1）角色管理：用于配置系统平台角色，可通过角色名、来源进行查询，同时实现对角色的新增、查看、编辑、删除。新增角色时，配置角色名称、角色描述、角色权限。</w:t>
            </w:r>
          </w:p>
          <w:p w14:paraId="5417A71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员设置：用于配置集团旗下平台管理人员，可通过关联组织/档口、来源、姓名进行查询，同时实现新增、编辑、删除、重置密码。在新增管理员时，配置基本信息（姓名、手机号、后台账号）、角色权限、管理范围。</w:t>
            </w:r>
          </w:p>
          <w:p w14:paraId="2657C47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（3）日志管理：用于查看系统运行情况。</w:t>
            </w:r>
          </w:p>
          <w:p w14:paraId="56E74C1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2.进销存：</w:t>
            </w:r>
          </w:p>
          <w:p w14:paraId="4FA8417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 基础管理：</w:t>
            </w:r>
          </w:p>
          <w:p w14:paraId="7873C97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基础信息配置：</w:t>
            </w:r>
          </w:p>
          <w:p w14:paraId="1F421C7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（1）采购合同：</w:t>
            </w:r>
          </w:p>
          <w:p w14:paraId="7479F2E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合同实现对集团采购合同的统一管理，可通过合同名称、食材分类、供应商、合同状态进行查询，可新增。在新增合同时，录入合同名称、选取食材分类、选取关联供应商、选取配送校区、合同生效日期、合同截止日期、合同金额、截止时间提醒、金额阈值提醒、提醒人、履约保证金、备注。</w:t>
            </w:r>
          </w:p>
          <w:p w14:paraId="5FC57B3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▲2）支持合同作为采购组，保证每个组织、每个供应商对应每个合同可以对每个食材个性化定价。</w:t>
            </w:r>
          </w:p>
          <w:p w14:paraId="5AC09AA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（2）食材定价：</w:t>
            </w:r>
          </w:p>
          <w:p w14:paraId="59B48C0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1）可以通过食材定价单，对食材价格表进行添加、变更、移除的操作，通过食材定价表去控制采购时食材对于不同供应商、不同收货组织的区别定价。</w:t>
            </w:r>
          </w:p>
          <w:p w14:paraId="221599F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2）支持多个时间段按照合同进行定价。</w:t>
            </w:r>
          </w:p>
          <w:p w14:paraId="30D2C18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（3）定价查看：支持查看价格趋势，支持按时间段查看价格，支持多周期定价对比。</w:t>
            </w:r>
          </w:p>
          <w:p w14:paraId="36A4F26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仓库管理：仓库管理实现对集团管理仓库进行统一管理，可通过仓库名称进行查询，可新增、可导出仓库。新增仓库时，选取校区后，录入仓库名称、容量（吨）、面积（平方米）、地址、联系人、联系方式、可用状态。</w:t>
            </w:r>
          </w:p>
          <w:p w14:paraId="6A09241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 功能配置：</w:t>
            </w:r>
          </w:p>
          <w:p w14:paraId="64A5CA2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（1）规则配置：</w:t>
            </w:r>
          </w:p>
          <w:p w14:paraId="41273A59">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规则配置需要能满足各种业务场景，具体需要包括：</w:t>
            </w:r>
          </w:p>
          <w:p w14:paraId="16E09A6E">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1）支持配置合同超额比例；合同累计下单金额超出配置金额后，系统禁止再通过此合同下单；</w:t>
            </w:r>
          </w:p>
          <w:p w14:paraId="656D4D98">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2）支持单据排序规则配置，可按照添加时间和食材编号排序，确保所有采购、配送、验收单据顺序一致；</w:t>
            </w:r>
          </w:p>
          <w:p w14:paraId="633BE0EF">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3）支持配置预采购；系统可配置未来的价格，并可设置未来的待定价格，以方便价格还未确定时可以先进行下单；</w:t>
            </w:r>
          </w:p>
          <w:p w14:paraId="74439300">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配置自动拆单、自动合单；申购人员可以一次性提交多个品类的采购需求，系统需要支持按照供应商和分类自动进行订单的拆分；采购人员补充采购需求时，系统支持自动合并到当天同分类、同供应商的订单中；</w:t>
            </w:r>
          </w:p>
          <w:p w14:paraId="33ABE849">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5）支持配置价格可采用下单时价格或者验收时价格；</w:t>
            </w:r>
          </w:p>
          <w:p w14:paraId="2C35FDEB">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6）支持按分类配置验收精度；系统需要按照不同的分类分别设置验收精度，每种精度都需要支持四舍五入或截断方式；</w:t>
            </w:r>
          </w:p>
          <w:p w14:paraId="367F968A">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7）支持配置电子签名；</w:t>
            </w:r>
          </w:p>
          <w:p w14:paraId="3C5FCA66">
            <w:pPr>
              <w:keepNext w:val="0"/>
              <w:keepLines w:val="0"/>
              <w:pageBreakBefore w:val="0"/>
              <w:widowControl w:val="0"/>
              <w:numPr>
                <w:ilvl w:val="-1"/>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8）支持配置超额验收比例，并可设置例外；</w:t>
            </w:r>
          </w:p>
          <w:p w14:paraId="5494167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9）支持按不同组织、不同类别设置默认验收仓库；</w:t>
            </w:r>
          </w:p>
          <w:p w14:paraId="63662B9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（2）审批管理：</w:t>
            </w:r>
          </w:p>
          <w:p w14:paraId="4EE55CB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1）在预设好的业务流程中，如在申购、采购、入库、出库等环节设置创建该业务流程需要经过的审批环节和审批人，用于控制整个业务流程。</w:t>
            </w:r>
          </w:p>
          <w:p w14:paraId="375DDDF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2）支持自定义审批流程；</w:t>
            </w:r>
          </w:p>
          <w:p w14:paraId="687B467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▲3）支持A提交B审核，C提交D审核模式；支持中心仓管总审核、核算复核的流程。按业务单据开启审核、复核流程。</w:t>
            </w:r>
          </w:p>
          <w:p w14:paraId="5C96DEE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（3）打印配置：</w:t>
            </w:r>
          </w:p>
          <w:p w14:paraId="4B2834E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▲1）打印设置可对打印类目、开启状态、可编辑内容、操作，其中操作可对打印表单进行配置；</w:t>
            </w:r>
          </w:p>
          <w:p w14:paraId="33516D3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2）支持自定义区块打印配置；支持标题、表头、表尾等自定义配置；支持关联针式打印机。</w:t>
            </w:r>
          </w:p>
          <w:p w14:paraId="6324C3A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（4）快检配置：</w:t>
            </w:r>
          </w:p>
          <w:p w14:paraId="6A0FC59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1）针对采购食材配置快检规则，数据可与快检设备（指定款式）打通；</w:t>
            </w:r>
          </w:p>
          <w:p w14:paraId="3C7B26E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2）支持快检后自动生成检测台账。</w:t>
            </w:r>
          </w:p>
          <w:p w14:paraId="0C7468E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（5）记账配置：记账设置可以设置起始会计年度、开始日期、初始会计期间，会计期间类型。</w:t>
            </w:r>
          </w:p>
          <w:p w14:paraId="1AA7776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采购管理：</w:t>
            </w:r>
          </w:p>
          <w:p w14:paraId="2837BD2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 申购管理：</w:t>
            </w:r>
          </w:p>
          <w:p w14:paraId="33D921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（1）申购管理实现对申购订单的统一审批管理，可通过申请人、状态、所属食堂、当前审批人进行查询。查询后，可查看待采购流程、申购信息、采购信息、申购食材信息。</w:t>
            </w:r>
          </w:p>
          <w:p w14:paraId="7089519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（2）支持指定日期申购，申购审核，申购需求转化采购单时可修改申购量；支持申购后自动按组织和分类进行拆单采购；支持每日申购组织检测。</w:t>
            </w:r>
          </w:p>
          <w:p w14:paraId="13C66F8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 采购订单：</w:t>
            </w:r>
          </w:p>
          <w:p w14:paraId="183EF3E3">
            <w:pPr>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（1）采购业务作为系统核心业务，需要支持多种采购方式：</w:t>
            </w:r>
          </w:p>
          <w:p w14:paraId="262895E5">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1）采购订单实现对当前组织树下采购订单的统一管理；</w:t>
            </w:r>
          </w:p>
          <w:p w14:paraId="37EF14E4">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2）可导出订单；导出订单需要支持异步导出方式；</w:t>
            </w:r>
          </w:p>
          <w:p w14:paraId="1A47EE1B">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从申购单新增、手动创建、食材反算创建；从申购单新增时，系统需要能够对申购单进行选择，系统自动汇总申购单中的食材数量，并可调整汇总数量；可对申购单进行修改和驳回处理；手动创建时，系统支持按照导入方式和搜索方式进行食材的添加。需要支持食材反算创建采购单，根据所选菜品的数量，反向计算需要的食材数量，并可直接创建采购单；</w:t>
            </w:r>
          </w:p>
          <w:p w14:paraId="06242F78">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4）可通过下单时间、期望送达日期、订单编号、收货方、供应方、订单类型、订单状态进行查询；</w:t>
            </w:r>
          </w:p>
          <w:p w14:paraId="0BCA46F4">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5）查询后，可查看订单编号、期望送达日期、类型、供应方、收货方、下单人、下单时间、种类数量、预估总计、实际总价、订单状态；</w:t>
            </w:r>
          </w:p>
          <w:p w14:paraId="5A284D5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（2）采购验收配送多单合一。</w:t>
            </w:r>
          </w:p>
          <w:p w14:paraId="230BC92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 订单变更：订单变更实现对组织旗下订单变更的管理，可通过订单编号、配送单位、变更时间、状态、变更类型进行查询；可查询到变更单编号、相关订单、变更方、采购单位、菜品种类、金额、变更时间、状态；可对订单进行管理，可查看到变更具体情况。</w:t>
            </w:r>
          </w:p>
          <w:p w14:paraId="5A0F11E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▲2.2.4 食材反算：通过选择菜品并输入菜品数量，由系统反向计算食材需求量，计算时需要损耗率、成品率、转化率等参数，并支持按照计算量生成申购单和采购单。</w:t>
            </w:r>
          </w:p>
          <w:p w14:paraId="33AB693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 仓储管理：</w:t>
            </w:r>
          </w:p>
          <w:p w14:paraId="7F7DF65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 入库管理：</w:t>
            </w:r>
          </w:p>
          <w:p w14:paraId="64E0294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（1）入库单：</w:t>
            </w:r>
          </w:p>
          <w:p w14:paraId="717EBEEC">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1）入库单用于查询平台内入库单信息，可通过入库仓库、入库类型、入库时间、入库编号、审核状态进行查询；</w:t>
            </w:r>
          </w:p>
          <w:p w14:paraId="0D542D07">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2）可实现查看详情；订单详情中需要体现该单据的具体审批节点和流程；支持修改备注信息和三方单号信息；</w:t>
            </w:r>
          </w:p>
          <w:p w14:paraId="0CF7B959">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3）支持查看入库单相关采购单；点击单据编号可直接进入对应采购单页面；</w:t>
            </w:r>
          </w:p>
          <w:p w14:paraId="7378D075">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4）支持记录入库单改动明细记录，记录需包括操作时间，操作人员，操作类型，操作记录，操作记录中包括原信息和修改后信息；</w:t>
            </w:r>
          </w:p>
          <w:p w14:paraId="727766C2">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5）可实现对查询结果打印；</w:t>
            </w:r>
          </w:p>
          <w:p w14:paraId="242BFC2B">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6）可新建入库。新建入库时，需要支持录单模式，选择入库仓库、入库类型、入库时间，从食材库添加入库食材，确定完成入库；</w:t>
            </w:r>
          </w:p>
          <w:p w14:paraId="7090A128">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7）入库单支持冲红；入库冲红时，可以选择单个食材进行冲红操作；进行冲红操作时，系统自动按照库存充足情况提示能否冲红；</w:t>
            </w:r>
          </w:p>
          <w:p w14:paraId="4A8EEB3B">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8）冲后后支持自动提示需修正单据；冲红后，列表内提示需要修正的单据；</w:t>
            </w:r>
          </w:p>
          <w:p w14:paraId="146C5A5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▲（2）支持录单模式，支持单个食材冲红并自动冲红相关出库单，冲红后系统自动提示需要修正的单据。</w:t>
            </w:r>
          </w:p>
          <w:p w14:paraId="5E22985C">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（3）入库明细：</w:t>
            </w:r>
          </w:p>
          <w:p w14:paraId="426C8E97">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入库明细用于查看平台内入库明细情况：</w:t>
            </w:r>
          </w:p>
          <w:p w14:paraId="484E5373">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1）入库明细列表支持设置哪些字段需要显示；</w:t>
            </w:r>
          </w:p>
          <w:p w14:paraId="52DA3728">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2）入库明细列表支持设置字段的显示顺序；</w:t>
            </w:r>
          </w:p>
          <w:p w14:paraId="65972ECA">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3）可通过日期、食材分类、食材名称、供应商、入库单号、条码、批次号、是否直进直出进行查询，</w:t>
            </w:r>
          </w:p>
          <w:p w14:paraId="59E52322">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4）可实现查询结果导出，导出需要支持异步模式。</w:t>
            </w:r>
          </w:p>
          <w:p w14:paraId="612DF7A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 出库管理：</w:t>
            </w:r>
          </w:p>
          <w:p w14:paraId="096925B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（1）领用单：</w:t>
            </w:r>
          </w:p>
          <w:p w14:paraId="1D629FC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领用单用于查询平台用户领用食材和新建领用单，可通过领用单号、提交日期、提交人、领用档口、审核状态、操作状态进行查询，并支持对查询结果进行打印。新建领用单时，选取仓库所在组织、选取仓库、领用时间、领用人、选择领用档口、添加领用食材，并进行提交。提交的领用单，完成审批后，可进行出库操作，出库管理人员可对领用食材进行全部出库、部分出库、中止出库操作；</w:t>
            </w:r>
          </w:p>
          <w:p w14:paraId="0B34E86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2）支持零库存申领，支持可配置严格按日期申领，申领后支持移动PDA扫码出库。</w:t>
            </w:r>
          </w:p>
          <w:p w14:paraId="6A384D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（2）出库单：</w:t>
            </w:r>
          </w:p>
          <w:p w14:paraId="5EAAA27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出库单用于查询和手动登记出库，可通过出库仓库、出库时间、领用人、领用档口、审核状态进行查询，查询后可对查询出库单进行打印。新增手动登记出库时，选取出库仓库、出库时间、领用人、选取领用档口，从库存中添加食材保存后，进行出库操作；</w:t>
            </w:r>
          </w:p>
          <w:p w14:paraId="23C6CDC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2）支持通过智能验收称出库；支持单个食材冲红，冲红后系统自动提示需要修正的单据。</w:t>
            </w:r>
          </w:p>
          <w:p w14:paraId="53DD2D1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（3）出库明细：出库明细用于查询平台内已出库食材情况，可通过出库日期、食材分类、食材名称、领用档口、仓库、出库单号、是否直进直出、条码、批次号进行查询，查询后可进行导出。</w:t>
            </w:r>
          </w:p>
          <w:p w14:paraId="30C0FBA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 库存管理：</w:t>
            </w:r>
          </w:p>
          <w:p w14:paraId="7BAA6AE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（1）盘点单：</w:t>
            </w:r>
          </w:p>
          <w:p w14:paraId="0E12E8E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盘点单实现工作人员对库房进行盘点工作，实现对盘点单的新增、查询、查看。新增盘点单，可选取仓库所在组织、仓库、确定盘点时间、盘点人、添加盘点食材，进行新增盘点单，并提交。可通过盘点单号、盘点时间、单据提交时间、提交人、审核状态对盘点单进行查询，可查看盘点单号、盘点时间、提交人、盘点仓库、盘盈食材数、盘盈金额、盘亏食材数、盘亏金额、单据提交时间、审核状态、是否撤销，并可查看到盘点具体内容；</w:t>
            </w:r>
          </w:p>
          <w:p w14:paraId="4C782D8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2）支持创建盘点任务进行盘点，也支持直接移动PDA扫码盘点。</w:t>
            </w:r>
          </w:p>
          <w:p w14:paraId="0B4BA8C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（2）调整单：调整单实现工作人员对部分异常数据的调整，实现对于出库尾差的清零，以及对于库存数量的调整。</w:t>
            </w:r>
          </w:p>
          <w:p w14:paraId="209A25B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库存查询：库存查询实现对仓储库存的查询，可通过食材分类、食材名称、仓库、库存预警状态进行查询，可查看到食材名称、分类、仓库、规格、最小单位、最小单位库存数量、库存金额、库存批次数、库存预警状态，并可查看详情。</w:t>
            </w:r>
          </w:p>
          <w:p w14:paraId="257C04D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（4）库存变动流水：库存变动流水可以用来查看仓库中食材的每个批次的库存量、库存金额变动记录。</w:t>
            </w:r>
          </w:p>
          <w:p w14:paraId="06EA8C7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 财务管理：</w:t>
            </w:r>
          </w:p>
          <w:p w14:paraId="304475F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2.4.1 对账：</w:t>
            </w:r>
          </w:p>
          <w:p w14:paraId="4F191AF9">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账目需要支持系统自动对账，提升用户效率：</w:t>
            </w:r>
          </w:p>
          <w:p w14:paraId="6D40CF00">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价格对账，每日根据报货情况，结合每日料单实行仓库审核、核算复核，进行每日对账匹配；按照月维度，统计采购价格、入库价格、销售价格、价格调整记录进行对账匹配；价格对账需要支持选择账期后发起对账，支持设置允许同一食材允许出现不同价格的数量；</w:t>
            </w:r>
          </w:p>
          <w:p w14:paraId="2B00280A">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（2）库存对账：按照月维度，统计期初库存、入库数量、出库数量、库存余额进行对账匹配；系统支持选择账期和时间范围发起对账；对账完成后支持查看对账详情，需要能够体现每个食材的对账差异情况；</w:t>
            </w:r>
          </w:p>
          <w:p w14:paraId="696C368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（3）采购对账：按照月维度，进行订单与发票、订单与收货、发票与付款的采购信息对账。系统支持选择账期和时间范围发起对账，并自动提示对账的差异情况；</w:t>
            </w:r>
          </w:p>
          <w:p w14:paraId="4611C73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2.4.2 结算：</w:t>
            </w:r>
          </w:p>
          <w:p w14:paraId="762F3F2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结算：采购结算实现采购订单的结算，可通过期望送达时间、完成日期、供应商、状态进行查询。查询后，可查看到采购单号、结算账单、期望送达时间、类型、状态、供应方、收货方、下单金额、实际总额、退款金额、应付金额、操作。</w:t>
            </w:r>
          </w:p>
          <w:p w14:paraId="573DC1D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（2）结算账单：</w:t>
            </w:r>
          </w:p>
          <w:p w14:paraId="2B7BBE5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结算账单实现对组织树下结算的统一管理，可通过结算单号、供应商、结算状态、结算时间进行查询。查询后，可查看月份、结算单号、供应单位、订单时间、订单数、应付金额、结算金额、发起时间、完成时间、状态、操作；</w:t>
            </w:r>
          </w:p>
          <w:p w14:paraId="06F15B5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2）支持附带发票。</w:t>
            </w:r>
          </w:p>
          <w:p w14:paraId="0CD4E8D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 数据报表：</w:t>
            </w:r>
          </w:p>
          <w:p w14:paraId="4709118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 库存进出明细日报：采购入库单详细记录了因采购活动新增的库存商品信息，包括商品名称、规格型号、入库数量、单价、供应商等；销售出库单则反映了因销售业务导致的库存减少，涵盖销售给客户的商品明细、数量、出库时间等；此外，其他出入库单用于记录非采购与销售的库存变动，如内部领用、退货入库、盘盈盘亏调整等情况。系统通过整合这些分散在不同业务环节的数据，生成完整的库存进出明细。</w:t>
            </w:r>
          </w:p>
          <w:p w14:paraId="3817118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 采购统计：可按照供应商、分类、日期统计采购单据；供应商招标比价时，支持按照去年年度用量估算今年整体价格。</w:t>
            </w:r>
          </w:p>
          <w:p w14:paraId="61BB90D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 入库统计：可按照仓库、组织、分类、日期统计入库单据。</w:t>
            </w:r>
          </w:p>
          <w:p w14:paraId="793BA8E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 出库统计：可按照仓库、组织、分类、日期统计出库单据。</w:t>
            </w:r>
          </w:p>
          <w:p w14:paraId="1C37873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 记账信息：</w:t>
            </w:r>
          </w:p>
          <w:p w14:paraId="055902F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2.6.1 会计日历：会计日历用于查询会计年度，以及设置本期结束日期，作为本年度会计周期。</w:t>
            </w:r>
          </w:p>
          <w:p w14:paraId="6D33533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2.6.2 期末结转：期末结转实现工作人员查询并生成收支报表（包含期初、本期入库、本期出库、本期盘盈、本期盘亏、调拨出库、调拨入库、期末数据），同时根据实际进行结转处理，可进行打印、导出。</w:t>
            </w:r>
          </w:p>
          <w:p w14:paraId="722BF51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2.6.3 月付明细报表：月付明细报表实现工作人员查询并生成月付明细报表，包含供应商名称、期末余额金额、调整前金额、调整金额、调整后期末金额、本次支付，支持添加备注、打印、导出。</w:t>
            </w:r>
          </w:p>
          <w:p w14:paraId="2AAE373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2.6.4 供应商结算报表：供应商结算报表实现工作人员查询并生成供应商结算报表，包含供应商名称、结算类别、合计，支持打印、导出。</w:t>
            </w:r>
          </w:p>
          <w:p w14:paraId="0B28588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2.6.5 采购订单对账：按照月维度，进行订单与发票、订单与收货、发票与付款的采购信息对账。</w:t>
            </w:r>
          </w:p>
          <w:p w14:paraId="34E7197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2.6.6 物资分类汇总报表：物资分类汇总报表实现工作人员查询并生成物资分类汇总报表，包含食堂名称、档口名称、合计，支持打印、导出。</w:t>
            </w:r>
          </w:p>
          <w:p w14:paraId="392C2E7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3.工作台：</w:t>
            </w:r>
          </w:p>
          <w:p w14:paraId="7CEA413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 快捷操作：快捷操作事项让工作人员快速进入常用模块，减少功能找寻时间。</w:t>
            </w:r>
          </w:p>
          <w:p w14:paraId="20B3481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 待办事项：待办事项展示AI抓拍处置数量、物联预警处置数量，实现工作人员快速点击待办进行处置。</w:t>
            </w:r>
          </w:p>
          <w:p w14:paraId="7900739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 数据统计：数据统计展示平台内关键指标数值，便于工作人员快速了解平台运行情况，包含统计数据、预警数据两大类。</w:t>
            </w:r>
          </w:p>
          <w:p w14:paraId="0599E10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 今日业务动态：今日业务动态展示平台内今日考勤情况、食材采购情况、订单金额情况、台账情况，便于工作人员快速了解今日业务动态。</w:t>
            </w:r>
          </w:p>
          <w:p w14:paraId="3B72E3C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 自定义板块：自定义板块实现工作人员根据自身工作需要与个人爱好，自定义板块，便于工作人员工作。</w:t>
            </w:r>
          </w:p>
          <w:p w14:paraId="49408B3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 帮助中心：帮助中心用于工作人员查看平台相关硬件操作说明、软件操作说明，以及相关规范，便于工作人员掌握平台使用方法。</w:t>
            </w:r>
          </w:p>
          <w:p w14:paraId="663178D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4.自定义驾驶舱：</w:t>
            </w:r>
          </w:p>
          <w:p w14:paraId="602A916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 创建驾驶舱：</w:t>
            </w:r>
          </w:p>
          <w:p w14:paraId="1F758AF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4.1.1 创建：通过“创建驾驶舱”按钮进行驾驶舱创建，自定义设置驾驶舱名称和图标。</w:t>
            </w:r>
          </w:p>
          <w:p w14:paraId="5CB5A92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4.1.2 修改：修改驾驶舱名称和图标信息。</w:t>
            </w:r>
          </w:p>
          <w:p w14:paraId="13E8CDE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4.1.3 删除：删除已创建的驾驶舱。</w:t>
            </w:r>
          </w:p>
          <w:p w14:paraId="4ED8F9B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 驾驶舱页面编辑：页面基础信息设置，如页面数量、页面标题、页面背景、屏幕大小等设置。</w:t>
            </w:r>
          </w:p>
          <w:p w14:paraId="2781327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 驾驶舱组件编辑：</w:t>
            </w:r>
          </w:p>
          <w:p w14:paraId="483E8A4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4.3.1 场景选择</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可以自主选择业务场景，如后厨管理、前厅用餐、食材采购、自定义场景等</w:t>
            </w:r>
          </w:p>
          <w:p w14:paraId="180161F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▲4.3.2 模块选择：包含阳光厨房、AI抓拍、物联预警、食安台账、人员信息、食材采购等食安模块进行自定义选择。</w:t>
            </w:r>
          </w:p>
          <w:p w14:paraId="0C3957A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4.3.3 页面布局：将需要展示的业务类型模块拖拽到驾驶舱内，并进行布局调整。</w:t>
            </w:r>
          </w:p>
          <w:p w14:paraId="557E2B0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4.3.4 模块编辑：点击业务模块，可以编辑该模块的标题内容、排列设置、展示权限、展示样式等信息自定义编辑。</w:t>
            </w:r>
          </w:p>
          <w:p w14:paraId="0379DC3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驾驶舱发布：</w:t>
            </w:r>
          </w:p>
          <w:p w14:paraId="3FFA965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4.4.1 暂存驾驶舱：可以暂存驾驶舱内容，并预览驾驶舱效果。</w:t>
            </w:r>
          </w:p>
          <w:p w14:paraId="42FA4B1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4.4.2 发布驾驶舱：驾驶舱发布后通过链接、APP在对应智慧大屏内展示。</w:t>
            </w:r>
          </w:p>
          <w:p w14:paraId="44223409">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二、智慧食堂综合管理系统移动端：</w:t>
            </w:r>
          </w:p>
          <w:p w14:paraId="43FBF3D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1.食堂员工管理后台H5端：</w:t>
            </w:r>
          </w:p>
          <w:p w14:paraId="7179883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首页：</w:t>
            </w:r>
          </w:p>
          <w:p w14:paraId="39D894B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 消息通知：系统内对应账号需要涉及的消息内容，可查看消息详情，设置已读状态</w:t>
            </w:r>
          </w:p>
          <w:p w14:paraId="10E4ABE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 台账管理：对应账号配置的台账权限查看、处理。</w:t>
            </w:r>
          </w:p>
          <w:p w14:paraId="6D1BBF0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 AIOT智慧管理：</w:t>
            </w:r>
          </w:p>
          <w:p w14:paraId="7D96DD2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（1）视频直播：阳光视频直播查看，AI抓怕数据查看、处理，物联感知设备状态、数据查看。</w:t>
            </w:r>
          </w:p>
          <w:p w14:paraId="626DE6C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AI抓拍：抓拍结果用于组织管理人员通过食堂名称、食品经营许可证、抓拍时间查询该组织树下抓拍情况，平台自动统计该组织树下AI抓拍食堂总数、AI抓拍总数、今日抓拍数、今日处置数、昨日抓拍数、昨日处置数。查询后可查看食堂名称、食品经营许可证、年度评级、接入时间、操作（查看抓拍记录）。查看抓拍记录中以具体食堂为分析对象，可查看到预警类型、预警时间、开放状态，并支持按条件查询。</w:t>
            </w:r>
          </w:p>
          <w:p w14:paraId="0F5D80A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物联感知：风险预警用于组织管理人员通过食堂名称、食品经营许可证查询该组织树下物联设备预警情况，平台自动统计该组织树下物联感知食堂总数、物联预警总数、今日预警数、今日处置数、昨日预警数、昨日处置数。查询后，可查看食堂名称、食品经营许可证、年度评级、操作（查看记录），查看记录中可查看到温度预警、挡鼠板预警、智能插座预警的统计数据，并可查看到物联设备开放状态。</w:t>
            </w:r>
          </w:p>
          <w:p w14:paraId="2D9ACCE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 培训考证：培训教育，掌上学习，在线培训，查看员工培训、考试记录；食安管理员在线考证，证书与浙江省市场监管局智能阳光厨房系统系统互通。</w:t>
            </w:r>
          </w:p>
          <w:p w14:paraId="333FAC1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 检查管理：</w:t>
            </w:r>
          </w:p>
          <w:p w14:paraId="3762CC7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（1）自查自检：允许食堂工作人员依据既定检查模版，自主发起日常运营状况检查，记录并提交自查结果。</w:t>
            </w:r>
          </w:p>
          <w:p w14:paraId="3DCCE5F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（2）智能巡检：巡查任务查看、巡查点管理、任务数量、巡查次数、发现问题数量统计、已整改、未整改问题统计。</w:t>
            </w:r>
          </w:p>
          <w:p w14:paraId="6B189C5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 进销存：</w:t>
            </w:r>
          </w:p>
          <w:p w14:paraId="77E8350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（1）单据管理：食材反算新增申购、手动新增申购、从申购单新增采购、食材反算新增采购、手动新增采购、申领管理。</w:t>
            </w:r>
          </w:p>
          <w:p w14:paraId="7E43910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（2）流程审核：申购审核、采购审核、申领审核。</w:t>
            </w:r>
          </w:p>
          <w:p w14:paraId="089CDE2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管理：</w:t>
            </w:r>
          </w:p>
          <w:p w14:paraId="12733E8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 基础数据维护：</w:t>
            </w:r>
          </w:p>
          <w:p w14:paraId="082CC83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（1）人员管理。</w:t>
            </w:r>
          </w:p>
          <w:p w14:paraId="64170D1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（2）供应商管理。</w:t>
            </w:r>
          </w:p>
          <w:p w14:paraId="3EF0AD9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（3）添加剂管理。</w:t>
            </w:r>
          </w:p>
          <w:p w14:paraId="431E081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（4）菜品食谱管理：在售菜单、标准菜品、标准套餐、分类、规格、小料、做法。</w:t>
            </w:r>
          </w:p>
          <w:p w14:paraId="71DD20D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个人信息维护：</w:t>
            </w:r>
          </w:p>
          <w:p w14:paraId="4A8282A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 人员信息、头像等维护。</w:t>
            </w:r>
          </w:p>
          <w:p w14:paraId="33C0791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 消息中心：系统内对应账号需要涉及的消息内容，可查看消息详情，设置已读状态。</w:t>
            </w:r>
          </w:p>
          <w:p w14:paraId="56B4441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 培训记录：培训台账、考试台账查看。</w:t>
            </w:r>
          </w:p>
          <w:p w14:paraId="7A1CEA7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设置：可以修改密码、退出。</w:t>
            </w:r>
          </w:p>
          <w:p w14:paraId="5E4DD9EC">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三、智慧食堂综合管理系统（第三方应用）：</w:t>
            </w:r>
          </w:p>
          <w:p w14:paraId="1DA7C34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1.食材采购供应商端后台：</w:t>
            </w:r>
          </w:p>
          <w:p w14:paraId="1D392CE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供应商PC端后台：</w:t>
            </w:r>
          </w:p>
          <w:p w14:paraId="02793F7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 供应商登录页：供应商有单独的登录后台，供应商账号为统一社会信信用代码，密码为系统初始密码。</w:t>
            </w:r>
          </w:p>
          <w:p w14:paraId="086F961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 采购订单：</w:t>
            </w:r>
          </w:p>
          <w:p w14:paraId="48CE9B7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（1）订单管理：供应商可以在供应商系统中，看到采购订单详情，包括订单编号、食堂名称、送达日期、提交日期、联系人、联系方式、订单状态等，可以在详情中查看食材信息，支持食材导出。</w:t>
            </w:r>
          </w:p>
          <w:p w14:paraId="777F078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（2）订单变更：可以点击发货，食材状态由待发货变为待验收。</w:t>
            </w:r>
          </w:p>
          <w:p w14:paraId="3AA79BF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（3）送货单：系统自动生成送货单，送货单上有采购订单信息、保质期、生产日期等信息，随货到，每月汇总送货单，包含送货物品名称，数量、单价、总计金额，每日明细送货单，包含每日送货物品详情。</w:t>
            </w:r>
          </w:p>
          <w:p w14:paraId="7607734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 系统管理：对企业内用户、角色、功能菜单开发权限进行设置管理。</w:t>
            </w:r>
          </w:p>
          <w:p w14:paraId="09B945D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1.1.4浙食链管理（浙江省外不需要）：浙食链账号填报、供应商备案、经销商备案、商品备案、入库管理、出库管理、库存管理等。</w:t>
            </w:r>
          </w:p>
          <w:p w14:paraId="34E64C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供应商H5端后台：</w:t>
            </w:r>
          </w:p>
          <w:p w14:paraId="1906792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 供应商登录页：供应商有单独的登录后台，供应商账号为统一社会信信用代码，密码为系统初始密码</w:t>
            </w:r>
          </w:p>
          <w:p w14:paraId="1106401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 采购订单：供应商可以在供应商系统中，看到采购订单详情，包括订单编号、食堂名称、送达日期、提交日期、联系人、联系方式、订单状态等，可以在详情中查看食材信息，支持食材导出。</w:t>
            </w:r>
          </w:p>
          <w:p w14:paraId="230CFD0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可以点击发货，食材状态由待发货变为待验收。</w:t>
            </w:r>
          </w:p>
          <w:p w14:paraId="2EA7A03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 系统管理：用于账号登入、退出、密码修改。</w:t>
            </w:r>
          </w:p>
          <w:p w14:paraId="1A626FB6">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四、后勤仓储管理系统：</w:t>
            </w:r>
          </w:p>
          <w:p w14:paraId="61AF76C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1.后勤仓储管理系统：</w:t>
            </w:r>
          </w:p>
          <w:p w14:paraId="3E41F3A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系统配置：</w:t>
            </w:r>
          </w:p>
          <w:p w14:paraId="494FDC2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 分类管理：支持物料分类管理，支持无限分级。</w:t>
            </w:r>
          </w:p>
          <w:p w14:paraId="4F12670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 供应商管理：支持物料供应商管理。</w:t>
            </w:r>
          </w:p>
          <w:p w14:paraId="542A41C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 字典维护：支持各类各类字典表维护，如物料规格、单位等。</w:t>
            </w:r>
          </w:p>
          <w:p w14:paraId="04871BA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 仓储信息管理：支持仓储信息的管理，支持两校区多仓储模式。</w:t>
            </w:r>
          </w:p>
          <w:p w14:paraId="5572D10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 参数设置：支持系统各类参数设置和调整；如库存预警阈值等。</w:t>
            </w:r>
          </w:p>
          <w:p w14:paraId="7B2BD01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1.1.6 数据安全：提供数据备份与恢复功能，确保数据安全。</w:t>
            </w:r>
          </w:p>
          <w:p w14:paraId="2E2BCE7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权限管理：</w:t>
            </w:r>
          </w:p>
          <w:p w14:paraId="0DD9440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 系统联动：与微后勤系统的用户管理体系进行联动，实现统一的用户管理；</w:t>
            </w:r>
          </w:p>
          <w:p w14:paraId="13ACE47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 角色权限：支持多用户操作，根据用户角色分配不同的操作权限。</w:t>
            </w:r>
          </w:p>
          <w:p w14:paraId="02EC11B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 身份验证：与数字化平台进行</w:t>
            </w:r>
            <w:r>
              <w:rPr>
                <w:rFonts w:hint="eastAsia" w:hAnsi="宋体" w:cs="宋体"/>
                <w:color w:val="auto"/>
                <w:sz w:val="21"/>
                <w:szCs w:val="21"/>
                <w:highlight w:val="none"/>
                <w:lang w:val="en-US" w:eastAsia="zh-CN"/>
              </w:rPr>
              <w:t>联动</w:t>
            </w:r>
            <w:r>
              <w:rPr>
                <w:rFonts w:hint="eastAsia" w:ascii="宋体" w:hAnsi="宋体" w:eastAsia="宋体" w:cs="宋体"/>
                <w:color w:val="auto"/>
                <w:sz w:val="21"/>
                <w:szCs w:val="21"/>
                <w:highlight w:val="none"/>
                <w:lang w:val="en-US" w:eastAsia="zh-CN"/>
              </w:rPr>
              <w:t>，提供用户统一身份验证，确保系统安全性和便捷性。</w:t>
            </w:r>
          </w:p>
          <w:p w14:paraId="5AAE18A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入库管理：</w:t>
            </w:r>
          </w:p>
          <w:p w14:paraId="70835AF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 入库方式：支持多种入库方式（如采购入库、退货入库等）。</w:t>
            </w:r>
          </w:p>
          <w:p w14:paraId="267A02D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 入库管理：支持多种入库操作：如在线入库单添加和Excel批量导入的入库方式。</w:t>
            </w:r>
          </w:p>
          <w:p w14:paraId="557B14F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 库存更新：库存自动更新，确保库存数据的实时性和准确性。</w:t>
            </w:r>
          </w:p>
          <w:p w14:paraId="2962B13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 出库管理：</w:t>
            </w:r>
          </w:p>
          <w:p w14:paraId="0EA53F9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 出库方式：支持多种出库方式（如领用出库、退货出库等）。</w:t>
            </w:r>
          </w:p>
          <w:p w14:paraId="46ABCDF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 出库管理：支持多种出库操作：如在线出库单添加和Excel批量导入的出库方式。</w:t>
            </w:r>
          </w:p>
          <w:p w14:paraId="02AE65C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 库存自动扣减：库存自动扣减，确保库存数据的实时更新。</w:t>
            </w:r>
          </w:p>
          <w:p w14:paraId="34DAFDF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 使用管理：</w:t>
            </w:r>
          </w:p>
          <w:p w14:paraId="75A3E3A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 手工领用：支持领用物品的查询。</w:t>
            </w:r>
          </w:p>
          <w:p w14:paraId="3F046C4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 使用状态：支持物品使用状态的标记，登记使用名称、数量、用途、对象、时间等信息。</w:t>
            </w:r>
          </w:p>
          <w:p w14:paraId="6E9A250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 使用库存信息：支持员工手头的物料库存信息，包括物料名称、规格、数量等。</w:t>
            </w:r>
          </w:p>
          <w:p w14:paraId="272B9F8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库存管理：</w:t>
            </w:r>
          </w:p>
          <w:p w14:paraId="2FA01EB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1.6.1 实时库存：实时显示库存信息，包括商品名称、规格、数量、库存位置等。</w:t>
            </w:r>
          </w:p>
          <w:p w14:paraId="3D7B9F1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1.6.2 库存查询：库存物品的综合查询功能，能通过名称、领用人、日期等多种方式进行库存查询。</w:t>
            </w:r>
          </w:p>
          <w:p w14:paraId="75062C6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1.6.3 库存流向查询：库存物料的流向查询：支持物品从入库到领用出库等多个环节过程信息的查询。</w:t>
            </w:r>
          </w:p>
          <w:p w14:paraId="1EF9111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1.6.4 库存盘点：支持库存盘点功能，定期或不定期对库存进行盘点，确保账实相符。</w:t>
            </w:r>
          </w:p>
          <w:p w14:paraId="7DC6E406">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1.6.5 库存预警：库存预警功能，当库存数量低于或高于预设阈值时，自动发出预警信息。</w:t>
            </w:r>
          </w:p>
          <w:p w14:paraId="060686F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 查询与统计：</w:t>
            </w:r>
          </w:p>
          <w:p w14:paraId="32A4421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1.7.1 查询方式：提供多种查询方式（如按商品名称、规格、供应商等查询）。</w:t>
            </w:r>
          </w:p>
          <w:p w14:paraId="304B769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 库存统计报表：支持库存统计功能，生成各类统计报表（如库存明细表、出入库汇总表等）。</w:t>
            </w:r>
          </w:p>
          <w:p w14:paraId="7E0283A6">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▲五、采供智治数据上传：</w:t>
            </w:r>
          </w:p>
          <w:p w14:paraId="2AEBB36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1.数据归集上传：</w:t>
            </w:r>
          </w:p>
          <w:p w14:paraId="0E1D413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老系统数据上传：现有系统数据数据清洗转换归集并上传到采供智治平台。</w:t>
            </w:r>
          </w:p>
          <w:p w14:paraId="120274B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新系统数据上传：新建进销存（食材反算）管理系统数据清洗转换归集并上传到采供智治平台。数据互联互通功能包括：</w:t>
            </w:r>
          </w:p>
          <w:p w14:paraId="448CC1C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（1）数据标准化：定义统一的数据格式与接口规范，确保各子系统数据可被准确采集与解析；</w:t>
            </w:r>
          </w:p>
          <w:p w14:paraId="3DEAB265">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（2）数据归集：从采购、仓储、销售等系统自动抽取关键数据，整合至数据中台；</w:t>
            </w:r>
          </w:p>
          <w:p w14:paraId="3029D36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（3）数据上传：按照政府或学校要求，定期将数据上传至指定平台（如财政采购系统、食品安全监管平台等）；</w:t>
            </w:r>
          </w:p>
          <w:p w14:paraId="1D71E26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（4）数据安全：采用加密传输、权限控制等技术，确保数据在归集与上传过程中的安全性与合规性；</w:t>
            </w:r>
          </w:p>
          <w:p w14:paraId="33F59E54">
            <w:pPr>
              <w:pStyle w:val="58"/>
              <w:numPr>
                <w:ilvl w:val="6"/>
                <w:numId w:val="0"/>
              </w:numPr>
              <w:tabs>
                <w:tab w:val="left" w:pos="822"/>
                <w:tab w:val="left" w:pos="3120"/>
              </w:tabs>
              <w:spacing w:line="240" w:lineRule="auto"/>
              <w:ind w:left="0" w:leftChars="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5）既要实时满足教育厅“采供智治”数据上行当下的要求也须满足增添新的功能要求；须符合前期省市场监管局对于食品安全“食堂智治”相关数据的上行要求，做到功能齐全，结构清晰，数据互联互通，避免多系统的数据孤岛。</w:t>
            </w:r>
          </w:p>
          <w:p w14:paraId="1CC3F923">
            <w:pPr>
              <w:pStyle w:val="24"/>
              <w:spacing w:line="24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六、智能电子验收秤（3台）：</w:t>
            </w:r>
          </w:p>
          <w:p w14:paraId="2518597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1.外壳材质：机身碳钢，底座、盖板为不锈钢。</w:t>
            </w:r>
          </w:p>
          <w:p w14:paraId="7A70043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2.尺寸大小：≥450*1390*905mm（宽*高*厚），高度可延长至2060mm及以上。</w:t>
            </w:r>
          </w:p>
          <w:p w14:paraId="1F42ADF2">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3.额定电压：220VAC±10%@50Hz。</w:t>
            </w:r>
          </w:p>
          <w:p w14:paraId="4897772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4.电源功率：≤50W。</w:t>
            </w:r>
          </w:p>
          <w:p w14:paraId="55DD52F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5.CPU：不低于四核64位ARMCortex-A552.0GHz。</w:t>
            </w:r>
          </w:p>
          <w:p w14:paraId="20EADAB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6.操作系统：不低于Android12。</w:t>
            </w:r>
          </w:p>
          <w:p w14:paraId="1AECD64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7.内存/存储：不低于4GB/32GB。</w:t>
            </w:r>
          </w:p>
          <w:p w14:paraId="01BE312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8.安装方式：立式，带滚轮（带移动把手）。</w:t>
            </w:r>
          </w:p>
          <w:p w14:paraId="0C4D3E65">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9.联网方式：3G/4G、WiFi、以太网（默认）、SIM卡。</w:t>
            </w:r>
          </w:p>
          <w:p w14:paraId="19B8D9F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10.屏幕尺寸：≥15.6寸TFT-LCD横屏。</w:t>
            </w:r>
          </w:p>
          <w:p w14:paraId="5AAA4CC8">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11.屏幕分辨率：≥1920*1080。</w:t>
            </w:r>
          </w:p>
          <w:p w14:paraId="3618DC1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12.屏幕亮度：≥200cd/m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vertAlign w:val="baseline"/>
                <w:lang w:val="en-US" w:eastAsia="zh-CN"/>
              </w:rPr>
              <w:t>。</w:t>
            </w:r>
          </w:p>
          <w:p w14:paraId="1D232DE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13.屏幕显示方向：至少称台正面到称台反面180°可调整。</w:t>
            </w:r>
          </w:p>
          <w:p w14:paraId="1086ED1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14.触摸种类：电容触摸。</w:t>
            </w:r>
          </w:p>
          <w:p w14:paraId="48E3571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15.打印纸类型：热敏纸卷。</w:t>
            </w:r>
          </w:p>
          <w:p w14:paraId="5F3CBC5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16.打印纸宽度：≤58mm。</w:t>
            </w:r>
          </w:p>
          <w:p w14:paraId="16C422F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17.打印纸直径：≤50mm。</w:t>
            </w:r>
          </w:p>
          <w:p w14:paraId="69E8BF4F">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18.支持切刀。</w:t>
            </w:r>
          </w:p>
          <w:p w14:paraId="70C69C2B">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19.摄像头数量：3个（人脸识别+秤台拍照+AI识别）。</w:t>
            </w:r>
          </w:p>
          <w:p w14:paraId="1E843F5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20.人脸识别摄像头：200W像素；安装位置：内置在显示屏内部。</w:t>
            </w:r>
          </w:p>
          <w:p w14:paraId="655961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21.秤台拍照摄像头：500W像素；安装位置：高物秤台拍照，带补光灯。</w:t>
            </w:r>
          </w:p>
          <w:p w14:paraId="0D49DE7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AI识别摄像头：500W像素；安装位置：内置屏幕后侧横杠。</w:t>
            </w:r>
          </w:p>
          <w:p w14:paraId="2E30822A">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22.称重显示：称台面带数码显示。</w:t>
            </w:r>
          </w:p>
          <w:p w14:paraId="094DB5F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23.量程：≥150kg。</w:t>
            </w:r>
          </w:p>
          <w:p w14:paraId="0249F274">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24.称重分度值：≤50g。</w:t>
            </w:r>
          </w:p>
          <w:p w14:paraId="3947497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25.秤台大小：≥450*600mm。</w:t>
            </w:r>
          </w:p>
          <w:p w14:paraId="46C3BE57">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26.称台材质：不锈钢。</w:t>
            </w:r>
          </w:p>
          <w:p w14:paraId="4842F83E">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27.语音播报：双声道8Ω2W。</w:t>
            </w:r>
          </w:p>
          <w:p w14:paraId="0D16FBD9">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28.USB接口：USB2.0A*2。</w:t>
            </w:r>
          </w:p>
          <w:p w14:paraId="2E9005D1">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29.有线网口：RJ45*1。</w:t>
            </w:r>
          </w:p>
          <w:p w14:paraId="55FBA1D3">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30.智能验收：集称重、拍照、数据上传功能为一体。</w:t>
            </w:r>
          </w:p>
          <w:p w14:paraId="0848194D">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验收台账：食堂订单数据可同步至电子秤上，根据订单明细验收食材配送，支持退货和换货记录，详细记录每次验收的食材重量、数量、规格、配送时间、验收人员。同时电子秤支持食材照片拍摄，确保配送食材与实际订单相符。验收后，自动生成采购验收台账（自动生成众食安采购台账），记录每日验收的情况，当有订单未验收时，提醒食堂人员进行处理。</w:t>
            </w:r>
          </w:p>
          <w:p w14:paraId="2B5906A0">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▲32.支持与浙江省市场监管局智能阳光厨房系统系统信息互通，做到采购台帐自定义上传至浙江省市场监管局智能阳光厨房系统平台。</w:t>
            </w:r>
          </w:p>
          <w:p w14:paraId="53C8519C">
            <w:pPr>
              <w:pStyle w:val="24"/>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▲33.支持与浙食链系统信息互通，采购食材自动获取浙食链信息。</w:t>
            </w:r>
          </w:p>
        </w:tc>
      </w:tr>
      <w:tr w14:paraId="5EB5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429EC20C">
            <w:pPr>
              <w:pStyle w:val="3"/>
              <w:tabs>
                <w:tab w:val="left" w:pos="432"/>
              </w:tabs>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注：以上设备均为国产产品。</w:t>
            </w:r>
          </w:p>
        </w:tc>
      </w:tr>
    </w:tbl>
    <w:p w14:paraId="577B8E7A">
      <w:pPr>
        <w:keepNext w:val="0"/>
        <w:keepLines w:val="0"/>
        <w:pageBreakBefore w:val="0"/>
        <w:widowControl w:val="0"/>
        <w:kinsoku/>
        <w:wordWrap/>
        <w:overflowPunct/>
        <w:topLinePunct w:val="0"/>
        <w:autoSpaceDE/>
        <w:autoSpaceDN/>
        <w:bidi w:val="0"/>
        <w:adjustRightInd w:val="0"/>
        <w:snapToGrid w:val="0"/>
        <w:spacing w:line="288" w:lineRule="auto"/>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4.演示：</w:t>
      </w:r>
    </w:p>
    <w:p w14:paraId="553DDD51">
      <w:pPr>
        <w:keepNext w:val="0"/>
        <w:keepLines w:val="0"/>
        <w:pageBreakBefore w:val="0"/>
        <w:widowControl w:val="0"/>
        <w:kinsoku/>
        <w:wordWrap/>
        <w:overflowPunct/>
        <w:topLinePunct w:val="0"/>
        <w:autoSpaceDE/>
        <w:autoSpaceDN/>
        <w:bidi w:val="0"/>
        <w:adjustRightInd w:val="0"/>
        <w:snapToGrid w:val="0"/>
        <w:spacing w:line="288" w:lineRule="auto"/>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 供应商演示内容需为真人操作软件录制的视频进行。</w:t>
      </w:r>
    </w:p>
    <w:p w14:paraId="6338EA80">
      <w:pPr>
        <w:keepNext w:val="0"/>
        <w:keepLines w:val="0"/>
        <w:pageBreakBefore w:val="0"/>
        <w:widowControl w:val="0"/>
        <w:kinsoku/>
        <w:wordWrap/>
        <w:overflowPunct/>
        <w:topLinePunct w:val="0"/>
        <w:autoSpaceDE/>
        <w:autoSpaceDN/>
        <w:bidi w:val="0"/>
        <w:adjustRightInd w:val="0"/>
        <w:snapToGrid w:val="0"/>
        <w:spacing w:line="288" w:lineRule="auto"/>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 未提供任何演示的响应无效。以PPT、非真人操作软件录制的视频、图片等视同未演示，响应无效。</w:t>
      </w:r>
    </w:p>
    <w:p w14:paraId="7609E33F">
      <w:pPr>
        <w:keepNext w:val="0"/>
        <w:keepLines w:val="0"/>
        <w:pageBreakBefore w:val="0"/>
        <w:widowControl w:val="0"/>
        <w:kinsoku/>
        <w:wordWrap/>
        <w:overflowPunct/>
        <w:topLinePunct w:val="0"/>
        <w:autoSpaceDE/>
        <w:autoSpaceDN/>
        <w:bidi w:val="0"/>
        <w:adjustRightInd w:val="0"/>
        <w:snapToGrid w:val="0"/>
        <w:spacing w:line="288" w:lineRule="auto"/>
        <w:ind w:lef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 演示内容：</w:t>
      </w:r>
    </w:p>
    <w:p w14:paraId="028BD0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（1）规则配置需要能满足各种业务场景，具体需要包括：</w:t>
      </w:r>
    </w:p>
    <w:p w14:paraId="2885C0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支持配置合同超额比例；合同累计下单金额超出配置金额后，系统禁止再通过此合同下单</w:t>
      </w:r>
      <w:r>
        <w:rPr>
          <w:rFonts w:hint="eastAsia" w:cs="宋体"/>
          <w:b w:val="0"/>
          <w:bCs w:val="0"/>
          <w:color w:val="auto"/>
          <w:sz w:val="21"/>
          <w:szCs w:val="21"/>
          <w:highlight w:val="none"/>
          <w:lang w:val="en-US" w:eastAsia="zh-CN"/>
        </w:rPr>
        <w:t>；</w:t>
      </w:r>
    </w:p>
    <w:p w14:paraId="6C33069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支持单据排序规则配置，可按照添加时间和食材编号排序，确保所有采购、配送、验收单据顺序一致；</w:t>
      </w:r>
    </w:p>
    <w:p w14:paraId="4C76EF6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支持配置预采购；系统可配置未来的价格，并可设置未来的待定价格，以方便价格还未确定时可以先进行下单</w:t>
      </w:r>
      <w:r>
        <w:rPr>
          <w:rFonts w:hint="eastAsia" w:cs="宋体"/>
          <w:b w:val="0"/>
          <w:bCs w:val="0"/>
          <w:color w:val="auto"/>
          <w:sz w:val="21"/>
          <w:szCs w:val="21"/>
          <w:highlight w:val="none"/>
          <w:lang w:val="en-US" w:eastAsia="zh-CN"/>
        </w:rPr>
        <w:t>；</w:t>
      </w:r>
    </w:p>
    <w:p w14:paraId="2B60F4C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自动拆单、自动合单；申购人员可以一次性提交多个品类的采购需求，系统需要支持按照供应商和分类自动进行订单的拆分；采购人员补充采购需求时，系统支持自动合并到当天同分类、同供应商的订单中</w:t>
      </w:r>
      <w:r>
        <w:rPr>
          <w:rFonts w:hint="eastAsia" w:cs="宋体"/>
          <w:b w:val="0"/>
          <w:bCs w:val="0"/>
          <w:color w:val="auto"/>
          <w:sz w:val="21"/>
          <w:szCs w:val="21"/>
          <w:highlight w:val="none"/>
          <w:lang w:val="en-US" w:eastAsia="zh-CN"/>
        </w:rPr>
        <w:t>；</w:t>
      </w:r>
    </w:p>
    <w:p w14:paraId="391515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支持配置价格可采用下单时价格或者验收时价格；</w:t>
      </w:r>
    </w:p>
    <w:p w14:paraId="39860C9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支持按分类配置验收精度；系统需要按照不同的分类分别设置验收精度，每种精度都需要支持四舍五入或截断方式</w:t>
      </w:r>
      <w:r>
        <w:rPr>
          <w:rFonts w:hint="eastAsia" w:cs="宋体"/>
          <w:b w:val="0"/>
          <w:bCs w:val="0"/>
          <w:color w:val="auto"/>
          <w:sz w:val="21"/>
          <w:szCs w:val="21"/>
          <w:highlight w:val="none"/>
          <w:lang w:val="en-US" w:eastAsia="zh-CN"/>
        </w:rPr>
        <w:t>；</w:t>
      </w:r>
    </w:p>
    <w:p w14:paraId="75E35E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支持配置电子签名；</w:t>
      </w:r>
    </w:p>
    <w:p w14:paraId="159C62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支持配置超额验收比例，并可设置例外；</w:t>
      </w:r>
    </w:p>
    <w:p w14:paraId="1EA3C9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支持按不同组织、不同类别设置默认验收仓库。</w:t>
      </w:r>
    </w:p>
    <w:p w14:paraId="56B4F1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（2）采购业务作为系统核心业务，需要支持多种采购方式</w:t>
      </w:r>
      <w:r>
        <w:rPr>
          <w:rFonts w:hint="eastAsia" w:cs="宋体"/>
          <w:b w:val="0"/>
          <w:bCs w:val="0"/>
          <w:color w:val="auto"/>
          <w:sz w:val="21"/>
          <w:szCs w:val="21"/>
          <w:highlight w:val="none"/>
          <w:lang w:val="en-US" w:eastAsia="zh-CN"/>
        </w:rPr>
        <w:t>：</w:t>
      </w:r>
    </w:p>
    <w:p w14:paraId="1CBC42B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采购订单实现对当前组织树下采购订单的统一管理；</w:t>
      </w:r>
    </w:p>
    <w:p w14:paraId="1889F31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可导出订单；导出订单需要支持异步导出方式</w:t>
      </w:r>
      <w:r>
        <w:rPr>
          <w:rFonts w:hint="eastAsia" w:cs="宋体"/>
          <w:b w:val="0"/>
          <w:bCs w:val="0"/>
          <w:color w:val="auto"/>
          <w:sz w:val="21"/>
          <w:szCs w:val="21"/>
          <w:highlight w:val="none"/>
          <w:lang w:val="en-US" w:eastAsia="zh-CN"/>
        </w:rPr>
        <w:t>；</w:t>
      </w:r>
    </w:p>
    <w:p w14:paraId="2B451EE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从申购单新增、手动创建、食材反算创建；从申购单新增时，系统需要能够对申购单进行选择，系统自动汇总申购单中的食材数量，并可调整汇总数量；可对申购单进行修改和驳回处理；手动创建时，系统支持按照导入方式和搜索方式进行食材的添加。需要支持食材反算创建采购单，根据所选菜品的数量，反向计算需要的食材数量，并可直接创建采购单</w:t>
      </w:r>
      <w:r>
        <w:rPr>
          <w:rFonts w:hint="eastAsia" w:cs="宋体"/>
          <w:b w:val="0"/>
          <w:bCs w:val="0"/>
          <w:color w:val="auto"/>
          <w:sz w:val="21"/>
          <w:szCs w:val="21"/>
          <w:highlight w:val="none"/>
          <w:lang w:val="en-US" w:eastAsia="zh-CN"/>
        </w:rPr>
        <w:t>；</w:t>
      </w:r>
    </w:p>
    <w:p w14:paraId="4A9AB5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可通过下单时间、期望送达日期、订单编号、收货方、供应方、订单类型、订单状态进行查询</w:t>
      </w:r>
      <w:r>
        <w:rPr>
          <w:rFonts w:hint="eastAsia" w:cs="宋体"/>
          <w:b w:val="0"/>
          <w:bCs w:val="0"/>
          <w:color w:val="auto"/>
          <w:sz w:val="21"/>
          <w:szCs w:val="21"/>
          <w:highlight w:val="none"/>
          <w:lang w:val="en-US" w:eastAsia="zh-CN"/>
        </w:rPr>
        <w:t>；</w:t>
      </w:r>
    </w:p>
    <w:p w14:paraId="402E54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查询后，可查看订单编号、期望送达日期、类型、供应方、收货方、下单人、下单时间、种类数量、预估总计、实际总价、订单状态。</w:t>
      </w:r>
    </w:p>
    <w:p w14:paraId="45DA46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（3）入库单用于查询平台内入库单信息，可通过入库仓库、入库类型、入库时间、入库编号、审核状态进行查询</w:t>
      </w:r>
      <w:r>
        <w:rPr>
          <w:rFonts w:hint="eastAsia" w:cs="宋体"/>
          <w:b w:val="0"/>
          <w:bCs w:val="0"/>
          <w:color w:val="auto"/>
          <w:sz w:val="21"/>
          <w:szCs w:val="21"/>
          <w:highlight w:val="none"/>
          <w:lang w:val="en-US" w:eastAsia="zh-CN"/>
        </w:rPr>
        <w:t>：</w:t>
      </w:r>
    </w:p>
    <w:p w14:paraId="428CB54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可实现查看详情；订单详情中需要体现该单据的具体审批节点和流程；支持修改备注信息和三方单号信息；</w:t>
      </w:r>
    </w:p>
    <w:p w14:paraId="2327100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支持查看入库单相关采购单；点击单据编号可直接进入对应采购单页面</w:t>
      </w:r>
      <w:r>
        <w:rPr>
          <w:rFonts w:hint="eastAsia" w:cs="宋体"/>
          <w:b w:val="0"/>
          <w:bCs w:val="0"/>
          <w:color w:val="auto"/>
          <w:sz w:val="21"/>
          <w:szCs w:val="21"/>
          <w:highlight w:val="none"/>
          <w:lang w:val="en-US" w:eastAsia="zh-CN"/>
        </w:rPr>
        <w:t>；</w:t>
      </w:r>
    </w:p>
    <w:p w14:paraId="00E97B1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支持记录入库单改动明细记录，记录需包括操作时间，操作人员，操作类型，操作记录，操作记录中包括原信息和修改后信息</w:t>
      </w:r>
      <w:r>
        <w:rPr>
          <w:rFonts w:hint="eastAsia" w:cs="宋体"/>
          <w:b w:val="0"/>
          <w:bCs w:val="0"/>
          <w:color w:val="auto"/>
          <w:sz w:val="21"/>
          <w:szCs w:val="21"/>
          <w:highlight w:val="none"/>
          <w:lang w:val="en-US" w:eastAsia="zh-CN"/>
        </w:rPr>
        <w:t>；</w:t>
      </w:r>
    </w:p>
    <w:p w14:paraId="44A619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可实现对查询结果打印；</w:t>
      </w:r>
    </w:p>
    <w:p w14:paraId="33837E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可新建入库。新建入库时，需要支持录单模式，选择入库仓库、入库类型、入库时间，从食材库添加入库食材，确定完成入库</w:t>
      </w:r>
      <w:r>
        <w:rPr>
          <w:rFonts w:hint="eastAsia" w:cs="宋体"/>
          <w:b w:val="0"/>
          <w:bCs w:val="0"/>
          <w:color w:val="auto"/>
          <w:sz w:val="21"/>
          <w:szCs w:val="21"/>
          <w:highlight w:val="none"/>
          <w:lang w:val="en-US" w:eastAsia="zh-CN"/>
        </w:rPr>
        <w:t>；</w:t>
      </w:r>
    </w:p>
    <w:p w14:paraId="1EC442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入库单支持冲红；入库冲红时，可以选择单个食材进行冲红操作；进行冲红操作时，系统自动按照库存充足情况提示能否冲红；</w:t>
      </w:r>
    </w:p>
    <w:p w14:paraId="20723D1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冲后后支持自动提示需修正单据；冲红后，列表内提示需要修正的单据。</w:t>
      </w:r>
    </w:p>
    <w:p w14:paraId="0FFB1B5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（4）入库明细：入库明细用于查看平台内入库明细情况</w:t>
      </w:r>
      <w:r>
        <w:rPr>
          <w:rFonts w:hint="eastAsia" w:cs="宋体"/>
          <w:b w:val="0"/>
          <w:bCs w:val="0"/>
          <w:color w:val="auto"/>
          <w:sz w:val="21"/>
          <w:szCs w:val="21"/>
          <w:highlight w:val="none"/>
          <w:lang w:val="en-US" w:eastAsia="zh-CN"/>
        </w:rPr>
        <w:t>：</w:t>
      </w:r>
    </w:p>
    <w:p w14:paraId="4EC3EB4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入库明细列表支持设置哪些字段需要显示；</w:t>
      </w:r>
    </w:p>
    <w:p w14:paraId="64BC98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入库明细列表支持设置字段的显示顺序；</w:t>
      </w:r>
    </w:p>
    <w:p w14:paraId="29073B6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可通过日期、食材分类、食材名称、供应商、入库单号、条码、批次号、是否直进直出进行查询，可实现查询结果导出，导出需要支持异步模式</w:t>
      </w:r>
      <w:r>
        <w:rPr>
          <w:rFonts w:hint="eastAsia" w:cs="宋体"/>
          <w:b w:val="0"/>
          <w:bCs w:val="0"/>
          <w:color w:val="auto"/>
          <w:sz w:val="21"/>
          <w:szCs w:val="21"/>
          <w:highlight w:val="none"/>
          <w:lang w:val="en-US" w:eastAsia="zh-CN"/>
        </w:rPr>
        <w:t>；</w:t>
      </w:r>
    </w:p>
    <w:p w14:paraId="3D0F19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（5）账目需要支持系统自动对账，提升用户效率</w:t>
      </w:r>
      <w:r>
        <w:rPr>
          <w:rFonts w:hint="eastAsia" w:cs="宋体"/>
          <w:b w:val="0"/>
          <w:bCs w:val="0"/>
          <w:color w:val="auto"/>
          <w:sz w:val="21"/>
          <w:szCs w:val="21"/>
          <w:highlight w:val="none"/>
          <w:lang w:val="en-US" w:eastAsia="zh-CN"/>
        </w:rPr>
        <w:t>：</w:t>
      </w:r>
    </w:p>
    <w:p w14:paraId="6458BAB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价格对账，每日根据报货情况，结合每日料单实行仓库审核、核算复核，进行每日对账匹配；按照月维度，统计采购价格、入库价格、销售价格、价格调整记录进行对账匹配；价格对账需要支持选择账期后发起对账，支持设置允许同一食材允许出现不同价格的数量</w:t>
      </w:r>
      <w:r>
        <w:rPr>
          <w:rFonts w:hint="eastAsia" w:cs="宋体"/>
          <w:b w:val="0"/>
          <w:bCs w:val="0"/>
          <w:color w:val="auto"/>
          <w:sz w:val="21"/>
          <w:szCs w:val="21"/>
          <w:highlight w:val="none"/>
          <w:lang w:val="en-US" w:eastAsia="zh-CN"/>
        </w:rPr>
        <w:t>；</w:t>
      </w:r>
    </w:p>
    <w:p w14:paraId="0EE01B3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库存对账：按照月维度，统计期初库存、入库数量、出库数量、库存余额进行对账匹配；系统支持选择账期和时间范围发起对账；对账完成后支持查看对账详情，需要能够体现每个食材的对账差异情况</w:t>
      </w:r>
      <w:r>
        <w:rPr>
          <w:rFonts w:hint="eastAsia" w:cs="宋体"/>
          <w:b w:val="0"/>
          <w:bCs w:val="0"/>
          <w:color w:val="auto"/>
          <w:sz w:val="21"/>
          <w:szCs w:val="21"/>
          <w:highlight w:val="none"/>
          <w:lang w:val="en-US" w:eastAsia="zh-CN"/>
        </w:rPr>
        <w:t>；</w:t>
      </w:r>
    </w:p>
    <w:p w14:paraId="348ADF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outlineLvl w:val="9"/>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采购对账：按照月维度，进行订单与发票、订单与收货、发票与付款的采购信息对账。系统支持选择账期和时间范围发起对账，并自动提示对账的差异情况。</w:t>
      </w:r>
    </w:p>
    <w:p w14:paraId="41BDE495">
      <w:pPr>
        <w:keepNext w:val="0"/>
        <w:keepLines w:val="0"/>
        <w:pageBreakBefore w:val="0"/>
        <w:widowControl w:val="0"/>
        <w:numPr>
          <w:ilvl w:val="0"/>
          <w:numId w:val="0"/>
        </w:numPr>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 xml:space="preserve"> 演示U盘：</w:t>
      </w:r>
    </w:p>
    <w:p w14:paraId="6BAA690E">
      <w:pPr>
        <w:keepNext w:val="0"/>
        <w:keepLines w:val="0"/>
        <w:pageBreakBefore w:val="0"/>
        <w:widowControl w:val="0"/>
        <w:numPr>
          <w:ilvl w:val="0"/>
          <w:numId w:val="0"/>
        </w:numPr>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（1）供应商需将以上演示及讲解过程录制视频，演示时长不超过10分钟以.mp4格式存储于U盘。</w:t>
      </w:r>
    </w:p>
    <w:p w14:paraId="1316B1FC">
      <w:pPr>
        <w:keepNext w:val="0"/>
        <w:keepLines w:val="0"/>
        <w:pageBreakBefore w:val="0"/>
        <w:widowControl w:val="0"/>
        <w:numPr>
          <w:ilvl w:val="0"/>
          <w:numId w:val="0"/>
        </w:numPr>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（2）演示U盘在响应截止时间前与响应文件一同递交，演示U盘应当密封包装并在包装上标注演示U盘、响应项目名称、响应供应商名称并加盖公章。</w:t>
      </w:r>
    </w:p>
    <w:p w14:paraId="4171850B">
      <w:pPr>
        <w:adjustRightInd w:val="0"/>
        <w:snapToGrid w:val="0"/>
        <w:spacing w:line="288" w:lineRule="auto"/>
        <w:ind w:firstLine="420" w:firstLineChars="200"/>
        <w:jc w:val="both"/>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（3）未按磋商文件要求提供演示U盘造成专家无法正常评审的风险由供应商自行承担。</w:t>
      </w:r>
    </w:p>
    <w:p w14:paraId="51D63441">
      <w:pPr>
        <w:adjustRightInd w:val="0"/>
        <w:snapToGrid w:val="0"/>
        <w:spacing w:line="288" w:lineRule="auto"/>
        <w:jc w:val="center"/>
        <w:outlineLvl w:val="0"/>
        <w:rPr>
          <w:b/>
          <w:bCs/>
          <w:color w:val="auto"/>
          <w:sz w:val="32"/>
          <w:szCs w:val="32"/>
          <w:highlight w:val="none"/>
        </w:rPr>
      </w:pPr>
      <w:r>
        <w:rPr>
          <w:rFonts w:hint="eastAsia"/>
          <w:b/>
          <w:bCs/>
          <w:color w:val="auto"/>
          <w:highlight w:val="none"/>
        </w:rPr>
        <w:br w:type="page"/>
      </w:r>
      <w:bookmarkStart w:id="53" w:name="_Toc31862"/>
      <w:bookmarkStart w:id="54" w:name="_Toc2083"/>
      <w:bookmarkStart w:id="55" w:name="_Toc2599"/>
      <w:bookmarkStart w:id="56" w:name="_Toc3307"/>
      <w:bookmarkStart w:id="57" w:name="_Toc3747"/>
      <w:bookmarkStart w:id="58" w:name="_Toc4159"/>
      <w:bookmarkStart w:id="59" w:name="_Toc31552"/>
      <w:r>
        <w:rPr>
          <w:rFonts w:hint="eastAsia"/>
          <w:b/>
          <w:bCs/>
          <w:color w:val="auto"/>
          <w:sz w:val="32"/>
          <w:szCs w:val="32"/>
          <w:highlight w:val="none"/>
        </w:rPr>
        <w:t>第三章  供应商须知</w:t>
      </w:r>
      <w:bookmarkEnd w:id="53"/>
      <w:bookmarkEnd w:id="54"/>
      <w:bookmarkEnd w:id="55"/>
      <w:bookmarkEnd w:id="56"/>
      <w:bookmarkEnd w:id="57"/>
      <w:bookmarkEnd w:id="58"/>
      <w:bookmarkEnd w:id="59"/>
    </w:p>
    <w:p w14:paraId="3BCD8D75">
      <w:pPr>
        <w:adjustRightInd w:val="0"/>
        <w:snapToGrid w:val="0"/>
        <w:spacing w:line="288" w:lineRule="auto"/>
        <w:jc w:val="center"/>
        <w:outlineLvl w:val="1"/>
        <w:rPr>
          <w:b/>
          <w:bCs/>
          <w:color w:val="auto"/>
          <w:sz w:val="21"/>
          <w:szCs w:val="21"/>
          <w:highlight w:val="none"/>
        </w:rPr>
      </w:pPr>
      <w:bookmarkStart w:id="60" w:name="_Toc32532"/>
      <w:bookmarkStart w:id="61" w:name="_Toc19309"/>
      <w:bookmarkStart w:id="62" w:name="_Toc31020"/>
      <w:r>
        <w:rPr>
          <w:rFonts w:hint="eastAsia"/>
          <w:b/>
          <w:bCs/>
          <w:color w:val="auto"/>
          <w:sz w:val="21"/>
          <w:szCs w:val="21"/>
          <w:highlight w:val="none"/>
        </w:rPr>
        <w:t>供应商须知前附表</w:t>
      </w:r>
      <w:bookmarkEnd w:id="60"/>
      <w:bookmarkEnd w:id="61"/>
      <w:bookmarkEnd w:id="62"/>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749"/>
        <w:gridCol w:w="6470"/>
      </w:tblGrid>
      <w:tr w14:paraId="65C1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C06323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909" w:type="pct"/>
            <w:vAlign w:val="center"/>
          </w:tcPr>
          <w:p w14:paraId="3917AA3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3362" w:type="pct"/>
            <w:vAlign w:val="center"/>
          </w:tcPr>
          <w:p w14:paraId="070BF36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4EEE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70731FE">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909" w:type="pct"/>
            <w:vAlign w:val="center"/>
          </w:tcPr>
          <w:p w14:paraId="2C34D4B4">
            <w:pPr>
              <w:snapToGrid w:val="0"/>
              <w:spacing w:line="288" w:lineRule="auto"/>
              <w:jc w:val="center"/>
              <w:rPr>
                <w:b/>
                <w:color w:val="auto"/>
                <w:sz w:val="21"/>
                <w:szCs w:val="21"/>
                <w:highlight w:val="none"/>
              </w:rPr>
            </w:pPr>
            <w:r>
              <w:rPr>
                <w:rFonts w:hint="eastAsia"/>
                <w:b/>
                <w:color w:val="auto"/>
                <w:sz w:val="21"/>
                <w:szCs w:val="21"/>
                <w:highlight w:val="none"/>
              </w:rPr>
              <w:t>项目属性与核心产品</w:t>
            </w:r>
          </w:p>
        </w:tc>
        <w:tc>
          <w:tcPr>
            <w:tcW w:w="3362" w:type="pct"/>
            <w:vAlign w:val="center"/>
          </w:tcPr>
          <w:p w14:paraId="69E0F3CC">
            <w:pPr>
              <w:spacing w:line="288" w:lineRule="auto"/>
              <w:rPr>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货物类，单一产品或</w:t>
            </w:r>
            <w:r>
              <w:rPr>
                <w:rFonts w:hint="eastAsia"/>
                <w:color w:val="auto"/>
                <w:kern w:val="0"/>
                <w:sz w:val="21"/>
                <w:szCs w:val="21"/>
                <w:highlight w:val="none"/>
              </w:rPr>
              <w:t>核心产品为：</w:t>
            </w:r>
            <w:r>
              <w:rPr>
                <w:rFonts w:hint="eastAsia"/>
                <w:color w:val="auto"/>
                <w:kern w:val="0"/>
                <w:sz w:val="21"/>
                <w:szCs w:val="21"/>
                <w:highlight w:val="none"/>
                <w:u w:val="single"/>
              </w:rPr>
              <w:t>后勤智慧餐厅与仓储管理系统</w:t>
            </w:r>
          </w:p>
          <w:p w14:paraId="64B13127">
            <w:pPr>
              <w:spacing w:line="288" w:lineRule="auto"/>
              <w:rPr>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 xml:space="preserve"> B</w:t>
            </w:r>
            <w:r>
              <w:rPr>
                <w:rFonts w:hint="eastAsia"/>
                <w:color w:val="auto"/>
                <w:sz w:val="21"/>
                <w:szCs w:val="21"/>
                <w:highlight w:val="none"/>
              </w:rPr>
              <w:t>服务类。</w:t>
            </w:r>
          </w:p>
        </w:tc>
      </w:tr>
      <w:tr w14:paraId="0882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3CC98AB">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909" w:type="pct"/>
            <w:vAlign w:val="center"/>
          </w:tcPr>
          <w:p w14:paraId="5CA36F0F">
            <w:pPr>
              <w:snapToGrid w:val="0"/>
              <w:spacing w:line="288" w:lineRule="auto"/>
              <w:jc w:val="center"/>
              <w:rPr>
                <w:b/>
                <w:color w:val="auto"/>
                <w:sz w:val="21"/>
                <w:szCs w:val="21"/>
                <w:highlight w:val="none"/>
              </w:rPr>
            </w:pPr>
            <w:r>
              <w:rPr>
                <w:rFonts w:hint="eastAsia"/>
                <w:b/>
                <w:color w:val="auto"/>
                <w:sz w:val="21"/>
                <w:szCs w:val="21"/>
                <w:highlight w:val="none"/>
              </w:rPr>
              <w:t>采购标的对应的中小企业划分标准所属行业</w:t>
            </w:r>
          </w:p>
        </w:tc>
        <w:tc>
          <w:tcPr>
            <w:tcW w:w="3362" w:type="pct"/>
            <w:vAlign w:val="center"/>
          </w:tcPr>
          <w:p w14:paraId="3374A517">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hint="eastAsia"/>
                <w:color w:val="auto"/>
                <w:kern w:val="0"/>
                <w:sz w:val="21"/>
                <w:szCs w:val="21"/>
                <w:highlight w:val="none"/>
              </w:rPr>
              <w:t>（1）标的：</w:t>
            </w:r>
            <w:r>
              <w:rPr>
                <w:rFonts w:hint="eastAsia"/>
                <w:color w:val="auto"/>
                <w:kern w:val="0"/>
                <w:sz w:val="21"/>
                <w:szCs w:val="21"/>
                <w:highlight w:val="none"/>
                <w:u w:val="single"/>
              </w:rPr>
              <w:t>后勤智慧餐厅与仓储管理系统</w:t>
            </w:r>
            <w:r>
              <w:rPr>
                <w:rFonts w:hint="eastAsia"/>
                <w:color w:val="auto"/>
                <w:kern w:val="0"/>
                <w:sz w:val="21"/>
                <w:szCs w:val="21"/>
                <w:highlight w:val="none"/>
              </w:rPr>
              <w:t>，属于</w:t>
            </w:r>
            <w:r>
              <w:rPr>
                <w:color w:val="auto"/>
                <w:kern w:val="0"/>
                <w:sz w:val="21"/>
                <w:szCs w:val="21"/>
                <w:highlight w:val="none"/>
                <w:u w:val="single"/>
              </w:rPr>
              <w:t>工业</w:t>
            </w:r>
            <w:r>
              <w:rPr>
                <w:rFonts w:hint="eastAsia"/>
                <w:color w:val="auto"/>
                <w:kern w:val="0"/>
                <w:sz w:val="21"/>
                <w:szCs w:val="21"/>
                <w:highlight w:val="none"/>
                <w:u w:val="single"/>
                <w:lang w:eastAsia="zh-CN"/>
              </w:rPr>
              <w:t>。</w:t>
            </w:r>
          </w:p>
        </w:tc>
      </w:tr>
      <w:tr w14:paraId="25E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403F254">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909" w:type="pct"/>
            <w:vAlign w:val="center"/>
          </w:tcPr>
          <w:p w14:paraId="7F7F82CF">
            <w:pPr>
              <w:snapToGrid w:val="0"/>
              <w:spacing w:line="288" w:lineRule="auto"/>
              <w:jc w:val="center"/>
              <w:rPr>
                <w:b/>
                <w:color w:val="auto"/>
                <w:sz w:val="21"/>
                <w:szCs w:val="21"/>
                <w:highlight w:val="none"/>
              </w:rPr>
            </w:pPr>
            <w:r>
              <w:rPr>
                <w:rFonts w:hint="eastAsia"/>
                <w:b/>
                <w:color w:val="auto"/>
                <w:sz w:val="21"/>
                <w:szCs w:val="21"/>
                <w:highlight w:val="none"/>
              </w:rPr>
              <w:t>是否允许采购进口产品</w:t>
            </w:r>
          </w:p>
        </w:tc>
        <w:tc>
          <w:tcPr>
            <w:tcW w:w="3362" w:type="pct"/>
            <w:vAlign w:val="center"/>
          </w:tcPr>
          <w:p w14:paraId="03644A31">
            <w:pPr>
              <w:spacing w:line="288" w:lineRule="auto"/>
              <w:rPr>
                <w:color w:val="auto"/>
                <w:kern w:val="0"/>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本项目不允许采购进口产品。</w:t>
            </w:r>
          </w:p>
          <w:p w14:paraId="1EE65136">
            <w:pPr>
              <w:spacing w:line="288" w:lineRule="auto"/>
              <w:rPr>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可以就</w:t>
            </w:r>
            <w:r>
              <w:rPr>
                <w:rFonts w:hint="eastAsia"/>
                <w:color w:val="auto"/>
                <w:kern w:val="0"/>
                <w:sz w:val="21"/>
                <w:szCs w:val="21"/>
                <w:highlight w:val="none"/>
                <w:u w:val="single"/>
              </w:rPr>
              <w:t>/</w:t>
            </w:r>
            <w:r>
              <w:rPr>
                <w:rFonts w:hint="eastAsia"/>
                <w:color w:val="auto"/>
                <w:kern w:val="0"/>
                <w:sz w:val="21"/>
                <w:szCs w:val="21"/>
                <w:highlight w:val="none"/>
              </w:rPr>
              <w:t>采购进口产品。</w:t>
            </w:r>
          </w:p>
        </w:tc>
      </w:tr>
      <w:tr w14:paraId="7959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444FEAB0">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909" w:type="pct"/>
            <w:vAlign w:val="center"/>
          </w:tcPr>
          <w:p w14:paraId="424D01A1">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3362" w:type="pct"/>
            <w:vAlign w:val="center"/>
          </w:tcPr>
          <w:p w14:paraId="6E75FD5E">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本磋商文件适用于浙江树人学院</w:t>
            </w:r>
            <w:r>
              <w:rPr>
                <w:rFonts w:hint="eastAsia"/>
                <w:color w:val="auto"/>
                <w:sz w:val="21"/>
                <w:szCs w:val="21"/>
                <w:highlight w:val="none"/>
                <w:lang w:eastAsia="zh-CN"/>
              </w:rPr>
              <w:t>后勤智慧餐厅与仓储管理系统</w:t>
            </w:r>
            <w:r>
              <w:rPr>
                <w:rFonts w:hint="eastAsia"/>
                <w:color w:val="auto"/>
                <w:sz w:val="21"/>
                <w:szCs w:val="21"/>
                <w:highlight w:val="none"/>
              </w:rPr>
              <w:t>项目的磋商、评审、成交、验收、合同履约、付款等（法律、法规另有规定的，从其规定）。</w:t>
            </w:r>
          </w:p>
        </w:tc>
      </w:tr>
      <w:tr w14:paraId="0B5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35DB142">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909" w:type="pct"/>
            <w:vAlign w:val="center"/>
          </w:tcPr>
          <w:p w14:paraId="559DCF09">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3362" w:type="pct"/>
            <w:vAlign w:val="center"/>
          </w:tcPr>
          <w:p w14:paraId="2808EAB7">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316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F6A13FF">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909" w:type="pct"/>
            <w:vAlign w:val="center"/>
          </w:tcPr>
          <w:p w14:paraId="18ACDD3B">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3362" w:type="pct"/>
            <w:vAlign w:val="center"/>
          </w:tcPr>
          <w:p w14:paraId="1A76F8AB">
            <w:pPr>
              <w:adjustRightInd w:val="0"/>
              <w:snapToGrid w:val="0"/>
              <w:spacing w:line="288" w:lineRule="auto"/>
              <w:rPr>
                <w:color w:val="auto"/>
                <w:sz w:val="21"/>
                <w:szCs w:val="21"/>
                <w:highlight w:val="none"/>
              </w:rPr>
            </w:pPr>
            <w:r>
              <w:rPr>
                <w:rFonts w:hint="eastAsia"/>
                <w:color w:val="auto"/>
                <w:sz w:val="21"/>
                <w:szCs w:val="21"/>
                <w:highlight w:val="none"/>
              </w:rPr>
              <w:t>1.▲供应商授权代表必须为供应商本单位在职职工，并提供</w:t>
            </w:r>
            <w:r>
              <w:rPr>
                <w:rFonts w:hint="eastAsia"/>
                <w:color w:val="auto"/>
                <w:sz w:val="21"/>
                <w:szCs w:val="21"/>
                <w:highlight w:val="none"/>
                <w:lang w:eastAsia="zh-CN"/>
              </w:rPr>
              <w:t>2024年7月1日</w:t>
            </w:r>
            <w:r>
              <w:rPr>
                <w:rFonts w:hint="eastAsia"/>
                <w:color w:val="auto"/>
                <w:sz w:val="21"/>
                <w:szCs w:val="21"/>
                <w:highlight w:val="none"/>
              </w:rPr>
              <w:t>至今任意一月社保缴纳证明（授权代表为法定代表人可不提供）。</w:t>
            </w:r>
          </w:p>
          <w:p w14:paraId="530E51EE">
            <w:pPr>
              <w:adjustRightInd w:val="0"/>
              <w:snapToGrid w:val="0"/>
              <w:spacing w:line="288" w:lineRule="auto"/>
              <w:rPr>
                <w:color w:val="auto"/>
                <w:sz w:val="21"/>
                <w:szCs w:val="21"/>
                <w:highlight w:val="none"/>
              </w:rPr>
            </w:pPr>
            <w:r>
              <w:rPr>
                <w:rFonts w:hint="eastAsia"/>
                <w:color w:val="auto"/>
                <w:sz w:val="21"/>
                <w:szCs w:val="21"/>
                <w:highlight w:val="none"/>
              </w:rPr>
              <w:t>2.如供应商代表不是法定代表人，须提供法定代表人授权委托书（格式详见磋商文件第六章）。</w:t>
            </w:r>
          </w:p>
        </w:tc>
      </w:tr>
      <w:tr w14:paraId="58BA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9025D8">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909" w:type="pct"/>
            <w:vAlign w:val="center"/>
          </w:tcPr>
          <w:p w14:paraId="63EE44A6">
            <w:pPr>
              <w:adjustRightInd w:val="0"/>
              <w:snapToGrid w:val="0"/>
              <w:spacing w:line="288" w:lineRule="auto"/>
              <w:jc w:val="center"/>
              <w:rPr>
                <w:rFonts w:ascii="仿宋_GB2312" w:hAnsi="仿宋" w:eastAsia="仿宋_GB2312" w:cs="仿宋_GB2312"/>
                <w:b/>
                <w:color w:val="auto"/>
                <w:highlight w:val="none"/>
              </w:rPr>
            </w:pPr>
            <w:r>
              <w:rPr>
                <w:rFonts w:hint="eastAsia"/>
                <w:bCs/>
                <w:color w:val="auto"/>
                <w:sz w:val="21"/>
                <w:szCs w:val="21"/>
                <w:highlight w:val="none"/>
              </w:rPr>
              <w:t>样品提供</w:t>
            </w:r>
          </w:p>
        </w:tc>
        <w:tc>
          <w:tcPr>
            <w:tcW w:w="3362" w:type="pct"/>
            <w:vAlign w:val="center"/>
          </w:tcPr>
          <w:p w14:paraId="7FCB027C">
            <w:pPr>
              <w:adjustRightInd w:val="0"/>
              <w:snapToGrid w:val="0"/>
              <w:spacing w:line="288" w:lineRule="auto"/>
              <w:rPr>
                <w:color w:val="auto"/>
                <w:sz w:val="21"/>
                <w:szCs w:val="21"/>
                <w:highlight w:val="none"/>
              </w:rPr>
            </w:pPr>
            <w:r>
              <w:rPr>
                <w:rFonts w:hint="eastAsia"/>
                <w:color w:val="auto"/>
                <w:kern w:val="0"/>
                <w:sz w:val="21"/>
                <w:szCs w:val="21"/>
                <w:highlight w:val="none"/>
              </w:rPr>
              <w:sym w:font="Wingdings" w:char="00FE"/>
            </w:r>
            <w:r>
              <w:rPr>
                <w:rFonts w:hint="eastAsia"/>
                <w:color w:val="auto"/>
                <w:kern w:val="0"/>
                <w:sz w:val="21"/>
                <w:szCs w:val="21"/>
                <w:highlight w:val="none"/>
              </w:rPr>
              <w:t xml:space="preserve"> A</w:t>
            </w:r>
            <w:r>
              <w:rPr>
                <w:rFonts w:hint="eastAsia"/>
                <w:color w:val="auto"/>
                <w:sz w:val="21"/>
                <w:szCs w:val="21"/>
                <w:highlight w:val="none"/>
              </w:rPr>
              <w:t>不要求提供。</w:t>
            </w:r>
          </w:p>
          <w:p w14:paraId="513BF47C">
            <w:pPr>
              <w:keepNext w:val="0"/>
              <w:keepLines w:val="0"/>
              <w:widowControl w:val="0"/>
              <w:suppressLineNumbers w:val="0"/>
              <w:spacing w:before="0" w:beforeAutospacing="0" w:after="0" w:afterAutospacing="0"/>
              <w:ind w:left="0" w:right="0"/>
              <w:jc w:val="both"/>
              <w:rPr>
                <w:color w:val="auto"/>
                <w:kern w:val="0"/>
                <w:sz w:val="21"/>
                <w:szCs w:val="21"/>
                <w:highlight w:val="none"/>
              </w:rPr>
            </w:pPr>
            <w:r>
              <w:rPr>
                <w:rFonts w:hint="eastAsia"/>
                <w:color w:val="auto"/>
                <w:kern w:val="0"/>
                <w:sz w:val="21"/>
                <w:szCs w:val="21"/>
                <w:highlight w:val="none"/>
              </w:rPr>
              <w:sym w:font="Wingdings 2" w:char="00A3"/>
            </w:r>
            <w:r>
              <w:rPr>
                <w:rFonts w:hint="eastAsia"/>
                <w:color w:val="auto"/>
                <w:kern w:val="0"/>
                <w:sz w:val="21"/>
                <w:szCs w:val="21"/>
                <w:highlight w:val="none"/>
              </w:rPr>
              <w:t>B要求提供，（未提供样品或提供样品不满足采购需求实质性条件的供应商，响应无效）</w:t>
            </w:r>
          </w:p>
          <w:p w14:paraId="3FE7C5C2">
            <w:pPr>
              <w:adjustRightInd w:val="0"/>
              <w:snapToGrid w:val="0"/>
              <w:spacing w:line="288" w:lineRule="auto"/>
              <w:rPr>
                <w:color w:val="auto"/>
                <w:kern w:val="0"/>
                <w:sz w:val="21"/>
                <w:szCs w:val="21"/>
                <w:highlight w:val="none"/>
              </w:rPr>
            </w:pPr>
            <w:r>
              <w:rPr>
                <w:rFonts w:hint="eastAsia"/>
                <w:snapToGrid w:val="0"/>
                <w:color w:val="auto"/>
                <w:kern w:val="28"/>
                <w:sz w:val="21"/>
                <w:szCs w:val="21"/>
                <w:highlight w:val="none"/>
              </w:rPr>
              <w:t>（1）样品：</w:t>
            </w:r>
            <w:r>
              <w:rPr>
                <w:rFonts w:hint="eastAsia"/>
                <w:color w:val="auto"/>
                <w:sz w:val="21"/>
                <w:szCs w:val="21"/>
                <w:highlight w:val="none"/>
                <w:u w:val="single"/>
                <w:lang w:val="en-US" w:eastAsia="zh-CN"/>
              </w:rPr>
              <w:t xml:space="preserve">          </w:t>
            </w:r>
            <w:r>
              <w:rPr>
                <w:rFonts w:hint="eastAsia"/>
                <w:color w:val="auto"/>
                <w:kern w:val="0"/>
                <w:sz w:val="21"/>
                <w:szCs w:val="21"/>
                <w:highlight w:val="none"/>
              </w:rPr>
              <w:t>；</w:t>
            </w:r>
          </w:p>
          <w:p w14:paraId="2A0AF414">
            <w:pPr>
              <w:adjustRightInd w:val="0"/>
              <w:snapToGrid w:val="0"/>
              <w:spacing w:line="288" w:lineRule="auto"/>
              <w:rPr>
                <w:snapToGrid w:val="0"/>
                <w:color w:val="auto"/>
                <w:kern w:val="28"/>
                <w:sz w:val="21"/>
                <w:szCs w:val="21"/>
                <w:highlight w:val="none"/>
              </w:rPr>
            </w:pPr>
            <w:r>
              <w:rPr>
                <w:rFonts w:hint="eastAsia"/>
                <w:snapToGrid w:val="0"/>
                <w:color w:val="auto"/>
                <w:kern w:val="28"/>
                <w:sz w:val="21"/>
                <w:szCs w:val="21"/>
                <w:highlight w:val="none"/>
              </w:rPr>
              <w:t>样品制作的标准和要求：</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kern w:val="0"/>
                <w:sz w:val="21"/>
                <w:szCs w:val="21"/>
                <w:highlight w:val="none"/>
              </w:rPr>
              <w:t>；</w:t>
            </w:r>
          </w:p>
          <w:p w14:paraId="02C050E0">
            <w:pPr>
              <w:adjustRightInd w:val="0"/>
              <w:snapToGrid w:val="0"/>
              <w:spacing w:line="288" w:lineRule="auto"/>
              <w:rPr>
                <w:rFonts w:hint="eastAsia" w:eastAsia="宋体"/>
                <w:snapToGrid w:val="0"/>
                <w:color w:val="auto"/>
                <w:kern w:val="28"/>
                <w:sz w:val="21"/>
                <w:szCs w:val="21"/>
                <w:highlight w:val="none"/>
                <w:lang w:eastAsia="zh-CN"/>
              </w:rPr>
            </w:pPr>
            <w:r>
              <w:rPr>
                <w:rFonts w:hint="eastAsia"/>
                <w:snapToGrid w:val="0"/>
                <w:color w:val="auto"/>
                <w:kern w:val="28"/>
                <w:sz w:val="21"/>
                <w:szCs w:val="21"/>
                <w:highlight w:val="none"/>
              </w:rPr>
              <w:t>（2）样品的评审方法以及评审标准：</w:t>
            </w:r>
          </w:p>
          <w:p w14:paraId="73C1C5E3">
            <w:pPr>
              <w:adjustRightInd w:val="0"/>
              <w:snapToGrid w:val="0"/>
              <w:spacing w:line="288" w:lineRule="auto"/>
              <w:rPr>
                <w:snapToGrid w:val="0"/>
                <w:color w:val="auto"/>
                <w:kern w:val="28"/>
                <w:sz w:val="21"/>
                <w:szCs w:val="21"/>
                <w:highlight w:val="none"/>
              </w:rPr>
            </w:pPr>
            <w:r>
              <w:rPr>
                <w:rFonts w:hint="eastAsia"/>
                <w:color w:val="auto"/>
                <w:kern w:val="0"/>
                <w:sz w:val="21"/>
                <w:szCs w:val="21"/>
                <w:highlight w:val="none"/>
              </w:rPr>
              <w:sym w:font="Wingdings" w:char="00A8"/>
            </w:r>
            <w:r>
              <w:rPr>
                <w:rFonts w:hint="eastAsia"/>
                <w:snapToGrid w:val="0"/>
                <w:color w:val="auto"/>
                <w:kern w:val="28"/>
                <w:sz w:val="21"/>
                <w:szCs w:val="21"/>
                <w:highlight w:val="none"/>
              </w:rPr>
              <w:t>样品分未超过价格分的50%；</w:t>
            </w:r>
          </w:p>
          <w:p w14:paraId="15C0187A">
            <w:pPr>
              <w:adjustRightInd w:val="0"/>
              <w:snapToGrid w:val="0"/>
              <w:spacing w:line="288" w:lineRule="auto"/>
              <w:rPr>
                <w:snapToGrid w:val="0"/>
                <w:color w:val="auto"/>
                <w:kern w:val="28"/>
                <w:sz w:val="21"/>
                <w:szCs w:val="21"/>
                <w:highlight w:val="none"/>
              </w:rPr>
            </w:pPr>
            <w:r>
              <w:rPr>
                <w:rFonts w:hint="eastAsia"/>
                <w:snapToGrid w:val="0"/>
                <w:color w:val="auto"/>
                <w:kern w:val="28"/>
                <w:sz w:val="21"/>
                <w:szCs w:val="21"/>
                <w:highlight w:val="none"/>
              </w:rPr>
              <w:t>☐样品分超过价格分的50%，理由</w:t>
            </w:r>
            <w:r>
              <w:rPr>
                <w:rFonts w:hint="eastAsia"/>
                <w:snapToGrid w:val="0"/>
                <w:color w:val="auto"/>
                <w:kern w:val="28"/>
                <w:sz w:val="21"/>
                <w:szCs w:val="21"/>
                <w:highlight w:val="none"/>
                <w:u w:val="single"/>
              </w:rPr>
              <w:t xml:space="preserve">            </w:t>
            </w:r>
            <w:r>
              <w:rPr>
                <w:rFonts w:hint="eastAsia"/>
                <w:snapToGrid w:val="0"/>
                <w:color w:val="auto"/>
                <w:kern w:val="28"/>
                <w:sz w:val="21"/>
                <w:szCs w:val="21"/>
                <w:highlight w:val="none"/>
              </w:rPr>
              <w:t>。</w:t>
            </w:r>
          </w:p>
          <w:p w14:paraId="4E3D0880">
            <w:pPr>
              <w:adjustRightInd w:val="0"/>
              <w:snapToGrid w:val="0"/>
              <w:spacing w:line="288" w:lineRule="auto"/>
              <w:rPr>
                <w:color w:val="auto"/>
                <w:kern w:val="0"/>
                <w:sz w:val="21"/>
                <w:szCs w:val="21"/>
                <w:highlight w:val="none"/>
              </w:rPr>
            </w:pPr>
            <w:r>
              <w:rPr>
                <w:rFonts w:hint="eastAsia"/>
                <w:snapToGrid w:val="0"/>
                <w:color w:val="auto"/>
                <w:kern w:val="28"/>
                <w:sz w:val="21"/>
                <w:szCs w:val="21"/>
                <w:highlight w:val="none"/>
              </w:rPr>
              <w:t>详见</w:t>
            </w:r>
            <w:r>
              <w:rPr>
                <w:rFonts w:hint="eastAsia"/>
                <w:color w:val="auto"/>
                <w:sz w:val="21"/>
                <w:szCs w:val="21"/>
                <w:highlight w:val="none"/>
                <w:u w:val="single"/>
              </w:rPr>
              <w:t>评标办法</w:t>
            </w:r>
            <w:r>
              <w:rPr>
                <w:rFonts w:hint="eastAsia"/>
                <w:color w:val="auto"/>
                <w:kern w:val="0"/>
                <w:sz w:val="21"/>
                <w:szCs w:val="21"/>
                <w:highlight w:val="none"/>
              </w:rPr>
              <w:t>；</w:t>
            </w:r>
          </w:p>
          <w:p w14:paraId="2EB6C3F0">
            <w:pPr>
              <w:adjustRightInd w:val="0"/>
              <w:snapToGrid w:val="0"/>
              <w:spacing w:line="288" w:lineRule="auto"/>
              <w:rPr>
                <w:color w:val="auto"/>
                <w:kern w:val="0"/>
                <w:sz w:val="21"/>
                <w:szCs w:val="21"/>
                <w:highlight w:val="none"/>
              </w:rPr>
            </w:pPr>
            <w:r>
              <w:rPr>
                <w:rFonts w:hint="eastAsia"/>
                <w:color w:val="auto"/>
                <w:kern w:val="0"/>
                <w:sz w:val="21"/>
                <w:szCs w:val="21"/>
                <w:highlight w:val="none"/>
              </w:rPr>
              <w:t>（3）是否需要随样品提交检测报告：</w:t>
            </w:r>
            <w:r>
              <w:rPr>
                <w:rFonts w:hint="eastAsia"/>
                <w:color w:val="auto"/>
                <w:kern w:val="0"/>
                <w:sz w:val="21"/>
                <w:szCs w:val="21"/>
                <w:highlight w:val="none"/>
              </w:rPr>
              <w:sym w:font="Wingdings 2" w:char="0052"/>
            </w:r>
            <w:r>
              <w:rPr>
                <w:rFonts w:hint="eastAsia"/>
                <w:color w:val="auto"/>
                <w:kern w:val="0"/>
                <w:sz w:val="21"/>
                <w:szCs w:val="21"/>
                <w:highlight w:val="none"/>
              </w:rPr>
              <w:t>否；☐是，检测机构的要求</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；检测内容</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kern w:val="0"/>
                <w:sz w:val="21"/>
                <w:szCs w:val="21"/>
                <w:highlight w:val="none"/>
              </w:rPr>
              <w:t>。</w:t>
            </w:r>
          </w:p>
          <w:p w14:paraId="739ED88D">
            <w:pPr>
              <w:adjustRightInd w:val="0"/>
              <w:snapToGrid w:val="0"/>
              <w:spacing w:line="288" w:lineRule="auto"/>
              <w:rPr>
                <w:color w:val="auto"/>
                <w:sz w:val="21"/>
                <w:szCs w:val="21"/>
                <w:highlight w:val="none"/>
              </w:rPr>
            </w:pPr>
            <w:r>
              <w:rPr>
                <w:rFonts w:hint="eastAsia"/>
                <w:color w:val="auto"/>
                <w:sz w:val="21"/>
                <w:szCs w:val="21"/>
                <w:highlight w:val="none"/>
              </w:rPr>
              <w:t>（4）提供样品的</w:t>
            </w:r>
            <w:r>
              <w:rPr>
                <w:rFonts w:hint="eastAsia"/>
                <w:color w:val="auto"/>
                <w:sz w:val="21"/>
                <w:szCs w:val="21"/>
                <w:highlight w:val="none"/>
                <w:lang w:val="en-US" w:eastAsia="zh-CN"/>
              </w:rPr>
              <w:t>截止</w:t>
            </w:r>
            <w:r>
              <w:rPr>
                <w:rFonts w:hint="eastAsia"/>
                <w:color w:val="auto"/>
                <w:sz w:val="21"/>
                <w:szCs w:val="21"/>
                <w:highlight w:val="none"/>
              </w:rPr>
              <w:t>时间：</w:t>
            </w:r>
            <w:r>
              <w:rPr>
                <w:rFonts w:hint="eastAsia"/>
                <w:color w:val="auto"/>
                <w:sz w:val="21"/>
                <w:szCs w:val="21"/>
                <w:highlight w:val="none"/>
                <w:u w:val="single"/>
                <w:lang w:val="en-US" w:eastAsia="zh-CN"/>
              </w:rPr>
              <w:t xml:space="preserve">                    </w:t>
            </w:r>
            <w:r>
              <w:rPr>
                <w:rFonts w:hint="eastAsia"/>
                <w:color w:val="auto"/>
                <w:kern w:val="0"/>
                <w:sz w:val="21"/>
                <w:szCs w:val="21"/>
                <w:highlight w:val="none"/>
              </w:rPr>
              <w:t>；地点：</w:t>
            </w:r>
            <w:r>
              <w:rPr>
                <w:rFonts w:hint="eastAsia"/>
                <w:color w:val="auto"/>
                <w:sz w:val="21"/>
                <w:szCs w:val="21"/>
                <w:highlight w:val="none"/>
                <w:u w:val="single"/>
                <w:lang w:val="en-US" w:eastAsia="zh-CN"/>
              </w:rPr>
              <w:t xml:space="preserve">                     </w:t>
            </w:r>
            <w:r>
              <w:rPr>
                <w:rFonts w:hint="eastAsia"/>
                <w:color w:val="auto"/>
                <w:kern w:val="0"/>
                <w:sz w:val="21"/>
                <w:szCs w:val="21"/>
                <w:highlight w:val="none"/>
              </w:rPr>
              <w:t>；联系人</w:t>
            </w:r>
            <w:r>
              <w:rPr>
                <w:rFonts w:hint="eastAsia"/>
                <w:color w:val="auto"/>
                <w:sz w:val="21"/>
                <w:szCs w:val="21"/>
                <w:highlight w:val="none"/>
              </w:rPr>
              <w:t>：</w:t>
            </w:r>
            <w:r>
              <w:rPr>
                <w:rFonts w:hint="eastAsia"/>
                <w:color w:val="auto"/>
                <w:sz w:val="21"/>
                <w:szCs w:val="21"/>
                <w:highlight w:val="none"/>
                <w:u w:val="single"/>
                <w:lang w:val="en-US" w:eastAsia="zh-CN"/>
              </w:rPr>
              <w:t xml:space="preserve">    </w:t>
            </w:r>
            <w:r>
              <w:rPr>
                <w:rFonts w:hint="eastAsia"/>
                <w:color w:val="auto"/>
                <w:sz w:val="21"/>
                <w:szCs w:val="21"/>
                <w:highlight w:val="none"/>
              </w:rPr>
              <w:t>，</w:t>
            </w:r>
            <w:r>
              <w:rPr>
                <w:rFonts w:hint="eastAsia"/>
                <w:color w:val="auto"/>
                <w:kern w:val="28"/>
                <w:sz w:val="21"/>
                <w:szCs w:val="21"/>
                <w:highlight w:val="none"/>
              </w:rPr>
              <w:t>联系电话：</w:t>
            </w:r>
            <w:r>
              <w:rPr>
                <w:rFonts w:hint="eastAsia"/>
                <w:color w:val="auto"/>
                <w:sz w:val="21"/>
                <w:szCs w:val="21"/>
                <w:highlight w:val="none"/>
                <w:u w:val="single"/>
                <w:lang w:val="en-US" w:eastAsia="zh-CN"/>
              </w:rPr>
              <w:t xml:space="preserve">         </w:t>
            </w:r>
            <w:r>
              <w:rPr>
                <w:rFonts w:hint="eastAsia"/>
                <w:color w:val="auto"/>
                <w:sz w:val="21"/>
                <w:szCs w:val="21"/>
                <w:highlight w:val="none"/>
              </w:rPr>
              <w:t>。请供应商在上述时间内提供样品并按规定位置安装完毕。超过截止时间的，采购人或采购代理机构将不予接收，并将清场并封闭样品现场。</w:t>
            </w:r>
          </w:p>
          <w:p w14:paraId="17104A1C">
            <w:pPr>
              <w:adjustRightInd w:val="0"/>
              <w:snapToGrid w:val="0"/>
              <w:spacing w:line="288" w:lineRule="auto"/>
              <w:rPr>
                <w:color w:val="auto"/>
                <w:sz w:val="21"/>
                <w:szCs w:val="21"/>
                <w:highlight w:val="none"/>
              </w:rPr>
            </w:pPr>
            <w:r>
              <w:rPr>
                <w:rFonts w:hint="eastAsia"/>
                <w:color w:val="auto"/>
                <w:sz w:val="21"/>
                <w:szCs w:val="21"/>
                <w:highlight w:val="none"/>
              </w:rPr>
              <w:t>（5）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07785BD9">
            <w:pPr>
              <w:adjustRightInd w:val="0"/>
              <w:snapToGrid w:val="0"/>
              <w:spacing w:line="288" w:lineRule="auto"/>
              <w:rPr>
                <w:b/>
                <w:color w:val="auto"/>
                <w:sz w:val="21"/>
                <w:szCs w:val="21"/>
                <w:highlight w:val="none"/>
              </w:rPr>
            </w:pPr>
            <w:r>
              <w:rPr>
                <w:rFonts w:hint="eastAsia"/>
                <w:color w:val="auto"/>
                <w:sz w:val="21"/>
                <w:szCs w:val="21"/>
                <w:highlight w:val="none"/>
              </w:rPr>
              <w:t>（6）制作、运输、安装和保管样品所发生的一切费用由供应商自理。</w:t>
            </w:r>
          </w:p>
        </w:tc>
      </w:tr>
      <w:tr w14:paraId="2F4D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592DCF8">
            <w:pPr>
              <w:adjustRightInd w:val="0"/>
              <w:snapToGrid w:val="0"/>
              <w:spacing w:line="288" w:lineRule="auto"/>
              <w:jc w:val="center"/>
              <w:rPr>
                <w:color w:val="auto"/>
                <w:highlight w:val="none"/>
              </w:rPr>
            </w:pPr>
            <w:r>
              <w:rPr>
                <w:rFonts w:hint="eastAsia"/>
                <w:color w:val="auto"/>
                <w:highlight w:val="none"/>
              </w:rPr>
              <w:t>（八）</w:t>
            </w:r>
          </w:p>
        </w:tc>
        <w:tc>
          <w:tcPr>
            <w:tcW w:w="909" w:type="pct"/>
            <w:vAlign w:val="center"/>
          </w:tcPr>
          <w:p w14:paraId="1E0D95DB">
            <w:pPr>
              <w:adjustRightInd w:val="0"/>
              <w:snapToGrid w:val="0"/>
              <w:spacing w:line="288" w:lineRule="auto"/>
              <w:jc w:val="center"/>
              <w:rPr>
                <w:rFonts w:ascii="仿宋_GB2312" w:hAnsi="仿宋" w:eastAsia="仿宋_GB2312" w:cs="仿宋_GB2312"/>
                <w:bCs/>
                <w:color w:val="auto"/>
                <w:highlight w:val="none"/>
              </w:rPr>
            </w:pPr>
            <w:r>
              <w:rPr>
                <w:rFonts w:hint="eastAsia"/>
                <w:bCs/>
                <w:color w:val="auto"/>
                <w:sz w:val="21"/>
                <w:szCs w:val="21"/>
                <w:highlight w:val="none"/>
              </w:rPr>
              <w:t>讲解演示</w:t>
            </w:r>
          </w:p>
        </w:tc>
        <w:tc>
          <w:tcPr>
            <w:tcW w:w="3362" w:type="pct"/>
            <w:vAlign w:val="center"/>
          </w:tcPr>
          <w:p w14:paraId="145785AF">
            <w:pPr>
              <w:adjustRightInd w:val="0"/>
              <w:snapToGrid w:val="0"/>
              <w:spacing w:line="288" w:lineRule="auto"/>
              <w:rPr>
                <w:color w:val="auto"/>
                <w:sz w:val="21"/>
                <w:szCs w:val="21"/>
                <w:highlight w:val="none"/>
              </w:rPr>
            </w:pPr>
            <w:r>
              <w:rPr>
                <w:rFonts w:hint="eastAsia"/>
                <w:color w:val="auto"/>
                <w:kern w:val="0"/>
                <w:sz w:val="21"/>
                <w:szCs w:val="21"/>
                <w:highlight w:val="none"/>
              </w:rPr>
              <w:sym w:font="Wingdings" w:char="00A8"/>
            </w:r>
            <w:r>
              <w:rPr>
                <w:rFonts w:hint="eastAsia"/>
                <w:color w:val="auto"/>
                <w:kern w:val="0"/>
                <w:sz w:val="21"/>
                <w:szCs w:val="21"/>
                <w:highlight w:val="none"/>
              </w:rPr>
              <w:t xml:space="preserve"> </w:t>
            </w:r>
            <w:r>
              <w:rPr>
                <w:rFonts w:hint="eastAsia"/>
                <w:color w:val="auto"/>
                <w:sz w:val="21"/>
                <w:szCs w:val="21"/>
                <w:highlight w:val="none"/>
              </w:rPr>
              <w:t>A不组织。</w:t>
            </w:r>
          </w:p>
          <w:p w14:paraId="6E22085B">
            <w:pPr>
              <w:adjustRightInd w:val="0"/>
              <w:snapToGrid w:val="0"/>
              <w:spacing w:line="288" w:lineRule="auto"/>
              <w:rPr>
                <w:color w:val="auto"/>
                <w:sz w:val="21"/>
                <w:szCs w:val="21"/>
                <w:highlight w:val="none"/>
              </w:rPr>
            </w:pPr>
            <w:r>
              <w:rPr>
                <w:rFonts w:hint="eastAsia"/>
                <w:color w:val="auto"/>
                <w:sz w:val="21"/>
                <w:szCs w:val="21"/>
                <w:highlight w:val="none"/>
              </w:rPr>
              <w:sym w:font="Wingdings 2" w:char="0052"/>
            </w:r>
            <w:r>
              <w:rPr>
                <w:rFonts w:hint="eastAsia"/>
                <w:color w:val="auto"/>
                <w:sz w:val="21"/>
                <w:szCs w:val="21"/>
                <w:highlight w:val="none"/>
              </w:rPr>
              <w:t>B组织。</w:t>
            </w:r>
          </w:p>
          <w:p w14:paraId="0BFADABD">
            <w:pPr>
              <w:autoSpaceDE w:val="0"/>
              <w:spacing w:line="288" w:lineRule="auto"/>
              <w:rPr>
                <w:color w:val="auto"/>
                <w:sz w:val="21"/>
                <w:szCs w:val="21"/>
                <w:highlight w:val="none"/>
              </w:rPr>
            </w:pPr>
            <w:r>
              <w:rPr>
                <w:rFonts w:hint="eastAsia"/>
                <w:color w:val="auto"/>
                <w:sz w:val="21"/>
                <w:szCs w:val="21"/>
                <w:highlight w:val="none"/>
                <w:lang w:bidi="ar"/>
              </w:rPr>
              <w:t>采用“不见面”形式演示。供应商在磋商截止时间前，递交自行录制的“音视频文件”，演示内容时长不</w:t>
            </w:r>
            <w:r>
              <w:rPr>
                <w:color w:val="auto"/>
                <w:sz w:val="21"/>
                <w:szCs w:val="21"/>
                <w:highlight w:val="none"/>
                <w:lang w:bidi="ar"/>
              </w:rPr>
              <w:t>超过</w:t>
            </w:r>
            <w:r>
              <w:rPr>
                <w:rFonts w:hint="eastAsia"/>
                <w:color w:val="auto"/>
                <w:sz w:val="21"/>
                <w:szCs w:val="21"/>
                <w:highlight w:val="none"/>
                <w:lang w:val="en-US" w:eastAsia="zh-CN" w:bidi="ar"/>
              </w:rPr>
              <w:t>10</w:t>
            </w:r>
            <w:r>
              <w:rPr>
                <w:rFonts w:hint="eastAsia"/>
                <w:color w:val="auto"/>
                <w:sz w:val="21"/>
                <w:szCs w:val="21"/>
                <w:highlight w:val="none"/>
                <w:lang w:bidi="ar"/>
              </w:rPr>
              <w:t>分钟。磋商小组在评审现场对其进行播放并以此作为与方案演示有关评审内容的评分依据。各供应商递交的音视频文件光盘或U盘中应有确保文件正常打开的播放器。</w:t>
            </w:r>
          </w:p>
          <w:p w14:paraId="0B5D48B6">
            <w:pPr>
              <w:spacing w:line="288" w:lineRule="auto"/>
              <w:rPr>
                <w:color w:val="auto"/>
                <w:sz w:val="21"/>
                <w:szCs w:val="21"/>
                <w:highlight w:val="none"/>
              </w:rPr>
            </w:pPr>
            <w:r>
              <w:rPr>
                <w:rFonts w:hint="eastAsia"/>
                <w:color w:val="auto"/>
                <w:sz w:val="21"/>
                <w:szCs w:val="21"/>
                <w:highlight w:val="none"/>
                <w:lang w:bidi="ar"/>
              </w:rPr>
              <w:t>注：因供应商自身原因导致无法演示或者演示效果不理想的，责任自负。因平台原因导致本项目方案讲解演示环节无法顺利开展，按照《浙江省政府采购项目电子交易管理暂行办法》相关规定执行。</w:t>
            </w:r>
          </w:p>
        </w:tc>
      </w:tr>
      <w:tr w14:paraId="6BF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B8393B0">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909" w:type="pct"/>
            <w:vAlign w:val="center"/>
          </w:tcPr>
          <w:p w14:paraId="3B758EDA">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3362" w:type="pct"/>
            <w:vAlign w:val="center"/>
          </w:tcPr>
          <w:p w14:paraId="08AF5894">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3AE37085">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7CFB4F4C">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F845C03">
            <w:pPr>
              <w:adjustRightInd w:val="0"/>
              <w:snapToGrid w:val="0"/>
              <w:spacing w:line="288" w:lineRule="auto"/>
              <w:rPr>
                <w:color w:val="auto"/>
                <w:sz w:val="21"/>
                <w:szCs w:val="21"/>
                <w:highlight w:val="none"/>
              </w:rPr>
            </w:pPr>
            <w:bookmarkStart w:id="63" w:name="_Hlk71808378"/>
            <w:r>
              <w:rPr>
                <w:rFonts w:hint="eastAsia"/>
                <w:color w:val="auto"/>
                <w:sz w:val="21"/>
                <w:szCs w:val="21"/>
                <w:highlight w:val="none"/>
              </w:rPr>
              <w:t>4.代理服务费收费标准（差额累进）：</w:t>
            </w:r>
          </w:p>
          <w:bookmarkEnd w:id="63"/>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2338"/>
            </w:tblGrid>
            <w:tr w14:paraId="0AA7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83D5B7F">
                  <w:pPr>
                    <w:adjustRightInd w:val="0"/>
                    <w:snapToGrid w:val="0"/>
                    <w:spacing w:line="288" w:lineRule="auto"/>
                    <w:jc w:val="center"/>
                    <w:rPr>
                      <w:b/>
                      <w:color w:val="auto"/>
                      <w:sz w:val="21"/>
                      <w:szCs w:val="21"/>
                      <w:highlight w:val="none"/>
                    </w:rPr>
                  </w:pPr>
                  <w:r>
                    <w:rPr>
                      <w:rFonts w:hint="eastAsia"/>
                      <w:b/>
                      <w:color w:val="auto"/>
                      <w:sz w:val="21"/>
                      <w:szCs w:val="21"/>
                      <w:highlight w:val="none"/>
                    </w:rPr>
                    <w:t>成交金额（万元）</w:t>
                  </w:r>
                </w:p>
              </w:tc>
              <w:tc>
                <w:tcPr>
                  <w:tcW w:w="2338" w:type="dxa"/>
                  <w:tcBorders>
                    <w:top w:val="single" w:color="auto" w:sz="4" w:space="0"/>
                    <w:left w:val="nil"/>
                    <w:bottom w:val="single" w:color="auto" w:sz="4" w:space="0"/>
                    <w:right w:val="single" w:color="auto" w:sz="4" w:space="0"/>
                  </w:tcBorders>
                  <w:vAlign w:val="center"/>
                </w:tcPr>
                <w:p w14:paraId="5C05C95C">
                  <w:pPr>
                    <w:adjustRightInd w:val="0"/>
                    <w:snapToGrid w:val="0"/>
                    <w:spacing w:line="288" w:lineRule="auto"/>
                    <w:jc w:val="center"/>
                    <w:rPr>
                      <w:b/>
                      <w:color w:val="auto"/>
                      <w:sz w:val="21"/>
                      <w:szCs w:val="21"/>
                      <w:highlight w:val="none"/>
                    </w:rPr>
                  </w:pPr>
                  <w:r>
                    <w:rPr>
                      <w:rFonts w:hint="eastAsia"/>
                      <w:b/>
                      <w:color w:val="auto"/>
                      <w:sz w:val="21"/>
                      <w:szCs w:val="21"/>
                      <w:highlight w:val="none"/>
                    </w:rPr>
                    <w:t>收费标准（费率，%）</w:t>
                  </w:r>
                </w:p>
              </w:tc>
            </w:tr>
            <w:tr w14:paraId="7151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2E8B1538">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tcBorders>
                    <w:top w:val="single" w:color="auto" w:sz="4" w:space="0"/>
                    <w:left w:val="nil"/>
                    <w:bottom w:val="single" w:color="auto" w:sz="4" w:space="0"/>
                    <w:right w:val="single" w:color="auto" w:sz="4" w:space="0"/>
                  </w:tcBorders>
                  <w:vAlign w:val="center"/>
                </w:tcPr>
                <w:p w14:paraId="09FF6227">
                  <w:pPr>
                    <w:adjustRightInd w:val="0"/>
                    <w:snapToGrid w:val="0"/>
                    <w:spacing w:line="288" w:lineRule="auto"/>
                    <w:jc w:val="center"/>
                    <w:rPr>
                      <w:color w:val="auto"/>
                      <w:sz w:val="21"/>
                      <w:szCs w:val="21"/>
                      <w:highlight w:val="none"/>
                    </w:rPr>
                  </w:pPr>
                  <w:r>
                    <w:rPr>
                      <w:rFonts w:hint="eastAsia"/>
                      <w:color w:val="auto"/>
                      <w:sz w:val="21"/>
                      <w:szCs w:val="21"/>
                      <w:highlight w:val="none"/>
                    </w:rPr>
                    <w:t>1.2</w:t>
                  </w:r>
                </w:p>
              </w:tc>
            </w:tr>
            <w:tr w14:paraId="5C6E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339A7036">
                  <w:pPr>
                    <w:adjustRightInd w:val="0"/>
                    <w:snapToGrid w:val="0"/>
                    <w:spacing w:line="288" w:lineRule="auto"/>
                    <w:jc w:val="center"/>
                    <w:rPr>
                      <w:color w:val="auto"/>
                      <w:sz w:val="21"/>
                      <w:szCs w:val="21"/>
                      <w:highlight w:val="none"/>
                      <w:lang w:bidi="ar"/>
                    </w:rPr>
                  </w:pPr>
                  <w:r>
                    <w:rPr>
                      <w:rFonts w:hint="eastAsia"/>
                      <w:color w:val="auto"/>
                      <w:sz w:val="21"/>
                      <w:szCs w:val="21"/>
                      <w:highlight w:val="none"/>
                    </w:rPr>
                    <w:t>100-500部分</w:t>
                  </w:r>
                </w:p>
              </w:tc>
              <w:tc>
                <w:tcPr>
                  <w:tcW w:w="2338" w:type="dxa"/>
                  <w:tcBorders>
                    <w:top w:val="single" w:color="auto" w:sz="4" w:space="0"/>
                    <w:left w:val="nil"/>
                    <w:bottom w:val="single" w:color="auto" w:sz="4" w:space="0"/>
                    <w:right w:val="single" w:color="auto" w:sz="4" w:space="0"/>
                  </w:tcBorders>
                  <w:vAlign w:val="center"/>
                </w:tcPr>
                <w:p w14:paraId="1D322ED0">
                  <w:pPr>
                    <w:adjustRightInd w:val="0"/>
                    <w:snapToGrid w:val="0"/>
                    <w:spacing w:line="288" w:lineRule="auto"/>
                    <w:jc w:val="center"/>
                    <w:rPr>
                      <w:color w:val="auto"/>
                      <w:sz w:val="21"/>
                      <w:szCs w:val="21"/>
                      <w:highlight w:val="none"/>
                      <w:lang w:bidi="ar"/>
                    </w:rPr>
                  </w:pPr>
                  <w:r>
                    <w:rPr>
                      <w:rFonts w:hint="eastAsia"/>
                      <w:color w:val="auto"/>
                      <w:sz w:val="21"/>
                      <w:szCs w:val="21"/>
                      <w:highlight w:val="none"/>
                    </w:rPr>
                    <w:t>0.88</w:t>
                  </w:r>
                </w:p>
              </w:tc>
            </w:tr>
          </w:tbl>
          <w:p w14:paraId="0C12CD0C">
            <w:pPr>
              <w:adjustRightInd w:val="0"/>
              <w:snapToGrid w:val="0"/>
              <w:spacing w:line="288" w:lineRule="auto"/>
              <w:ind w:firstLine="420" w:firstLineChars="200"/>
              <w:jc w:val="center"/>
              <w:rPr>
                <w:color w:val="auto"/>
                <w:sz w:val="21"/>
                <w:szCs w:val="21"/>
                <w:highlight w:val="none"/>
                <w:lang w:bidi="ar"/>
              </w:rPr>
            </w:pPr>
            <w:r>
              <w:rPr>
                <w:rFonts w:hint="eastAsia"/>
                <w:color w:val="auto"/>
                <w:sz w:val="21"/>
                <w:szCs w:val="21"/>
                <w:highlight w:val="none"/>
                <w:lang w:bidi="ar"/>
              </w:rPr>
              <w:t>代理服务费不足3000元的按3000元计。</w:t>
            </w:r>
          </w:p>
          <w:p w14:paraId="37DEB356">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采购代理服务费由</w:t>
            </w:r>
            <w:r>
              <w:rPr>
                <w:rFonts w:hint="eastAsia"/>
                <w:color w:val="auto"/>
                <w:sz w:val="21"/>
                <w:szCs w:val="21"/>
                <w:highlight w:val="none"/>
              </w:rPr>
              <w:t>成交通知书发出之日起七个工作日内</w:t>
            </w:r>
            <w:r>
              <w:rPr>
                <w:rFonts w:hint="eastAsia"/>
                <w:color w:val="auto"/>
                <w:sz w:val="21"/>
                <w:szCs w:val="21"/>
                <w:highlight w:val="none"/>
                <w:lang w:bidi="ar"/>
              </w:rPr>
              <w:t>向采购代理机构支付。汇入以下账户 ：</w:t>
            </w:r>
          </w:p>
          <w:p w14:paraId="40082925">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户 名：浙江求是招标代理有限公司</w:t>
            </w:r>
          </w:p>
          <w:p w14:paraId="08C58117">
            <w:pPr>
              <w:adjustRightInd w:val="0"/>
              <w:snapToGrid w:val="0"/>
              <w:spacing w:line="288" w:lineRule="auto"/>
              <w:jc w:val="left"/>
              <w:rPr>
                <w:color w:val="auto"/>
                <w:sz w:val="21"/>
                <w:szCs w:val="21"/>
                <w:highlight w:val="none"/>
                <w:lang w:bidi="ar"/>
              </w:rPr>
            </w:pPr>
            <w:r>
              <w:rPr>
                <w:rFonts w:hint="eastAsia"/>
                <w:color w:val="auto"/>
                <w:sz w:val="21"/>
                <w:szCs w:val="21"/>
                <w:highlight w:val="none"/>
                <w:lang w:bidi="ar"/>
              </w:rPr>
              <w:t xml:space="preserve">开 户：工行浙大支行 </w:t>
            </w:r>
          </w:p>
          <w:p w14:paraId="0AE23B68">
            <w:pPr>
              <w:adjustRightInd w:val="0"/>
              <w:snapToGrid w:val="0"/>
              <w:spacing w:line="288" w:lineRule="auto"/>
              <w:jc w:val="left"/>
              <w:rPr>
                <w:color w:val="auto"/>
                <w:sz w:val="21"/>
                <w:szCs w:val="21"/>
                <w:highlight w:val="none"/>
              </w:rPr>
            </w:pPr>
            <w:r>
              <w:rPr>
                <w:rFonts w:hint="eastAsia"/>
                <w:color w:val="auto"/>
                <w:sz w:val="21"/>
                <w:szCs w:val="21"/>
                <w:highlight w:val="none"/>
                <w:lang w:bidi="ar"/>
              </w:rPr>
              <w:t>账 号：1202024609900033043</w:t>
            </w:r>
          </w:p>
        </w:tc>
      </w:tr>
      <w:tr w14:paraId="6C2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D6421BE">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909" w:type="pct"/>
            <w:vAlign w:val="center"/>
          </w:tcPr>
          <w:p w14:paraId="43050468">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磋商保证金（元）</w:t>
            </w:r>
          </w:p>
        </w:tc>
        <w:tc>
          <w:tcPr>
            <w:tcW w:w="3362" w:type="pct"/>
            <w:vAlign w:val="center"/>
          </w:tcPr>
          <w:p w14:paraId="0BDB9490">
            <w:pPr>
              <w:adjustRightInd w:val="0"/>
              <w:snapToGrid w:val="0"/>
              <w:spacing w:line="288" w:lineRule="auto"/>
              <w:rPr>
                <w:color w:val="auto"/>
                <w:sz w:val="21"/>
                <w:szCs w:val="21"/>
                <w:highlight w:val="none"/>
              </w:rPr>
            </w:pPr>
            <w:r>
              <w:rPr>
                <w:rFonts w:hint="eastAsia"/>
                <w:color w:val="auto"/>
                <w:spacing w:val="-6"/>
                <w:sz w:val="21"/>
                <w:szCs w:val="21"/>
                <w:highlight w:val="none"/>
              </w:rPr>
              <w:t>无。</w:t>
            </w:r>
          </w:p>
        </w:tc>
      </w:tr>
      <w:tr w14:paraId="1C34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507582C7">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909" w:type="pct"/>
            <w:vAlign w:val="center"/>
          </w:tcPr>
          <w:p w14:paraId="2FB1699C">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3362" w:type="pct"/>
            <w:vAlign w:val="center"/>
          </w:tcPr>
          <w:p w14:paraId="5DE3D71A">
            <w:pPr>
              <w:adjustRightInd w:val="0"/>
              <w:snapToGrid w:val="0"/>
              <w:spacing w:line="288" w:lineRule="auto"/>
              <w:rPr>
                <w:color w:val="auto"/>
                <w:sz w:val="21"/>
                <w:szCs w:val="21"/>
                <w:highlight w:val="none"/>
              </w:rPr>
            </w:pPr>
            <w:r>
              <w:rPr>
                <w:rFonts w:hint="eastAsia"/>
                <w:color w:val="auto"/>
                <w:sz w:val="21"/>
                <w:szCs w:val="21"/>
                <w:highlight w:val="none"/>
              </w:rPr>
              <w:t>本项目接受联合体响应。</w:t>
            </w:r>
          </w:p>
        </w:tc>
      </w:tr>
      <w:tr w14:paraId="36FE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7C46972">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909" w:type="pct"/>
            <w:vAlign w:val="center"/>
          </w:tcPr>
          <w:p w14:paraId="64E4B3B9">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3362" w:type="pct"/>
            <w:vAlign w:val="center"/>
          </w:tcPr>
          <w:p w14:paraId="15C9DA61">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2849B397">
            <w:pPr>
              <w:adjustRightInd w:val="0"/>
              <w:snapToGrid w:val="0"/>
              <w:spacing w:line="288" w:lineRule="auto"/>
              <w:rPr>
                <w:color w:val="auto"/>
                <w:sz w:val="21"/>
                <w:szCs w:val="21"/>
                <w:highlight w:val="none"/>
              </w:rPr>
            </w:pPr>
            <w:r>
              <w:rPr>
                <w:rFonts w:hint="eastAsia"/>
                <w:color w:val="auto"/>
                <w:sz w:val="21"/>
                <w:szCs w:val="21"/>
                <w:highlight w:val="none"/>
              </w:rPr>
              <w:t>2.本项目允许分包，可以分包履行的（非主体、非关键性的工作）具体内容、金额或者比例：</w:t>
            </w:r>
            <w:r>
              <w:rPr>
                <w:rFonts w:hint="eastAsia"/>
                <w:color w:val="auto"/>
                <w:sz w:val="21"/>
                <w:szCs w:val="21"/>
                <w:highlight w:val="none"/>
                <w:u w:val="single"/>
              </w:rPr>
              <w:t>货物运输</w:t>
            </w:r>
            <w:r>
              <w:rPr>
                <w:rFonts w:hint="eastAsia"/>
                <w:color w:val="auto"/>
                <w:sz w:val="21"/>
                <w:szCs w:val="21"/>
                <w:highlight w:val="none"/>
              </w:rPr>
              <w:t>。</w:t>
            </w:r>
          </w:p>
          <w:p w14:paraId="718894FF">
            <w:pPr>
              <w:adjustRightInd w:val="0"/>
              <w:snapToGrid w:val="0"/>
              <w:spacing w:line="288" w:lineRule="auto"/>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457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73330311">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909" w:type="pct"/>
            <w:vAlign w:val="center"/>
          </w:tcPr>
          <w:p w14:paraId="640BDD12">
            <w:pPr>
              <w:adjustRightInd w:val="0"/>
              <w:snapToGrid w:val="0"/>
              <w:spacing w:line="288" w:lineRule="auto"/>
              <w:jc w:val="center"/>
              <w:rPr>
                <w:color w:val="auto"/>
                <w:sz w:val="21"/>
                <w:szCs w:val="21"/>
                <w:highlight w:val="none"/>
              </w:rPr>
            </w:pPr>
            <w:r>
              <w:rPr>
                <w:rFonts w:hint="eastAsia"/>
                <w:color w:val="auto"/>
                <w:sz w:val="21"/>
                <w:szCs w:val="21"/>
                <w:highlight w:val="none"/>
              </w:rPr>
              <w:t>节能产品、环境标志产品</w:t>
            </w:r>
          </w:p>
        </w:tc>
        <w:tc>
          <w:tcPr>
            <w:tcW w:w="3362" w:type="pct"/>
            <w:vAlign w:val="center"/>
          </w:tcPr>
          <w:p w14:paraId="232DABFB">
            <w:pPr>
              <w:adjustRightInd w:val="0"/>
              <w:snapToGrid w:val="0"/>
              <w:spacing w:line="288" w:lineRule="auto"/>
              <w:jc w:val="left"/>
              <w:rPr>
                <w:color w:val="auto"/>
                <w:sz w:val="21"/>
                <w:szCs w:val="21"/>
                <w:highlight w:val="none"/>
              </w:rPr>
            </w:pPr>
            <w:r>
              <w:rPr>
                <w:rFonts w:hint="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0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344068A">
            <w:pPr>
              <w:adjustRightInd w:val="0"/>
              <w:snapToGrid w:val="0"/>
              <w:spacing w:line="288" w:lineRule="auto"/>
              <w:jc w:val="center"/>
              <w:rPr>
                <w:color w:val="auto"/>
                <w:sz w:val="21"/>
                <w:szCs w:val="21"/>
                <w:highlight w:val="none"/>
              </w:rPr>
            </w:pPr>
            <w:r>
              <w:rPr>
                <w:rFonts w:hint="eastAsia"/>
                <w:color w:val="auto"/>
                <w:sz w:val="21"/>
                <w:szCs w:val="21"/>
                <w:highlight w:val="none"/>
              </w:rPr>
              <w:t>（十四）</w:t>
            </w:r>
          </w:p>
        </w:tc>
        <w:tc>
          <w:tcPr>
            <w:tcW w:w="909" w:type="pct"/>
            <w:vAlign w:val="center"/>
          </w:tcPr>
          <w:p w14:paraId="32BAE0D4">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3362" w:type="pct"/>
            <w:vAlign w:val="center"/>
          </w:tcPr>
          <w:p w14:paraId="561E1AC6">
            <w:pPr>
              <w:adjustRightInd w:val="0"/>
              <w:snapToGrid w:val="0"/>
              <w:spacing w:line="288" w:lineRule="auto"/>
              <w:rPr>
                <w:bCs/>
                <w:color w:val="auto"/>
                <w:sz w:val="21"/>
                <w:szCs w:val="21"/>
                <w:highlight w:val="none"/>
              </w:rPr>
            </w:pPr>
            <w:bookmarkStart w:id="6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bookmarkEnd w:id="64"/>
          <w:p w14:paraId="5FD28F28">
            <w:pPr>
              <w:adjustRightInd w:val="0"/>
              <w:snapToGrid w:val="0"/>
              <w:spacing w:line="288" w:lineRule="auto"/>
              <w:rPr>
                <w:color w:val="auto"/>
                <w:sz w:val="21"/>
                <w:szCs w:val="21"/>
                <w:highlight w:val="none"/>
              </w:rPr>
            </w:pPr>
            <w:r>
              <w:rPr>
                <w:rFonts w:hint="eastAsia"/>
                <w:color w:val="auto"/>
                <w:sz w:val="21"/>
                <w:szCs w:val="21"/>
                <w:highlight w:val="none"/>
              </w:rPr>
              <w:t>（1）查询渠道：“信用中国”（www.creditchina.gov.cn）、“中国政府采购网”（www.ccgp.gov.cn）；</w:t>
            </w:r>
          </w:p>
          <w:p w14:paraId="57BBAB06">
            <w:pPr>
              <w:adjustRightInd w:val="0"/>
              <w:snapToGrid w:val="0"/>
              <w:spacing w:line="288" w:lineRule="auto"/>
              <w:rPr>
                <w:color w:val="auto"/>
                <w:sz w:val="21"/>
                <w:szCs w:val="21"/>
                <w:highlight w:val="none"/>
              </w:rPr>
            </w:pPr>
            <w:r>
              <w:rPr>
                <w:rFonts w:hint="eastAsia"/>
                <w:color w:val="auto"/>
                <w:sz w:val="21"/>
                <w:szCs w:val="21"/>
                <w:highlight w:val="none"/>
              </w:rPr>
              <w:t>（2）信用信息查询记录和证据留存具体方式：现场查询的供应商的信用记录、查询结果经确认后将与采购文件一起存档；</w:t>
            </w:r>
          </w:p>
          <w:p w14:paraId="7DC265CB">
            <w:pPr>
              <w:adjustRightInd w:val="0"/>
              <w:snapToGrid w:val="0"/>
              <w:spacing w:line="288" w:lineRule="auto"/>
              <w:rPr>
                <w:color w:val="auto"/>
                <w:sz w:val="21"/>
                <w:szCs w:val="21"/>
                <w:highlight w:val="none"/>
              </w:rPr>
            </w:pPr>
            <w:r>
              <w:rPr>
                <w:rFonts w:hint="eastAsia"/>
                <w:color w:val="auto"/>
                <w:sz w:val="21"/>
                <w:szCs w:val="21"/>
                <w:highlight w:val="none"/>
              </w:rPr>
              <w:t>（3）信用信息的使用规则：供应商被列入失信被执行人、重大税收违法案件当事人名单、政府采购严重违法失信行为记录名单的，拒绝其参与政府采购活动。</w:t>
            </w:r>
          </w:p>
          <w:p w14:paraId="4DF6C70A">
            <w:pPr>
              <w:adjustRightInd w:val="0"/>
              <w:snapToGrid w:val="0"/>
              <w:spacing w:line="288" w:lineRule="auto"/>
              <w:rPr>
                <w:color w:val="auto"/>
                <w:sz w:val="21"/>
                <w:szCs w:val="21"/>
                <w:highlight w:val="none"/>
              </w:rPr>
            </w:pPr>
            <w:r>
              <w:rPr>
                <w:rFonts w:hint="eastAsia"/>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FD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24474BF6">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909" w:type="pct"/>
            <w:vAlign w:val="center"/>
          </w:tcPr>
          <w:p w14:paraId="0AF793AD">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3362" w:type="pct"/>
            <w:vAlign w:val="center"/>
          </w:tcPr>
          <w:p w14:paraId="4BCD0737">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27A04B78">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1679CF8B">
            <w:pPr>
              <w:adjustRightInd w:val="0"/>
              <w:snapToGrid w:val="0"/>
              <w:spacing w:line="288" w:lineRule="auto"/>
              <w:rPr>
                <w:color w:val="auto"/>
                <w:sz w:val="21"/>
                <w:szCs w:val="21"/>
                <w:highlight w:val="none"/>
              </w:rPr>
            </w:pPr>
            <w:r>
              <w:rPr>
                <w:rFonts w:hint="eastAsia"/>
                <w:color w:val="auto"/>
                <w:sz w:val="21"/>
                <w:szCs w:val="21"/>
                <w:highlight w:val="none"/>
              </w:rPr>
              <w:t>（2）符合参加政府采购活动应当具备的一般条件的承诺函；</w:t>
            </w:r>
          </w:p>
          <w:p w14:paraId="6663FBC4">
            <w:pPr>
              <w:adjustRightInd w:val="0"/>
              <w:snapToGrid w:val="0"/>
              <w:spacing w:line="288" w:lineRule="auto"/>
              <w:rPr>
                <w:rFonts w:hint="eastAsia" w:eastAsia="宋体"/>
                <w:color w:val="auto"/>
                <w:sz w:val="21"/>
                <w:szCs w:val="21"/>
                <w:highlight w:val="none"/>
                <w:lang w:val="en-US" w:eastAsia="zh-CN"/>
              </w:rPr>
            </w:pPr>
            <w:r>
              <w:rPr>
                <w:rFonts w:hint="eastAsia"/>
                <w:color w:val="auto"/>
                <w:sz w:val="21"/>
                <w:szCs w:val="21"/>
                <w:highlight w:val="none"/>
              </w:rPr>
              <w:t>（3）落实政府采购政策需满足的资格要求：</w:t>
            </w:r>
            <w:r>
              <w:rPr>
                <w:rFonts w:hint="eastAsia"/>
                <w:color w:val="auto"/>
                <w:sz w:val="21"/>
                <w:szCs w:val="21"/>
                <w:highlight w:val="none"/>
                <w:lang w:val="en-US" w:eastAsia="zh-CN"/>
              </w:rPr>
              <w:t>无</w:t>
            </w:r>
          </w:p>
          <w:p w14:paraId="299D50BC">
            <w:pPr>
              <w:adjustRightInd w:val="0"/>
              <w:snapToGrid w:val="0"/>
              <w:spacing w:line="288" w:lineRule="auto"/>
              <w:rPr>
                <w:b/>
                <w:bCs/>
                <w:color w:val="auto"/>
                <w:sz w:val="21"/>
                <w:szCs w:val="21"/>
                <w:highlight w:val="none"/>
              </w:rPr>
            </w:pPr>
            <w:r>
              <w:rPr>
                <w:rFonts w:hint="eastAsia"/>
                <w:color w:val="auto"/>
                <w:sz w:val="21"/>
                <w:szCs w:val="21"/>
                <w:highlight w:val="none"/>
              </w:rPr>
              <w:t>（4）本项目的特定资格要求证明材料：无。</w:t>
            </w:r>
          </w:p>
        </w:tc>
      </w:tr>
      <w:tr w14:paraId="11F0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ACAB9DE">
            <w:pPr>
              <w:adjustRightInd w:val="0"/>
              <w:snapToGrid w:val="0"/>
              <w:spacing w:line="288" w:lineRule="auto"/>
              <w:jc w:val="center"/>
              <w:rPr>
                <w:color w:val="auto"/>
                <w:sz w:val="21"/>
                <w:szCs w:val="21"/>
                <w:highlight w:val="none"/>
              </w:rPr>
            </w:pPr>
            <w:r>
              <w:rPr>
                <w:rFonts w:hint="eastAsia"/>
                <w:color w:val="auto"/>
                <w:sz w:val="21"/>
                <w:szCs w:val="21"/>
                <w:highlight w:val="none"/>
              </w:rPr>
              <w:t>（十六）</w:t>
            </w:r>
          </w:p>
        </w:tc>
        <w:tc>
          <w:tcPr>
            <w:tcW w:w="909" w:type="pct"/>
            <w:vAlign w:val="center"/>
          </w:tcPr>
          <w:p w14:paraId="7445B1D8">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3362" w:type="pct"/>
            <w:vAlign w:val="center"/>
          </w:tcPr>
          <w:p w14:paraId="7525C64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响应文件开启时间前送达（邮寄地址：杭州市西湖区玉古路173号中田大厦21楼，浙江求是招标代理有限公司（俞炳）收，电话：0571-87670302，寄出后将（快递单号、项目名称、公司名称、联系方式等相关信息）发至：zb02@qszb.net，以便查收）。</w:t>
            </w:r>
          </w:p>
          <w:p w14:paraId="7DDC00C1">
            <w:pPr>
              <w:adjustRightInd w:val="0"/>
              <w:snapToGrid w:val="0"/>
              <w:spacing w:line="288" w:lineRule="auto"/>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特别说明：双休日和法定节假日不收件，供应商自行承担邮寄风险。采购人、采购机构不强制或变相强制投标人提交备份投标文件。</w:t>
            </w:r>
          </w:p>
        </w:tc>
      </w:tr>
      <w:tr w14:paraId="77FF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5DD8DAF">
            <w:pPr>
              <w:adjustRightInd w:val="0"/>
              <w:snapToGrid w:val="0"/>
              <w:spacing w:line="288" w:lineRule="auto"/>
              <w:jc w:val="center"/>
              <w:rPr>
                <w:color w:val="auto"/>
                <w:sz w:val="21"/>
                <w:szCs w:val="21"/>
                <w:highlight w:val="none"/>
              </w:rPr>
            </w:pPr>
            <w:r>
              <w:rPr>
                <w:rFonts w:hint="eastAsia"/>
                <w:color w:val="auto"/>
                <w:sz w:val="21"/>
                <w:szCs w:val="21"/>
                <w:highlight w:val="none"/>
              </w:rPr>
              <w:t>（十七）</w:t>
            </w:r>
          </w:p>
        </w:tc>
        <w:tc>
          <w:tcPr>
            <w:tcW w:w="909" w:type="pct"/>
            <w:vAlign w:val="center"/>
          </w:tcPr>
          <w:p w14:paraId="6B25F758">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3362" w:type="pct"/>
            <w:vAlign w:val="center"/>
          </w:tcPr>
          <w:p w14:paraId="0C7B3581">
            <w:pPr>
              <w:adjustRightInd w:val="0"/>
              <w:snapToGrid w:val="0"/>
              <w:spacing w:line="288" w:lineRule="auto"/>
              <w:rPr>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7B0E37FC">
            <w:pPr>
              <w:adjustRightInd w:val="0"/>
              <w:snapToGrid w:val="0"/>
              <w:spacing w:line="288" w:lineRule="auto"/>
              <w:rPr>
                <w:color w:val="auto"/>
                <w:sz w:val="21"/>
                <w:szCs w:val="21"/>
                <w:highlight w:val="none"/>
              </w:rPr>
            </w:pPr>
            <w:r>
              <w:rPr>
                <w:rFonts w:hint="eastAsia"/>
                <w:color w:val="auto"/>
                <w:sz w:val="21"/>
                <w:szCs w:val="21"/>
                <w:highlight w:val="none"/>
              </w:rPr>
              <w:t>2.本次磋商采用人民币报价；</w:t>
            </w:r>
          </w:p>
          <w:p w14:paraId="55D8C874">
            <w:pPr>
              <w:adjustRightInd w:val="0"/>
              <w:snapToGrid w:val="0"/>
              <w:spacing w:line="288" w:lineRule="auto"/>
              <w:rPr>
                <w:color w:val="auto"/>
                <w:highlight w:val="none"/>
              </w:rPr>
            </w:pPr>
            <w:r>
              <w:rPr>
                <w:rFonts w:hint="eastAsia"/>
                <w:color w:val="auto"/>
                <w:sz w:val="21"/>
                <w:szCs w:val="21"/>
                <w:highlight w:val="none"/>
              </w:rPr>
              <w:t>3.最后磋商报价是履行合同的最终价格。</w:t>
            </w:r>
          </w:p>
          <w:p w14:paraId="2483DA9B">
            <w:pPr>
              <w:adjustRightInd w:val="0"/>
              <w:snapToGrid w:val="0"/>
              <w:spacing w:line="288" w:lineRule="auto"/>
              <w:rPr>
                <w:color w:val="auto"/>
                <w:sz w:val="21"/>
                <w:szCs w:val="21"/>
                <w:highlight w:val="none"/>
              </w:rPr>
            </w:pPr>
            <w:r>
              <w:rPr>
                <w:rFonts w:hint="eastAsia"/>
                <w:color w:val="auto"/>
                <w:sz w:val="21"/>
                <w:szCs w:val="21"/>
                <w:highlight w:val="none"/>
              </w:rPr>
              <w:t>▲4.采购人将以合同形式有偿取得货物或服务，不接受供应商给予的赠品、回扣或者与采购无关的其他商品、服务。</w:t>
            </w:r>
          </w:p>
          <w:p w14:paraId="3C49E5C0">
            <w:pPr>
              <w:adjustRightInd w:val="0"/>
              <w:snapToGrid w:val="0"/>
              <w:spacing w:line="288" w:lineRule="auto"/>
              <w:rPr>
                <w:color w:val="auto"/>
                <w:sz w:val="21"/>
                <w:szCs w:val="21"/>
                <w:highlight w:val="none"/>
              </w:rPr>
            </w:pPr>
            <w:r>
              <w:rPr>
                <w:rFonts w:hint="eastAsia"/>
                <w:color w:val="auto"/>
                <w:sz w:val="21"/>
                <w:szCs w:val="21"/>
                <w:highlight w:val="none"/>
              </w:rPr>
              <w:t>▲</w:t>
            </w:r>
            <w:r>
              <w:rPr>
                <w:rFonts w:hint="eastAsia"/>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0B99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05DDC5C2">
            <w:pPr>
              <w:adjustRightInd w:val="0"/>
              <w:snapToGrid w:val="0"/>
              <w:spacing w:line="288" w:lineRule="auto"/>
              <w:jc w:val="center"/>
              <w:rPr>
                <w:color w:val="auto"/>
                <w:sz w:val="21"/>
                <w:szCs w:val="21"/>
                <w:highlight w:val="none"/>
              </w:rPr>
            </w:pPr>
            <w:r>
              <w:rPr>
                <w:rFonts w:hint="eastAsia"/>
                <w:color w:val="auto"/>
                <w:sz w:val="21"/>
                <w:szCs w:val="21"/>
                <w:highlight w:val="none"/>
              </w:rPr>
              <w:t>（十八）</w:t>
            </w:r>
          </w:p>
        </w:tc>
        <w:tc>
          <w:tcPr>
            <w:tcW w:w="909" w:type="pct"/>
            <w:vAlign w:val="center"/>
          </w:tcPr>
          <w:p w14:paraId="78369F8A">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3362" w:type="pct"/>
            <w:vAlign w:val="center"/>
          </w:tcPr>
          <w:p w14:paraId="5E73F84F">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6848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0D77A3C">
            <w:pPr>
              <w:adjustRightInd w:val="0"/>
              <w:snapToGrid w:val="0"/>
              <w:spacing w:line="288" w:lineRule="auto"/>
              <w:jc w:val="center"/>
              <w:rPr>
                <w:color w:val="auto"/>
                <w:sz w:val="21"/>
                <w:szCs w:val="21"/>
                <w:highlight w:val="none"/>
              </w:rPr>
            </w:pPr>
            <w:r>
              <w:rPr>
                <w:rFonts w:hint="eastAsia"/>
                <w:color w:val="auto"/>
                <w:sz w:val="21"/>
                <w:szCs w:val="21"/>
                <w:highlight w:val="none"/>
              </w:rPr>
              <w:t>（十九）</w:t>
            </w:r>
          </w:p>
        </w:tc>
        <w:tc>
          <w:tcPr>
            <w:tcW w:w="909" w:type="pct"/>
            <w:vAlign w:val="center"/>
          </w:tcPr>
          <w:p w14:paraId="5851097E">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3362" w:type="pct"/>
            <w:vAlign w:val="center"/>
          </w:tcPr>
          <w:p w14:paraId="025E0AC1">
            <w:pPr>
              <w:adjustRightInd w:val="0"/>
              <w:snapToGrid w:val="0"/>
              <w:spacing w:line="288" w:lineRule="auto"/>
              <w:rPr>
                <w:color w:val="auto"/>
                <w:sz w:val="21"/>
                <w:szCs w:val="21"/>
                <w:highlight w:val="none"/>
              </w:rPr>
            </w:pPr>
            <w:r>
              <w:rPr>
                <w:rFonts w:hint="eastAsia"/>
                <w:color w:val="auto"/>
                <w:sz w:val="21"/>
                <w:szCs w:val="21"/>
                <w:highlight w:val="none"/>
              </w:rPr>
              <w:t>详见“第四章  评审方法和评审标准”。</w:t>
            </w:r>
          </w:p>
        </w:tc>
      </w:tr>
      <w:tr w14:paraId="730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3C12094B">
            <w:pPr>
              <w:adjustRightInd w:val="0"/>
              <w:snapToGrid w:val="0"/>
              <w:spacing w:line="288" w:lineRule="auto"/>
              <w:jc w:val="center"/>
              <w:rPr>
                <w:color w:val="auto"/>
                <w:sz w:val="21"/>
                <w:szCs w:val="21"/>
                <w:highlight w:val="none"/>
              </w:rPr>
            </w:pPr>
            <w:r>
              <w:rPr>
                <w:rFonts w:hint="eastAsia"/>
                <w:color w:val="auto"/>
                <w:sz w:val="21"/>
                <w:szCs w:val="21"/>
                <w:highlight w:val="none"/>
              </w:rPr>
              <w:t>（二十）</w:t>
            </w:r>
          </w:p>
        </w:tc>
        <w:tc>
          <w:tcPr>
            <w:tcW w:w="909" w:type="pct"/>
            <w:vAlign w:val="center"/>
          </w:tcPr>
          <w:p w14:paraId="28ECE2DD">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3362" w:type="pct"/>
            <w:vAlign w:val="center"/>
          </w:tcPr>
          <w:p w14:paraId="5B60F24F">
            <w:pPr>
              <w:adjustRightInd w:val="0"/>
              <w:snapToGrid w:val="0"/>
              <w:spacing w:line="288" w:lineRule="auto"/>
              <w:jc w:val="left"/>
              <w:rPr>
                <w:color w:val="auto"/>
                <w:sz w:val="21"/>
                <w:szCs w:val="21"/>
                <w:highlight w:val="none"/>
              </w:rPr>
            </w:pPr>
            <w:r>
              <w:rPr>
                <w:rFonts w:hint="eastAsia"/>
                <w:color w:val="auto"/>
                <w:sz w:val="21"/>
                <w:szCs w:val="21"/>
                <w:highlight w:val="none"/>
              </w:rPr>
              <w:t>评审结果公示媒体：浙江政府采购网（http://zfcg.czt.zj.gov.cn）。</w:t>
            </w:r>
          </w:p>
        </w:tc>
      </w:tr>
      <w:tr w14:paraId="4EFC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106F23CE">
            <w:pPr>
              <w:adjustRightInd w:val="0"/>
              <w:snapToGrid w:val="0"/>
              <w:spacing w:line="288" w:lineRule="auto"/>
              <w:jc w:val="center"/>
              <w:rPr>
                <w:color w:val="auto"/>
                <w:sz w:val="21"/>
                <w:szCs w:val="21"/>
                <w:highlight w:val="none"/>
              </w:rPr>
            </w:pPr>
            <w:r>
              <w:rPr>
                <w:rFonts w:hint="eastAsia"/>
                <w:color w:val="auto"/>
                <w:sz w:val="21"/>
                <w:szCs w:val="21"/>
                <w:highlight w:val="none"/>
              </w:rPr>
              <w:t>（二十一）</w:t>
            </w:r>
          </w:p>
        </w:tc>
        <w:tc>
          <w:tcPr>
            <w:tcW w:w="909" w:type="pct"/>
            <w:vAlign w:val="center"/>
          </w:tcPr>
          <w:p w14:paraId="6DC81EC7">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3362" w:type="pct"/>
            <w:vAlign w:val="center"/>
          </w:tcPr>
          <w:p w14:paraId="747192ED">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r w14:paraId="231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Align w:val="center"/>
          </w:tcPr>
          <w:p w14:paraId="69820E82">
            <w:pPr>
              <w:adjustRightInd w:val="0"/>
              <w:snapToGrid w:val="0"/>
              <w:spacing w:line="288" w:lineRule="auto"/>
              <w:jc w:val="center"/>
              <w:rPr>
                <w:color w:val="auto"/>
                <w:sz w:val="21"/>
                <w:szCs w:val="21"/>
                <w:highlight w:val="none"/>
              </w:rPr>
            </w:pPr>
            <w:r>
              <w:rPr>
                <w:rFonts w:hint="eastAsia"/>
                <w:color w:val="auto"/>
                <w:sz w:val="21"/>
                <w:szCs w:val="21"/>
                <w:highlight w:val="none"/>
              </w:rPr>
              <w:t>（二十二）</w:t>
            </w:r>
          </w:p>
        </w:tc>
        <w:tc>
          <w:tcPr>
            <w:tcW w:w="909" w:type="pct"/>
            <w:vAlign w:val="center"/>
          </w:tcPr>
          <w:p w14:paraId="306C84EA">
            <w:pPr>
              <w:adjustRightInd w:val="0"/>
              <w:snapToGrid w:val="0"/>
              <w:spacing w:line="288" w:lineRule="auto"/>
              <w:jc w:val="center"/>
              <w:rPr>
                <w:color w:val="auto"/>
                <w:sz w:val="21"/>
                <w:szCs w:val="21"/>
                <w:highlight w:val="none"/>
              </w:rPr>
            </w:pPr>
            <w:r>
              <w:rPr>
                <w:rFonts w:hint="eastAsia"/>
                <w:color w:val="auto"/>
                <w:sz w:val="21"/>
                <w:szCs w:val="21"/>
                <w:highlight w:val="none"/>
              </w:rPr>
              <w:t>采购计划文号</w:t>
            </w:r>
          </w:p>
        </w:tc>
        <w:tc>
          <w:tcPr>
            <w:tcW w:w="3362" w:type="pct"/>
            <w:vAlign w:val="center"/>
          </w:tcPr>
          <w:p w14:paraId="7D371F64">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lang w:eastAsia="zh-CN"/>
              </w:rPr>
              <w:t>[2025]40987号</w:t>
            </w:r>
          </w:p>
        </w:tc>
      </w:tr>
      <w:tr w14:paraId="2156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restart"/>
            <w:vAlign w:val="center"/>
          </w:tcPr>
          <w:p w14:paraId="00607A77">
            <w:pPr>
              <w:adjustRightInd w:val="0"/>
              <w:snapToGrid w:val="0"/>
              <w:spacing w:line="288" w:lineRule="auto"/>
              <w:jc w:val="center"/>
              <w:rPr>
                <w:color w:val="auto"/>
                <w:sz w:val="21"/>
                <w:szCs w:val="21"/>
                <w:highlight w:val="none"/>
              </w:rPr>
            </w:pPr>
            <w:r>
              <w:rPr>
                <w:rFonts w:hint="eastAsia"/>
                <w:color w:val="auto"/>
                <w:sz w:val="21"/>
                <w:szCs w:val="21"/>
                <w:highlight w:val="none"/>
              </w:rPr>
              <w:t>（二十三）</w:t>
            </w:r>
          </w:p>
        </w:tc>
        <w:tc>
          <w:tcPr>
            <w:tcW w:w="909" w:type="pct"/>
            <w:vMerge w:val="restart"/>
            <w:vAlign w:val="center"/>
          </w:tcPr>
          <w:p w14:paraId="5D8E2A72">
            <w:pPr>
              <w:adjustRightInd w:val="0"/>
              <w:snapToGrid w:val="0"/>
              <w:spacing w:line="288" w:lineRule="auto"/>
              <w:jc w:val="center"/>
              <w:rPr>
                <w:color w:val="auto"/>
                <w:sz w:val="21"/>
                <w:szCs w:val="21"/>
                <w:highlight w:val="none"/>
              </w:rPr>
            </w:pPr>
            <w:r>
              <w:rPr>
                <w:rFonts w:hint="eastAsia"/>
                <w:b/>
                <w:color w:val="auto"/>
                <w:sz w:val="21"/>
                <w:szCs w:val="21"/>
                <w:highlight w:val="none"/>
              </w:rPr>
              <w:t>特别说明</w:t>
            </w:r>
          </w:p>
        </w:tc>
        <w:tc>
          <w:tcPr>
            <w:tcW w:w="3362" w:type="pct"/>
            <w:vAlign w:val="center"/>
          </w:tcPr>
          <w:p w14:paraId="0C39CC68">
            <w:pPr>
              <w:spacing w:line="288" w:lineRule="auto"/>
              <w:rPr>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联合体投标的，联合体各方分别提供与联合体协议中规定的分工内容相应的业绩证明材料，业绩数量以提供材料较少的一方为准。</w:t>
            </w:r>
          </w:p>
          <w:p w14:paraId="2229022A">
            <w:pPr>
              <w:spacing w:line="288" w:lineRule="auto"/>
              <w:rPr>
                <w:color w:val="auto"/>
                <w:highlight w:val="none"/>
              </w:rPr>
            </w:pPr>
            <w:r>
              <w:rPr>
                <w:rFonts w:hint="eastAsia"/>
                <w:color w:val="auto"/>
                <w:kern w:val="28"/>
                <w:sz w:val="21"/>
                <w:szCs w:val="21"/>
                <w:highlight w:val="none"/>
              </w:rPr>
              <w:t>☐联合体投标的，由联合体牵头方出具相应的业绩证明材料。</w:t>
            </w:r>
          </w:p>
        </w:tc>
      </w:tr>
      <w:tr w14:paraId="3241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pct"/>
            <w:vMerge w:val="continue"/>
            <w:vAlign w:val="center"/>
          </w:tcPr>
          <w:p w14:paraId="704A7B90">
            <w:pPr>
              <w:adjustRightInd w:val="0"/>
              <w:snapToGrid w:val="0"/>
              <w:spacing w:line="288" w:lineRule="auto"/>
              <w:jc w:val="center"/>
              <w:rPr>
                <w:color w:val="auto"/>
                <w:sz w:val="21"/>
                <w:szCs w:val="21"/>
                <w:highlight w:val="none"/>
              </w:rPr>
            </w:pPr>
          </w:p>
        </w:tc>
        <w:tc>
          <w:tcPr>
            <w:tcW w:w="909" w:type="pct"/>
            <w:vMerge w:val="continue"/>
            <w:vAlign w:val="center"/>
          </w:tcPr>
          <w:p w14:paraId="0F6F7E09">
            <w:pPr>
              <w:adjustRightInd w:val="0"/>
              <w:snapToGrid w:val="0"/>
              <w:spacing w:line="288" w:lineRule="auto"/>
              <w:jc w:val="center"/>
              <w:rPr>
                <w:color w:val="auto"/>
                <w:sz w:val="21"/>
                <w:szCs w:val="21"/>
                <w:highlight w:val="none"/>
              </w:rPr>
            </w:pPr>
          </w:p>
        </w:tc>
        <w:tc>
          <w:tcPr>
            <w:tcW w:w="3362" w:type="pct"/>
            <w:vAlign w:val="center"/>
          </w:tcPr>
          <w:p w14:paraId="6A0C3D13">
            <w:pPr>
              <w:spacing w:line="288" w:lineRule="auto"/>
              <w:rPr>
                <w:snapToGrid w:val="0"/>
                <w:color w:val="auto"/>
                <w:kern w:val="28"/>
                <w:sz w:val="21"/>
                <w:szCs w:val="21"/>
                <w:highlight w:val="none"/>
              </w:rPr>
            </w:pPr>
            <w:r>
              <w:rPr>
                <w:rFonts w:hint="eastAsia"/>
                <w:snapToGrid w:val="0"/>
                <w:color w:val="auto"/>
                <w:kern w:val="28"/>
                <w:sz w:val="21"/>
                <w:szCs w:val="21"/>
                <w:highlight w:val="none"/>
              </w:rPr>
              <w:sym w:font="Wingdings 2" w:char="0052"/>
            </w:r>
            <w:r>
              <w:rPr>
                <w:rFonts w:hint="eastAsia"/>
                <w:snapToGrid w:val="0"/>
                <w:color w:val="auto"/>
                <w:kern w:val="28"/>
                <w:sz w:val="21"/>
                <w:szCs w:val="21"/>
                <w:highlight w:val="none"/>
              </w:rPr>
              <w:t>联合体响应的，联合体各方均需按磋商文件第四部分评审标准要求提供资信证明文件，否则视为不符合相关要求。</w:t>
            </w:r>
          </w:p>
          <w:p w14:paraId="2A305D1C">
            <w:pPr>
              <w:spacing w:line="288" w:lineRule="auto"/>
              <w:rPr>
                <w:color w:val="auto"/>
                <w:sz w:val="21"/>
                <w:szCs w:val="21"/>
                <w:highlight w:val="none"/>
              </w:rPr>
            </w:pPr>
            <w:r>
              <w:rPr>
                <w:rFonts w:hint="eastAsia" w:cs="Arial"/>
                <w:color w:val="auto"/>
                <w:kern w:val="0"/>
                <w:sz w:val="21"/>
                <w:szCs w:val="21"/>
                <w:highlight w:val="none"/>
              </w:rPr>
              <w:sym w:font="Wingdings" w:char="00A8"/>
            </w:r>
            <w:r>
              <w:rPr>
                <w:rFonts w:hint="eastAsia"/>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6AA5149C">
      <w:pPr>
        <w:adjustRightInd w:val="0"/>
        <w:snapToGrid w:val="0"/>
        <w:spacing w:line="288" w:lineRule="auto"/>
        <w:jc w:val="center"/>
        <w:outlineLvl w:val="1"/>
        <w:rPr>
          <w:b/>
          <w:bCs/>
          <w:color w:val="auto"/>
          <w:sz w:val="21"/>
          <w:szCs w:val="21"/>
          <w:highlight w:val="none"/>
        </w:rPr>
      </w:pPr>
      <w:r>
        <w:rPr>
          <w:rFonts w:hint="eastAsia"/>
          <w:color w:val="auto"/>
          <w:sz w:val="21"/>
          <w:szCs w:val="21"/>
          <w:highlight w:val="none"/>
        </w:rPr>
        <w:br w:type="page"/>
      </w:r>
      <w:bookmarkStart w:id="65" w:name="_Toc20158"/>
      <w:bookmarkStart w:id="66" w:name="_Toc8486"/>
      <w:bookmarkStart w:id="67" w:name="_Toc20531"/>
      <w:r>
        <w:rPr>
          <w:rFonts w:hint="eastAsia"/>
          <w:b/>
          <w:bCs/>
          <w:color w:val="auto"/>
          <w:sz w:val="21"/>
          <w:szCs w:val="21"/>
          <w:highlight w:val="none"/>
          <w:lang w:bidi="ar"/>
        </w:rPr>
        <w:t>一、总则</w:t>
      </w:r>
      <w:bookmarkEnd w:id="65"/>
      <w:bookmarkEnd w:id="66"/>
      <w:bookmarkEnd w:id="67"/>
    </w:p>
    <w:p w14:paraId="102E87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供应商应仔细阅读磋商文件的所有内容，按照磋商文件的要求提交响应文件，并对所提供的全部资料的真实性承担法律责任。</w:t>
      </w:r>
    </w:p>
    <w:p w14:paraId="76888323">
      <w:pPr>
        <w:adjustRightInd w:val="0"/>
        <w:snapToGrid w:val="0"/>
        <w:spacing w:line="288" w:lineRule="auto"/>
        <w:outlineLvl w:val="2"/>
        <w:rPr>
          <w:b/>
          <w:bCs/>
          <w:color w:val="auto"/>
          <w:sz w:val="21"/>
          <w:szCs w:val="21"/>
          <w:highlight w:val="none"/>
        </w:rPr>
      </w:pPr>
      <w:bookmarkStart w:id="68" w:name="_Toc20845"/>
      <w:r>
        <w:rPr>
          <w:rFonts w:hint="eastAsia"/>
          <w:b/>
          <w:bCs/>
          <w:color w:val="auto"/>
          <w:sz w:val="21"/>
          <w:szCs w:val="21"/>
          <w:highlight w:val="none"/>
          <w:lang w:bidi="ar"/>
        </w:rPr>
        <w:t>（一）适用范围</w:t>
      </w:r>
      <w:bookmarkEnd w:id="68"/>
    </w:p>
    <w:p w14:paraId="4B0523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本磋商文件适用于浙江树人学院</w:t>
      </w:r>
      <w:r>
        <w:rPr>
          <w:rFonts w:hint="eastAsia"/>
          <w:color w:val="auto"/>
          <w:sz w:val="21"/>
          <w:szCs w:val="21"/>
          <w:highlight w:val="none"/>
          <w:lang w:eastAsia="zh-CN" w:bidi="ar"/>
        </w:rPr>
        <w:t>后勤智慧餐厅与仓储管理系统</w:t>
      </w:r>
      <w:r>
        <w:rPr>
          <w:rFonts w:hint="eastAsia"/>
          <w:color w:val="auto"/>
          <w:sz w:val="21"/>
          <w:szCs w:val="21"/>
          <w:highlight w:val="none"/>
          <w:lang w:bidi="ar"/>
        </w:rPr>
        <w:t>项目的磋商、评审、成交、验收、合同履约、付款等（法律、法规另有规定的，从其规定）。</w:t>
      </w:r>
    </w:p>
    <w:p w14:paraId="2E944A4F">
      <w:pPr>
        <w:adjustRightInd w:val="0"/>
        <w:snapToGrid w:val="0"/>
        <w:spacing w:line="288" w:lineRule="auto"/>
        <w:outlineLvl w:val="2"/>
        <w:rPr>
          <w:b/>
          <w:bCs/>
          <w:color w:val="auto"/>
          <w:sz w:val="21"/>
          <w:szCs w:val="21"/>
          <w:highlight w:val="none"/>
        </w:rPr>
      </w:pPr>
      <w:bookmarkStart w:id="69" w:name="_Toc1771"/>
      <w:r>
        <w:rPr>
          <w:rFonts w:hint="eastAsia"/>
          <w:b/>
          <w:bCs/>
          <w:color w:val="auto"/>
          <w:sz w:val="21"/>
          <w:szCs w:val="21"/>
          <w:highlight w:val="none"/>
          <w:lang w:bidi="ar"/>
        </w:rPr>
        <w:t>（二）定义</w:t>
      </w:r>
      <w:bookmarkEnd w:id="69"/>
    </w:p>
    <w:p w14:paraId="370AA24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1.“采购人”系指浙江树人学院。</w:t>
      </w:r>
    </w:p>
    <w:p w14:paraId="4E5E0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2.“采购代理机构”系指组织本次竞争性磋商的浙江求是招标代理有限公司。</w:t>
      </w:r>
    </w:p>
    <w:p w14:paraId="40FEB95B">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3.“供应商”系指提交响应文件和报价、参与竞争性磋商采购活动的法人、其他组织或者自然人。</w:t>
      </w:r>
    </w:p>
    <w:p w14:paraId="7FD43D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4.“负责人”系指法人企业的法定负责人，或其他组织为法律、行政法规规定代表单位行使职权的主要负责人，或自然人本人。</w:t>
      </w:r>
    </w:p>
    <w:p w14:paraId="4E2638A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5.“书面形式”包括合同书、信件和数据电文(包括电报、电传、传真、电子数据交换和电子邮件)等可以有形地表现所载内容的形式。</w:t>
      </w:r>
    </w:p>
    <w:p w14:paraId="781B58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2BCA267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6011713D">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磋商文件对响应文件签署、盖章的要求适用于电子签名。</w:t>
      </w:r>
    </w:p>
    <w:p w14:paraId="5679F680">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8.“▲” 系指实质性要求条款，“★”系指重要技</w:t>
      </w:r>
      <w:r>
        <w:rPr>
          <w:rFonts w:hint="eastAsia" w:ascii="宋体" w:hAnsi="宋体" w:eastAsia="宋体" w:cs="宋体"/>
          <w:color w:val="auto"/>
          <w:sz w:val="21"/>
          <w:szCs w:val="21"/>
          <w:highlight w:val="none"/>
          <w:lang w:bidi="ar"/>
        </w:rPr>
        <w:t>术指标。</w:t>
      </w:r>
      <w:r>
        <w:rPr>
          <w:rFonts w:hint="eastAsia" w:ascii="宋体" w:hAnsi="宋体" w:eastAsia="宋体" w:cs="宋体"/>
          <w:b/>
          <w:bCs/>
          <w:color w:val="auto"/>
          <w:sz w:val="21"/>
          <w:szCs w:val="21"/>
          <w:highlight w:val="none"/>
        </w:rPr>
        <w:t>“</w:t>
      </w:r>
      <w:r>
        <w:rPr>
          <w:rFonts w:hint="eastAsia"/>
          <w:snapToGrid w:val="0"/>
          <w:color w:val="auto"/>
          <w:kern w:val="28"/>
          <w:sz w:val="21"/>
          <w:szCs w:val="21"/>
          <w:highlight w:val="none"/>
        </w:rPr>
        <w:sym w:font="Wingdings 2" w:char="0052"/>
      </w:r>
      <w:r>
        <w:rPr>
          <w:rFonts w:hint="eastAsia" w:ascii="宋体" w:hAnsi="宋体" w:eastAsia="宋体" w:cs="宋体"/>
          <w:b/>
          <w:bCs/>
          <w:color w:val="auto"/>
          <w:sz w:val="21"/>
          <w:szCs w:val="21"/>
          <w:highlight w:val="none"/>
        </w:rPr>
        <w:t>” 系指适用本项目的要求，“</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 系指不适用本项目的要求。</w:t>
      </w:r>
    </w:p>
    <w:p w14:paraId="3F9D03A0">
      <w:pPr>
        <w:adjustRightInd w:val="0"/>
        <w:snapToGrid w:val="0"/>
        <w:spacing w:line="288" w:lineRule="auto"/>
        <w:outlineLvl w:val="2"/>
        <w:rPr>
          <w:b/>
          <w:bCs/>
          <w:color w:val="auto"/>
          <w:sz w:val="21"/>
          <w:szCs w:val="21"/>
          <w:highlight w:val="none"/>
        </w:rPr>
      </w:pPr>
      <w:bookmarkStart w:id="70" w:name="_Toc17284"/>
      <w:r>
        <w:rPr>
          <w:rFonts w:hint="eastAsia"/>
          <w:b/>
          <w:bCs/>
          <w:color w:val="auto"/>
          <w:sz w:val="21"/>
          <w:szCs w:val="21"/>
          <w:highlight w:val="none"/>
          <w:lang w:bidi="ar"/>
        </w:rPr>
        <w:t>（三）采购方式</w:t>
      </w:r>
      <w:bookmarkEnd w:id="70"/>
    </w:p>
    <w:p w14:paraId="28B548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本次采购采用竞争性磋商（线上电子交易）方式进行。</w:t>
      </w:r>
    </w:p>
    <w:p w14:paraId="0210D30D">
      <w:pPr>
        <w:adjustRightInd w:val="0"/>
        <w:snapToGrid w:val="0"/>
        <w:spacing w:line="288" w:lineRule="auto"/>
        <w:outlineLvl w:val="2"/>
        <w:rPr>
          <w:b/>
          <w:bCs/>
          <w:color w:val="auto"/>
          <w:sz w:val="21"/>
          <w:szCs w:val="21"/>
          <w:highlight w:val="none"/>
        </w:rPr>
      </w:pPr>
      <w:bookmarkStart w:id="71" w:name="_Toc30063"/>
      <w:r>
        <w:rPr>
          <w:rFonts w:hint="eastAsia"/>
          <w:b/>
          <w:bCs/>
          <w:color w:val="auto"/>
          <w:sz w:val="21"/>
          <w:szCs w:val="21"/>
          <w:highlight w:val="none"/>
          <w:lang w:bidi="ar"/>
        </w:rPr>
        <w:t>（四）竞争性磋商委托</w:t>
      </w:r>
      <w:bookmarkEnd w:id="71"/>
    </w:p>
    <w:p w14:paraId="7868F7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1.▲供应商授权代表必须为供应商本单位在职职工，并提供</w:t>
      </w:r>
      <w:r>
        <w:rPr>
          <w:rFonts w:hint="eastAsia"/>
          <w:color w:val="auto"/>
          <w:sz w:val="21"/>
          <w:szCs w:val="21"/>
          <w:highlight w:val="none"/>
          <w:lang w:eastAsia="zh-CN" w:bidi="ar"/>
        </w:rPr>
        <w:t>2024年7月1日</w:t>
      </w:r>
      <w:r>
        <w:rPr>
          <w:rFonts w:hint="eastAsia"/>
          <w:color w:val="auto"/>
          <w:sz w:val="21"/>
          <w:szCs w:val="21"/>
          <w:highlight w:val="none"/>
          <w:lang w:bidi="ar"/>
        </w:rPr>
        <w:t>至今任意一月社保缴纳证明（授权代表为法定代表人可不提供）。</w:t>
      </w:r>
    </w:p>
    <w:p w14:paraId="3D71FA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2.▲如供应商代表不是法定代表人，须提供法定代表人授权委托书（格式详见磋商文件第六章）。</w:t>
      </w:r>
    </w:p>
    <w:p w14:paraId="48EFDF03">
      <w:pPr>
        <w:adjustRightInd w:val="0"/>
        <w:snapToGrid w:val="0"/>
        <w:spacing w:line="288" w:lineRule="auto"/>
        <w:outlineLvl w:val="2"/>
        <w:rPr>
          <w:b/>
          <w:bCs/>
          <w:color w:val="auto"/>
          <w:sz w:val="21"/>
          <w:szCs w:val="21"/>
          <w:highlight w:val="none"/>
        </w:rPr>
      </w:pPr>
      <w:bookmarkStart w:id="72" w:name="_Toc27578"/>
      <w:r>
        <w:rPr>
          <w:rFonts w:hint="eastAsia"/>
          <w:b/>
          <w:bCs/>
          <w:color w:val="auto"/>
          <w:sz w:val="21"/>
          <w:szCs w:val="21"/>
          <w:highlight w:val="none"/>
          <w:lang w:bidi="ar"/>
        </w:rPr>
        <w:t>（五）磋商费用</w:t>
      </w:r>
      <w:bookmarkEnd w:id="72"/>
    </w:p>
    <w:p w14:paraId="5B2BF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1.不论磋商结果如何，供应商均应自行承担所有与磋商有关的全部费用。</w:t>
      </w:r>
    </w:p>
    <w:p w14:paraId="69CE0A7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2.成交供应商在成交通知书发出之日起七个工作日内，向采购代理机构交纳代理服务费。</w:t>
      </w:r>
    </w:p>
    <w:p w14:paraId="7FA166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B56853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4.代理服务费收费标准（差额累进）：详见须知前附表。</w:t>
      </w:r>
    </w:p>
    <w:p w14:paraId="41AB5BA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5.磋商保证金（元）：无。</w:t>
      </w:r>
    </w:p>
    <w:p w14:paraId="6E930EEB">
      <w:pPr>
        <w:adjustRightInd w:val="0"/>
        <w:snapToGrid w:val="0"/>
        <w:spacing w:line="288" w:lineRule="auto"/>
        <w:outlineLvl w:val="2"/>
        <w:rPr>
          <w:b/>
          <w:bCs/>
          <w:color w:val="auto"/>
          <w:sz w:val="21"/>
          <w:szCs w:val="21"/>
          <w:highlight w:val="none"/>
        </w:rPr>
      </w:pPr>
      <w:bookmarkStart w:id="73" w:name="_Toc23335"/>
      <w:r>
        <w:rPr>
          <w:rFonts w:hint="eastAsia"/>
          <w:b/>
          <w:bCs/>
          <w:color w:val="auto"/>
          <w:sz w:val="21"/>
          <w:szCs w:val="21"/>
          <w:highlight w:val="none"/>
          <w:lang w:bidi="ar"/>
        </w:rPr>
        <w:t>（六）联合体响应</w:t>
      </w:r>
      <w:bookmarkEnd w:id="73"/>
    </w:p>
    <w:p w14:paraId="393DD23F">
      <w:pPr>
        <w:adjustRightInd w:val="0"/>
        <w:snapToGrid w:val="0"/>
        <w:spacing w:line="288" w:lineRule="auto"/>
        <w:ind w:firstLine="420" w:firstLineChars="200"/>
        <w:rPr>
          <w:color w:val="auto"/>
          <w:sz w:val="21"/>
          <w:szCs w:val="21"/>
          <w:highlight w:val="none"/>
          <w:lang w:bidi="ar"/>
        </w:rPr>
      </w:pPr>
      <w:bookmarkStart w:id="74" w:name="_Toc29347"/>
      <w:r>
        <w:rPr>
          <w:rFonts w:hint="eastAsia"/>
          <w:color w:val="auto"/>
          <w:sz w:val="21"/>
          <w:szCs w:val="21"/>
          <w:highlight w:val="none"/>
          <w:lang w:bidi="ar"/>
        </w:rPr>
        <w:t>1.是否接受联合体响应：详见《第一章 竞争性磋商公告》。</w:t>
      </w:r>
    </w:p>
    <w:p w14:paraId="6DB07FE9">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2.接受联合体响应的，组成联合体的各方应遵守以下规定：</w:t>
      </w:r>
    </w:p>
    <w:p w14:paraId="09B8D3E5">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14F3FF8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（2）联合体各方应当共同与采购人签订采购合同，就采购合同约定的事项对采购人承担连带责任；</w:t>
      </w:r>
    </w:p>
    <w:p w14:paraId="05AD4896">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24995B5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4A225F3">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70E08A8F">
      <w:pPr>
        <w:adjustRightInd w:val="0"/>
        <w:snapToGrid w:val="0"/>
        <w:spacing w:line="288" w:lineRule="auto"/>
        <w:outlineLvl w:val="2"/>
        <w:rPr>
          <w:b/>
          <w:bCs/>
          <w:color w:val="auto"/>
          <w:sz w:val="21"/>
          <w:szCs w:val="21"/>
          <w:highlight w:val="none"/>
        </w:rPr>
      </w:pPr>
      <w:r>
        <w:rPr>
          <w:rFonts w:hint="eastAsia"/>
          <w:b/>
          <w:bCs/>
          <w:color w:val="auto"/>
          <w:sz w:val="21"/>
          <w:szCs w:val="21"/>
          <w:highlight w:val="none"/>
          <w:lang w:bidi="ar"/>
        </w:rPr>
        <w:t>（七）转包与分包</w:t>
      </w:r>
      <w:bookmarkEnd w:id="74"/>
    </w:p>
    <w:p w14:paraId="4D2EC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1.本项目不允许转包。</w:t>
      </w:r>
    </w:p>
    <w:p w14:paraId="5A90C2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2.供应商根据磋商文件的规定和采购项目的实际情况，拟在成交后将成交项目的非主体、非关键性工作分包的，应当在响应文件中载明分包承担主体，分包承担主体应当具备相应资质条件且不得再次分包。</w:t>
      </w:r>
      <w:r>
        <w:rPr>
          <w:rFonts w:hint="eastAsia"/>
          <w:color w:val="auto"/>
          <w:sz w:val="21"/>
          <w:szCs w:val="21"/>
          <w:highlight w:val="none"/>
        </w:rPr>
        <w:t>同意将非主体、非关键性的</w:t>
      </w:r>
      <w:r>
        <w:rPr>
          <w:rFonts w:hint="eastAsia"/>
          <w:color w:val="auto"/>
          <w:sz w:val="21"/>
          <w:szCs w:val="21"/>
          <w:highlight w:val="none"/>
          <w:u w:val="single"/>
        </w:rPr>
        <w:t>货物运输</w:t>
      </w:r>
      <w:r>
        <w:rPr>
          <w:rFonts w:hint="eastAsia"/>
          <w:color w:val="auto"/>
          <w:sz w:val="21"/>
          <w:szCs w:val="21"/>
          <w:highlight w:val="none"/>
        </w:rPr>
        <w:t>工作分包。</w:t>
      </w:r>
    </w:p>
    <w:p w14:paraId="581D96A5">
      <w:pPr>
        <w:adjustRightInd w:val="0"/>
        <w:snapToGrid w:val="0"/>
        <w:spacing w:line="288" w:lineRule="auto"/>
        <w:outlineLvl w:val="2"/>
        <w:rPr>
          <w:b/>
          <w:bCs/>
          <w:color w:val="auto"/>
          <w:sz w:val="21"/>
          <w:szCs w:val="21"/>
          <w:highlight w:val="none"/>
        </w:rPr>
      </w:pPr>
      <w:bookmarkStart w:id="75" w:name="_Toc9434"/>
      <w:r>
        <w:rPr>
          <w:rFonts w:hint="eastAsia"/>
          <w:b/>
          <w:bCs/>
          <w:color w:val="auto"/>
          <w:sz w:val="21"/>
          <w:szCs w:val="21"/>
          <w:highlight w:val="none"/>
          <w:lang w:bidi="ar"/>
        </w:rPr>
        <w:t>（八）质疑和投诉</w:t>
      </w:r>
      <w:bookmarkEnd w:id="75"/>
    </w:p>
    <w:p w14:paraId="7472333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采购公告中载明的政府采购监督管理部门提起投诉。</w:t>
      </w:r>
    </w:p>
    <w:p w14:paraId="017E928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0D6C8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（1）供应商的姓名或者名称、地址、邮编、联系人及联系电话；</w:t>
      </w:r>
    </w:p>
    <w:p w14:paraId="3FA1E3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（2）质疑项目的名称、编号；</w:t>
      </w:r>
    </w:p>
    <w:p w14:paraId="047707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（3）具体、明确的质疑事项和与质疑事项相关的请求；</w:t>
      </w:r>
    </w:p>
    <w:p w14:paraId="7D443F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（4）事实依据；</w:t>
      </w:r>
    </w:p>
    <w:p w14:paraId="0DD6F7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（5）必要的法律依据；</w:t>
      </w:r>
    </w:p>
    <w:p w14:paraId="73D6A1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（6）提出质疑的日期。</w:t>
      </w:r>
    </w:p>
    <w:p w14:paraId="5CAB61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1F5D8DFA">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3.提出质疑的供应商应当是参与本项目磋商响应活动的供应商。</w:t>
      </w:r>
      <w:r>
        <w:rPr>
          <w:rFonts w:hint="eastAsia"/>
          <w:b/>
          <w:bCs/>
          <w:color w:val="auto"/>
          <w:sz w:val="21"/>
          <w:szCs w:val="21"/>
          <w:highlight w:val="none"/>
          <w:lang w:bidi="ar"/>
        </w:rPr>
        <w:t>供应商在法定质疑期内应一次性提出针对同一采购程序环节的质疑。</w:t>
      </w:r>
    </w:p>
    <w:p w14:paraId="681D030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5F89A2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投诉人有下列行为之一的，属于虚假、恶意投诉，由财政部门列入不良行为记录名单，禁止其1至3年内参加政府采购活动：</w:t>
      </w:r>
    </w:p>
    <w:p w14:paraId="5FB360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（1）捏造事实；</w:t>
      </w:r>
    </w:p>
    <w:p w14:paraId="10406C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（2）提供虚假材料；</w:t>
      </w:r>
    </w:p>
    <w:p w14:paraId="553DD7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（3）以非法手段取得证明材料。证据来源的合法性存在明显疑问，投诉人无法证明其取得方式合法的，视为以非法手段取得证明材料。</w:t>
      </w:r>
    </w:p>
    <w:p w14:paraId="5D00BCDE">
      <w:pPr>
        <w:adjustRightInd w:val="0"/>
        <w:snapToGrid w:val="0"/>
        <w:spacing w:line="288" w:lineRule="auto"/>
        <w:outlineLvl w:val="2"/>
        <w:rPr>
          <w:b/>
          <w:color w:val="auto"/>
          <w:spacing w:val="-6"/>
          <w:kern w:val="0"/>
          <w:sz w:val="21"/>
          <w:szCs w:val="21"/>
          <w:highlight w:val="none"/>
        </w:rPr>
      </w:pPr>
      <w:bookmarkStart w:id="76" w:name="_Toc26211"/>
      <w:r>
        <w:rPr>
          <w:rFonts w:hint="eastAsia"/>
          <w:b/>
          <w:color w:val="auto"/>
          <w:spacing w:val="-6"/>
          <w:kern w:val="0"/>
          <w:sz w:val="21"/>
          <w:szCs w:val="21"/>
          <w:highlight w:val="none"/>
          <w:lang w:bidi="ar"/>
        </w:rPr>
        <w:t>（九）采购项目需要落实的政府采购政策</w:t>
      </w:r>
      <w:bookmarkEnd w:id="76"/>
    </w:p>
    <w:p w14:paraId="3C8F95EF">
      <w:pPr>
        <w:adjustRightInd w:val="0"/>
        <w:snapToGrid w:val="0"/>
        <w:spacing w:line="288" w:lineRule="auto"/>
        <w:ind w:firstLine="398" w:firstLineChars="200"/>
        <w:jc w:val="left"/>
        <w:rPr>
          <w:color w:val="auto"/>
          <w:spacing w:val="-6"/>
          <w:sz w:val="21"/>
          <w:szCs w:val="21"/>
          <w:highlight w:val="none"/>
        </w:rPr>
      </w:pPr>
      <w:r>
        <w:rPr>
          <w:rFonts w:hint="eastAsia"/>
          <w:b/>
          <w:bCs/>
          <w:color w:val="auto"/>
          <w:spacing w:val="-6"/>
          <w:sz w:val="21"/>
          <w:szCs w:val="21"/>
          <w:highlight w:val="none"/>
          <w:lang w:bidi="ar"/>
        </w:rPr>
        <w:t>1.</w:t>
      </w:r>
      <w:r>
        <w:rPr>
          <w:rFonts w:hint="eastAsia"/>
          <w:color w:val="auto"/>
          <w:spacing w:val="-6"/>
          <w:sz w:val="21"/>
          <w:szCs w:val="21"/>
          <w:highlight w:val="none"/>
          <w:lang w:bidi="ar"/>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74DB97">
      <w:pPr>
        <w:adjustRightInd w:val="0"/>
        <w:snapToGrid w:val="0"/>
        <w:spacing w:line="288" w:lineRule="auto"/>
        <w:ind w:firstLine="398" w:firstLineChars="200"/>
        <w:jc w:val="left"/>
        <w:rPr>
          <w:b/>
          <w:bCs/>
          <w:color w:val="auto"/>
          <w:spacing w:val="-6"/>
          <w:sz w:val="21"/>
          <w:szCs w:val="21"/>
          <w:highlight w:val="none"/>
        </w:rPr>
      </w:pPr>
      <w:r>
        <w:rPr>
          <w:rFonts w:hint="eastAsia"/>
          <w:b/>
          <w:bCs/>
          <w:color w:val="auto"/>
          <w:spacing w:val="-6"/>
          <w:sz w:val="21"/>
          <w:szCs w:val="21"/>
          <w:highlight w:val="none"/>
          <w:lang w:bidi="ar"/>
        </w:rPr>
        <w:t>2.支持中小企业发展</w:t>
      </w:r>
    </w:p>
    <w:p w14:paraId="14ECFB5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F74C44">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符合中小企业划分标准的个体工商户，在政府采购活动中视同中小企业。</w:t>
      </w:r>
    </w:p>
    <w:p w14:paraId="0A4941B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在政府采购活动中，供应商提供的货物、工程或者服务符合下列情形的，享受中小企业扶持政策：</w:t>
      </w:r>
    </w:p>
    <w:p w14:paraId="087ED12C">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5461198">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在货物采购项目中，供应商提供的货物既有中小企业制造货物，也有大型企业制造货物的，不享受中小企业扶持政策。</w:t>
      </w:r>
    </w:p>
    <w:p w14:paraId="3A78F4E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以联合体形式参加政府采购活动，联合体各方均为中小企业的，联合体视同中小企业。其中，联合体各方均为小微企业的，联合体视同小微企业。</w:t>
      </w:r>
    </w:p>
    <w:p w14:paraId="4C160EBA">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48514C">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44F3DCCB">
      <w:pPr>
        <w:adjustRightInd w:val="0"/>
        <w:snapToGrid w:val="0"/>
        <w:spacing w:line="288" w:lineRule="auto"/>
        <w:ind w:firstLine="396" w:firstLineChars="200"/>
        <w:jc w:val="left"/>
        <w:rPr>
          <w:color w:val="auto"/>
          <w:spacing w:val="-6"/>
          <w:sz w:val="21"/>
          <w:szCs w:val="21"/>
          <w:highlight w:val="none"/>
          <w:u w:val="single"/>
        </w:rPr>
      </w:pPr>
      <w:r>
        <w:rPr>
          <w:rFonts w:hint="eastAsia"/>
          <w:color w:val="auto"/>
          <w:spacing w:val="-6"/>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DC87AD2">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8F5CF7">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中小企业享受扶持政策获得政府采购合同的，小微企业不得将合同分包给大中型企业，中型企业不得将合同分包给大型企业。</w:t>
      </w:r>
    </w:p>
    <w:p w14:paraId="18B74B55">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62D9FD10">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3.支持绿色发展</w:t>
      </w:r>
    </w:p>
    <w:p w14:paraId="795B5100">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395B5C7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▲采购人拟采购的产品属于政府强制采购的节能产品品目清单范围的，供应商相应的响应产品未获得国家确定的认证机构出具的、处于有效期之内的节能产品认证证书的，响应无效。</w:t>
      </w:r>
    </w:p>
    <w:p w14:paraId="070B089D">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F79627">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3.3鼓励供应商在参加政府采购过程中开展绿色设计、选择绿色材料、打造绿色制造工艺、开展绿色运输、做好废弃产品回收处理，实现产品全周期的绿色环保。</w:t>
      </w:r>
    </w:p>
    <w:p w14:paraId="7672E239">
      <w:pPr>
        <w:adjustRightInd w:val="0"/>
        <w:snapToGrid w:val="0"/>
        <w:spacing w:line="288" w:lineRule="auto"/>
        <w:ind w:firstLine="398" w:firstLineChars="200"/>
        <w:jc w:val="left"/>
        <w:rPr>
          <w:b/>
          <w:bCs/>
          <w:color w:val="auto"/>
          <w:spacing w:val="-6"/>
          <w:sz w:val="21"/>
          <w:szCs w:val="21"/>
          <w:highlight w:val="none"/>
          <w:lang w:bidi="ar"/>
        </w:rPr>
      </w:pPr>
      <w:r>
        <w:rPr>
          <w:rFonts w:hint="eastAsia"/>
          <w:b/>
          <w:bCs/>
          <w:color w:val="auto"/>
          <w:spacing w:val="-6"/>
          <w:sz w:val="21"/>
          <w:szCs w:val="21"/>
          <w:highlight w:val="none"/>
          <w:lang w:bidi="ar"/>
        </w:rPr>
        <w:t>4.支持创新发展</w:t>
      </w:r>
    </w:p>
    <w:p w14:paraId="561D35F5">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4.1 采购人优先采购被认定为首台套产品和“制造精品”的自主创新产品。</w:t>
      </w:r>
    </w:p>
    <w:p w14:paraId="326FF7D2">
      <w:pPr>
        <w:adjustRightInd w:val="0"/>
        <w:snapToGrid w:val="0"/>
        <w:spacing w:line="288" w:lineRule="auto"/>
        <w:ind w:firstLine="396" w:firstLineChars="200"/>
        <w:jc w:val="left"/>
        <w:rPr>
          <w:color w:val="auto"/>
          <w:spacing w:val="-6"/>
          <w:sz w:val="21"/>
          <w:szCs w:val="21"/>
          <w:highlight w:val="none"/>
          <w:lang w:bidi="ar"/>
        </w:rPr>
      </w:pPr>
      <w:r>
        <w:rPr>
          <w:rFonts w:hint="eastAsia"/>
          <w:color w:val="auto"/>
          <w:spacing w:val="-6"/>
          <w:sz w:val="21"/>
          <w:szCs w:val="21"/>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ABB740">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77" w:name="_Toc4778"/>
      <w:bookmarkStart w:id="78" w:name="_Toc22518"/>
      <w:bookmarkStart w:id="79" w:name="_Toc4366"/>
      <w:r>
        <w:rPr>
          <w:rFonts w:hint="eastAsia"/>
          <w:b/>
          <w:bCs/>
          <w:color w:val="auto"/>
          <w:sz w:val="21"/>
          <w:szCs w:val="21"/>
          <w:highlight w:val="none"/>
          <w:lang w:bidi="ar"/>
        </w:rPr>
        <w:t>二、磋商文件</w:t>
      </w:r>
      <w:bookmarkEnd w:id="77"/>
      <w:bookmarkEnd w:id="78"/>
      <w:bookmarkEnd w:id="79"/>
    </w:p>
    <w:p w14:paraId="7F20542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（一）磋商文件的构成</w:t>
      </w:r>
    </w:p>
    <w:p w14:paraId="1822F2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本磋商文件由以下部分组成：</w:t>
      </w:r>
    </w:p>
    <w:p w14:paraId="02971D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1.采购邀请；</w:t>
      </w:r>
    </w:p>
    <w:p w14:paraId="695CDC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2.采购需求；</w:t>
      </w:r>
    </w:p>
    <w:p w14:paraId="6011FC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3.供应商须知</w:t>
      </w:r>
    </w:p>
    <w:p w14:paraId="697801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4.评审方法和评审标准；</w:t>
      </w:r>
    </w:p>
    <w:p w14:paraId="3D9142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5.拟签订的合同文本；</w:t>
      </w:r>
    </w:p>
    <w:p w14:paraId="6FC94A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6.响应文件格式；</w:t>
      </w:r>
    </w:p>
    <w:p w14:paraId="05385B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7.本项目磋商文件的澄清、答复、修改、补充的内容。</w:t>
      </w:r>
    </w:p>
    <w:p w14:paraId="58162115">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（二）供应商的风险</w:t>
      </w:r>
    </w:p>
    <w:p w14:paraId="741E6B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7524567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（三）磋商文件的澄清与修改</w:t>
      </w:r>
    </w:p>
    <w:p w14:paraId="10ED53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1.已获取采购文件的潜在供应商，若有问题需要澄清，应于响应文件提交（上传）截止时间前，以书面形式向采购代理机构提出。</w:t>
      </w:r>
    </w:p>
    <w:p w14:paraId="701CD1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695639A">
      <w:pPr>
        <w:adjustRightInd w:val="0"/>
        <w:snapToGrid w:val="0"/>
        <w:spacing w:line="288" w:lineRule="auto"/>
        <w:ind w:firstLine="420" w:firstLineChars="200"/>
        <w:rPr>
          <w:b/>
          <w:bCs/>
          <w:color w:val="auto"/>
          <w:sz w:val="21"/>
          <w:szCs w:val="21"/>
          <w:highlight w:val="none"/>
          <w:lang w:bidi="ar"/>
        </w:rPr>
      </w:pPr>
      <w:r>
        <w:rPr>
          <w:rFonts w:hint="eastAsia"/>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45DF9CAD">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4.磋商文件的澄清、答复、修改、补充都应该通过本采购代理机构以法定形式发布，采购人非通过本机构，不得擅自澄清、答复、修改、补充磋商文件。</w:t>
      </w:r>
    </w:p>
    <w:p w14:paraId="6A0FE59D">
      <w:pPr>
        <w:adjustRightInd w:val="0"/>
        <w:snapToGrid w:val="0"/>
        <w:spacing w:line="288" w:lineRule="auto"/>
        <w:ind w:firstLine="422" w:firstLineChars="200"/>
        <w:jc w:val="left"/>
        <w:rPr>
          <w:b/>
          <w:bCs/>
          <w:color w:val="auto"/>
          <w:sz w:val="21"/>
          <w:szCs w:val="21"/>
          <w:highlight w:val="none"/>
          <w:lang w:bidi="ar"/>
        </w:rPr>
      </w:pPr>
      <w:r>
        <w:rPr>
          <w:rFonts w:hint="eastAsia"/>
          <w:b/>
          <w:bCs/>
          <w:color w:val="auto"/>
          <w:sz w:val="21"/>
          <w:szCs w:val="21"/>
          <w:highlight w:val="none"/>
          <w:lang w:bidi="ar"/>
        </w:rPr>
        <w:t>5.▲响应文件未按磋商文件的澄清、修改的内容编制，又不符合实质性要求的，响应无效。</w:t>
      </w:r>
    </w:p>
    <w:p w14:paraId="5E0F20E5">
      <w:pPr>
        <w:adjustRightInd w:val="0"/>
        <w:snapToGrid w:val="0"/>
        <w:spacing w:line="288" w:lineRule="auto"/>
        <w:ind w:firstLine="420" w:firstLineChars="200"/>
        <w:jc w:val="center"/>
        <w:rPr>
          <w:b/>
          <w:bCs/>
          <w:color w:val="auto"/>
          <w:sz w:val="21"/>
          <w:szCs w:val="21"/>
          <w:highlight w:val="none"/>
        </w:rPr>
      </w:pPr>
      <w:r>
        <w:rPr>
          <w:rFonts w:hint="eastAsia"/>
          <w:color w:val="auto"/>
          <w:sz w:val="21"/>
          <w:szCs w:val="21"/>
          <w:highlight w:val="none"/>
          <w:lang w:bidi="ar"/>
        </w:rPr>
        <w:br w:type="page"/>
      </w:r>
      <w:bookmarkStart w:id="80" w:name="_Toc9298"/>
      <w:bookmarkStart w:id="81" w:name="_Toc18945"/>
      <w:bookmarkStart w:id="82" w:name="_Toc3808"/>
      <w:r>
        <w:rPr>
          <w:rFonts w:hint="eastAsia"/>
          <w:b/>
          <w:bCs/>
          <w:color w:val="auto"/>
          <w:sz w:val="21"/>
          <w:szCs w:val="21"/>
          <w:highlight w:val="none"/>
          <w:lang w:bidi="ar"/>
        </w:rPr>
        <w:t>三、响应文件的编制</w:t>
      </w:r>
      <w:bookmarkEnd w:id="80"/>
      <w:bookmarkEnd w:id="81"/>
      <w:bookmarkEnd w:id="82"/>
    </w:p>
    <w:p w14:paraId="48CD1316">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（一）响应文件的组成</w:t>
      </w:r>
    </w:p>
    <w:p w14:paraId="2C32949F">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响应文件（电子加密响应文件）由</w:t>
      </w:r>
      <w:r>
        <w:rPr>
          <w:rFonts w:hint="eastAsia"/>
          <w:b/>
          <w:color w:val="auto"/>
          <w:spacing w:val="-6"/>
          <w:sz w:val="21"/>
          <w:szCs w:val="21"/>
          <w:highlight w:val="none"/>
          <w:lang w:bidi="ar"/>
        </w:rPr>
        <w:t>资格文件、报价文件、商务技术文件三部分</w:t>
      </w:r>
      <w:r>
        <w:rPr>
          <w:rFonts w:hint="eastAsia"/>
          <w:bCs/>
          <w:color w:val="auto"/>
          <w:spacing w:val="-6"/>
          <w:sz w:val="21"/>
          <w:szCs w:val="21"/>
          <w:highlight w:val="none"/>
          <w:lang w:bidi="ar"/>
        </w:rPr>
        <w:t>组成（格式详见磋商文件第六章）。供应商应将响应文件各部分</w:t>
      </w:r>
      <w:r>
        <w:rPr>
          <w:rFonts w:hint="eastAsia"/>
          <w:b/>
          <w:color w:val="auto"/>
          <w:spacing w:val="-6"/>
          <w:sz w:val="21"/>
          <w:szCs w:val="21"/>
          <w:highlight w:val="none"/>
          <w:lang w:bidi="ar"/>
        </w:rPr>
        <w:t>分别上传</w:t>
      </w:r>
      <w:r>
        <w:rPr>
          <w:rFonts w:hint="eastAsia"/>
          <w:bCs/>
          <w:color w:val="auto"/>
          <w:spacing w:val="-6"/>
          <w:sz w:val="21"/>
          <w:szCs w:val="21"/>
          <w:highlight w:val="none"/>
          <w:lang w:bidi="ar"/>
        </w:rPr>
        <w:t>至政府采购云平台指定位置。</w:t>
      </w:r>
    </w:p>
    <w:p w14:paraId="3D29B236">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响应文件组成：详见“第六章  响应文件格式”目录。</w:t>
      </w:r>
    </w:p>
    <w:p w14:paraId="3BD56A3C">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（二）响应文件的签署和份数</w:t>
      </w:r>
    </w:p>
    <w:p w14:paraId="6C83B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8D26D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2.响应文件须由供应商在规定位置加盖公章，供应商应写全称。</w:t>
      </w:r>
    </w:p>
    <w:p w14:paraId="631C95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4EC4B97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4.响应文件份数：</w:t>
      </w:r>
    </w:p>
    <w:p w14:paraId="61B67AF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电子加密响应文件：政府采购云平台在线上传一份；备份响应文件：密封包装后EMS或顺丰邮寄形式递交一份（邮寄地址：杭州市西湖区玉古路173号中田大厦21楼，浙江求是招标代理有限公司（俞炳）收，电话：0571-87670302，寄出后将（快递单号、项目名称、公司名称、联系方式等相关信息）发至：zb02@qszb.net，以便查收）。</w:t>
      </w:r>
    </w:p>
    <w:p w14:paraId="73F70A3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特别说明：双休日和法定节假日不收件，供应商自行承担邮寄风险。</w:t>
      </w:r>
    </w:p>
    <w:p w14:paraId="0B507F9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r>
        <w:rPr>
          <w:rFonts w:hint="eastAsia"/>
          <w:b/>
          <w:bCs/>
          <w:color w:val="auto"/>
          <w:sz w:val="21"/>
          <w:szCs w:val="21"/>
          <w:highlight w:val="none"/>
        </w:rPr>
        <w:t>采购人、采购机构不强制或变相强制投标人提交备份投标文件。</w:t>
      </w:r>
    </w:p>
    <w:p w14:paraId="0FFF3CA3">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（三）响应文件的上传、递交、修改和撤回</w:t>
      </w:r>
    </w:p>
    <w:p w14:paraId="72715F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1.响应文件的上传、递交：</w:t>
      </w:r>
    </w:p>
    <w:p w14:paraId="0C9260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（1）电子加密响应文件的上传：</w:t>
      </w:r>
    </w:p>
    <w:p w14:paraId="0B1118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▲1）供应商应在响应文件提交截止时间前将电子加密响应文件成功上传至政府采购云平台，否则响应无效；</w:t>
      </w:r>
    </w:p>
    <w:p w14:paraId="3CDCE2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2）电子加密响应文件成功上传后，供应商可自行打印响应文件接收回执。</w:t>
      </w:r>
    </w:p>
    <w:p w14:paraId="3642C2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（2）备份响应文件的密封包装、递交：</w:t>
      </w:r>
    </w:p>
    <w:p w14:paraId="2C7AD7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1B0A76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031405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▲3）通过政府采购云平台成功上传的电子加密响应文件已按时解密的，备份响应文件自动失效。</w:t>
      </w:r>
    </w:p>
    <w:p w14:paraId="4AA5D200">
      <w:pPr>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▲4）响应截止时间前，供应商仅递交备份响应文件而未将电子加密响应文件成功上传至政府采购云平台的，响应无效。</w:t>
      </w:r>
    </w:p>
    <w:p w14:paraId="51F332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65380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3.供应商因未在线参加开标而导致电子加密响应文件无法按时解密等一切后果由供应商自行承担。</w:t>
      </w:r>
    </w:p>
    <w:p w14:paraId="353C80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63DA5B1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备注：</w:t>
      </w:r>
    </w:p>
    <w:p w14:paraId="33ACC5D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供应商可通过浙江省“电子交易/不见面开评标”学习专题提前进行专题学习，熟悉操作，避免影响采购活动（https://edu.zcygov.cn/luban/e-biding）。</w:t>
      </w:r>
    </w:p>
    <w:p w14:paraId="4E0E815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（四）响应文件的语言及计量</w:t>
      </w:r>
    </w:p>
    <w:p w14:paraId="68A54E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530E1B0">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（五）磋商报价</w:t>
      </w:r>
    </w:p>
    <w:p w14:paraId="6899DF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1.报价应按磋商文件要求的格式编制、填写报价内容（可自行增行），未按磋商文件要求编制、填写的响应文件可能被拒绝。</w:t>
      </w:r>
    </w:p>
    <w:p w14:paraId="5EF382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2.本次磋商采用人民币报价。</w:t>
      </w:r>
    </w:p>
    <w:p w14:paraId="4B5CBE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3.最后磋商报价是履行合同的最终价格，有关本项目实施所涉及的一切费用均计入报价。</w:t>
      </w:r>
    </w:p>
    <w:p w14:paraId="397D3664">
      <w:pPr>
        <w:pStyle w:val="20"/>
        <w:widowControl w:val="0"/>
        <w:adjustRightInd w:val="0"/>
        <w:snapToGrid w:val="0"/>
        <w:spacing w:before="0" w:beforeAutospacing="0" w:after="0" w:afterAutospacing="0" w:line="288" w:lineRule="auto"/>
        <w:ind w:firstLine="210" w:firstLineChars="100"/>
        <w:rPr>
          <w:color w:val="auto"/>
          <w:kern w:val="2"/>
          <w:sz w:val="21"/>
          <w:szCs w:val="21"/>
          <w:highlight w:val="none"/>
        </w:rPr>
      </w:pPr>
      <w:r>
        <w:rPr>
          <w:rFonts w:hint="eastAsia"/>
          <w:color w:val="auto"/>
          <w:kern w:val="2"/>
          <w:sz w:val="21"/>
          <w:szCs w:val="21"/>
          <w:highlight w:val="none"/>
          <w:lang w:bidi="ar"/>
        </w:rPr>
        <w:t>▲4.采购人将以合同形式有偿取得货物或服务，不接受供应商给予的赠品、回扣或者与采购无关的其他商品、服务。</w:t>
      </w:r>
    </w:p>
    <w:p w14:paraId="613B2587">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（六）响应有效期</w:t>
      </w:r>
    </w:p>
    <w:p w14:paraId="2F5682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3EC0FAC4">
      <w:pPr>
        <w:widowControl/>
        <w:adjustRightInd w:val="0"/>
        <w:snapToGrid w:val="0"/>
        <w:spacing w:line="288" w:lineRule="auto"/>
        <w:jc w:val="center"/>
        <w:rPr>
          <w:b/>
          <w:bCs/>
          <w:color w:val="auto"/>
          <w:sz w:val="21"/>
          <w:szCs w:val="21"/>
          <w:highlight w:val="none"/>
        </w:rPr>
      </w:pPr>
      <w:r>
        <w:rPr>
          <w:rFonts w:hint="eastAsia"/>
          <w:b/>
          <w:bCs/>
          <w:color w:val="auto"/>
          <w:sz w:val="21"/>
          <w:szCs w:val="21"/>
          <w:highlight w:val="none"/>
          <w:lang w:bidi="ar"/>
        </w:rPr>
        <w:br w:type="page"/>
      </w:r>
      <w:bookmarkStart w:id="83" w:name="_Toc214"/>
      <w:bookmarkStart w:id="84" w:name="_Toc23561"/>
      <w:bookmarkStart w:id="85" w:name="_Toc25348"/>
      <w:r>
        <w:rPr>
          <w:rFonts w:hint="eastAsia"/>
          <w:b/>
          <w:bCs/>
          <w:color w:val="auto"/>
          <w:sz w:val="21"/>
          <w:szCs w:val="21"/>
          <w:highlight w:val="none"/>
          <w:lang w:bidi="ar"/>
        </w:rPr>
        <w:t>四、响应无效的情形</w:t>
      </w:r>
      <w:bookmarkEnd w:id="83"/>
      <w:bookmarkEnd w:id="84"/>
      <w:bookmarkEnd w:id="85"/>
    </w:p>
    <w:p w14:paraId="6CBAD37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1.在资格审查时，如发现下列情形之一的，响应文件将被视为无效</w:t>
      </w:r>
    </w:p>
    <w:p w14:paraId="67C5D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（1）资格证明材料不全的，或者不符合磋商文件要求的；</w:t>
      </w:r>
    </w:p>
    <w:p w14:paraId="5D825A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（2）供应商不具备磋商文件中规定的资格要求的；</w:t>
      </w:r>
    </w:p>
    <w:p w14:paraId="53EBF1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（3）资格文件未按要求签署、盖章的。</w:t>
      </w:r>
    </w:p>
    <w:p w14:paraId="5AE278F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2.在符合性审查、商务技术评审时，如发现下列情形之一的，响应文件将被视为无效</w:t>
      </w:r>
    </w:p>
    <w:p w14:paraId="0DC07C6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（1）商务技术文件未按要求签署、盖章的；</w:t>
      </w:r>
    </w:p>
    <w:p w14:paraId="00512DF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（2）未提供或未按要求提供响应函、法定代表人授权委托书；</w:t>
      </w:r>
    </w:p>
    <w:p w14:paraId="6650E5E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（3）法定代表人委托授权代表参加响应但未提供符合要求的授权代表社保缴纳证明的；</w:t>
      </w:r>
    </w:p>
    <w:p w14:paraId="3646E84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（4）未提供采购需求偏离表的；</w:t>
      </w:r>
    </w:p>
    <w:p w14:paraId="28E213B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（5）明显不符合磋商文件要求，</w:t>
      </w:r>
      <w:r>
        <w:rPr>
          <w:rFonts w:hint="eastAsia"/>
          <w:color w:val="auto"/>
          <w:spacing w:val="-6"/>
          <w:sz w:val="21"/>
          <w:szCs w:val="21"/>
          <w:highlight w:val="none"/>
          <w:lang w:bidi="ar"/>
        </w:rPr>
        <w:t>或</w:t>
      </w:r>
      <w:r>
        <w:rPr>
          <w:rFonts w:hint="eastAsia"/>
          <w:color w:val="auto"/>
          <w:sz w:val="21"/>
          <w:szCs w:val="21"/>
          <w:highlight w:val="none"/>
          <w:lang w:bidi="ar"/>
        </w:rPr>
        <w:t>负偏离达到规定数目的</w:t>
      </w:r>
      <w:r>
        <w:rPr>
          <w:rFonts w:hint="eastAsia"/>
          <w:color w:val="auto"/>
          <w:spacing w:val="-6"/>
          <w:sz w:val="21"/>
          <w:szCs w:val="21"/>
          <w:highlight w:val="none"/>
          <w:lang w:bidi="ar"/>
        </w:rPr>
        <w:t>；</w:t>
      </w:r>
    </w:p>
    <w:p w14:paraId="62036E4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（6）响应技术方案不明确，存在一个或一个以上备选（替代）供应商案的；</w:t>
      </w:r>
    </w:p>
    <w:p w14:paraId="5EC8CFB7">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（7）响应文件含有采购人不能接受的附加条件的；</w:t>
      </w:r>
    </w:p>
    <w:p w14:paraId="08951C4E">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（8）响应文件中法人授权书所载内容与本项目内容有异的；</w:t>
      </w:r>
    </w:p>
    <w:p w14:paraId="779E61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（9）未响应磋商文件“▲”标记条款要求的，响应无效。</w:t>
      </w:r>
    </w:p>
    <w:p w14:paraId="5A2D2D4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（10）法律、法规和磋商文件规定的其他无效情形。</w:t>
      </w:r>
    </w:p>
    <w:p w14:paraId="4D0485B5">
      <w:pPr>
        <w:adjustRightInd w:val="0"/>
        <w:snapToGrid w:val="0"/>
        <w:spacing w:line="288" w:lineRule="auto"/>
        <w:ind w:firstLine="422" w:firstLineChars="200"/>
        <w:jc w:val="left"/>
        <w:rPr>
          <w:b/>
          <w:bCs/>
          <w:color w:val="auto"/>
          <w:sz w:val="21"/>
          <w:szCs w:val="21"/>
          <w:highlight w:val="none"/>
          <w:lang w:bidi="ar"/>
        </w:rPr>
      </w:pPr>
      <w:r>
        <w:rPr>
          <w:b/>
          <w:bCs/>
          <w:color w:val="auto"/>
          <w:sz w:val="21"/>
          <w:szCs w:val="21"/>
          <w:highlight w:val="none"/>
          <w:lang w:bidi="ar"/>
        </w:rPr>
        <w:t>3.在磋商评审时，如发现下列情形之一的，视为退出磋商，响应无效</w:t>
      </w:r>
    </w:p>
    <w:p w14:paraId="1AB9FB62">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（1）未按规定时间提交磋商记录；</w:t>
      </w:r>
    </w:p>
    <w:p w14:paraId="520E1842">
      <w:pPr>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（2）磋商记录未响应磋商内容或要求的。</w:t>
      </w:r>
    </w:p>
    <w:p w14:paraId="69CB2AE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lang w:bidi="ar"/>
        </w:rPr>
        <w:t>4.在报价评审时，如发现下列情形之一的，响应文件将被视为无效</w:t>
      </w:r>
    </w:p>
    <w:p w14:paraId="2FCCC3D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（1）最后报价超过磋商文件中规定的预算金额或最高限价的；</w:t>
      </w:r>
    </w:p>
    <w:p w14:paraId="03FA43D8">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（2）所提交的最后报价中出现不是唯一的、有选择性的报价的；</w:t>
      </w:r>
    </w:p>
    <w:p w14:paraId="31BE84E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（3）最后报价填写不完整或字迹不能辨认或有漏项的；</w:t>
      </w:r>
    </w:p>
    <w:p w14:paraId="5BA5D5DC">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（4）供应商对根据修正原则修正后的最后报价不确认的；</w:t>
      </w:r>
    </w:p>
    <w:p w14:paraId="622F6C9F">
      <w:pPr>
        <w:adjustRightInd w:val="0"/>
        <w:snapToGrid w:val="0"/>
        <w:spacing w:line="288" w:lineRule="auto"/>
        <w:ind w:firstLine="420" w:firstLineChars="200"/>
        <w:rPr>
          <w:color w:val="auto"/>
          <w:sz w:val="21"/>
          <w:szCs w:val="21"/>
          <w:highlight w:val="none"/>
          <w:lang w:bidi="ar"/>
        </w:rPr>
      </w:pPr>
      <w:r>
        <w:rPr>
          <w:rFonts w:hint="eastAsia"/>
          <w:color w:val="auto"/>
          <w:sz w:val="21"/>
          <w:szCs w:val="21"/>
          <w:highlight w:val="none"/>
          <w:lang w:bidi="ar"/>
        </w:rPr>
        <w:t>（5）未按规定提交最后报价的，视为退出磋商，响应无效。</w:t>
      </w:r>
    </w:p>
    <w:p w14:paraId="4229475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29A5714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lang w:bidi="ar"/>
        </w:rPr>
        <w:t>5.有下列情形之一的，视为供应商串通，其响应无效</w:t>
      </w:r>
    </w:p>
    <w:p w14:paraId="5C8347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（1）不同供应商的响应文件由同一单位或者个人编制；</w:t>
      </w:r>
    </w:p>
    <w:p w14:paraId="5D1AB4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（2）不同供应商委托同一单位或者个人办理磋商事宜；</w:t>
      </w:r>
    </w:p>
    <w:p w14:paraId="225984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（3）不同供应商的响应文件载明的项目管理成员或者联系人员为同一人；</w:t>
      </w:r>
    </w:p>
    <w:p w14:paraId="7B54A5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（4）不同供应商的响应文件异常一致或者最后报价呈规律性差异；</w:t>
      </w:r>
    </w:p>
    <w:p w14:paraId="4D081839">
      <w:pPr>
        <w:widowControl/>
        <w:adjustRightInd w:val="0"/>
        <w:snapToGrid w:val="0"/>
        <w:spacing w:line="288" w:lineRule="auto"/>
        <w:ind w:firstLine="420" w:firstLineChars="200"/>
        <w:jc w:val="left"/>
        <w:rPr>
          <w:color w:val="auto"/>
          <w:sz w:val="21"/>
          <w:szCs w:val="21"/>
          <w:highlight w:val="none"/>
          <w:lang w:bidi="ar"/>
        </w:rPr>
      </w:pPr>
      <w:r>
        <w:rPr>
          <w:rFonts w:hint="eastAsia"/>
          <w:color w:val="auto"/>
          <w:sz w:val="21"/>
          <w:szCs w:val="21"/>
          <w:highlight w:val="none"/>
          <w:lang w:bidi="ar"/>
        </w:rPr>
        <w:t>（5）不同供应商的响应文件相互混装。</w:t>
      </w:r>
    </w:p>
    <w:p w14:paraId="24F9161B">
      <w:pPr>
        <w:widowControl/>
        <w:adjustRightInd w:val="0"/>
        <w:snapToGrid w:val="0"/>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6.参与同一个采购包（标项）的供应商存在下列情形之一的，其响应文件无效：</w:t>
      </w:r>
    </w:p>
    <w:p w14:paraId="0DAD2CA1">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2EE81AA7">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2F90278F">
      <w:pPr>
        <w:widowControl/>
        <w:adjustRightInd w:val="0"/>
        <w:snapToGrid w:val="0"/>
        <w:spacing w:line="288" w:lineRule="auto"/>
        <w:ind w:firstLine="396" w:firstLineChars="200"/>
        <w:jc w:val="left"/>
        <w:rPr>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57A41CC9">
      <w:pPr>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7516BD71">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6" w:name="_Toc1084"/>
      <w:bookmarkStart w:id="87" w:name="_Toc8287"/>
      <w:bookmarkStart w:id="88" w:name="_Toc3984"/>
      <w:r>
        <w:rPr>
          <w:rFonts w:hint="eastAsia"/>
          <w:b/>
          <w:bCs/>
          <w:color w:val="auto"/>
          <w:sz w:val="21"/>
          <w:szCs w:val="21"/>
          <w:highlight w:val="none"/>
          <w:lang w:bidi="ar"/>
        </w:rPr>
        <w:t>五、响应文件开启</w:t>
      </w:r>
      <w:bookmarkEnd w:id="86"/>
      <w:bookmarkEnd w:id="87"/>
      <w:bookmarkEnd w:id="88"/>
    </w:p>
    <w:p w14:paraId="692CA778">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采购代理机构按照磋商文件规定的时间通过电子交易平台组织开启，所有供应商均应当准时在线参加。供应商不足3家的，不得开启。</w:t>
      </w:r>
    </w:p>
    <w:p w14:paraId="0573D1B4">
      <w:pPr>
        <w:autoSpaceDE w:val="0"/>
        <w:autoSpaceDN w:val="0"/>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4E7C33CC">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5A8D2734">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 xml:space="preserve"> </w:t>
      </w:r>
    </w:p>
    <w:p w14:paraId="13BBBF68">
      <w:pPr>
        <w:adjustRightInd w:val="0"/>
        <w:snapToGrid w:val="0"/>
        <w:spacing w:line="288" w:lineRule="auto"/>
        <w:ind w:firstLine="398" w:firstLineChars="200"/>
        <w:rPr>
          <w:b/>
          <w:bCs/>
          <w:color w:val="auto"/>
          <w:spacing w:val="-6"/>
          <w:sz w:val="21"/>
          <w:szCs w:val="21"/>
          <w:highlight w:val="none"/>
        </w:rPr>
      </w:pPr>
      <w:r>
        <w:rPr>
          <w:rFonts w:hint="eastAsia"/>
          <w:b/>
          <w:bCs/>
          <w:color w:val="auto"/>
          <w:spacing w:val="-6"/>
          <w:sz w:val="21"/>
          <w:szCs w:val="21"/>
          <w:highlight w:val="none"/>
          <w:lang w:bidi="ar"/>
        </w:rPr>
        <w:t>特别说明：如遇政府采购云平台电子化开启或评审程序调整的，按调整后程序执行。</w:t>
      </w:r>
    </w:p>
    <w:p w14:paraId="1672462D">
      <w:pPr>
        <w:adjustRightInd w:val="0"/>
        <w:snapToGrid w:val="0"/>
        <w:spacing w:line="288" w:lineRule="auto"/>
        <w:jc w:val="center"/>
        <w:rPr>
          <w:b/>
          <w:bCs/>
          <w:color w:val="auto"/>
          <w:sz w:val="21"/>
          <w:szCs w:val="21"/>
          <w:highlight w:val="none"/>
        </w:rPr>
      </w:pPr>
      <w:r>
        <w:rPr>
          <w:rFonts w:hint="eastAsia"/>
          <w:color w:val="auto"/>
          <w:sz w:val="21"/>
          <w:szCs w:val="21"/>
          <w:highlight w:val="none"/>
          <w:lang w:bidi="ar"/>
        </w:rPr>
        <w:br w:type="page"/>
      </w:r>
      <w:bookmarkStart w:id="89" w:name="_Toc5170"/>
      <w:bookmarkStart w:id="90" w:name="_Toc15451"/>
      <w:bookmarkStart w:id="91" w:name="_Toc23435"/>
      <w:r>
        <w:rPr>
          <w:rFonts w:hint="eastAsia"/>
          <w:b/>
          <w:bCs/>
          <w:color w:val="auto"/>
          <w:sz w:val="21"/>
          <w:szCs w:val="21"/>
          <w:highlight w:val="none"/>
          <w:lang w:bidi="ar"/>
        </w:rPr>
        <w:t>六、评审程序</w:t>
      </w:r>
      <w:bookmarkEnd w:id="89"/>
      <w:bookmarkEnd w:id="90"/>
      <w:bookmarkEnd w:id="91"/>
    </w:p>
    <w:p w14:paraId="2F0564EB">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17DD4EE9">
      <w:pPr>
        <w:widowControl/>
        <w:adjustRightInd w:val="0"/>
        <w:snapToGrid w:val="0"/>
        <w:spacing w:line="288" w:lineRule="auto"/>
        <w:ind w:firstLine="422" w:firstLineChars="200"/>
        <w:jc w:val="left"/>
        <w:rPr>
          <w:b/>
          <w:color w:val="auto"/>
          <w:sz w:val="21"/>
          <w:szCs w:val="21"/>
          <w:highlight w:val="none"/>
          <w:lang w:bidi="ar"/>
        </w:rPr>
      </w:pPr>
      <w:r>
        <w:rPr>
          <w:rFonts w:hint="eastAsia"/>
          <w:b/>
          <w:color w:val="auto"/>
          <w:sz w:val="21"/>
          <w:szCs w:val="21"/>
          <w:highlight w:val="none"/>
          <w:lang w:bidi="ar"/>
        </w:rPr>
        <w:t>（一）磋商小组的组成</w:t>
      </w:r>
    </w:p>
    <w:p w14:paraId="7886F209">
      <w:pPr>
        <w:adjustRightInd w:val="0"/>
        <w:snapToGrid w:val="0"/>
        <w:spacing w:line="288" w:lineRule="auto"/>
        <w:ind w:firstLine="420"/>
        <w:rPr>
          <w:color w:val="auto"/>
          <w:kern w:val="0"/>
          <w:sz w:val="21"/>
          <w:szCs w:val="21"/>
          <w:highlight w:val="none"/>
          <w:lang w:bidi="ar"/>
        </w:rPr>
      </w:pPr>
      <w:r>
        <w:rPr>
          <w:rFonts w:hint="eastAsia"/>
          <w:color w:val="auto"/>
          <w:kern w:val="0"/>
          <w:sz w:val="21"/>
          <w:szCs w:val="21"/>
          <w:highlight w:val="none"/>
          <w:lang w:bidi="ar"/>
        </w:rPr>
        <w:t>磋商小组由采购人代表和评审专家共</w:t>
      </w:r>
      <w:r>
        <w:rPr>
          <w:rFonts w:hint="eastAsia"/>
          <w:color w:val="auto"/>
          <w:kern w:val="0"/>
          <w:sz w:val="21"/>
          <w:szCs w:val="21"/>
          <w:highlight w:val="none"/>
          <w:lang w:val="en-US" w:eastAsia="zh-CN" w:bidi="ar"/>
        </w:rPr>
        <w:t>3</w:t>
      </w:r>
      <w:r>
        <w:rPr>
          <w:rFonts w:hint="eastAsia"/>
          <w:color w:val="auto"/>
          <w:kern w:val="0"/>
          <w:sz w:val="21"/>
          <w:szCs w:val="21"/>
          <w:highlight w:val="none"/>
          <w:lang w:bidi="ar"/>
        </w:rPr>
        <w:t>人及以上单数组成，其中评审专家人数不得少于磋商小组成员总数的2/3。</w:t>
      </w:r>
    </w:p>
    <w:p w14:paraId="43D5050F">
      <w:pPr>
        <w:widowControl/>
        <w:adjustRightInd w:val="0"/>
        <w:snapToGrid w:val="0"/>
        <w:spacing w:line="288" w:lineRule="auto"/>
        <w:ind w:firstLine="422" w:firstLineChars="200"/>
        <w:jc w:val="left"/>
        <w:rPr>
          <w:b/>
          <w:color w:val="auto"/>
          <w:sz w:val="21"/>
          <w:szCs w:val="21"/>
          <w:highlight w:val="none"/>
        </w:rPr>
      </w:pPr>
      <w:r>
        <w:rPr>
          <w:rFonts w:hint="eastAsia"/>
          <w:b/>
          <w:color w:val="auto"/>
          <w:sz w:val="21"/>
          <w:szCs w:val="21"/>
          <w:highlight w:val="none"/>
          <w:lang w:bidi="ar"/>
        </w:rPr>
        <w:t>（二）资格审查</w:t>
      </w:r>
    </w:p>
    <w:p w14:paraId="6AD7F901">
      <w:pPr>
        <w:adjustRightInd w:val="0"/>
        <w:snapToGrid w:val="0"/>
        <w:spacing w:line="288" w:lineRule="auto"/>
        <w:ind w:firstLine="420" w:firstLineChars="200"/>
        <w:rPr>
          <w:color w:val="auto"/>
          <w:sz w:val="21"/>
          <w:szCs w:val="21"/>
          <w:highlight w:val="none"/>
        </w:rPr>
      </w:pPr>
      <w:r>
        <w:rPr>
          <w:rFonts w:hint="eastAsia"/>
          <w:color w:val="auto"/>
          <w:kern w:val="0"/>
          <w:sz w:val="21"/>
          <w:szCs w:val="21"/>
          <w:highlight w:val="none"/>
          <w:lang w:bidi="ar"/>
        </w:rPr>
        <w:t>响应文件开启后，</w:t>
      </w:r>
      <w:r>
        <w:rPr>
          <w:rFonts w:hint="eastAsia"/>
          <w:color w:val="auto"/>
          <w:sz w:val="21"/>
          <w:szCs w:val="21"/>
          <w:highlight w:val="none"/>
          <w:lang w:bidi="ar"/>
        </w:rPr>
        <w:t>磋商小组依据法律法规和磋商文件的规定，对供应商的资格条件进行审查。</w:t>
      </w:r>
    </w:p>
    <w:p w14:paraId="4770C0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对未通过资格审查的供应商，磋商小组告知其未通过的原因。</w:t>
      </w:r>
    </w:p>
    <w:p w14:paraId="09B534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通过资格审查的供应商不足3家的，不再评标。</w:t>
      </w:r>
    </w:p>
    <w:p w14:paraId="70F66030">
      <w:pP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lang w:bidi="ar"/>
        </w:rPr>
        <w:t>（三）信用信息查询</w:t>
      </w:r>
    </w:p>
    <w:p w14:paraId="34EE35B6">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7A4C22D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（1）查询渠道：“信用中国”（www.creditchina.gov.cn）、“中国政府采购网”（www.ccgp.gov.cn）。</w:t>
      </w:r>
    </w:p>
    <w:p w14:paraId="0387B58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（2）</w:t>
      </w:r>
      <w:r>
        <w:rPr>
          <w:rFonts w:hint="eastAsia"/>
          <w:color w:val="auto"/>
          <w:sz w:val="21"/>
          <w:szCs w:val="21"/>
          <w:highlight w:val="none"/>
        </w:rPr>
        <w:t>信用信息查询记录和证据留存具体方式：现场查询的供应商的信用记录、查询结果经确认后将与采购文件一起存档</w:t>
      </w:r>
      <w:r>
        <w:rPr>
          <w:rFonts w:hint="eastAsia"/>
          <w:color w:val="auto"/>
          <w:kern w:val="0"/>
          <w:sz w:val="21"/>
          <w:szCs w:val="21"/>
          <w:highlight w:val="none"/>
          <w:lang w:bidi="ar"/>
        </w:rPr>
        <w:t>。</w:t>
      </w:r>
    </w:p>
    <w:p w14:paraId="1DBF3BB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（3）信用信息的使用规则：供应商被列入失信被执行人、重大税收违法案件当事人名单、政府采购严重违法失信行为记录名单的，拒绝其参与政府采购活动。</w:t>
      </w:r>
    </w:p>
    <w:p w14:paraId="0905BD1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DC2B244">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（四）符合性审查</w:t>
      </w:r>
    </w:p>
    <w:p w14:paraId="2AEAA48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磋商小组对符合资格的供应商的响应文件进行符合性审查，以确定其是否满足磋商文件的符合性审查要求。</w:t>
      </w:r>
    </w:p>
    <w:p w14:paraId="508C2365">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（五）磋商</w:t>
      </w:r>
    </w:p>
    <w:p w14:paraId="15E6173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磋商小组所有成员应当集中与单一供应商分别进行磋商，并给予所有参加磋商的供应商平等的磋商机会。</w:t>
      </w:r>
    </w:p>
    <w:p w14:paraId="52D78E0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0CA08B5">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5B87C6B4">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7F0A1626">
      <w:pPr>
        <w:adjustRightInd w:val="0"/>
        <w:snapToGrid w:val="0"/>
        <w:spacing w:line="288" w:lineRule="auto"/>
        <w:ind w:firstLine="426" w:firstLineChars="202"/>
        <w:rPr>
          <w:b/>
          <w:bCs/>
          <w:color w:val="auto"/>
          <w:kern w:val="0"/>
          <w:sz w:val="21"/>
          <w:szCs w:val="21"/>
          <w:highlight w:val="none"/>
        </w:rPr>
      </w:pPr>
      <w:r>
        <w:rPr>
          <w:rFonts w:hint="eastAsia"/>
          <w:b/>
          <w:bCs/>
          <w:color w:val="auto"/>
          <w:kern w:val="0"/>
          <w:sz w:val="21"/>
          <w:szCs w:val="21"/>
          <w:highlight w:val="none"/>
          <w:lang w:bidi="ar"/>
        </w:rPr>
        <w:t>（六）最后报价</w:t>
      </w:r>
    </w:p>
    <w:p w14:paraId="49909D27">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6A830970">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B16A617">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4B875358">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最后报价的修正原则：</w:t>
      </w:r>
    </w:p>
    <w:p w14:paraId="51D3B71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磋商小组对响应文件的最后报价进行审核，对发现计算、书写等错误的，按以下原则进行修正：</w:t>
      </w:r>
    </w:p>
    <w:p w14:paraId="1DF10942">
      <w:pPr>
        <w:adjustRightInd w:val="0"/>
        <w:snapToGrid w:val="0"/>
        <w:spacing w:line="288" w:lineRule="auto"/>
        <w:ind w:firstLine="420" w:firstLineChars="200"/>
        <w:rPr>
          <w:color w:val="auto"/>
          <w:kern w:val="0"/>
          <w:sz w:val="21"/>
          <w:szCs w:val="21"/>
          <w:highlight w:val="none"/>
          <w:lang w:bidi="ar"/>
        </w:rPr>
      </w:pPr>
      <w:r>
        <w:rPr>
          <w:rFonts w:hint="eastAsia"/>
          <w:color w:val="auto"/>
          <w:kern w:val="0"/>
          <w:sz w:val="21"/>
          <w:szCs w:val="21"/>
          <w:highlight w:val="none"/>
          <w:lang w:bidi="ar"/>
        </w:rPr>
        <w:t>1.《最后报价一览表》与响应文件中响应内容不一致的，以《最后报价一览表》为准。</w:t>
      </w:r>
    </w:p>
    <w:p w14:paraId="4991A2CC">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2.大写金额和小写金额不一致的，以大写金额为准。</w:t>
      </w:r>
    </w:p>
    <w:p w14:paraId="029CFEDF">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3.单价金额小数点或者百分比有明显错位的，以《最后报价一览表》的总价为准，并修改单价。</w:t>
      </w:r>
    </w:p>
    <w:p w14:paraId="6425D3B2">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4.总价金额与按单价汇总金额不一致的，以单价金额计算结果为准。</w:t>
      </w:r>
    </w:p>
    <w:p w14:paraId="249292AD">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5.同时出现两种以上不一致的，按照前款规定的顺序修正。</w:t>
      </w:r>
    </w:p>
    <w:p w14:paraId="58B62F49">
      <w:pPr>
        <w:adjustRightInd w:val="0"/>
        <w:snapToGrid w:val="0"/>
        <w:spacing w:line="288" w:lineRule="auto"/>
        <w:ind w:firstLine="424" w:firstLineChars="202"/>
        <w:rPr>
          <w:color w:val="auto"/>
          <w:kern w:val="0"/>
          <w:sz w:val="21"/>
          <w:szCs w:val="21"/>
          <w:highlight w:val="none"/>
          <w:lang w:bidi="ar"/>
        </w:rPr>
      </w:pPr>
      <w:r>
        <w:rPr>
          <w:rFonts w:hint="eastAsia"/>
          <w:color w:val="auto"/>
          <w:kern w:val="0"/>
          <w:sz w:val="21"/>
          <w:szCs w:val="21"/>
          <w:highlight w:val="none"/>
          <w:lang w:bidi="ar"/>
        </w:rPr>
        <w:t>6.以修正后的总价作为最后报价。</w:t>
      </w:r>
    </w:p>
    <w:p w14:paraId="1C35C20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▲供应商对根据修正原则修正后的最后报价不确认的，响应无效。</w:t>
      </w:r>
    </w:p>
    <w:p w14:paraId="7768DFF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（七）综合评分</w:t>
      </w:r>
    </w:p>
    <w:p w14:paraId="13A2497E">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经磋商确定最终采购需求和提交最后报价的供应商后，由磋商小组采用</w:t>
      </w:r>
      <w:r>
        <w:rPr>
          <w:rFonts w:hint="eastAsia"/>
          <w:b/>
          <w:bCs/>
          <w:color w:val="auto"/>
          <w:kern w:val="0"/>
          <w:sz w:val="21"/>
          <w:szCs w:val="21"/>
          <w:highlight w:val="none"/>
          <w:lang w:bidi="ar"/>
        </w:rPr>
        <w:t>综合评分法</w:t>
      </w:r>
      <w:r>
        <w:rPr>
          <w:rFonts w:hint="eastAsia"/>
          <w:color w:val="auto"/>
          <w:kern w:val="0"/>
          <w:sz w:val="21"/>
          <w:szCs w:val="21"/>
          <w:highlight w:val="none"/>
          <w:lang w:bidi="ar"/>
        </w:rPr>
        <w:t>对提交最后报价的供应商的响应文件和最后报价进行综合评分。</w:t>
      </w:r>
    </w:p>
    <w:p w14:paraId="58B3BCE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（八）汇总商务技术得分</w:t>
      </w:r>
    </w:p>
    <w:p w14:paraId="48E7E7E1">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磋商小组各成员独立对提交最后报价的供应商的商务技术文件进行评价，并汇总商务技术得分情况。</w:t>
      </w:r>
    </w:p>
    <w:p w14:paraId="672F368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B475068">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（九）排序与推荐</w:t>
      </w:r>
    </w:p>
    <w:p w14:paraId="06E1D3AB">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042220BD">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提供相同品牌产品且通过资格审查、符合性审查的不同供应商参加同一合同项下磋商的，按一家供应商计算，评审后得分最高的同品牌供应商获得成交供应商推荐资格；评审得分相同的，由采磋商小组按照磋商文件规定的方式确定一个供应商获得成交供应商推荐资格，磋商文件未规定的采取随机抽取方式确定，其他同品牌供应商不作为成交候选人。</w:t>
      </w:r>
    </w:p>
    <w:p w14:paraId="0FE9227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非单一产品采购项目，采购人应当根据采购项目技术构成、产品价格比重等合理确定核心产品，并在磋商文件中载明。多家供应商提供的核心产品品牌相同的，按前款规定处理。</w:t>
      </w:r>
    </w:p>
    <w:p w14:paraId="2C4E682F">
      <w:pPr>
        <w:adjustRightInd w:val="0"/>
        <w:snapToGrid w:val="0"/>
        <w:spacing w:line="288" w:lineRule="auto"/>
        <w:ind w:firstLine="426" w:firstLineChars="202"/>
        <w:rPr>
          <w:b/>
          <w:color w:val="auto"/>
          <w:kern w:val="0"/>
          <w:sz w:val="21"/>
          <w:szCs w:val="21"/>
          <w:highlight w:val="none"/>
        </w:rPr>
      </w:pPr>
      <w:r>
        <w:rPr>
          <w:rFonts w:hint="eastAsia"/>
          <w:b/>
          <w:color w:val="auto"/>
          <w:kern w:val="0"/>
          <w:sz w:val="21"/>
          <w:szCs w:val="21"/>
          <w:highlight w:val="none"/>
          <w:lang w:bidi="ar"/>
        </w:rPr>
        <w:t>（十）编写评标报告</w:t>
      </w:r>
    </w:p>
    <w:p w14:paraId="60C595DC">
      <w:pPr>
        <w:adjustRightInd w:val="0"/>
        <w:snapToGrid w:val="0"/>
        <w:spacing w:line="288" w:lineRule="auto"/>
        <w:ind w:firstLine="424" w:firstLineChars="202"/>
        <w:rPr>
          <w:color w:val="auto"/>
          <w:kern w:val="0"/>
          <w:sz w:val="21"/>
          <w:szCs w:val="21"/>
          <w:highlight w:val="none"/>
        </w:rPr>
      </w:pPr>
      <w:r>
        <w:rPr>
          <w:rFonts w:hint="eastAsia"/>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567993">
      <w:pPr>
        <w:widowControl/>
        <w:adjustRightInd w:val="0"/>
        <w:snapToGrid w:val="0"/>
        <w:spacing w:line="288" w:lineRule="auto"/>
        <w:jc w:val="center"/>
        <w:rPr>
          <w:b/>
          <w:color w:val="auto"/>
          <w:spacing w:val="-6"/>
          <w:sz w:val="21"/>
          <w:szCs w:val="21"/>
          <w:highlight w:val="none"/>
        </w:rPr>
      </w:pPr>
      <w:r>
        <w:rPr>
          <w:rFonts w:hint="eastAsia"/>
          <w:b/>
          <w:color w:val="auto"/>
          <w:spacing w:val="-6"/>
          <w:sz w:val="21"/>
          <w:szCs w:val="21"/>
          <w:highlight w:val="none"/>
          <w:lang w:bidi="ar"/>
        </w:rPr>
        <w:br w:type="page"/>
      </w:r>
      <w:bookmarkStart w:id="92" w:name="_Toc25991"/>
      <w:bookmarkStart w:id="93" w:name="_Toc23275"/>
      <w:bookmarkStart w:id="94" w:name="_Toc10268"/>
      <w:r>
        <w:rPr>
          <w:rFonts w:hint="eastAsia"/>
          <w:b/>
          <w:color w:val="auto"/>
          <w:spacing w:val="-6"/>
          <w:sz w:val="21"/>
          <w:szCs w:val="21"/>
          <w:highlight w:val="none"/>
          <w:lang w:bidi="ar"/>
        </w:rPr>
        <w:t>七、成交与合同</w:t>
      </w:r>
      <w:bookmarkEnd w:id="92"/>
      <w:bookmarkEnd w:id="93"/>
      <w:bookmarkEnd w:id="94"/>
    </w:p>
    <w:p w14:paraId="5AA51FF4">
      <w:pPr>
        <w:adjustRightInd w:val="0"/>
        <w:snapToGrid w:val="0"/>
        <w:spacing w:line="288" w:lineRule="auto"/>
        <w:rPr>
          <w:b/>
          <w:bCs/>
          <w:color w:val="auto"/>
          <w:sz w:val="21"/>
          <w:szCs w:val="21"/>
          <w:highlight w:val="none"/>
        </w:rPr>
      </w:pPr>
      <w:r>
        <w:rPr>
          <w:rFonts w:hint="eastAsia"/>
          <w:b/>
          <w:bCs/>
          <w:color w:val="auto"/>
          <w:sz w:val="21"/>
          <w:szCs w:val="21"/>
          <w:highlight w:val="none"/>
          <w:lang w:bidi="ar"/>
        </w:rPr>
        <w:t>（一）成交</w:t>
      </w:r>
    </w:p>
    <w:p w14:paraId="54F179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C8B4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2.采购代理机构在成交供应商确定后2个工作日内公告成交结果，同时向成交供应商发出成交通知书，并将磋商文件随成交结果同时公告。</w:t>
      </w:r>
    </w:p>
    <w:p w14:paraId="1CB7E5AB">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bidi="ar"/>
        </w:rPr>
        <w:t>3.评审结果公示媒体：浙江政府采购网（http://zfcg.czt.zj.gov.cn）。</w:t>
      </w:r>
    </w:p>
    <w:p w14:paraId="0AA84655">
      <w:pPr>
        <w:adjustRightInd w:val="0"/>
        <w:snapToGrid w:val="0"/>
        <w:spacing w:line="288" w:lineRule="auto"/>
        <w:jc w:val="left"/>
        <w:rPr>
          <w:b/>
          <w:bCs/>
          <w:color w:val="auto"/>
          <w:sz w:val="21"/>
          <w:szCs w:val="21"/>
          <w:highlight w:val="none"/>
        </w:rPr>
      </w:pPr>
      <w:r>
        <w:rPr>
          <w:rFonts w:hint="eastAsia"/>
          <w:b/>
          <w:bCs/>
          <w:color w:val="auto"/>
          <w:sz w:val="21"/>
          <w:szCs w:val="21"/>
          <w:highlight w:val="none"/>
          <w:lang w:bidi="ar"/>
        </w:rPr>
        <w:t>（二）合同授予</w:t>
      </w:r>
    </w:p>
    <w:p w14:paraId="068701C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4D994F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09A43B">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4B46B81A">
      <w:pPr>
        <w:adjustRightInd w:val="0"/>
        <w:snapToGrid w:val="0"/>
        <w:spacing w:line="288" w:lineRule="auto"/>
        <w:jc w:val="center"/>
        <w:outlineLvl w:val="1"/>
        <w:rPr>
          <w:b/>
          <w:color w:val="auto"/>
          <w:spacing w:val="-6"/>
          <w:sz w:val="21"/>
          <w:szCs w:val="21"/>
          <w:highlight w:val="none"/>
        </w:rPr>
      </w:pPr>
      <w:bookmarkStart w:id="95" w:name="_Toc30128"/>
      <w:bookmarkStart w:id="96" w:name="_Toc14986"/>
      <w:bookmarkStart w:id="97" w:name="_Toc28309"/>
      <w:r>
        <w:rPr>
          <w:rFonts w:hint="eastAsia"/>
          <w:b/>
          <w:color w:val="auto"/>
          <w:spacing w:val="-6"/>
          <w:sz w:val="21"/>
          <w:szCs w:val="21"/>
          <w:highlight w:val="none"/>
          <w:lang w:bidi="ar"/>
        </w:rPr>
        <w:t>八、验  收</w:t>
      </w:r>
      <w:bookmarkEnd w:id="95"/>
      <w:bookmarkEnd w:id="96"/>
      <w:bookmarkEnd w:id="97"/>
    </w:p>
    <w:p w14:paraId="18CB011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1F0348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2125251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4F5F0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632E76">
      <w:pPr>
        <w:adjustRightInd w:val="0"/>
        <w:snapToGrid w:val="0"/>
        <w:spacing w:line="288" w:lineRule="auto"/>
        <w:rPr>
          <w:color w:val="auto"/>
          <w:sz w:val="21"/>
          <w:szCs w:val="21"/>
          <w:highlight w:val="none"/>
        </w:rPr>
      </w:pPr>
      <w:r>
        <w:rPr>
          <w:rFonts w:hint="eastAsia"/>
          <w:color w:val="auto"/>
          <w:sz w:val="21"/>
          <w:szCs w:val="21"/>
          <w:highlight w:val="none"/>
          <w:lang w:bidi="ar"/>
        </w:rPr>
        <w:t xml:space="preserve"> </w:t>
      </w:r>
    </w:p>
    <w:p w14:paraId="26FC32DA">
      <w:pPr>
        <w:adjustRightInd w:val="0"/>
        <w:snapToGrid w:val="0"/>
        <w:spacing w:line="288" w:lineRule="auto"/>
        <w:jc w:val="center"/>
        <w:outlineLvl w:val="1"/>
        <w:rPr>
          <w:b/>
          <w:bCs/>
          <w:color w:val="auto"/>
          <w:sz w:val="21"/>
          <w:szCs w:val="21"/>
          <w:highlight w:val="none"/>
        </w:rPr>
      </w:pPr>
      <w:bookmarkStart w:id="98" w:name="_Toc14993"/>
      <w:bookmarkStart w:id="99" w:name="_Toc2819"/>
      <w:bookmarkStart w:id="100" w:name="_Toc10913"/>
      <w:r>
        <w:rPr>
          <w:rFonts w:hint="eastAsia"/>
          <w:b/>
          <w:bCs/>
          <w:color w:val="auto"/>
          <w:sz w:val="21"/>
          <w:szCs w:val="21"/>
          <w:highlight w:val="none"/>
          <w:lang w:bidi="ar"/>
        </w:rPr>
        <w:t>九、可中止电子交易活动的情形</w:t>
      </w:r>
      <w:bookmarkEnd w:id="98"/>
      <w:bookmarkEnd w:id="99"/>
      <w:bookmarkEnd w:id="100"/>
    </w:p>
    <w:p w14:paraId="3C253E5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2CC60F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1.电子交易平台发生故障而无法登录访问的；</w:t>
      </w:r>
    </w:p>
    <w:p w14:paraId="038FD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2.电子交易平台应用或数据库出现错误，不能进行正常操作的；</w:t>
      </w:r>
    </w:p>
    <w:p w14:paraId="75CE71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3.电子交易平台发现严重安全漏洞，有潜在泄密危险的；</w:t>
      </w:r>
    </w:p>
    <w:p w14:paraId="48745E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4.病毒发作导致不能进行正常操作的；</w:t>
      </w:r>
    </w:p>
    <w:p w14:paraId="4F7FAC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bidi="ar"/>
        </w:rPr>
        <w:t>5.其他无法保证电子交易的公平、公正和安全的情况。</w:t>
      </w:r>
    </w:p>
    <w:p w14:paraId="498035AF">
      <w:pPr>
        <w:spacing w:line="288" w:lineRule="auto"/>
        <w:ind w:firstLine="420" w:firstLineChars="200"/>
        <w:jc w:val="both"/>
        <w:rPr>
          <w:rFonts w:hint="eastAsia"/>
          <w:color w:val="auto"/>
          <w:sz w:val="21"/>
          <w:szCs w:val="21"/>
          <w:highlight w:val="none"/>
          <w:lang w:bidi="ar"/>
        </w:rPr>
        <w:sectPr>
          <w:footerReference r:id="rId9" w:type="first"/>
          <w:footerReference r:id="rId8" w:type="default"/>
          <w:pgSz w:w="11900" w:h="16840"/>
          <w:pgMar w:top="1247" w:right="1247" w:bottom="1247" w:left="1247" w:header="0" w:footer="692" w:gutter="0"/>
          <w:pgBorders>
            <w:top w:val="none" w:sz="0" w:space="0"/>
            <w:left w:val="none" w:sz="0" w:space="0"/>
            <w:bottom w:val="none" w:sz="0" w:space="0"/>
            <w:right w:val="none" w:sz="0" w:space="0"/>
          </w:pgBorders>
          <w:cols w:space="720" w:num="1"/>
          <w:titlePg/>
          <w:docGrid w:linePitch="326" w:charSpace="0"/>
        </w:sectPr>
      </w:pPr>
      <w:r>
        <w:rPr>
          <w:rFonts w:hint="eastAsia"/>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bookmarkStart w:id="101" w:name="_Toc566"/>
      <w:bookmarkStart w:id="102" w:name="_Toc148"/>
      <w:bookmarkStart w:id="103" w:name="_Toc17065"/>
      <w:bookmarkStart w:id="104" w:name="_Toc29975"/>
      <w:bookmarkStart w:id="105" w:name="_Toc2552"/>
      <w:bookmarkStart w:id="106" w:name="_Toc11891"/>
      <w:bookmarkStart w:id="107" w:name="_Toc30075"/>
    </w:p>
    <w:p w14:paraId="2130C676">
      <w:pPr>
        <w:spacing w:line="288" w:lineRule="auto"/>
        <w:ind w:firstLine="643" w:firstLineChars="200"/>
        <w:jc w:val="center"/>
        <w:rPr>
          <w:b/>
          <w:bCs/>
          <w:color w:val="auto"/>
          <w:sz w:val="32"/>
          <w:szCs w:val="32"/>
          <w:highlight w:val="none"/>
        </w:rPr>
      </w:pPr>
      <w:r>
        <w:rPr>
          <w:rFonts w:hint="eastAsia"/>
          <w:b/>
          <w:bCs/>
          <w:color w:val="auto"/>
          <w:sz w:val="32"/>
          <w:szCs w:val="32"/>
          <w:highlight w:val="none"/>
        </w:rPr>
        <w:t>第四章  评审方法和评审标准</w:t>
      </w:r>
      <w:bookmarkEnd w:id="101"/>
      <w:bookmarkEnd w:id="102"/>
      <w:bookmarkEnd w:id="103"/>
      <w:bookmarkEnd w:id="104"/>
      <w:bookmarkEnd w:id="105"/>
      <w:bookmarkEnd w:id="106"/>
      <w:bookmarkEnd w:id="107"/>
    </w:p>
    <w:p w14:paraId="02B35B57">
      <w:pPr>
        <w:adjustRightInd w:val="0"/>
        <w:snapToGrid w:val="0"/>
        <w:spacing w:line="288" w:lineRule="auto"/>
        <w:outlineLvl w:val="1"/>
        <w:rPr>
          <w:b/>
          <w:bCs/>
          <w:color w:val="auto"/>
          <w:sz w:val="21"/>
          <w:szCs w:val="21"/>
          <w:highlight w:val="none"/>
        </w:rPr>
      </w:pPr>
      <w:bookmarkStart w:id="108" w:name="_Toc27117"/>
      <w:bookmarkStart w:id="109" w:name="_Toc11056"/>
      <w:bookmarkStart w:id="110" w:name="_Toc31576"/>
      <w:r>
        <w:rPr>
          <w:rFonts w:hint="eastAsia"/>
          <w:b/>
          <w:bCs/>
          <w:color w:val="auto"/>
          <w:sz w:val="21"/>
          <w:szCs w:val="21"/>
          <w:highlight w:val="none"/>
        </w:rPr>
        <w:t>一、评审方法</w:t>
      </w:r>
      <w:bookmarkEnd w:id="108"/>
      <w:bookmarkEnd w:id="109"/>
      <w:bookmarkEnd w:id="110"/>
    </w:p>
    <w:p w14:paraId="4321D9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A910B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74213A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14:paraId="436A8C65">
      <w:pPr>
        <w:numPr>
          <w:ilvl w:val="0"/>
          <w:numId w:val="1"/>
        </w:numPr>
        <w:adjustRightInd w:val="0"/>
        <w:snapToGrid w:val="0"/>
        <w:spacing w:line="288" w:lineRule="auto"/>
        <w:outlineLvl w:val="1"/>
        <w:rPr>
          <w:b/>
          <w:bCs/>
          <w:color w:val="auto"/>
          <w:sz w:val="21"/>
          <w:szCs w:val="21"/>
          <w:highlight w:val="none"/>
        </w:rPr>
      </w:pPr>
      <w:bookmarkStart w:id="111" w:name="_Toc20584"/>
      <w:bookmarkStart w:id="112" w:name="_Toc24337"/>
      <w:bookmarkStart w:id="113" w:name="_Toc12885"/>
      <w:r>
        <w:rPr>
          <w:rFonts w:hint="eastAsia"/>
          <w:b/>
          <w:bCs/>
          <w:color w:val="auto"/>
          <w:sz w:val="21"/>
          <w:szCs w:val="21"/>
          <w:highlight w:val="none"/>
        </w:rPr>
        <w:t>评审标准</w:t>
      </w:r>
      <w:bookmarkEnd w:id="111"/>
      <w:bookmarkEnd w:id="112"/>
      <w:bookmarkEnd w:id="113"/>
    </w:p>
    <w:tbl>
      <w:tblPr>
        <w:tblStyle w:val="2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04"/>
        <w:gridCol w:w="7559"/>
      </w:tblGrid>
      <w:tr w14:paraId="4F53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3EB93CE">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14" w:type="pct"/>
            <w:vAlign w:val="center"/>
          </w:tcPr>
          <w:p w14:paraId="02827C28">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933" w:type="pct"/>
            <w:vAlign w:val="center"/>
          </w:tcPr>
          <w:p w14:paraId="7AE9D51F">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673E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49D889F1">
            <w:pPr>
              <w:adjustRightInd w:val="0"/>
              <w:snapToGrid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价格分（30）</w:t>
            </w:r>
          </w:p>
        </w:tc>
      </w:tr>
      <w:tr w14:paraId="6EA3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2" w:type="pct"/>
            <w:vAlign w:val="center"/>
          </w:tcPr>
          <w:p w14:paraId="6D5745DF">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最后磋商报价</w:t>
            </w:r>
          </w:p>
        </w:tc>
        <w:tc>
          <w:tcPr>
            <w:tcW w:w="314" w:type="pct"/>
            <w:vAlign w:val="center"/>
          </w:tcPr>
          <w:p w14:paraId="7C7E2C51">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3933" w:type="pct"/>
            <w:vAlign w:val="center"/>
          </w:tcPr>
          <w:p w14:paraId="3A51F082">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0F5B454C">
            <w:pPr>
              <w:adjustRightInd w:val="0"/>
              <w:snapToGrid w:val="0"/>
              <w:rPr>
                <w:rFonts w:ascii="宋体" w:hAnsi="宋体" w:eastAsia="宋体" w:cs="宋体"/>
                <w:color w:val="auto"/>
                <w:highlight w:val="none"/>
              </w:rPr>
            </w:pPr>
            <w:r>
              <w:rPr>
                <w:rFonts w:hint="eastAsia" w:ascii="宋体" w:hAnsi="宋体" w:eastAsia="宋体" w:cs="宋体"/>
                <w:color w:val="auto"/>
                <w:sz w:val="21"/>
                <w:szCs w:val="21"/>
                <w:highlight w:val="none"/>
              </w:rPr>
              <w:t>磋商报价得分=（磋商基准价/最后磋商报价）×30%×100</w:t>
            </w:r>
          </w:p>
        </w:tc>
      </w:tr>
      <w:tr w14:paraId="3844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15AFED21">
            <w:pPr>
              <w:adjustRightInd w:val="0"/>
              <w:snapToGrid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商务分（5）</w:t>
            </w:r>
          </w:p>
        </w:tc>
      </w:tr>
      <w:tr w14:paraId="61D2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10113501">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314" w:type="pct"/>
            <w:vAlign w:val="center"/>
          </w:tcPr>
          <w:p w14:paraId="7FFE44E8">
            <w:pPr>
              <w:adjustRightInd w:val="0"/>
              <w:snapToGrid w:val="0"/>
              <w:jc w:val="center"/>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3</w:t>
            </w:r>
          </w:p>
        </w:tc>
        <w:tc>
          <w:tcPr>
            <w:tcW w:w="3933" w:type="pct"/>
            <w:vAlign w:val="center"/>
          </w:tcPr>
          <w:p w14:paraId="67FE4552">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【客观分】供应商自202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年1月1日以来（以合同签订时间为准）同类合同业绩（以提供的完整合同扫描件为准）：每提供1份完整合同业绩得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分，最高得3分。</w:t>
            </w:r>
          </w:p>
        </w:tc>
      </w:tr>
      <w:tr w14:paraId="4726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896E37F">
            <w:pPr>
              <w:adjustRightInd w:val="0"/>
              <w:snapToGrid w:val="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政策功能</w:t>
            </w:r>
          </w:p>
        </w:tc>
        <w:tc>
          <w:tcPr>
            <w:tcW w:w="314" w:type="pct"/>
            <w:vAlign w:val="center"/>
          </w:tcPr>
          <w:p w14:paraId="695DF934">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3933" w:type="pct"/>
            <w:vAlign w:val="center"/>
          </w:tcPr>
          <w:p w14:paraId="0E8AA10E">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86E8B94">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响应产品属于品目清单范围且提供国家确定的认证机构出具的有效的节能产品认证证书（扫描件）的得1分；</w:t>
            </w:r>
          </w:p>
          <w:p w14:paraId="6652E5BF">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响应产品属于品目清单范围且提供国家确定的认证机构出具的有效的环境标志产品认证证书（扫描件）的得1分。</w:t>
            </w:r>
          </w:p>
          <w:p w14:paraId="1AC558AF">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注：政府强制采购的节能产品的除外。</w:t>
            </w:r>
          </w:p>
        </w:tc>
      </w:tr>
      <w:tr w14:paraId="2F1C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3"/>
            <w:vAlign w:val="center"/>
          </w:tcPr>
          <w:p w14:paraId="53AAB944">
            <w:pPr>
              <w:adjustRightInd w:val="0"/>
              <w:snapToGrid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技术分（65）</w:t>
            </w:r>
          </w:p>
        </w:tc>
      </w:tr>
      <w:tr w14:paraId="6E89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5352E045">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产品响应程度</w:t>
            </w:r>
          </w:p>
        </w:tc>
        <w:tc>
          <w:tcPr>
            <w:tcW w:w="314" w:type="pct"/>
            <w:vAlign w:val="center"/>
          </w:tcPr>
          <w:p w14:paraId="4CB68DEB">
            <w:pPr>
              <w:adjustRightInd w:val="0"/>
              <w:snapToGrid w:val="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15</w:t>
            </w:r>
          </w:p>
        </w:tc>
        <w:tc>
          <w:tcPr>
            <w:tcW w:w="3933" w:type="pct"/>
            <w:vAlign w:val="center"/>
          </w:tcPr>
          <w:p w14:paraId="3BEEE49A">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339A9A9">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不符合（负偏离）技术要求中标注“▲”条款（不可偏离）的响应文件无效，满足或明显优于磋商文件明确的全部技术条款要求的该项得满分；</w:t>
            </w:r>
          </w:p>
          <w:p w14:paraId="2A1A8647">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允许偏离的功能、性能和技术指标低于招标需求（负偏离）的每项扣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1E40207">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cs="宋体"/>
                <w:color w:val="auto"/>
                <w:sz w:val="21"/>
                <w:szCs w:val="21"/>
                <w:highlight w:val="none"/>
                <w:lang w:val="en-US" w:eastAsia="zh-CN"/>
              </w:rPr>
              <w:t>5项</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的响应文件无效。</w:t>
            </w:r>
          </w:p>
        </w:tc>
      </w:tr>
      <w:tr w14:paraId="2B1C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52" w:type="pct"/>
            <w:vMerge w:val="restart"/>
            <w:vAlign w:val="center"/>
          </w:tcPr>
          <w:p w14:paraId="532DB977">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技术方案</w:t>
            </w:r>
          </w:p>
        </w:tc>
        <w:tc>
          <w:tcPr>
            <w:tcW w:w="314" w:type="pct"/>
            <w:vAlign w:val="center"/>
          </w:tcPr>
          <w:p w14:paraId="12FBC6EE">
            <w:pPr>
              <w:adjustRightInd w:val="0"/>
              <w:snapToGrid w:val="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3</w:t>
            </w:r>
          </w:p>
        </w:tc>
        <w:tc>
          <w:tcPr>
            <w:tcW w:w="3933" w:type="pct"/>
            <w:vAlign w:val="center"/>
          </w:tcPr>
          <w:p w14:paraId="73B76558">
            <w:pPr>
              <w:adjustRightInd w:val="0"/>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w:t>
            </w:r>
            <w:r>
              <w:rPr>
                <w:rFonts w:hint="eastAsia" w:cs="宋体"/>
                <w:color w:val="auto"/>
                <w:sz w:val="21"/>
                <w:szCs w:val="21"/>
                <w:highlight w:val="none"/>
                <w:lang w:val="en-US" w:eastAsia="zh-CN"/>
              </w:rPr>
              <w:t>供应商针对智慧食堂综合管理系统PC端提供的技术开发方案的先进性、可行性（评分范围：3,2,1,0）。</w:t>
            </w:r>
          </w:p>
        </w:tc>
      </w:tr>
      <w:tr w14:paraId="2AF1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31BAF8DC">
            <w:pPr>
              <w:adjustRightInd w:val="0"/>
              <w:snapToGrid w:val="0"/>
              <w:jc w:val="center"/>
              <w:rPr>
                <w:rFonts w:ascii="宋体" w:hAnsi="宋体" w:eastAsia="宋体" w:cs="宋体"/>
                <w:b/>
                <w:bCs/>
                <w:color w:val="auto"/>
                <w:sz w:val="21"/>
                <w:szCs w:val="21"/>
                <w:highlight w:val="none"/>
              </w:rPr>
            </w:pPr>
          </w:p>
        </w:tc>
        <w:tc>
          <w:tcPr>
            <w:tcW w:w="314" w:type="pct"/>
            <w:vAlign w:val="center"/>
          </w:tcPr>
          <w:p w14:paraId="3532AA0C">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3343DCC2">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【主观分】供应商针对智慧食堂综合管理系统移动端提供的技术开发方案的先进性、可行性（评分范围：3,2,1,0）。</w:t>
            </w:r>
          </w:p>
        </w:tc>
      </w:tr>
      <w:tr w14:paraId="1ABC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2C98462B">
            <w:pPr>
              <w:adjustRightInd w:val="0"/>
              <w:snapToGrid w:val="0"/>
              <w:jc w:val="center"/>
              <w:rPr>
                <w:rFonts w:ascii="宋体" w:hAnsi="宋体" w:eastAsia="宋体" w:cs="宋体"/>
                <w:b/>
                <w:bCs/>
                <w:color w:val="auto"/>
                <w:sz w:val="21"/>
                <w:szCs w:val="21"/>
                <w:highlight w:val="none"/>
              </w:rPr>
            </w:pPr>
          </w:p>
        </w:tc>
        <w:tc>
          <w:tcPr>
            <w:tcW w:w="314" w:type="pct"/>
            <w:vAlign w:val="center"/>
          </w:tcPr>
          <w:p w14:paraId="47B0BEF3">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0E2FD36B">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【主观分】供应商针对智慧食堂综合管理系统（第三方应用）提供的技术开发方案的先进性、可行性（评分范围：3,2,1,0）。</w:t>
            </w:r>
          </w:p>
        </w:tc>
      </w:tr>
      <w:tr w14:paraId="03EC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6F454387">
            <w:pPr>
              <w:adjustRightInd w:val="0"/>
              <w:snapToGrid w:val="0"/>
              <w:jc w:val="center"/>
              <w:rPr>
                <w:rFonts w:ascii="宋体" w:hAnsi="宋体" w:eastAsia="宋体" w:cs="宋体"/>
                <w:b/>
                <w:bCs/>
                <w:color w:val="auto"/>
                <w:sz w:val="21"/>
                <w:szCs w:val="21"/>
                <w:highlight w:val="none"/>
              </w:rPr>
            </w:pPr>
          </w:p>
        </w:tc>
        <w:tc>
          <w:tcPr>
            <w:tcW w:w="314" w:type="pct"/>
            <w:vAlign w:val="center"/>
          </w:tcPr>
          <w:p w14:paraId="6ED9F04D">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4C23D6D6">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w:t>
            </w:r>
            <w:r>
              <w:rPr>
                <w:rFonts w:hint="eastAsia" w:cs="宋体"/>
                <w:color w:val="auto"/>
                <w:sz w:val="21"/>
                <w:szCs w:val="21"/>
                <w:highlight w:val="none"/>
                <w:lang w:val="en-US" w:eastAsia="zh-CN"/>
              </w:rPr>
              <w:t>智能</w:t>
            </w:r>
            <w:r>
              <w:rPr>
                <w:rFonts w:hint="eastAsia" w:ascii="宋体" w:hAnsi="宋体" w:eastAsia="宋体" w:cs="宋体"/>
                <w:color w:val="auto"/>
                <w:sz w:val="21"/>
                <w:szCs w:val="21"/>
                <w:highlight w:val="none"/>
              </w:rPr>
              <w:t>仓储管理系统提供的技术开发方案的先进性、可行性（评分范围：3,2,1,0）。</w:t>
            </w:r>
          </w:p>
        </w:tc>
      </w:tr>
      <w:tr w14:paraId="13EA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7D3D7A9A">
            <w:pPr>
              <w:adjustRightInd w:val="0"/>
              <w:snapToGrid w:val="0"/>
              <w:jc w:val="center"/>
              <w:rPr>
                <w:rFonts w:ascii="宋体" w:hAnsi="宋体" w:eastAsia="宋体" w:cs="宋体"/>
                <w:b/>
                <w:bCs/>
                <w:color w:val="auto"/>
                <w:sz w:val="21"/>
                <w:szCs w:val="21"/>
                <w:highlight w:val="none"/>
              </w:rPr>
            </w:pPr>
          </w:p>
        </w:tc>
        <w:tc>
          <w:tcPr>
            <w:tcW w:w="314" w:type="pct"/>
            <w:vAlign w:val="center"/>
          </w:tcPr>
          <w:p w14:paraId="404CBE30">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1EC8BCF0">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w:t>
            </w:r>
            <w:r>
              <w:rPr>
                <w:rFonts w:hint="eastAsia" w:cs="宋体"/>
                <w:color w:val="auto"/>
                <w:sz w:val="21"/>
                <w:szCs w:val="21"/>
                <w:highlight w:val="none"/>
                <w:lang w:val="en-US" w:eastAsia="zh-CN"/>
              </w:rPr>
              <w:t>智能订单（采购订单）、智能结算（财务管理、数据报表、记账信息）</w:t>
            </w:r>
            <w:r>
              <w:rPr>
                <w:rFonts w:hint="eastAsia" w:ascii="宋体" w:hAnsi="宋体" w:eastAsia="宋体" w:cs="宋体"/>
                <w:color w:val="auto"/>
                <w:sz w:val="21"/>
                <w:szCs w:val="21"/>
                <w:highlight w:val="none"/>
              </w:rPr>
              <w:t>提供的技术开发方案的先进性、可行性（评分范围：3,2,1,0）。</w:t>
            </w:r>
          </w:p>
        </w:tc>
      </w:tr>
      <w:tr w14:paraId="3BE0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6F1B48FF">
            <w:pPr>
              <w:adjustRightInd w:val="0"/>
              <w:snapToGrid w:val="0"/>
              <w:jc w:val="center"/>
              <w:rPr>
                <w:rFonts w:ascii="宋体" w:hAnsi="宋体" w:eastAsia="宋体" w:cs="宋体"/>
                <w:b/>
                <w:bCs/>
                <w:color w:val="auto"/>
                <w:sz w:val="21"/>
                <w:szCs w:val="21"/>
                <w:highlight w:val="none"/>
              </w:rPr>
            </w:pPr>
          </w:p>
        </w:tc>
        <w:tc>
          <w:tcPr>
            <w:tcW w:w="314" w:type="pct"/>
            <w:vAlign w:val="center"/>
          </w:tcPr>
          <w:p w14:paraId="0DBA22FF">
            <w:pPr>
              <w:adjustRightInd w:val="0"/>
              <w:snapToGrid w:val="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60F2B276">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【主观分】供应商针对智能电子验收秤</w:t>
            </w:r>
            <w:r>
              <w:rPr>
                <w:rFonts w:hint="eastAsia" w:cs="宋体"/>
                <w:color w:val="auto"/>
                <w:sz w:val="21"/>
                <w:szCs w:val="21"/>
                <w:highlight w:val="none"/>
                <w:lang w:eastAsia="zh-CN"/>
              </w:rPr>
              <w:t>（</w:t>
            </w:r>
            <w:r>
              <w:rPr>
                <w:rFonts w:hint="eastAsia" w:cs="宋体"/>
                <w:color w:val="auto"/>
                <w:sz w:val="21"/>
                <w:szCs w:val="21"/>
                <w:highlight w:val="none"/>
                <w:lang w:val="en-US" w:eastAsia="zh-CN"/>
              </w:rPr>
              <w:t>智能验收、采购验收台账）</w:t>
            </w:r>
            <w:r>
              <w:rPr>
                <w:rFonts w:hint="eastAsia" w:ascii="宋体" w:hAnsi="宋体" w:eastAsia="宋体" w:cs="宋体"/>
                <w:color w:val="auto"/>
                <w:sz w:val="21"/>
                <w:szCs w:val="21"/>
                <w:highlight w:val="none"/>
              </w:rPr>
              <w:t>提供的技术开发方案的先进性、可行性（评分范围：3,2,1,0）。</w:t>
            </w:r>
          </w:p>
        </w:tc>
      </w:tr>
      <w:tr w14:paraId="6F38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503590EB">
            <w:pPr>
              <w:adjustRightInd w:val="0"/>
              <w:snapToGrid w:val="0"/>
              <w:jc w:val="center"/>
              <w:rPr>
                <w:rFonts w:ascii="宋体" w:hAnsi="宋体" w:eastAsia="宋体" w:cs="宋体"/>
                <w:b/>
                <w:bCs/>
                <w:color w:val="auto"/>
                <w:sz w:val="21"/>
                <w:szCs w:val="21"/>
                <w:highlight w:val="none"/>
              </w:rPr>
            </w:pPr>
          </w:p>
        </w:tc>
        <w:tc>
          <w:tcPr>
            <w:tcW w:w="314" w:type="pct"/>
            <w:vAlign w:val="center"/>
          </w:tcPr>
          <w:p w14:paraId="3CB59909">
            <w:pPr>
              <w:adjustRightInd w:val="0"/>
              <w:snapToGrid w:val="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2</w:t>
            </w:r>
          </w:p>
        </w:tc>
        <w:tc>
          <w:tcPr>
            <w:tcW w:w="3933" w:type="pct"/>
            <w:vAlign w:val="center"/>
          </w:tcPr>
          <w:p w14:paraId="01385140">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w:t>
            </w:r>
            <w:r>
              <w:rPr>
                <w:rFonts w:hint="eastAsia" w:cs="宋体"/>
                <w:color w:val="auto"/>
                <w:sz w:val="21"/>
                <w:szCs w:val="21"/>
                <w:highlight w:val="none"/>
                <w:lang w:val="en-US" w:eastAsia="zh-CN"/>
              </w:rPr>
              <w:t>食材食谱、进销存（</w:t>
            </w:r>
            <w:r>
              <w:rPr>
                <w:rFonts w:hint="eastAsia"/>
                <w:color w:val="auto"/>
                <w:sz w:val="21"/>
                <w:szCs w:val="21"/>
                <w:highlight w:val="none"/>
                <w:lang w:val="en-US" w:eastAsia="zh-CN"/>
              </w:rPr>
              <w:t>食材反算）</w:t>
            </w:r>
            <w:r>
              <w:rPr>
                <w:rFonts w:hint="eastAsia" w:ascii="宋体" w:hAnsi="宋体" w:eastAsia="宋体" w:cs="宋体"/>
                <w:color w:val="auto"/>
                <w:sz w:val="21"/>
                <w:szCs w:val="21"/>
                <w:highlight w:val="none"/>
              </w:rPr>
              <w:t>管理系统提供的技术开发方案的先进性、可行性（评分范围：2,1,</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0）。</w:t>
            </w:r>
          </w:p>
        </w:tc>
      </w:tr>
      <w:tr w14:paraId="4149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6428CC75">
            <w:pPr>
              <w:adjustRightInd w:val="0"/>
              <w:snapToGrid w:val="0"/>
              <w:jc w:val="center"/>
              <w:rPr>
                <w:rFonts w:ascii="宋体" w:hAnsi="宋体" w:eastAsia="宋体" w:cs="宋体"/>
                <w:b/>
                <w:bCs/>
                <w:color w:val="auto"/>
                <w:sz w:val="21"/>
                <w:szCs w:val="21"/>
                <w:highlight w:val="none"/>
              </w:rPr>
            </w:pPr>
          </w:p>
        </w:tc>
        <w:tc>
          <w:tcPr>
            <w:tcW w:w="314" w:type="pct"/>
            <w:vAlign w:val="center"/>
          </w:tcPr>
          <w:p w14:paraId="767C8D51">
            <w:pPr>
              <w:adjustRightInd w:val="0"/>
              <w:snapToGrid w:val="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3</w:t>
            </w:r>
          </w:p>
        </w:tc>
        <w:tc>
          <w:tcPr>
            <w:tcW w:w="3933" w:type="pct"/>
            <w:vAlign w:val="center"/>
          </w:tcPr>
          <w:p w14:paraId="551687BD">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【主观分】供应商针对</w:t>
            </w:r>
            <w:r>
              <w:rPr>
                <w:rFonts w:hint="eastAsia" w:cs="宋体"/>
                <w:color w:val="auto"/>
                <w:sz w:val="21"/>
                <w:szCs w:val="21"/>
                <w:highlight w:val="none"/>
                <w:lang w:val="en-US" w:eastAsia="zh-CN"/>
              </w:rPr>
              <w:t>自定义驾驶舱</w:t>
            </w:r>
            <w:r>
              <w:rPr>
                <w:rFonts w:hint="eastAsia" w:ascii="宋体" w:hAnsi="宋体" w:eastAsia="宋体" w:cs="宋体"/>
                <w:color w:val="auto"/>
                <w:sz w:val="21"/>
                <w:szCs w:val="21"/>
                <w:highlight w:val="none"/>
              </w:rPr>
              <w:t>系统</w:t>
            </w:r>
            <w:r>
              <w:rPr>
                <w:rFonts w:hint="eastAsia" w:cs="宋体"/>
                <w:color w:val="auto"/>
                <w:sz w:val="21"/>
                <w:szCs w:val="21"/>
                <w:highlight w:val="none"/>
                <w:lang w:eastAsia="zh-CN"/>
              </w:rPr>
              <w:t>（</w:t>
            </w:r>
            <w:r>
              <w:rPr>
                <w:rFonts w:hint="eastAsia" w:cs="宋体"/>
                <w:color w:val="auto"/>
                <w:sz w:val="21"/>
                <w:szCs w:val="21"/>
                <w:highlight w:val="none"/>
                <w:lang w:val="en-US" w:eastAsia="zh-CN"/>
              </w:rPr>
              <w:t>从业人员、智能台账（食品安全相关数据报表等及分析）、AIOT智慧管理系统（物联感知）、阳光厨房、智能预警、AI分析功能、食品追溯等</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提供的技术开发方案的先进性、可行性</w:t>
            </w:r>
            <w:r>
              <w:rPr>
                <w:rFonts w:hint="eastAsia" w:cs="宋体"/>
                <w:color w:val="auto"/>
                <w:sz w:val="21"/>
                <w:szCs w:val="21"/>
                <w:highlight w:val="none"/>
                <w:lang w:eastAsia="zh-CN"/>
              </w:rPr>
              <w:t>（提供</w:t>
            </w:r>
            <w:r>
              <w:rPr>
                <w:rFonts w:hint="eastAsia" w:cs="宋体"/>
                <w:color w:val="auto"/>
                <w:sz w:val="21"/>
                <w:szCs w:val="21"/>
                <w:highlight w:val="none"/>
                <w:lang w:val="en-US" w:eastAsia="zh-CN"/>
              </w:rPr>
              <w:t>证明材料，不提供不得分</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（评分范围：3,2,1,0）。</w:t>
            </w:r>
          </w:p>
        </w:tc>
      </w:tr>
      <w:tr w14:paraId="569D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Merge w:val="continue"/>
            <w:vAlign w:val="center"/>
          </w:tcPr>
          <w:p w14:paraId="2DCB74B2">
            <w:pPr>
              <w:adjustRightInd w:val="0"/>
              <w:snapToGrid w:val="0"/>
              <w:jc w:val="center"/>
              <w:rPr>
                <w:rFonts w:hint="eastAsia" w:ascii="宋体" w:hAnsi="宋体" w:eastAsia="宋体" w:cs="宋体"/>
                <w:b/>
                <w:bCs/>
                <w:color w:val="auto"/>
                <w:sz w:val="21"/>
                <w:szCs w:val="21"/>
                <w:highlight w:val="none"/>
              </w:rPr>
            </w:pPr>
          </w:p>
        </w:tc>
        <w:tc>
          <w:tcPr>
            <w:tcW w:w="314" w:type="pct"/>
            <w:vAlign w:val="center"/>
          </w:tcPr>
          <w:p w14:paraId="23913709">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w:t>
            </w:r>
          </w:p>
        </w:tc>
        <w:tc>
          <w:tcPr>
            <w:tcW w:w="3933" w:type="pct"/>
          </w:tcPr>
          <w:p w14:paraId="27FC8A2D">
            <w:pPr>
              <w:adjustRightInd w:val="0"/>
              <w:snapToGrid w:val="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【主观分】供应商</w:t>
            </w:r>
            <w:r>
              <w:rPr>
                <w:rFonts w:hint="eastAsia" w:cs="宋体"/>
                <w:color w:val="auto"/>
                <w:sz w:val="21"/>
                <w:szCs w:val="21"/>
                <w:highlight w:val="none"/>
                <w:lang w:val="en-US" w:eastAsia="zh-CN"/>
              </w:rPr>
              <w:t>应急保障技术方案：保障断网时应急使用的方案的</w:t>
            </w:r>
            <w:r>
              <w:rPr>
                <w:rFonts w:hint="eastAsia" w:ascii="宋体" w:hAnsi="宋体" w:eastAsia="宋体" w:cs="宋体"/>
                <w:color w:val="auto"/>
                <w:sz w:val="21"/>
                <w:szCs w:val="21"/>
                <w:highlight w:val="none"/>
              </w:rPr>
              <w:t>先进性、可行性（评分范围：2,1,0.5,0）。</w:t>
            </w:r>
          </w:p>
        </w:tc>
      </w:tr>
      <w:tr w14:paraId="22AB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56CEBADB">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项目实施方案</w:t>
            </w:r>
          </w:p>
        </w:tc>
        <w:tc>
          <w:tcPr>
            <w:tcW w:w="314" w:type="pct"/>
            <w:vAlign w:val="center"/>
          </w:tcPr>
          <w:p w14:paraId="55E1BF8E">
            <w:pPr>
              <w:adjustRightInd w:val="0"/>
              <w:snapToGrid w:val="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4</w:t>
            </w:r>
          </w:p>
        </w:tc>
        <w:tc>
          <w:tcPr>
            <w:tcW w:w="3933" w:type="pct"/>
          </w:tcPr>
          <w:p w14:paraId="729CB1EF">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【主观分】项目实施计划详细完整程度，符合项目进度要求，投入人员数量和综合素质（评分范围：4,3,2,1,0）。</w:t>
            </w:r>
          </w:p>
        </w:tc>
      </w:tr>
      <w:tr w14:paraId="5B6C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6B2B68CB">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安装调试</w:t>
            </w:r>
          </w:p>
        </w:tc>
        <w:tc>
          <w:tcPr>
            <w:tcW w:w="314" w:type="pct"/>
            <w:vAlign w:val="center"/>
          </w:tcPr>
          <w:p w14:paraId="4417A44C">
            <w:pPr>
              <w:adjustRightInd w:val="0"/>
              <w:snapToGrid w:val="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2</w:t>
            </w:r>
          </w:p>
        </w:tc>
        <w:tc>
          <w:tcPr>
            <w:tcW w:w="3933" w:type="pct"/>
          </w:tcPr>
          <w:p w14:paraId="2925F47C">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【主观分】安装、调试方法或方案的详细完整度、合理可行性（评分范围：2,1,0.5,0）。</w:t>
            </w:r>
          </w:p>
        </w:tc>
      </w:tr>
      <w:tr w14:paraId="1E67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52" w:type="pct"/>
            <w:vAlign w:val="center"/>
          </w:tcPr>
          <w:p w14:paraId="2B0C22C5">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w:t>
            </w:r>
          </w:p>
        </w:tc>
        <w:tc>
          <w:tcPr>
            <w:tcW w:w="314" w:type="pct"/>
            <w:vAlign w:val="center"/>
          </w:tcPr>
          <w:p w14:paraId="250759A3">
            <w:pPr>
              <w:adjustRightInd w:val="0"/>
              <w:snapToGrid w:val="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2</w:t>
            </w:r>
          </w:p>
        </w:tc>
        <w:tc>
          <w:tcPr>
            <w:tcW w:w="3933" w:type="pct"/>
          </w:tcPr>
          <w:p w14:paraId="32FF944D">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【主观分】售后服务方案、售后服务承诺的可行性及服务承诺落实的保障措施（评分范围：2,1,0.5,0）。</w:t>
            </w:r>
          </w:p>
        </w:tc>
      </w:tr>
      <w:tr w14:paraId="75B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A432D23">
            <w:pPr>
              <w:adjustRightInd w:val="0"/>
              <w:snapToGrid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技术服务、培训</w:t>
            </w:r>
          </w:p>
        </w:tc>
        <w:tc>
          <w:tcPr>
            <w:tcW w:w="314" w:type="pct"/>
            <w:vAlign w:val="center"/>
          </w:tcPr>
          <w:p w14:paraId="1B6A2315">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w:t>
            </w:r>
          </w:p>
        </w:tc>
        <w:tc>
          <w:tcPr>
            <w:tcW w:w="3933" w:type="pct"/>
          </w:tcPr>
          <w:p w14:paraId="7853A4BD">
            <w:pPr>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【主观分】服务力量和服务保障，培训计划内容、培训范围，实施及针对性（评分范围：2,1,</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0）。</w:t>
            </w:r>
          </w:p>
        </w:tc>
      </w:tr>
      <w:tr w14:paraId="75C7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2" w:type="pct"/>
            <w:vAlign w:val="center"/>
          </w:tcPr>
          <w:p w14:paraId="0C552AFF">
            <w:pPr>
              <w:adjustRightInd w:val="0"/>
              <w:snapToGrid w:val="0"/>
              <w:jc w:val="center"/>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演示</w:t>
            </w:r>
          </w:p>
        </w:tc>
        <w:tc>
          <w:tcPr>
            <w:tcW w:w="314" w:type="pct"/>
            <w:vAlign w:val="center"/>
          </w:tcPr>
          <w:p w14:paraId="28F988CA">
            <w:pPr>
              <w:adjustRightInd w:val="0"/>
              <w:snapToGrid w:val="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15</w:t>
            </w:r>
          </w:p>
        </w:tc>
        <w:tc>
          <w:tcPr>
            <w:tcW w:w="3933" w:type="pct"/>
          </w:tcPr>
          <w:p w14:paraId="18B503DA">
            <w:pPr>
              <w:adjustRightInd w:val="0"/>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】供应商根据第二章 采购需求“4.演示”的要求提供演示，根据演示内容与采购需求的契合程度（每项演示评分范围：</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,0）。</w:t>
            </w:r>
          </w:p>
        </w:tc>
      </w:tr>
    </w:tbl>
    <w:p w14:paraId="5B94BC28">
      <w:pPr>
        <w:adjustRightInd w:val="0"/>
        <w:snapToGrid w:val="0"/>
        <w:spacing w:line="288" w:lineRule="auto"/>
        <w:jc w:val="left"/>
        <w:rPr>
          <w:rFonts w:hint="eastAsia" w:cs="Times New Roman"/>
          <w:b/>
          <w:color w:val="auto"/>
          <w:sz w:val="21"/>
          <w:szCs w:val="21"/>
          <w:highlight w:val="none"/>
        </w:rPr>
      </w:pPr>
      <w:r>
        <w:rPr>
          <w:rFonts w:hint="eastAsia" w:cs="Times New Roman"/>
          <w:b/>
          <w:color w:val="auto"/>
          <w:sz w:val="21"/>
          <w:szCs w:val="21"/>
          <w:highlight w:val="none"/>
        </w:rPr>
        <w:t>说明：</w:t>
      </w:r>
    </w:p>
    <w:p w14:paraId="44E3C639">
      <w:pPr>
        <w:adjustRightInd w:val="0"/>
        <w:snapToGrid w:val="0"/>
        <w:spacing w:line="288" w:lineRule="auto"/>
        <w:jc w:val="left"/>
        <w:rPr>
          <w:rFonts w:cs="Times New Roman"/>
          <w:b/>
          <w:color w:val="auto"/>
          <w:sz w:val="21"/>
          <w:szCs w:val="21"/>
          <w:highlight w:val="none"/>
        </w:rPr>
      </w:pPr>
      <w:r>
        <w:rPr>
          <w:rFonts w:cs="Times New Roman"/>
          <w:b/>
          <w:color w:val="auto"/>
          <w:sz w:val="21"/>
          <w:szCs w:val="21"/>
          <w:highlight w:val="none"/>
        </w:rPr>
        <w:t>1.</w:t>
      </w:r>
      <w:r>
        <w:rPr>
          <w:rFonts w:hint="eastAsia" w:cs="Times New Roman"/>
          <w:b/>
          <w:color w:val="auto"/>
          <w:sz w:val="21"/>
          <w:szCs w:val="21"/>
          <w:highlight w:val="none"/>
        </w:rPr>
        <w:t>根据《政府采购促进中小企业发展管理办法》（财库〔2020〕46号）、《关于进一步加大政府采购支持中小企业力度的通知》（财库〔</w:t>
      </w:r>
      <w:r>
        <w:rPr>
          <w:rFonts w:cs="Times New Roman"/>
          <w:b/>
          <w:color w:val="auto"/>
          <w:sz w:val="21"/>
          <w:szCs w:val="21"/>
          <w:highlight w:val="none"/>
        </w:rPr>
        <w:t>2022〕19号）</w:t>
      </w:r>
      <w:r>
        <w:rPr>
          <w:rFonts w:hint="eastAsia" w:cs="Times New Roman"/>
          <w:b/>
          <w:color w:val="auto"/>
          <w:sz w:val="21"/>
          <w:szCs w:val="21"/>
          <w:highlight w:val="none"/>
        </w:rPr>
        <w:t>的规定：对符合规定的小微企业报价给予</w:t>
      </w:r>
      <w:r>
        <w:rPr>
          <w:rFonts w:hint="eastAsia" w:cs="Times New Roman"/>
          <w:b/>
          <w:color w:val="auto"/>
          <w:sz w:val="21"/>
          <w:szCs w:val="21"/>
          <w:highlight w:val="none"/>
          <w:lang w:eastAsia="zh-CN"/>
        </w:rPr>
        <w:t>10%</w:t>
      </w:r>
      <w:r>
        <w:rPr>
          <w:rFonts w:hint="eastAsia" w:cs="Times New Roman"/>
          <w:b/>
          <w:color w:val="auto"/>
          <w:sz w:val="21"/>
          <w:szCs w:val="21"/>
          <w:highlight w:val="none"/>
        </w:rPr>
        <w:t>的扣除后计算价格得分。</w:t>
      </w:r>
    </w:p>
    <w:p w14:paraId="08C2559A">
      <w:pPr>
        <w:adjustRightInd w:val="0"/>
        <w:snapToGrid w:val="0"/>
        <w:spacing w:line="288" w:lineRule="auto"/>
        <w:ind w:firstLine="396" w:firstLineChars="200"/>
        <w:jc w:val="left"/>
        <w:rPr>
          <w:b/>
          <w:color w:val="auto"/>
          <w:sz w:val="21"/>
          <w:szCs w:val="21"/>
          <w:highlight w:val="none"/>
        </w:rPr>
      </w:pPr>
      <w:r>
        <w:rPr>
          <w:rFonts w:hint="eastAsia" w:cs="Times New Roman"/>
          <w:color w:val="auto"/>
          <w:spacing w:val="-6"/>
          <w:sz w:val="21"/>
          <w:szCs w:val="21"/>
          <w:highlight w:val="none"/>
          <w:u w:val="single"/>
        </w:rPr>
        <w:t>注：对于联合协议或者分包意向协议约定小微企业的合同份额占到合同总金额30%以上的，对联合体或者大中型企业的报价给予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u w:val="single"/>
          <w:lang w:eastAsia="zh-CN"/>
        </w:rPr>
        <w:t>4%</w:t>
      </w:r>
      <w:r>
        <w:rPr>
          <w:rFonts w:hint="eastAsia" w:cs="Times New Roman"/>
          <w:color w:val="auto"/>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14:paraId="5F364800">
      <w:pPr>
        <w:adjustRightInd w:val="0"/>
        <w:snapToGrid w:val="0"/>
        <w:spacing w:line="288" w:lineRule="auto"/>
        <w:rPr>
          <w:rFonts w:cs="Times New Roman"/>
          <w:b/>
          <w:bCs/>
          <w:color w:val="auto"/>
          <w:spacing w:val="-6"/>
          <w:sz w:val="21"/>
          <w:szCs w:val="21"/>
          <w:highlight w:val="none"/>
        </w:rPr>
      </w:pPr>
      <w:bookmarkStart w:id="114" w:name="_Hlk81817373"/>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114"/>
    <w:p w14:paraId="6F899111">
      <w:pPr>
        <w:adjustRightInd w:val="0"/>
        <w:snapToGrid w:val="0"/>
        <w:spacing w:line="288" w:lineRule="auto"/>
        <w:rPr>
          <w:b/>
          <w:color w:val="auto"/>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p w14:paraId="303A5819">
      <w:pPr>
        <w:adjustRightInd w:val="0"/>
        <w:snapToGrid w:val="0"/>
        <w:spacing w:line="288" w:lineRule="auto"/>
        <w:jc w:val="center"/>
        <w:rPr>
          <w:b/>
          <w:bCs/>
          <w:color w:val="auto"/>
          <w:sz w:val="32"/>
          <w:szCs w:val="32"/>
          <w:highlight w:val="none"/>
        </w:rPr>
      </w:pPr>
      <w:r>
        <w:rPr>
          <w:rFonts w:hint="eastAsia"/>
          <w:color w:val="auto"/>
          <w:sz w:val="21"/>
          <w:szCs w:val="21"/>
          <w:highlight w:val="none"/>
        </w:rPr>
        <w:br w:type="page"/>
      </w:r>
      <w:bookmarkStart w:id="115" w:name="_Toc16710"/>
      <w:bookmarkStart w:id="116" w:name="_Toc10679"/>
      <w:bookmarkStart w:id="117" w:name="_Toc14756"/>
      <w:bookmarkStart w:id="118" w:name="_Toc17541"/>
      <w:bookmarkStart w:id="119" w:name="_Toc24744"/>
      <w:bookmarkStart w:id="120" w:name="_Toc5658"/>
      <w:bookmarkStart w:id="121" w:name="_Toc25268"/>
      <w:r>
        <w:rPr>
          <w:rFonts w:hint="eastAsia"/>
          <w:b/>
          <w:bCs/>
          <w:color w:val="auto"/>
          <w:sz w:val="32"/>
          <w:szCs w:val="32"/>
          <w:highlight w:val="none"/>
        </w:rPr>
        <w:t>第五章  拟签订的合同文本</w:t>
      </w:r>
      <w:bookmarkEnd w:id="115"/>
      <w:bookmarkEnd w:id="116"/>
      <w:bookmarkEnd w:id="117"/>
      <w:bookmarkEnd w:id="118"/>
      <w:bookmarkEnd w:id="119"/>
      <w:bookmarkEnd w:id="120"/>
      <w:bookmarkEnd w:id="121"/>
    </w:p>
    <w:p w14:paraId="09F678D8">
      <w:pPr>
        <w:adjustRightInd w:val="0"/>
        <w:snapToGrid w:val="0"/>
        <w:spacing w:line="288" w:lineRule="auto"/>
        <w:jc w:val="center"/>
        <w:rPr>
          <w:rFonts w:hint="eastAsia"/>
          <w:b/>
          <w:bCs/>
          <w:color w:val="auto"/>
          <w:sz w:val="21"/>
          <w:szCs w:val="21"/>
          <w:highlight w:val="none"/>
        </w:rPr>
      </w:pPr>
    </w:p>
    <w:p w14:paraId="571F7EBB">
      <w:pPr>
        <w:adjustRightInd w:val="0"/>
        <w:snapToGrid w:val="0"/>
        <w:spacing w:line="288" w:lineRule="auto"/>
        <w:jc w:val="center"/>
        <w:rPr>
          <w:b/>
          <w:bCs/>
          <w:color w:val="auto"/>
          <w:sz w:val="21"/>
          <w:szCs w:val="21"/>
          <w:highlight w:val="none"/>
        </w:rPr>
      </w:pPr>
      <w:r>
        <w:rPr>
          <w:rFonts w:hint="eastAsia"/>
          <w:b/>
          <w:bCs/>
          <w:color w:val="auto"/>
          <w:sz w:val="21"/>
          <w:szCs w:val="21"/>
          <w:highlight w:val="none"/>
          <w:lang w:eastAsia="zh-CN"/>
        </w:rPr>
        <w:t>后勤智慧餐厅与仓储管理系统</w:t>
      </w:r>
      <w:r>
        <w:rPr>
          <w:rFonts w:hint="eastAsia"/>
          <w:b/>
          <w:bCs/>
          <w:color w:val="auto"/>
          <w:sz w:val="21"/>
          <w:szCs w:val="21"/>
          <w:highlight w:val="none"/>
        </w:rPr>
        <w:t>政府采购合同</w:t>
      </w:r>
    </w:p>
    <w:p w14:paraId="634E9E43">
      <w:pPr>
        <w:spacing w:line="288" w:lineRule="auto"/>
        <w:rPr>
          <w:rFonts w:hint="eastAsia"/>
          <w:color w:val="auto"/>
          <w:spacing w:val="-6"/>
          <w:sz w:val="21"/>
          <w:szCs w:val="21"/>
          <w:highlight w:val="none"/>
        </w:rPr>
      </w:pPr>
    </w:p>
    <w:p w14:paraId="50E15CC3">
      <w:pPr>
        <w:spacing w:line="288" w:lineRule="auto"/>
        <w:rPr>
          <w:color w:val="auto"/>
          <w:spacing w:val="-6"/>
          <w:sz w:val="21"/>
          <w:szCs w:val="21"/>
          <w:highlight w:val="none"/>
        </w:rPr>
      </w:pPr>
      <w:r>
        <w:rPr>
          <w:rFonts w:hint="eastAsia"/>
          <w:color w:val="auto"/>
          <w:spacing w:val="-6"/>
          <w:sz w:val="21"/>
          <w:szCs w:val="21"/>
          <w:highlight w:val="none"/>
        </w:rPr>
        <w:t>确认书编号：</w:t>
      </w:r>
      <w:r>
        <w:rPr>
          <w:rFonts w:hint="eastAsia"/>
          <w:color w:val="auto"/>
          <w:spacing w:val="-6"/>
          <w:sz w:val="21"/>
          <w:szCs w:val="21"/>
          <w:highlight w:val="none"/>
          <w:u w:val="single"/>
          <w:lang w:eastAsia="zh-CN"/>
        </w:rPr>
        <w:t>[2025]40987号</w:t>
      </w:r>
      <w:r>
        <w:rPr>
          <w:rFonts w:hint="eastAsia"/>
          <w:color w:val="auto"/>
          <w:spacing w:val="-6"/>
          <w:sz w:val="21"/>
          <w:szCs w:val="21"/>
          <w:highlight w:val="none"/>
          <w:u w:val="single"/>
        </w:rPr>
        <w:t xml:space="preserve">  </w:t>
      </w:r>
      <w:r>
        <w:rPr>
          <w:rFonts w:hint="eastAsia"/>
          <w:color w:val="auto"/>
          <w:spacing w:val="-6"/>
          <w:sz w:val="21"/>
          <w:szCs w:val="21"/>
          <w:highlight w:val="none"/>
        </w:rPr>
        <w:t xml:space="preserve"> 合同编号</w:t>
      </w:r>
    </w:p>
    <w:p w14:paraId="70A5006D">
      <w:pPr>
        <w:spacing w:line="288" w:lineRule="auto"/>
        <w:rPr>
          <w:color w:val="auto"/>
          <w:spacing w:val="-6"/>
          <w:sz w:val="21"/>
          <w:szCs w:val="21"/>
          <w:highlight w:val="none"/>
          <w:u w:val="single"/>
        </w:rPr>
      </w:pPr>
      <w:r>
        <w:rPr>
          <w:rFonts w:hint="eastAsia"/>
          <w:color w:val="auto"/>
          <w:spacing w:val="-6"/>
          <w:sz w:val="21"/>
          <w:szCs w:val="21"/>
          <w:highlight w:val="none"/>
        </w:rPr>
        <w:t xml:space="preserve">甲方（需方）： </w:t>
      </w:r>
      <w:r>
        <w:rPr>
          <w:rFonts w:hint="eastAsia"/>
          <w:color w:val="auto"/>
          <w:spacing w:val="-6"/>
          <w:sz w:val="21"/>
          <w:szCs w:val="21"/>
          <w:highlight w:val="none"/>
          <w:u w:val="single"/>
        </w:rPr>
        <w:t xml:space="preserve">      浙江树人学院       </w:t>
      </w:r>
    </w:p>
    <w:p w14:paraId="6ACACBB8">
      <w:pPr>
        <w:snapToGrid w:val="0"/>
        <w:spacing w:line="288" w:lineRule="auto"/>
        <w:rPr>
          <w:color w:val="auto"/>
          <w:spacing w:val="-6"/>
          <w:sz w:val="21"/>
          <w:szCs w:val="21"/>
          <w:highlight w:val="none"/>
          <w:u w:val="single"/>
        </w:rPr>
      </w:pPr>
      <w:r>
        <w:rPr>
          <w:rFonts w:hint="eastAsia"/>
          <w:color w:val="auto"/>
          <w:spacing w:val="-6"/>
          <w:sz w:val="21"/>
          <w:szCs w:val="21"/>
          <w:highlight w:val="none"/>
        </w:rPr>
        <w:t xml:space="preserve">乙方（供方）： </w:t>
      </w:r>
      <w:r>
        <w:rPr>
          <w:rFonts w:hint="eastAsia"/>
          <w:color w:val="auto"/>
          <w:spacing w:val="-6"/>
          <w:sz w:val="21"/>
          <w:szCs w:val="21"/>
          <w:highlight w:val="none"/>
          <w:u w:val="single"/>
        </w:rPr>
        <w:t xml:space="preserve">                          </w:t>
      </w:r>
    </w:p>
    <w:p w14:paraId="0B47CA05">
      <w:pPr>
        <w:spacing w:line="288" w:lineRule="auto"/>
        <w:rPr>
          <w:color w:val="auto"/>
          <w:spacing w:val="-6"/>
          <w:sz w:val="21"/>
          <w:szCs w:val="21"/>
          <w:highlight w:val="none"/>
        </w:rPr>
      </w:pPr>
      <w:r>
        <w:rPr>
          <w:rFonts w:hint="eastAsia"/>
          <w:color w:val="auto"/>
          <w:spacing w:val="-6"/>
          <w:sz w:val="21"/>
          <w:szCs w:val="21"/>
          <w:highlight w:val="none"/>
        </w:rPr>
        <w:t>采购代理机构：浙江求是招标代理有限公司</w:t>
      </w:r>
    </w:p>
    <w:p w14:paraId="2DDFB1D5">
      <w:pPr>
        <w:spacing w:line="288" w:lineRule="auto"/>
        <w:rPr>
          <w:color w:val="auto"/>
          <w:spacing w:val="-6"/>
          <w:sz w:val="21"/>
          <w:szCs w:val="21"/>
          <w:highlight w:val="none"/>
        </w:rPr>
      </w:pPr>
      <w:r>
        <w:rPr>
          <w:rFonts w:hint="eastAsia"/>
          <w:color w:val="auto"/>
          <w:spacing w:val="-6"/>
          <w:sz w:val="21"/>
          <w:szCs w:val="21"/>
          <w:highlight w:val="none"/>
        </w:rPr>
        <w:t>签约时间、地点：年  月   日，</w:t>
      </w:r>
      <w:r>
        <w:rPr>
          <w:rFonts w:hint="eastAsia"/>
          <w:color w:val="auto"/>
          <w:spacing w:val="-6"/>
          <w:sz w:val="21"/>
          <w:szCs w:val="21"/>
          <w:highlight w:val="none"/>
          <w:u w:val="single"/>
        </w:rPr>
        <w:t>杭州</w:t>
      </w:r>
    </w:p>
    <w:p w14:paraId="0C51A97B">
      <w:pPr>
        <w:spacing w:line="288" w:lineRule="auto"/>
        <w:rPr>
          <w:color w:val="auto"/>
          <w:spacing w:val="-6"/>
          <w:sz w:val="21"/>
          <w:szCs w:val="21"/>
          <w:highlight w:val="none"/>
          <w:lang w:bidi="ar"/>
        </w:rPr>
      </w:pPr>
      <w:r>
        <w:rPr>
          <w:rFonts w:hint="eastAsia"/>
          <w:b/>
          <w:bCs/>
          <w:color w:val="auto"/>
          <w:spacing w:val="-6"/>
          <w:sz w:val="21"/>
          <w:szCs w:val="21"/>
          <w:highlight w:val="none"/>
        </w:rPr>
        <w:t>政策落实</w:t>
      </w:r>
      <w:r>
        <w:rPr>
          <w:rFonts w:hint="eastAsia"/>
          <w:color w:val="auto"/>
          <w:spacing w:val="-6"/>
          <w:sz w:val="21"/>
          <w:szCs w:val="21"/>
          <w:highlight w:val="none"/>
        </w:rPr>
        <w:t>：</w:t>
      </w:r>
      <w:r>
        <w:rPr>
          <w:rFonts w:hint="eastAsia"/>
          <w:b/>
          <w:bCs/>
          <w:color w:val="auto"/>
          <w:spacing w:val="-6"/>
          <w:sz w:val="21"/>
          <w:szCs w:val="21"/>
          <w:highlight w:val="none"/>
          <w:lang w:bidi="ar"/>
        </w:rPr>
        <w:t>根据《关于印发中小企业划型标准规定的通知》（工信部联企业〔2011〕300号）中的中小微型划分标准，乙方为</w:t>
      </w:r>
      <w:r>
        <w:rPr>
          <w:rFonts w:hint="eastAsia"/>
          <w:b/>
          <w:bCs/>
          <w:color w:val="auto"/>
          <w:spacing w:val="-6"/>
          <w:sz w:val="21"/>
          <w:szCs w:val="21"/>
          <w:highlight w:val="none"/>
          <w:u w:val="single"/>
          <w:lang w:bidi="ar"/>
        </w:rPr>
        <w:t xml:space="preserve">    </w:t>
      </w:r>
      <w:r>
        <w:rPr>
          <w:rFonts w:hint="eastAsia"/>
          <w:b/>
          <w:bCs/>
          <w:color w:val="auto"/>
          <w:spacing w:val="-6"/>
          <w:sz w:val="21"/>
          <w:szCs w:val="21"/>
          <w:highlight w:val="none"/>
          <w:lang w:bidi="ar"/>
        </w:rPr>
        <w:t>型企业，</w:t>
      </w:r>
      <w:r>
        <w:rPr>
          <w:rFonts w:hint="eastAsia"/>
          <w:color w:val="auto"/>
          <w:spacing w:val="-6"/>
          <w:sz w:val="21"/>
          <w:szCs w:val="21"/>
          <w:highlight w:val="none"/>
          <w:u w:val="single"/>
        </w:rPr>
        <w:t>（企业类型：</w:t>
      </w:r>
      <w:r>
        <w:rPr>
          <w:rFonts w:hint="eastAsia"/>
          <w:color w:val="auto"/>
          <w:sz w:val="21"/>
          <w:szCs w:val="21"/>
          <w:highlight w:val="none"/>
          <w:u w:val="single"/>
        </w:rPr>
        <w:sym w:font="Wingdings 2" w:char="00A3"/>
      </w:r>
      <w:r>
        <w:rPr>
          <w:rFonts w:hint="eastAsia"/>
          <w:color w:val="auto"/>
          <w:sz w:val="21"/>
          <w:szCs w:val="21"/>
          <w:highlight w:val="none"/>
          <w:u w:val="single"/>
        </w:rPr>
        <w:t>大型</w:t>
      </w:r>
      <w:r>
        <w:rPr>
          <w:rFonts w:hint="eastAsia"/>
          <w:color w:val="auto"/>
          <w:sz w:val="21"/>
          <w:szCs w:val="21"/>
          <w:highlight w:val="none"/>
          <w:u w:val="single"/>
        </w:rPr>
        <w:sym w:font="Wingdings 2" w:char="00A3"/>
      </w:r>
      <w:r>
        <w:rPr>
          <w:rFonts w:hint="eastAsia"/>
          <w:color w:val="auto"/>
          <w:sz w:val="21"/>
          <w:szCs w:val="21"/>
          <w:highlight w:val="none"/>
          <w:u w:val="single"/>
        </w:rPr>
        <w:t>中型</w:t>
      </w:r>
      <w:r>
        <w:rPr>
          <w:rFonts w:hint="eastAsia"/>
          <w:color w:val="auto"/>
          <w:sz w:val="21"/>
          <w:szCs w:val="21"/>
          <w:highlight w:val="none"/>
          <w:u w:val="single"/>
        </w:rPr>
        <w:sym w:font="Wingdings 2" w:char="00A3"/>
      </w:r>
      <w:r>
        <w:rPr>
          <w:rFonts w:hint="eastAsia"/>
          <w:color w:val="auto"/>
          <w:sz w:val="21"/>
          <w:szCs w:val="21"/>
          <w:highlight w:val="none"/>
          <w:u w:val="single"/>
        </w:rPr>
        <w:t>小微型</w:t>
      </w:r>
      <w:r>
        <w:rPr>
          <w:rFonts w:hint="eastAsia"/>
          <w:color w:val="auto"/>
          <w:spacing w:val="-6"/>
          <w:sz w:val="21"/>
          <w:szCs w:val="21"/>
          <w:highlight w:val="none"/>
          <w:u w:val="single"/>
        </w:rPr>
        <w:t>）</w:t>
      </w:r>
      <w:r>
        <w:rPr>
          <w:rFonts w:hint="eastAsia"/>
          <w:b/>
          <w:bCs/>
          <w:color w:val="auto"/>
          <w:spacing w:val="-6"/>
          <w:sz w:val="21"/>
          <w:szCs w:val="21"/>
          <w:highlight w:val="none"/>
          <w:lang w:bidi="ar"/>
        </w:rPr>
        <w:t>。</w:t>
      </w:r>
    </w:p>
    <w:p w14:paraId="1281CB7D">
      <w:pPr>
        <w:pStyle w:val="7"/>
        <w:spacing w:line="288" w:lineRule="auto"/>
        <w:rPr>
          <w:rFonts w:hAnsi="宋体" w:cs="宋体"/>
          <w:color w:val="auto"/>
          <w:sz w:val="21"/>
          <w:szCs w:val="21"/>
          <w:highlight w:val="none"/>
        </w:rPr>
      </w:pPr>
    </w:p>
    <w:p w14:paraId="0B67510B">
      <w:pPr>
        <w:pStyle w:val="65"/>
        <w:adjustRightInd w:val="0"/>
        <w:snapToGrid w:val="0"/>
        <w:spacing w:line="288" w:lineRule="auto"/>
        <w:ind w:firstLine="396" w:firstLineChars="200"/>
        <w:rPr>
          <w:rFonts w:ascii="宋体" w:hAnsi="宋体" w:eastAsia="宋体" w:cs="宋体"/>
          <w:color w:val="auto"/>
          <w:highlight w:val="none"/>
          <w:lang w:val="zh-TW" w:eastAsia="zh-TW"/>
        </w:rPr>
      </w:pPr>
      <w:r>
        <w:rPr>
          <w:rFonts w:hint="eastAsia" w:ascii="宋体" w:hAnsi="宋体" w:eastAsia="宋体" w:cs="宋体"/>
          <w:color w:val="auto"/>
          <w:spacing w:val="-6"/>
          <w:highlight w:val="none"/>
          <w:u w:val="single"/>
        </w:rPr>
        <w:t>浙江求是招标代理有限公司</w:t>
      </w:r>
      <w:r>
        <w:rPr>
          <w:rFonts w:hint="eastAsia" w:ascii="宋体" w:hAnsi="宋体" w:eastAsia="宋体" w:cs="宋体"/>
          <w:color w:val="auto"/>
          <w:spacing w:val="-6"/>
          <w:highlight w:val="none"/>
        </w:rPr>
        <w:t>受浙江树人学院委托，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u w:val="single"/>
          <w:lang w:eastAsia="zh-CN"/>
        </w:rPr>
        <w:t>后勤智慧餐厅与仓储管理系统</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（采购编号：</w:t>
      </w:r>
      <w:r>
        <w:rPr>
          <w:rFonts w:hint="eastAsia" w:ascii="宋体" w:hAnsi="宋体" w:eastAsia="宋体" w:cs="宋体"/>
          <w:color w:val="auto"/>
          <w:spacing w:val="-6"/>
          <w:highlight w:val="none"/>
          <w:lang w:eastAsia="zh-CN"/>
        </w:rPr>
        <w:t>QSZBB250106ZHCS</w:t>
      </w:r>
      <w:r>
        <w:rPr>
          <w:rFonts w:hint="eastAsia" w:ascii="宋体" w:hAnsi="宋体" w:eastAsia="宋体" w:cs="宋体"/>
          <w:color w:val="auto"/>
          <w:spacing w:val="-6"/>
          <w:highlight w:val="none"/>
        </w:rPr>
        <w:t xml:space="preserve"> ）项目经</w:t>
      </w:r>
      <w:r>
        <w:rPr>
          <w:rFonts w:hint="eastAsia" w:ascii="宋体" w:hAnsi="宋体" w:eastAsia="宋体" w:cs="宋体"/>
          <w:color w:val="auto"/>
          <w:spacing w:val="-6"/>
          <w:highlight w:val="none"/>
          <w:u w:val="single"/>
        </w:rPr>
        <w:t xml:space="preserve"> 竞争性磋商 </w:t>
      </w:r>
      <w:r>
        <w:rPr>
          <w:rFonts w:hint="eastAsia" w:ascii="宋体" w:hAnsi="宋体" w:eastAsia="宋体" w:cs="宋体"/>
          <w:color w:val="auto"/>
          <w:spacing w:val="-6"/>
          <w:highlight w:val="none"/>
        </w:rPr>
        <w:t>，确定</w:t>
      </w:r>
      <w:r>
        <w:rPr>
          <w:rFonts w:hint="eastAsia" w:ascii="宋体" w:hAnsi="宋体" w:eastAsia="宋体" w:cs="宋体"/>
          <w:color w:val="auto"/>
          <w:spacing w:val="-6"/>
          <w:highlight w:val="none"/>
          <w:u w:val="single"/>
        </w:rPr>
        <w:t xml:space="preserve">   （供应商名称）</w:t>
      </w:r>
      <w:r>
        <w:rPr>
          <w:rFonts w:hint="eastAsia" w:ascii="宋体" w:hAnsi="宋体" w:eastAsia="宋体" w:cs="宋体"/>
          <w:color w:val="auto"/>
          <w:spacing w:val="-6"/>
          <w:highlight w:val="none"/>
        </w:rPr>
        <w:t>为供货单位。依据《中华人民共和国民法典》及相关法律法规，本着相互合作、互利互惠的原则，经充分协商，订立本合同。</w:t>
      </w:r>
      <w:r>
        <w:rPr>
          <w:rFonts w:hint="eastAsia" w:ascii="宋体" w:hAnsi="宋体" w:eastAsia="宋体" w:cs="宋体"/>
          <w:color w:val="auto"/>
          <w:highlight w:val="none"/>
          <w:lang w:val="zh-TW" w:eastAsia="zh-TW"/>
        </w:rPr>
        <w:t>下列文件构成本合同的组成部分，应该认为是一个整体，彼此相互解释，相互补充。</w:t>
      </w:r>
      <w:r>
        <w:rPr>
          <w:rFonts w:hint="eastAsia" w:ascii="宋体" w:hAnsi="宋体" w:eastAsia="宋体" w:cs="宋体"/>
          <w:color w:val="auto"/>
          <w:highlight w:val="none"/>
        </w:rPr>
        <w:t>这些文件包括但不限于：</w:t>
      </w:r>
    </w:p>
    <w:p w14:paraId="55D87612">
      <w:pPr>
        <w:pStyle w:val="65"/>
        <w:adjustRightInd w:val="0"/>
        <w:snapToGrid w:val="0"/>
        <w:spacing w:line="288"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TW" w:eastAsia="zh-TW"/>
        </w:rPr>
        <w:t>本合同协议书</w:t>
      </w:r>
    </w:p>
    <w:p w14:paraId="20BE8BA2">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2、成交</w:t>
      </w:r>
      <w:r>
        <w:rPr>
          <w:rFonts w:hint="eastAsia" w:ascii="宋体" w:hAnsi="宋体" w:eastAsia="宋体" w:cs="宋体"/>
          <w:color w:val="auto"/>
          <w:highlight w:val="none"/>
          <w:lang w:val="zh-TW" w:eastAsia="zh-TW"/>
        </w:rPr>
        <w:t>通知书</w:t>
      </w:r>
    </w:p>
    <w:p w14:paraId="0A8A1774">
      <w:pPr>
        <w:pStyle w:val="65"/>
        <w:adjustRightInd w:val="0"/>
        <w:snapToGrid w:val="0"/>
        <w:spacing w:line="288" w:lineRule="auto"/>
        <w:ind w:firstLine="420" w:firstLineChars="200"/>
        <w:rPr>
          <w:rFonts w:ascii="宋体" w:hAnsi="宋体" w:eastAsia="宋体" w:cs="宋体"/>
          <w:color w:val="auto"/>
          <w:highlight w:val="none"/>
          <w:lang w:val="zh-TW" w:eastAsia="zh-TW"/>
        </w:rPr>
      </w:pPr>
      <w:r>
        <w:rPr>
          <w:rFonts w:hint="eastAsia" w:ascii="宋体" w:hAnsi="宋体" w:eastAsia="宋体" w:cs="宋体"/>
          <w:color w:val="auto"/>
          <w:highlight w:val="none"/>
        </w:rPr>
        <w:t>3、磋商响应</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rPr>
        <w:t>磋商承诺</w:t>
      </w:r>
      <w:r>
        <w:rPr>
          <w:rFonts w:hint="eastAsia" w:ascii="宋体" w:hAnsi="宋体" w:eastAsia="宋体" w:cs="宋体"/>
          <w:color w:val="auto"/>
          <w:highlight w:val="none"/>
          <w:lang w:val="zh-TW" w:eastAsia="zh-TW"/>
        </w:rPr>
        <w:t>文件）</w:t>
      </w:r>
    </w:p>
    <w:p w14:paraId="02347457">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4、竞争性磋商</w:t>
      </w:r>
      <w:r>
        <w:rPr>
          <w:rFonts w:hint="eastAsia" w:ascii="宋体" w:hAnsi="宋体" w:eastAsia="宋体" w:cs="宋体"/>
          <w:color w:val="auto"/>
          <w:highlight w:val="none"/>
          <w:lang w:val="zh-TW" w:eastAsia="zh-TW"/>
        </w:rPr>
        <w:t>文件（含</w:t>
      </w:r>
      <w:r>
        <w:rPr>
          <w:rFonts w:hint="eastAsia" w:ascii="宋体" w:hAnsi="宋体" w:eastAsia="宋体" w:cs="宋体"/>
          <w:color w:val="auto"/>
          <w:highlight w:val="none"/>
          <w:lang w:val="zh-TW"/>
        </w:rPr>
        <w:t>采购</w:t>
      </w:r>
      <w:r>
        <w:rPr>
          <w:rFonts w:hint="eastAsia" w:ascii="宋体" w:hAnsi="宋体" w:eastAsia="宋体" w:cs="宋体"/>
          <w:color w:val="auto"/>
          <w:highlight w:val="none"/>
          <w:lang w:val="zh-TW" w:eastAsia="zh-TW"/>
        </w:rPr>
        <w:t>文件补充）</w:t>
      </w:r>
    </w:p>
    <w:p w14:paraId="7DBAF389">
      <w:pPr>
        <w:pStyle w:val="65"/>
        <w:adjustRightInd w:val="0"/>
        <w:snapToGrid w:val="0"/>
        <w:spacing w:line="288" w:lineRule="auto"/>
        <w:ind w:firstLine="42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zh-TW" w:eastAsia="zh-TW"/>
        </w:rPr>
        <w:t>其他合同文件</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06F1C3C3">
      <w:pPr>
        <w:pStyle w:val="65"/>
        <w:adjustRightInd w:val="0"/>
        <w:snapToGri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上述各项合同文件包括合同当事人就该项合同文件所作出的补充和修改，属于同一类内容的文件，应以最新签署的为准。</w:t>
      </w:r>
    </w:p>
    <w:p w14:paraId="69DDF05B">
      <w:pPr>
        <w:spacing w:line="288" w:lineRule="auto"/>
        <w:rPr>
          <w:b/>
          <w:color w:val="auto"/>
          <w:spacing w:val="-6"/>
          <w:sz w:val="21"/>
          <w:szCs w:val="21"/>
          <w:highlight w:val="none"/>
        </w:rPr>
      </w:pPr>
      <w:r>
        <w:rPr>
          <w:rFonts w:hint="eastAsia"/>
          <w:b/>
          <w:color w:val="auto"/>
          <w:spacing w:val="-6"/>
          <w:sz w:val="21"/>
          <w:szCs w:val="21"/>
          <w:highlight w:val="none"/>
        </w:rPr>
        <w:t>第一条：采购商品清单及合同价格</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79"/>
        <w:gridCol w:w="1481"/>
        <w:gridCol w:w="856"/>
        <w:gridCol w:w="704"/>
        <w:gridCol w:w="927"/>
        <w:gridCol w:w="1065"/>
        <w:gridCol w:w="2138"/>
      </w:tblGrid>
      <w:tr w14:paraId="6DD5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96" w:type="pct"/>
            <w:tcBorders>
              <w:top w:val="single" w:color="auto" w:sz="4" w:space="0"/>
              <w:left w:val="single" w:color="auto" w:sz="4" w:space="0"/>
              <w:bottom w:val="single" w:color="auto" w:sz="4" w:space="0"/>
              <w:right w:val="single" w:color="auto" w:sz="4" w:space="0"/>
            </w:tcBorders>
            <w:vAlign w:val="center"/>
          </w:tcPr>
          <w:p w14:paraId="66E45D3E">
            <w:pPr>
              <w:spacing w:line="288" w:lineRule="auto"/>
              <w:jc w:val="center"/>
              <w:rPr>
                <w:color w:val="auto"/>
                <w:spacing w:val="-6"/>
                <w:sz w:val="21"/>
                <w:szCs w:val="21"/>
                <w:highlight w:val="none"/>
              </w:rPr>
            </w:pPr>
            <w:r>
              <w:rPr>
                <w:rFonts w:hint="eastAsia"/>
                <w:color w:val="auto"/>
                <w:spacing w:val="-6"/>
                <w:sz w:val="21"/>
                <w:szCs w:val="21"/>
                <w:highlight w:val="none"/>
              </w:rPr>
              <w:t>序号</w:t>
            </w:r>
          </w:p>
        </w:tc>
        <w:tc>
          <w:tcPr>
            <w:tcW w:w="873" w:type="pct"/>
            <w:tcBorders>
              <w:top w:val="single" w:color="auto" w:sz="4" w:space="0"/>
              <w:left w:val="nil"/>
              <w:bottom w:val="single" w:color="auto" w:sz="4" w:space="0"/>
              <w:right w:val="single" w:color="auto" w:sz="4" w:space="0"/>
            </w:tcBorders>
            <w:vAlign w:val="center"/>
          </w:tcPr>
          <w:p w14:paraId="6F171C50">
            <w:pPr>
              <w:spacing w:line="288" w:lineRule="auto"/>
              <w:jc w:val="center"/>
              <w:rPr>
                <w:color w:val="auto"/>
                <w:spacing w:val="-6"/>
                <w:sz w:val="21"/>
                <w:szCs w:val="21"/>
                <w:highlight w:val="none"/>
              </w:rPr>
            </w:pPr>
            <w:r>
              <w:rPr>
                <w:rFonts w:hint="eastAsia"/>
                <w:color w:val="auto"/>
                <w:spacing w:val="-6"/>
                <w:sz w:val="21"/>
                <w:szCs w:val="21"/>
                <w:highlight w:val="none"/>
              </w:rPr>
              <w:t>货物名称</w:t>
            </w:r>
          </w:p>
        </w:tc>
        <w:tc>
          <w:tcPr>
            <w:tcW w:w="770" w:type="pct"/>
            <w:tcBorders>
              <w:top w:val="single" w:color="auto" w:sz="4" w:space="0"/>
              <w:left w:val="nil"/>
              <w:bottom w:val="single" w:color="auto" w:sz="4" w:space="0"/>
              <w:right w:val="single" w:color="auto" w:sz="4" w:space="0"/>
            </w:tcBorders>
            <w:vAlign w:val="center"/>
          </w:tcPr>
          <w:p w14:paraId="2953F773">
            <w:pPr>
              <w:spacing w:line="288" w:lineRule="auto"/>
              <w:jc w:val="center"/>
              <w:rPr>
                <w:color w:val="auto"/>
                <w:spacing w:val="-6"/>
                <w:sz w:val="21"/>
                <w:szCs w:val="21"/>
                <w:highlight w:val="none"/>
              </w:rPr>
            </w:pPr>
            <w:r>
              <w:rPr>
                <w:rFonts w:hint="eastAsia"/>
                <w:color w:val="auto"/>
                <w:spacing w:val="-6"/>
                <w:sz w:val="21"/>
                <w:szCs w:val="21"/>
                <w:highlight w:val="none"/>
              </w:rPr>
              <w:t>规格型号</w:t>
            </w:r>
          </w:p>
        </w:tc>
        <w:tc>
          <w:tcPr>
            <w:tcW w:w="445" w:type="pct"/>
            <w:tcBorders>
              <w:top w:val="single" w:color="auto" w:sz="4" w:space="0"/>
              <w:left w:val="nil"/>
              <w:bottom w:val="single" w:color="auto" w:sz="4" w:space="0"/>
              <w:right w:val="single" w:color="auto" w:sz="4" w:space="0"/>
            </w:tcBorders>
            <w:vAlign w:val="center"/>
          </w:tcPr>
          <w:p w14:paraId="0CC146B4">
            <w:pPr>
              <w:spacing w:line="288" w:lineRule="auto"/>
              <w:jc w:val="center"/>
              <w:rPr>
                <w:color w:val="auto"/>
                <w:spacing w:val="-6"/>
                <w:sz w:val="21"/>
                <w:szCs w:val="21"/>
                <w:highlight w:val="none"/>
              </w:rPr>
            </w:pPr>
            <w:r>
              <w:rPr>
                <w:rFonts w:hint="eastAsia"/>
                <w:color w:val="auto"/>
                <w:spacing w:val="-6"/>
                <w:sz w:val="21"/>
                <w:szCs w:val="21"/>
                <w:highlight w:val="none"/>
              </w:rPr>
              <w:t>数量</w:t>
            </w:r>
          </w:p>
        </w:tc>
        <w:tc>
          <w:tcPr>
            <w:tcW w:w="366" w:type="pct"/>
            <w:tcBorders>
              <w:top w:val="single" w:color="auto" w:sz="4" w:space="0"/>
              <w:left w:val="nil"/>
              <w:bottom w:val="single" w:color="auto" w:sz="4" w:space="0"/>
              <w:right w:val="single" w:color="auto" w:sz="4" w:space="0"/>
            </w:tcBorders>
            <w:vAlign w:val="center"/>
          </w:tcPr>
          <w:p w14:paraId="50E06151">
            <w:pPr>
              <w:spacing w:line="288" w:lineRule="auto"/>
              <w:jc w:val="center"/>
              <w:rPr>
                <w:color w:val="auto"/>
                <w:spacing w:val="-6"/>
                <w:sz w:val="21"/>
                <w:szCs w:val="21"/>
                <w:highlight w:val="none"/>
              </w:rPr>
            </w:pPr>
            <w:r>
              <w:rPr>
                <w:rFonts w:hint="eastAsia"/>
                <w:color w:val="auto"/>
                <w:spacing w:val="-6"/>
                <w:sz w:val="21"/>
                <w:szCs w:val="21"/>
                <w:highlight w:val="none"/>
              </w:rPr>
              <w:t>单位</w:t>
            </w:r>
          </w:p>
        </w:tc>
        <w:tc>
          <w:tcPr>
            <w:tcW w:w="481" w:type="pct"/>
            <w:tcBorders>
              <w:top w:val="single" w:color="auto" w:sz="4" w:space="0"/>
              <w:left w:val="nil"/>
              <w:bottom w:val="single" w:color="auto" w:sz="4" w:space="0"/>
              <w:right w:val="single" w:color="auto" w:sz="4" w:space="0"/>
            </w:tcBorders>
            <w:vAlign w:val="center"/>
          </w:tcPr>
          <w:p w14:paraId="5565ED93">
            <w:pPr>
              <w:spacing w:line="288" w:lineRule="auto"/>
              <w:jc w:val="center"/>
              <w:rPr>
                <w:color w:val="auto"/>
                <w:spacing w:val="-6"/>
                <w:sz w:val="21"/>
                <w:szCs w:val="21"/>
                <w:highlight w:val="none"/>
              </w:rPr>
            </w:pPr>
            <w:r>
              <w:rPr>
                <w:rFonts w:hint="eastAsia"/>
                <w:color w:val="auto"/>
                <w:spacing w:val="-6"/>
                <w:sz w:val="21"/>
                <w:szCs w:val="21"/>
                <w:highlight w:val="none"/>
              </w:rPr>
              <w:t>单价</w:t>
            </w:r>
          </w:p>
        </w:tc>
        <w:tc>
          <w:tcPr>
            <w:tcW w:w="554" w:type="pct"/>
            <w:tcBorders>
              <w:top w:val="single" w:color="auto" w:sz="4" w:space="0"/>
              <w:left w:val="nil"/>
              <w:bottom w:val="single" w:color="auto" w:sz="4" w:space="0"/>
              <w:right w:val="single" w:color="auto" w:sz="4" w:space="0"/>
            </w:tcBorders>
            <w:vAlign w:val="center"/>
          </w:tcPr>
          <w:p w14:paraId="721EBAA6">
            <w:pPr>
              <w:spacing w:line="288" w:lineRule="auto"/>
              <w:jc w:val="center"/>
              <w:rPr>
                <w:color w:val="auto"/>
                <w:spacing w:val="-6"/>
                <w:sz w:val="21"/>
                <w:szCs w:val="21"/>
                <w:highlight w:val="none"/>
              </w:rPr>
            </w:pPr>
            <w:r>
              <w:rPr>
                <w:rFonts w:hint="eastAsia"/>
                <w:color w:val="auto"/>
                <w:spacing w:val="-6"/>
                <w:sz w:val="21"/>
                <w:szCs w:val="21"/>
                <w:highlight w:val="none"/>
              </w:rPr>
              <w:t>金额</w:t>
            </w:r>
          </w:p>
        </w:tc>
        <w:tc>
          <w:tcPr>
            <w:tcW w:w="1112" w:type="pct"/>
            <w:tcBorders>
              <w:top w:val="single" w:color="auto" w:sz="4" w:space="0"/>
              <w:left w:val="nil"/>
              <w:bottom w:val="single" w:color="auto" w:sz="4" w:space="0"/>
              <w:right w:val="single" w:color="auto" w:sz="4" w:space="0"/>
            </w:tcBorders>
            <w:vAlign w:val="center"/>
          </w:tcPr>
          <w:p w14:paraId="415FE390">
            <w:pPr>
              <w:spacing w:line="288" w:lineRule="auto"/>
              <w:jc w:val="center"/>
              <w:rPr>
                <w:color w:val="auto"/>
                <w:spacing w:val="-6"/>
                <w:sz w:val="21"/>
                <w:szCs w:val="21"/>
                <w:highlight w:val="none"/>
              </w:rPr>
            </w:pPr>
            <w:r>
              <w:rPr>
                <w:rFonts w:hint="eastAsia"/>
                <w:color w:val="auto"/>
                <w:spacing w:val="-6"/>
                <w:sz w:val="21"/>
                <w:szCs w:val="21"/>
                <w:highlight w:val="none"/>
              </w:rPr>
              <w:t>生产厂家</w:t>
            </w:r>
          </w:p>
        </w:tc>
      </w:tr>
      <w:tr w14:paraId="4B38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611AAF91">
            <w:pPr>
              <w:spacing w:line="288" w:lineRule="auto"/>
              <w:jc w:val="center"/>
              <w:rPr>
                <w:color w:val="auto"/>
                <w:spacing w:val="-6"/>
                <w:sz w:val="21"/>
                <w:szCs w:val="21"/>
                <w:highlight w:val="none"/>
              </w:rPr>
            </w:pPr>
            <w:r>
              <w:rPr>
                <w:rFonts w:hint="eastAsia"/>
                <w:color w:val="auto"/>
                <w:spacing w:val="-6"/>
                <w:sz w:val="21"/>
                <w:szCs w:val="21"/>
                <w:highlight w:val="none"/>
              </w:rPr>
              <w:t>1</w:t>
            </w:r>
          </w:p>
        </w:tc>
        <w:tc>
          <w:tcPr>
            <w:tcW w:w="873" w:type="pct"/>
            <w:tcBorders>
              <w:top w:val="single" w:color="auto" w:sz="4" w:space="0"/>
              <w:left w:val="nil"/>
              <w:bottom w:val="single" w:color="auto" w:sz="4" w:space="0"/>
              <w:right w:val="single" w:color="auto" w:sz="4" w:space="0"/>
            </w:tcBorders>
            <w:vAlign w:val="center"/>
          </w:tcPr>
          <w:p w14:paraId="0D417BE6">
            <w:pPr>
              <w:spacing w:line="288" w:lineRule="auto"/>
              <w:rPr>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016BFF74">
            <w:pPr>
              <w:spacing w:line="288" w:lineRule="auto"/>
              <w:rPr>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3A6238B6">
            <w:pPr>
              <w:spacing w:line="288" w:lineRule="auto"/>
              <w:rPr>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42B8FB1B">
            <w:pPr>
              <w:spacing w:line="288" w:lineRule="auto"/>
              <w:jc w:val="center"/>
              <w:rPr>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493903E0">
            <w:pPr>
              <w:spacing w:line="288" w:lineRule="auto"/>
              <w:rPr>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7B4F82C2">
            <w:pPr>
              <w:spacing w:line="288" w:lineRule="auto"/>
              <w:rPr>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0A858F40">
            <w:pPr>
              <w:spacing w:line="288" w:lineRule="auto"/>
              <w:rPr>
                <w:color w:val="auto"/>
                <w:spacing w:val="-6"/>
                <w:sz w:val="21"/>
                <w:szCs w:val="21"/>
                <w:highlight w:val="none"/>
              </w:rPr>
            </w:pPr>
          </w:p>
        </w:tc>
      </w:tr>
      <w:tr w14:paraId="6E2F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225A35C4">
            <w:pPr>
              <w:spacing w:line="288" w:lineRule="auto"/>
              <w:jc w:val="center"/>
              <w:rPr>
                <w:color w:val="auto"/>
                <w:spacing w:val="-6"/>
                <w:sz w:val="21"/>
                <w:szCs w:val="21"/>
                <w:highlight w:val="none"/>
              </w:rPr>
            </w:pPr>
            <w:r>
              <w:rPr>
                <w:rFonts w:hint="eastAsia"/>
                <w:color w:val="auto"/>
                <w:spacing w:val="-6"/>
                <w:sz w:val="21"/>
                <w:szCs w:val="21"/>
                <w:highlight w:val="none"/>
              </w:rPr>
              <w:t>2</w:t>
            </w:r>
          </w:p>
        </w:tc>
        <w:tc>
          <w:tcPr>
            <w:tcW w:w="873" w:type="pct"/>
            <w:tcBorders>
              <w:top w:val="single" w:color="auto" w:sz="4" w:space="0"/>
              <w:left w:val="nil"/>
              <w:bottom w:val="single" w:color="auto" w:sz="4" w:space="0"/>
              <w:right w:val="single" w:color="auto" w:sz="4" w:space="0"/>
            </w:tcBorders>
            <w:vAlign w:val="center"/>
          </w:tcPr>
          <w:p w14:paraId="5590A19F">
            <w:pPr>
              <w:spacing w:line="288" w:lineRule="auto"/>
              <w:rPr>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211F91DF">
            <w:pPr>
              <w:spacing w:line="288" w:lineRule="auto"/>
              <w:rPr>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5F23CC32">
            <w:pPr>
              <w:spacing w:line="288" w:lineRule="auto"/>
              <w:rPr>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3B65C4AC">
            <w:pPr>
              <w:spacing w:line="288" w:lineRule="auto"/>
              <w:jc w:val="center"/>
              <w:rPr>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5A3F76F3">
            <w:pPr>
              <w:spacing w:line="288" w:lineRule="auto"/>
              <w:rPr>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0811A1FE">
            <w:pPr>
              <w:spacing w:line="288" w:lineRule="auto"/>
              <w:rPr>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7E4B1671">
            <w:pPr>
              <w:spacing w:line="288" w:lineRule="auto"/>
              <w:rPr>
                <w:color w:val="auto"/>
                <w:spacing w:val="-6"/>
                <w:sz w:val="21"/>
                <w:szCs w:val="21"/>
                <w:highlight w:val="none"/>
              </w:rPr>
            </w:pPr>
          </w:p>
        </w:tc>
      </w:tr>
      <w:tr w14:paraId="44E4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96" w:type="pct"/>
            <w:tcBorders>
              <w:top w:val="single" w:color="auto" w:sz="4" w:space="0"/>
              <w:left w:val="single" w:color="auto" w:sz="4" w:space="0"/>
              <w:bottom w:val="single" w:color="auto" w:sz="4" w:space="0"/>
              <w:right w:val="single" w:color="auto" w:sz="4" w:space="0"/>
            </w:tcBorders>
            <w:vAlign w:val="center"/>
          </w:tcPr>
          <w:p w14:paraId="44022367">
            <w:pPr>
              <w:spacing w:line="288" w:lineRule="auto"/>
              <w:jc w:val="center"/>
              <w:rPr>
                <w:color w:val="auto"/>
                <w:spacing w:val="-6"/>
                <w:sz w:val="21"/>
                <w:szCs w:val="21"/>
                <w:highlight w:val="none"/>
              </w:rPr>
            </w:pPr>
            <w:r>
              <w:rPr>
                <w:rFonts w:hint="eastAsia"/>
                <w:color w:val="auto"/>
                <w:spacing w:val="-6"/>
                <w:sz w:val="21"/>
                <w:szCs w:val="21"/>
                <w:highlight w:val="none"/>
              </w:rPr>
              <w:t>3</w:t>
            </w:r>
          </w:p>
        </w:tc>
        <w:tc>
          <w:tcPr>
            <w:tcW w:w="873" w:type="pct"/>
            <w:tcBorders>
              <w:top w:val="single" w:color="auto" w:sz="4" w:space="0"/>
              <w:left w:val="nil"/>
              <w:bottom w:val="single" w:color="auto" w:sz="4" w:space="0"/>
              <w:right w:val="single" w:color="auto" w:sz="4" w:space="0"/>
            </w:tcBorders>
            <w:vAlign w:val="center"/>
          </w:tcPr>
          <w:p w14:paraId="7A8E16A6">
            <w:pPr>
              <w:spacing w:line="288" w:lineRule="auto"/>
              <w:rPr>
                <w:color w:val="auto"/>
                <w:spacing w:val="-6"/>
                <w:sz w:val="21"/>
                <w:szCs w:val="21"/>
                <w:highlight w:val="none"/>
              </w:rPr>
            </w:pPr>
          </w:p>
        </w:tc>
        <w:tc>
          <w:tcPr>
            <w:tcW w:w="770" w:type="pct"/>
            <w:tcBorders>
              <w:top w:val="single" w:color="auto" w:sz="4" w:space="0"/>
              <w:left w:val="nil"/>
              <w:bottom w:val="single" w:color="auto" w:sz="4" w:space="0"/>
              <w:right w:val="single" w:color="auto" w:sz="4" w:space="0"/>
            </w:tcBorders>
            <w:vAlign w:val="center"/>
          </w:tcPr>
          <w:p w14:paraId="7343BDAF">
            <w:pPr>
              <w:spacing w:line="288" w:lineRule="auto"/>
              <w:rPr>
                <w:color w:val="auto"/>
                <w:spacing w:val="-6"/>
                <w:sz w:val="21"/>
                <w:szCs w:val="21"/>
                <w:highlight w:val="none"/>
              </w:rPr>
            </w:pPr>
          </w:p>
        </w:tc>
        <w:tc>
          <w:tcPr>
            <w:tcW w:w="445" w:type="pct"/>
            <w:tcBorders>
              <w:top w:val="single" w:color="auto" w:sz="4" w:space="0"/>
              <w:left w:val="nil"/>
              <w:bottom w:val="single" w:color="auto" w:sz="4" w:space="0"/>
              <w:right w:val="single" w:color="auto" w:sz="4" w:space="0"/>
            </w:tcBorders>
            <w:vAlign w:val="center"/>
          </w:tcPr>
          <w:p w14:paraId="0C746447">
            <w:pPr>
              <w:spacing w:line="288" w:lineRule="auto"/>
              <w:rPr>
                <w:color w:val="auto"/>
                <w:spacing w:val="-6"/>
                <w:sz w:val="21"/>
                <w:szCs w:val="21"/>
                <w:highlight w:val="none"/>
              </w:rPr>
            </w:pPr>
          </w:p>
        </w:tc>
        <w:tc>
          <w:tcPr>
            <w:tcW w:w="366" w:type="pct"/>
            <w:tcBorders>
              <w:top w:val="single" w:color="auto" w:sz="4" w:space="0"/>
              <w:left w:val="nil"/>
              <w:bottom w:val="single" w:color="auto" w:sz="4" w:space="0"/>
              <w:right w:val="single" w:color="auto" w:sz="4" w:space="0"/>
            </w:tcBorders>
            <w:vAlign w:val="center"/>
          </w:tcPr>
          <w:p w14:paraId="3C456E63">
            <w:pPr>
              <w:spacing w:line="288" w:lineRule="auto"/>
              <w:jc w:val="left"/>
              <w:rPr>
                <w:color w:val="auto"/>
                <w:spacing w:val="-6"/>
                <w:sz w:val="21"/>
                <w:szCs w:val="21"/>
                <w:highlight w:val="none"/>
              </w:rPr>
            </w:pPr>
          </w:p>
        </w:tc>
        <w:tc>
          <w:tcPr>
            <w:tcW w:w="481" w:type="pct"/>
            <w:tcBorders>
              <w:top w:val="single" w:color="auto" w:sz="4" w:space="0"/>
              <w:left w:val="nil"/>
              <w:bottom w:val="single" w:color="auto" w:sz="4" w:space="0"/>
              <w:right w:val="single" w:color="auto" w:sz="4" w:space="0"/>
            </w:tcBorders>
            <w:vAlign w:val="center"/>
          </w:tcPr>
          <w:p w14:paraId="4E4CDBC5">
            <w:pPr>
              <w:spacing w:line="288" w:lineRule="auto"/>
              <w:rPr>
                <w:color w:val="auto"/>
                <w:spacing w:val="-6"/>
                <w:sz w:val="21"/>
                <w:szCs w:val="21"/>
                <w:highlight w:val="none"/>
              </w:rPr>
            </w:pPr>
          </w:p>
        </w:tc>
        <w:tc>
          <w:tcPr>
            <w:tcW w:w="554" w:type="pct"/>
            <w:tcBorders>
              <w:top w:val="single" w:color="auto" w:sz="4" w:space="0"/>
              <w:left w:val="nil"/>
              <w:bottom w:val="single" w:color="auto" w:sz="4" w:space="0"/>
              <w:right w:val="single" w:color="auto" w:sz="4" w:space="0"/>
            </w:tcBorders>
            <w:vAlign w:val="center"/>
          </w:tcPr>
          <w:p w14:paraId="3C433D37">
            <w:pPr>
              <w:spacing w:line="288" w:lineRule="auto"/>
              <w:rPr>
                <w:color w:val="auto"/>
                <w:spacing w:val="-6"/>
                <w:sz w:val="21"/>
                <w:szCs w:val="21"/>
                <w:highlight w:val="none"/>
              </w:rPr>
            </w:pPr>
          </w:p>
        </w:tc>
        <w:tc>
          <w:tcPr>
            <w:tcW w:w="1112" w:type="pct"/>
            <w:tcBorders>
              <w:top w:val="single" w:color="auto" w:sz="4" w:space="0"/>
              <w:left w:val="nil"/>
              <w:bottom w:val="single" w:color="auto" w:sz="4" w:space="0"/>
              <w:right w:val="single" w:color="auto" w:sz="4" w:space="0"/>
            </w:tcBorders>
            <w:vAlign w:val="center"/>
          </w:tcPr>
          <w:p w14:paraId="03BF7817">
            <w:pPr>
              <w:spacing w:line="288" w:lineRule="auto"/>
              <w:rPr>
                <w:color w:val="auto"/>
                <w:spacing w:val="-6"/>
                <w:sz w:val="21"/>
                <w:szCs w:val="21"/>
                <w:highlight w:val="none"/>
              </w:rPr>
            </w:pPr>
          </w:p>
        </w:tc>
      </w:tr>
      <w:tr w14:paraId="32E9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69" w:type="pct"/>
            <w:gridSpan w:val="2"/>
            <w:tcBorders>
              <w:top w:val="single" w:color="auto" w:sz="4" w:space="0"/>
              <w:left w:val="single" w:color="auto" w:sz="4" w:space="0"/>
              <w:bottom w:val="single" w:color="auto" w:sz="4" w:space="0"/>
              <w:right w:val="single" w:color="auto" w:sz="4" w:space="0"/>
            </w:tcBorders>
            <w:vAlign w:val="center"/>
          </w:tcPr>
          <w:p w14:paraId="54ECA8D9">
            <w:pPr>
              <w:spacing w:line="288" w:lineRule="auto"/>
              <w:jc w:val="center"/>
              <w:rPr>
                <w:color w:val="auto"/>
                <w:spacing w:val="-6"/>
                <w:sz w:val="21"/>
                <w:szCs w:val="21"/>
                <w:highlight w:val="none"/>
              </w:rPr>
            </w:pPr>
            <w:r>
              <w:rPr>
                <w:rFonts w:hint="eastAsia"/>
                <w:color w:val="auto"/>
                <w:spacing w:val="-6"/>
                <w:sz w:val="21"/>
                <w:szCs w:val="21"/>
                <w:highlight w:val="none"/>
              </w:rPr>
              <w:t>合同总价（人民币大写）</w:t>
            </w:r>
          </w:p>
        </w:tc>
        <w:tc>
          <w:tcPr>
            <w:tcW w:w="2063" w:type="pct"/>
            <w:gridSpan w:val="4"/>
            <w:tcBorders>
              <w:top w:val="single" w:color="auto" w:sz="4" w:space="0"/>
              <w:left w:val="nil"/>
              <w:bottom w:val="single" w:color="auto" w:sz="4" w:space="0"/>
              <w:right w:val="single" w:color="auto" w:sz="4" w:space="0"/>
            </w:tcBorders>
          </w:tcPr>
          <w:p w14:paraId="62AD33A4">
            <w:pPr>
              <w:spacing w:line="288" w:lineRule="auto"/>
              <w:rPr>
                <w:color w:val="auto"/>
                <w:spacing w:val="-6"/>
                <w:sz w:val="21"/>
                <w:szCs w:val="21"/>
                <w:highlight w:val="none"/>
              </w:rPr>
            </w:pPr>
          </w:p>
        </w:tc>
        <w:tc>
          <w:tcPr>
            <w:tcW w:w="1666" w:type="pct"/>
            <w:gridSpan w:val="2"/>
            <w:tcBorders>
              <w:top w:val="single" w:color="auto" w:sz="4" w:space="0"/>
              <w:left w:val="nil"/>
              <w:bottom w:val="single" w:color="auto" w:sz="4" w:space="0"/>
              <w:right w:val="single" w:color="auto" w:sz="4" w:space="0"/>
            </w:tcBorders>
            <w:vAlign w:val="center"/>
          </w:tcPr>
          <w:p w14:paraId="7A160A3A">
            <w:pPr>
              <w:spacing w:line="288" w:lineRule="auto"/>
              <w:rPr>
                <w:color w:val="auto"/>
                <w:spacing w:val="-6"/>
                <w:sz w:val="21"/>
                <w:szCs w:val="21"/>
                <w:highlight w:val="none"/>
              </w:rPr>
            </w:pPr>
            <w:r>
              <w:rPr>
                <w:rFonts w:hint="eastAsia"/>
                <w:color w:val="auto"/>
                <w:spacing w:val="-6"/>
                <w:sz w:val="21"/>
                <w:szCs w:val="21"/>
                <w:highlight w:val="none"/>
              </w:rPr>
              <w:t>小写：</w:t>
            </w:r>
          </w:p>
        </w:tc>
      </w:tr>
    </w:tbl>
    <w:p w14:paraId="3C9D2E02">
      <w:pPr>
        <w:pStyle w:val="65"/>
        <w:adjustRightInd w:val="0"/>
        <w:spacing w:line="288" w:lineRule="auto"/>
        <w:rPr>
          <w:rFonts w:ascii="宋体" w:hAnsi="宋体" w:eastAsia="宋体" w:cs="宋体"/>
          <w:color w:val="auto"/>
          <w:highlight w:val="none"/>
        </w:rPr>
      </w:pPr>
      <w:r>
        <w:rPr>
          <w:rFonts w:hint="eastAsia" w:ascii="宋体" w:hAnsi="宋体" w:eastAsia="宋体" w:cs="宋体"/>
          <w:color w:val="auto"/>
          <w:highlight w:val="none"/>
        </w:rPr>
        <w:t>注：1、以上合同总价包括将货物运抵甲方指定地点的运费及安装调试、验收、培训等一切费用。</w:t>
      </w:r>
    </w:p>
    <w:p w14:paraId="2EF27E68">
      <w:pPr>
        <w:pStyle w:val="65"/>
        <w:adjustRightInd w:val="0"/>
        <w:spacing w:line="288" w:lineRule="auto"/>
        <w:rPr>
          <w:rFonts w:ascii="宋体" w:hAnsi="宋体" w:eastAsia="宋体" w:cs="宋体"/>
          <w:color w:val="auto"/>
          <w:spacing w:val="-6"/>
          <w:highlight w:val="none"/>
        </w:rPr>
      </w:pPr>
      <w:r>
        <w:rPr>
          <w:rFonts w:hint="eastAsia" w:ascii="宋体" w:hAnsi="宋体" w:eastAsia="宋体" w:cs="宋体"/>
          <w:color w:val="auto"/>
          <w:highlight w:val="none"/>
        </w:rPr>
        <w:t>2、技术参数另附（如有）。</w:t>
      </w:r>
    </w:p>
    <w:p w14:paraId="55CECABF">
      <w:pPr>
        <w:snapToGrid w:val="0"/>
        <w:spacing w:line="288" w:lineRule="auto"/>
        <w:ind w:firstLine="375"/>
        <w:rPr>
          <w:color w:val="auto"/>
          <w:spacing w:val="-6"/>
          <w:sz w:val="21"/>
          <w:szCs w:val="21"/>
          <w:highlight w:val="none"/>
        </w:rPr>
      </w:pPr>
    </w:p>
    <w:p w14:paraId="5726D212">
      <w:pPr>
        <w:snapToGrid w:val="0"/>
        <w:spacing w:line="288" w:lineRule="auto"/>
        <w:rPr>
          <w:b/>
          <w:color w:val="auto"/>
          <w:spacing w:val="-6"/>
          <w:sz w:val="21"/>
          <w:szCs w:val="21"/>
          <w:highlight w:val="none"/>
        </w:rPr>
      </w:pPr>
      <w:r>
        <w:rPr>
          <w:rFonts w:hint="eastAsia"/>
          <w:b/>
          <w:color w:val="auto"/>
          <w:spacing w:val="-6"/>
          <w:sz w:val="21"/>
          <w:szCs w:val="21"/>
          <w:highlight w:val="none"/>
        </w:rPr>
        <w:t>第二条：质量保证</w:t>
      </w:r>
    </w:p>
    <w:p w14:paraId="384EEAA5">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1、乙方应按采购文件规定的要求，向甲方提供符合技术规格和质量标准的原装合格产品。</w:t>
      </w:r>
    </w:p>
    <w:p w14:paraId="7730071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 xml:space="preserve">2、乙方为合同产品提供自验收合格起 </w:t>
      </w:r>
      <w:r>
        <w:rPr>
          <w:rFonts w:hint="eastAsia" w:ascii="宋体" w:hAnsi="宋体" w:eastAsia="宋体" w:cs="宋体"/>
          <w:color w:val="auto"/>
          <w:highlight w:val="none"/>
          <w:u w:val="single"/>
          <w:lang w:val="zh-TW" w:eastAsia="zh-TW"/>
        </w:rPr>
        <w:t xml:space="preserve">   </w:t>
      </w:r>
      <w:r>
        <w:rPr>
          <w:rFonts w:hint="eastAsia" w:ascii="宋体" w:hAnsi="宋体" w:eastAsia="宋体" w:cs="宋体"/>
          <w:color w:val="auto"/>
          <w:highlight w:val="none"/>
          <w:lang w:val="zh-TW" w:eastAsia="zh-TW"/>
        </w:rPr>
        <w:t>年的质保期。</w:t>
      </w:r>
    </w:p>
    <w:p w14:paraId="592D49C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3、乙方对质保期内合同产品出现的质量及安全问题负责处理解决，并承担一切费用。</w:t>
      </w:r>
    </w:p>
    <w:p w14:paraId="52457D8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4、合同产品在质保期内因产品本身的质量问题发生故障，乙方应负责免费更换。对经更换仍达不到技术要求者，可按以下办法处理（由甲方选择）：</w:t>
      </w:r>
    </w:p>
    <w:p w14:paraId="42721A2F">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⑴再次更换：由乙方承担所发生的全部费用。</w:t>
      </w:r>
    </w:p>
    <w:p w14:paraId="6D1C3C37">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⑵贬值处理：由甲乙双方合议定价（合议定价范围为原件的5%—50%）。</w:t>
      </w:r>
    </w:p>
    <w:p w14:paraId="604558F1">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⑶退货处理：乙方应退还甲方支付的合同款，同时应承担合同产品的直接费用（运输、保险、检验、货款利息及银行手续费等，其中银行利息按同期银行贷款利率的150%计算）。</w:t>
      </w:r>
    </w:p>
    <w:p w14:paraId="1536F1B2">
      <w:pPr>
        <w:snapToGrid w:val="0"/>
        <w:spacing w:line="288" w:lineRule="auto"/>
        <w:ind w:firstLine="396" w:firstLineChars="200"/>
        <w:rPr>
          <w:color w:val="auto"/>
          <w:spacing w:val="-6"/>
          <w:sz w:val="21"/>
          <w:szCs w:val="21"/>
          <w:highlight w:val="none"/>
        </w:rPr>
      </w:pPr>
    </w:p>
    <w:p w14:paraId="45BAE971">
      <w:pPr>
        <w:snapToGrid w:val="0"/>
        <w:spacing w:line="288" w:lineRule="auto"/>
        <w:rPr>
          <w:b/>
          <w:color w:val="auto"/>
          <w:spacing w:val="-6"/>
          <w:sz w:val="21"/>
          <w:szCs w:val="21"/>
          <w:highlight w:val="none"/>
        </w:rPr>
      </w:pPr>
      <w:r>
        <w:rPr>
          <w:rFonts w:hint="eastAsia"/>
          <w:b/>
          <w:color w:val="auto"/>
          <w:spacing w:val="-6"/>
          <w:sz w:val="21"/>
          <w:szCs w:val="21"/>
          <w:highlight w:val="none"/>
        </w:rPr>
        <w:t>第三条：技术资料</w:t>
      </w:r>
    </w:p>
    <w:p w14:paraId="5DD62A4D">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1、乙方应按采购文件规定的时间向甲方提供使用货物的全部技术资料。</w:t>
      </w:r>
    </w:p>
    <w:p w14:paraId="519736CC">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7DE68095">
      <w:pPr>
        <w:snapToGrid w:val="0"/>
        <w:spacing w:line="288" w:lineRule="auto"/>
        <w:ind w:firstLine="396" w:firstLineChars="200"/>
        <w:rPr>
          <w:color w:val="auto"/>
          <w:spacing w:val="-6"/>
          <w:sz w:val="21"/>
          <w:szCs w:val="21"/>
          <w:highlight w:val="none"/>
        </w:rPr>
      </w:pPr>
    </w:p>
    <w:p w14:paraId="1D4AB165">
      <w:pPr>
        <w:snapToGrid w:val="0"/>
        <w:spacing w:line="288" w:lineRule="auto"/>
        <w:ind w:left="340" w:hanging="340" w:hangingChars="171"/>
        <w:rPr>
          <w:b/>
          <w:color w:val="auto"/>
          <w:spacing w:val="-6"/>
          <w:sz w:val="21"/>
          <w:szCs w:val="21"/>
          <w:highlight w:val="none"/>
        </w:rPr>
      </w:pPr>
      <w:r>
        <w:rPr>
          <w:rFonts w:hint="eastAsia"/>
          <w:b/>
          <w:color w:val="auto"/>
          <w:spacing w:val="-6"/>
          <w:sz w:val="21"/>
          <w:szCs w:val="21"/>
          <w:highlight w:val="none"/>
        </w:rPr>
        <w:t>第四条：知识产权</w:t>
      </w:r>
    </w:p>
    <w:p w14:paraId="0184D2B3">
      <w:pPr>
        <w:pStyle w:val="65"/>
        <w:adjustRightInd w:val="0"/>
        <w:spacing w:line="288" w:lineRule="auto"/>
        <w:ind w:firstLine="420"/>
        <w:rPr>
          <w:rFonts w:ascii="宋体" w:hAnsi="宋体" w:eastAsia="宋体" w:cs="宋体"/>
          <w:color w:val="auto"/>
          <w:highlight w:val="none"/>
          <w:lang w:val="zh-TW" w:eastAsia="zh-TW"/>
        </w:rPr>
      </w:pPr>
      <w:r>
        <w:rPr>
          <w:rFonts w:hint="eastAsia" w:ascii="宋体" w:hAnsi="宋体" w:eastAsia="宋体" w:cs="宋体"/>
          <w:color w:val="auto"/>
          <w:highlight w:val="none"/>
          <w:lang w:val="zh-TW" w:eastAsia="zh-TW"/>
        </w:rPr>
        <w:t>乙方保证所提供的合同产品或其任何一部分均不会侵犯任何第三方的知识产权，如有侵犯知识产权情况发生，乙方应承担全部责任。</w:t>
      </w:r>
    </w:p>
    <w:p w14:paraId="4782F4A9">
      <w:pPr>
        <w:snapToGrid w:val="0"/>
        <w:spacing w:line="288" w:lineRule="auto"/>
        <w:ind w:firstLine="396" w:firstLineChars="200"/>
        <w:rPr>
          <w:color w:val="auto"/>
          <w:spacing w:val="-6"/>
          <w:sz w:val="21"/>
          <w:szCs w:val="21"/>
          <w:highlight w:val="none"/>
        </w:rPr>
      </w:pPr>
    </w:p>
    <w:p w14:paraId="158A7A0D">
      <w:pPr>
        <w:snapToGrid w:val="0"/>
        <w:spacing w:line="288" w:lineRule="auto"/>
        <w:rPr>
          <w:b/>
          <w:color w:val="auto"/>
          <w:spacing w:val="-6"/>
          <w:sz w:val="21"/>
          <w:szCs w:val="21"/>
          <w:highlight w:val="none"/>
        </w:rPr>
      </w:pPr>
      <w:r>
        <w:rPr>
          <w:rFonts w:hint="eastAsia"/>
          <w:b/>
          <w:color w:val="auto"/>
          <w:spacing w:val="-6"/>
          <w:sz w:val="21"/>
          <w:szCs w:val="21"/>
          <w:highlight w:val="none"/>
        </w:rPr>
        <w:t>第五条：交货时间、地点</w:t>
      </w:r>
    </w:p>
    <w:p w14:paraId="208BBB77">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乙方应于合同签订之日起</w:t>
      </w:r>
      <w:r>
        <w:rPr>
          <w:rFonts w:hint="eastAsia"/>
          <w:color w:val="auto"/>
          <w:spacing w:val="-6"/>
          <w:sz w:val="21"/>
          <w:szCs w:val="21"/>
          <w:highlight w:val="none"/>
          <w:u w:val="single"/>
        </w:rPr>
        <w:t xml:space="preserve">   </w:t>
      </w:r>
      <w:r>
        <w:rPr>
          <w:rFonts w:hint="eastAsia"/>
          <w:color w:val="auto"/>
          <w:spacing w:val="-6"/>
          <w:sz w:val="21"/>
          <w:szCs w:val="21"/>
          <w:highlight w:val="none"/>
        </w:rPr>
        <w:t>日内安装完毕并交付。</w:t>
      </w:r>
    </w:p>
    <w:p w14:paraId="3F210530">
      <w:pPr>
        <w:snapToGrid w:val="0"/>
        <w:spacing w:line="288" w:lineRule="auto"/>
        <w:ind w:firstLine="396" w:firstLineChars="200"/>
        <w:rPr>
          <w:color w:val="auto"/>
          <w:spacing w:val="-6"/>
          <w:sz w:val="21"/>
          <w:szCs w:val="21"/>
          <w:highlight w:val="none"/>
        </w:rPr>
      </w:pPr>
    </w:p>
    <w:p w14:paraId="02B67A1B">
      <w:pPr>
        <w:snapToGrid w:val="0"/>
        <w:spacing w:line="288" w:lineRule="auto"/>
        <w:rPr>
          <w:b/>
          <w:color w:val="auto"/>
          <w:spacing w:val="-6"/>
          <w:sz w:val="21"/>
          <w:szCs w:val="21"/>
          <w:highlight w:val="none"/>
        </w:rPr>
      </w:pPr>
      <w:r>
        <w:rPr>
          <w:rFonts w:hint="eastAsia"/>
          <w:b/>
          <w:color w:val="auto"/>
          <w:spacing w:val="-6"/>
          <w:sz w:val="21"/>
          <w:szCs w:val="21"/>
          <w:highlight w:val="none"/>
        </w:rPr>
        <w:t>第六条：售后服务</w:t>
      </w:r>
    </w:p>
    <w:p w14:paraId="7E692BBF">
      <w:pPr>
        <w:snapToGrid w:val="0"/>
        <w:spacing w:line="288" w:lineRule="auto"/>
        <w:ind w:firstLine="420"/>
        <w:rPr>
          <w:color w:val="auto"/>
          <w:spacing w:val="-6"/>
          <w:sz w:val="21"/>
          <w:szCs w:val="21"/>
          <w:highlight w:val="none"/>
        </w:rPr>
      </w:pPr>
      <w:r>
        <w:rPr>
          <w:rFonts w:hint="eastAsia"/>
          <w:color w:val="auto"/>
          <w:spacing w:val="-6"/>
          <w:sz w:val="21"/>
          <w:szCs w:val="21"/>
          <w:highlight w:val="none"/>
        </w:rPr>
        <w:t>1、合同产品自验收合格后起免费保修</w:t>
      </w:r>
      <w:r>
        <w:rPr>
          <w:rFonts w:hint="eastAsia"/>
          <w:color w:val="auto"/>
          <w:spacing w:val="-6"/>
          <w:sz w:val="21"/>
          <w:szCs w:val="21"/>
          <w:highlight w:val="none"/>
          <w:u w:val="single"/>
        </w:rPr>
        <w:t xml:space="preserve">   </w:t>
      </w:r>
      <w:r>
        <w:rPr>
          <w:rFonts w:hint="eastAsia"/>
          <w:color w:val="auto"/>
          <w:spacing w:val="-6"/>
          <w:sz w:val="21"/>
          <w:szCs w:val="21"/>
          <w:highlight w:val="none"/>
        </w:rPr>
        <w:t>年。保修期内出现无法排除的故障，乙方需无条件为甲方更换同型号产品。超过保修期的合同产品，乙方提供终生维修，维修时只收部件（材料）成本费。</w:t>
      </w:r>
    </w:p>
    <w:p w14:paraId="46701AB7">
      <w:pPr>
        <w:snapToGrid w:val="0"/>
        <w:spacing w:line="288" w:lineRule="auto"/>
        <w:ind w:firstLine="420"/>
        <w:rPr>
          <w:color w:val="auto"/>
          <w:spacing w:val="-6"/>
          <w:sz w:val="21"/>
          <w:szCs w:val="21"/>
          <w:highlight w:val="none"/>
        </w:rPr>
      </w:pPr>
      <w:r>
        <w:rPr>
          <w:rFonts w:hint="eastAsia"/>
          <w:color w:val="auto"/>
          <w:spacing w:val="-6"/>
          <w:sz w:val="21"/>
          <w:szCs w:val="21"/>
          <w:highlight w:val="none"/>
        </w:rPr>
        <w:t>2、因人为因素出现的故障不在免费保修范围内，乙方同意为甲方进行维修并收取适当的维修费用。</w:t>
      </w:r>
    </w:p>
    <w:p w14:paraId="49E9DEDE">
      <w:pPr>
        <w:snapToGrid w:val="0"/>
        <w:spacing w:line="288" w:lineRule="auto"/>
        <w:ind w:firstLine="420"/>
        <w:rPr>
          <w:color w:val="auto"/>
          <w:spacing w:val="-6"/>
          <w:sz w:val="21"/>
          <w:szCs w:val="21"/>
          <w:highlight w:val="none"/>
        </w:rPr>
      </w:pPr>
      <w:r>
        <w:rPr>
          <w:rFonts w:hint="eastAsia"/>
          <w:color w:val="auto"/>
          <w:spacing w:val="-6"/>
          <w:sz w:val="21"/>
          <w:szCs w:val="21"/>
          <w:highlight w:val="none"/>
        </w:rPr>
        <w:t>3、维修响应时间：</w:t>
      </w:r>
      <w:r>
        <w:rPr>
          <w:rFonts w:hint="eastAsia"/>
          <w:color w:val="auto"/>
          <w:spacing w:val="-6"/>
          <w:sz w:val="21"/>
          <w:szCs w:val="21"/>
          <w:highlight w:val="none"/>
          <w:u w:val="single"/>
        </w:rPr>
        <w:t xml:space="preserve">   </w:t>
      </w:r>
      <w:r>
        <w:rPr>
          <w:rFonts w:hint="eastAsia"/>
          <w:color w:val="auto"/>
          <w:spacing w:val="-6"/>
          <w:sz w:val="21"/>
          <w:szCs w:val="21"/>
          <w:highlight w:val="none"/>
        </w:rPr>
        <w:t>小时以内，电话技术支持；若需上门维修，则</w:t>
      </w:r>
      <w:r>
        <w:rPr>
          <w:rFonts w:hint="eastAsia"/>
          <w:color w:val="auto"/>
          <w:spacing w:val="-6"/>
          <w:sz w:val="21"/>
          <w:szCs w:val="21"/>
          <w:highlight w:val="none"/>
          <w:u w:val="single"/>
        </w:rPr>
        <w:t xml:space="preserve">   </w:t>
      </w:r>
      <w:r>
        <w:rPr>
          <w:rFonts w:hint="eastAsia"/>
          <w:color w:val="auto"/>
          <w:spacing w:val="-6"/>
          <w:sz w:val="21"/>
          <w:szCs w:val="21"/>
          <w:highlight w:val="none"/>
        </w:rPr>
        <w:t>小时内到达现场并进行维修；</w:t>
      </w:r>
      <w:r>
        <w:rPr>
          <w:rFonts w:hint="eastAsia"/>
          <w:color w:val="auto"/>
          <w:spacing w:val="-6"/>
          <w:sz w:val="21"/>
          <w:szCs w:val="21"/>
          <w:highlight w:val="none"/>
          <w:u w:val="single"/>
        </w:rPr>
        <w:t xml:space="preserve">   </w:t>
      </w:r>
      <w:r>
        <w:rPr>
          <w:rFonts w:hint="eastAsia"/>
          <w:color w:val="auto"/>
          <w:spacing w:val="-6"/>
          <w:sz w:val="21"/>
          <w:szCs w:val="21"/>
          <w:highlight w:val="none"/>
        </w:rPr>
        <w:t>小时内无法修复完成的设备，乙方提供同类型的备用设备以保障学校工作的开展。</w:t>
      </w:r>
    </w:p>
    <w:p w14:paraId="28F3C165">
      <w:pPr>
        <w:snapToGrid w:val="0"/>
        <w:spacing w:line="288" w:lineRule="auto"/>
        <w:ind w:firstLine="420"/>
        <w:rPr>
          <w:color w:val="auto"/>
          <w:spacing w:val="-6"/>
          <w:sz w:val="21"/>
          <w:szCs w:val="21"/>
          <w:highlight w:val="none"/>
        </w:rPr>
      </w:pPr>
      <w:r>
        <w:rPr>
          <w:rFonts w:hint="eastAsia"/>
          <w:color w:val="auto"/>
          <w:spacing w:val="-6"/>
          <w:sz w:val="21"/>
          <w:szCs w:val="21"/>
          <w:highlight w:val="none"/>
        </w:rPr>
        <w:t>4、人员培训：乙方承诺提供人次的免费培训（包括非杭州地区培训的交通费、住宿费等）工作。</w:t>
      </w:r>
    </w:p>
    <w:p w14:paraId="088D5B93">
      <w:pPr>
        <w:snapToGrid w:val="0"/>
        <w:spacing w:line="288" w:lineRule="auto"/>
        <w:ind w:firstLine="420"/>
        <w:rPr>
          <w:color w:val="auto"/>
          <w:spacing w:val="-6"/>
          <w:sz w:val="21"/>
          <w:szCs w:val="21"/>
          <w:highlight w:val="none"/>
        </w:rPr>
      </w:pPr>
    </w:p>
    <w:p w14:paraId="731D8491">
      <w:pPr>
        <w:snapToGrid w:val="0"/>
        <w:spacing w:line="288" w:lineRule="auto"/>
        <w:rPr>
          <w:b/>
          <w:color w:val="auto"/>
          <w:spacing w:val="-6"/>
          <w:sz w:val="21"/>
          <w:szCs w:val="21"/>
          <w:highlight w:val="none"/>
        </w:rPr>
      </w:pPr>
      <w:r>
        <w:rPr>
          <w:rFonts w:hint="eastAsia"/>
          <w:b/>
          <w:color w:val="auto"/>
          <w:spacing w:val="-6"/>
          <w:sz w:val="21"/>
          <w:szCs w:val="21"/>
          <w:highlight w:val="none"/>
        </w:rPr>
        <w:t>第七条：调试与验收</w:t>
      </w:r>
    </w:p>
    <w:p w14:paraId="0B9BE00C">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1、甲方对乙方提交的合同产品依据采购文件上的技术规格要求和国家有关质量标准进行现场签收活动：外观、说明书符合采购文件技术要求的，给予签收，不合格的不予签收。</w:t>
      </w:r>
    </w:p>
    <w:p w14:paraId="37CF107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2、乙方交货前应对合同产品作出全面检查，对验收文件进行整理并列出清单，作为甲方收货验收和使用的技术条件依据。</w:t>
      </w:r>
    </w:p>
    <w:p w14:paraId="3A71ED1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3、甲方对乙方提供的合同产品在进行调试时，乙方需负责安装并培训甲方的使用操作人员，并协助甲方一起调试，直到符合技术要求，甲方才做最终验收。</w:t>
      </w:r>
    </w:p>
    <w:p w14:paraId="46586342">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4、对技术复杂的货物，双方同意请法定的专业检测机构参与验收，并由其出具质量检测报告。</w:t>
      </w:r>
    </w:p>
    <w:p w14:paraId="2E17924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5、验收时乙方必须在现场。</w:t>
      </w:r>
    </w:p>
    <w:p w14:paraId="0C18855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出现重大质量问题分歧时，甲、乙双方同意提请国家法定检测机构进行检测（对检测机构无法经协商达成一致时，由甲方单方委托、乙方给予配合&lt;如提供必要的文件、资料等&gt;；就检测机构的选任进行协商的期限为自出现重大质量问题分歧之日起的三个工作日），检测结果证明产品无质量问题，由甲方承担检测费用并接收合同产品；检测结果证明产品有质量问题，由乙方承担检测费用，并同意甲方无条件退货，同时支付甲方货款总价10％的赔偿金。</w:t>
      </w:r>
    </w:p>
    <w:p w14:paraId="3FB01360">
      <w:pPr>
        <w:snapToGrid w:val="0"/>
        <w:spacing w:line="288" w:lineRule="auto"/>
        <w:ind w:firstLine="398" w:firstLineChars="200"/>
        <w:rPr>
          <w:b/>
          <w:color w:val="auto"/>
          <w:spacing w:val="-6"/>
          <w:sz w:val="21"/>
          <w:szCs w:val="21"/>
          <w:highlight w:val="none"/>
        </w:rPr>
      </w:pPr>
      <w:r>
        <w:rPr>
          <w:rFonts w:hint="eastAsia"/>
          <w:b/>
          <w:color w:val="auto"/>
          <w:spacing w:val="-6"/>
          <w:sz w:val="21"/>
          <w:szCs w:val="21"/>
          <w:highlight w:val="none"/>
        </w:rPr>
        <w:t>7、乙方在合同履行中造成的人员伤亡及财产损失，由乙方自行承担。</w:t>
      </w:r>
    </w:p>
    <w:p w14:paraId="31AE3AA6">
      <w:pPr>
        <w:snapToGrid w:val="0"/>
        <w:spacing w:line="288" w:lineRule="auto"/>
        <w:ind w:firstLine="396" w:firstLineChars="200"/>
        <w:rPr>
          <w:color w:val="auto"/>
          <w:spacing w:val="-6"/>
          <w:sz w:val="21"/>
          <w:szCs w:val="21"/>
          <w:highlight w:val="none"/>
        </w:rPr>
      </w:pPr>
    </w:p>
    <w:p w14:paraId="035E933F">
      <w:pPr>
        <w:snapToGrid w:val="0"/>
        <w:spacing w:line="288" w:lineRule="auto"/>
        <w:rPr>
          <w:b/>
          <w:color w:val="auto"/>
          <w:spacing w:val="-6"/>
          <w:sz w:val="21"/>
          <w:szCs w:val="21"/>
          <w:highlight w:val="none"/>
        </w:rPr>
      </w:pPr>
      <w:r>
        <w:rPr>
          <w:rFonts w:hint="eastAsia"/>
          <w:b/>
          <w:color w:val="auto"/>
          <w:spacing w:val="-6"/>
          <w:sz w:val="21"/>
          <w:szCs w:val="21"/>
          <w:highlight w:val="none"/>
        </w:rPr>
        <w:t>第八条：货款的支付</w:t>
      </w:r>
    </w:p>
    <w:p w14:paraId="6F8349A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签订时，乙方向甲方提交合同总价1%的履约保证金，履约保证金在合同履约期间无违约情形的，项目履约完成后，于一周内退还（不计息）；提交方式：支票、汇票、本票或金融机构、担保机构出具的保函等非现金形式。</w:t>
      </w:r>
    </w:p>
    <w:p w14:paraId="748283B5">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2、乙方为中小企业的，合同生效以及具备实施条件后7个工作日内，且乙方已向甲方提交银行、保险公司等金融机构出具的预付款保函的，甲方向乙方支付合同总价的40%；项目履约完成，经甲方验收合格后，收到发票后7个工作日内，甲方向乙方支付合同总价的60%。</w:t>
      </w:r>
    </w:p>
    <w:p w14:paraId="47597DB0">
      <w:pPr>
        <w:adjustRightInd w:val="0"/>
        <w:snapToGrid w:val="0"/>
        <w:spacing w:line="288" w:lineRule="auto"/>
        <w:ind w:firstLine="396" w:firstLineChars="200"/>
        <w:rPr>
          <w:rFonts w:hint="eastAsia"/>
          <w:color w:val="auto"/>
          <w:spacing w:val="-6"/>
          <w:sz w:val="21"/>
          <w:szCs w:val="21"/>
          <w:highlight w:val="none"/>
        </w:rPr>
      </w:pPr>
      <w:r>
        <w:rPr>
          <w:rFonts w:hint="eastAsia"/>
          <w:color w:val="auto"/>
          <w:spacing w:val="-6"/>
          <w:sz w:val="21"/>
          <w:szCs w:val="21"/>
          <w:highlight w:val="none"/>
        </w:rPr>
        <w:t>乙方为大型企业的，项目履约完成，经甲方验收合格后，收到发票后7个工作日内，甲方向乙方支付合同总价的100%。</w:t>
      </w:r>
    </w:p>
    <w:p w14:paraId="0AD5D3A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在签订合同时，乙方明确表示无需预付款或者主动要求降低预付款比例的，可降低预付款比例（预付款保函同步调整）。</w:t>
      </w:r>
    </w:p>
    <w:p w14:paraId="6F2BE905">
      <w:pPr>
        <w:snapToGrid w:val="0"/>
        <w:spacing w:line="288" w:lineRule="auto"/>
        <w:ind w:firstLine="396" w:firstLineChars="200"/>
        <w:rPr>
          <w:color w:val="auto"/>
          <w:spacing w:val="-6"/>
          <w:sz w:val="21"/>
          <w:szCs w:val="21"/>
          <w:highlight w:val="none"/>
        </w:rPr>
      </w:pPr>
    </w:p>
    <w:p w14:paraId="0443DB9C">
      <w:pPr>
        <w:snapToGrid w:val="0"/>
        <w:spacing w:line="288" w:lineRule="auto"/>
        <w:rPr>
          <w:b/>
          <w:color w:val="auto"/>
          <w:spacing w:val="-6"/>
          <w:sz w:val="21"/>
          <w:szCs w:val="21"/>
          <w:highlight w:val="none"/>
        </w:rPr>
      </w:pPr>
      <w:r>
        <w:rPr>
          <w:rFonts w:hint="eastAsia"/>
          <w:b/>
          <w:color w:val="auto"/>
          <w:spacing w:val="-6"/>
          <w:sz w:val="21"/>
          <w:szCs w:val="21"/>
          <w:highlight w:val="none"/>
        </w:rPr>
        <w:t>第九条：违约责任</w:t>
      </w:r>
    </w:p>
    <w:p w14:paraId="40F859BB">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1、甲方逾期支付货款的，自逾期之日起，向乙方每日偿付未付价款万分之二点一的滞纳金。</w:t>
      </w:r>
    </w:p>
    <w:p w14:paraId="705E9A7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2、乙方逾期履行合同的，自逾期之日起，向甲方每日偿付合同总价万分之二点一的滞纳金；逾期个月，乙方需支付合同总额20%作为违约金，同时甲方有权要求终止合同。</w:t>
      </w:r>
    </w:p>
    <w:p w14:paraId="22DE855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B23A6EB">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乙方所供合同产品不能达到质量功能要求无法通过验收，应在甲方规定的时间内进行整改，经整改后在学校二次验收中继续无法通过，合同产品由乙方在验收后一周内运离安装地点，所需费用由乙方承担。如乙方在一个月内不处理合同产品，视为放弃该产品，甲方有权自行处置。同时，乙方要支付给甲方总货款的20％作为违约赔偿金。</w:t>
      </w:r>
    </w:p>
    <w:p w14:paraId="7415EBC5">
      <w:pPr>
        <w:snapToGrid w:val="0"/>
        <w:spacing w:line="288" w:lineRule="auto"/>
        <w:ind w:firstLine="396" w:firstLineChars="200"/>
        <w:rPr>
          <w:color w:val="auto"/>
          <w:spacing w:val="-6"/>
          <w:sz w:val="21"/>
          <w:szCs w:val="21"/>
          <w:highlight w:val="none"/>
        </w:rPr>
      </w:pPr>
    </w:p>
    <w:p w14:paraId="09C77898">
      <w:pPr>
        <w:snapToGrid w:val="0"/>
        <w:spacing w:line="288" w:lineRule="auto"/>
        <w:rPr>
          <w:b/>
          <w:color w:val="auto"/>
          <w:spacing w:val="-6"/>
          <w:sz w:val="21"/>
          <w:szCs w:val="21"/>
          <w:highlight w:val="none"/>
        </w:rPr>
      </w:pPr>
      <w:r>
        <w:rPr>
          <w:rFonts w:hint="eastAsia"/>
          <w:b/>
          <w:color w:val="auto"/>
          <w:spacing w:val="-6"/>
          <w:sz w:val="21"/>
          <w:szCs w:val="21"/>
          <w:highlight w:val="none"/>
        </w:rPr>
        <w:t>第十条：不可抗力事件处理</w:t>
      </w:r>
    </w:p>
    <w:p w14:paraId="27C956DA">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1、在合同有效期内，任何一方因不可抗力事件导致不能履行合同，则合同履行期可延长，其延长期与不可抗力影响期相同。</w:t>
      </w:r>
    </w:p>
    <w:p w14:paraId="5A4CEF54">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2、不可抗力事件发生后，应立即通知对方，并寄送有关权威机构出具的证明。</w:t>
      </w:r>
    </w:p>
    <w:p w14:paraId="6B93E7D3">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3、不可抗力事件延续120天以上，双方通过友好协商，确定是否继续履行合同。</w:t>
      </w:r>
    </w:p>
    <w:p w14:paraId="39BF11C6">
      <w:pPr>
        <w:snapToGrid w:val="0"/>
        <w:spacing w:line="288" w:lineRule="auto"/>
        <w:ind w:firstLine="396" w:firstLineChars="200"/>
        <w:rPr>
          <w:color w:val="auto"/>
          <w:spacing w:val="-6"/>
          <w:sz w:val="21"/>
          <w:szCs w:val="21"/>
          <w:highlight w:val="none"/>
        </w:rPr>
      </w:pPr>
    </w:p>
    <w:p w14:paraId="052BC827">
      <w:pPr>
        <w:snapToGrid w:val="0"/>
        <w:spacing w:line="288" w:lineRule="auto"/>
        <w:rPr>
          <w:b/>
          <w:color w:val="auto"/>
          <w:spacing w:val="-6"/>
          <w:sz w:val="21"/>
          <w:szCs w:val="21"/>
          <w:highlight w:val="none"/>
        </w:rPr>
      </w:pPr>
      <w:r>
        <w:rPr>
          <w:rFonts w:hint="eastAsia"/>
          <w:b/>
          <w:color w:val="auto"/>
          <w:spacing w:val="-6"/>
          <w:sz w:val="21"/>
          <w:szCs w:val="21"/>
          <w:highlight w:val="none"/>
        </w:rPr>
        <w:t>第十一条：争议解决</w:t>
      </w:r>
    </w:p>
    <w:p w14:paraId="0E7E2B4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本合同未尽事宜由三方协商解决，如协商不成，三方同意将本合同引起的争议提交甲方所在地法院解决。</w:t>
      </w:r>
    </w:p>
    <w:p w14:paraId="57366CCA">
      <w:pPr>
        <w:snapToGrid w:val="0"/>
        <w:spacing w:line="288" w:lineRule="auto"/>
        <w:ind w:firstLine="396" w:firstLineChars="200"/>
        <w:rPr>
          <w:color w:val="auto"/>
          <w:spacing w:val="-6"/>
          <w:sz w:val="21"/>
          <w:szCs w:val="21"/>
          <w:highlight w:val="none"/>
        </w:rPr>
      </w:pPr>
    </w:p>
    <w:p w14:paraId="20B5AD88">
      <w:pPr>
        <w:snapToGrid w:val="0"/>
        <w:spacing w:line="288" w:lineRule="auto"/>
        <w:rPr>
          <w:b/>
          <w:color w:val="auto"/>
          <w:spacing w:val="-6"/>
          <w:sz w:val="21"/>
          <w:szCs w:val="21"/>
          <w:highlight w:val="none"/>
        </w:rPr>
      </w:pPr>
      <w:r>
        <w:rPr>
          <w:rFonts w:hint="eastAsia"/>
          <w:b/>
          <w:color w:val="auto"/>
          <w:spacing w:val="-6"/>
          <w:sz w:val="21"/>
          <w:szCs w:val="21"/>
          <w:highlight w:val="none"/>
        </w:rPr>
        <w:t>第十二条：其它</w:t>
      </w:r>
    </w:p>
    <w:p w14:paraId="3F4EE71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1、本合同所有附件、采购文件、投标文件、中标通知书通知书均为合同的有效组成部分，与本合同具有同等法律效力。</w:t>
      </w:r>
    </w:p>
    <w:p w14:paraId="767CE57E">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2、在执行本合同的过程中，所有经双方签署确认的文件（包括会议纪要、补充协议、往来信函）即成为本合同的有效组成部分。</w:t>
      </w:r>
    </w:p>
    <w:p w14:paraId="5C5F54C1">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3、如一方地址、电话、传真号码有变更，应在变更当日内书面通知对方，否则，应承担相应责任。</w:t>
      </w:r>
    </w:p>
    <w:p w14:paraId="10A3549F">
      <w:pPr>
        <w:snapToGrid w:val="0"/>
        <w:spacing w:line="288" w:lineRule="auto"/>
        <w:ind w:firstLine="396" w:firstLineChars="200"/>
        <w:rPr>
          <w:color w:val="auto"/>
          <w:spacing w:val="-6"/>
          <w:sz w:val="21"/>
          <w:szCs w:val="21"/>
          <w:highlight w:val="none"/>
        </w:rPr>
      </w:pPr>
    </w:p>
    <w:p w14:paraId="0B128991">
      <w:pPr>
        <w:snapToGrid w:val="0"/>
        <w:spacing w:line="288" w:lineRule="auto"/>
        <w:rPr>
          <w:b/>
          <w:color w:val="auto"/>
          <w:spacing w:val="-6"/>
          <w:sz w:val="21"/>
          <w:szCs w:val="21"/>
          <w:highlight w:val="none"/>
        </w:rPr>
      </w:pPr>
      <w:r>
        <w:rPr>
          <w:rFonts w:hint="eastAsia"/>
          <w:b/>
          <w:color w:val="auto"/>
          <w:spacing w:val="-6"/>
          <w:sz w:val="21"/>
          <w:szCs w:val="21"/>
          <w:highlight w:val="none"/>
        </w:rPr>
        <w:t>第十三条：合同生效</w:t>
      </w:r>
    </w:p>
    <w:p w14:paraId="2624AE65">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1、合同经三方法定代表人或授权代表签字并加盖单位公章后生效。</w:t>
      </w:r>
    </w:p>
    <w:p w14:paraId="23B96918">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2、合同执行中涉及采购资金和采购内容修改或补充的，须经财政部门审批，并签书面补充协议报政府采购监督管理部门备案，方可作为主合同不可分割的一部分。</w:t>
      </w:r>
    </w:p>
    <w:p w14:paraId="78DA0C39">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3、本合同未尽事宜，遵照《民法典》有关条文执行。</w:t>
      </w:r>
    </w:p>
    <w:p w14:paraId="778B2560">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4、本合同一式</w:t>
      </w:r>
      <w:r>
        <w:rPr>
          <w:rFonts w:hint="eastAsia"/>
          <w:color w:val="auto"/>
          <w:spacing w:val="-6"/>
          <w:sz w:val="21"/>
          <w:szCs w:val="21"/>
          <w:highlight w:val="none"/>
          <w:u w:val="single"/>
        </w:rPr>
        <w:t xml:space="preserve">   </w:t>
      </w:r>
      <w:r>
        <w:rPr>
          <w:rFonts w:hint="eastAsia"/>
          <w:color w:val="auto"/>
          <w:spacing w:val="-6"/>
          <w:sz w:val="21"/>
          <w:szCs w:val="21"/>
          <w:highlight w:val="none"/>
        </w:rPr>
        <w:t>份，甲方执</w:t>
      </w:r>
      <w:r>
        <w:rPr>
          <w:rFonts w:hint="eastAsia"/>
          <w:color w:val="auto"/>
          <w:spacing w:val="-6"/>
          <w:sz w:val="21"/>
          <w:szCs w:val="21"/>
          <w:highlight w:val="none"/>
          <w:u w:val="single"/>
        </w:rPr>
        <w:t xml:space="preserve"> 叁 </w:t>
      </w:r>
      <w:r>
        <w:rPr>
          <w:rFonts w:hint="eastAsia"/>
          <w:color w:val="auto"/>
          <w:spacing w:val="-6"/>
          <w:sz w:val="21"/>
          <w:szCs w:val="21"/>
          <w:highlight w:val="none"/>
        </w:rPr>
        <w:t>份，乙方执</w:t>
      </w:r>
      <w:r>
        <w:rPr>
          <w:rFonts w:hint="eastAsia"/>
          <w:color w:val="auto"/>
          <w:spacing w:val="-6"/>
          <w:sz w:val="21"/>
          <w:szCs w:val="21"/>
          <w:highlight w:val="none"/>
          <w:u w:val="single"/>
        </w:rPr>
        <w:t xml:space="preserve">   </w:t>
      </w:r>
      <w:r>
        <w:rPr>
          <w:rFonts w:hint="eastAsia"/>
          <w:color w:val="auto"/>
          <w:spacing w:val="-6"/>
          <w:sz w:val="21"/>
          <w:szCs w:val="21"/>
          <w:highlight w:val="none"/>
        </w:rPr>
        <w:t>份，采购代理机构执</w:t>
      </w:r>
      <w:r>
        <w:rPr>
          <w:rFonts w:hint="eastAsia"/>
          <w:color w:val="auto"/>
          <w:spacing w:val="-6"/>
          <w:sz w:val="21"/>
          <w:szCs w:val="21"/>
          <w:highlight w:val="none"/>
          <w:u w:val="single"/>
        </w:rPr>
        <w:t xml:space="preserve"> 壹 </w:t>
      </w:r>
      <w:r>
        <w:rPr>
          <w:rFonts w:hint="eastAsia"/>
          <w:color w:val="auto"/>
          <w:spacing w:val="-6"/>
          <w:sz w:val="21"/>
          <w:szCs w:val="21"/>
          <w:highlight w:val="none"/>
        </w:rPr>
        <w:t>份，经三方签字、盖公章并在乙方履约保证金到帐后生效。</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9"/>
        <w:gridCol w:w="4601"/>
      </w:tblGrid>
      <w:tr w14:paraId="33EA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608" w:type="pct"/>
            <w:tcBorders>
              <w:top w:val="single" w:color="auto" w:sz="4" w:space="0"/>
              <w:left w:val="single" w:color="auto" w:sz="4" w:space="0"/>
              <w:bottom w:val="single" w:color="auto" w:sz="4" w:space="0"/>
              <w:right w:val="single" w:color="auto" w:sz="4" w:space="0"/>
            </w:tcBorders>
            <w:vAlign w:val="center"/>
          </w:tcPr>
          <w:p w14:paraId="109E5D44">
            <w:pPr>
              <w:spacing w:line="288" w:lineRule="auto"/>
              <w:rPr>
                <w:color w:val="auto"/>
                <w:spacing w:val="-6"/>
                <w:sz w:val="21"/>
                <w:szCs w:val="21"/>
                <w:highlight w:val="none"/>
              </w:rPr>
            </w:pPr>
            <w:r>
              <w:rPr>
                <w:rFonts w:hint="eastAsia"/>
                <w:color w:val="auto"/>
                <w:spacing w:val="-6"/>
                <w:sz w:val="21"/>
                <w:szCs w:val="21"/>
                <w:highlight w:val="none"/>
              </w:rPr>
              <w:t>甲方（需方）：浙江树人学院（公章）</w:t>
            </w:r>
          </w:p>
        </w:tc>
        <w:tc>
          <w:tcPr>
            <w:tcW w:w="2391" w:type="pct"/>
            <w:tcBorders>
              <w:top w:val="single" w:color="auto" w:sz="4" w:space="0"/>
              <w:left w:val="nil"/>
              <w:bottom w:val="single" w:color="auto" w:sz="4" w:space="0"/>
              <w:right w:val="single" w:color="auto" w:sz="4" w:space="0"/>
            </w:tcBorders>
            <w:vAlign w:val="center"/>
          </w:tcPr>
          <w:p w14:paraId="672D8219">
            <w:pPr>
              <w:spacing w:line="288" w:lineRule="auto"/>
              <w:rPr>
                <w:color w:val="auto"/>
                <w:spacing w:val="-6"/>
                <w:sz w:val="21"/>
                <w:szCs w:val="21"/>
                <w:highlight w:val="none"/>
              </w:rPr>
            </w:pPr>
            <w:r>
              <w:rPr>
                <w:rFonts w:hint="eastAsia"/>
                <w:color w:val="auto"/>
                <w:spacing w:val="-6"/>
                <w:sz w:val="21"/>
                <w:szCs w:val="21"/>
                <w:highlight w:val="none"/>
              </w:rPr>
              <w:t>乙方（供方）：（公章）</w:t>
            </w:r>
          </w:p>
        </w:tc>
      </w:tr>
      <w:tr w14:paraId="138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08" w:type="pct"/>
            <w:tcBorders>
              <w:top w:val="single" w:color="auto" w:sz="4" w:space="0"/>
              <w:left w:val="single" w:color="auto" w:sz="4" w:space="0"/>
              <w:bottom w:val="single" w:color="auto" w:sz="4" w:space="0"/>
              <w:right w:val="single" w:color="auto" w:sz="4" w:space="0"/>
            </w:tcBorders>
            <w:vAlign w:val="center"/>
          </w:tcPr>
          <w:p w14:paraId="075B5802">
            <w:pPr>
              <w:spacing w:line="288" w:lineRule="auto"/>
              <w:rPr>
                <w:color w:val="auto"/>
                <w:spacing w:val="-6"/>
                <w:sz w:val="21"/>
                <w:szCs w:val="21"/>
                <w:highlight w:val="none"/>
              </w:rPr>
            </w:pPr>
            <w:r>
              <w:rPr>
                <w:rFonts w:hint="eastAsia"/>
                <w:color w:val="auto"/>
                <w:spacing w:val="-6"/>
                <w:sz w:val="21"/>
                <w:szCs w:val="21"/>
                <w:highlight w:val="none"/>
              </w:rPr>
              <w:t>甲方代表：</w:t>
            </w:r>
          </w:p>
          <w:p w14:paraId="3790FE0D">
            <w:pPr>
              <w:spacing w:line="288" w:lineRule="auto"/>
              <w:rPr>
                <w:color w:val="auto"/>
                <w:spacing w:val="-6"/>
                <w:sz w:val="21"/>
                <w:szCs w:val="21"/>
                <w:highlight w:val="none"/>
              </w:rPr>
            </w:pPr>
            <w:r>
              <w:rPr>
                <w:rFonts w:hint="eastAsia"/>
                <w:color w:val="auto"/>
                <w:spacing w:val="-6"/>
                <w:sz w:val="21"/>
                <w:szCs w:val="21"/>
                <w:highlight w:val="none"/>
              </w:rPr>
              <w:t>(签字）</w:t>
            </w:r>
          </w:p>
        </w:tc>
        <w:tc>
          <w:tcPr>
            <w:tcW w:w="2391" w:type="pct"/>
            <w:tcBorders>
              <w:top w:val="single" w:color="auto" w:sz="4" w:space="0"/>
              <w:left w:val="nil"/>
              <w:bottom w:val="single" w:color="auto" w:sz="4" w:space="0"/>
              <w:right w:val="single" w:color="auto" w:sz="4" w:space="0"/>
            </w:tcBorders>
            <w:vAlign w:val="center"/>
          </w:tcPr>
          <w:p w14:paraId="607FDEAF">
            <w:pPr>
              <w:spacing w:line="288" w:lineRule="auto"/>
              <w:rPr>
                <w:color w:val="auto"/>
                <w:spacing w:val="-6"/>
                <w:sz w:val="21"/>
                <w:szCs w:val="21"/>
                <w:highlight w:val="none"/>
              </w:rPr>
            </w:pPr>
            <w:r>
              <w:rPr>
                <w:rFonts w:hint="eastAsia"/>
                <w:color w:val="auto"/>
                <w:spacing w:val="-6"/>
                <w:sz w:val="21"/>
                <w:szCs w:val="21"/>
                <w:highlight w:val="none"/>
              </w:rPr>
              <w:t>乙方代表：</w:t>
            </w:r>
          </w:p>
          <w:p w14:paraId="23077197">
            <w:pPr>
              <w:spacing w:line="288" w:lineRule="auto"/>
              <w:rPr>
                <w:color w:val="auto"/>
                <w:spacing w:val="-6"/>
                <w:sz w:val="21"/>
                <w:szCs w:val="21"/>
                <w:highlight w:val="none"/>
              </w:rPr>
            </w:pPr>
            <w:r>
              <w:rPr>
                <w:rFonts w:hint="eastAsia"/>
                <w:color w:val="auto"/>
                <w:spacing w:val="-6"/>
                <w:sz w:val="21"/>
                <w:szCs w:val="21"/>
                <w:highlight w:val="none"/>
              </w:rPr>
              <w:t>（签字）</w:t>
            </w:r>
          </w:p>
        </w:tc>
      </w:tr>
      <w:tr w14:paraId="6B1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4FD00A7">
            <w:pPr>
              <w:spacing w:line="288" w:lineRule="auto"/>
              <w:rPr>
                <w:color w:val="auto"/>
                <w:spacing w:val="-6"/>
                <w:sz w:val="21"/>
                <w:szCs w:val="21"/>
                <w:highlight w:val="none"/>
              </w:rPr>
            </w:pPr>
            <w:r>
              <w:rPr>
                <w:rFonts w:hint="eastAsia"/>
                <w:color w:val="auto"/>
                <w:spacing w:val="-6"/>
                <w:sz w:val="21"/>
                <w:szCs w:val="21"/>
                <w:highlight w:val="none"/>
              </w:rPr>
              <w:t>地址： 杭州市树人街8号</w:t>
            </w:r>
          </w:p>
        </w:tc>
        <w:tc>
          <w:tcPr>
            <w:tcW w:w="2391" w:type="pct"/>
            <w:tcBorders>
              <w:top w:val="single" w:color="auto" w:sz="4" w:space="0"/>
              <w:left w:val="nil"/>
              <w:bottom w:val="single" w:color="auto" w:sz="4" w:space="0"/>
              <w:right w:val="single" w:color="auto" w:sz="4" w:space="0"/>
            </w:tcBorders>
            <w:vAlign w:val="center"/>
          </w:tcPr>
          <w:p w14:paraId="6B1078AF">
            <w:pPr>
              <w:spacing w:line="288" w:lineRule="auto"/>
              <w:rPr>
                <w:color w:val="auto"/>
                <w:spacing w:val="-6"/>
                <w:sz w:val="21"/>
                <w:szCs w:val="21"/>
                <w:highlight w:val="none"/>
              </w:rPr>
            </w:pPr>
            <w:r>
              <w:rPr>
                <w:rFonts w:hint="eastAsia"/>
                <w:color w:val="auto"/>
                <w:spacing w:val="-6"/>
                <w:sz w:val="21"/>
                <w:szCs w:val="21"/>
                <w:highlight w:val="none"/>
              </w:rPr>
              <w:t>地址：</w:t>
            </w:r>
          </w:p>
        </w:tc>
      </w:tr>
      <w:tr w14:paraId="19AC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06F445B6">
            <w:pPr>
              <w:spacing w:line="288" w:lineRule="auto"/>
              <w:rPr>
                <w:color w:val="auto"/>
                <w:spacing w:val="-6"/>
                <w:sz w:val="21"/>
                <w:szCs w:val="21"/>
                <w:highlight w:val="none"/>
              </w:rPr>
            </w:pPr>
            <w:r>
              <w:rPr>
                <w:rFonts w:hint="eastAsia"/>
                <w:color w:val="auto"/>
                <w:spacing w:val="-6"/>
                <w:sz w:val="21"/>
                <w:szCs w:val="21"/>
                <w:highlight w:val="none"/>
              </w:rPr>
              <w:t>邮编： 310015</w:t>
            </w:r>
          </w:p>
        </w:tc>
        <w:tc>
          <w:tcPr>
            <w:tcW w:w="2391" w:type="pct"/>
            <w:tcBorders>
              <w:top w:val="single" w:color="auto" w:sz="4" w:space="0"/>
              <w:left w:val="nil"/>
              <w:bottom w:val="single" w:color="auto" w:sz="4" w:space="0"/>
              <w:right w:val="single" w:color="auto" w:sz="4" w:space="0"/>
            </w:tcBorders>
            <w:vAlign w:val="center"/>
          </w:tcPr>
          <w:p w14:paraId="756F2C48">
            <w:pPr>
              <w:spacing w:line="288" w:lineRule="auto"/>
              <w:rPr>
                <w:color w:val="auto"/>
                <w:spacing w:val="-6"/>
                <w:sz w:val="21"/>
                <w:szCs w:val="21"/>
                <w:highlight w:val="none"/>
              </w:rPr>
            </w:pPr>
            <w:r>
              <w:rPr>
                <w:rFonts w:hint="eastAsia"/>
                <w:color w:val="auto"/>
                <w:spacing w:val="-6"/>
                <w:sz w:val="21"/>
                <w:szCs w:val="21"/>
                <w:highlight w:val="none"/>
              </w:rPr>
              <w:t>邮编：</w:t>
            </w:r>
          </w:p>
        </w:tc>
      </w:tr>
      <w:tr w14:paraId="7594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527F6C14">
            <w:pPr>
              <w:spacing w:line="288" w:lineRule="auto"/>
              <w:rPr>
                <w:color w:val="auto"/>
                <w:spacing w:val="-6"/>
                <w:sz w:val="21"/>
                <w:szCs w:val="21"/>
                <w:highlight w:val="none"/>
              </w:rPr>
            </w:pPr>
            <w:r>
              <w:rPr>
                <w:rFonts w:hint="eastAsia"/>
                <w:color w:val="auto"/>
                <w:spacing w:val="-6"/>
                <w:sz w:val="21"/>
                <w:szCs w:val="21"/>
                <w:highlight w:val="none"/>
              </w:rPr>
              <w:t>电话： 0571-88297206</w:t>
            </w:r>
          </w:p>
        </w:tc>
        <w:tc>
          <w:tcPr>
            <w:tcW w:w="2391" w:type="pct"/>
            <w:tcBorders>
              <w:top w:val="single" w:color="auto" w:sz="4" w:space="0"/>
              <w:left w:val="nil"/>
              <w:bottom w:val="single" w:color="auto" w:sz="4" w:space="0"/>
              <w:right w:val="single" w:color="auto" w:sz="4" w:space="0"/>
            </w:tcBorders>
            <w:vAlign w:val="center"/>
          </w:tcPr>
          <w:p w14:paraId="3ED66BFC">
            <w:pPr>
              <w:spacing w:line="288" w:lineRule="auto"/>
              <w:rPr>
                <w:color w:val="auto"/>
                <w:spacing w:val="-6"/>
                <w:sz w:val="21"/>
                <w:szCs w:val="21"/>
                <w:highlight w:val="none"/>
              </w:rPr>
            </w:pPr>
            <w:r>
              <w:rPr>
                <w:rFonts w:hint="eastAsia"/>
                <w:color w:val="auto"/>
                <w:spacing w:val="-6"/>
                <w:sz w:val="21"/>
                <w:szCs w:val="21"/>
                <w:highlight w:val="none"/>
              </w:rPr>
              <w:t>电话：</w:t>
            </w:r>
          </w:p>
        </w:tc>
      </w:tr>
      <w:tr w14:paraId="16E4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4754B8C3">
            <w:pPr>
              <w:spacing w:line="288" w:lineRule="auto"/>
              <w:rPr>
                <w:color w:val="auto"/>
                <w:spacing w:val="-6"/>
                <w:sz w:val="21"/>
                <w:szCs w:val="21"/>
                <w:highlight w:val="none"/>
              </w:rPr>
            </w:pPr>
            <w:r>
              <w:rPr>
                <w:rFonts w:hint="eastAsia"/>
                <w:color w:val="auto"/>
                <w:spacing w:val="-6"/>
                <w:sz w:val="21"/>
                <w:szCs w:val="21"/>
                <w:highlight w:val="none"/>
              </w:rPr>
              <w:t>传真： 0571-88297206</w:t>
            </w:r>
          </w:p>
        </w:tc>
        <w:tc>
          <w:tcPr>
            <w:tcW w:w="2391" w:type="pct"/>
            <w:tcBorders>
              <w:top w:val="single" w:color="auto" w:sz="4" w:space="0"/>
              <w:left w:val="nil"/>
              <w:bottom w:val="single" w:color="auto" w:sz="4" w:space="0"/>
              <w:right w:val="single" w:color="auto" w:sz="4" w:space="0"/>
            </w:tcBorders>
            <w:vAlign w:val="center"/>
          </w:tcPr>
          <w:p w14:paraId="118BD513">
            <w:pPr>
              <w:spacing w:line="288" w:lineRule="auto"/>
              <w:rPr>
                <w:color w:val="auto"/>
                <w:spacing w:val="-6"/>
                <w:sz w:val="21"/>
                <w:szCs w:val="21"/>
                <w:highlight w:val="none"/>
              </w:rPr>
            </w:pPr>
            <w:r>
              <w:rPr>
                <w:rFonts w:hint="eastAsia"/>
                <w:color w:val="auto"/>
                <w:spacing w:val="-6"/>
                <w:sz w:val="21"/>
                <w:szCs w:val="21"/>
                <w:highlight w:val="none"/>
              </w:rPr>
              <w:t>传真：</w:t>
            </w:r>
          </w:p>
        </w:tc>
      </w:tr>
      <w:tr w14:paraId="50F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69781A44">
            <w:pPr>
              <w:spacing w:line="288" w:lineRule="auto"/>
              <w:rPr>
                <w:color w:val="auto"/>
                <w:spacing w:val="-6"/>
                <w:sz w:val="21"/>
                <w:szCs w:val="21"/>
                <w:highlight w:val="none"/>
              </w:rPr>
            </w:pPr>
            <w:r>
              <w:rPr>
                <w:rFonts w:hint="eastAsia"/>
                <w:color w:val="auto"/>
                <w:spacing w:val="-6"/>
                <w:sz w:val="21"/>
                <w:szCs w:val="21"/>
                <w:highlight w:val="none"/>
              </w:rPr>
              <w:t>开户银行：工行浙江省分行营业部上塘北路支行</w:t>
            </w:r>
          </w:p>
        </w:tc>
        <w:tc>
          <w:tcPr>
            <w:tcW w:w="2391" w:type="pct"/>
            <w:tcBorders>
              <w:top w:val="single" w:color="auto" w:sz="4" w:space="0"/>
              <w:left w:val="nil"/>
              <w:bottom w:val="single" w:color="auto" w:sz="4" w:space="0"/>
              <w:right w:val="single" w:color="auto" w:sz="4" w:space="0"/>
            </w:tcBorders>
            <w:vAlign w:val="center"/>
          </w:tcPr>
          <w:p w14:paraId="23A1C2F9">
            <w:pPr>
              <w:spacing w:line="288" w:lineRule="auto"/>
              <w:rPr>
                <w:color w:val="auto"/>
                <w:spacing w:val="-6"/>
                <w:sz w:val="21"/>
                <w:szCs w:val="21"/>
                <w:highlight w:val="none"/>
              </w:rPr>
            </w:pPr>
            <w:r>
              <w:rPr>
                <w:rFonts w:hint="eastAsia"/>
                <w:color w:val="auto"/>
                <w:spacing w:val="-6"/>
                <w:sz w:val="21"/>
                <w:szCs w:val="21"/>
                <w:highlight w:val="none"/>
              </w:rPr>
              <w:t>开户银行：</w:t>
            </w:r>
          </w:p>
        </w:tc>
      </w:tr>
      <w:tr w14:paraId="2287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tcBorders>
              <w:top w:val="single" w:color="auto" w:sz="4" w:space="0"/>
              <w:left w:val="single" w:color="auto" w:sz="4" w:space="0"/>
              <w:bottom w:val="single" w:color="auto" w:sz="4" w:space="0"/>
              <w:right w:val="single" w:color="auto" w:sz="4" w:space="0"/>
            </w:tcBorders>
          </w:tcPr>
          <w:p w14:paraId="1C6A2BA3">
            <w:pPr>
              <w:spacing w:line="288" w:lineRule="auto"/>
              <w:rPr>
                <w:color w:val="auto"/>
                <w:spacing w:val="-6"/>
                <w:sz w:val="21"/>
                <w:szCs w:val="21"/>
                <w:highlight w:val="none"/>
              </w:rPr>
            </w:pPr>
            <w:r>
              <w:rPr>
                <w:rFonts w:hint="eastAsia"/>
                <w:color w:val="auto"/>
                <w:spacing w:val="-6"/>
                <w:sz w:val="21"/>
                <w:szCs w:val="21"/>
                <w:highlight w:val="none"/>
              </w:rPr>
              <w:t>帐号：1202004809900000177</w:t>
            </w:r>
          </w:p>
        </w:tc>
        <w:tc>
          <w:tcPr>
            <w:tcW w:w="2391" w:type="pct"/>
            <w:tcBorders>
              <w:top w:val="single" w:color="auto" w:sz="4" w:space="0"/>
              <w:left w:val="nil"/>
              <w:bottom w:val="single" w:color="auto" w:sz="4" w:space="0"/>
              <w:right w:val="single" w:color="auto" w:sz="4" w:space="0"/>
            </w:tcBorders>
            <w:vAlign w:val="center"/>
          </w:tcPr>
          <w:p w14:paraId="4F890F97">
            <w:pPr>
              <w:spacing w:line="288" w:lineRule="auto"/>
              <w:rPr>
                <w:color w:val="auto"/>
                <w:spacing w:val="-6"/>
                <w:sz w:val="21"/>
                <w:szCs w:val="21"/>
                <w:highlight w:val="none"/>
              </w:rPr>
            </w:pPr>
            <w:r>
              <w:rPr>
                <w:rFonts w:hint="eastAsia"/>
                <w:color w:val="auto"/>
                <w:spacing w:val="-6"/>
                <w:sz w:val="21"/>
                <w:szCs w:val="21"/>
                <w:highlight w:val="none"/>
              </w:rPr>
              <w:t>帐号：</w:t>
            </w:r>
          </w:p>
        </w:tc>
      </w:tr>
      <w:tr w14:paraId="4BFF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608" w:type="pct"/>
            <w:tcBorders>
              <w:top w:val="single" w:color="auto" w:sz="4" w:space="0"/>
              <w:left w:val="single" w:color="auto" w:sz="4" w:space="0"/>
              <w:bottom w:val="single" w:color="auto" w:sz="4" w:space="0"/>
              <w:right w:val="single" w:color="auto" w:sz="4" w:space="0"/>
            </w:tcBorders>
            <w:vAlign w:val="center"/>
          </w:tcPr>
          <w:p w14:paraId="1F4A1991">
            <w:pPr>
              <w:spacing w:line="288" w:lineRule="auto"/>
              <w:rPr>
                <w:color w:val="auto"/>
                <w:spacing w:val="-6"/>
                <w:sz w:val="21"/>
                <w:szCs w:val="21"/>
                <w:highlight w:val="none"/>
              </w:rPr>
            </w:pPr>
            <w:r>
              <w:rPr>
                <w:rFonts w:hint="eastAsia"/>
                <w:color w:val="auto"/>
                <w:spacing w:val="-6"/>
                <w:sz w:val="21"/>
                <w:szCs w:val="21"/>
                <w:highlight w:val="none"/>
              </w:rPr>
              <w:t>签字日期：        年    月    日</w:t>
            </w:r>
          </w:p>
        </w:tc>
        <w:tc>
          <w:tcPr>
            <w:tcW w:w="2391" w:type="pct"/>
            <w:tcBorders>
              <w:top w:val="single" w:color="auto" w:sz="4" w:space="0"/>
              <w:left w:val="nil"/>
              <w:bottom w:val="single" w:color="auto" w:sz="4" w:space="0"/>
              <w:right w:val="single" w:color="auto" w:sz="4" w:space="0"/>
            </w:tcBorders>
            <w:vAlign w:val="center"/>
          </w:tcPr>
          <w:p w14:paraId="7AC1B88D">
            <w:pPr>
              <w:spacing w:line="288" w:lineRule="auto"/>
              <w:rPr>
                <w:color w:val="auto"/>
                <w:spacing w:val="-6"/>
                <w:sz w:val="21"/>
                <w:szCs w:val="21"/>
                <w:highlight w:val="none"/>
              </w:rPr>
            </w:pPr>
            <w:r>
              <w:rPr>
                <w:rFonts w:hint="eastAsia"/>
                <w:color w:val="auto"/>
                <w:spacing w:val="-6"/>
                <w:sz w:val="21"/>
                <w:szCs w:val="21"/>
                <w:highlight w:val="none"/>
              </w:rPr>
              <w:t>签字日期：        年    月    日</w:t>
            </w:r>
          </w:p>
        </w:tc>
      </w:tr>
      <w:tr w14:paraId="44A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302" w:hRule="atLeast"/>
        </w:trPr>
        <w:tc>
          <w:tcPr>
            <w:tcW w:w="2608" w:type="pct"/>
            <w:tcBorders>
              <w:top w:val="single" w:color="auto" w:sz="4" w:space="0"/>
              <w:left w:val="single" w:color="auto" w:sz="4" w:space="0"/>
              <w:bottom w:val="single" w:color="auto" w:sz="4" w:space="0"/>
              <w:right w:val="single" w:color="auto" w:sz="4" w:space="0"/>
            </w:tcBorders>
            <w:vAlign w:val="center"/>
          </w:tcPr>
          <w:p w14:paraId="053EDEBD">
            <w:pPr>
              <w:spacing w:line="288" w:lineRule="auto"/>
              <w:rPr>
                <w:color w:val="auto"/>
                <w:spacing w:val="-6"/>
                <w:sz w:val="21"/>
                <w:szCs w:val="21"/>
                <w:highlight w:val="none"/>
              </w:rPr>
            </w:pPr>
            <w:r>
              <w:rPr>
                <w:rFonts w:hint="eastAsia"/>
                <w:color w:val="auto"/>
                <w:spacing w:val="-6"/>
                <w:sz w:val="21"/>
                <w:szCs w:val="21"/>
                <w:highlight w:val="none"/>
              </w:rPr>
              <w:t>合同鉴证方：     招标代理有限公司（公章）</w:t>
            </w:r>
          </w:p>
        </w:tc>
      </w:tr>
      <w:tr w14:paraId="39DA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Height w:val="630" w:hRule="atLeast"/>
        </w:trPr>
        <w:tc>
          <w:tcPr>
            <w:tcW w:w="2608" w:type="pct"/>
            <w:tcBorders>
              <w:top w:val="single" w:color="auto" w:sz="4" w:space="0"/>
              <w:left w:val="single" w:color="auto" w:sz="4" w:space="0"/>
              <w:bottom w:val="single" w:color="auto" w:sz="4" w:space="0"/>
              <w:right w:val="single" w:color="auto" w:sz="4" w:space="0"/>
            </w:tcBorders>
            <w:vAlign w:val="center"/>
          </w:tcPr>
          <w:p w14:paraId="0A55EF6B">
            <w:pPr>
              <w:spacing w:line="288" w:lineRule="auto"/>
              <w:rPr>
                <w:color w:val="auto"/>
                <w:spacing w:val="-6"/>
                <w:sz w:val="21"/>
                <w:szCs w:val="21"/>
                <w:highlight w:val="none"/>
              </w:rPr>
            </w:pPr>
            <w:r>
              <w:rPr>
                <w:rFonts w:hint="eastAsia"/>
                <w:color w:val="auto"/>
                <w:spacing w:val="-6"/>
                <w:sz w:val="21"/>
                <w:szCs w:val="21"/>
                <w:highlight w:val="none"/>
              </w:rPr>
              <w:t>法定代表人或主要负责人：</w:t>
            </w:r>
            <w:r>
              <w:rPr>
                <w:rFonts w:hint="eastAsia"/>
                <w:color w:val="auto"/>
                <w:spacing w:val="-6"/>
                <w:sz w:val="21"/>
                <w:szCs w:val="21"/>
                <w:highlight w:val="none"/>
              </w:rPr>
              <w:tab/>
            </w:r>
          </w:p>
          <w:p w14:paraId="2BE10FB5">
            <w:pPr>
              <w:spacing w:line="288" w:lineRule="auto"/>
              <w:rPr>
                <w:color w:val="auto"/>
                <w:spacing w:val="-6"/>
                <w:sz w:val="21"/>
                <w:szCs w:val="21"/>
                <w:highlight w:val="none"/>
              </w:rPr>
            </w:pPr>
            <w:r>
              <w:rPr>
                <w:rFonts w:hint="eastAsia"/>
                <w:color w:val="auto"/>
                <w:spacing w:val="-6"/>
                <w:sz w:val="21"/>
                <w:szCs w:val="21"/>
                <w:highlight w:val="none"/>
              </w:rPr>
              <w:t>（签字）</w:t>
            </w:r>
          </w:p>
        </w:tc>
      </w:tr>
      <w:tr w14:paraId="7F0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91" w:type="pct"/>
        </w:trPr>
        <w:tc>
          <w:tcPr>
            <w:tcW w:w="2608" w:type="pct"/>
            <w:tcBorders>
              <w:top w:val="single" w:color="auto" w:sz="4" w:space="0"/>
              <w:left w:val="single" w:color="auto" w:sz="4" w:space="0"/>
              <w:bottom w:val="single" w:color="auto" w:sz="4" w:space="0"/>
              <w:right w:val="single" w:color="auto" w:sz="4" w:space="0"/>
            </w:tcBorders>
            <w:vAlign w:val="center"/>
          </w:tcPr>
          <w:p w14:paraId="10038FD6">
            <w:pPr>
              <w:spacing w:line="288" w:lineRule="auto"/>
              <w:rPr>
                <w:color w:val="auto"/>
                <w:spacing w:val="-6"/>
                <w:sz w:val="21"/>
                <w:szCs w:val="21"/>
                <w:highlight w:val="none"/>
              </w:rPr>
            </w:pPr>
            <w:r>
              <w:rPr>
                <w:rFonts w:hint="eastAsia"/>
                <w:color w:val="auto"/>
                <w:spacing w:val="-6"/>
                <w:sz w:val="21"/>
                <w:szCs w:val="21"/>
                <w:highlight w:val="none"/>
              </w:rPr>
              <w:t>鉴证日期：        年    月    日</w:t>
            </w:r>
          </w:p>
        </w:tc>
      </w:tr>
    </w:tbl>
    <w:p w14:paraId="775CD66B">
      <w:pPr>
        <w:adjustRightInd w:val="0"/>
        <w:snapToGrid w:val="0"/>
        <w:spacing w:line="288" w:lineRule="auto"/>
        <w:jc w:val="center"/>
        <w:outlineLvl w:val="0"/>
        <w:rPr>
          <w:b/>
          <w:bCs/>
          <w:color w:val="auto"/>
          <w:sz w:val="32"/>
          <w:szCs w:val="32"/>
          <w:highlight w:val="none"/>
        </w:rPr>
      </w:pPr>
      <w:r>
        <w:rPr>
          <w:rFonts w:hint="eastAsia"/>
          <w:color w:val="auto"/>
          <w:sz w:val="21"/>
          <w:szCs w:val="21"/>
          <w:highlight w:val="none"/>
        </w:rPr>
        <w:br w:type="page"/>
      </w:r>
      <w:bookmarkStart w:id="122" w:name="_Toc9363"/>
      <w:bookmarkStart w:id="123" w:name="_Toc29708"/>
      <w:bookmarkStart w:id="124" w:name="_Toc29941"/>
      <w:bookmarkStart w:id="125" w:name="_Toc30559"/>
      <w:bookmarkStart w:id="126" w:name="_Toc1796"/>
      <w:bookmarkStart w:id="127" w:name="_Toc10393"/>
      <w:bookmarkStart w:id="128" w:name="_Toc29822"/>
      <w:r>
        <w:rPr>
          <w:rFonts w:hint="eastAsia"/>
          <w:b/>
          <w:bCs/>
          <w:color w:val="auto"/>
          <w:sz w:val="32"/>
          <w:szCs w:val="32"/>
          <w:highlight w:val="none"/>
        </w:rPr>
        <w:t>第六章  响应文件格式</w:t>
      </w:r>
      <w:bookmarkEnd w:id="122"/>
      <w:bookmarkEnd w:id="123"/>
      <w:bookmarkEnd w:id="124"/>
      <w:bookmarkEnd w:id="125"/>
      <w:bookmarkEnd w:id="126"/>
      <w:bookmarkEnd w:id="127"/>
      <w:bookmarkEnd w:id="128"/>
    </w:p>
    <w:p w14:paraId="013DABBA">
      <w:pPr>
        <w:adjustRightInd w:val="0"/>
        <w:snapToGrid w:val="0"/>
        <w:spacing w:line="288" w:lineRule="auto"/>
        <w:rPr>
          <w:color w:val="auto"/>
          <w:sz w:val="21"/>
          <w:szCs w:val="21"/>
          <w:highlight w:val="none"/>
        </w:rPr>
      </w:pPr>
    </w:p>
    <w:p w14:paraId="6A89E33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14:paraId="5479C98E">
      <w:pPr>
        <w:adjustRightInd w:val="0"/>
        <w:snapToGrid w:val="0"/>
        <w:spacing w:line="288" w:lineRule="auto"/>
        <w:rPr>
          <w:color w:val="auto"/>
          <w:sz w:val="21"/>
          <w:szCs w:val="21"/>
          <w:highlight w:val="none"/>
        </w:rPr>
      </w:pPr>
    </w:p>
    <w:p w14:paraId="1B2E8880">
      <w:pPr>
        <w:adjustRightInd w:val="0"/>
        <w:snapToGrid w:val="0"/>
        <w:spacing w:line="288" w:lineRule="auto"/>
        <w:ind w:firstLine="422" w:firstLineChars="200"/>
        <w:rPr>
          <w:b/>
          <w:bCs/>
          <w:color w:val="auto"/>
          <w:sz w:val="21"/>
          <w:szCs w:val="21"/>
          <w:highlight w:val="none"/>
        </w:rPr>
      </w:pPr>
      <w:bookmarkStart w:id="129" w:name="_Hlk71884160"/>
      <w:r>
        <w:rPr>
          <w:rFonts w:hint="eastAsia"/>
          <w:b/>
          <w:bCs/>
          <w:color w:val="auto"/>
          <w:sz w:val="21"/>
          <w:szCs w:val="21"/>
          <w:highlight w:val="none"/>
        </w:rPr>
        <w:t>▲1.资格文件（单独上传）</w:t>
      </w:r>
    </w:p>
    <w:p w14:paraId="1E77027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bookmarkEnd w:id="129"/>
    </w:p>
    <w:p w14:paraId="31CDF77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16267FB5">
      <w:pPr>
        <w:adjustRightInd w:val="0"/>
        <w:snapToGrid w:val="0"/>
        <w:spacing w:line="288" w:lineRule="auto"/>
        <w:ind w:firstLine="422" w:firstLineChars="200"/>
        <w:rPr>
          <w:b/>
          <w:bCs/>
          <w:color w:val="auto"/>
          <w:sz w:val="21"/>
          <w:szCs w:val="21"/>
          <w:highlight w:val="none"/>
        </w:rPr>
      </w:pPr>
      <w:bookmarkStart w:id="130" w:name="_Hlk71884127"/>
      <w:r>
        <w:rPr>
          <w:rFonts w:hint="eastAsia"/>
          <w:b/>
          <w:bCs/>
          <w:color w:val="auto"/>
          <w:sz w:val="21"/>
          <w:szCs w:val="21"/>
          <w:highlight w:val="none"/>
        </w:rPr>
        <w:t>（2）符合参加政府采购活动应当具备的一般条件的承诺函；</w:t>
      </w:r>
    </w:p>
    <w:p w14:paraId="7DADF870">
      <w:pPr>
        <w:adjustRightInd w:val="0"/>
        <w:snapToGrid w:val="0"/>
        <w:spacing w:line="288" w:lineRule="auto"/>
        <w:ind w:firstLine="422" w:firstLineChars="200"/>
        <w:rPr>
          <w:rFonts w:hint="eastAsia" w:eastAsia="宋体"/>
          <w:b/>
          <w:bCs/>
          <w:color w:val="auto"/>
          <w:sz w:val="21"/>
          <w:szCs w:val="21"/>
          <w:highlight w:val="none"/>
          <w:lang w:val="en-US" w:eastAsia="zh-CN"/>
        </w:rPr>
      </w:pPr>
      <w:r>
        <w:rPr>
          <w:rFonts w:hint="eastAsia"/>
          <w:b/>
          <w:bCs/>
          <w:color w:val="auto"/>
          <w:sz w:val="21"/>
          <w:szCs w:val="21"/>
          <w:highlight w:val="none"/>
        </w:rPr>
        <w:t>（3）落实政府采购政策需满足的资格要求：</w:t>
      </w:r>
      <w:r>
        <w:rPr>
          <w:rFonts w:hint="eastAsia"/>
          <w:b/>
          <w:bCs/>
          <w:color w:val="auto"/>
          <w:sz w:val="21"/>
          <w:szCs w:val="21"/>
          <w:highlight w:val="none"/>
          <w:lang w:val="en-US" w:eastAsia="zh-CN"/>
        </w:rPr>
        <w:t>无</w:t>
      </w:r>
    </w:p>
    <w:p w14:paraId="6CCE556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（4）本项目的特定资格要求证明材料：无</w:t>
      </w:r>
      <w:bookmarkEnd w:id="130"/>
      <w:r>
        <w:rPr>
          <w:rFonts w:hint="eastAsia"/>
          <w:b/>
          <w:bCs/>
          <w:color w:val="auto"/>
          <w:sz w:val="21"/>
          <w:szCs w:val="21"/>
          <w:highlight w:val="none"/>
        </w:rPr>
        <w:t>；</w:t>
      </w:r>
    </w:p>
    <w:p w14:paraId="2D8A1D9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rFonts w:hint="eastAsia"/>
          <w:b/>
          <w:color w:val="auto"/>
          <w:spacing w:val="-6"/>
          <w:sz w:val="21"/>
          <w:szCs w:val="21"/>
          <w:highlight w:val="none"/>
        </w:rPr>
        <w:t>以联合体形式响应的，提供联合协议及</w:t>
      </w:r>
      <w:r>
        <w:rPr>
          <w:rFonts w:hint="eastAsia"/>
          <w:b/>
          <w:bCs/>
          <w:color w:val="auto"/>
          <w:sz w:val="21"/>
          <w:szCs w:val="21"/>
          <w:highlight w:val="none"/>
        </w:rPr>
        <w:t>联合体各方均应提供资格文件材料。</w:t>
      </w:r>
    </w:p>
    <w:p w14:paraId="4BD9535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3E5BC3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47054D9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（2）报价情况说明（如有）；</w:t>
      </w:r>
    </w:p>
    <w:p w14:paraId="35729CAA">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中小企业声明函（若属于中小企业）</w:t>
      </w:r>
      <w:r>
        <w:rPr>
          <w:rFonts w:hint="eastAsia"/>
          <w:color w:val="auto"/>
          <w:sz w:val="21"/>
          <w:szCs w:val="21"/>
          <w:highlight w:val="none"/>
          <w:lang w:eastAsia="zh-CN"/>
        </w:rPr>
        <w:t>；</w:t>
      </w:r>
    </w:p>
    <w:p w14:paraId="590B8B6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属于监狱企业的证明文件（若属于监狱企业）</w:t>
      </w:r>
      <w:r>
        <w:rPr>
          <w:rFonts w:hint="eastAsia"/>
          <w:color w:val="auto"/>
          <w:sz w:val="21"/>
          <w:szCs w:val="21"/>
          <w:highlight w:val="none"/>
          <w:lang w:eastAsia="zh-CN"/>
        </w:rPr>
        <w:t>；</w:t>
      </w:r>
    </w:p>
    <w:p w14:paraId="68014CAB">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残疾人福利性单位声明函（若属于残疾人福利性单位）</w:t>
      </w:r>
      <w:r>
        <w:rPr>
          <w:rFonts w:hint="eastAsia"/>
          <w:color w:val="auto"/>
          <w:sz w:val="21"/>
          <w:szCs w:val="21"/>
          <w:highlight w:val="none"/>
          <w:lang w:eastAsia="zh-CN"/>
        </w:rPr>
        <w:t>。</w:t>
      </w:r>
    </w:p>
    <w:p w14:paraId="08A3BF0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3.商务技术文件</w:t>
      </w:r>
    </w:p>
    <w:p w14:paraId="4B91CA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6F0860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（2）授权委托书或法定代表人（单位负责人、自然人本人）身份证明；</w:t>
      </w:r>
    </w:p>
    <w:p w14:paraId="56FA91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（3）采购需求偏离表；</w:t>
      </w:r>
    </w:p>
    <w:p w14:paraId="4D9537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（4）廉政承诺书；</w:t>
      </w:r>
    </w:p>
    <w:p w14:paraId="3F3565EB">
      <w:pPr>
        <w:adjustRightInd w:val="0"/>
        <w:snapToGrid w:val="0"/>
        <w:spacing w:line="288" w:lineRule="auto"/>
        <w:ind w:firstLine="420" w:firstLineChars="200"/>
        <w:rPr>
          <w:color w:val="auto"/>
          <w:sz w:val="21"/>
          <w:szCs w:val="21"/>
          <w:highlight w:val="none"/>
        </w:rPr>
      </w:pPr>
      <w:bookmarkStart w:id="131" w:name="_Hlk71884196"/>
      <w:r>
        <w:rPr>
          <w:rFonts w:hint="eastAsia"/>
          <w:color w:val="auto"/>
          <w:sz w:val="21"/>
          <w:szCs w:val="21"/>
          <w:highlight w:val="none"/>
        </w:rPr>
        <w:t>（5）供应商类似业绩一览表；</w:t>
      </w:r>
    </w:p>
    <w:p w14:paraId="7E4D8C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（6）节能环保产品证明材料；</w:t>
      </w:r>
    </w:p>
    <w:p w14:paraId="72CE3E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（7）技术方案；</w:t>
      </w:r>
    </w:p>
    <w:p w14:paraId="39C44A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（8）供应商需要说明的其他文件和材料。</w:t>
      </w:r>
    </w:p>
    <w:bookmarkEnd w:id="131"/>
    <w:p w14:paraId="4932D8E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8506700">
      <w:pPr>
        <w:adjustRightInd w:val="0"/>
        <w:snapToGrid w:val="0"/>
        <w:spacing w:line="288" w:lineRule="auto"/>
        <w:rPr>
          <w:color w:val="auto"/>
          <w:highlight w:val="none"/>
        </w:rPr>
      </w:pPr>
    </w:p>
    <w:p w14:paraId="4CE1475D">
      <w:pPr>
        <w:adjustRightInd w:val="0"/>
        <w:snapToGrid w:val="0"/>
        <w:spacing w:line="288" w:lineRule="auto"/>
        <w:jc w:val="center"/>
        <w:outlineLvl w:val="1"/>
        <w:rPr>
          <w:b/>
          <w:bCs/>
          <w:color w:val="auto"/>
          <w:sz w:val="84"/>
          <w:szCs w:val="84"/>
          <w:highlight w:val="none"/>
        </w:rPr>
      </w:pPr>
      <w:bookmarkStart w:id="132" w:name="_Toc14812"/>
      <w:bookmarkStart w:id="133" w:name="_Toc18243"/>
      <w:bookmarkStart w:id="134" w:name="_Toc19719"/>
      <w:r>
        <w:rPr>
          <w:rFonts w:hint="eastAsia"/>
          <w:b/>
          <w:bCs/>
          <w:color w:val="auto"/>
          <w:sz w:val="84"/>
          <w:szCs w:val="84"/>
          <w:highlight w:val="none"/>
        </w:rPr>
        <w:t>资格文件</w:t>
      </w:r>
      <w:bookmarkEnd w:id="132"/>
      <w:bookmarkEnd w:id="133"/>
      <w:bookmarkEnd w:id="134"/>
    </w:p>
    <w:p w14:paraId="1FC52B40">
      <w:pPr>
        <w:adjustRightInd w:val="0"/>
        <w:snapToGrid w:val="0"/>
        <w:spacing w:line="288" w:lineRule="auto"/>
        <w:jc w:val="center"/>
        <w:rPr>
          <w:b/>
          <w:bCs/>
          <w:color w:val="auto"/>
          <w:sz w:val="21"/>
          <w:szCs w:val="21"/>
          <w:highlight w:val="none"/>
        </w:rPr>
      </w:pPr>
    </w:p>
    <w:p w14:paraId="0256F12B">
      <w:pPr>
        <w:adjustRightInd w:val="0"/>
        <w:snapToGrid w:val="0"/>
        <w:spacing w:line="288" w:lineRule="auto"/>
        <w:jc w:val="center"/>
        <w:rPr>
          <w:b/>
          <w:bCs/>
          <w:color w:val="auto"/>
          <w:sz w:val="21"/>
          <w:szCs w:val="21"/>
          <w:highlight w:val="none"/>
        </w:rPr>
      </w:pPr>
    </w:p>
    <w:p w14:paraId="42181186">
      <w:pPr>
        <w:adjustRightInd w:val="0"/>
        <w:snapToGrid w:val="0"/>
        <w:spacing w:line="288" w:lineRule="auto"/>
        <w:jc w:val="center"/>
        <w:rPr>
          <w:b/>
          <w:bCs/>
          <w:color w:val="auto"/>
          <w:sz w:val="21"/>
          <w:szCs w:val="21"/>
          <w:highlight w:val="none"/>
        </w:rPr>
      </w:pPr>
      <w:bookmarkStart w:id="135" w:name="_Hlk94097338"/>
      <w:r>
        <w:rPr>
          <w:rFonts w:hint="eastAsia"/>
          <w:b/>
          <w:bCs/>
          <w:color w:val="auto"/>
          <w:sz w:val="21"/>
          <w:szCs w:val="21"/>
          <w:highlight w:val="none"/>
        </w:rPr>
        <w:t>资格审查要求的资格证明材料(均需加盖公章)</w:t>
      </w:r>
      <w:bookmarkEnd w:id="135"/>
    </w:p>
    <w:p w14:paraId="1E3AC7F3">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36" w:name="_Toc11699"/>
      <w:r>
        <w:rPr>
          <w:rFonts w:hint="eastAsia"/>
          <w:b/>
          <w:bCs/>
          <w:color w:val="auto"/>
          <w:sz w:val="21"/>
          <w:szCs w:val="21"/>
          <w:highlight w:val="none"/>
        </w:rPr>
        <w:t>一、有效的法人或者其他组织的营业执照等证明文件，自然人的身份证明</w:t>
      </w:r>
      <w:bookmarkEnd w:id="136"/>
    </w:p>
    <w:p w14:paraId="6B4B80AC">
      <w:pPr>
        <w:adjustRightInd w:val="0"/>
        <w:snapToGrid w:val="0"/>
        <w:spacing w:line="288" w:lineRule="auto"/>
        <w:rPr>
          <w:color w:val="auto"/>
          <w:sz w:val="21"/>
          <w:szCs w:val="21"/>
          <w:highlight w:val="none"/>
        </w:rPr>
      </w:pPr>
    </w:p>
    <w:p w14:paraId="21084F83">
      <w:pPr>
        <w:adjustRightInd w:val="0"/>
        <w:snapToGrid w:val="0"/>
        <w:spacing w:line="288" w:lineRule="auto"/>
        <w:rPr>
          <w:color w:val="auto"/>
          <w:sz w:val="21"/>
          <w:szCs w:val="21"/>
          <w:highlight w:val="none"/>
        </w:rPr>
      </w:pPr>
    </w:p>
    <w:p w14:paraId="2C04802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88E7F9A">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14:paraId="690BB52F">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14:paraId="1F71B108">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14:paraId="54392E42">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14:paraId="5941C438">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14:paraId="07A4931C">
      <w:pPr>
        <w:adjustRightInd w:val="0"/>
        <w:snapToGrid w:val="0"/>
        <w:spacing w:line="288" w:lineRule="auto"/>
        <w:jc w:val="center"/>
        <w:rPr>
          <w:b/>
          <w:bCs/>
          <w:color w:val="auto"/>
          <w:sz w:val="21"/>
          <w:szCs w:val="21"/>
          <w:highlight w:val="none"/>
          <w:shd w:val="clear" w:color="auto" w:fill="FFFFFF"/>
        </w:rPr>
      </w:pPr>
      <w:r>
        <w:rPr>
          <w:rFonts w:hint="eastAsia"/>
          <w:color w:val="auto"/>
          <w:sz w:val="21"/>
          <w:szCs w:val="21"/>
          <w:highlight w:val="none"/>
        </w:rPr>
        <w:br w:type="page"/>
      </w:r>
      <w:bookmarkStart w:id="137" w:name="_Toc21832"/>
      <w:r>
        <w:rPr>
          <w:rFonts w:hint="eastAsia"/>
          <w:b/>
          <w:color w:val="auto"/>
          <w:spacing w:val="-6"/>
          <w:sz w:val="21"/>
          <w:szCs w:val="21"/>
          <w:highlight w:val="none"/>
        </w:rPr>
        <w:t>二、</w:t>
      </w:r>
      <w:r>
        <w:rPr>
          <w:rFonts w:hint="eastAsia"/>
          <w:b/>
          <w:bCs/>
          <w:color w:val="auto"/>
          <w:sz w:val="21"/>
          <w:szCs w:val="21"/>
          <w:highlight w:val="none"/>
        </w:rPr>
        <w:t>符合参加政府采购活动应当具备的一般条件的承诺函</w:t>
      </w:r>
      <w:bookmarkEnd w:id="137"/>
    </w:p>
    <w:p w14:paraId="33E37E06">
      <w:pPr>
        <w:adjustRightInd w:val="0"/>
        <w:snapToGrid w:val="0"/>
        <w:spacing w:line="288" w:lineRule="auto"/>
        <w:rPr>
          <w:color w:val="auto"/>
          <w:sz w:val="21"/>
          <w:szCs w:val="21"/>
          <w:highlight w:val="none"/>
          <w:shd w:val="clear" w:color="auto" w:fill="FFFFFF"/>
        </w:rPr>
      </w:pPr>
    </w:p>
    <w:p w14:paraId="4F56BDC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致：浙江树人学院、浙江求是招标代理有限公司：</w:t>
      </w:r>
    </w:p>
    <w:p w14:paraId="2C27DA9A">
      <w:pPr>
        <w:adjustRightInd w:val="0"/>
        <w:snapToGrid w:val="0"/>
        <w:spacing w:line="288" w:lineRule="auto"/>
        <w:rPr>
          <w:color w:val="auto"/>
          <w:spacing w:val="-6"/>
          <w:sz w:val="21"/>
          <w:szCs w:val="21"/>
          <w:highlight w:val="none"/>
        </w:rPr>
      </w:pPr>
    </w:p>
    <w:p w14:paraId="47D05A4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（供应商名称）        </w:t>
      </w:r>
      <w:r>
        <w:rPr>
          <w:rFonts w:hint="eastAsia"/>
          <w:color w:val="auto"/>
          <w:spacing w:val="-6"/>
          <w:sz w:val="21"/>
          <w:szCs w:val="21"/>
          <w:highlight w:val="none"/>
        </w:rPr>
        <w:t>参加</w:t>
      </w:r>
      <w:r>
        <w:rPr>
          <w:rFonts w:hint="eastAsia"/>
          <w:color w:val="auto"/>
          <w:spacing w:val="-6"/>
          <w:sz w:val="21"/>
          <w:szCs w:val="21"/>
          <w:highlight w:val="none"/>
          <w:u w:val="single"/>
        </w:rPr>
        <w:t xml:space="preserve">（项目名称）        </w:t>
      </w:r>
      <w:r>
        <w:rPr>
          <w:rFonts w:hint="eastAsia"/>
          <w:color w:val="auto"/>
          <w:spacing w:val="-6"/>
          <w:sz w:val="21"/>
          <w:szCs w:val="21"/>
          <w:highlight w:val="none"/>
        </w:rPr>
        <w:t>项目的采购活动并承诺如下：</w:t>
      </w:r>
    </w:p>
    <w:p w14:paraId="2828CEB9">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62BA4C9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1、具有独立承担民事责任的能力；</w:t>
      </w:r>
    </w:p>
    <w:p w14:paraId="48786B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2、具有良好的商业信誉和健全的财务会计制度；</w:t>
      </w:r>
    </w:p>
    <w:p w14:paraId="2697F0E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3、具有履行合同所必需的设备和专业技术能力；</w:t>
      </w:r>
    </w:p>
    <w:p w14:paraId="3778190B">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4、有依法缴纳税收和社会保障资金的良好记录；</w:t>
      </w:r>
    </w:p>
    <w:p w14:paraId="6C3D6DB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5、参加本项目政府采购活动前三年内，在经营活动中</w:t>
      </w:r>
      <w:r>
        <w:rPr>
          <w:rFonts w:hint="eastAsia"/>
          <w:b/>
          <w:bCs/>
          <w:color w:val="auto"/>
          <w:spacing w:val="-6"/>
          <w:sz w:val="21"/>
          <w:szCs w:val="21"/>
          <w:highlight w:val="none"/>
          <w:u w:val="single"/>
        </w:rPr>
        <w:t xml:space="preserve">  没有  </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74F066EA">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6、法律、行政法规规定的其他条件。</w:t>
      </w:r>
    </w:p>
    <w:p w14:paraId="640976D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4A64085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三、不存在以下情况：</w:t>
      </w:r>
    </w:p>
    <w:p w14:paraId="1837821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1、单位负责人为同一人或者存在直接控股、管理关系的不同供应商参加同一合同项下的政府采购活动的；</w:t>
      </w:r>
    </w:p>
    <w:p w14:paraId="72EC42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2、为采购项目提供整体设计、规范编制或者项目管理、监理、检测等服务后再参加该采购项目的其他采购活动的。</w:t>
      </w:r>
    </w:p>
    <w:p w14:paraId="4D07152D">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四、以上事项如有虚假或隐瞒，我方愿意承担一切后果和责任。</w:t>
      </w:r>
    </w:p>
    <w:p w14:paraId="3086D043">
      <w:pPr>
        <w:adjustRightInd w:val="0"/>
        <w:snapToGrid w:val="0"/>
        <w:spacing w:line="288" w:lineRule="auto"/>
        <w:rPr>
          <w:color w:val="auto"/>
          <w:sz w:val="21"/>
          <w:szCs w:val="21"/>
          <w:highlight w:val="none"/>
        </w:rPr>
      </w:pPr>
    </w:p>
    <w:p w14:paraId="3CFA7B0C">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44FB0A6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677C8D5">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eastAsia="宋体"/>
          <w:b/>
          <w:color w:val="auto"/>
          <w:spacing w:val="-6"/>
          <w:sz w:val="21"/>
          <w:szCs w:val="21"/>
          <w:highlight w:val="none"/>
          <w:lang w:val="en-US" w:eastAsia="zh-CN"/>
        </w:rPr>
      </w:pPr>
      <w:r>
        <w:rPr>
          <w:rFonts w:hint="eastAsia"/>
          <w:color w:val="auto"/>
          <w:sz w:val="21"/>
          <w:szCs w:val="21"/>
          <w:highlight w:val="none"/>
        </w:rPr>
        <w:br w:type="page"/>
      </w:r>
      <w:bookmarkStart w:id="138" w:name="_Toc15019"/>
      <w:r>
        <w:rPr>
          <w:rFonts w:hint="eastAsia"/>
          <w:color w:val="auto"/>
          <w:sz w:val="21"/>
          <w:szCs w:val="21"/>
          <w:highlight w:val="none"/>
        </w:rPr>
        <w:t>三、</w:t>
      </w:r>
      <w:r>
        <w:rPr>
          <w:rFonts w:hint="eastAsia"/>
          <w:b/>
          <w:color w:val="auto"/>
          <w:spacing w:val="-6"/>
          <w:sz w:val="21"/>
          <w:szCs w:val="21"/>
          <w:highlight w:val="none"/>
        </w:rPr>
        <w:t>落实政府采购政策需满足的资格要求：</w:t>
      </w:r>
      <w:bookmarkEnd w:id="138"/>
      <w:r>
        <w:rPr>
          <w:rFonts w:hint="eastAsia"/>
          <w:b/>
          <w:color w:val="auto"/>
          <w:spacing w:val="-6"/>
          <w:sz w:val="21"/>
          <w:szCs w:val="21"/>
          <w:highlight w:val="none"/>
          <w:lang w:val="en-US" w:eastAsia="zh-CN"/>
        </w:rPr>
        <w:t>无</w:t>
      </w:r>
    </w:p>
    <w:p w14:paraId="3FEED0D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b/>
          <w:color w:val="auto"/>
          <w:spacing w:val="-6"/>
          <w:sz w:val="21"/>
          <w:szCs w:val="21"/>
          <w:highlight w:val="none"/>
        </w:rPr>
      </w:pPr>
      <w:bookmarkStart w:id="139" w:name="_Toc23640"/>
      <w:r>
        <w:rPr>
          <w:rFonts w:hint="eastAsia"/>
          <w:b/>
          <w:color w:val="auto"/>
          <w:spacing w:val="-6"/>
          <w:sz w:val="21"/>
          <w:szCs w:val="21"/>
          <w:highlight w:val="none"/>
        </w:rPr>
        <w:t>四、本项目的特定资格要求证明材料：无</w:t>
      </w:r>
      <w:bookmarkEnd w:id="139"/>
      <w:r>
        <w:rPr>
          <w:rFonts w:hint="eastAsia"/>
          <w:b/>
          <w:color w:val="auto"/>
          <w:spacing w:val="-6"/>
          <w:sz w:val="21"/>
          <w:szCs w:val="21"/>
          <w:highlight w:val="none"/>
        </w:rPr>
        <w:t>。</w:t>
      </w:r>
    </w:p>
    <w:p w14:paraId="5CB75BA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color w:val="auto"/>
          <w:sz w:val="21"/>
          <w:szCs w:val="21"/>
          <w:highlight w:val="none"/>
        </w:rPr>
      </w:pPr>
      <w:bookmarkStart w:id="140" w:name="_Toc22219"/>
      <w:r>
        <w:rPr>
          <w:rFonts w:hint="eastAsia"/>
          <w:b/>
          <w:color w:val="auto"/>
          <w:spacing w:val="-6"/>
          <w:sz w:val="21"/>
          <w:szCs w:val="21"/>
          <w:highlight w:val="none"/>
        </w:rPr>
        <w:t>五、以联合体形式参加的，提供联合协议（附件2），联合各方须均为中小企业；供应商不以联合体形式响应的，则不需要提供（格式详见附件）。</w:t>
      </w:r>
      <w:bookmarkEnd w:id="140"/>
      <w:r>
        <w:rPr>
          <w:rFonts w:hint="eastAsia"/>
          <w:b/>
          <w:color w:val="auto"/>
          <w:spacing w:val="-6"/>
          <w:sz w:val="21"/>
          <w:szCs w:val="21"/>
          <w:highlight w:val="none"/>
        </w:rPr>
        <w:t>合同分包的，提供分包意向协议（附件3），分包意向协议中所有供应商须均为中小企业</w:t>
      </w:r>
      <w:r>
        <w:rPr>
          <w:rFonts w:hint="eastAsia"/>
          <w:b/>
          <w:color w:val="auto"/>
          <w:sz w:val="21"/>
          <w:szCs w:val="21"/>
          <w:highlight w:val="none"/>
        </w:rPr>
        <w:t>；采购人不同意分包或者供应商成交后不以分包方式履行合同的，则不需要提供</w:t>
      </w:r>
      <w:r>
        <w:rPr>
          <w:rFonts w:hint="eastAsia"/>
          <w:b/>
          <w:color w:val="auto"/>
          <w:spacing w:val="-6"/>
          <w:sz w:val="21"/>
          <w:szCs w:val="21"/>
          <w:highlight w:val="none"/>
        </w:rPr>
        <w:t>（格式详见附件）</w:t>
      </w:r>
      <w:r>
        <w:rPr>
          <w:rFonts w:hint="eastAsia"/>
          <w:b/>
          <w:color w:val="auto"/>
          <w:sz w:val="21"/>
          <w:szCs w:val="21"/>
          <w:highlight w:val="none"/>
        </w:rPr>
        <w:t>。</w:t>
      </w:r>
      <w:r>
        <w:rPr>
          <w:rFonts w:hint="eastAsia"/>
          <w:color w:val="auto"/>
          <w:sz w:val="21"/>
          <w:szCs w:val="21"/>
          <w:highlight w:val="none"/>
        </w:rPr>
        <w:br w:type="page"/>
      </w:r>
    </w:p>
    <w:p w14:paraId="630CED9A">
      <w:pPr>
        <w:adjustRightInd w:val="0"/>
        <w:snapToGrid w:val="0"/>
        <w:spacing w:line="288" w:lineRule="auto"/>
        <w:rPr>
          <w:color w:val="auto"/>
          <w:highlight w:val="none"/>
        </w:rPr>
      </w:pPr>
    </w:p>
    <w:p w14:paraId="5AFE1B5B">
      <w:pPr>
        <w:adjustRightInd w:val="0"/>
        <w:snapToGrid w:val="0"/>
        <w:spacing w:line="288" w:lineRule="auto"/>
        <w:jc w:val="center"/>
        <w:outlineLvl w:val="1"/>
        <w:rPr>
          <w:b/>
          <w:bCs/>
          <w:color w:val="auto"/>
          <w:sz w:val="84"/>
          <w:szCs w:val="84"/>
          <w:highlight w:val="none"/>
        </w:rPr>
      </w:pPr>
      <w:bookmarkStart w:id="141" w:name="_Toc9903"/>
      <w:bookmarkStart w:id="142" w:name="_Toc7213"/>
      <w:bookmarkStart w:id="143" w:name="_Toc11709"/>
      <w:r>
        <w:rPr>
          <w:rFonts w:hint="eastAsia"/>
          <w:b/>
          <w:bCs/>
          <w:color w:val="auto"/>
          <w:sz w:val="84"/>
          <w:szCs w:val="84"/>
          <w:highlight w:val="none"/>
        </w:rPr>
        <w:t>报价文件</w:t>
      </w:r>
      <w:bookmarkEnd w:id="141"/>
      <w:bookmarkEnd w:id="142"/>
      <w:bookmarkEnd w:id="143"/>
    </w:p>
    <w:p w14:paraId="0CBE0045">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44" w:name="_Toc290"/>
      <w:bookmarkStart w:id="145" w:name="_Toc9596"/>
      <w:bookmarkStart w:id="146" w:name="_Toc20328"/>
      <w:bookmarkStart w:id="147" w:name="_Toc17160"/>
      <w:r>
        <w:rPr>
          <w:rFonts w:hint="eastAsia"/>
          <w:b/>
          <w:bCs/>
          <w:color w:val="auto"/>
          <w:sz w:val="21"/>
          <w:szCs w:val="21"/>
          <w:highlight w:val="none"/>
        </w:rPr>
        <w:t>一、初次报价一览表</w:t>
      </w:r>
    </w:p>
    <w:p w14:paraId="49BBD31B">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02602AFD">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69249D26">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75"/>
        <w:gridCol w:w="891"/>
        <w:gridCol w:w="1650"/>
        <w:gridCol w:w="733"/>
        <w:gridCol w:w="979"/>
        <w:gridCol w:w="1279"/>
        <w:gridCol w:w="1832"/>
      </w:tblGrid>
      <w:tr w14:paraId="2BDBD43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7B1C520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767" w:type="pct"/>
            <w:shd w:val="clear" w:color="auto" w:fill="auto"/>
            <w:vAlign w:val="center"/>
          </w:tcPr>
          <w:p w14:paraId="1F9FE72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63" w:type="pct"/>
            <w:shd w:val="clear" w:color="auto" w:fill="FFFFFF"/>
            <w:vAlign w:val="center"/>
          </w:tcPr>
          <w:p w14:paraId="773705F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858" w:type="pct"/>
            <w:shd w:val="clear" w:color="auto" w:fill="FFFFFF"/>
            <w:vAlign w:val="center"/>
          </w:tcPr>
          <w:p w14:paraId="1D2643D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0304505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381" w:type="pct"/>
            <w:shd w:val="clear" w:color="auto" w:fill="FFFFFF"/>
            <w:vAlign w:val="center"/>
          </w:tcPr>
          <w:p w14:paraId="6A4F7C6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509" w:type="pct"/>
            <w:shd w:val="clear" w:color="auto" w:fill="FFFFFF"/>
            <w:vAlign w:val="center"/>
          </w:tcPr>
          <w:p w14:paraId="33072EC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665" w:type="pct"/>
            <w:vAlign w:val="center"/>
          </w:tcPr>
          <w:p w14:paraId="425A567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949" w:type="pct"/>
            <w:vAlign w:val="center"/>
          </w:tcPr>
          <w:p w14:paraId="1796057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3419B4A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07B83B93">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0CF05051">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74180692">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4E81F450">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39E536B9">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206D0A7B">
            <w:pPr>
              <w:adjustRightInd w:val="0"/>
              <w:snapToGrid w:val="0"/>
              <w:spacing w:line="288" w:lineRule="auto"/>
              <w:jc w:val="center"/>
              <w:rPr>
                <w:b/>
                <w:bCs/>
                <w:color w:val="auto"/>
                <w:sz w:val="21"/>
                <w:szCs w:val="21"/>
                <w:highlight w:val="none"/>
              </w:rPr>
            </w:pPr>
          </w:p>
        </w:tc>
        <w:tc>
          <w:tcPr>
            <w:tcW w:w="665" w:type="pct"/>
            <w:vAlign w:val="center"/>
          </w:tcPr>
          <w:p w14:paraId="15B804CF">
            <w:pPr>
              <w:adjustRightInd w:val="0"/>
              <w:snapToGrid w:val="0"/>
              <w:spacing w:line="288" w:lineRule="auto"/>
              <w:jc w:val="center"/>
              <w:rPr>
                <w:b/>
                <w:bCs/>
                <w:color w:val="auto"/>
                <w:sz w:val="21"/>
                <w:szCs w:val="21"/>
                <w:highlight w:val="none"/>
              </w:rPr>
            </w:pPr>
          </w:p>
        </w:tc>
        <w:tc>
          <w:tcPr>
            <w:tcW w:w="949" w:type="pct"/>
            <w:vAlign w:val="center"/>
          </w:tcPr>
          <w:p w14:paraId="522FF002">
            <w:pPr>
              <w:adjustRightInd w:val="0"/>
              <w:snapToGrid w:val="0"/>
              <w:spacing w:line="288" w:lineRule="auto"/>
              <w:jc w:val="center"/>
              <w:rPr>
                <w:b/>
                <w:bCs/>
                <w:color w:val="auto"/>
                <w:sz w:val="21"/>
                <w:szCs w:val="21"/>
                <w:highlight w:val="none"/>
              </w:rPr>
            </w:pPr>
          </w:p>
        </w:tc>
      </w:tr>
      <w:tr w14:paraId="73647A1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461DE874">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29F5CEEE">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3FD87B14">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638A080E">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106AE05D">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64BFB439">
            <w:pPr>
              <w:adjustRightInd w:val="0"/>
              <w:snapToGrid w:val="0"/>
              <w:spacing w:line="288" w:lineRule="auto"/>
              <w:jc w:val="center"/>
              <w:rPr>
                <w:b/>
                <w:bCs/>
                <w:color w:val="auto"/>
                <w:sz w:val="21"/>
                <w:szCs w:val="21"/>
                <w:highlight w:val="none"/>
              </w:rPr>
            </w:pPr>
          </w:p>
        </w:tc>
        <w:tc>
          <w:tcPr>
            <w:tcW w:w="665" w:type="pct"/>
            <w:vAlign w:val="center"/>
          </w:tcPr>
          <w:p w14:paraId="6C84EC05">
            <w:pPr>
              <w:adjustRightInd w:val="0"/>
              <w:snapToGrid w:val="0"/>
              <w:spacing w:line="288" w:lineRule="auto"/>
              <w:jc w:val="center"/>
              <w:rPr>
                <w:b/>
                <w:bCs/>
                <w:color w:val="auto"/>
                <w:sz w:val="21"/>
                <w:szCs w:val="21"/>
                <w:highlight w:val="none"/>
              </w:rPr>
            </w:pPr>
          </w:p>
        </w:tc>
        <w:tc>
          <w:tcPr>
            <w:tcW w:w="949" w:type="pct"/>
            <w:vAlign w:val="center"/>
          </w:tcPr>
          <w:p w14:paraId="69A929B4">
            <w:pPr>
              <w:adjustRightInd w:val="0"/>
              <w:snapToGrid w:val="0"/>
              <w:spacing w:line="288" w:lineRule="auto"/>
              <w:jc w:val="center"/>
              <w:rPr>
                <w:b/>
                <w:bCs/>
                <w:color w:val="auto"/>
                <w:sz w:val="21"/>
                <w:szCs w:val="21"/>
                <w:highlight w:val="none"/>
              </w:rPr>
            </w:pPr>
          </w:p>
        </w:tc>
      </w:tr>
      <w:tr w14:paraId="6D9683D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1726B76B">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7A2B77FC">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130B64B2">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1446E601">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53150E3E">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7B837024">
            <w:pPr>
              <w:adjustRightInd w:val="0"/>
              <w:snapToGrid w:val="0"/>
              <w:spacing w:line="288" w:lineRule="auto"/>
              <w:jc w:val="center"/>
              <w:rPr>
                <w:b/>
                <w:bCs/>
                <w:color w:val="auto"/>
                <w:sz w:val="21"/>
                <w:szCs w:val="21"/>
                <w:highlight w:val="none"/>
              </w:rPr>
            </w:pPr>
          </w:p>
        </w:tc>
        <w:tc>
          <w:tcPr>
            <w:tcW w:w="665" w:type="pct"/>
            <w:vAlign w:val="center"/>
          </w:tcPr>
          <w:p w14:paraId="7FC97AA8">
            <w:pPr>
              <w:adjustRightInd w:val="0"/>
              <w:snapToGrid w:val="0"/>
              <w:spacing w:line="288" w:lineRule="auto"/>
              <w:jc w:val="center"/>
              <w:rPr>
                <w:b/>
                <w:bCs/>
                <w:color w:val="auto"/>
                <w:sz w:val="21"/>
                <w:szCs w:val="21"/>
                <w:highlight w:val="none"/>
              </w:rPr>
            </w:pPr>
          </w:p>
        </w:tc>
        <w:tc>
          <w:tcPr>
            <w:tcW w:w="949" w:type="pct"/>
            <w:vAlign w:val="center"/>
          </w:tcPr>
          <w:p w14:paraId="3EA27917">
            <w:pPr>
              <w:adjustRightInd w:val="0"/>
              <w:snapToGrid w:val="0"/>
              <w:spacing w:line="288" w:lineRule="auto"/>
              <w:jc w:val="center"/>
              <w:rPr>
                <w:b/>
                <w:bCs/>
                <w:color w:val="auto"/>
                <w:sz w:val="21"/>
                <w:szCs w:val="21"/>
                <w:highlight w:val="none"/>
              </w:rPr>
            </w:pPr>
          </w:p>
        </w:tc>
      </w:tr>
      <w:tr w14:paraId="7D6A170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7DDBC9CC">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19AE44C8">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703BEFDC">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66AE0D30">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591B8DCF">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33A79C96">
            <w:pPr>
              <w:adjustRightInd w:val="0"/>
              <w:snapToGrid w:val="0"/>
              <w:spacing w:line="288" w:lineRule="auto"/>
              <w:jc w:val="center"/>
              <w:rPr>
                <w:b/>
                <w:bCs/>
                <w:color w:val="auto"/>
                <w:sz w:val="21"/>
                <w:szCs w:val="21"/>
                <w:highlight w:val="none"/>
              </w:rPr>
            </w:pPr>
          </w:p>
        </w:tc>
        <w:tc>
          <w:tcPr>
            <w:tcW w:w="665" w:type="pct"/>
            <w:vAlign w:val="center"/>
          </w:tcPr>
          <w:p w14:paraId="5DC7AB9C">
            <w:pPr>
              <w:adjustRightInd w:val="0"/>
              <w:snapToGrid w:val="0"/>
              <w:spacing w:line="288" w:lineRule="auto"/>
              <w:jc w:val="center"/>
              <w:rPr>
                <w:b/>
                <w:bCs/>
                <w:color w:val="auto"/>
                <w:sz w:val="21"/>
                <w:szCs w:val="21"/>
                <w:highlight w:val="none"/>
              </w:rPr>
            </w:pPr>
          </w:p>
        </w:tc>
        <w:tc>
          <w:tcPr>
            <w:tcW w:w="949" w:type="pct"/>
            <w:vAlign w:val="center"/>
          </w:tcPr>
          <w:p w14:paraId="0A970DE9">
            <w:pPr>
              <w:adjustRightInd w:val="0"/>
              <w:snapToGrid w:val="0"/>
              <w:spacing w:line="288" w:lineRule="auto"/>
              <w:jc w:val="center"/>
              <w:rPr>
                <w:b/>
                <w:bCs/>
                <w:color w:val="auto"/>
                <w:sz w:val="21"/>
                <w:szCs w:val="21"/>
                <w:highlight w:val="none"/>
              </w:rPr>
            </w:pPr>
          </w:p>
        </w:tc>
      </w:tr>
      <w:tr w14:paraId="1314143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shd w:val="clear" w:color="auto" w:fill="auto"/>
            <w:vAlign w:val="center"/>
          </w:tcPr>
          <w:p w14:paraId="31337942">
            <w:pPr>
              <w:adjustRightInd w:val="0"/>
              <w:snapToGrid w:val="0"/>
              <w:spacing w:line="288" w:lineRule="auto"/>
              <w:jc w:val="center"/>
              <w:rPr>
                <w:b/>
                <w:bCs/>
                <w:color w:val="auto"/>
                <w:sz w:val="21"/>
                <w:szCs w:val="21"/>
                <w:highlight w:val="none"/>
              </w:rPr>
            </w:pPr>
          </w:p>
        </w:tc>
        <w:tc>
          <w:tcPr>
            <w:tcW w:w="767" w:type="pct"/>
            <w:shd w:val="clear" w:color="auto" w:fill="auto"/>
            <w:vAlign w:val="center"/>
          </w:tcPr>
          <w:p w14:paraId="50B0FA7E">
            <w:pPr>
              <w:adjustRightInd w:val="0"/>
              <w:snapToGrid w:val="0"/>
              <w:spacing w:line="288" w:lineRule="auto"/>
              <w:jc w:val="center"/>
              <w:rPr>
                <w:b/>
                <w:bCs/>
                <w:color w:val="auto"/>
                <w:sz w:val="21"/>
                <w:szCs w:val="21"/>
                <w:highlight w:val="none"/>
              </w:rPr>
            </w:pPr>
          </w:p>
        </w:tc>
        <w:tc>
          <w:tcPr>
            <w:tcW w:w="463" w:type="pct"/>
            <w:shd w:val="clear" w:color="auto" w:fill="FFFFFF"/>
            <w:vAlign w:val="center"/>
          </w:tcPr>
          <w:p w14:paraId="51EC0943">
            <w:pPr>
              <w:adjustRightInd w:val="0"/>
              <w:snapToGrid w:val="0"/>
              <w:spacing w:line="288" w:lineRule="auto"/>
              <w:jc w:val="center"/>
              <w:rPr>
                <w:b/>
                <w:bCs/>
                <w:color w:val="auto"/>
                <w:sz w:val="21"/>
                <w:szCs w:val="21"/>
                <w:highlight w:val="none"/>
              </w:rPr>
            </w:pPr>
          </w:p>
        </w:tc>
        <w:tc>
          <w:tcPr>
            <w:tcW w:w="858" w:type="pct"/>
            <w:shd w:val="clear" w:color="auto" w:fill="FFFFFF"/>
            <w:vAlign w:val="center"/>
          </w:tcPr>
          <w:p w14:paraId="18829952">
            <w:pPr>
              <w:adjustRightInd w:val="0"/>
              <w:snapToGrid w:val="0"/>
              <w:spacing w:line="288" w:lineRule="auto"/>
              <w:jc w:val="center"/>
              <w:rPr>
                <w:b/>
                <w:bCs/>
                <w:color w:val="auto"/>
                <w:sz w:val="21"/>
                <w:szCs w:val="21"/>
                <w:highlight w:val="none"/>
              </w:rPr>
            </w:pPr>
          </w:p>
        </w:tc>
        <w:tc>
          <w:tcPr>
            <w:tcW w:w="381" w:type="pct"/>
            <w:shd w:val="clear" w:color="auto" w:fill="FFFFFF"/>
            <w:vAlign w:val="center"/>
          </w:tcPr>
          <w:p w14:paraId="1C41FE5A">
            <w:pPr>
              <w:adjustRightInd w:val="0"/>
              <w:snapToGrid w:val="0"/>
              <w:spacing w:line="288" w:lineRule="auto"/>
              <w:jc w:val="center"/>
              <w:rPr>
                <w:b/>
                <w:bCs/>
                <w:color w:val="auto"/>
                <w:sz w:val="21"/>
                <w:szCs w:val="21"/>
                <w:highlight w:val="none"/>
              </w:rPr>
            </w:pPr>
          </w:p>
        </w:tc>
        <w:tc>
          <w:tcPr>
            <w:tcW w:w="509" w:type="pct"/>
            <w:shd w:val="clear" w:color="auto" w:fill="FFFFFF"/>
            <w:vAlign w:val="center"/>
          </w:tcPr>
          <w:p w14:paraId="0C2F031B">
            <w:pPr>
              <w:adjustRightInd w:val="0"/>
              <w:snapToGrid w:val="0"/>
              <w:spacing w:line="288" w:lineRule="auto"/>
              <w:jc w:val="center"/>
              <w:rPr>
                <w:b/>
                <w:bCs/>
                <w:color w:val="auto"/>
                <w:sz w:val="21"/>
                <w:szCs w:val="21"/>
                <w:highlight w:val="none"/>
              </w:rPr>
            </w:pPr>
          </w:p>
        </w:tc>
        <w:tc>
          <w:tcPr>
            <w:tcW w:w="665" w:type="pct"/>
            <w:vAlign w:val="center"/>
          </w:tcPr>
          <w:p w14:paraId="7B15D0CD">
            <w:pPr>
              <w:adjustRightInd w:val="0"/>
              <w:snapToGrid w:val="0"/>
              <w:spacing w:line="288" w:lineRule="auto"/>
              <w:jc w:val="center"/>
              <w:rPr>
                <w:b/>
                <w:bCs/>
                <w:color w:val="auto"/>
                <w:sz w:val="21"/>
                <w:szCs w:val="21"/>
                <w:highlight w:val="none"/>
              </w:rPr>
            </w:pPr>
          </w:p>
        </w:tc>
        <w:tc>
          <w:tcPr>
            <w:tcW w:w="949" w:type="pct"/>
            <w:vAlign w:val="center"/>
          </w:tcPr>
          <w:p w14:paraId="06A796F6">
            <w:pPr>
              <w:adjustRightInd w:val="0"/>
              <w:snapToGrid w:val="0"/>
              <w:spacing w:line="288" w:lineRule="auto"/>
              <w:jc w:val="center"/>
              <w:rPr>
                <w:b/>
                <w:bCs/>
                <w:color w:val="auto"/>
                <w:sz w:val="21"/>
                <w:szCs w:val="21"/>
                <w:highlight w:val="none"/>
              </w:rPr>
            </w:pPr>
          </w:p>
        </w:tc>
      </w:tr>
      <w:tr w14:paraId="78B5428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8"/>
            <w:vAlign w:val="center"/>
          </w:tcPr>
          <w:p w14:paraId="5AA87916">
            <w:pPr>
              <w:adjustRightInd w:val="0"/>
              <w:snapToGrid w:val="0"/>
              <w:spacing w:line="288" w:lineRule="auto"/>
              <w:jc w:val="left"/>
              <w:rPr>
                <w:b/>
                <w:bCs/>
                <w:color w:val="auto"/>
                <w:sz w:val="21"/>
                <w:szCs w:val="21"/>
                <w:highlight w:val="none"/>
              </w:rPr>
            </w:pPr>
            <w:r>
              <w:rPr>
                <w:rFonts w:hint="eastAsia"/>
                <w:b/>
                <w:color w:val="auto"/>
                <w:spacing w:val="-6"/>
                <w:sz w:val="21"/>
                <w:szCs w:val="21"/>
                <w:highlight w:val="none"/>
              </w:rPr>
              <w:t>说明：</w:t>
            </w:r>
            <w:r>
              <w:rPr>
                <w:rFonts w:hint="eastAsia"/>
                <w:color w:val="auto"/>
                <w:kern w:val="0"/>
                <w:sz w:val="21"/>
                <w:szCs w:val="21"/>
                <w:highlight w:val="none"/>
                <w:lang w:val="zh-CN"/>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报价一览表》名称栏中，供应商不能作出合理解释的，视为响应文件含有采购人不能接受的附加条件的，响应无效。</w:t>
            </w:r>
          </w:p>
          <w:p w14:paraId="691EBC3F">
            <w:pPr>
              <w:adjustRightInd w:val="0"/>
              <w:snapToGrid w:val="0"/>
              <w:spacing w:line="288" w:lineRule="auto"/>
              <w:jc w:val="center"/>
              <w:rPr>
                <w:b/>
                <w:bCs/>
                <w:color w:val="auto"/>
                <w:sz w:val="21"/>
                <w:szCs w:val="21"/>
                <w:highlight w:val="none"/>
              </w:rPr>
            </w:pPr>
          </w:p>
          <w:p w14:paraId="7B579F4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351CC7B1">
            <w:pPr>
              <w:adjustRightInd w:val="0"/>
              <w:snapToGrid w:val="0"/>
              <w:spacing w:line="288" w:lineRule="auto"/>
              <w:rPr>
                <w:b/>
                <w:bCs/>
                <w:color w:val="auto"/>
                <w:sz w:val="21"/>
                <w:szCs w:val="21"/>
                <w:highlight w:val="none"/>
              </w:rPr>
            </w:pPr>
          </w:p>
          <w:p w14:paraId="565719E7">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6B7407B0">
            <w:pPr>
              <w:adjustRightInd w:val="0"/>
              <w:snapToGrid w:val="0"/>
              <w:spacing w:line="288" w:lineRule="auto"/>
              <w:rPr>
                <w:b/>
                <w:bCs/>
                <w:color w:val="auto"/>
                <w:sz w:val="21"/>
                <w:szCs w:val="21"/>
                <w:highlight w:val="none"/>
              </w:rPr>
            </w:pPr>
          </w:p>
          <w:p w14:paraId="09C5E028">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33490369">
            <w:pPr>
              <w:adjustRightInd w:val="0"/>
              <w:snapToGrid w:val="0"/>
              <w:spacing w:line="288" w:lineRule="auto"/>
              <w:rPr>
                <w:b/>
                <w:bCs/>
                <w:color w:val="auto"/>
                <w:sz w:val="21"/>
                <w:szCs w:val="21"/>
                <w:highlight w:val="none"/>
              </w:rPr>
            </w:pPr>
          </w:p>
        </w:tc>
      </w:tr>
    </w:tbl>
    <w:p w14:paraId="38113DFD">
      <w:pPr>
        <w:adjustRightInd w:val="0"/>
        <w:snapToGrid w:val="0"/>
        <w:spacing w:line="288" w:lineRule="auto"/>
        <w:rPr>
          <w:color w:val="auto"/>
          <w:spacing w:val="-6"/>
          <w:sz w:val="21"/>
          <w:szCs w:val="21"/>
          <w:highlight w:val="none"/>
        </w:rPr>
      </w:pPr>
    </w:p>
    <w:p w14:paraId="731B0E03">
      <w:pPr>
        <w:pStyle w:val="7"/>
        <w:rPr>
          <w:color w:val="auto"/>
          <w:spacing w:val="-6"/>
          <w:sz w:val="21"/>
          <w:szCs w:val="21"/>
          <w:highlight w:val="none"/>
        </w:rPr>
      </w:pPr>
    </w:p>
    <w:p w14:paraId="78B074BD">
      <w:pPr>
        <w:rPr>
          <w:color w:val="auto"/>
          <w:highlight w:val="none"/>
        </w:rPr>
      </w:pPr>
    </w:p>
    <w:p w14:paraId="18C55CD9">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说明：</w:t>
      </w:r>
    </w:p>
    <w:p w14:paraId="5A4CE675">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3CDE7963">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7F588F17">
      <w:pPr>
        <w:spacing w:line="336" w:lineRule="auto"/>
        <w:rPr>
          <w:bCs/>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r>
        <w:rPr>
          <w:rFonts w:hint="eastAsia"/>
          <w:bCs/>
          <w:color w:val="auto"/>
          <w:spacing w:val="-6"/>
          <w:sz w:val="21"/>
          <w:szCs w:val="21"/>
          <w:highlight w:val="none"/>
        </w:rPr>
        <w:t>。</w:t>
      </w:r>
    </w:p>
    <w:p w14:paraId="64DAB23A">
      <w:pPr>
        <w:adjustRightInd w:val="0"/>
        <w:snapToGrid w:val="0"/>
        <w:spacing w:line="288" w:lineRule="auto"/>
        <w:rPr>
          <w:bCs/>
          <w:color w:val="auto"/>
          <w:sz w:val="21"/>
          <w:szCs w:val="21"/>
          <w:highlight w:val="none"/>
        </w:rPr>
      </w:pPr>
    </w:p>
    <w:p w14:paraId="7A1600FC">
      <w:pPr>
        <w:adjustRightInd w:val="0"/>
        <w:snapToGrid w:val="0"/>
        <w:spacing w:line="288" w:lineRule="auto"/>
        <w:rPr>
          <w:bCs/>
          <w:color w:val="auto"/>
          <w:sz w:val="21"/>
          <w:szCs w:val="21"/>
          <w:highlight w:val="none"/>
        </w:rPr>
      </w:pPr>
    </w:p>
    <w:p w14:paraId="5C045EB1">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供应商名称（电子签名/公章）：</w:t>
      </w:r>
    </w:p>
    <w:p w14:paraId="5812855D">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日期：</w:t>
      </w:r>
      <w:r>
        <w:rPr>
          <w:rFonts w:hint="eastAsia"/>
          <w:b/>
          <w:bCs/>
          <w:color w:val="auto"/>
          <w:sz w:val="21"/>
          <w:szCs w:val="21"/>
          <w:highlight w:val="none"/>
          <w:lang w:eastAsia="zh-CN"/>
        </w:rPr>
        <w:t>2025年</w:t>
      </w:r>
      <w:r>
        <w:rPr>
          <w:rFonts w:hint="eastAsia"/>
          <w:b/>
          <w:bCs/>
          <w:color w:val="auto"/>
          <w:sz w:val="21"/>
          <w:szCs w:val="21"/>
          <w:highlight w:val="none"/>
        </w:rPr>
        <w:t xml:space="preserve">  月  日</w:t>
      </w:r>
    </w:p>
    <w:p w14:paraId="7E72F10B">
      <w:pPr>
        <w:pStyle w:val="56"/>
        <w:keepNext w:val="0"/>
        <w:pageBreakBefore w:val="0"/>
        <w:tabs>
          <w:tab w:val="clear" w:pos="720"/>
        </w:tabs>
        <w:snapToGrid w:val="0"/>
        <w:spacing w:line="288" w:lineRule="auto"/>
        <w:outlineLvl w:val="1"/>
        <w:rPr>
          <w:rFonts w:eastAsia="宋体"/>
          <w:color w:val="auto"/>
          <w:kern w:val="2"/>
          <w:sz w:val="21"/>
          <w:szCs w:val="21"/>
          <w:highlight w:val="none"/>
        </w:rPr>
      </w:pPr>
      <w:r>
        <w:rPr>
          <w:rFonts w:hint="eastAsia" w:ascii="仿宋" w:hAnsi="仿宋" w:eastAsia="仿宋"/>
          <w:color w:val="auto"/>
          <w:kern w:val="2"/>
          <w:sz w:val="32"/>
          <w:szCs w:val="32"/>
          <w:highlight w:val="none"/>
        </w:rPr>
        <w:br w:type="page"/>
      </w:r>
      <w:r>
        <w:rPr>
          <w:rFonts w:hint="eastAsia" w:eastAsia="宋体"/>
          <w:color w:val="auto"/>
          <w:kern w:val="2"/>
          <w:sz w:val="21"/>
          <w:szCs w:val="21"/>
          <w:highlight w:val="none"/>
        </w:rPr>
        <w:t>二、报价情况说明（如有）</w:t>
      </w:r>
    </w:p>
    <w:p w14:paraId="62260CA8">
      <w:pPr>
        <w:pStyle w:val="56"/>
        <w:keepNext w:val="0"/>
        <w:pageBreakBefore w:val="0"/>
        <w:tabs>
          <w:tab w:val="clear" w:pos="720"/>
        </w:tabs>
        <w:snapToGrid w:val="0"/>
        <w:spacing w:line="288" w:lineRule="auto"/>
        <w:jc w:val="left"/>
        <w:outlineLvl w:val="9"/>
        <w:rPr>
          <w:rFonts w:eastAsia="宋体"/>
          <w:color w:val="auto"/>
          <w:sz w:val="21"/>
          <w:szCs w:val="21"/>
          <w:highlight w:val="none"/>
        </w:rPr>
      </w:pPr>
      <w:r>
        <w:rPr>
          <w:rFonts w:hint="eastAsia" w:eastAsia="宋体"/>
          <w:color w:val="auto"/>
          <w:sz w:val="21"/>
          <w:szCs w:val="21"/>
          <w:highlight w:val="none"/>
        </w:rPr>
        <w:t>如供应商最后报价低于项目预算50%的，应当提交文本文档，详细阐述不影响产品质量或者诚信履约的具体原因。</w:t>
      </w:r>
    </w:p>
    <w:p w14:paraId="6D6A94CE">
      <w:pPr>
        <w:rPr>
          <w:bCs/>
          <w:color w:val="auto"/>
          <w:spacing w:val="-6"/>
          <w:sz w:val="21"/>
          <w:szCs w:val="21"/>
          <w:highlight w:val="none"/>
        </w:rPr>
      </w:pPr>
    </w:p>
    <w:p w14:paraId="788629B2">
      <w:pPr>
        <w:rPr>
          <w:color w:val="auto"/>
          <w:highlight w:val="none"/>
        </w:rPr>
      </w:pPr>
    </w:p>
    <w:p w14:paraId="37A22A99">
      <w:pPr>
        <w:rPr>
          <w:b/>
          <w:color w:val="auto"/>
          <w:spacing w:val="-6"/>
          <w:sz w:val="21"/>
          <w:szCs w:val="21"/>
          <w:highlight w:val="none"/>
        </w:rPr>
      </w:pPr>
      <w:r>
        <w:rPr>
          <w:rFonts w:hint="eastAsia"/>
          <w:color w:val="auto"/>
          <w:sz w:val="21"/>
          <w:szCs w:val="21"/>
          <w:highlight w:val="none"/>
        </w:rPr>
        <w:br w:type="page"/>
      </w:r>
      <w:bookmarkEnd w:id="144"/>
      <w:bookmarkEnd w:id="145"/>
      <w:bookmarkEnd w:id="146"/>
      <w:bookmarkEnd w:id="147"/>
      <w:bookmarkStart w:id="148" w:name="_Toc3484"/>
      <w:bookmarkStart w:id="149" w:name="_Toc6428"/>
      <w:bookmarkStart w:id="150" w:name="_Toc8603"/>
    </w:p>
    <w:p w14:paraId="64655898">
      <w:pPr>
        <w:adjustRightInd w:val="0"/>
        <w:snapToGrid w:val="0"/>
        <w:spacing w:line="288" w:lineRule="auto"/>
        <w:ind w:firstLine="498" w:firstLineChars="236"/>
        <w:jc w:val="center"/>
        <w:outlineLvl w:val="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ascii="宋体" w:hAnsi="宋体" w:eastAsia="宋体" w:cs="宋体"/>
          <w:b/>
          <w:bCs/>
          <w:color w:val="auto"/>
          <w:sz w:val="21"/>
          <w:szCs w:val="21"/>
          <w:highlight w:val="none"/>
        </w:rPr>
        <w:t>中小企业声明函（货物）</w:t>
      </w:r>
    </w:p>
    <w:p w14:paraId="3AB51C86">
      <w:pPr>
        <w:adjustRightInd w:val="0"/>
        <w:snapToGrid w:val="0"/>
        <w:spacing w:line="288" w:lineRule="auto"/>
        <w:ind w:firstLine="498" w:firstLineChars="236"/>
        <w:rPr>
          <w:rFonts w:ascii="宋体" w:hAnsi="宋体" w:eastAsia="宋体" w:cs="宋体"/>
          <w:b/>
          <w:color w:val="auto"/>
          <w:sz w:val="21"/>
          <w:szCs w:val="21"/>
          <w:highlight w:val="none"/>
        </w:rPr>
      </w:pPr>
    </w:p>
    <w:p w14:paraId="118F729E">
      <w:pPr>
        <w:adjustRightInd w:val="0"/>
        <w:snapToGrid w:val="0"/>
        <w:spacing w:line="288" w:lineRule="auto"/>
        <w:ind w:firstLine="495" w:firstLineChars="236"/>
        <w:rPr>
          <w:rFonts w:ascii="宋体" w:hAnsi="宋体" w:eastAsia="宋体" w:cs="宋体"/>
          <w:color w:val="auto"/>
          <w:sz w:val="21"/>
          <w:szCs w:val="21"/>
          <w:highlight w:val="none"/>
        </w:rPr>
      </w:pPr>
      <w:r>
        <w:rPr>
          <w:rFonts w:ascii="宋体" w:hAnsi="宋体" w:eastAsia="宋体" w:cs="宋体"/>
          <w:color w:val="auto"/>
          <w:sz w:val="21"/>
          <w:szCs w:val="21"/>
          <w:highlight w:val="none"/>
        </w:rPr>
        <w:t>本公司（联合体）郑重声明，根据《政府采购促进中小企业发展管理办法》（财库</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2020</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46 号）的规定，本公司（联合体）参加</w:t>
      </w:r>
      <w:r>
        <w:rPr>
          <w:rFonts w:hint="eastAsia" w:ascii="宋体" w:hAnsi="宋体" w:eastAsia="宋体" w:cs="宋体"/>
          <w:color w:val="auto"/>
          <w:sz w:val="21"/>
          <w:szCs w:val="21"/>
          <w:highlight w:val="none"/>
          <w:u w:val="single"/>
        </w:rPr>
        <w:t>浙江树人学院</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eastAsia="zh-CN"/>
        </w:rPr>
        <w:t>后勤智慧餐厅与仓储管理系统</w:t>
      </w:r>
      <w:r>
        <w:rPr>
          <w:rFonts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2F283534">
      <w:pPr>
        <w:adjustRightInd w:val="0"/>
        <w:snapToGrid w:val="0"/>
        <w:spacing w:line="288" w:lineRule="auto"/>
        <w:ind w:firstLine="495" w:firstLineChars="236"/>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rPr>
        <w:t>后勤智慧餐厅与仓储管理系统</w:t>
      </w:r>
      <w:r>
        <w:rPr>
          <w:rFonts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工业</w:t>
      </w:r>
      <w:r>
        <w:rPr>
          <w:rFonts w:ascii="宋体" w:hAnsi="宋体" w:eastAsia="宋体" w:cs="宋体"/>
          <w:color w:val="auto"/>
          <w:sz w:val="21"/>
          <w:szCs w:val="21"/>
          <w:highlight w:val="none"/>
        </w:rPr>
        <w:t>；制造商为</w:t>
      </w:r>
      <w:r>
        <w:rPr>
          <w:rFonts w:ascii="宋体" w:hAnsi="宋体" w:eastAsia="宋体" w:cs="宋体"/>
          <w:color w:val="auto"/>
          <w:sz w:val="21"/>
          <w:szCs w:val="21"/>
          <w:highlight w:val="none"/>
          <w:u w:val="single"/>
        </w:rPr>
        <w:t>（企业名称）</w:t>
      </w:r>
      <w:r>
        <w:rPr>
          <w:rFonts w:ascii="宋体" w:hAnsi="宋体" w:eastAsia="宋体" w:cs="宋体"/>
          <w:color w:val="auto"/>
          <w:sz w:val="21"/>
          <w:szCs w:val="21"/>
          <w:highlight w:val="none"/>
        </w:rPr>
        <w:t>，从业人员</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ab/>
      </w:r>
      <w:r>
        <w:rPr>
          <w:rFonts w:ascii="宋体" w:hAnsi="宋体" w:eastAsia="宋体" w:cs="宋体"/>
          <w:color w:val="auto"/>
          <w:sz w:val="21"/>
          <w:szCs w:val="21"/>
          <w:highlight w:val="none"/>
        </w:rPr>
        <w:t>人，营业收入为</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ab/>
      </w:r>
      <w:r>
        <w:rPr>
          <w:rFonts w:ascii="宋体" w:hAnsi="宋体" w:eastAsia="宋体" w:cs="宋体"/>
          <w:color w:val="auto"/>
          <w:sz w:val="21"/>
          <w:szCs w:val="21"/>
          <w:highlight w:val="none"/>
        </w:rPr>
        <w:t>万元，资产总额为</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ab/>
      </w:r>
      <w:r>
        <w:rPr>
          <w:rFonts w:ascii="宋体" w:hAnsi="宋体" w:eastAsia="宋体" w:cs="宋体"/>
          <w:color w:val="auto"/>
          <w:sz w:val="21"/>
          <w:szCs w:val="21"/>
          <w:highlight w:val="none"/>
        </w:rPr>
        <w:t>万元，属于</w:t>
      </w:r>
      <w:r>
        <w:rPr>
          <w:rFonts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lang w:val="en-US" w:eastAsia="zh-CN"/>
        </w:rPr>
        <w:t>。</w:t>
      </w:r>
    </w:p>
    <w:p w14:paraId="3E6CD6E5">
      <w:pPr>
        <w:adjustRightInd w:val="0"/>
        <w:snapToGrid w:val="0"/>
        <w:spacing w:line="288" w:lineRule="auto"/>
        <w:ind w:firstLine="495" w:firstLineChars="236"/>
        <w:rPr>
          <w:rFonts w:ascii="宋体" w:hAnsi="宋体" w:eastAsia="宋体" w:cs="宋体"/>
          <w:color w:val="auto"/>
          <w:sz w:val="21"/>
          <w:szCs w:val="21"/>
          <w:highlight w:val="none"/>
        </w:rPr>
      </w:pPr>
      <w:r>
        <w:rPr>
          <w:rFonts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703EB45">
      <w:pPr>
        <w:adjustRightInd w:val="0"/>
        <w:snapToGrid w:val="0"/>
        <w:spacing w:line="288" w:lineRule="auto"/>
        <w:ind w:firstLine="495" w:firstLineChars="236"/>
        <w:rPr>
          <w:rFonts w:ascii="宋体" w:hAnsi="宋体" w:eastAsia="宋体" w:cs="宋体"/>
          <w:color w:val="auto"/>
          <w:sz w:val="21"/>
          <w:szCs w:val="21"/>
          <w:highlight w:val="none"/>
        </w:rPr>
      </w:pPr>
      <w:r>
        <w:rPr>
          <w:rFonts w:ascii="宋体" w:hAnsi="宋体" w:eastAsia="宋体" w:cs="宋体"/>
          <w:color w:val="auto"/>
          <w:sz w:val="21"/>
          <w:szCs w:val="21"/>
          <w:highlight w:val="none"/>
        </w:rPr>
        <w:t>本企业对上述声明内容的真实性负责。如有虚假，将依法承担相应责任。</w:t>
      </w:r>
    </w:p>
    <w:p w14:paraId="6DA9B93C">
      <w:pPr>
        <w:adjustRightInd w:val="0"/>
        <w:snapToGrid w:val="0"/>
        <w:spacing w:line="288" w:lineRule="auto"/>
        <w:ind w:firstLine="495" w:firstLineChars="236"/>
        <w:rPr>
          <w:rFonts w:ascii="宋体" w:hAnsi="宋体" w:eastAsia="宋体" w:cs="宋体"/>
          <w:color w:val="auto"/>
          <w:sz w:val="21"/>
          <w:szCs w:val="21"/>
          <w:highlight w:val="none"/>
        </w:rPr>
      </w:pPr>
    </w:p>
    <w:p w14:paraId="62E039D7">
      <w:pPr>
        <w:adjustRightInd w:val="0"/>
        <w:snapToGrid w:val="0"/>
        <w:spacing w:line="288" w:lineRule="auto"/>
        <w:ind w:firstLine="498" w:firstLineChars="236"/>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供应商名称（电子签名/公章）</w:t>
      </w:r>
      <w:r>
        <w:rPr>
          <w:rFonts w:ascii="宋体" w:hAnsi="宋体" w:eastAsia="宋体" w:cs="宋体"/>
          <w:b/>
          <w:bCs/>
          <w:color w:val="auto"/>
          <w:sz w:val="21"/>
          <w:szCs w:val="21"/>
          <w:highlight w:val="none"/>
        </w:rPr>
        <w:t>：</w:t>
      </w:r>
    </w:p>
    <w:p w14:paraId="0981973E">
      <w:pPr>
        <w:adjustRightInd w:val="0"/>
        <w:snapToGrid w:val="0"/>
        <w:spacing w:line="288" w:lineRule="auto"/>
        <w:ind w:firstLine="498" w:firstLineChars="236"/>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日期：</w:t>
      </w:r>
      <w:r>
        <w:rPr>
          <w:rFonts w:hint="eastAsia" w:ascii="宋体" w:hAnsi="宋体" w:eastAsia="宋体" w:cs="宋体"/>
          <w:b/>
          <w:bCs/>
          <w:color w:val="auto"/>
          <w:sz w:val="21"/>
          <w:szCs w:val="21"/>
          <w:highlight w:val="none"/>
          <w:lang w:eastAsia="zh-CN"/>
        </w:rPr>
        <w:t>2025年</w:t>
      </w:r>
      <w:r>
        <w:rPr>
          <w:rFonts w:hint="eastAsia" w:ascii="宋体" w:hAnsi="宋体" w:eastAsia="宋体" w:cs="宋体"/>
          <w:b/>
          <w:bCs/>
          <w:color w:val="auto"/>
          <w:sz w:val="21"/>
          <w:szCs w:val="21"/>
          <w:highlight w:val="none"/>
        </w:rPr>
        <w:t xml:space="preserve">  月  日</w:t>
      </w:r>
    </w:p>
    <w:p w14:paraId="2B754AED">
      <w:pPr>
        <w:adjustRightInd w:val="0"/>
        <w:snapToGrid w:val="0"/>
        <w:spacing w:line="288" w:lineRule="auto"/>
        <w:ind w:firstLine="495" w:firstLineChars="236"/>
        <w:rPr>
          <w:rFonts w:ascii="宋体" w:hAnsi="宋体" w:eastAsia="宋体" w:cs="宋体"/>
          <w:color w:val="auto"/>
          <w:sz w:val="21"/>
          <w:szCs w:val="21"/>
          <w:highlight w:val="none"/>
        </w:rPr>
      </w:pPr>
    </w:p>
    <w:p w14:paraId="6AC5E0D5">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9C51742">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中小企业参加政府采购活动，应当出具财库〔2020〕46号文件规定的《中小企业声明函》，否则不得享受相关中小企业扶持政策。</w:t>
      </w:r>
    </w:p>
    <w:p w14:paraId="1F3A0A80">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6289C329">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中小企业声明函》填写不全的，视为未提供《中小企业声明函》（从业人员、营业收入、资产总额在中小企业划型标准规定中不涉及的除外），或未按照《中小企业声明函》要求填写的，不享受中小企业扶持政策。</w:t>
      </w:r>
      <w:r>
        <w:rPr>
          <w:rFonts w:ascii="宋体" w:hAnsi="宋体" w:eastAsia="宋体" w:cs="宋体"/>
          <w:color w:val="auto"/>
          <w:sz w:val="21"/>
          <w:szCs w:val="21"/>
          <w:highlight w:val="none"/>
        </w:rPr>
        <w:t>如项目包含“多件”标的物的，需按标的物项数逐项填写。</w:t>
      </w:r>
    </w:p>
    <w:p w14:paraId="13E3C8BB">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供应商提供《中小企业声明函》内容不实的，属于提供虚假材料谋取中标、成交，依照《中华人民共和国政府采购法》等国家有关规定追究相应责任。</w:t>
      </w:r>
    </w:p>
    <w:p w14:paraId="3C411F02">
      <w:pPr>
        <w:adjustRightInd w:val="0"/>
        <w:snapToGrid w:val="0"/>
        <w:spacing w:line="288" w:lineRule="auto"/>
        <w:ind w:firstLine="495" w:firstLineChars="23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5.以联合体形式参加的，联合体各方均须提供中小企业声明函，联合各方须均为中小企业，否则视为不满足落实政府采购政策需满足的资格要求。</w:t>
      </w:r>
    </w:p>
    <w:p w14:paraId="3530E1C7">
      <w:pPr>
        <w:adjustRightInd w:val="0"/>
        <w:snapToGrid w:val="0"/>
        <w:spacing w:line="288" w:lineRule="auto"/>
        <w:ind w:firstLine="495" w:firstLineChars="236"/>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6.合同分包的，供应商和分包供应商均须提供中小企业声明函，分包意向协议中所有供应商须均为中小企业，否则视为不满足落实政府采购政策需满足的资格要求。</w:t>
      </w:r>
    </w:p>
    <w:p w14:paraId="0DB5B9F9">
      <w:pPr>
        <w:widowControl/>
        <w:adjustRightInd w:val="0"/>
        <w:snapToGrid w:val="0"/>
        <w:spacing w:line="288" w:lineRule="auto"/>
        <w:ind w:firstLine="469" w:firstLineChars="236"/>
        <w:jc w:val="center"/>
        <w:outlineLvl w:val="2"/>
        <w:rPr>
          <w:rFonts w:ascii="宋体" w:hAnsi="宋体" w:eastAsia="宋体" w:cs="宋体"/>
          <w:color w:val="auto"/>
          <w:kern w:val="0"/>
          <w:sz w:val="21"/>
          <w:szCs w:val="21"/>
          <w:highlight w:val="none"/>
        </w:rPr>
      </w:pPr>
      <w:r>
        <w:rPr>
          <w:rFonts w:hint="eastAsia" w:ascii="宋体" w:hAnsi="宋体" w:eastAsia="宋体" w:cs="宋体"/>
          <w:b/>
          <w:color w:val="auto"/>
          <w:spacing w:val="-6"/>
          <w:sz w:val="21"/>
          <w:szCs w:val="21"/>
          <w:highlight w:val="none"/>
        </w:rPr>
        <w:br w:type="page"/>
      </w:r>
      <w:r>
        <w:rPr>
          <w:rFonts w:hint="eastAsia" w:ascii="宋体" w:hAnsi="宋体" w:eastAsia="宋体" w:cs="宋体"/>
          <w:b/>
          <w:color w:val="auto"/>
          <w:spacing w:val="-6"/>
          <w:sz w:val="21"/>
          <w:szCs w:val="21"/>
          <w:highlight w:val="none"/>
          <w:lang w:val="en-US" w:eastAsia="zh-CN"/>
        </w:rPr>
        <w:t>四、</w:t>
      </w:r>
      <w:r>
        <w:rPr>
          <w:rFonts w:hint="eastAsia" w:ascii="宋体" w:hAnsi="宋体" w:eastAsia="宋体" w:cs="宋体"/>
          <w:b/>
          <w:color w:val="auto"/>
          <w:spacing w:val="-6"/>
          <w:sz w:val="21"/>
          <w:szCs w:val="21"/>
          <w:highlight w:val="none"/>
        </w:rPr>
        <w:t>属于监狱企业的证明文件（若属于监狱企业）</w:t>
      </w:r>
    </w:p>
    <w:p w14:paraId="376E2743">
      <w:pPr>
        <w:adjustRightInd w:val="0"/>
        <w:snapToGrid w:val="0"/>
        <w:spacing w:line="288" w:lineRule="auto"/>
        <w:rPr>
          <w:rFonts w:ascii="宋体" w:hAnsi="宋体" w:eastAsia="宋体" w:cs="宋体"/>
          <w:color w:val="auto"/>
          <w:kern w:val="0"/>
          <w:sz w:val="21"/>
          <w:szCs w:val="21"/>
          <w:highlight w:val="none"/>
        </w:rPr>
      </w:pPr>
    </w:p>
    <w:p w14:paraId="6C3D431C">
      <w:pPr>
        <w:adjustRightInd w:val="0"/>
        <w:snapToGrid w:val="0"/>
        <w:spacing w:line="288" w:lineRule="auto"/>
        <w:ind w:firstLine="373" w:firstLineChars="177"/>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监狱企业参加政府采购活动时，应当提供由省级以上监狱管理局、戒毒管理局（含新疆生产建设兵团）出具的属于监狱企业的证明文件。</w:t>
      </w:r>
    </w:p>
    <w:p w14:paraId="658DA77E">
      <w:pPr>
        <w:adjustRightInd w:val="0"/>
        <w:snapToGrid w:val="0"/>
        <w:spacing w:line="288" w:lineRule="auto"/>
        <w:rPr>
          <w:rFonts w:ascii="宋体" w:hAnsi="宋体" w:eastAsia="宋体" w:cs="宋体"/>
          <w:color w:val="auto"/>
          <w:sz w:val="21"/>
          <w:szCs w:val="21"/>
          <w:highlight w:val="none"/>
        </w:rPr>
      </w:pPr>
    </w:p>
    <w:p w14:paraId="1AC65C16">
      <w:pPr>
        <w:adjustRightInd w:val="0"/>
        <w:snapToGrid w:val="0"/>
        <w:spacing w:line="288"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14:paraId="3C9D5965">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FA55282">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二、在政府采购活动中，监狱企业视同小型、微型企业，享受预留份额、评审中价格扣除等政府采购促进中小企业发展的政府采购政策。</w:t>
      </w:r>
    </w:p>
    <w:p w14:paraId="299E3DB3">
      <w:pPr>
        <w:widowControl/>
        <w:adjustRightInd w:val="0"/>
        <w:snapToGrid w:val="0"/>
        <w:spacing w:line="288" w:lineRule="auto"/>
        <w:jc w:val="center"/>
        <w:outlineLvl w:val="2"/>
        <w:rPr>
          <w:rFonts w:ascii="宋体" w:hAnsi="宋体" w:eastAsia="宋体" w:cs="宋体"/>
          <w:b/>
          <w:color w:val="auto"/>
          <w:spacing w:val="-6"/>
          <w:sz w:val="21"/>
          <w:szCs w:val="21"/>
          <w:highlight w:val="none"/>
        </w:rPr>
      </w:pPr>
      <w:r>
        <w:rPr>
          <w:rFonts w:ascii="宋体" w:hAnsi="宋体" w:eastAsia="宋体" w:cs="宋体"/>
          <w:b/>
          <w:color w:val="auto"/>
          <w:spacing w:val="-6"/>
          <w:sz w:val="21"/>
          <w:szCs w:val="21"/>
          <w:highlight w:val="none"/>
        </w:rPr>
        <w:br w:type="page"/>
      </w:r>
      <w:r>
        <w:rPr>
          <w:rFonts w:hint="eastAsia" w:ascii="宋体" w:hAnsi="宋体" w:eastAsia="宋体" w:cs="宋体"/>
          <w:b/>
          <w:color w:val="auto"/>
          <w:spacing w:val="-6"/>
          <w:sz w:val="21"/>
          <w:szCs w:val="21"/>
          <w:highlight w:val="none"/>
          <w:lang w:val="en-US" w:eastAsia="zh-CN"/>
        </w:rPr>
        <w:t>五、</w:t>
      </w:r>
      <w:r>
        <w:rPr>
          <w:rFonts w:hint="eastAsia" w:ascii="宋体" w:hAnsi="宋体" w:eastAsia="宋体" w:cs="宋体"/>
          <w:b/>
          <w:color w:val="auto"/>
          <w:spacing w:val="-6"/>
          <w:sz w:val="21"/>
          <w:szCs w:val="21"/>
          <w:highlight w:val="none"/>
        </w:rPr>
        <w:t>残疾人福利性单位声明函（若属于残疾人福利性单位）</w:t>
      </w:r>
    </w:p>
    <w:p w14:paraId="0D79EDBB">
      <w:pPr>
        <w:adjustRightInd w:val="0"/>
        <w:snapToGrid w:val="0"/>
        <w:spacing w:line="288" w:lineRule="auto"/>
        <w:rPr>
          <w:rFonts w:ascii="宋体" w:hAnsi="宋体" w:eastAsia="宋体" w:cs="Times New Roman"/>
          <w:b/>
          <w:color w:val="auto"/>
          <w:spacing w:val="6"/>
          <w:sz w:val="21"/>
          <w:szCs w:val="21"/>
          <w:highlight w:val="none"/>
        </w:rPr>
      </w:pPr>
    </w:p>
    <w:p w14:paraId="72253E1A">
      <w:pPr>
        <w:adjustRightInd w:val="0"/>
        <w:snapToGrid w:val="0"/>
        <w:spacing w:line="288" w:lineRule="auto"/>
        <w:ind w:firstLine="444"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1"/>
          <w:szCs w:val="21"/>
          <w:highlight w:val="none"/>
        </w:rPr>
        <w:t>〔2017〕 141</w:t>
      </w:r>
      <w:r>
        <w:rPr>
          <w:rFonts w:hint="eastAsia" w:ascii="宋体" w:hAnsi="宋体" w:eastAsia="宋体" w:cs="Times New Roman"/>
          <w:color w:val="auto"/>
          <w:spacing w:val="6"/>
          <w:sz w:val="21"/>
          <w:szCs w:val="21"/>
          <w:highlight w:val="none"/>
        </w:rPr>
        <w:t>号）的规定，</w:t>
      </w:r>
      <w:r>
        <w:rPr>
          <w:rFonts w:hint="eastAsia" w:ascii="宋体" w:hAnsi="宋体" w:eastAsia="宋体" w:cs="Times New Roman"/>
          <w:b/>
          <w:bCs/>
          <w:color w:val="auto"/>
          <w:spacing w:val="6"/>
          <w:sz w:val="21"/>
          <w:szCs w:val="21"/>
          <w:highlight w:val="none"/>
        </w:rPr>
        <w:t>本单位为符合条件的残疾人福利性单位</w:t>
      </w:r>
      <w:r>
        <w:rPr>
          <w:rFonts w:hint="eastAsia" w:ascii="宋体" w:hAnsi="宋体" w:eastAsia="宋体" w:cs="Times New Roman"/>
          <w:color w:val="auto"/>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095A6E62">
      <w:pPr>
        <w:adjustRightInd w:val="0"/>
        <w:snapToGrid w:val="0"/>
        <w:spacing w:line="288" w:lineRule="auto"/>
        <w:ind w:firstLine="444"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本单位对上述声明的真实性负责。如有虚假，将依法承担相应责任。</w:t>
      </w:r>
    </w:p>
    <w:p w14:paraId="44FBA0B5">
      <w:pPr>
        <w:tabs>
          <w:tab w:val="left" w:pos="4860"/>
        </w:tabs>
        <w:adjustRightInd w:val="0"/>
        <w:snapToGrid w:val="0"/>
        <w:spacing w:line="288" w:lineRule="auto"/>
        <w:ind w:right="1560" w:firstLine="444" w:firstLineChars="200"/>
        <w:rPr>
          <w:rFonts w:ascii="宋体" w:hAnsi="宋体" w:eastAsia="宋体" w:cs="Times New Roman"/>
          <w:color w:val="auto"/>
          <w:spacing w:val="6"/>
          <w:sz w:val="21"/>
          <w:szCs w:val="21"/>
          <w:highlight w:val="none"/>
        </w:rPr>
      </w:pPr>
    </w:p>
    <w:p w14:paraId="01798BD3">
      <w:pPr>
        <w:tabs>
          <w:tab w:val="left" w:pos="4860"/>
        </w:tabs>
        <w:adjustRightInd w:val="0"/>
        <w:snapToGrid w:val="0"/>
        <w:spacing w:line="288" w:lineRule="auto"/>
        <w:ind w:right="1560" w:firstLine="446" w:firstLineChars="200"/>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供应商名称（电子签名/公章）：</w:t>
      </w:r>
    </w:p>
    <w:p w14:paraId="5D278361">
      <w:pPr>
        <w:tabs>
          <w:tab w:val="left" w:pos="4860"/>
        </w:tabs>
        <w:adjustRightInd w:val="0"/>
        <w:snapToGrid w:val="0"/>
        <w:spacing w:line="288" w:lineRule="auto"/>
        <w:ind w:right="1560" w:firstLine="446" w:firstLineChars="200"/>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日  期：</w:t>
      </w:r>
      <w:r>
        <w:rPr>
          <w:rFonts w:hint="eastAsia" w:ascii="宋体" w:hAnsi="宋体" w:eastAsia="宋体" w:cs="宋体"/>
          <w:b/>
          <w:bCs/>
          <w:color w:val="auto"/>
          <w:sz w:val="21"/>
          <w:szCs w:val="21"/>
          <w:highlight w:val="none"/>
          <w:lang w:eastAsia="zh-CN"/>
        </w:rPr>
        <w:t>2025年</w:t>
      </w:r>
      <w:r>
        <w:rPr>
          <w:rFonts w:hint="eastAsia" w:ascii="宋体" w:hAnsi="宋体" w:eastAsia="宋体" w:cs="宋体"/>
          <w:b/>
          <w:bCs/>
          <w:color w:val="auto"/>
          <w:sz w:val="21"/>
          <w:szCs w:val="21"/>
          <w:highlight w:val="none"/>
        </w:rPr>
        <w:t xml:space="preserve">  月  日</w:t>
      </w:r>
    </w:p>
    <w:p w14:paraId="66E136D5">
      <w:pPr>
        <w:adjustRightInd w:val="0"/>
        <w:snapToGrid w:val="0"/>
        <w:spacing w:line="288" w:lineRule="auto"/>
        <w:rPr>
          <w:rFonts w:ascii="宋体" w:hAnsi="宋体" w:eastAsia="宋体" w:cs="宋体"/>
          <w:color w:val="auto"/>
          <w:sz w:val="21"/>
          <w:szCs w:val="21"/>
          <w:highlight w:val="none"/>
        </w:rPr>
      </w:pPr>
    </w:p>
    <w:p w14:paraId="159B90E5">
      <w:pPr>
        <w:adjustRightInd w:val="0"/>
        <w:snapToGrid w:val="0"/>
        <w:spacing w:line="288"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14:paraId="5FAF1A0F">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一、享受政府采购支持政策的残疾人福利性单位应当同时满足以下条件：</w:t>
      </w:r>
    </w:p>
    <w:p w14:paraId="2F096892">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（一）安置的残疾人占本单位在职职工人数的比例不低于25%（含25%），并且安置的残疾人人数不少于10人（含10人）；</w:t>
      </w:r>
    </w:p>
    <w:p w14:paraId="7F897FC3">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（二）依法与安置的每位残疾人签订了一年以上（含一年）的劳动合同或服务协议；</w:t>
      </w:r>
    </w:p>
    <w:p w14:paraId="43F91F9E">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（三）为安置的每位残疾人按月足额缴纳了基本养老保险、基本医疗保险、失业保险、工伤保险和生育保险等社会保险费；</w:t>
      </w:r>
    </w:p>
    <w:p w14:paraId="2AE9ADD0">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（四）通过银行等金融机构向安置的每位残疾人，按月支付了不低于单位所在区县适用的经省级人民政府批准的月最低工资标准的工资；</w:t>
      </w:r>
    </w:p>
    <w:p w14:paraId="5D22E169">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5E47FF0">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6EBDBFE">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二、符合条件的残疾人福利性单位在参加政府采购活动时，应当提供财库</w:t>
      </w:r>
      <w:r>
        <w:rPr>
          <w:rFonts w:ascii="宋体" w:hAnsi="宋体" w:eastAsia="宋体" w:cs="宋体"/>
          <w:color w:val="auto"/>
          <w:kern w:val="0"/>
          <w:sz w:val="21"/>
          <w:szCs w:val="21"/>
          <w:highlight w:val="none"/>
        </w:rPr>
        <w:t>[2017]141号</w:t>
      </w:r>
      <w:r>
        <w:rPr>
          <w:rFonts w:hint="eastAsia" w:ascii="宋体" w:hAnsi="宋体" w:eastAsia="宋体" w:cs="宋体"/>
          <w:color w:val="auto"/>
          <w:kern w:val="0"/>
          <w:sz w:val="21"/>
          <w:szCs w:val="21"/>
          <w:highlight w:val="none"/>
        </w:rPr>
        <w:t>文件规定的《残疾人福利性单位声明函》，并对声明的真实性负责。</w:t>
      </w:r>
    </w:p>
    <w:p w14:paraId="3E70F5A1">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三、在政府采购活动中，残疾人福利性单位视同小型、微型企业，享受预留份额、评审中价格扣除等促进中小企业发展的政府采购政策。</w:t>
      </w:r>
    </w:p>
    <w:p w14:paraId="70058A81">
      <w:pPr>
        <w:widowControl/>
        <w:shd w:val="clear" w:color="auto" w:fill="FFFFFF"/>
        <w:adjustRightInd w:val="0"/>
        <w:snapToGrid w:val="0"/>
        <w:spacing w:line="288" w:lineRule="auto"/>
        <w:ind w:firstLine="371" w:firstLineChars="177"/>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注：残疾人福利性单位属于小型、微型企业的，不重复享受政策。</w:t>
      </w:r>
    </w:p>
    <w:p w14:paraId="265EFCE7">
      <w:pPr>
        <w:widowControl/>
        <w:adjustRightInd w:val="0"/>
        <w:snapToGrid w:val="0"/>
        <w:spacing w:line="288" w:lineRule="auto"/>
        <w:jc w:val="left"/>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br w:type="page"/>
      </w:r>
    </w:p>
    <w:p w14:paraId="20AA1FC0">
      <w:pPr>
        <w:rPr>
          <w:b/>
          <w:color w:val="auto"/>
          <w:spacing w:val="-6"/>
          <w:sz w:val="21"/>
          <w:szCs w:val="21"/>
          <w:highlight w:val="none"/>
        </w:rPr>
      </w:pPr>
    </w:p>
    <w:p w14:paraId="135DAA8F">
      <w:pPr>
        <w:jc w:val="center"/>
        <w:outlineLvl w:val="1"/>
        <w:rPr>
          <w:b/>
          <w:bCs/>
          <w:color w:val="auto"/>
          <w:sz w:val="84"/>
          <w:szCs w:val="84"/>
          <w:highlight w:val="none"/>
        </w:rPr>
      </w:pPr>
      <w:r>
        <w:rPr>
          <w:rFonts w:hint="eastAsia"/>
          <w:b/>
          <w:bCs/>
          <w:color w:val="auto"/>
          <w:sz w:val="84"/>
          <w:szCs w:val="84"/>
          <w:highlight w:val="none"/>
        </w:rPr>
        <w:t>商务技术文件</w:t>
      </w:r>
      <w:bookmarkEnd w:id="148"/>
      <w:bookmarkEnd w:id="149"/>
      <w:bookmarkEnd w:id="150"/>
    </w:p>
    <w:p w14:paraId="36B784FB">
      <w:pPr>
        <w:adjustRightInd w:val="0"/>
        <w:snapToGrid w:val="0"/>
        <w:spacing w:line="288" w:lineRule="auto"/>
        <w:jc w:val="center"/>
        <w:rPr>
          <w:b/>
          <w:bCs/>
          <w:color w:val="auto"/>
          <w:sz w:val="21"/>
          <w:szCs w:val="21"/>
          <w:highlight w:val="none"/>
        </w:rPr>
      </w:pPr>
      <w:r>
        <w:rPr>
          <w:rFonts w:hint="eastAsia"/>
          <w:color w:val="auto"/>
          <w:highlight w:val="none"/>
        </w:rPr>
        <w:br w:type="page"/>
      </w:r>
      <w:bookmarkStart w:id="151" w:name="_Toc31700"/>
      <w:r>
        <w:rPr>
          <w:rFonts w:hint="eastAsia"/>
          <w:b/>
          <w:bCs/>
          <w:color w:val="auto"/>
          <w:sz w:val="21"/>
          <w:szCs w:val="21"/>
          <w:highlight w:val="none"/>
        </w:rPr>
        <w:t>一、响应函</w:t>
      </w:r>
      <w:bookmarkEnd w:id="151"/>
    </w:p>
    <w:p w14:paraId="22726CFB">
      <w:pPr>
        <w:adjustRightInd w:val="0"/>
        <w:snapToGrid w:val="0"/>
        <w:spacing w:line="288" w:lineRule="auto"/>
        <w:rPr>
          <w:color w:val="auto"/>
          <w:sz w:val="21"/>
          <w:szCs w:val="21"/>
          <w:highlight w:val="none"/>
        </w:rPr>
      </w:pPr>
    </w:p>
    <w:p w14:paraId="69AC2410">
      <w:pPr>
        <w:adjustRightInd w:val="0"/>
        <w:snapToGrid w:val="0"/>
        <w:spacing w:line="288" w:lineRule="auto"/>
        <w:rPr>
          <w:b/>
          <w:bCs/>
          <w:color w:val="auto"/>
          <w:sz w:val="21"/>
          <w:szCs w:val="21"/>
          <w:highlight w:val="none"/>
        </w:rPr>
      </w:pPr>
      <w:r>
        <w:rPr>
          <w:rFonts w:hint="eastAsia"/>
          <w:b/>
          <w:bCs/>
          <w:color w:val="auto"/>
          <w:sz w:val="21"/>
          <w:szCs w:val="21"/>
          <w:highlight w:val="none"/>
        </w:rPr>
        <w:t>致：浙江树人学院、浙江求是招标代理有限公司：</w:t>
      </w:r>
    </w:p>
    <w:p w14:paraId="1CBDC3CA">
      <w:pPr>
        <w:adjustRightInd w:val="0"/>
        <w:snapToGrid w:val="0"/>
        <w:spacing w:line="288" w:lineRule="auto"/>
        <w:rPr>
          <w:color w:val="auto"/>
          <w:spacing w:val="-6"/>
          <w:sz w:val="21"/>
          <w:szCs w:val="21"/>
          <w:highlight w:val="none"/>
        </w:rPr>
      </w:pPr>
    </w:p>
    <w:p w14:paraId="7620E4F8">
      <w:pPr>
        <w:overflowPunct w:val="0"/>
        <w:autoSpaceDE w:val="0"/>
        <w:autoSpaceDN w:val="0"/>
        <w:adjustRightInd w:val="0"/>
        <w:snapToGrid w:val="0"/>
        <w:spacing w:line="288" w:lineRule="auto"/>
        <w:ind w:firstLine="396" w:firstLineChars="200"/>
        <w:rPr>
          <w:color w:val="auto"/>
          <w:sz w:val="21"/>
          <w:szCs w:val="21"/>
          <w:highlight w:val="none"/>
        </w:rPr>
      </w:pPr>
      <w:r>
        <w:rPr>
          <w:rFonts w:hint="eastAsia"/>
          <w:color w:val="auto"/>
          <w:spacing w:val="-6"/>
          <w:sz w:val="21"/>
          <w:szCs w:val="21"/>
          <w:highlight w:val="none"/>
        </w:rPr>
        <w:t>我方参加</w:t>
      </w:r>
      <w:r>
        <w:rPr>
          <w:rFonts w:hint="eastAsia"/>
          <w:bCs/>
          <w:color w:val="auto"/>
          <w:spacing w:val="-6"/>
          <w:sz w:val="21"/>
          <w:szCs w:val="21"/>
          <w:highlight w:val="none"/>
          <w:u w:val="single"/>
        </w:rPr>
        <w:t>浙江树人学院</w:t>
      </w:r>
      <w:r>
        <w:rPr>
          <w:rFonts w:hint="eastAsia"/>
          <w:bCs/>
          <w:color w:val="auto"/>
          <w:spacing w:val="-6"/>
          <w:sz w:val="21"/>
          <w:szCs w:val="21"/>
          <w:highlight w:val="none"/>
          <w:u w:val="single"/>
          <w:lang w:eastAsia="zh-CN"/>
        </w:rPr>
        <w:t>后勤智慧餐厅与仓储管理系统</w:t>
      </w:r>
      <w:r>
        <w:rPr>
          <w:rFonts w:hint="eastAsia"/>
          <w:color w:val="auto"/>
          <w:spacing w:val="-6"/>
          <w:sz w:val="21"/>
          <w:szCs w:val="21"/>
          <w:highlight w:val="none"/>
          <w:u w:val="single"/>
        </w:rPr>
        <w:t>（项目编号</w:t>
      </w:r>
      <w:r>
        <w:rPr>
          <w:rFonts w:hint="eastAsia"/>
          <w:bCs/>
          <w:color w:val="auto"/>
          <w:spacing w:val="-6"/>
          <w:sz w:val="21"/>
          <w:szCs w:val="21"/>
          <w:highlight w:val="none"/>
          <w:u w:val="single"/>
        </w:rPr>
        <w:t>：</w:t>
      </w:r>
      <w:r>
        <w:rPr>
          <w:rFonts w:hint="eastAsia"/>
          <w:bCs/>
          <w:color w:val="auto"/>
          <w:spacing w:val="-6"/>
          <w:sz w:val="21"/>
          <w:szCs w:val="21"/>
          <w:highlight w:val="none"/>
          <w:u w:val="single"/>
          <w:lang w:eastAsia="zh-CN"/>
        </w:rPr>
        <w:t>QSZBB250106ZHCS</w:t>
      </w:r>
      <w:r>
        <w:rPr>
          <w:rFonts w:hint="eastAsia"/>
          <w:bCs/>
          <w:color w:val="auto"/>
          <w:spacing w:val="-6"/>
          <w:sz w:val="21"/>
          <w:szCs w:val="21"/>
          <w:highlight w:val="none"/>
          <w:u w:val="single"/>
        </w:rPr>
        <w:t xml:space="preserve">      </w:t>
      </w:r>
      <w:r>
        <w:rPr>
          <w:rFonts w:hint="eastAsia"/>
          <w:color w:val="auto"/>
          <w:spacing w:val="-6"/>
          <w:sz w:val="21"/>
          <w:szCs w:val="21"/>
          <w:highlight w:val="none"/>
          <w:u w:val="single"/>
        </w:rPr>
        <w:t>）</w:t>
      </w:r>
      <w:r>
        <w:rPr>
          <w:rFonts w:hint="eastAsia"/>
          <w:color w:val="auto"/>
          <w:spacing w:val="-6"/>
          <w:sz w:val="21"/>
          <w:szCs w:val="21"/>
          <w:highlight w:val="none"/>
        </w:rPr>
        <w:t>项目，为此，我方提交电子加密响应文件一份、以介质（U盘）存储的数据电文形式的</w:t>
      </w:r>
      <w:r>
        <w:rPr>
          <w:rFonts w:hint="eastAsia"/>
          <w:color w:val="auto"/>
          <w:spacing w:val="-6"/>
          <w:sz w:val="21"/>
          <w:szCs w:val="21"/>
          <w:highlight w:val="none"/>
          <w:u w:val="single"/>
        </w:rPr>
        <w:t>备份响应文件1份（如有）</w:t>
      </w:r>
      <w:r>
        <w:rPr>
          <w:rFonts w:hint="eastAsia"/>
          <w:color w:val="auto"/>
          <w:spacing w:val="-6"/>
          <w:sz w:val="21"/>
          <w:szCs w:val="21"/>
          <w:highlight w:val="none"/>
        </w:rPr>
        <w:t>。宣布同意如下：</w:t>
      </w:r>
    </w:p>
    <w:p w14:paraId="082952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54002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1F2E78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B258A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30366A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1577DD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34FA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4AA5F477">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联系人：</w:t>
            </w:r>
          </w:p>
        </w:tc>
        <w:tc>
          <w:tcPr>
            <w:tcW w:w="6358" w:type="dxa"/>
          </w:tcPr>
          <w:p w14:paraId="63629CAE">
            <w:pPr>
              <w:adjustRightInd w:val="0"/>
              <w:snapToGrid w:val="0"/>
              <w:spacing w:line="288" w:lineRule="auto"/>
              <w:rPr>
                <w:color w:val="auto"/>
                <w:spacing w:val="-6"/>
                <w:sz w:val="21"/>
                <w:szCs w:val="21"/>
                <w:highlight w:val="none"/>
              </w:rPr>
            </w:pPr>
          </w:p>
        </w:tc>
      </w:tr>
      <w:tr w14:paraId="4CD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40673B5">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职务：</w:t>
            </w:r>
          </w:p>
        </w:tc>
        <w:tc>
          <w:tcPr>
            <w:tcW w:w="6358" w:type="dxa"/>
          </w:tcPr>
          <w:p w14:paraId="6D1CB63C">
            <w:pPr>
              <w:adjustRightInd w:val="0"/>
              <w:snapToGrid w:val="0"/>
              <w:spacing w:line="288" w:lineRule="auto"/>
              <w:rPr>
                <w:color w:val="auto"/>
                <w:spacing w:val="-6"/>
                <w:sz w:val="21"/>
                <w:szCs w:val="21"/>
                <w:highlight w:val="none"/>
              </w:rPr>
            </w:pPr>
          </w:p>
        </w:tc>
      </w:tr>
      <w:tr w14:paraId="790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6E399CA5">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手机：</w:t>
            </w:r>
          </w:p>
        </w:tc>
        <w:tc>
          <w:tcPr>
            <w:tcW w:w="6358" w:type="dxa"/>
          </w:tcPr>
          <w:p w14:paraId="1B38C580">
            <w:pPr>
              <w:adjustRightInd w:val="0"/>
              <w:snapToGrid w:val="0"/>
              <w:spacing w:line="288" w:lineRule="auto"/>
              <w:rPr>
                <w:color w:val="auto"/>
                <w:spacing w:val="-6"/>
                <w:sz w:val="21"/>
                <w:szCs w:val="21"/>
                <w:highlight w:val="none"/>
              </w:rPr>
            </w:pPr>
          </w:p>
        </w:tc>
      </w:tr>
      <w:tr w14:paraId="0C6C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37FED8CF">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电子邮箱：</w:t>
            </w:r>
          </w:p>
        </w:tc>
        <w:tc>
          <w:tcPr>
            <w:tcW w:w="6358" w:type="dxa"/>
          </w:tcPr>
          <w:p w14:paraId="1D05417B">
            <w:pPr>
              <w:adjustRightInd w:val="0"/>
              <w:snapToGrid w:val="0"/>
              <w:spacing w:line="288" w:lineRule="auto"/>
              <w:rPr>
                <w:color w:val="auto"/>
                <w:spacing w:val="-6"/>
                <w:sz w:val="21"/>
                <w:szCs w:val="21"/>
                <w:highlight w:val="none"/>
              </w:rPr>
            </w:pPr>
          </w:p>
        </w:tc>
      </w:tr>
      <w:tr w14:paraId="45EC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E014506">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地址：</w:t>
            </w:r>
          </w:p>
        </w:tc>
        <w:tc>
          <w:tcPr>
            <w:tcW w:w="6358" w:type="dxa"/>
          </w:tcPr>
          <w:p w14:paraId="42D5FD55">
            <w:pPr>
              <w:adjustRightInd w:val="0"/>
              <w:snapToGrid w:val="0"/>
              <w:spacing w:line="288" w:lineRule="auto"/>
              <w:rPr>
                <w:color w:val="auto"/>
                <w:spacing w:val="-6"/>
                <w:sz w:val="21"/>
                <w:szCs w:val="21"/>
                <w:highlight w:val="none"/>
              </w:rPr>
            </w:pPr>
          </w:p>
        </w:tc>
      </w:tr>
      <w:tr w14:paraId="4DE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tcPr>
          <w:p w14:paraId="11BF691C">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开户银行：</w:t>
            </w:r>
          </w:p>
        </w:tc>
        <w:tc>
          <w:tcPr>
            <w:tcW w:w="6358" w:type="dxa"/>
          </w:tcPr>
          <w:p w14:paraId="633A052D">
            <w:pPr>
              <w:adjustRightInd w:val="0"/>
              <w:snapToGrid w:val="0"/>
              <w:spacing w:line="288" w:lineRule="auto"/>
              <w:rPr>
                <w:color w:val="auto"/>
                <w:spacing w:val="-6"/>
                <w:sz w:val="21"/>
                <w:szCs w:val="21"/>
                <w:highlight w:val="none"/>
              </w:rPr>
            </w:pPr>
          </w:p>
        </w:tc>
      </w:tr>
      <w:tr w14:paraId="02A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tcPr>
          <w:p w14:paraId="2F599BE3">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银行账号：</w:t>
            </w:r>
          </w:p>
        </w:tc>
        <w:tc>
          <w:tcPr>
            <w:tcW w:w="6358" w:type="dxa"/>
          </w:tcPr>
          <w:p w14:paraId="61D78270">
            <w:pPr>
              <w:adjustRightInd w:val="0"/>
              <w:snapToGrid w:val="0"/>
              <w:spacing w:line="288" w:lineRule="auto"/>
              <w:rPr>
                <w:color w:val="auto"/>
                <w:spacing w:val="-6"/>
                <w:sz w:val="21"/>
                <w:szCs w:val="21"/>
                <w:highlight w:val="none"/>
              </w:rPr>
            </w:pPr>
          </w:p>
        </w:tc>
      </w:tr>
    </w:tbl>
    <w:p w14:paraId="57E582EE">
      <w:pPr>
        <w:adjustRightInd w:val="0"/>
        <w:snapToGrid w:val="0"/>
        <w:spacing w:line="288" w:lineRule="auto"/>
        <w:rPr>
          <w:color w:val="auto"/>
          <w:sz w:val="21"/>
          <w:szCs w:val="21"/>
          <w:highlight w:val="none"/>
        </w:rPr>
      </w:pPr>
    </w:p>
    <w:p w14:paraId="2B6FD762">
      <w:pPr>
        <w:adjustRightInd w:val="0"/>
        <w:snapToGrid w:val="0"/>
        <w:spacing w:line="288" w:lineRule="auto"/>
        <w:rPr>
          <w:color w:val="auto"/>
          <w:sz w:val="21"/>
          <w:szCs w:val="21"/>
          <w:highlight w:val="none"/>
        </w:rPr>
      </w:pPr>
    </w:p>
    <w:p w14:paraId="476C2B3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3E476B3">
      <w:pPr>
        <w:widowControl/>
        <w:adjustRightInd w:val="0"/>
        <w:snapToGrid w:val="0"/>
        <w:spacing w:line="288" w:lineRule="auto"/>
        <w:jc w:val="both"/>
        <w:rPr>
          <w:rFonts w:hint="eastAsia"/>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C4AE0F">
      <w:pPr>
        <w:widowControl/>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52" w:name="_Toc12753"/>
      <w:r>
        <w:rPr>
          <w:rFonts w:hint="eastAsia"/>
          <w:b/>
          <w:bCs/>
          <w:color w:val="auto"/>
          <w:sz w:val="21"/>
          <w:szCs w:val="21"/>
          <w:highlight w:val="none"/>
        </w:rPr>
        <w:t>二、授权委托书或法定代表人（单位负责人、自然人本人）身份证明</w:t>
      </w:r>
      <w:bookmarkEnd w:id="152"/>
    </w:p>
    <w:p w14:paraId="36EAF546">
      <w:pPr>
        <w:pStyle w:val="12"/>
        <w:adjustRightInd w:val="0"/>
        <w:snapToGrid w:val="0"/>
        <w:spacing w:beforeLines="0" w:afterLines="0" w:line="288" w:lineRule="auto"/>
        <w:jc w:val="center"/>
        <w:rPr>
          <w:rFonts w:hAnsi="宋体" w:cs="宋体"/>
          <w:b/>
          <w:bCs/>
          <w:color w:val="auto"/>
          <w:sz w:val="21"/>
          <w:szCs w:val="21"/>
          <w:highlight w:val="none"/>
          <w:lang w:val="zh-TW" w:eastAsia="zh-TW"/>
        </w:rPr>
      </w:pPr>
      <w:bookmarkStart w:id="153" w:name="_Toc21143"/>
      <w:bookmarkStart w:id="154" w:name="_Toc19623"/>
      <w:bookmarkStart w:id="155" w:name="_Toc3833"/>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书（适用于非联合体投标）</w:t>
      </w:r>
      <w:bookmarkEnd w:id="153"/>
      <w:bookmarkEnd w:id="154"/>
      <w:bookmarkEnd w:id="155"/>
    </w:p>
    <w:p w14:paraId="4F9329C2">
      <w:pPr>
        <w:pStyle w:val="12"/>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332DF5F3">
      <w:pPr>
        <w:pStyle w:val="12"/>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6DCF220E">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7690BA50">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62F379FC">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19A2B907">
      <w:pPr>
        <w:pStyle w:val="12"/>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供应商全称（电子签名/公章）：</w:t>
      </w:r>
    </w:p>
    <w:p w14:paraId="499A8BA7">
      <w:pPr>
        <w:pStyle w:val="12"/>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74B626F5">
      <w:pPr>
        <w:spacing w:line="288" w:lineRule="auto"/>
        <w:rPr>
          <w:b/>
          <w:i/>
          <w:color w:val="auto"/>
          <w:kern w:val="0"/>
          <w:sz w:val="21"/>
          <w:szCs w:val="21"/>
          <w:highlight w:val="none"/>
        </w:rPr>
      </w:pPr>
    </w:p>
    <w:p w14:paraId="73790455">
      <w:pPr>
        <w:spacing w:line="288" w:lineRule="auto"/>
        <w:rPr>
          <w:b/>
          <w:i/>
          <w:color w:val="auto"/>
          <w:kern w:val="0"/>
          <w:sz w:val="21"/>
          <w:szCs w:val="21"/>
          <w:highlight w:val="none"/>
        </w:rPr>
      </w:pPr>
    </w:p>
    <w:p w14:paraId="1E1537DA">
      <w:pPr>
        <w:spacing w:line="288" w:lineRule="auto"/>
        <w:rPr>
          <w:b/>
          <w:i/>
          <w:color w:val="auto"/>
          <w:kern w:val="0"/>
          <w:sz w:val="21"/>
          <w:szCs w:val="21"/>
          <w:highlight w:val="none"/>
        </w:rPr>
      </w:pPr>
    </w:p>
    <w:p w14:paraId="0F2CD470">
      <w:pPr>
        <w:spacing w:line="288" w:lineRule="auto"/>
        <w:rPr>
          <w:b/>
          <w:iCs/>
          <w:color w:val="auto"/>
          <w:kern w:val="0"/>
          <w:sz w:val="21"/>
          <w:szCs w:val="21"/>
          <w:highlight w:val="none"/>
        </w:rPr>
      </w:pPr>
      <w:r>
        <w:rPr>
          <w:rFonts w:hint="eastAsia"/>
          <w:b/>
          <w:iCs/>
          <w:color w:val="auto"/>
          <w:kern w:val="0"/>
          <w:sz w:val="21"/>
          <w:szCs w:val="21"/>
          <w:highlight w:val="none"/>
        </w:rPr>
        <w:t>后附证明材料（证明材料不齐全的，视为无效授权）：</w:t>
      </w:r>
    </w:p>
    <w:p w14:paraId="05B92F5D">
      <w:pPr>
        <w:spacing w:line="288" w:lineRule="auto"/>
        <w:ind w:firstLine="420" w:firstLineChars="200"/>
        <w:rPr>
          <w:iCs/>
          <w:color w:val="auto"/>
          <w:kern w:val="0"/>
          <w:sz w:val="21"/>
          <w:szCs w:val="21"/>
          <w:highlight w:val="none"/>
        </w:rPr>
      </w:pPr>
      <w:r>
        <w:rPr>
          <w:rFonts w:hint="eastAsia"/>
          <w:iCs/>
          <w:color w:val="auto"/>
          <w:kern w:val="0"/>
          <w:sz w:val="21"/>
          <w:szCs w:val="21"/>
          <w:highlight w:val="none"/>
        </w:rPr>
        <w:t>1、被授权人（授权代表）身份证复制件（正反面均须提供）；</w:t>
      </w:r>
    </w:p>
    <w:p w14:paraId="69AADEE7">
      <w:pPr>
        <w:spacing w:line="288" w:lineRule="auto"/>
        <w:ind w:firstLine="420" w:firstLineChars="200"/>
        <w:rPr>
          <w:rFonts w:hint="eastAsia"/>
          <w:iCs/>
          <w:color w:val="auto"/>
          <w:kern w:val="0"/>
          <w:sz w:val="21"/>
          <w:szCs w:val="21"/>
          <w:highlight w:val="none"/>
        </w:rPr>
      </w:pPr>
      <w:r>
        <w:rPr>
          <w:rFonts w:hint="eastAsia"/>
          <w:iCs/>
          <w:color w:val="auto"/>
          <w:kern w:val="0"/>
          <w:sz w:val="21"/>
          <w:szCs w:val="21"/>
          <w:highlight w:val="none"/>
        </w:rPr>
        <w:t>2、被授权人（授权代表）</w:t>
      </w:r>
      <w:r>
        <w:rPr>
          <w:rFonts w:hint="eastAsia"/>
          <w:iCs/>
          <w:color w:val="auto"/>
          <w:kern w:val="0"/>
          <w:sz w:val="21"/>
          <w:szCs w:val="21"/>
          <w:highlight w:val="none"/>
          <w:lang w:eastAsia="zh-CN"/>
        </w:rPr>
        <w:t>2024年7月1日</w:t>
      </w:r>
      <w:r>
        <w:rPr>
          <w:rFonts w:hint="eastAsia"/>
          <w:iCs/>
          <w:color w:val="auto"/>
          <w:kern w:val="0"/>
          <w:sz w:val="21"/>
          <w:szCs w:val="21"/>
          <w:highlight w:val="none"/>
        </w:rPr>
        <w:t>至今任意一个月的个人社保缴纳证明。</w:t>
      </w:r>
    </w:p>
    <w:p w14:paraId="3B26D93B">
      <w:pPr>
        <w:pStyle w:val="12"/>
        <w:rPr>
          <w:color w:val="auto"/>
          <w:highlight w:val="none"/>
        </w:rPr>
      </w:pPr>
    </w:p>
    <w:p w14:paraId="32AA9F99">
      <w:pPr>
        <w:pStyle w:val="12"/>
        <w:snapToGrid w:val="0"/>
        <w:spacing w:beforeLines="0" w:afterLines="0" w:line="288" w:lineRule="auto"/>
        <w:ind w:firstLine="480"/>
        <w:rPr>
          <w:rFonts w:hAnsi="宋体" w:cs="宋体"/>
          <w:iCs/>
          <w:color w:val="auto"/>
          <w:sz w:val="21"/>
          <w:szCs w:val="21"/>
          <w:highlight w:val="none"/>
        </w:rPr>
        <w:sectPr>
          <w:pgSz w:w="11900" w:h="16840"/>
          <w:pgMar w:top="1247" w:right="1247" w:bottom="1247" w:left="1247" w:header="0" w:footer="692" w:gutter="0"/>
          <w:pgBorders>
            <w:top w:val="none" w:sz="0" w:space="0"/>
            <w:left w:val="none" w:sz="0" w:space="0"/>
            <w:bottom w:val="none" w:sz="0" w:space="0"/>
            <w:right w:val="none" w:sz="0" w:space="0"/>
          </w:pgBorders>
          <w:cols w:space="720" w:num="1"/>
          <w:titlePg/>
          <w:docGrid w:linePitch="326" w:charSpace="0"/>
        </w:sectPr>
      </w:pPr>
    </w:p>
    <w:p w14:paraId="041958D5">
      <w:pPr>
        <w:pStyle w:val="12"/>
        <w:adjustRightInd w:val="0"/>
        <w:snapToGrid w:val="0"/>
        <w:spacing w:beforeLines="0" w:afterLines="0" w:line="288" w:lineRule="auto"/>
        <w:jc w:val="center"/>
        <w:rPr>
          <w:rFonts w:hAnsi="宋体" w:cs="宋体"/>
          <w:b/>
          <w:bCs/>
          <w:color w:val="auto"/>
          <w:sz w:val="21"/>
          <w:szCs w:val="21"/>
          <w:highlight w:val="none"/>
          <w:lang w:val="zh-TW" w:eastAsia="zh-TW"/>
        </w:rPr>
      </w:pPr>
      <w:bookmarkStart w:id="156" w:name="_Toc12514"/>
      <w:bookmarkStart w:id="157" w:name="_Toc7459"/>
      <w:bookmarkStart w:id="158" w:name="_Toc3197"/>
      <w:r>
        <w:rPr>
          <w:rFonts w:hint="eastAsia" w:hAnsi="宋体" w:cs="宋体"/>
          <w:b/>
          <w:bCs/>
          <w:color w:val="auto"/>
          <w:sz w:val="21"/>
          <w:szCs w:val="21"/>
          <w:highlight w:val="none"/>
          <w:lang w:val="zh-TW" w:eastAsia="zh-TW"/>
        </w:rPr>
        <w:t>授权</w:t>
      </w:r>
      <w:r>
        <w:rPr>
          <w:rFonts w:hint="eastAsia" w:hAnsi="宋体" w:cs="宋体"/>
          <w:b/>
          <w:bCs/>
          <w:color w:val="auto"/>
          <w:sz w:val="21"/>
          <w:szCs w:val="21"/>
          <w:highlight w:val="none"/>
        </w:rPr>
        <w:t>委托</w:t>
      </w:r>
      <w:r>
        <w:rPr>
          <w:rFonts w:hint="eastAsia" w:hAnsi="宋体" w:cs="宋体"/>
          <w:b/>
          <w:bCs/>
          <w:color w:val="auto"/>
          <w:sz w:val="21"/>
          <w:szCs w:val="21"/>
          <w:highlight w:val="none"/>
          <w:lang w:val="zh-TW" w:eastAsia="zh-TW"/>
        </w:rPr>
        <w:t>书（适用于联合体投标）</w:t>
      </w:r>
      <w:bookmarkEnd w:id="156"/>
      <w:bookmarkEnd w:id="157"/>
      <w:bookmarkEnd w:id="158"/>
    </w:p>
    <w:p w14:paraId="2F0205E2">
      <w:pPr>
        <w:pStyle w:val="12"/>
        <w:adjustRightInd w:val="0"/>
        <w:snapToGrid w:val="0"/>
        <w:spacing w:beforeLines="0" w:afterLines="0" w:line="288" w:lineRule="auto"/>
        <w:ind w:firstLine="420"/>
        <w:rPr>
          <w:rFonts w:hAnsi="宋体" w:cs="宋体"/>
          <w:color w:val="auto"/>
          <w:sz w:val="21"/>
          <w:szCs w:val="21"/>
          <w:highlight w:val="none"/>
          <w:u w:val="single"/>
        </w:rPr>
      </w:pPr>
      <w:r>
        <w:rPr>
          <w:rFonts w:hint="eastAsia" w:hAnsi="宋体" w:cs="宋体"/>
          <w:color w:val="auto"/>
          <w:sz w:val="21"/>
          <w:szCs w:val="21"/>
          <w:highlight w:val="none"/>
          <w:u w:val="single"/>
          <w:lang w:val="zh-TW" w:eastAsia="zh-TW"/>
        </w:rPr>
        <w:t>浙江树人学院：</w:t>
      </w:r>
    </w:p>
    <w:p w14:paraId="62030D06">
      <w:pPr>
        <w:pStyle w:val="12"/>
        <w:adjustRightInd w:val="0"/>
        <w:snapToGrid w:val="0"/>
        <w:spacing w:beforeLines="0" w:afterLines="0" w:line="288" w:lineRule="auto"/>
        <w:ind w:firstLine="420"/>
        <w:rPr>
          <w:rFonts w:hAnsi="宋体" w:cs="宋体"/>
          <w:color w:val="auto"/>
          <w:sz w:val="21"/>
          <w:szCs w:val="21"/>
          <w:highlight w:val="none"/>
          <w:u w:val="single"/>
          <w:lang w:val="zh-TW" w:eastAsia="zh-TW"/>
        </w:rPr>
      </w:pPr>
      <w:r>
        <w:rPr>
          <w:rFonts w:hint="eastAsia" w:hAnsi="宋体" w:cs="宋体"/>
          <w:color w:val="auto"/>
          <w:sz w:val="21"/>
          <w:szCs w:val="21"/>
          <w:highlight w:val="none"/>
          <w:u w:val="single"/>
          <w:lang w:val="zh-TW"/>
        </w:rPr>
        <w:t>浙江求是招标代理有限公司</w:t>
      </w:r>
      <w:r>
        <w:rPr>
          <w:rFonts w:hint="eastAsia" w:hAnsi="宋体" w:cs="宋体"/>
          <w:color w:val="auto"/>
          <w:sz w:val="21"/>
          <w:szCs w:val="21"/>
          <w:highlight w:val="none"/>
          <w:u w:val="single"/>
          <w:lang w:val="zh-TW" w:eastAsia="zh-TW"/>
        </w:rPr>
        <w:t>：</w:t>
      </w:r>
    </w:p>
    <w:p w14:paraId="2659F146">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现委托我单位在职员工</w:t>
      </w:r>
      <w:r>
        <w:rPr>
          <w:rFonts w:hint="eastAsia" w:hAnsi="宋体" w:cs="宋体"/>
          <w:color w:val="auto"/>
          <w:sz w:val="21"/>
          <w:szCs w:val="21"/>
          <w:highlight w:val="none"/>
          <w:u w:val="single"/>
        </w:rPr>
        <w:t>（授权代表姓名）</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（身份证号）   </w:t>
      </w:r>
      <w:r>
        <w:rPr>
          <w:rFonts w:hint="eastAsia" w:hAnsi="宋体" w:cs="宋体"/>
          <w:color w:val="auto"/>
          <w:sz w:val="21"/>
          <w:szCs w:val="21"/>
          <w:highlight w:val="none"/>
        </w:rPr>
        <w:t>（手机号：   ），为我单位的授权代表，以我方名义处理</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（采购人）</w:t>
      </w:r>
      <w:r>
        <w:rPr>
          <w:rFonts w:hint="eastAsia" w:hAnsi="宋体" w:cs="宋体"/>
          <w:color w:val="auto"/>
          <w:sz w:val="21"/>
          <w:szCs w:val="21"/>
          <w:highlight w:val="none"/>
          <w:u w:val="single"/>
        </w:rPr>
        <w:t xml:space="preserve">              项目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（项目编号）政府采购投标活动中的一切事宜，其法律后果由我方承担。</w:t>
      </w:r>
    </w:p>
    <w:p w14:paraId="05A020F1">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委托期限：自   年 月  日起至  年  月  日止。</w:t>
      </w:r>
    </w:p>
    <w:p w14:paraId="79A25F70">
      <w:pPr>
        <w:pStyle w:val="12"/>
        <w:snapToGrid w:val="0"/>
        <w:spacing w:beforeLines="0" w:afterLines="0" w:line="288"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特此告知。</w:t>
      </w:r>
    </w:p>
    <w:p w14:paraId="3DDAFD50">
      <w:pPr>
        <w:pStyle w:val="12"/>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358291BB">
      <w:pPr>
        <w:pStyle w:val="12"/>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联合体成员名称(电子签名/公章)：</w:t>
      </w:r>
    </w:p>
    <w:p w14:paraId="2573A0EB">
      <w:pPr>
        <w:pStyle w:val="12"/>
        <w:adjustRightInd w:val="0"/>
        <w:snapToGrid w:val="0"/>
        <w:spacing w:beforeLines="0" w:afterLines="0" w:line="288" w:lineRule="auto"/>
        <w:ind w:firstLine="420"/>
        <w:rPr>
          <w:rFonts w:hAnsi="宋体" w:cs="宋体"/>
          <w:color w:val="auto"/>
          <w:kern w:val="0"/>
          <w:sz w:val="21"/>
          <w:szCs w:val="21"/>
          <w:highlight w:val="none"/>
          <w:lang w:val="zh-TW" w:eastAsia="zh-TW"/>
        </w:rPr>
      </w:pPr>
      <w:r>
        <w:rPr>
          <w:rFonts w:hint="eastAsia" w:hAnsi="宋体" w:cs="宋体"/>
          <w:color w:val="auto"/>
          <w:kern w:val="0"/>
          <w:sz w:val="21"/>
          <w:szCs w:val="21"/>
          <w:highlight w:val="none"/>
          <w:lang w:val="zh-TW" w:eastAsia="zh-TW"/>
        </w:rPr>
        <w:t>……</w:t>
      </w:r>
    </w:p>
    <w:p w14:paraId="6EE23C20">
      <w:pPr>
        <w:pStyle w:val="12"/>
        <w:adjustRightInd w:val="0"/>
        <w:snapToGrid w:val="0"/>
        <w:spacing w:beforeLines="0" w:afterLines="0" w:line="288" w:lineRule="auto"/>
        <w:ind w:firstLine="420"/>
        <w:rPr>
          <w:rFonts w:hAnsi="宋体" w:cs="宋体"/>
          <w:color w:val="auto"/>
          <w:sz w:val="21"/>
          <w:szCs w:val="21"/>
          <w:highlight w:val="none"/>
          <w:lang w:val="zh-TW" w:eastAsia="zh-TW"/>
        </w:rPr>
      </w:pPr>
      <w:r>
        <w:rPr>
          <w:rFonts w:hint="eastAsia" w:hAnsi="宋体" w:cs="宋体"/>
          <w:color w:val="auto"/>
          <w:kern w:val="0"/>
          <w:sz w:val="21"/>
          <w:szCs w:val="21"/>
          <w:highlight w:val="none"/>
          <w:lang w:val="zh-TW" w:eastAsia="zh-TW"/>
        </w:rPr>
        <w:t>日期：</w:t>
      </w:r>
      <w:r>
        <w:rPr>
          <w:rFonts w:hint="eastAsia" w:hAnsi="宋体" w:cs="宋体"/>
          <w:color w:val="auto"/>
          <w:kern w:val="0"/>
          <w:sz w:val="21"/>
          <w:szCs w:val="21"/>
          <w:highlight w:val="none"/>
          <w:lang w:val="zh-TW" w:eastAsia="zh-CN"/>
        </w:rPr>
        <w:t>2025年</w:t>
      </w:r>
      <w:r>
        <w:rPr>
          <w:rFonts w:hint="eastAsia" w:hAnsi="宋体" w:cs="宋体"/>
          <w:color w:val="auto"/>
          <w:kern w:val="0"/>
          <w:sz w:val="21"/>
          <w:szCs w:val="21"/>
          <w:highlight w:val="none"/>
          <w:lang w:val="zh-TW" w:eastAsia="zh-TW"/>
        </w:rPr>
        <w:t xml:space="preserve">  月  日</w:t>
      </w:r>
    </w:p>
    <w:p w14:paraId="15BF4ABF">
      <w:pPr>
        <w:pStyle w:val="12"/>
        <w:snapToGrid w:val="0"/>
        <w:spacing w:beforeLines="0" w:afterLines="0" w:line="288" w:lineRule="auto"/>
        <w:ind w:firstLine="480"/>
        <w:rPr>
          <w:rFonts w:hAnsi="宋体" w:cs="宋体"/>
          <w:color w:val="auto"/>
          <w:sz w:val="21"/>
          <w:szCs w:val="21"/>
          <w:highlight w:val="none"/>
        </w:rPr>
      </w:pPr>
    </w:p>
    <w:p w14:paraId="44805138">
      <w:pPr>
        <w:spacing w:line="288" w:lineRule="auto"/>
        <w:rPr>
          <w:color w:val="auto"/>
          <w:sz w:val="21"/>
          <w:szCs w:val="21"/>
          <w:highlight w:val="none"/>
        </w:rPr>
      </w:pPr>
    </w:p>
    <w:p w14:paraId="5F1DCD18">
      <w:pPr>
        <w:spacing w:line="288" w:lineRule="auto"/>
        <w:rPr>
          <w:color w:val="auto"/>
          <w:sz w:val="21"/>
          <w:szCs w:val="21"/>
          <w:highlight w:val="none"/>
        </w:rPr>
      </w:pPr>
    </w:p>
    <w:p w14:paraId="519D4200">
      <w:pPr>
        <w:spacing w:line="288" w:lineRule="auto"/>
        <w:rPr>
          <w:color w:val="auto"/>
          <w:sz w:val="21"/>
          <w:szCs w:val="21"/>
          <w:highlight w:val="none"/>
        </w:rPr>
      </w:pPr>
    </w:p>
    <w:p w14:paraId="7051A10C">
      <w:pPr>
        <w:spacing w:line="288" w:lineRule="auto"/>
        <w:rPr>
          <w:b/>
          <w:color w:val="auto"/>
          <w:sz w:val="21"/>
          <w:szCs w:val="21"/>
          <w:highlight w:val="none"/>
        </w:rPr>
      </w:pPr>
      <w:r>
        <w:rPr>
          <w:rFonts w:hint="eastAsia"/>
          <w:b/>
          <w:color w:val="auto"/>
          <w:sz w:val="21"/>
          <w:szCs w:val="21"/>
          <w:highlight w:val="none"/>
        </w:rPr>
        <w:t>『编制说明』：</w:t>
      </w:r>
    </w:p>
    <w:p w14:paraId="57778420">
      <w:pPr>
        <w:spacing w:line="288" w:lineRule="auto"/>
        <w:ind w:firstLine="371" w:firstLineChars="176"/>
        <w:rPr>
          <w:b/>
          <w:color w:val="auto"/>
          <w:sz w:val="21"/>
          <w:szCs w:val="21"/>
          <w:highlight w:val="none"/>
        </w:rPr>
      </w:pPr>
      <w:r>
        <w:rPr>
          <w:rFonts w:hint="eastAsia"/>
          <w:b/>
          <w:color w:val="auto"/>
          <w:sz w:val="21"/>
          <w:szCs w:val="21"/>
          <w:highlight w:val="none"/>
        </w:rPr>
        <w:t>1.《授权委托书》适用于法定代表人（单位负责人、自然人本人）以外的人员代表供应商参加投标；</w:t>
      </w:r>
    </w:p>
    <w:p w14:paraId="4AF36B9C">
      <w:pPr>
        <w:spacing w:line="288" w:lineRule="auto"/>
        <w:ind w:firstLine="371" w:firstLineChars="176"/>
        <w:rPr>
          <w:b/>
          <w:color w:val="auto"/>
          <w:sz w:val="21"/>
          <w:szCs w:val="21"/>
          <w:highlight w:val="none"/>
        </w:rPr>
      </w:pPr>
      <w:r>
        <w:rPr>
          <w:rFonts w:hint="eastAsia"/>
          <w:b/>
          <w:color w:val="auto"/>
          <w:sz w:val="21"/>
          <w:szCs w:val="21"/>
          <w:highlight w:val="none"/>
        </w:rPr>
        <w:t>2.供应商为联合体的，联合体各方均需加盖公章或电子签名。</w:t>
      </w:r>
    </w:p>
    <w:p w14:paraId="75527869">
      <w:pPr>
        <w:pStyle w:val="7"/>
        <w:spacing w:line="288" w:lineRule="auto"/>
        <w:ind w:firstLine="0"/>
        <w:rPr>
          <w:rFonts w:hAnsi="宋体" w:cs="宋体"/>
          <w:color w:val="auto"/>
          <w:sz w:val="21"/>
          <w:szCs w:val="21"/>
          <w:highlight w:val="none"/>
        </w:rPr>
      </w:pPr>
    </w:p>
    <w:p w14:paraId="33C2510B">
      <w:pPr>
        <w:pStyle w:val="3"/>
        <w:spacing w:line="288" w:lineRule="auto"/>
        <w:rPr>
          <w:rFonts w:ascii="宋体" w:hAnsi="宋体" w:eastAsia="宋体" w:cs="宋体"/>
          <w:color w:val="auto"/>
          <w:highlight w:val="none"/>
        </w:rPr>
        <w:sectPr>
          <w:footerReference r:id="rId11" w:type="first"/>
          <w:footerReference r:id="rId10" w:type="default"/>
          <w:pgSz w:w="11900" w:h="16840"/>
          <w:pgMar w:top="1247" w:right="1247" w:bottom="1417" w:left="1247" w:header="0" w:footer="692" w:gutter="0"/>
          <w:pgBorders>
            <w:top w:val="none" w:sz="0" w:space="0"/>
            <w:left w:val="none" w:sz="0" w:space="0"/>
            <w:bottom w:val="none" w:sz="0" w:space="0"/>
            <w:right w:val="none" w:sz="0" w:space="0"/>
          </w:pgBorders>
          <w:cols w:space="720" w:num="1"/>
          <w:titlePg/>
          <w:docGrid w:linePitch="326" w:charSpace="0"/>
        </w:sectPr>
      </w:pPr>
    </w:p>
    <w:p w14:paraId="09133A36">
      <w:pPr>
        <w:adjustRightInd w:val="0"/>
        <w:snapToGrid w:val="0"/>
        <w:spacing w:line="288" w:lineRule="auto"/>
        <w:ind w:firstLine="420" w:firstLineChars="200"/>
        <w:rPr>
          <w:color w:val="auto"/>
          <w:sz w:val="21"/>
          <w:szCs w:val="21"/>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075B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tcPr>
          <w:p w14:paraId="4AB486C1">
            <w:pPr>
              <w:adjustRightInd w:val="0"/>
              <w:snapToGrid w:val="0"/>
              <w:spacing w:line="288" w:lineRule="auto"/>
              <w:rPr>
                <w:color w:val="auto"/>
                <w:sz w:val="21"/>
                <w:szCs w:val="21"/>
                <w:highlight w:val="none"/>
              </w:rPr>
            </w:pPr>
            <w:r>
              <w:rPr>
                <w:rFonts w:hint="eastAsia"/>
                <w:color w:val="auto"/>
                <w:sz w:val="21"/>
                <w:szCs w:val="21"/>
                <w:highlight w:val="none"/>
              </w:rPr>
              <w:t>法定代表人身份证明：</w:t>
            </w:r>
          </w:p>
          <w:p w14:paraId="09D4C6F2">
            <w:pPr>
              <w:adjustRightInd w:val="0"/>
              <w:snapToGrid w:val="0"/>
              <w:spacing w:line="288" w:lineRule="auto"/>
              <w:rPr>
                <w:color w:val="auto"/>
                <w:sz w:val="21"/>
                <w:szCs w:val="21"/>
                <w:highlight w:val="none"/>
              </w:rPr>
            </w:pPr>
          </w:p>
          <w:p w14:paraId="2C21E1D8">
            <w:pPr>
              <w:adjustRightInd w:val="0"/>
              <w:snapToGrid w:val="0"/>
              <w:spacing w:line="288" w:lineRule="auto"/>
              <w:rPr>
                <w:color w:val="auto"/>
                <w:sz w:val="21"/>
                <w:szCs w:val="21"/>
                <w:highlight w:val="none"/>
              </w:rPr>
            </w:pPr>
          </w:p>
          <w:p w14:paraId="539D3EA3">
            <w:pPr>
              <w:adjustRightInd w:val="0"/>
              <w:snapToGrid w:val="0"/>
              <w:spacing w:line="288" w:lineRule="auto"/>
              <w:rPr>
                <w:color w:val="auto"/>
                <w:sz w:val="21"/>
                <w:szCs w:val="21"/>
                <w:highlight w:val="none"/>
              </w:rPr>
            </w:pPr>
          </w:p>
          <w:p w14:paraId="3ED740FB">
            <w:pPr>
              <w:adjustRightInd w:val="0"/>
              <w:snapToGrid w:val="0"/>
              <w:spacing w:line="288" w:lineRule="auto"/>
              <w:rPr>
                <w:color w:val="auto"/>
                <w:sz w:val="21"/>
                <w:szCs w:val="21"/>
                <w:highlight w:val="none"/>
              </w:rPr>
            </w:pPr>
          </w:p>
          <w:p w14:paraId="2C67D2D9">
            <w:pPr>
              <w:adjustRightInd w:val="0"/>
              <w:snapToGrid w:val="0"/>
              <w:spacing w:line="288" w:lineRule="auto"/>
              <w:rPr>
                <w:color w:val="auto"/>
                <w:sz w:val="21"/>
                <w:szCs w:val="21"/>
                <w:highlight w:val="none"/>
              </w:rPr>
            </w:pPr>
          </w:p>
          <w:p w14:paraId="7AFFF97A">
            <w:pPr>
              <w:adjustRightInd w:val="0"/>
              <w:snapToGrid w:val="0"/>
              <w:spacing w:line="288" w:lineRule="auto"/>
              <w:rPr>
                <w:color w:val="auto"/>
                <w:sz w:val="21"/>
                <w:szCs w:val="21"/>
                <w:highlight w:val="none"/>
              </w:rPr>
            </w:pPr>
            <w:r>
              <w:rPr>
                <w:rFonts w:hint="eastAsia"/>
                <w:color w:val="auto"/>
                <w:sz w:val="21"/>
                <w:szCs w:val="21"/>
                <w:highlight w:val="none"/>
              </w:rPr>
              <w:t>授权代表身份证明：</w:t>
            </w:r>
          </w:p>
          <w:p w14:paraId="05E60649">
            <w:pPr>
              <w:adjustRightInd w:val="0"/>
              <w:snapToGrid w:val="0"/>
              <w:spacing w:line="288" w:lineRule="auto"/>
              <w:rPr>
                <w:color w:val="auto"/>
                <w:sz w:val="21"/>
                <w:szCs w:val="21"/>
                <w:highlight w:val="none"/>
              </w:rPr>
            </w:pPr>
          </w:p>
          <w:p w14:paraId="29756081">
            <w:pPr>
              <w:adjustRightInd w:val="0"/>
              <w:snapToGrid w:val="0"/>
              <w:spacing w:line="288" w:lineRule="auto"/>
              <w:rPr>
                <w:color w:val="auto"/>
                <w:sz w:val="21"/>
                <w:szCs w:val="21"/>
                <w:highlight w:val="none"/>
              </w:rPr>
            </w:pPr>
          </w:p>
          <w:p w14:paraId="0C71B265">
            <w:pPr>
              <w:adjustRightInd w:val="0"/>
              <w:snapToGrid w:val="0"/>
              <w:spacing w:line="288" w:lineRule="auto"/>
              <w:rPr>
                <w:color w:val="auto"/>
                <w:sz w:val="21"/>
                <w:szCs w:val="21"/>
                <w:highlight w:val="none"/>
              </w:rPr>
            </w:pPr>
          </w:p>
          <w:p w14:paraId="1ACEA43D">
            <w:pPr>
              <w:adjustRightInd w:val="0"/>
              <w:snapToGrid w:val="0"/>
              <w:spacing w:line="288" w:lineRule="auto"/>
              <w:rPr>
                <w:color w:val="auto"/>
                <w:sz w:val="21"/>
                <w:szCs w:val="21"/>
                <w:highlight w:val="none"/>
              </w:rPr>
            </w:pPr>
          </w:p>
        </w:tc>
      </w:tr>
    </w:tbl>
    <w:p w14:paraId="078CABD1">
      <w:pPr>
        <w:adjustRightInd w:val="0"/>
        <w:snapToGrid w:val="0"/>
        <w:spacing w:line="288" w:lineRule="auto"/>
        <w:rPr>
          <w:color w:val="auto"/>
          <w:sz w:val="21"/>
          <w:szCs w:val="21"/>
          <w:highlight w:val="none"/>
        </w:rPr>
      </w:pPr>
    </w:p>
    <w:p w14:paraId="4F7A533E">
      <w:pPr>
        <w:adjustRightInd w:val="0"/>
        <w:snapToGrid w:val="0"/>
        <w:spacing w:line="288" w:lineRule="auto"/>
        <w:rPr>
          <w:b/>
          <w:bCs/>
          <w:color w:val="auto"/>
          <w:sz w:val="21"/>
          <w:szCs w:val="21"/>
          <w:highlight w:val="none"/>
        </w:rPr>
      </w:pPr>
      <w:r>
        <w:rPr>
          <w:rFonts w:hint="eastAsia"/>
          <w:color w:val="auto"/>
          <w:sz w:val="21"/>
          <w:szCs w:val="21"/>
          <w:highlight w:val="none"/>
        </w:rPr>
        <w:br w:type="page"/>
      </w:r>
    </w:p>
    <w:p w14:paraId="0F181A74">
      <w:pPr>
        <w:autoSpaceDE w:val="0"/>
        <w:autoSpaceDN w:val="0"/>
        <w:spacing w:line="288" w:lineRule="auto"/>
        <w:jc w:val="center"/>
        <w:rPr>
          <w:b/>
          <w:color w:val="auto"/>
          <w:sz w:val="21"/>
          <w:szCs w:val="21"/>
          <w:highlight w:val="none"/>
        </w:rPr>
      </w:pPr>
      <w:r>
        <w:rPr>
          <w:rFonts w:hint="eastAsia"/>
          <w:b/>
          <w:color w:val="auto"/>
          <w:sz w:val="21"/>
          <w:szCs w:val="21"/>
          <w:highlight w:val="none"/>
          <w:lang w:val="zh-CN"/>
        </w:rPr>
        <w:t>法定代表人、单位负责人或自然人本人</w:t>
      </w:r>
      <w:r>
        <w:rPr>
          <w:rFonts w:hint="eastAsia"/>
          <w:b/>
          <w:color w:val="auto"/>
          <w:sz w:val="21"/>
          <w:szCs w:val="21"/>
          <w:highlight w:val="none"/>
        </w:rPr>
        <w:t>的身份证明（适用于法定代表人、单位负责人或者自然人本人代表供应商参加投标）</w:t>
      </w:r>
    </w:p>
    <w:p w14:paraId="71BBD7DB">
      <w:pPr>
        <w:pStyle w:val="60"/>
        <w:spacing w:line="288" w:lineRule="auto"/>
        <w:rPr>
          <w:rFonts w:hAnsi="宋体" w:cs="宋体"/>
          <w:bCs/>
          <w:color w:val="auto"/>
          <w:highlight w:val="none"/>
        </w:rPr>
      </w:pPr>
      <w:r>
        <w:rPr>
          <w:rFonts w:hint="eastAsia" w:hAnsi="宋体" w:cs="宋体"/>
          <w:bCs/>
          <w:color w:val="auto"/>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2571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tcPr>
          <w:p w14:paraId="6D8B307F">
            <w:pPr>
              <w:pStyle w:val="60"/>
              <w:adjustRightInd w:val="0"/>
              <w:spacing w:line="288" w:lineRule="auto"/>
              <w:rPr>
                <w:rFonts w:hAnsi="宋体" w:cs="宋体"/>
                <w:bCs/>
                <w:color w:val="auto"/>
                <w:highlight w:val="none"/>
              </w:rPr>
            </w:pPr>
            <w:r>
              <w:rPr>
                <w:rFonts w:hint="eastAsia" w:hAnsi="宋体" w:cs="宋体"/>
                <w:bCs/>
                <w:color w:val="auto"/>
                <w:highlight w:val="none"/>
              </w:rPr>
              <w:t>正面：                                 反面：</w:t>
            </w:r>
          </w:p>
          <w:p w14:paraId="10A565CF">
            <w:pPr>
              <w:pStyle w:val="60"/>
              <w:adjustRightInd w:val="0"/>
              <w:spacing w:line="288" w:lineRule="auto"/>
              <w:rPr>
                <w:rFonts w:hAnsi="宋体" w:cs="宋体"/>
                <w:bCs/>
                <w:color w:val="auto"/>
                <w:highlight w:val="none"/>
              </w:rPr>
            </w:pPr>
          </w:p>
        </w:tc>
      </w:tr>
    </w:tbl>
    <w:p w14:paraId="05D193B1">
      <w:pPr>
        <w:pStyle w:val="12"/>
        <w:adjustRightInd w:val="0"/>
        <w:snapToGrid w:val="0"/>
        <w:spacing w:beforeLines="0" w:afterLines="0" w:line="288" w:lineRule="auto"/>
        <w:ind w:firstLine="420"/>
        <w:rPr>
          <w:rFonts w:hAnsi="宋体" w:cs="宋体"/>
          <w:color w:val="auto"/>
          <w:sz w:val="21"/>
          <w:szCs w:val="21"/>
          <w:highlight w:val="none"/>
          <w:lang w:val="zh-TW" w:eastAsia="zh-TW"/>
        </w:rPr>
      </w:pPr>
    </w:p>
    <w:p w14:paraId="737060DE">
      <w:pPr>
        <w:pStyle w:val="12"/>
        <w:adjustRightInd w:val="0"/>
        <w:snapToGrid w:val="0"/>
        <w:spacing w:beforeLines="0" w:afterLines="0" w:line="288" w:lineRule="auto"/>
        <w:ind w:firstLine="420"/>
        <w:rPr>
          <w:rFonts w:hAnsi="宋体" w:cs="宋体"/>
          <w:color w:val="auto"/>
          <w:sz w:val="21"/>
          <w:szCs w:val="21"/>
          <w:highlight w:val="none"/>
        </w:rPr>
      </w:pPr>
      <w:r>
        <w:rPr>
          <w:rFonts w:hint="eastAsia" w:hAnsi="宋体" w:cs="宋体"/>
          <w:color w:val="auto"/>
          <w:sz w:val="21"/>
          <w:szCs w:val="21"/>
          <w:highlight w:val="none"/>
          <w:lang w:val="zh-TW" w:eastAsia="zh-TW"/>
        </w:rPr>
        <w:t>供应商全称（盖单位公章）：</w:t>
      </w:r>
    </w:p>
    <w:p w14:paraId="0AA6B9A5">
      <w:pPr>
        <w:spacing w:line="288" w:lineRule="auto"/>
        <w:ind w:firstLine="420" w:firstLineChars="200"/>
        <w:rPr>
          <w:color w:val="auto"/>
          <w:sz w:val="21"/>
          <w:szCs w:val="21"/>
          <w:highlight w:val="none"/>
          <w:lang w:val="zh-TW" w:eastAsia="zh-TW"/>
        </w:rPr>
      </w:pPr>
      <w:r>
        <w:rPr>
          <w:rFonts w:hint="eastAsia"/>
          <w:color w:val="auto"/>
          <w:sz w:val="21"/>
          <w:szCs w:val="21"/>
          <w:highlight w:val="none"/>
          <w:lang w:val="zh-TW" w:eastAsia="zh-TW"/>
        </w:rPr>
        <w:t>日期：</w:t>
      </w:r>
      <w:r>
        <w:rPr>
          <w:rFonts w:hint="eastAsia"/>
          <w:color w:val="auto"/>
          <w:sz w:val="21"/>
          <w:szCs w:val="21"/>
          <w:highlight w:val="none"/>
          <w:lang w:val="zh-TW" w:eastAsia="zh-CN"/>
        </w:rPr>
        <w:t>2025年</w:t>
      </w:r>
      <w:r>
        <w:rPr>
          <w:rFonts w:hint="eastAsia"/>
          <w:color w:val="auto"/>
          <w:sz w:val="21"/>
          <w:szCs w:val="21"/>
          <w:highlight w:val="none"/>
          <w:lang w:val="zh-TW" w:eastAsia="zh-TW"/>
        </w:rPr>
        <w:t xml:space="preserve">  月  日</w:t>
      </w:r>
    </w:p>
    <w:p w14:paraId="0B38B161">
      <w:pPr>
        <w:pStyle w:val="15"/>
        <w:spacing w:line="288" w:lineRule="auto"/>
        <w:rPr>
          <w:rFonts w:ascii="宋体" w:hAnsi="宋体" w:cs="宋体"/>
          <w:b/>
          <w:bCs/>
          <w:color w:val="auto"/>
          <w:sz w:val="21"/>
          <w:szCs w:val="21"/>
          <w:highlight w:val="none"/>
        </w:rPr>
        <w:sectPr>
          <w:footerReference r:id="rId12" w:type="default"/>
          <w:pgSz w:w="11906" w:h="16838"/>
          <w:pgMar w:top="1247" w:right="1247" w:bottom="1247" w:left="1247" w:header="0" w:footer="692" w:gutter="0"/>
          <w:pgBorders>
            <w:top w:val="none" w:sz="0" w:space="0"/>
            <w:left w:val="none" w:sz="0" w:space="0"/>
            <w:bottom w:val="none" w:sz="0" w:space="0"/>
            <w:right w:val="none" w:sz="0" w:space="0"/>
          </w:pgBorders>
          <w:cols w:space="720" w:num="1"/>
          <w:docGrid w:type="lines" w:linePitch="312" w:charSpace="0"/>
        </w:sectPr>
      </w:pPr>
    </w:p>
    <w:p w14:paraId="44D1AB88">
      <w:pPr>
        <w:adjustRightInd w:val="0"/>
        <w:snapToGrid w:val="0"/>
        <w:spacing w:line="288" w:lineRule="auto"/>
        <w:jc w:val="center"/>
        <w:outlineLvl w:val="1"/>
        <w:rPr>
          <w:b/>
          <w:bCs/>
          <w:color w:val="auto"/>
          <w:sz w:val="21"/>
          <w:szCs w:val="21"/>
          <w:highlight w:val="none"/>
        </w:rPr>
      </w:pPr>
      <w:bookmarkStart w:id="159" w:name="_Toc28829"/>
      <w:r>
        <w:rPr>
          <w:rFonts w:hint="eastAsia"/>
          <w:b/>
          <w:bCs/>
          <w:color w:val="auto"/>
          <w:sz w:val="21"/>
          <w:szCs w:val="21"/>
          <w:highlight w:val="none"/>
        </w:rPr>
        <w:t>三、</w:t>
      </w:r>
      <w:bookmarkEnd w:id="159"/>
      <w:r>
        <w:rPr>
          <w:rFonts w:hint="eastAsia"/>
          <w:b/>
          <w:bCs/>
          <w:color w:val="auto"/>
          <w:sz w:val="21"/>
          <w:szCs w:val="21"/>
          <w:highlight w:val="none"/>
        </w:rPr>
        <w:t>采购需求偏离表</w:t>
      </w:r>
    </w:p>
    <w:p w14:paraId="71C36575">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4031DCDE">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0B45DBD8">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62A22590">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CD2028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21" w:type="dxa"/>
            <w:tcBorders>
              <w:tl2br w:val="nil"/>
              <w:tr2bl w:val="nil"/>
            </w:tcBorders>
            <w:vAlign w:val="center"/>
          </w:tcPr>
          <w:p w14:paraId="79AEA49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854" w:type="dxa"/>
            <w:tcBorders>
              <w:tl2br w:val="nil"/>
              <w:tr2bl w:val="nil"/>
            </w:tcBorders>
            <w:vAlign w:val="center"/>
          </w:tcPr>
          <w:p w14:paraId="4E67B53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响应内容</w:t>
            </w:r>
          </w:p>
        </w:tc>
        <w:tc>
          <w:tcPr>
            <w:tcW w:w="2360" w:type="dxa"/>
            <w:tcBorders>
              <w:tl2br w:val="nil"/>
              <w:tr2bl w:val="nil"/>
            </w:tcBorders>
            <w:vAlign w:val="center"/>
          </w:tcPr>
          <w:p w14:paraId="5005554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14:paraId="52A1397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17EEDC0F">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14:paraId="6B155AA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538FAB39">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38B4AD9A">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21C7D03">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05DC19E">
            <w:pPr>
              <w:adjustRightInd w:val="0"/>
              <w:snapToGrid w:val="0"/>
              <w:spacing w:line="288" w:lineRule="auto"/>
              <w:jc w:val="center"/>
              <w:rPr>
                <w:color w:val="auto"/>
                <w:sz w:val="21"/>
                <w:szCs w:val="21"/>
                <w:highlight w:val="none"/>
              </w:rPr>
            </w:pPr>
          </w:p>
        </w:tc>
      </w:tr>
      <w:tr w14:paraId="2123E13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D030C53">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7949E895">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4C975D09">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18F66738">
            <w:pPr>
              <w:adjustRightInd w:val="0"/>
              <w:snapToGrid w:val="0"/>
              <w:spacing w:line="288" w:lineRule="auto"/>
              <w:jc w:val="center"/>
              <w:rPr>
                <w:color w:val="auto"/>
                <w:sz w:val="21"/>
                <w:szCs w:val="21"/>
                <w:highlight w:val="none"/>
              </w:rPr>
            </w:pPr>
          </w:p>
        </w:tc>
      </w:tr>
      <w:tr w14:paraId="7644B50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47A05A87">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55BE1688">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27AB00C">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915CAB9">
            <w:pPr>
              <w:adjustRightInd w:val="0"/>
              <w:snapToGrid w:val="0"/>
              <w:spacing w:line="288" w:lineRule="auto"/>
              <w:jc w:val="center"/>
              <w:rPr>
                <w:color w:val="auto"/>
                <w:sz w:val="21"/>
                <w:szCs w:val="21"/>
                <w:highlight w:val="none"/>
              </w:rPr>
            </w:pPr>
          </w:p>
        </w:tc>
      </w:tr>
      <w:tr w14:paraId="4FCCF47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30C9DBB9">
            <w:pPr>
              <w:adjustRightInd w:val="0"/>
              <w:snapToGrid w:val="0"/>
              <w:spacing w:line="288" w:lineRule="auto"/>
              <w:rPr>
                <w:b/>
                <w:bCs/>
                <w:color w:val="auto"/>
                <w:sz w:val="21"/>
                <w:szCs w:val="21"/>
                <w:highlight w:val="none"/>
              </w:rPr>
            </w:pPr>
            <w:r>
              <w:rPr>
                <w:rFonts w:hint="eastAsia"/>
                <w:b/>
                <w:bCs/>
                <w:color w:val="auto"/>
                <w:sz w:val="21"/>
                <w:szCs w:val="21"/>
                <w:highlight w:val="none"/>
              </w:rPr>
              <w:t>服务要求</w:t>
            </w:r>
          </w:p>
        </w:tc>
      </w:tr>
      <w:tr w14:paraId="42601B5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3D9B2DC6">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21" w:type="dxa"/>
            <w:tcBorders>
              <w:tl2br w:val="nil"/>
              <w:tr2bl w:val="nil"/>
            </w:tcBorders>
            <w:vAlign w:val="center"/>
          </w:tcPr>
          <w:p w14:paraId="782663F0">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A8BD4B6">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094724D3">
            <w:pPr>
              <w:adjustRightInd w:val="0"/>
              <w:snapToGrid w:val="0"/>
              <w:spacing w:line="288" w:lineRule="auto"/>
              <w:jc w:val="center"/>
              <w:rPr>
                <w:color w:val="auto"/>
                <w:sz w:val="21"/>
                <w:szCs w:val="21"/>
                <w:highlight w:val="none"/>
              </w:rPr>
            </w:pPr>
          </w:p>
        </w:tc>
      </w:tr>
      <w:tr w14:paraId="6488A5B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DA7A34">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21" w:type="dxa"/>
            <w:tcBorders>
              <w:tl2br w:val="nil"/>
              <w:tr2bl w:val="nil"/>
            </w:tcBorders>
            <w:vAlign w:val="center"/>
          </w:tcPr>
          <w:p w14:paraId="6999F68C">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6B767F55">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DE36502">
            <w:pPr>
              <w:adjustRightInd w:val="0"/>
              <w:snapToGrid w:val="0"/>
              <w:spacing w:line="288" w:lineRule="auto"/>
              <w:jc w:val="center"/>
              <w:rPr>
                <w:color w:val="auto"/>
                <w:sz w:val="21"/>
                <w:szCs w:val="21"/>
                <w:highlight w:val="none"/>
              </w:rPr>
            </w:pPr>
          </w:p>
        </w:tc>
      </w:tr>
      <w:tr w14:paraId="28CF89F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2079F6FF">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21" w:type="dxa"/>
            <w:tcBorders>
              <w:tl2br w:val="nil"/>
              <w:tr2bl w:val="nil"/>
            </w:tcBorders>
            <w:vAlign w:val="center"/>
          </w:tcPr>
          <w:p w14:paraId="02F1F5C2">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0E6668E1">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3E15D2B9">
            <w:pPr>
              <w:adjustRightInd w:val="0"/>
              <w:snapToGrid w:val="0"/>
              <w:spacing w:line="288" w:lineRule="auto"/>
              <w:jc w:val="center"/>
              <w:rPr>
                <w:color w:val="auto"/>
                <w:sz w:val="21"/>
                <w:szCs w:val="21"/>
                <w:highlight w:val="none"/>
              </w:rPr>
            </w:pPr>
          </w:p>
        </w:tc>
      </w:tr>
      <w:tr w14:paraId="2ECA363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tcBorders>
              <w:tl2br w:val="nil"/>
              <w:tr2bl w:val="nil"/>
            </w:tcBorders>
            <w:vAlign w:val="center"/>
          </w:tcPr>
          <w:p w14:paraId="5EDFC073">
            <w:pPr>
              <w:adjustRightInd w:val="0"/>
              <w:snapToGrid w:val="0"/>
              <w:spacing w:line="288" w:lineRule="auto"/>
              <w:rPr>
                <w:color w:val="auto"/>
                <w:sz w:val="21"/>
                <w:szCs w:val="21"/>
                <w:highlight w:val="none"/>
              </w:rPr>
            </w:pPr>
            <w:r>
              <w:rPr>
                <w:rFonts w:hint="eastAsia"/>
                <w:b/>
                <w:bCs/>
                <w:color w:val="auto"/>
                <w:sz w:val="21"/>
                <w:szCs w:val="21"/>
                <w:highlight w:val="none"/>
              </w:rPr>
              <w:t>技术要求</w:t>
            </w:r>
          </w:p>
        </w:tc>
      </w:tr>
      <w:tr w14:paraId="05B54BF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6D421689">
            <w:pPr>
              <w:adjustRightInd w:val="0"/>
              <w:snapToGrid w:val="0"/>
              <w:spacing w:line="288" w:lineRule="auto"/>
              <w:jc w:val="center"/>
              <w:rPr>
                <w:color w:val="auto"/>
                <w:sz w:val="21"/>
                <w:szCs w:val="21"/>
                <w:highlight w:val="none"/>
              </w:rPr>
            </w:pPr>
          </w:p>
        </w:tc>
        <w:tc>
          <w:tcPr>
            <w:tcW w:w="3221" w:type="dxa"/>
            <w:tcBorders>
              <w:tl2br w:val="nil"/>
              <w:tr2bl w:val="nil"/>
            </w:tcBorders>
            <w:vAlign w:val="center"/>
          </w:tcPr>
          <w:p w14:paraId="3C16A1D9">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7FDB2EC1">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7E1654F2">
            <w:pPr>
              <w:adjustRightInd w:val="0"/>
              <w:snapToGrid w:val="0"/>
              <w:spacing w:line="288" w:lineRule="auto"/>
              <w:jc w:val="center"/>
              <w:rPr>
                <w:color w:val="auto"/>
                <w:sz w:val="21"/>
                <w:szCs w:val="21"/>
                <w:highlight w:val="none"/>
              </w:rPr>
            </w:pPr>
          </w:p>
        </w:tc>
      </w:tr>
      <w:tr w14:paraId="59B8FDE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tcBorders>
              <w:tl2br w:val="nil"/>
              <w:tr2bl w:val="nil"/>
            </w:tcBorders>
            <w:vAlign w:val="center"/>
          </w:tcPr>
          <w:p w14:paraId="773E0581">
            <w:pPr>
              <w:adjustRightInd w:val="0"/>
              <w:snapToGrid w:val="0"/>
              <w:spacing w:line="288" w:lineRule="auto"/>
              <w:jc w:val="center"/>
              <w:rPr>
                <w:color w:val="auto"/>
                <w:sz w:val="21"/>
                <w:szCs w:val="21"/>
                <w:highlight w:val="none"/>
              </w:rPr>
            </w:pPr>
          </w:p>
        </w:tc>
        <w:tc>
          <w:tcPr>
            <w:tcW w:w="3221" w:type="dxa"/>
            <w:tcBorders>
              <w:tl2br w:val="nil"/>
              <w:tr2bl w:val="nil"/>
            </w:tcBorders>
            <w:vAlign w:val="center"/>
          </w:tcPr>
          <w:p w14:paraId="2E118A17">
            <w:pPr>
              <w:adjustRightInd w:val="0"/>
              <w:snapToGrid w:val="0"/>
              <w:spacing w:line="288" w:lineRule="auto"/>
              <w:jc w:val="center"/>
              <w:rPr>
                <w:color w:val="auto"/>
                <w:sz w:val="21"/>
                <w:szCs w:val="21"/>
                <w:highlight w:val="none"/>
              </w:rPr>
            </w:pPr>
          </w:p>
        </w:tc>
        <w:tc>
          <w:tcPr>
            <w:tcW w:w="2854" w:type="dxa"/>
            <w:tcBorders>
              <w:tl2br w:val="nil"/>
              <w:tr2bl w:val="nil"/>
            </w:tcBorders>
            <w:vAlign w:val="center"/>
          </w:tcPr>
          <w:p w14:paraId="37B61034">
            <w:pPr>
              <w:adjustRightInd w:val="0"/>
              <w:snapToGrid w:val="0"/>
              <w:spacing w:line="288" w:lineRule="auto"/>
              <w:jc w:val="center"/>
              <w:rPr>
                <w:color w:val="auto"/>
                <w:sz w:val="21"/>
                <w:szCs w:val="21"/>
                <w:highlight w:val="none"/>
              </w:rPr>
            </w:pPr>
          </w:p>
        </w:tc>
        <w:tc>
          <w:tcPr>
            <w:tcW w:w="2360" w:type="dxa"/>
            <w:tcBorders>
              <w:tl2br w:val="nil"/>
              <w:tr2bl w:val="nil"/>
            </w:tcBorders>
            <w:vAlign w:val="center"/>
          </w:tcPr>
          <w:p w14:paraId="0899869C">
            <w:pPr>
              <w:adjustRightInd w:val="0"/>
              <w:snapToGrid w:val="0"/>
              <w:spacing w:line="288" w:lineRule="auto"/>
              <w:jc w:val="center"/>
              <w:rPr>
                <w:color w:val="auto"/>
                <w:sz w:val="21"/>
                <w:szCs w:val="21"/>
                <w:highlight w:val="none"/>
              </w:rPr>
            </w:pPr>
          </w:p>
        </w:tc>
      </w:tr>
    </w:tbl>
    <w:p w14:paraId="5B27779C">
      <w:pPr>
        <w:adjustRightInd w:val="0"/>
        <w:snapToGrid w:val="0"/>
        <w:spacing w:line="288" w:lineRule="auto"/>
        <w:rPr>
          <w:b/>
          <w:bCs/>
          <w:color w:val="auto"/>
          <w:spacing w:val="-6"/>
          <w:sz w:val="21"/>
          <w:szCs w:val="21"/>
          <w:highlight w:val="none"/>
        </w:rPr>
      </w:pPr>
    </w:p>
    <w:p w14:paraId="25C1113A">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6DB14926">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6F12DA9F">
      <w:pPr>
        <w:adjustRightInd w:val="0"/>
        <w:snapToGrid w:val="0"/>
        <w:spacing w:line="288" w:lineRule="auto"/>
        <w:rPr>
          <w:b/>
          <w:bCs/>
          <w:color w:val="auto"/>
          <w:sz w:val="21"/>
          <w:szCs w:val="21"/>
          <w:highlight w:val="none"/>
        </w:rPr>
      </w:pPr>
    </w:p>
    <w:p w14:paraId="7F39BC07">
      <w:pPr>
        <w:adjustRightInd w:val="0"/>
        <w:snapToGrid w:val="0"/>
        <w:spacing w:line="288" w:lineRule="auto"/>
        <w:rPr>
          <w:b/>
          <w:bCs/>
          <w:color w:val="auto"/>
          <w:sz w:val="21"/>
          <w:szCs w:val="21"/>
          <w:highlight w:val="none"/>
        </w:rPr>
      </w:pPr>
      <w:r>
        <w:rPr>
          <w:rFonts w:hint="eastAsia"/>
          <w:b/>
          <w:bCs/>
          <w:color w:val="auto"/>
          <w:sz w:val="21"/>
          <w:szCs w:val="21"/>
          <w:highlight w:val="none"/>
        </w:rPr>
        <w:t>填表说明：</w:t>
      </w:r>
    </w:p>
    <w:p w14:paraId="059540A4">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1.逐项按照磋商文件要求填写响应内容；</w:t>
      </w:r>
    </w:p>
    <w:p w14:paraId="40563571">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063267E">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D086636">
      <w:pPr>
        <w:pStyle w:val="12"/>
        <w:adjustRightInd w:val="0"/>
        <w:snapToGrid w:val="0"/>
        <w:spacing w:beforeLines="0" w:afterLines="0" w:line="288" w:lineRule="auto"/>
        <w:jc w:val="center"/>
        <w:outlineLvl w:val="1"/>
        <w:rPr>
          <w:rFonts w:hAnsi="宋体" w:cs="宋体"/>
          <w:b/>
          <w:bCs/>
          <w:color w:val="auto"/>
          <w:sz w:val="21"/>
          <w:szCs w:val="21"/>
          <w:highlight w:val="none"/>
        </w:rPr>
      </w:pPr>
      <w:r>
        <w:rPr>
          <w:rFonts w:hint="eastAsia" w:hAnsi="宋体" w:cs="宋体"/>
          <w:color w:val="auto"/>
          <w:sz w:val="21"/>
          <w:szCs w:val="21"/>
          <w:highlight w:val="none"/>
        </w:rPr>
        <w:br w:type="page"/>
      </w:r>
      <w:bookmarkStart w:id="160" w:name="_Toc24677"/>
      <w:r>
        <w:rPr>
          <w:rFonts w:hint="eastAsia" w:hAnsi="宋体" w:cs="宋体"/>
          <w:b/>
          <w:bCs/>
          <w:color w:val="auto"/>
          <w:sz w:val="21"/>
          <w:szCs w:val="21"/>
          <w:highlight w:val="none"/>
        </w:rPr>
        <w:t>四、廉政承诺书</w:t>
      </w:r>
      <w:bookmarkEnd w:id="160"/>
    </w:p>
    <w:p w14:paraId="6B8E9EBA">
      <w:pPr>
        <w:snapToGrid w:val="0"/>
        <w:spacing w:line="288" w:lineRule="auto"/>
        <w:rPr>
          <w:color w:val="auto"/>
          <w:sz w:val="21"/>
          <w:szCs w:val="21"/>
          <w:highlight w:val="none"/>
        </w:rPr>
      </w:pPr>
      <w:r>
        <w:rPr>
          <w:rFonts w:hint="eastAsia"/>
          <w:color w:val="auto"/>
          <w:sz w:val="21"/>
          <w:szCs w:val="21"/>
          <w:highlight w:val="none"/>
        </w:rPr>
        <w:t>浙江树人学院：</w:t>
      </w:r>
    </w:p>
    <w:p w14:paraId="0BFAEF44">
      <w:pPr>
        <w:snapToGrid w:val="0"/>
        <w:spacing w:line="288" w:lineRule="auto"/>
        <w:rPr>
          <w:color w:val="auto"/>
          <w:sz w:val="21"/>
          <w:szCs w:val="21"/>
          <w:highlight w:val="none"/>
        </w:rPr>
      </w:pPr>
      <w:r>
        <w:rPr>
          <w:rFonts w:hint="eastAsia"/>
          <w:color w:val="auto"/>
          <w:sz w:val="21"/>
          <w:szCs w:val="21"/>
          <w:highlight w:val="none"/>
        </w:rPr>
        <w:t>我单位响应</w:t>
      </w:r>
      <w:r>
        <w:rPr>
          <w:rFonts w:hint="eastAsia"/>
          <w:color w:val="auto"/>
          <w:sz w:val="21"/>
          <w:szCs w:val="21"/>
          <w:highlight w:val="none"/>
          <w:u w:val="single"/>
        </w:rPr>
        <w:t xml:space="preserve"> 浙江树人学院</w:t>
      </w:r>
      <w:r>
        <w:rPr>
          <w:rFonts w:hint="eastAsia"/>
          <w:color w:val="auto"/>
          <w:sz w:val="21"/>
          <w:szCs w:val="21"/>
          <w:highlight w:val="none"/>
        </w:rPr>
        <w:t xml:space="preserve">（采购人） </w:t>
      </w:r>
      <w:r>
        <w:rPr>
          <w:rFonts w:hint="eastAsia"/>
          <w:color w:val="auto"/>
          <w:sz w:val="21"/>
          <w:szCs w:val="21"/>
          <w:highlight w:val="none"/>
          <w:u w:val="single"/>
        </w:rPr>
        <w:t xml:space="preserve">            项目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rPr>
        <w:t>（项目编号）采购要求参加磋商。在这次磋商过程中和成交后，我们将严格遵守国家法律法规要求，并郑重承诺：</w:t>
      </w:r>
    </w:p>
    <w:p w14:paraId="4FD2BE6E">
      <w:pPr>
        <w:snapToGrid w:val="0"/>
        <w:spacing w:line="288" w:lineRule="auto"/>
        <w:ind w:firstLine="420" w:firstLineChars="200"/>
        <w:rPr>
          <w:color w:val="auto"/>
          <w:sz w:val="21"/>
          <w:szCs w:val="21"/>
          <w:highlight w:val="none"/>
        </w:rPr>
      </w:pPr>
      <w:r>
        <w:rPr>
          <w:rFonts w:hint="eastAsia"/>
          <w:color w:val="auto"/>
          <w:sz w:val="21"/>
          <w:szCs w:val="21"/>
          <w:highlight w:val="none"/>
        </w:rPr>
        <w:t>一、不向项目有关人员及部门赠送礼金礼物、有价证券、回扣以及中介费、介绍费、咨询费等好处费。</w:t>
      </w:r>
    </w:p>
    <w:p w14:paraId="55F0CC35">
      <w:pPr>
        <w:snapToGrid w:val="0"/>
        <w:spacing w:line="288" w:lineRule="auto"/>
        <w:ind w:firstLine="420" w:firstLineChars="200"/>
        <w:rPr>
          <w:color w:val="auto"/>
          <w:sz w:val="21"/>
          <w:szCs w:val="21"/>
          <w:highlight w:val="none"/>
        </w:rPr>
      </w:pPr>
      <w:r>
        <w:rPr>
          <w:rFonts w:hint="eastAsia"/>
          <w:color w:val="auto"/>
          <w:sz w:val="21"/>
          <w:szCs w:val="21"/>
          <w:highlight w:val="none"/>
        </w:rPr>
        <w:t>二、不为项目有关人员及部门报销应由你方单位或个人支付的费用。</w:t>
      </w:r>
    </w:p>
    <w:p w14:paraId="29436CA7">
      <w:pPr>
        <w:snapToGrid w:val="0"/>
        <w:spacing w:line="288" w:lineRule="auto"/>
        <w:ind w:firstLine="420" w:firstLineChars="200"/>
        <w:rPr>
          <w:color w:val="auto"/>
          <w:sz w:val="21"/>
          <w:szCs w:val="21"/>
          <w:highlight w:val="none"/>
        </w:rPr>
      </w:pPr>
      <w:r>
        <w:rPr>
          <w:rFonts w:hint="eastAsia"/>
          <w:color w:val="auto"/>
          <w:sz w:val="21"/>
          <w:szCs w:val="21"/>
          <w:highlight w:val="none"/>
        </w:rPr>
        <w:t>三、不向项目有关人员及部门提供有可能影响公正的宴请和健身娱乐等活动。</w:t>
      </w:r>
    </w:p>
    <w:p w14:paraId="4EF64BB2">
      <w:pPr>
        <w:snapToGrid w:val="0"/>
        <w:spacing w:line="288" w:lineRule="auto"/>
        <w:ind w:firstLine="420" w:firstLineChars="200"/>
        <w:rPr>
          <w:color w:val="auto"/>
          <w:sz w:val="21"/>
          <w:szCs w:val="21"/>
          <w:highlight w:val="none"/>
        </w:rPr>
      </w:pPr>
      <w:r>
        <w:rPr>
          <w:rFonts w:hint="eastAsia"/>
          <w:color w:val="auto"/>
          <w:sz w:val="21"/>
          <w:szCs w:val="21"/>
          <w:highlight w:val="none"/>
        </w:rPr>
        <w:t>四、不为项目有关人员及部门出国（境）、旅游等提供方便。</w:t>
      </w:r>
    </w:p>
    <w:p w14:paraId="5955C9CC">
      <w:pPr>
        <w:snapToGrid w:val="0"/>
        <w:spacing w:line="288" w:lineRule="auto"/>
        <w:ind w:firstLine="420" w:firstLineChars="200"/>
        <w:rPr>
          <w:color w:val="auto"/>
          <w:sz w:val="21"/>
          <w:szCs w:val="21"/>
          <w:highlight w:val="none"/>
        </w:rPr>
      </w:pPr>
      <w:r>
        <w:rPr>
          <w:rFonts w:hint="eastAsia"/>
          <w:color w:val="auto"/>
          <w:sz w:val="21"/>
          <w:szCs w:val="21"/>
          <w:highlight w:val="none"/>
        </w:rPr>
        <w:t>五、不为项目有关人员个人装修住房、婚丧嫁娶、配偶子女工作安排等提供好处。</w:t>
      </w:r>
    </w:p>
    <w:p w14:paraId="6BD3E1EA">
      <w:pPr>
        <w:pStyle w:val="10"/>
        <w:spacing w:after="0" w:line="288" w:lineRule="auto"/>
        <w:ind w:firstLine="420" w:firstLineChars="200"/>
        <w:rPr>
          <w:color w:val="auto"/>
          <w:sz w:val="21"/>
          <w:szCs w:val="21"/>
          <w:highlight w:val="none"/>
        </w:rPr>
      </w:pPr>
      <w:r>
        <w:rPr>
          <w:rFonts w:hint="eastAsia"/>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782ABDBF">
      <w:pPr>
        <w:spacing w:line="288" w:lineRule="auto"/>
        <w:rPr>
          <w:color w:val="auto"/>
          <w:sz w:val="21"/>
          <w:szCs w:val="21"/>
          <w:highlight w:val="none"/>
        </w:rPr>
      </w:pPr>
    </w:p>
    <w:p w14:paraId="1DFAC95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585F8308">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43718E4D">
      <w:pPr>
        <w:adjustRightInd w:val="0"/>
        <w:snapToGrid w:val="0"/>
        <w:spacing w:line="288" w:lineRule="auto"/>
        <w:rPr>
          <w:b/>
          <w:color w:val="auto"/>
          <w:spacing w:val="-6"/>
          <w:sz w:val="21"/>
          <w:szCs w:val="21"/>
          <w:highlight w:val="none"/>
        </w:rPr>
      </w:pPr>
    </w:p>
    <w:p w14:paraId="29BE86A1">
      <w:pPr>
        <w:adjustRightInd w:val="0"/>
        <w:snapToGrid w:val="0"/>
        <w:spacing w:line="288" w:lineRule="auto"/>
        <w:jc w:val="center"/>
        <w:rPr>
          <w:b/>
          <w:bCs/>
          <w:color w:val="auto"/>
          <w:sz w:val="21"/>
          <w:szCs w:val="21"/>
          <w:highlight w:val="none"/>
        </w:rPr>
      </w:pPr>
      <w:r>
        <w:rPr>
          <w:rFonts w:hint="eastAsia"/>
          <w:color w:val="auto"/>
          <w:sz w:val="21"/>
          <w:szCs w:val="21"/>
          <w:highlight w:val="none"/>
        </w:rPr>
        <w:br w:type="page"/>
      </w:r>
      <w:bookmarkStart w:id="161" w:name="_Toc24885"/>
      <w:r>
        <w:rPr>
          <w:rFonts w:hint="eastAsia"/>
          <w:b/>
          <w:bCs/>
          <w:color w:val="auto"/>
          <w:sz w:val="21"/>
          <w:szCs w:val="21"/>
          <w:highlight w:val="none"/>
        </w:rPr>
        <w:t>五、供应商类似业绩一览表</w:t>
      </w:r>
      <w:bookmarkEnd w:id="161"/>
    </w:p>
    <w:p w14:paraId="76D627CA">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5CEF2DD0">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713CB5C2">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0301204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tcBorders>
              <w:tl2br w:val="nil"/>
              <w:tr2bl w:val="nil"/>
            </w:tcBorders>
            <w:vAlign w:val="center"/>
          </w:tcPr>
          <w:p w14:paraId="266DD8A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321" w:type="dxa"/>
            <w:tcBorders>
              <w:tl2br w:val="nil"/>
              <w:tr2bl w:val="nil"/>
            </w:tcBorders>
            <w:vAlign w:val="center"/>
          </w:tcPr>
          <w:p w14:paraId="7A92418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合同甲方</w:t>
            </w:r>
          </w:p>
        </w:tc>
        <w:tc>
          <w:tcPr>
            <w:tcW w:w="1992" w:type="dxa"/>
            <w:tcBorders>
              <w:tl2br w:val="nil"/>
              <w:tr2bl w:val="nil"/>
            </w:tcBorders>
            <w:vAlign w:val="center"/>
          </w:tcPr>
          <w:p w14:paraId="7B109C7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309" w:type="dxa"/>
            <w:tcBorders>
              <w:tl2br w:val="nil"/>
              <w:tr2bl w:val="nil"/>
            </w:tcBorders>
            <w:vAlign w:val="center"/>
          </w:tcPr>
          <w:p w14:paraId="2B8BDA5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14:paraId="6C8114B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937" w:type="dxa"/>
            <w:tcBorders>
              <w:tl2br w:val="nil"/>
              <w:tr2bl w:val="nil"/>
            </w:tcBorders>
            <w:vAlign w:val="center"/>
          </w:tcPr>
          <w:p w14:paraId="40F4AB7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572" w:type="dxa"/>
            <w:tcBorders>
              <w:tl2br w:val="nil"/>
              <w:tr2bl w:val="nil"/>
            </w:tcBorders>
            <w:vAlign w:val="center"/>
          </w:tcPr>
          <w:p w14:paraId="44104E2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合同履行时间</w:t>
            </w:r>
          </w:p>
        </w:tc>
        <w:tc>
          <w:tcPr>
            <w:tcW w:w="1256" w:type="dxa"/>
            <w:tcBorders>
              <w:tl2br w:val="nil"/>
              <w:tr2bl w:val="nil"/>
            </w:tcBorders>
            <w:vAlign w:val="center"/>
          </w:tcPr>
          <w:p w14:paraId="3C933DB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r>
      <w:tr w14:paraId="056D10B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CAD9783">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72FF8B0F">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239BD2D2">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183E9E50">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66488127">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51397EE2">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4534D5FC">
            <w:pPr>
              <w:adjustRightInd w:val="0"/>
              <w:snapToGrid w:val="0"/>
              <w:spacing w:line="288" w:lineRule="auto"/>
              <w:jc w:val="center"/>
              <w:rPr>
                <w:color w:val="auto"/>
                <w:sz w:val="21"/>
                <w:szCs w:val="21"/>
                <w:highlight w:val="none"/>
              </w:rPr>
            </w:pPr>
          </w:p>
        </w:tc>
      </w:tr>
      <w:tr w14:paraId="6B1B4BB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513567B1">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51F8689A">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71F10D93">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030493E1">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2AB6EB24">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1377B36C">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5F1EC1A7">
            <w:pPr>
              <w:adjustRightInd w:val="0"/>
              <w:snapToGrid w:val="0"/>
              <w:spacing w:line="288" w:lineRule="auto"/>
              <w:jc w:val="center"/>
              <w:rPr>
                <w:color w:val="auto"/>
                <w:sz w:val="21"/>
                <w:szCs w:val="21"/>
                <w:highlight w:val="none"/>
              </w:rPr>
            </w:pPr>
          </w:p>
        </w:tc>
      </w:tr>
      <w:tr w14:paraId="638385D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tcBorders>
              <w:tl2br w:val="nil"/>
              <w:tr2bl w:val="nil"/>
            </w:tcBorders>
            <w:vAlign w:val="center"/>
          </w:tcPr>
          <w:p w14:paraId="7F54AD42">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09C19189">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737F40A3">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1A2B966F">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71075F4B">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4A2B3BA7">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68457882">
            <w:pPr>
              <w:adjustRightInd w:val="0"/>
              <w:snapToGrid w:val="0"/>
              <w:spacing w:line="288" w:lineRule="auto"/>
              <w:jc w:val="center"/>
              <w:rPr>
                <w:color w:val="auto"/>
                <w:sz w:val="21"/>
                <w:szCs w:val="21"/>
                <w:highlight w:val="none"/>
              </w:rPr>
            </w:pPr>
          </w:p>
        </w:tc>
      </w:tr>
      <w:tr w14:paraId="7012A14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tcBorders>
              <w:tl2br w:val="nil"/>
              <w:tr2bl w:val="nil"/>
            </w:tcBorders>
            <w:vAlign w:val="center"/>
          </w:tcPr>
          <w:p w14:paraId="0B87D3F4">
            <w:pPr>
              <w:adjustRightInd w:val="0"/>
              <w:snapToGrid w:val="0"/>
              <w:spacing w:line="288" w:lineRule="auto"/>
              <w:jc w:val="center"/>
              <w:rPr>
                <w:color w:val="auto"/>
                <w:sz w:val="21"/>
                <w:szCs w:val="21"/>
                <w:highlight w:val="none"/>
              </w:rPr>
            </w:pPr>
          </w:p>
        </w:tc>
        <w:tc>
          <w:tcPr>
            <w:tcW w:w="1321" w:type="dxa"/>
            <w:tcBorders>
              <w:tl2br w:val="nil"/>
              <w:tr2bl w:val="nil"/>
            </w:tcBorders>
            <w:vAlign w:val="center"/>
          </w:tcPr>
          <w:p w14:paraId="525C659B">
            <w:pPr>
              <w:adjustRightInd w:val="0"/>
              <w:snapToGrid w:val="0"/>
              <w:spacing w:line="288" w:lineRule="auto"/>
              <w:jc w:val="center"/>
              <w:rPr>
                <w:color w:val="auto"/>
                <w:sz w:val="21"/>
                <w:szCs w:val="21"/>
                <w:highlight w:val="none"/>
              </w:rPr>
            </w:pPr>
          </w:p>
        </w:tc>
        <w:tc>
          <w:tcPr>
            <w:tcW w:w="1992" w:type="dxa"/>
            <w:tcBorders>
              <w:tl2br w:val="nil"/>
              <w:tr2bl w:val="nil"/>
            </w:tcBorders>
            <w:vAlign w:val="center"/>
          </w:tcPr>
          <w:p w14:paraId="226CF920">
            <w:pPr>
              <w:adjustRightInd w:val="0"/>
              <w:snapToGrid w:val="0"/>
              <w:spacing w:line="288" w:lineRule="auto"/>
              <w:jc w:val="center"/>
              <w:rPr>
                <w:color w:val="auto"/>
                <w:sz w:val="21"/>
                <w:szCs w:val="21"/>
                <w:highlight w:val="none"/>
              </w:rPr>
            </w:pPr>
          </w:p>
        </w:tc>
        <w:tc>
          <w:tcPr>
            <w:tcW w:w="1309" w:type="dxa"/>
            <w:tcBorders>
              <w:tl2br w:val="nil"/>
              <w:tr2bl w:val="nil"/>
            </w:tcBorders>
            <w:vAlign w:val="center"/>
          </w:tcPr>
          <w:p w14:paraId="4CECD6C5">
            <w:pPr>
              <w:adjustRightInd w:val="0"/>
              <w:snapToGrid w:val="0"/>
              <w:spacing w:line="288" w:lineRule="auto"/>
              <w:jc w:val="center"/>
              <w:rPr>
                <w:color w:val="auto"/>
                <w:sz w:val="21"/>
                <w:szCs w:val="21"/>
                <w:highlight w:val="none"/>
              </w:rPr>
            </w:pPr>
          </w:p>
        </w:tc>
        <w:tc>
          <w:tcPr>
            <w:tcW w:w="937" w:type="dxa"/>
            <w:tcBorders>
              <w:tl2br w:val="nil"/>
              <w:tr2bl w:val="nil"/>
            </w:tcBorders>
            <w:vAlign w:val="center"/>
          </w:tcPr>
          <w:p w14:paraId="45872152">
            <w:pPr>
              <w:adjustRightInd w:val="0"/>
              <w:snapToGrid w:val="0"/>
              <w:spacing w:line="288" w:lineRule="auto"/>
              <w:jc w:val="center"/>
              <w:rPr>
                <w:color w:val="auto"/>
                <w:sz w:val="21"/>
                <w:szCs w:val="21"/>
                <w:highlight w:val="none"/>
              </w:rPr>
            </w:pPr>
          </w:p>
        </w:tc>
        <w:tc>
          <w:tcPr>
            <w:tcW w:w="1572" w:type="dxa"/>
            <w:tcBorders>
              <w:tl2br w:val="nil"/>
              <w:tr2bl w:val="nil"/>
            </w:tcBorders>
            <w:vAlign w:val="center"/>
          </w:tcPr>
          <w:p w14:paraId="37C3E0F2">
            <w:pPr>
              <w:adjustRightInd w:val="0"/>
              <w:snapToGrid w:val="0"/>
              <w:spacing w:line="288" w:lineRule="auto"/>
              <w:jc w:val="center"/>
              <w:rPr>
                <w:color w:val="auto"/>
                <w:sz w:val="21"/>
                <w:szCs w:val="21"/>
                <w:highlight w:val="none"/>
              </w:rPr>
            </w:pPr>
          </w:p>
        </w:tc>
        <w:tc>
          <w:tcPr>
            <w:tcW w:w="1256" w:type="dxa"/>
            <w:tcBorders>
              <w:tl2br w:val="nil"/>
              <w:tr2bl w:val="nil"/>
            </w:tcBorders>
            <w:vAlign w:val="center"/>
          </w:tcPr>
          <w:p w14:paraId="5BA4DFC5">
            <w:pPr>
              <w:adjustRightInd w:val="0"/>
              <w:snapToGrid w:val="0"/>
              <w:spacing w:line="288" w:lineRule="auto"/>
              <w:jc w:val="center"/>
              <w:rPr>
                <w:color w:val="auto"/>
                <w:sz w:val="21"/>
                <w:szCs w:val="21"/>
                <w:highlight w:val="none"/>
              </w:rPr>
            </w:pPr>
          </w:p>
        </w:tc>
      </w:tr>
    </w:tbl>
    <w:p w14:paraId="7FB3D5AE">
      <w:pPr>
        <w:adjustRightInd w:val="0"/>
        <w:snapToGrid w:val="0"/>
        <w:spacing w:line="288" w:lineRule="auto"/>
        <w:rPr>
          <w:color w:val="auto"/>
          <w:sz w:val="21"/>
          <w:szCs w:val="21"/>
          <w:highlight w:val="none"/>
        </w:rPr>
      </w:pPr>
    </w:p>
    <w:p w14:paraId="6F1671BB">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BCD497F">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1FBAA548">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124B931C">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32D47ED9">
      <w:pPr>
        <w:adjustRightInd w:val="0"/>
        <w:snapToGrid w:val="0"/>
        <w:spacing w:line="288" w:lineRule="auto"/>
        <w:rPr>
          <w:color w:val="auto"/>
          <w:sz w:val="21"/>
          <w:szCs w:val="21"/>
          <w:highlight w:val="none"/>
        </w:rPr>
      </w:pPr>
    </w:p>
    <w:p w14:paraId="105DAE2D">
      <w:pPr>
        <w:adjustRightInd w:val="0"/>
        <w:snapToGrid w:val="0"/>
        <w:spacing w:line="288" w:lineRule="auto"/>
        <w:rPr>
          <w:color w:val="auto"/>
          <w:sz w:val="21"/>
          <w:szCs w:val="21"/>
          <w:highlight w:val="none"/>
        </w:rPr>
      </w:pPr>
    </w:p>
    <w:p w14:paraId="5FAFF26F">
      <w:pPr>
        <w:adjustRightInd w:val="0"/>
        <w:snapToGrid w:val="0"/>
        <w:spacing w:line="288" w:lineRule="auto"/>
        <w:rPr>
          <w:color w:val="auto"/>
          <w:sz w:val="21"/>
          <w:szCs w:val="21"/>
          <w:highlight w:val="none"/>
        </w:rPr>
      </w:pPr>
    </w:p>
    <w:p w14:paraId="7597D002">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0197A3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28D9511A">
      <w:pPr>
        <w:adjustRightInd w:val="0"/>
        <w:snapToGrid w:val="0"/>
        <w:spacing w:line="288" w:lineRule="auto"/>
        <w:rPr>
          <w:b/>
          <w:bCs/>
          <w:color w:val="auto"/>
          <w:sz w:val="21"/>
          <w:szCs w:val="21"/>
          <w:highlight w:val="none"/>
        </w:rPr>
        <w:sectPr>
          <w:pgSz w:w="11906" w:h="16838"/>
          <w:pgMar w:top="1247" w:right="1247" w:bottom="1247" w:left="1247" w:header="0" w:footer="692" w:gutter="0"/>
          <w:pgBorders>
            <w:top w:val="none" w:sz="0" w:space="0"/>
            <w:left w:val="none" w:sz="0" w:space="0"/>
            <w:bottom w:val="none" w:sz="0" w:space="0"/>
            <w:right w:val="none" w:sz="0" w:space="0"/>
          </w:pgBorders>
          <w:cols w:space="720" w:num="1"/>
          <w:docGrid w:type="lines" w:linePitch="312" w:charSpace="0"/>
        </w:sectPr>
      </w:pPr>
    </w:p>
    <w:p w14:paraId="2CF2C1A7">
      <w:pPr>
        <w:adjustRightInd w:val="0"/>
        <w:snapToGrid w:val="0"/>
        <w:spacing w:line="288" w:lineRule="auto"/>
        <w:jc w:val="left"/>
        <w:outlineLvl w:val="1"/>
        <w:rPr>
          <w:b/>
          <w:color w:val="auto"/>
          <w:spacing w:val="-6"/>
          <w:sz w:val="21"/>
          <w:szCs w:val="21"/>
          <w:highlight w:val="none"/>
        </w:rPr>
      </w:pPr>
      <w:r>
        <w:rPr>
          <w:rFonts w:hint="eastAsia"/>
          <w:b/>
          <w:bCs/>
          <w:color w:val="auto"/>
          <w:sz w:val="21"/>
          <w:szCs w:val="21"/>
          <w:highlight w:val="none"/>
        </w:rPr>
        <w:t>六、</w:t>
      </w:r>
      <w:r>
        <w:rPr>
          <w:rFonts w:hint="eastAsia"/>
          <w:b/>
          <w:color w:val="auto"/>
          <w:spacing w:val="-6"/>
          <w:sz w:val="21"/>
          <w:szCs w:val="21"/>
          <w:highlight w:val="none"/>
        </w:rPr>
        <w:t>节能环保产品证明材料</w:t>
      </w:r>
    </w:p>
    <w:p w14:paraId="011ABBD2">
      <w:pPr>
        <w:adjustRightInd w:val="0"/>
        <w:snapToGrid w:val="0"/>
        <w:spacing w:line="288" w:lineRule="auto"/>
        <w:ind w:firstLine="422" w:firstLineChars="200"/>
        <w:jc w:val="left"/>
        <w:rPr>
          <w:b/>
          <w:color w:val="auto"/>
          <w:sz w:val="21"/>
          <w:szCs w:val="21"/>
          <w:highlight w:val="none"/>
        </w:rPr>
      </w:pPr>
      <w:r>
        <w:rPr>
          <w:rFonts w:hint="eastAsia"/>
          <w:b/>
          <w:color w:val="auto"/>
          <w:sz w:val="21"/>
          <w:szCs w:val="21"/>
          <w:highlight w:val="none"/>
        </w:rPr>
        <w:t>说明：响应产品属于品目清单范围且提供国家确定的认证机构出具的有效的节能产品、环境标志产品认证证书（扫描件加盖公章）</w:t>
      </w:r>
    </w:p>
    <w:p w14:paraId="15B4A16D">
      <w:pPr>
        <w:adjustRightInd w:val="0"/>
        <w:snapToGrid w:val="0"/>
        <w:spacing w:line="288" w:lineRule="auto"/>
        <w:ind w:firstLine="420" w:firstLineChars="200"/>
        <w:jc w:val="left"/>
        <w:rPr>
          <w:bCs/>
          <w:color w:val="auto"/>
          <w:sz w:val="21"/>
          <w:szCs w:val="21"/>
          <w:highlight w:val="none"/>
        </w:rPr>
      </w:pPr>
      <w:r>
        <w:rPr>
          <w:rFonts w:hint="eastAsia"/>
          <w:bCs/>
          <w:color w:val="auto"/>
          <w:sz w:val="21"/>
          <w:szCs w:val="21"/>
          <w:highlight w:val="none"/>
        </w:rPr>
        <w:t>1、采购人拟采购的产品属于品目清单范围的，采购人及其委托的采购代理机构将依据国家确定的认证机构出具的、有效的节能产品、环境标志产品认证证书，对获得证书的产品实施政府优先采购或强制采购。</w:t>
      </w:r>
      <w:r>
        <w:rPr>
          <w:rFonts w:hint="eastAsia"/>
          <w:color w:val="auto"/>
          <w:spacing w:val="-6"/>
          <w:sz w:val="21"/>
          <w:szCs w:val="21"/>
          <w:highlight w:val="none"/>
          <w:lang w:bidi="ar"/>
        </w:rPr>
        <w:t>供应商须按采磋商文件要求提供相关产品认证证书。</w:t>
      </w:r>
    </w:p>
    <w:p w14:paraId="780B430F">
      <w:pPr>
        <w:adjustRightInd w:val="0"/>
        <w:snapToGrid w:val="0"/>
        <w:spacing w:line="288" w:lineRule="auto"/>
        <w:ind w:firstLine="420" w:firstLineChars="200"/>
        <w:jc w:val="left"/>
        <w:rPr>
          <w:bCs/>
          <w:color w:val="auto"/>
          <w:sz w:val="21"/>
          <w:szCs w:val="21"/>
          <w:highlight w:val="none"/>
        </w:rPr>
      </w:pPr>
      <w:r>
        <w:rPr>
          <w:rFonts w:hint="eastAsia"/>
          <w:bCs/>
          <w:color w:val="auto"/>
          <w:sz w:val="21"/>
          <w:szCs w:val="21"/>
          <w:highlight w:val="none"/>
        </w:rPr>
        <w:t>2、▲采购人拟采购的产品属于政府强制采购的节能产品品目清单范围的，供应商未按磋商文件要求提供国家确定的认证机构出具的、有效的节能产品认证证书的，响应无效。</w:t>
      </w:r>
    </w:p>
    <w:p w14:paraId="7D6F5A0D">
      <w:pPr>
        <w:spacing w:line="288" w:lineRule="auto"/>
        <w:rPr>
          <w:color w:val="auto"/>
          <w:sz w:val="21"/>
          <w:szCs w:val="21"/>
          <w:highlight w:val="none"/>
        </w:rPr>
      </w:pPr>
    </w:p>
    <w:p w14:paraId="565F6E21">
      <w:pPr>
        <w:adjustRightInd w:val="0"/>
        <w:snapToGrid w:val="0"/>
        <w:spacing w:line="288" w:lineRule="auto"/>
        <w:rPr>
          <w:b/>
          <w:bCs/>
          <w:color w:val="auto"/>
          <w:sz w:val="21"/>
          <w:szCs w:val="21"/>
          <w:highlight w:val="none"/>
        </w:rPr>
      </w:pPr>
    </w:p>
    <w:p w14:paraId="50309DB7">
      <w:pPr>
        <w:adjustRightInd w:val="0"/>
        <w:snapToGrid w:val="0"/>
        <w:spacing w:line="288" w:lineRule="auto"/>
        <w:rPr>
          <w:b/>
          <w:bCs/>
          <w:color w:val="auto"/>
          <w:sz w:val="21"/>
          <w:szCs w:val="21"/>
          <w:highlight w:val="none"/>
        </w:rPr>
      </w:pPr>
    </w:p>
    <w:p w14:paraId="4CF34C48">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br w:type="page"/>
      </w:r>
      <w:bookmarkStart w:id="162" w:name="_Toc16143"/>
      <w:r>
        <w:rPr>
          <w:rFonts w:hint="eastAsia"/>
          <w:b/>
          <w:bCs/>
          <w:color w:val="auto"/>
          <w:sz w:val="21"/>
          <w:szCs w:val="21"/>
          <w:highlight w:val="none"/>
        </w:rPr>
        <w:t>七、技术</w:t>
      </w:r>
      <w:bookmarkEnd w:id="162"/>
      <w:r>
        <w:rPr>
          <w:rFonts w:hint="eastAsia"/>
          <w:b/>
          <w:bCs/>
          <w:color w:val="auto"/>
          <w:sz w:val="21"/>
          <w:szCs w:val="21"/>
          <w:highlight w:val="none"/>
        </w:rPr>
        <w:t>方案</w:t>
      </w:r>
    </w:p>
    <w:p w14:paraId="7C019ED7">
      <w:pPr>
        <w:adjustRightInd w:val="0"/>
        <w:snapToGrid w:val="0"/>
        <w:spacing w:line="288" w:lineRule="auto"/>
        <w:outlineLvl w:val="2"/>
        <w:rPr>
          <w:b/>
          <w:bCs/>
          <w:color w:val="auto"/>
          <w:sz w:val="21"/>
          <w:szCs w:val="21"/>
          <w:highlight w:val="none"/>
        </w:rPr>
      </w:pPr>
      <w:r>
        <w:rPr>
          <w:rFonts w:hint="eastAsia"/>
          <w:color w:val="auto"/>
          <w:sz w:val="21"/>
          <w:szCs w:val="21"/>
          <w:highlight w:val="none"/>
        </w:rPr>
        <w:t>1</w:t>
      </w:r>
      <w:r>
        <w:rPr>
          <w:rFonts w:hint="eastAsia"/>
          <w:b/>
          <w:bCs/>
          <w:color w:val="auto"/>
          <w:sz w:val="21"/>
          <w:szCs w:val="21"/>
          <w:highlight w:val="none"/>
        </w:rPr>
        <w:t>、产品功能及配置</w:t>
      </w:r>
    </w:p>
    <w:p w14:paraId="5E6D2E0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货物配置清单（不含报价）</w:t>
      </w:r>
    </w:p>
    <w:p w14:paraId="144D6106">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62FFDADC">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56596DD9">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4998" w:type="pct"/>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659"/>
        <w:gridCol w:w="1717"/>
        <w:gridCol w:w="942"/>
        <w:gridCol w:w="2069"/>
        <w:gridCol w:w="703"/>
        <w:gridCol w:w="703"/>
        <w:gridCol w:w="942"/>
        <w:gridCol w:w="1889"/>
      </w:tblGrid>
      <w:tr w14:paraId="0649583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342" w:type="pct"/>
            <w:tcBorders>
              <w:tl2br w:val="nil"/>
              <w:tr2bl w:val="nil"/>
            </w:tcBorders>
            <w:shd w:val="clear" w:color="auto" w:fill="FDEADA"/>
            <w:vAlign w:val="center"/>
          </w:tcPr>
          <w:p w14:paraId="752F287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891" w:type="pct"/>
            <w:tcBorders>
              <w:tl2br w:val="nil"/>
              <w:tr2bl w:val="nil"/>
            </w:tcBorders>
            <w:shd w:val="clear" w:color="auto" w:fill="FDEADA"/>
            <w:vAlign w:val="center"/>
          </w:tcPr>
          <w:p w14:paraId="05B0C2C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货物名称</w:t>
            </w:r>
          </w:p>
        </w:tc>
        <w:tc>
          <w:tcPr>
            <w:tcW w:w="489" w:type="pct"/>
            <w:tcBorders>
              <w:tl2br w:val="nil"/>
              <w:tr2bl w:val="nil"/>
            </w:tcBorders>
            <w:shd w:val="clear" w:color="auto" w:fill="FDEADA"/>
            <w:vAlign w:val="center"/>
          </w:tcPr>
          <w:p w14:paraId="59EAE5B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074" w:type="pct"/>
            <w:tcBorders>
              <w:tl2br w:val="nil"/>
              <w:tr2bl w:val="nil"/>
            </w:tcBorders>
            <w:shd w:val="clear" w:color="auto" w:fill="FDEADA"/>
            <w:vAlign w:val="center"/>
          </w:tcPr>
          <w:p w14:paraId="1D3FB2A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49D1349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365" w:type="pct"/>
            <w:tcBorders>
              <w:tl2br w:val="nil"/>
              <w:tr2bl w:val="nil"/>
            </w:tcBorders>
            <w:shd w:val="clear" w:color="auto" w:fill="FDEADA"/>
            <w:vAlign w:val="center"/>
          </w:tcPr>
          <w:p w14:paraId="58D505C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制造商</w:t>
            </w:r>
          </w:p>
        </w:tc>
        <w:tc>
          <w:tcPr>
            <w:tcW w:w="365" w:type="pct"/>
            <w:tcBorders>
              <w:tl2br w:val="nil"/>
              <w:tr2bl w:val="nil"/>
            </w:tcBorders>
            <w:shd w:val="clear" w:color="auto" w:fill="FDEADA"/>
            <w:vAlign w:val="center"/>
          </w:tcPr>
          <w:p w14:paraId="2249905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489" w:type="pct"/>
            <w:tcBorders>
              <w:tl2br w:val="nil"/>
              <w:tr2bl w:val="nil"/>
            </w:tcBorders>
            <w:shd w:val="clear" w:color="auto" w:fill="FDEADA"/>
            <w:vAlign w:val="center"/>
          </w:tcPr>
          <w:p w14:paraId="655999E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980" w:type="pct"/>
            <w:tcBorders>
              <w:tl2br w:val="nil"/>
              <w:tr2bl w:val="nil"/>
            </w:tcBorders>
            <w:shd w:val="clear" w:color="auto" w:fill="FDEADA"/>
            <w:vAlign w:val="center"/>
          </w:tcPr>
          <w:p w14:paraId="7B07D13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配置（可另附页）</w:t>
            </w:r>
          </w:p>
        </w:tc>
      </w:tr>
      <w:tr w14:paraId="35594005">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0CCF2163">
            <w:pPr>
              <w:spacing w:line="288" w:lineRule="auto"/>
              <w:jc w:val="center"/>
              <w:rPr>
                <w:color w:val="auto"/>
                <w:sz w:val="21"/>
                <w:szCs w:val="21"/>
                <w:highlight w:val="none"/>
              </w:rPr>
            </w:pPr>
            <w:r>
              <w:rPr>
                <w:rFonts w:hint="eastAsia"/>
                <w:color w:val="auto"/>
                <w:sz w:val="21"/>
                <w:szCs w:val="21"/>
                <w:highlight w:val="none"/>
              </w:rPr>
              <w:t>1</w:t>
            </w:r>
          </w:p>
        </w:tc>
        <w:tc>
          <w:tcPr>
            <w:tcW w:w="891" w:type="pct"/>
            <w:tcBorders>
              <w:tl2br w:val="nil"/>
              <w:tr2bl w:val="nil"/>
            </w:tcBorders>
            <w:shd w:val="clear" w:color="auto" w:fill="auto"/>
            <w:vAlign w:val="center"/>
          </w:tcPr>
          <w:p w14:paraId="36656AD1">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35BFE6F5">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09AFC580">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06FC2282">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712B9083">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55355920">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6557D617">
            <w:pPr>
              <w:adjustRightInd w:val="0"/>
              <w:snapToGrid w:val="0"/>
              <w:spacing w:line="288" w:lineRule="auto"/>
              <w:jc w:val="center"/>
              <w:rPr>
                <w:b/>
                <w:bCs/>
                <w:color w:val="auto"/>
                <w:sz w:val="21"/>
                <w:szCs w:val="21"/>
                <w:highlight w:val="none"/>
              </w:rPr>
            </w:pPr>
          </w:p>
        </w:tc>
      </w:tr>
      <w:tr w14:paraId="0C8E2E5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5ECC0AE9">
            <w:pPr>
              <w:spacing w:line="288" w:lineRule="auto"/>
              <w:jc w:val="center"/>
              <w:rPr>
                <w:color w:val="auto"/>
                <w:sz w:val="21"/>
                <w:szCs w:val="21"/>
                <w:highlight w:val="none"/>
              </w:rPr>
            </w:pPr>
            <w:r>
              <w:rPr>
                <w:rFonts w:hint="eastAsia"/>
                <w:color w:val="auto"/>
                <w:sz w:val="21"/>
                <w:szCs w:val="21"/>
                <w:highlight w:val="none"/>
              </w:rPr>
              <w:t>2</w:t>
            </w:r>
          </w:p>
        </w:tc>
        <w:tc>
          <w:tcPr>
            <w:tcW w:w="891" w:type="pct"/>
            <w:tcBorders>
              <w:tl2br w:val="nil"/>
              <w:tr2bl w:val="nil"/>
            </w:tcBorders>
            <w:shd w:val="clear" w:color="auto" w:fill="auto"/>
            <w:vAlign w:val="center"/>
          </w:tcPr>
          <w:p w14:paraId="1FD334EB">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6C6C97B7">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7567F8BC">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7DBA6B76">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461E3796">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018506C9">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06369A23">
            <w:pPr>
              <w:adjustRightInd w:val="0"/>
              <w:snapToGrid w:val="0"/>
              <w:spacing w:line="288" w:lineRule="auto"/>
              <w:jc w:val="center"/>
              <w:rPr>
                <w:b/>
                <w:bCs/>
                <w:color w:val="auto"/>
                <w:sz w:val="21"/>
                <w:szCs w:val="21"/>
                <w:highlight w:val="none"/>
              </w:rPr>
            </w:pPr>
          </w:p>
        </w:tc>
      </w:tr>
      <w:tr w14:paraId="5F1CBC1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31A9D253">
            <w:pPr>
              <w:spacing w:line="288" w:lineRule="auto"/>
              <w:jc w:val="center"/>
              <w:rPr>
                <w:color w:val="auto"/>
                <w:sz w:val="21"/>
                <w:szCs w:val="21"/>
                <w:highlight w:val="none"/>
              </w:rPr>
            </w:pPr>
            <w:r>
              <w:rPr>
                <w:rFonts w:hint="eastAsia"/>
                <w:color w:val="auto"/>
                <w:sz w:val="21"/>
                <w:szCs w:val="21"/>
                <w:highlight w:val="none"/>
              </w:rPr>
              <w:t>3</w:t>
            </w:r>
          </w:p>
        </w:tc>
        <w:tc>
          <w:tcPr>
            <w:tcW w:w="891" w:type="pct"/>
            <w:tcBorders>
              <w:tl2br w:val="nil"/>
              <w:tr2bl w:val="nil"/>
            </w:tcBorders>
            <w:shd w:val="clear" w:color="auto" w:fill="auto"/>
            <w:vAlign w:val="center"/>
          </w:tcPr>
          <w:p w14:paraId="1FA4C0E4">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1FA5A95A">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6ABCD76E">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3590FE87">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5E6FEFF0">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26F7A0F7">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384132E3">
            <w:pPr>
              <w:adjustRightInd w:val="0"/>
              <w:snapToGrid w:val="0"/>
              <w:spacing w:line="288" w:lineRule="auto"/>
              <w:jc w:val="center"/>
              <w:rPr>
                <w:b/>
                <w:bCs/>
                <w:color w:val="auto"/>
                <w:sz w:val="21"/>
                <w:szCs w:val="21"/>
                <w:highlight w:val="none"/>
              </w:rPr>
            </w:pPr>
          </w:p>
        </w:tc>
      </w:tr>
      <w:tr w14:paraId="42A95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342" w:type="pct"/>
            <w:tcBorders>
              <w:tl2br w:val="nil"/>
              <w:tr2bl w:val="nil"/>
            </w:tcBorders>
            <w:shd w:val="clear" w:color="auto" w:fill="auto"/>
            <w:vAlign w:val="center"/>
          </w:tcPr>
          <w:p w14:paraId="5ECCEEDB">
            <w:pPr>
              <w:spacing w:line="288" w:lineRule="auto"/>
              <w:jc w:val="center"/>
              <w:rPr>
                <w:color w:val="auto"/>
                <w:sz w:val="21"/>
                <w:szCs w:val="21"/>
                <w:highlight w:val="none"/>
              </w:rPr>
            </w:pPr>
            <w:r>
              <w:rPr>
                <w:rFonts w:hint="eastAsia"/>
                <w:color w:val="auto"/>
                <w:sz w:val="21"/>
                <w:szCs w:val="21"/>
                <w:highlight w:val="none"/>
              </w:rPr>
              <w:t>4</w:t>
            </w:r>
          </w:p>
        </w:tc>
        <w:tc>
          <w:tcPr>
            <w:tcW w:w="891" w:type="pct"/>
            <w:tcBorders>
              <w:tl2br w:val="nil"/>
              <w:tr2bl w:val="nil"/>
            </w:tcBorders>
            <w:shd w:val="clear" w:color="auto" w:fill="auto"/>
            <w:vAlign w:val="center"/>
          </w:tcPr>
          <w:p w14:paraId="42AC73E1">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44918D0C">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389FC960">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334E83DC">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6071BD29">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1C3FF445">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4E7E0C85">
            <w:pPr>
              <w:adjustRightInd w:val="0"/>
              <w:snapToGrid w:val="0"/>
              <w:spacing w:line="288" w:lineRule="auto"/>
              <w:jc w:val="center"/>
              <w:rPr>
                <w:b/>
                <w:bCs/>
                <w:color w:val="auto"/>
                <w:sz w:val="21"/>
                <w:szCs w:val="21"/>
                <w:highlight w:val="none"/>
              </w:rPr>
            </w:pPr>
          </w:p>
        </w:tc>
      </w:tr>
      <w:tr w14:paraId="59E2C52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342" w:type="pct"/>
            <w:tcBorders>
              <w:tl2br w:val="nil"/>
              <w:tr2bl w:val="nil"/>
            </w:tcBorders>
            <w:shd w:val="clear" w:color="auto" w:fill="auto"/>
            <w:vAlign w:val="center"/>
          </w:tcPr>
          <w:p w14:paraId="450DC9AF">
            <w:pPr>
              <w:spacing w:line="288" w:lineRule="auto"/>
              <w:jc w:val="center"/>
              <w:rPr>
                <w:color w:val="auto"/>
                <w:sz w:val="21"/>
                <w:szCs w:val="21"/>
                <w:highlight w:val="none"/>
              </w:rPr>
            </w:pPr>
            <w:r>
              <w:rPr>
                <w:rFonts w:hint="eastAsia"/>
                <w:color w:val="auto"/>
                <w:sz w:val="21"/>
                <w:szCs w:val="21"/>
                <w:highlight w:val="none"/>
              </w:rPr>
              <w:t>5</w:t>
            </w:r>
          </w:p>
        </w:tc>
        <w:tc>
          <w:tcPr>
            <w:tcW w:w="891" w:type="pct"/>
            <w:tcBorders>
              <w:tl2br w:val="nil"/>
              <w:tr2bl w:val="nil"/>
            </w:tcBorders>
            <w:shd w:val="clear" w:color="auto" w:fill="auto"/>
            <w:vAlign w:val="center"/>
          </w:tcPr>
          <w:p w14:paraId="49AF2DBA">
            <w:pPr>
              <w:spacing w:line="288" w:lineRule="auto"/>
              <w:jc w:val="center"/>
              <w:rPr>
                <w:color w:val="auto"/>
                <w:sz w:val="21"/>
                <w:szCs w:val="21"/>
                <w:highlight w:val="none"/>
              </w:rPr>
            </w:pPr>
          </w:p>
        </w:tc>
        <w:tc>
          <w:tcPr>
            <w:tcW w:w="489" w:type="pct"/>
            <w:tcBorders>
              <w:tl2br w:val="nil"/>
              <w:tr2bl w:val="nil"/>
            </w:tcBorders>
            <w:shd w:val="clear" w:color="auto" w:fill="FFFFFF"/>
            <w:vAlign w:val="center"/>
          </w:tcPr>
          <w:p w14:paraId="60BC9919">
            <w:pPr>
              <w:adjustRightInd w:val="0"/>
              <w:snapToGrid w:val="0"/>
              <w:spacing w:line="288" w:lineRule="auto"/>
              <w:jc w:val="center"/>
              <w:rPr>
                <w:b/>
                <w:bCs/>
                <w:color w:val="auto"/>
                <w:sz w:val="21"/>
                <w:szCs w:val="21"/>
                <w:highlight w:val="none"/>
              </w:rPr>
            </w:pPr>
          </w:p>
        </w:tc>
        <w:tc>
          <w:tcPr>
            <w:tcW w:w="1074" w:type="pct"/>
            <w:tcBorders>
              <w:tl2br w:val="nil"/>
              <w:tr2bl w:val="nil"/>
            </w:tcBorders>
            <w:shd w:val="clear" w:color="auto" w:fill="FFFFFF"/>
            <w:vAlign w:val="center"/>
          </w:tcPr>
          <w:p w14:paraId="1BE964BC">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279BB665">
            <w:pPr>
              <w:adjustRightInd w:val="0"/>
              <w:snapToGrid w:val="0"/>
              <w:spacing w:line="288" w:lineRule="auto"/>
              <w:jc w:val="center"/>
              <w:rPr>
                <w:b/>
                <w:bCs/>
                <w:color w:val="auto"/>
                <w:sz w:val="21"/>
                <w:szCs w:val="21"/>
                <w:highlight w:val="none"/>
              </w:rPr>
            </w:pPr>
          </w:p>
        </w:tc>
        <w:tc>
          <w:tcPr>
            <w:tcW w:w="365" w:type="pct"/>
            <w:tcBorders>
              <w:tl2br w:val="nil"/>
              <w:tr2bl w:val="nil"/>
            </w:tcBorders>
            <w:shd w:val="clear" w:color="auto" w:fill="FFFFFF"/>
            <w:vAlign w:val="center"/>
          </w:tcPr>
          <w:p w14:paraId="3865D2B4">
            <w:pPr>
              <w:adjustRightInd w:val="0"/>
              <w:snapToGrid w:val="0"/>
              <w:spacing w:line="288" w:lineRule="auto"/>
              <w:jc w:val="center"/>
              <w:rPr>
                <w:b/>
                <w:bCs/>
                <w:color w:val="auto"/>
                <w:sz w:val="21"/>
                <w:szCs w:val="21"/>
                <w:highlight w:val="none"/>
              </w:rPr>
            </w:pPr>
          </w:p>
        </w:tc>
        <w:tc>
          <w:tcPr>
            <w:tcW w:w="489" w:type="pct"/>
            <w:tcBorders>
              <w:tl2br w:val="nil"/>
              <w:tr2bl w:val="nil"/>
            </w:tcBorders>
            <w:shd w:val="clear" w:color="auto" w:fill="FFFFFF"/>
            <w:vAlign w:val="center"/>
          </w:tcPr>
          <w:p w14:paraId="2ADA8570">
            <w:pPr>
              <w:adjustRightInd w:val="0"/>
              <w:snapToGrid w:val="0"/>
              <w:spacing w:line="288" w:lineRule="auto"/>
              <w:jc w:val="center"/>
              <w:rPr>
                <w:b/>
                <w:bCs/>
                <w:color w:val="auto"/>
                <w:sz w:val="21"/>
                <w:szCs w:val="21"/>
                <w:highlight w:val="none"/>
              </w:rPr>
            </w:pPr>
          </w:p>
        </w:tc>
        <w:tc>
          <w:tcPr>
            <w:tcW w:w="980" w:type="pct"/>
            <w:tcBorders>
              <w:tl2br w:val="nil"/>
              <w:tr2bl w:val="nil"/>
            </w:tcBorders>
            <w:vAlign w:val="center"/>
          </w:tcPr>
          <w:p w14:paraId="109E6BBE">
            <w:pPr>
              <w:adjustRightInd w:val="0"/>
              <w:snapToGrid w:val="0"/>
              <w:spacing w:line="288" w:lineRule="auto"/>
              <w:jc w:val="center"/>
              <w:rPr>
                <w:b/>
                <w:bCs/>
                <w:color w:val="auto"/>
                <w:sz w:val="21"/>
                <w:szCs w:val="21"/>
                <w:highlight w:val="none"/>
              </w:rPr>
            </w:pPr>
          </w:p>
        </w:tc>
      </w:tr>
    </w:tbl>
    <w:p w14:paraId="2979B59D">
      <w:pPr>
        <w:adjustRightInd w:val="0"/>
        <w:snapToGrid w:val="0"/>
        <w:spacing w:line="288" w:lineRule="auto"/>
        <w:rPr>
          <w:color w:val="auto"/>
          <w:sz w:val="21"/>
          <w:szCs w:val="21"/>
          <w:highlight w:val="none"/>
        </w:rPr>
      </w:pPr>
    </w:p>
    <w:p w14:paraId="443490CA">
      <w:pPr>
        <w:adjustRightInd w:val="0"/>
        <w:snapToGrid w:val="0"/>
        <w:spacing w:line="288" w:lineRule="auto"/>
        <w:rPr>
          <w:color w:val="auto"/>
          <w:sz w:val="21"/>
          <w:szCs w:val="21"/>
          <w:highlight w:val="none"/>
        </w:rPr>
      </w:pPr>
    </w:p>
    <w:p w14:paraId="23B17A40">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供应商名称（电子签名/公章）：</w:t>
      </w:r>
    </w:p>
    <w:p w14:paraId="14F3F9CE">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日期：</w:t>
      </w:r>
      <w:r>
        <w:rPr>
          <w:rFonts w:hint="eastAsia"/>
          <w:b/>
          <w:bCs/>
          <w:color w:val="auto"/>
          <w:spacing w:val="-6"/>
          <w:sz w:val="21"/>
          <w:szCs w:val="21"/>
          <w:highlight w:val="none"/>
          <w:lang w:eastAsia="zh-CN"/>
        </w:rPr>
        <w:t>2025年</w:t>
      </w:r>
      <w:r>
        <w:rPr>
          <w:rFonts w:hint="eastAsia"/>
          <w:b/>
          <w:bCs/>
          <w:color w:val="auto"/>
          <w:spacing w:val="-6"/>
          <w:sz w:val="21"/>
          <w:szCs w:val="21"/>
          <w:highlight w:val="none"/>
        </w:rPr>
        <w:t xml:space="preserve">  月  日</w:t>
      </w:r>
    </w:p>
    <w:p w14:paraId="3F55F08D">
      <w:pPr>
        <w:adjustRightInd w:val="0"/>
        <w:snapToGrid w:val="0"/>
        <w:spacing w:line="288" w:lineRule="auto"/>
        <w:jc w:val="left"/>
        <w:rPr>
          <w:b/>
          <w:bCs/>
          <w:color w:val="auto"/>
          <w:spacing w:val="-6"/>
          <w:sz w:val="21"/>
          <w:szCs w:val="21"/>
          <w:highlight w:val="none"/>
        </w:rPr>
      </w:pPr>
    </w:p>
    <w:p w14:paraId="0B5F6CD3">
      <w:pPr>
        <w:adjustRightInd w:val="0"/>
        <w:snapToGrid w:val="0"/>
        <w:spacing w:line="288" w:lineRule="auto"/>
        <w:jc w:val="left"/>
        <w:rPr>
          <w:b/>
          <w:bCs/>
          <w:color w:val="auto"/>
          <w:sz w:val="21"/>
          <w:szCs w:val="21"/>
          <w:highlight w:val="none"/>
        </w:rPr>
      </w:pPr>
      <w:r>
        <w:rPr>
          <w:rFonts w:hint="eastAsia"/>
          <w:b/>
          <w:bCs/>
          <w:color w:val="auto"/>
          <w:spacing w:val="-6"/>
          <w:sz w:val="21"/>
          <w:szCs w:val="21"/>
          <w:highlight w:val="none"/>
        </w:rPr>
        <w:t>填表说明：所有定型的产品应完整填写品牌、型号；定制类产品，有型号的填写具体型号，无型号的填写“定制”；服务类项目填写具体服务。</w:t>
      </w:r>
    </w:p>
    <w:p w14:paraId="24996CCE">
      <w:pPr>
        <w:adjustRightInd w:val="0"/>
        <w:snapToGrid w:val="0"/>
        <w:spacing w:line="288" w:lineRule="auto"/>
        <w:outlineLvl w:val="2"/>
        <w:rPr>
          <w:b/>
          <w:bCs/>
          <w:color w:val="auto"/>
          <w:sz w:val="21"/>
          <w:szCs w:val="21"/>
          <w:highlight w:val="none"/>
        </w:rPr>
      </w:pPr>
      <w:bookmarkStart w:id="163" w:name="_Toc26598"/>
      <w:r>
        <w:rPr>
          <w:rFonts w:hint="eastAsia"/>
          <w:b/>
          <w:bCs/>
          <w:color w:val="auto"/>
          <w:sz w:val="21"/>
          <w:szCs w:val="21"/>
          <w:highlight w:val="none"/>
        </w:rPr>
        <w:br w:type="page"/>
      </w:r>
      <w:r>
        <w:rPr>
          <w:rFonts w:hint="eastAsia"/>
          <w:b/>
          <w:bCs/>
          <w:color w:val="auto"/>
          <w:sz w:val="21"/>
          <w:szCs w:val="21"/>
          <w:highlight w:val="none"/>
        </w:rPr>
        <w:t>2、项目实施方案</w:t>
      </w:r>
    </w:p>
    <w:p w14:paraId="17CCB5C1">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3、</w:t>
      </w:r>
      <w:r>
        <w:rPr>
          <w:rFonts w:hint="eastAsia" w:ascii="宋体" w:hAnsi="宋体" w:cs="宋体"/>
          <w:b/>
          <w:color w:val="auto"/>
          <w:sz w:val="21"/>
          <w:szCs w:val="21"/>
          <w:highlight w:val="none"/>
          <w:lang w:bidi="ar"/>
        </w:rPr>
        <w:t>安装调试</w:t>
      </w:r>
    </w:p>
    <w:p w14:paraId="1F788BDF">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4、售后服务</w:t>
      </w:r>
    </w:p>
    <w:p w14:paraId="3B7F4339">
      <w:pPr>
        <w:pStyle w:val="54"/>
        <w:spacing w:line="288" w:lineRule="auto"/>
        <w:outlineLvl w:val="2"/>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5、技术服务、培训方案</w:t>
      </w:r>
    </w:p>
    <w:p w14:paraId="1C2C60C4">
      <w:pPr>
        <w:adjustRightInd w:val="0"/>
        <w:snapToGrid w:val="0"/>
        <w:spacing w:line="288" w:lineRule="auto"/>
        <w:outlineLvl w:val="2"/>
        <w:rPr>
          <w:b/>
          <w:bCs/>
          <w:color w:val="auto"/>
          <w:sz w:val="21"/>
          <w:szCs w:val="21"/>
          <w:highlight w:val="none"/>
        </w:rPr>
        <w:sectPr>
          <w:pgSz w:w="11906" w:h="16838"/>
          <w:pgMar w:top="1247" w:right="1247" w:bottom="1247" w:left="1247" w:header="0" w:footer="692" w:gutter="0"/>
          <w:pgBorders>
            <w:top w:val="none" w:sz="0" w:space="0"/>
            <w:left w:val="none" w:sz="0" w:space="0"/>
            <w:bottom w:val="none" w:sz="0" w:space="0"/>
            <w:right w:val="none" w:sz="0" w:space="0"/>
          </w:pgBorders>
          <w:cols w:space="720" w:num="1"/>
          <w:titlePg/>
          <w:docGrid w:linePitch="312" w:charSpace="0"/>
        </w:sectPr>
      </w:pPr>
    </w:p>
    <w:p w14:paraId="1EEE0A0C">
      <w:pPr>
        <w:adjustRightInd w:val="0"/>
        <w:snapToGrid w:val="0"/>
        <w:spacing w:line="288" w:lineRule="auto"/>
        <w:outlineLvl w:val="1"/>
        <w:rPr>
          <w:b/>
          <w:color w:val="auto"/>
          <w:spacing w:val="-6"/>
          <w:sz w:val="21"/>
          <w:szCs w:val="21"/>
          <w:highlight w:val="none"/>
        </w:rPr>
      </w:pPr>
      <w:r>
        <w:rPr>
          <w:rFonts w:hint="eastAsia"/>
          <w:b/>
          <w:bCs/>
          <w:color w:val="auto"/>
          <w:sz w:val="21"/>
          <w:szCs w:val="21"/>
          <w:highlight w:val="none"/>
        </w:rPr>
        <w:t>八、供应商需要说明的其他文件和材料（如有）</w:t>
      </w:r>
      <w:bookmarkEnd w:id="163"/>
    </w:p>
    <w:p w14:paraId="207C8402">
      <w:pPr>
        <w:widowControl/>
        <w:spacing w:line="288" w:lineRule="auto"/>
        <w:jc w:val="left"/>
        <w:rPr>
          <w:b/>
          <w:color w:val="auto"/>
          <w:spacing w:val="-6"/>
          <w:kern w:val="0"/>
          <w:sz w:val="21"/>
          <w:szCs w:val="21"/>
          <w:highlight w:val="none"/>
        </w:rPr>
      </w:pPr>
      <w:r>
        <w:rPr>
          <w:rFonts w:hint="eastAsia"/>
          <w:b/>
          <w:color w:val="auto"/>
          <w:spacing w:val="-6"/>
          <w:sz w:val="21"/>
          <w:szCs w:val="21"/>
          <w:highlight w:val="none"/>
        </w:rPr>
        <w:br w:type="page"/>
      </w:r>
      <w:bookmarkStart w:id="164" w:name="_Toc10331"/>
      <w:r>
        <w:rPr>
          <w:rFonts w:hint="eastAsia"/>
          <w:b/>
          <w:color w:val="auto"/>
          <w:spacing w:val="-6"/>
          <w:kern w:val="0"/>
          <w:sz w:val="21"/>
          <w:szCs w:val="21"/>
          <w:highlight w:val="none"/>
        </w:rPr>
        <w:t>九、其他</w:t>
      </w:r>
    </w:p>
    <w:p w14:paraId="63431D1C">
      <w:pPr>
        <w:suppressAutoHyphens/>
        <w:spacing w:line="288" w:lineRule="auto"/>
        <w:jc w:val="center"/>
        <w:rPr>
          <w:color w:val="auto"/>
          <w:kern w:val="0"/>
          <w:sz w:val="21"/>
          <w:szCs w:val="21"/>
          <w:highlight w:val="none"/>
        </w:rPr>
      </w:pPr>
      <w:bookmarkStart w:id="165" w:name="_Toc17717"/>
      <w:bookmarkStart w:id="166" w:name="_Toc27245"/>
      <w:bookmarkStart w:id="167" w:name="_Toc20808"/>
      <w:bookmarkStart w:id="168" w:name="_Toc24380"/>
      <w:bookmarkStart w:id="169" w:name="_Toc13074"/>
      <w:bookmarkStart w:id="170" w:name="_Toc28412"/>
      <w:r>
        <w:rPr>
          <w:rFonts w:hint="eastAsia"/>
          <w:b/>
          <w:color w:val="auto"/>
          <w:spacing w:val="-6"/>
          <w:kern w:val="0"/>
          <w:sz w:val="21"/>
          <w:szCs w:val="21"/>
          <w:highlight w:val="none"/>
        </w:rPr>
        <w:t>政府</w:t>
      </w:r>
      <w:r>
        <w:rPr>
          <w:rFonts w:hint="eastAsia"/>
          <w:b/>
          <w:color w:val="auto"/>
          <w:kern w:val="0"/>
          <w:sz w:val="21"/>
          <w:szCs w:val="21"/>
          <w:highlight w:val="none"/>
        </w:rPr>
        <w:t>采购活动现场确认声明书</w:t>
      </w:r>
      <w:bookmarkEnd w:id="165"/>
      <w:bookmarkEnd w:id="166"/>
      <w:bookmarkEnd w:id="167"/>
      <w:bookmarkEnd w:id="168"/>
      <w:bookmarkEnd w:id="169"/>
      <w:bookmarkEnd w:id="170"/>
    </w:p>
    <w:p w14:paraId="75234CAA">
      <w:pPr>
        <w:spacing w:line="288" w:lineRule="auto"/>
        <w:rPr>
          <w:color w:val="auto"/>
          <w:sz w:val="21"/>
          <w:szCs w:val="21"/>
          <w:highlight w:val="none"/>
        </w:rPr>
      </w:pPr>
      <w:r>
        <w:rPr>
          <w:rFonts w:hint="eastAsia"/>
          <w:color w:val="auto"/>
          <w:sz w:val="21"/>
          <w:szCs w:val="21"/>
          <w:highlight w:val="none"/>
        </w:rPr>
        <w:t>浙江求是招标代理有限公司：</w:t>
      </w:r>
    </w:p>
    <w:p w14:paraId="23FEC273">
      <w:pPr>
        <w:spacing w:line="288" w:lineRule="auto"/>
        <w:ind w:firstLine="420" w:firstLineChars="200"/>
        <w:jc w:val="left"/>
        <w:rPr>
          <w:color w:val="auto"/>
          <w:sz w:val="21"/>
          <w:szCs w:val="21"/>
          <w:highlight w:val="none"/>
        </w:rPr>
      </w:pPr>
      <w:r>
        <w:rPr>
          <w:rFonts w:hint="eastAsia"/>
          <w:color w:val="auto"/>
          <w:sz w:val="21"/>
          <w:szCs w:val="21"/>
          <w:highlight w:val="none"/>
        </w:rPr>
        <w:t>本人经由</w:t>
      </w:r>
      <w:r>
        <w:rPr>
          <w:rFonts w:hint="eastAsia"/>
          <w:color w:val="auto"/>
          <w:sz w:val="21"/>
          <w:szCs w:val="21"/>
          <w:highlight w:val="none"/>
          <w:u w:val="single"/>
        </w:rPr>
        <w:t xml:space="preserve">                                    </w:t>
      </w:r>
      <w:r>
        <w:rPr>
          <w:rFonts w:hint="eastAsia"/>
          <w:color w:val="auto"/>
          <w:sz w:val="21"/>
          <w:szCs w:val="21"/>
          <w:highlight w:val="none"/>
        </w:rPr>
        <w:t>（单位）负责人（法人代表）</w:t>
      </w:r>
    </w:p>
    <w:p w14:paraId="43EAF0E8">
      <w:pPr>
        <w:spacing w:line="288" w:lineRule="auto"/>
        <w:jc w:val="left"/>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（姓名）合法授权参加浙江树人学院</w:t>
      </w:r>
      <w:r>
        <w:rPr>
          <w:rFonts w:hint="eastAsia"/>
          <w:color w:val="auto"/>
          <w:sz w:val="21"/>
          <w:szCs w:val="21"/>
          <w:highlight w:val="none"/>
          <w:lang w:eastAsia="zh-CN"/>
        </w:rPr>
        <w:t>后勤智慧餐厅与仓储管理系统</w:t>
      </w: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）采购活动，经与本单位法人代表（负责人）联系确认，现就有关公平竞争事项郑重声明如下：</w:t>
      </w:r>
    </w:p>
    <w:p w14:paraId="078C7E1F">
      <w:pPr>
        <w:spacing w:line="288" w:lineRule="auto"/>
        <w:rPr>
          <w:color w:val="auto"/>
          <w:sz w:val="21"/>
          <w:szCs w:val="21"/>
          <w:highlight w:val="none"/>
        </w:rPr>
      </w:pPr>
      <w:r>
        <w:rPr>
          <w:rFonts w:hint="eastAsia"/>
          <w:color w:val="auto"/>
          <w:sz w:val="21"/>
          <w:szCs w:val="21"/>
          <w:highlight w:val="none"/>
        </w:rPr>
        <w:t>一、本单位与采购人之间：</w:t>
      </w:r>
    </w:p>
    <w:p w14:paraId="36A55102">
      <w:pPr>
        <w:spacing w:line="288" w:lineRule="auto"/>
        <w:rPr>
          <w:color w:val="auto"/>
          <w:sz w:val="21"/>
          <w:szCs w:val="21"/>
          <w:highlight w:val="none"/>
        </w:rPr>
      </w:pPr>
      <w:r>
        <w:rPr>
          <w:rFonts w:hint="eastAsia"/>
          <w:color w:val="auto"/>
          <w:sz w:val="21"/>
          <w:szCs w:val="21"/>
          <w:highlight w:val="none"/>
        </w:rPr>
        <w:t>□不存在利害关系；</w:t>
      </w:r>
    </w:p>
    <w:p w14:paraId="451AF6DC">
      <w:pPr>
        <w:spacing w:line="288" w:lineRule="auto"/>
        <w:rPr>
          <w:color w:val="auto"/>
          <w:sz w:val="21"/>
          <w:szCs w:val="21"/>
          <w:highlight w:val="none"/>
        </w:rPr>
      </w:pPr>
      <w:r>
        <w:rPr>
          <w:rFonts w:hint="eastAsia"/>
          <w:color w:val="auto"/>
          <w:sz w:val="21"/>
          <w:szCs w:val="21"/>
          <w:highlight w:val="none"/>
        </w:rPr>
        <w:t>□存在下列利害关系：</w:t>
      </w:r>
    </w:p>
    <w:p w14:paraId="5EC78706">
      <w:pPr>
        <w:spacing w:line="288" w:lineRule="auto"/>
        <w:rPr>
          <w:color w:val="auto"/>
          <w:sz w:val="21"/>
          <w:szCs w:val="21"/>
          <w:highlight w:val="none"/>
        </w:rPr>
      </w:pPr>
      <w:r>
        <w:rPr>
          <w:rFonts w:hint="eastAsia"/>
          <w:color w:val="auto"/>
          <w:sz w:val="21"/>
          <w:szCs w:val="21"/>
          <w:highlight w:val="none"/>
        </w:rPr>
        <w:t xml:space="preserve">  A.投资关系    B.行政隶属关系    C.业务指导关系</w:t>
      </w:r>
    </w:p>
    <w:p w14:paraId="3691D907">
      <w:pPr>
        <w:spacing w:line="288" w:lineRule="auto"/>
        <w:rPr>
          <w:color w:val="auto"/>
          <w:sz w:val="21"/>
          <w:szCs w:val="21"/>
          <w:highlight w:val="none"/>
        </w:rPr>
      </w:pPr>
      <w:r>
        <w:rPr>
          <w:rFonts w:hint="eastAsia"/>
          <w:color w:val="auto"/>
          <w:sz w:val="21"/>
          <w:szCs w:val="21"/>
          <w:highlight w:val="none"/>
        </w:rPr>
        <w:t xml:space="preserve">  D.其他可能影响采购公正的利害关系（如有，请如实说明）</w:t>
      </w:r>
      <w:r>
        <w:rPr>
          <w:rFonts w:hint="eastAsia"/>
          <w:color w:val="auto"/>
          <w:sz w:val="21"/>
          <w:szCs w:val="21"/>
          <w:highlight w:val="none"/>
          <w:u w:val="single"/>
        </w:rPr>
        <w:t xml:space="preserve">                 </w:t>
      </w:r>
      <w:r>
        <w:rPr>
          <w:rFonts w:hint="eastAsia"/>
          <w:color w:val="auto"/>
          <w:sz w:val="21"/>
          <w:szCs w:val="21"/>
          <w:highlight w:val="none"/>
        </w:rPr>
        <w:t>。</w:t>
      </w:r>
    </w:p>
    <w:p w14:paraId="2BF751F2">
      <w:pPr>
        <w:spacing w:line="288" w:lineRule="auto"/>
        <w:rPr>
          <w:color w:val="auto"/>
          <w:sz w:val="21"/>
          <w:szCs w:val="21"/>
          <w:highlight w:val="none"/>
        </w:rPr>
      </w:pPr>
      <w:r>
        <w:rPr>
          <w:rFonts w:hint="eastAsia"/>
          <w:color w:val="auto"/>
          <w:sz w:val="21"/>
          <w:szCs w:val="21"/>
          <w:highlight w:val="none"/>
        </w:rPr>
        <w:t>二、现已清楚知道参加本项目采购活动的其他所有供应商名称，本单位：</w:t>
      </w:r>
    </w:p>
    <w:p w14:paraId="393F3B8C">
      <w:pPr>
        <w:spacing w:line="288" w:lineRule="auto"/>
        <w:rPr>
          <w:color w:val="auto"/>
          <w:sz w:val="21"/>
          <w:szCs w:val="21"/>
          <w:highlight w:val="none"/>
        </w:rPr>
      </w:pPr>
      <w:r>
        <w:rPr>
          <w:rFonts w:hint="eastAsia"/>
          <w:color w:val="auto"/>
          <w:sz w:val="21"/>
          <w:szCs w:val="21"/>
          <w:highlight w:val="none"/>
        </w:rPr>
        <w:t>□与其他所有供应商之间均不存在利害关系；</w:t>
      </w:r>
    </w:p>
    <w:p w14:paraId="55F1E1A0">
      <w:pPr>
        <w:spacing w:line="288" w:lineRule="auto"/>
        <w:rPr>
          <w:color w:val="auto"/>
          <w:sz w:val="21"/>
          <w:szCs w:val="21"/>
          <w:highlight w:val="none"/>
        </w:rPr>
      </w:pPr>
      <w:r>
        <w:rPr>
          <w:rFonts w:hint="eastAsia"/>
          <w:color w:val="auto"/>
          <w:sz w:val="21"/>
          <w:szCs w:val="21"/>
          <w:highlight w:val="none"/>
        </w:rPr>
        <w:t>□与</w:t>
      </w:r>
      <w:r>
        <w:rPr>
          <w:rFonts w:hint="eastAsia"/>
          <w:color w:val="auto"/>
          <w:sz w:val="21"/>
          <w:szCs w:val="21"/>
          <w:highlight w:val="none"/>
          <w:u w:val="single"/>
        </w:rPr>
        <w:t xml:space="preserve">           </w:t>
      </w:r>
      <w:r>
        <w:rPr>
          <w:rFonts w:hint="eastAsia"/>
          <w:color w:val="auto"/>
          <w:sz w:val="21"/>
          <w:szCs w:val="21"/>
          <w:highlight w:val="none"/>
        </w:rPr>
        <w:t>（供应商名称）之间存在下列利害关系：</w:t>
      </w:r>
    </w:p>
    <w:p w14:paraId="42B60D32">
      <w:pPr>
        <w:spacing w:line="288" w:lineRule="auto"/>
        <w:rPr>
          <w:color w:val="auto"/>
          <w:sz w:val="21"/>
          <w:szCs w:val="21"/>
          <w:highlight w:val="none"/>
        </w:rPr>
      </w:pPr>
      <w:r>
        <w:rPr>
          <w:rFonts w:hint="eastAsia"/>
          <w:color w:val="auto"/>
          <w:sz w:val="21"/>
          <w:szCs w:val="21"/>
          <w:highlight w:val="none"/>
        </w:rPr>
        <w:t xml:space="preserve">  A.法定代表人或负责人或实际控制人是同一人</w:t>
      </w:r>
    </w:p>
    <w:p w14:paraId="33F3E957">
      <w:pPr>
        <w:spacing w:line="288" w:lineRule="auto"/>
        <w:rPr>
          <w:color w:val="auto"/>
          <w:sz w:val="21"/>
          <w:szCs w:val="21"/>
          <w:highlight w:val="none"/>
        </w:rPr>
      </w:pPr>
      <w:r>
        <w:rPr>
          <w:rFonts w:hint="eastAsia"/>
          <w:color w:val="auto"/>
          <w:sz w:val="21"/>
          <w:szCs w:val="21"/>
          <w:highlight w:val="none"/>
        </w:rPr>
        <w:t xml:space="preserve">  B.法定代表人或负责人或实际控制人是夫妻关系</w:t>
      </w:r>
    </w:p>
    <w:p w14:paraId="4FAD4D77">
      <w:pPr>
        <w:spacing w:line="288" w:lineRule="auto"/>
        <w:rPr>
          <w:color w:val="auto"/>
          <w:sz w:val="21"/>
          <w:szCs w:val="21"/>
          <w:highlight w:val="none"/>
        </w:rPr>
      </w:pPr>
      <w:r>
        <w:rPr>
          <w:rFonts w:hint="eastAsia"/>
          <w:color w:val="auto"/>
          <w:sz w:val="21"/>
          <w:szCs w:val="21"/>
          <w:highlight w:val="none"/>
        </w:rPr>
        <w:t xml:space="preserve">  C.法定代表人或负责人或实际控制人是直系血亲关系</w:t>
      </w:r>
    </w:p>
    <w:p w14:paraId="30EAEF10">
      <w:pPr>
        <w:spacing w:line="288" w:lineRule="auto"/>
        <w:rPr>
          <w:color w:val="auto"/>
          <w:sz w:val="21"/>
          <w:szCs w:val="21"/>
          <w:highlight w:val="none"/>
        </w:rPr>
      </w:pPr>
      <w:r>
        <w:rPr>
          <w:rFonts w:hint="eastAsia"/>
          <w:color w:val="auto"/>
          <w:sz w:val="21"/>
          <w:szCs w:val="21"/>
          <w:highlight w:val="none"/>
        </w:rPr>
        <w:t xml:space="preserve">  D.法定代表人或负责人或实际控制人存在三代以内旁系血亲关系</w:t>
      </w:r>
    </w:p>
    <w:p w14:paraId="6B300BB1">
      <w:pPr>
        <w:spacing w:line="288" w:lineRule="auto"/>
        <w:rPr>
          <w:color w:val="auto"/>
          <w:sz w:val="21"/>
          <w:szCs w:val="21"/>
          <w:highlight w:val="none"/>
        </w:rPr>
      </w:pPr>
      <w:r>
        <w:rPr>
          <w:rFonts w:hint="eastAsia"/>
          <w:color w:val="auto"/>
          <w:sz w:val="21"/>
          <w:szCs w:val="21"/>
          <w:highlight w:val="none"/>
        </w:rPr>
        <w:t xml:space="preserve">  E.法定代表人或负责人或实际控制人存在近姻亲关系</w:t>
      </w:r>
    </w:p>
    <w:p w14:paraId="737B66A9">
      <w:pPr>
        <w:spacing w:line="288" w:lineRule="auto"/>
        <w:rPr>
          <w:color w:val="auto"/>
          <w:sz w:val="21"/>
          <w:szCs w:val="21"/>
          <w:highlight w:val="none"/>
        </w:rPr>
      </w:pPr>
      <w:r>
        <w:rPr>
          <w:rFonts w:hint="eastAsia"/>
          <w:color w:val="auto"/>
          <w:sz w:val="21"/>
          <w:szCs w:val="21"/>
          <w:highlight w:val="none"/>
        </w:rPr>
        <w:t xml:space="preserve">  F.法定代表人或负责人或实际控制人存在股份控制或实际控制关系</w:t>
      </w:r>
    </w:p>
    <w:p w14:paraId="1EC9B384">
      <w:pPr>
        <w:spacing w:line="288" w:lineRule="auto"/>
        <w:rPr>
          <w:color w:val="auto"/>
          <w:sz w:val="21"/>
          <w:szCs w:val="21"/>
          <w:highlight w:val="none"/>
        </w:rPr>
      </w:pPr>
      <w:r>
        <w:rPr>
          <w:rFonts w:hint="eastAsia"/>
          <w:color w:val="auto"/>
          <w:sz w:val="21"/>
          <w:szCs w:val="21"/>
          <w:highlight w:val="none"/>
        </w:rPr>
        <w:t xml:space="preserve">  G.存在共同直接或间接投资设立子公司、联营企业和合营企业情况</w:t>
      </w:r>
    </w:p>
    <w:p w14:paraId="1FF02497">
      <w:pPr>
        <w:spacing w:line="288" w:lineRule="auto"/>
        <w:rPr>
          <w:color w:val="auto"/>
          <w:sz w:val="21"/>
          <w:szCs w:val="21"/>
          <w:highlight w:val="none"/>
        </w:rPr>
      </w:pPr>
      <w:r>
        <w:rPr>
          <w:rFonts w:hint="eastAsia"/>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5B81DF10">
      <w:pPr>
        <w:spacing w:line="288" w:lineRule="auto"/>
        <w:rPr>
          <w:color w:val="auto"/>
          <w:sz w:val="21"/>
          <w:szCs w:val="21"/>
          <w:highlight w:val="none"/>
        </w:rPr>
      </w:pPr>
      <w:r>
        <w:rPr>
          <w:rFonts w:hint="eastAsia"/>
          <w:color w:val="auto"/>
          <w:sz w:val="21"/>
          <w:szCs w:val="21"/>
          <w:highlight w:val="none"/>
        </w:rPr>
        <w:t xml:space="preserve">  </w:t>
      </w:r>
      <w:bookmarkStart w:id="171" w:name="_Toc23840"/>
      <w:bookmarkStart w:id="172" w:name="_Toc3126"/>
      <w:bookmarkStart w:id="173" w:name="_Toc3552"/>
      <w:r>
        <w:rPr>
          <w:rFonts w:hint="eastAsia"/>
          <w:color w:val="auto"/>
          <w:sz w:val="21"/>
          <w:szCs w:val="21"/>
          <w:highlight w:val="none"/>
        </w:rPr>
        <w:t>I.其他利害关系情况。</w:t>
      </w:r>
      <w:bookmarkEnd w:id="171"/>
      <w:bookmarkEnd w:id="172"/>
      <w:bookmarkEnd w:id="173"/>
    </w:p>
    <w:p w14:paraId="0D64BD51">
      <w:pPr>
        <w:spacing w:line="288" w:lineRule="auto"/>
        <w:rPr>
          <w:color w:val="auto"/>
          <w:sz w:val="21"/>
          <w:szCs w:val="21"/>
          <w:highlight w:val="none"/>
        </w:rPr>
      </w:pPr>
      <w:r>
        <w:rPr>
          <w:rFonts w:hint="eastAsia"/>
          <w:color w:val="auto"/>
          <w:sz w:val="21"/>
          <w:szCs w:val="21"/>
          <w:highlight w:val="none"/>
        </w:rPr>
        <w:t>三、现已清楚知道并严格遵守政府采购法律法规和现场纪律。</w:t>
      </w:r>
    </w:p>
    <w:p w14:paraId="30947F60">
      <w:pPr>
        <w:spacing w:line="288" w:lineRule="auto"/>
        <w:rPr>
          <w:color w:val="auto"/>
          <w:sz w:val="21"/>
          <w:szCs w:val="21"/>
          <w:highlight w:val="none"/>
        </w:rPr>
      </w:pPr>
      <w:r>
        <w:rPr>
          <w:rFonts w:hint="eastAsia"/>
          <w:color w:val="auto"/>
          <w:sz w:val="21"/>
          <w:szCs w:val="21"/>
          <w:highlight w:val="none"/>
        </w:rPr>
        <w:t>四、我发现供应商</w:t>
      </w:r>
      <w:r>
        <w:rPr>
          <w:rFonts w:hint="eastAsia"/>
          <w:color w:val="auto"/>
          <w:sz w:val="21"/>
          <w:szCs w:val="21"/>
          <w:highlight w:val="none"/>
          <w:u w:val="single"/>
        </w:rPr>
        <w:t xml:space="preserve">           </w:t>
      </w:r>
      <w:r>
        <w:rPr>
          <w:rFonts w:hint="eastAsia"/>
          <w:color w:val="auto"/>
          <w:sz w:val="21"/>
          <w:szCs w:val="21"/>
          <w:highlight w:val="none"/>
        </w:rPr>
        <w:t>之间存在或可能存在上述第二条第</w:t>
      </w:r>
      <w:r>
        <w:rPr>
          <w:rFonts w:hint="eastAsia"/>
          <w:color w:val="auto"/>
          <w:sz w:val="21"/>
          <w:szCs w:val="21"/>
          <w:highlight w:val="none"/>
          <w:u w:val="single"/>
        </w:rPr>
        <w:t xml:space="preserve">    </w:t>
      </w:r>
      <w:r>
        <w:rPr>
          <w:rFonts w:hint="eastAsia"/>
          <w:color w:val="auto"/>
          <w:sz w:val="21"/>
          <w:szCs w:val="21"/>
          <w:highlight w:val="none"/>
        </w:rPr>
        <w:t>项利害关系。</w:t>
      </w:r>
    </w:p>
    <w:p w14:paraId="24CE2C98">
      <w:pPr>
        <w:spacing w:line="288" w:lineRule="auto"/>
        <w:rPr>
          <w:color w:val="auto"/>
          <w:sz w:val="21"/>
          <w:szCs w:val="21"/>
          <w:highlight w:val="none"/>
          <w:u w:val="single"/>
        </w:rPr>
      </w:pPr>
      <w:r>
        <w:rPr>
          <w:rFonts w:hint="eastAsia"/>
          <w:color w:val="auto"/>
          <w:sz w:val="21"/>
          <w:szCs w:val="21"/>
          <w:highlight w:val="none"/>
          <w:u w:val="single"/>
        </w:rPr>
        <w:t xml:space="preserve">                                                             </w:t>
      </w:r>
    </w:p>
    <w:p w14:paraId="61A49063">
      <w:pPr>
        <w:spacing w:line="288" w:lineRule="auto"/>
        <w:rPr>
          <w:color w:val="auto"/>
          <w:sz w:val="21"/>
          <w:szCs w:val="21"/>
          <w:highlight w:val="none"/>
        </w:rPr>
      </w:pPr>
      <w:r>
        <w:rPr>
          <w:rFonts w:hint="eastAsia"/>
          <w:color w:val="auto"/>
          <w:sz w:val="21"/>
          <w:szCs w:val="21"/>
          <w:highlight w:val="none"/>
        </w:rPr>
        <w:t xml:space="preserve">                                供应商代表（签名）：</w:t>
      </w:r>
    </w:p>
    <w:p w14:paraId="443117A7">
      <w:pPr>
        <w:spacing w:line="288" w:lineRule="auto"/>
        <w:jc w:val="right"/>
        <w:rPr>
          <w:b/>
          <w:bCs/>
          <w:color w:val="auto"/>
          <w:sz w:val="21"/>
          <w:szCs w:val="21"/>
          <w:highlight w:val="none"/>
        </w:rPr>
      </w:pPr>
      <w:r>
        <w:rPr>
          <w:rFonts w:hint="eastAsia"/>
          <w:color w:val="auto"/>
          <w:sz w:val="21"/>
          <w:szCs w:val="21"/>
          <w:highlight w:val="none"/>
          <w:lang w:eastAsia="zh-CN"/>
        </w:rPr>
        <w:t>2025年</w:t>
      </w:r>
      <w:r>
        <w:rPr>
          <w:rFonts w:hint="eastAsia"/>
          <w:color w:val="auto"/>
          <w:sz w:val="21"/>
          <w:szCs w:val="21"/>
          <w:highlight w:val="none"/>
        </w:rPr>
        <w:t xml:space="preserve"> 月 日</w:t>
      </w:r>
    </w:p>
    <w:p w14:paraId="427915D6">
      <w:pPr>
        <w:spacing w:line="288" w:lineRule="auto"/>
        <w:rPr>
          <w:b/>
          <w:bCs/>
          <w:color w:val="auto"/>
          <w:sz w:val="21"/>
          <w:szCs w:val="21"/>
          <w:highlight w:val="none"/>
        </w:rPr>
      </w:pPr>
      <w:r>
        <w:rPr>
          <w:rFonts w:hint="eastAsia"/>
          <w:b/>
          <w:bCs/>
          <w:color w:val="auto"/>
          <w:sz w:val="21"/>
          <w:szCs w:val="21"/>
          <w:highlight w:val="none"/>
        </w:rPr>
        <w:t>备注：</w:t>
      </w:r>
      <w:r>
        <w:rPr>
          <w:color w:val="auto"/>
          <w:highlight w:val="none"/>
        </w:rPr>
        <w:fldChar w:fldCharType="begin"/>
      </w:r>
      <w:r>
        <w:rPr>
          <w:color w:val="auto"/>
          <w:highlight w:val="none"/>
        </w:rPr>
        <w:instrText xml:space="preserve"> HYPERLINK "mailto:供应商须在投标文件解密后，通过电子邮件形式，向邮箱地址（qinjl@zjsct.cn）发送《政府采购活动现场确认声明书》（上表）。" </w:instrText>
      </w:r>
      <w:r>
        <w:rPr>
          <w:color w:val="auto"/>
          <w:highlight w:val="none"/>
        </w:rPr>
        <w:fldChar w:fldCharType="separate"/>
      </w:r>
      <w:r>
        <w:rPr>
          <w:rStyle w:val="30"/>
          <w:rFonts w:hint="eastAsia"/>
          <w:b/>
          <w:bCs/>
          <w:color w:val="auto"/>
          <w:sz w:val="21"/>
          <w:szCs w:val="21"/>
          <w:highlight w:val="none"/>
        </w:rPr>
        <w:t>供应商须在投标文件解密后，通过电子邮件形式，向邮箱地址（zb02@qszb.net）发送《政府采购活动现场确认声明书》（上表）。</w:t>
      </w:r>
      <w:r>
        <w:rPr>
          <w:rStyle w:val="30"/>
          <w:rFonts w:hint="eastAsia"/>
          <w:b/>
          <w:bCs/>
          <w:color w:val="auto"/>
          <w:sz w:val="21"/>
          <w:szCs w:val="21"/>
          <w:highlight w:val="none"/>
        </w:rPr>
        <w:fldChar w:fldCharType="end"/>
      </w:r>
    </w:p>
    <w:p w14:paraId="49114035">
      <w:pPr>
        <w:adjustRightInd w:val="0"/>
        <w:snapToGrid w:val="0"/>
        <w:spacing w:line="288" w:lineRule="auto"/>
        <w:rPr>
          <w:b/>
          <w:color w:val="auto"/>
          <w:spacing w:val="-6"/>
          <w:sz w:val="21"/>
          <w:szCs w:val="21"/>
          <w:highlight w:val="none"/>
        </w:rPr>
        <w:sectPr>
          <w:pgSz w:w="11906" w:h="16838"/>
          <w:pgMar w:top="1247" w:right="1247" w:bottom="1247" w:left="1247" w:header="0" w:footer="692" w:gutter="0"/>
          <w:pgBorders>
            <w:top w:val="none" w:sz="0" w:space="0"/>
            <w:left w:val="none" w:sz="0" w:space="0"/>
            <w:bottom w:val="none" w:sz="0" w:space="0"/>
            <w:right w:val="none" w:sz="0" w:space="0"/>
          </w:pgBorders>
          <w:cols w:space="720" w:num="1"/>
          <w:titlePg/>
          <w:docGrid w:linePitch="312" w:charSpace="0"/>
        </w:sectPr>
      </w:pPr>
    </w:p>
    <w:p w14:paraId="72BAAF26">
      <w:pPr>
        <w:adjustRightInd w:val="0"/>
        <w:snapToGrid w:val="0"/>
        <w:spacing w:line="288" w:lineRule="auto"/>
        <w:jc w:val="center"/>
        <w:rPr>
          <w:b/>
          <w:bCs/>
          <w:color w:val="auto"/>
          <w:sz w:val="21"/>
          <w:szCs w:val="21"/>
          <w:highlight w:val="none"/>
        </w:rPr>
      </w:pPr>
      <w:bookmarkStart w:id="174" w:name="_Toc14668"/>
      <w:bookmarkStart w:id="175" w:name="_Toc12983"/>
      <w:bookmarkStart w:id="176" w:name="_Toc22480"/>
      <w:r>
        <w:rPr>
          <w:rFonts w:hint="eastAsia"/>
          <w:b/>
          <w:bCs/>
          <w:color w:val="auto"/>
          <w:sz w:val="21"/>
          <w:szCs w:val="21"/>
          <w:highlight w:val="none"/>
        </w:rPr>
        <w:t>最后报价一览表</w:t>
      </w:r>
    </w:p>
    <w:p w14:paraId="6A22C941">
      <w:pPr>
        <w:adjustRightInd w:val="0"/>
        <w:snapToGrid w:val="0"/>
        <w:spacing w:line="288" w:lineRule="auto"/>
        <w:rPr>
          <w:color w:val="auto"/>
          <w:sz w:val="21"/>
          <w:szCs w:val="21"/>
          <w:highlight w:val="none"/>
        </w:rPr>
      </w:pPr>
      <w:r>
        <w:rPr>
          <w:rFonts w:hint="eastAsia"/>
          <w:color w:val="auto"/>
          <w:sz w:val="21"/>
          <w:szCs w:val="21"/>
          <w:highlight w:val="none"/>
        </w:rPr>
        <w:t>采 购 人：浙江树人学院</w:t>
      </w:r>
    </w:p>
    <w:p w14:paraId="0B1C1E22">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后勤智慧餐厅与仓储管理系统</w:t>
      </w:r>
      <w:r>
        <w:rPr>
          <w:rFonts w:hint="eastAsia"/>
          <w:color w:val="auto"/>
          <w:sz w:val="21"/>
          <w:szCs w:val="21"/>
          <w:highlight w:val="none"/>
        </w:rPr>
        <w:t>项目</w:t>
      </w:r>
    </w:p>
    <w:p w14:paraId="77E5F75D">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QSZBB250106ZHCS</w:t>
      </w:r>
      <w:r>
        <w:rPr>
          <w:rFonts w:hint="eastAsia"/>
          <w:color w:val="auto"/>
          <w:sz w:val="21"/>
          <w:szCs w:val="21"/>
          <w:highlight w:val="none"/>
        </w:rPr>
        <w:t xml:space="preserve">  </w:t>
      </w:r>
    </w:p>
    <w:tbl>
      <w:tblPr>
        <w:tblStyle w:val="2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71"/>
      </w:tblGrid>
      <w:tr w14:paraId="28525CD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56866772">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shd w:val="clear" w:color="auto" w:fill="auto"/>
            <w:vAlign w:val="center"/>
          </w:tcPr>
          <w:p w14:paraId="5238CFB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shd w:val="clear" w:color="auto" w:fill="FFFFFF"/>
            <w:vAlign w:val="center"/>
          </w:tcPr>
          <w:p w14:paraId="70941BC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shd w:val="clear" w:color="auto" w:fill="FFFFFF"/>
            <w:vAlign w:val="center"/>
          </w:tcPr>
          <w:p w14:paraId="0178BF3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3F1669F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shd w:val="clear" w:color="auto" w:fill="FFFFFF"/>
            <w:vAlign w:val="center"/>
          </w:tcPr>
          <w:p w14:paraId="553A603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shd w:val="clear" w:color="auto" w:fill="FFFFFF"/>
            <w:vAlign w:val="center"/>
          </w:tcPr>
          <w:p w14:paraId="497F18A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vAlign w:val="center"/>
          </w:tcPr>
          <w:p w14:paraId="4FD50FC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71" w:type="dxa"/>
            <w:vAlign w:val="center"/>
          </w:tcPr>
          <w:p w14:paraId="0BCAEFC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26DCC18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53DFFE09">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6477E112">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16E44DC2">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12F3A753">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554ABB3F">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134E98BB">
            <w:pPr>
              <w:adjustRightInd w:val="0"/>
              <w:snapToGrid w:val="0"/>
              <w:spacing w:line="288" w:lineRule="auto"/>
              <w:jc w:val="center"/>
              <w:rPr>
                <w:b/>
                <w:bCs/>
                <w:color w:val="auto"/>
                <w:sz w:val="21"/>
                <w:szCs w:val="21"/>
                <w:highlight w:val="none"/>
              </w:rPr>
            </w:pPr>
          </w:p>
        </w:tc>
        <w:tc>
          <w:tcPr>
            <w:tcW w:w="1323" w:type="dxa"/>
            <w:vAlign w:val="center"/>
          </w:tcPr>
          <w:p w14:paraId="589D3EDC">
            <w:pPr>
              <w:adjustRightInd w:val="0"/>
              <w:snapToGrid w:val="0"/>
              <w:spacing w:line="288" w:lineRule="auto"/>
              <w:jc w:val="center"/>
              <w:rPr>
                <w:b/>
                <w:bCs/>
                <w:color w:val="auto"/>
                <w:sz w:val="21"/>
                <w:szCs w:val="21"/>
                <w:highlight w:val="none"/>
              </w:rPr>
            </w:pPr>
          </w:p>
        </w:tc>
        <w:tc>
          <w:tcPr>
            <w:tcW w:w="1871" w:type="dxa"/>
            <w:vAlign w:val="center"/>
          </w:tcPr>
          <w:p w14:paraId="0BA6A7C3">
            <w:pPr>
              <w:adjustRightInd w:val="0"/>
              <w:snapToGrid w:val="0"/>
              <w:spacing w:line="288" w:lineRule="auto"/>
              <w:jc w:val="center"/>
              <w:rPr>
                <w:b/>
                <w:bCs/>
                <w:color w:val="auto"/>
                <w:sz w:val="21"/>
                <w:szCs w:val="21"/>
                <w:highlight w:val="none"/>
              </w:rPr>
            </w:pPr>
          </w:p>
        </w:tc>
      </w:tr>
      <w:tr w14:paraId="78EC12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58B60C9B">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1D56D3FE">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04B7C83C">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17F2857C">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1767CDF0">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497671ED">
            <w:pPr>
              <w:adjustRightInd w:val="0"/>
              <w:snapToGrid w:val="0"/>
              <w:spacing w:line="288" w:lineRule="auto"/>
              <w:jc w:val="center"/>
              <w:rPr>
                <w:b/>
                <w:bCs/>
                <w:color w:val="auto"/>
                <w:sz w:val="21"/>
                <w:szCs w:val="21"/>
                <w:highlight w:val="none"/>
              </w:rPr>
            </w:pPr>
          </w:p>
        </w:tc>
        <w:tc>
          <w:tcPr>
            <w:tcW w:w="1323" w:type="dxa"/>
            <w:vAlign w:val="center"/>
          </w:tcPr>
          <w:p w14:paraId="579DB2BF">
            <w:pPr>
              <w:adjustRightInd w:val="0"/>
              <w:snapToGrid w:val="0"/>
              <w:spacing w:line="288" w:lineRule="auto"/>
              <w:jc w:val="center"/>
              <w:rPr>
                <w:b/>
                <w:bCs/>
                <w:color w:val="auto"/>
                <w:sz w:val="21"/>
                <w:szCs w:val="21"/>
                <w:highlight w:val="none"/>
              </w:rPr>
            </w:pPr>
          </w:p>
        </w:tc>
        <w:tc>
          <w:tcPr>
            <w:tcW w:w="1871" w:type="dxa"/>
            <w:vAlign w:val="center"/>
          </w:tcPr>
          <w:p w14:paraId="5DC53DBC">
            <w:pPr>
              <w:adjustRightInd w:val="0"/>
              <w:snapToGrid w:val="0"/>
              <w:spacing w:line="288" w:lineRule="auto"/>
              <w:jc w:val="center"/>
              <w:rPr>
                <w:b/>
                <w:bCs/>
                <w:color w:val="auto"/>
                <w:sz w:val="21"/>
                <w:szCs w:val="21"/>
                <w:highlight w:val="none"/>
              </w:rPr>
            </w:pPr>
          </w:p>
        </w:tc>
      </w:tr>
      <w:tr w14:paraId="2CD7A95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464970FF">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2FCB4643">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12FA72E9">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50E7624D">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3F4E59CF">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49808C71">
            <w:pPr>
              <w:adjustRightInd w:val="0"/>
              <w:snapToGrid w:val="0"/>
              <w:spacing w:line="288" w:lineRule="auto"/>
              <w:jc w:val="center"/>
              <w:rPr>
                <w:b/>
                <w:bCs/>
                <w:color w:val="auto"/>
                <w:sz w:val="21"/>
                <w:szCs w:val="21"/>
                <w:highlight w:val="none"/>
              </w:rPr>
            </w:pPr>
          </w:p>
        </w:tc>
        <w:tc>
          <w:tcPr>
            <w:tcW w:w="1323" w:type="dxa"/>
            <w:vAlign w:val="center"/>
          </w:tcPr>
          <w:p w14:paraId="3AFA8396">
            <w:pPr>
              <w:adjustRightInd w:val="0"/>
              <w:snapToGrid w:val="0"/>
              <w:spacing w:line="288" w:lineRule="auto"/>
              <w:jc w:val="center"/>
              <w:rPr>
                <w:b/>
                <w:bCs/>
                <w:color w:val="auto"/>
                <w:sz w:val="21"/>
                <w:szCs w:val="21"/>
                <w:highlight w:val="none"/>
              </w:rPr>
            </w:pPr>
          </w:p>
        </w:tc>
        <w:tc>
          <w:tcPr>
            <w:tcW w:w="1871" w:type="dxa"/>
            <w:vAlign w:val="center"/>
          </w:tcPr>
          <w:p w14:paraId="3593E18C">
            <w:pPr>
              <w:adjustRightInd w:val="0"/>
              <w:snapToGrid w:val="0"/>
              <w:spacing w:line="288" w:lineRule="auto"/>
              <w:jc w:val="center"/>
              <w:rPr>
                <w:b/>
                <w:bCs/>
                <w:color w:val="auto"/>
                <w:sz w:val="21"/>
                <w:szCs w:val="21"/>
                <w:highlight w:val="none"/>
              </w:rPr>
            </w:pPr>
          </w:p>
        </w:tc>
      </w:tr>
      <w:tr w14:paraId="300D39F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6EE9AB01">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4455CB4C">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6E028073">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513265A8">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351AE3CB">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74EA9B5E">
            <w:pPr>
              <w:adjustRightInd w:val="0"/>
              <w:snapToGrid w:val="0"/>
              <w:spacing w:line="288" w:lineRule="auto"/>
              <w:jc w:val="center"/>
              <w:rPr>
                <w:b/>
                <w:bCs/>
                <w:color w:val="auto"/>
                <w:sz w:val="21"/>
                <w:szCs w:val="21"/>
                <w:highlight w:val="none"/>
              </w:rPr>
            </w:pPr>
          </w:p>
        </w:tc>
        <w:tc>
          <w:tcPr>
            <w:tcW w:w="1323" w:type="dxa"/>
            <w:vAlign w:val="center"/>
          </w:tcPr>
          <w:p w14:paraId="67AEA74A">
            <w:pPr>
              <w:adjustRightInd w:val="0"/>
              <w:snapToGrid w:val="0"/>
              <w:spacing w:line="288" w:lineRule="auto"/>
              <w:jc w:val="center"/>
              <w:rPr>
                <w:b/>
                <w:bCs/>
                <w:color w:val="auto"/>
                <w:sz w:val="21"/>
                <w:szCs w:val="21"/>
                <w:highlight w:val="none"/>
              </w:rPr>
            </w:pPr>
          </w:p>
        </w:tc>
        <w:tc>
          <w:tcPr>
            <w:tcW w:w="1871" w:type="dxa"/>
            <w:vAlign w:val="center"/>
          </w:tcPr>
          <w:p w14:paraId="7EDF7158">
            <w:pPr>
              <w:adjustRightInd w:val="0"/>
              <w:snapToGrid w:val="0"/>
              <w:spacing w:line="288" w:lineRule="auto"/>
              <w:jc w:val="center"/>
              <w:rPr>
                <w:b/>
                <w:bCs/>
                <w:color w:val="auto"/>
                <w:sz w:val="21"/>
                <w:szCs w:val="21"/>
                <w:highlight w:val="none"/>
              </w:rPr>
            </w:pPr>
          </w:p>
        </w:tc>
      </w:tr>
      <w:tr w14:paraId="7D62291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vAlign w:val="center"/>
          </w:tcPr>
          <w:p w14:paraId="372369A7">
            <w:pPr>
              <w:adjustRightInd w:val="0"/>
              <w:snapToGrid w:val="0"/>
              <w:spacing w:line="288" w:lineRule="auto"/>
              <w:jc w:val="center"/>
              <w:rPr>
                <w:b/>
                <w:bCs/>
                <w:color w:val="auto"/>
                <w:sz w:val="21"/>
                <w:szCs w:val="21"/>
                <w:highlight w:val="none"/>
              </w:rPr>
            </w:pPr>
          </w:p>
        </w:tc>
        <w:tc>
          <w:tcPr>
            <w:tcW w:w="1839" w:type="dxa"/>
            <w:shd w:val="clear" w:color="auto" w:fill="auto"/>
            <w:vAlign w:val="center"/>
          </w:tcPr>
          <w:p w14:paraId="0885588B">
            <w:pPr>
              <w:adjustRightInd w:val="0"/>
              <w:snapToGrid w:val="0"/>
              <w:spacing w:line="288" w:lineRule="auto"/>
              <w:jc w:val="center"/>
              <w:rPr>
                <w:b/>
                <w:bCs/>
                <w:color w:val="auto"/>
                <w:sz w:val="21"/>
                <w:szCs w:val="21"/>
                <w:highlight w:val="none"/>
              </w:rPr>
            </w:pPr>
          </w:p>
        </w:tc>
        <w:tc>
          <w:tcPr>
            <w:tcW w:w="708" w:type="dxa"/>
            <w:shd w:val="clear" w:color="auto" w:fill="FFFFFF"/>
            <w:vAlign w:val="center"/>
          </w:tcPr>
          <w:p w14:paraId="31DEEC4A">
            <w:pPr>
              <w:adjustRightInd w:val="0"/>
              <w:snapToGrid w:val="0"/>
              <w:spacing w:line="288" w:lineRule="auto"/>
              <w:jc w:val="center"/>
              <w:rPr>
                <w:b/>
                <w:bCs/>
                <w:color w:val="auto"/>
                <w:sz w:val="21"/>
                <w:szCs w:val="21"/>
                <w:highlight w:val="none"/>
              </w:rPr>
            </w:pPr>
          </w:p>
        </w:tc>
        <w:tc>
          <w:tcPr>
            <w:tcW w:w="1702" w:type="dxa"/>
            <w:shd w:val="clear" w:color="auto" w:fill="FFFFFF"/>
            <w:vAlign w:val="center"/>
          </w:tcPr>
          <w:p w14:paraId="043BF28B">
            <w:pPr>
              <w:adjustRightInd w:val="0"/>
              <w:snapToGrid w:val="0"/>
              <w:spacing w:line="288" w:lineRule="auto"/>
              <w:jc w:val="center"/>
              <w:rPr>
                <w:b/>
                <w:bCs/>
                <w:color w:val="auto"/>
                <w:sz w:val="21"/>
                <w:szCs w:val="21"/>
                <w:highlight w:val="none"/>
              </w:rPr>
            </w:pPr>
          </w:p>
        </w:tc>
        <w:tc>
          <w:tcPr>
            <w:tcW w:w="756" w:type="dxa"/>
            <w:shd w:val="clear" w:color="auto" w:fill="FFFFFF"/>
            <w:vAlign w:val="center"/>
          </w:tcPr>
          <w:p w14:paraId="1F1DA6BE">
            <w:pPr>
              <w:adjustRightInd w:val="0"/>
              <w:snapToGrid w:val="0"/>
              <w:spacing w:line="288" w:lineRule="auto"/>
              <w:jc w:val="center"/>
              <w:rPr>
                <w:b/>
                <w:bCs/>
                <w:color w:val="auto"/>
                <w:sz w:val="21"/>
                <w:szCs w:val="21"/>
                <w:highlight w:val="none"/>
              </w:rPr>
            </w:pPr>
          </w:p>
        </w:tc>
        <w:tc>
          <w:tcPr>
            <w:tcW w:w="1011" w:type="dxa"/>
            <w:shd w:val="clear" w:color="auto" w:fill="FFFFFF"/>
            <w:vAlign w:val="center"/>
          </w:tcPr>
          <w:p w14:paraId="58A075B7">
            <w:pPr>
              <w:adjustRightInd w:val="0"/>
              <w:snapToGrid w:val="0"/>
              <w:spacing w:line="288" w:lineRule="auto"/>
              <w:jc w:val="center"/>
              <w:rPr>
                <w:b/>
                <w:bCs/>
                <w:color w:val="auto"/>
                <w:sz w:val="21"/>
                <w:szCs w:val="21"/>
                <w:highlight w:val="none"/>
              </w:rPr>
            </w:pPr>
          </w:p>
        </w:tc>
        <w:tc>
          <w:tcPr>
            <w:tcW w:w="1323" w:type="dxa"/>
            <w:vAlign w:val="center"/>
          </w:tcPr>
          <w:p w14:paraId="291BF341">
            <w:pPr>
              <w:adjustRightInd w:val="0"/>
              <w:snapToGrid w:val="0"/>
              <w:spacing w:line="288" w:lineRule="auto"/>
              <w:jc w:val="center"/>
              <w:rPr>
                <w:b/>
                <w:bCs/>
                <w:color w:val="auto"/>
                <w:sz w:val="21"/>
                <w:szCs w:val="21"/>
                <w:highlight w:val="none"/>
              </w:rPr>
            </w:pPr>
          </w:p>
        </w:tc>
        <w:tc>
          <w:tcPr>
            <w:tcW w:w="1871" w:type="dxa"/>
            <w:vAlign w:val="center"/>
          </w:tcPr>
          <w:p w14:paraId="177A9834">
            <w:pPr>
              <w:adjustRightInd w:val="0"/>
              <w:snapToGrid w:val="0"/>
              <w:spacing w:line="288" w:lineRule="auto"/>
              <w:jc w:val="center"/>
              <w:rPr>
                <w:b/>
                <w:bCs/>
                <w:color w:val="auto"/>
                <w:sz w:val="21"/>
                <w:szCs w:val="21"/>
                <w:highlight w:val="none"/>
              </w:rPr>
            </w:pPr>
          </w:p>
        </w:tc>
      </w:tr>
      <w:tr w14:paraId="17CA10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8" w:type="dxa"/>
            <w:gridSpan w:val="8"/>
            <w:vAlign w:val="center"/>
          </w:tcPr>
          <w:p w14:paraId="3988EAF6">
            <w:pPr>
              <w:adjustRightInd w:val="0"/>
              <w:snapToGrid w:val="0"/>
              <w:spacing w:line="288" w:lineRule="auto"/>
              <w:jc w:val="left"/>
              <w:rPr>
                <w:b/>
                <w:bCs/>
                <w:color w:val="auto"/>
                <w:sz w:val="21"/>
                <w:szCs w:val="21"/>
                <w:highlight w:val="none"/>
              </w:rPr>
            </w:pPr>
            <w:r>
              <w:rPr>
                <w:rFonts w:hint="eastAsia"/>
                <w:b/>
                <w:color w:val="auto"/>
                <w:spacing w:val="-6"/>
                <w:sz w:val="21"/>
                <w:szCs w:val="21"/>
                <w:highlight w:val="none"/>
              </w:rPr>
              <w:t>说明：采购人将以合同形式有偿取得货物或服务，不接受供应商给予的赠品、回扣或者与采购无关的其他商品、服务。本项目为总价包干价，报价范围应当涵盖完成本项目所需的全部费用，以及税金、管理费、利润、风险费、投标费用等一切成本及费用。</w:t>
            </w:r>
          </w:p>
          <w:p w14:paraId="362F8477">
            <w:pPr>
              <w:adjustRightInd w:val="0"/>
              <w:snapToGrid w:val="0"/>
              <w:spacing w:line="288" w:lineRule="auto"/>
              <w:jc w:val="center"/>
              <w:rPr>
                <w:b/>
                <w:bCs/>
                <w:color w:val="auto"/>
                <w:sz w:val="21"/>
                <w:szCs w:val="21"/>
                <w:highlight w:val="none"/>
              </w:rPr>
            </w:pPr>
          </w:p>
          <w:p w14:paraId="125D5B1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02C055B5">
            <w:pPr>
              <w:adjustRightInd w:val="0"/>
              <w:snapToGrid w:val="0"/>
              <w:spacing w:line="288" w:lineRule="auto"/>
              <w:rPr>
                <w:b/>
                <w:bCs/>
                <w:color w:val="auto"/>
                <w:sz w:val="21"/>
                <w:szCs w:val="21"/>
                <w:highlight w:val="none"/>
              </w:rPr>
            </w:pPr>
          </w:p>
          <w:p w14:paraId="4EAACB35">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74C3B43A">
            <w:pPr>
              <w:adjustRightInd w:val="0"/>
              <w:snapToGrid w:val="0"/>
              <w:spacing w:line="288" w:lineRule="auto"/>
              <w:rPr>
                <w:b/>
                <w:bCs/>
                <w:color w:val="auto"/>
                <w:sz w:val="21"/>
                <w:szCs w:val="21"/>
                <w:highlight w:val="none"/>
              </w:rPr>
            </w:pPr>
          </w:p>
          <w:p w14:paraId="33239421">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0764782F">
            <w:pPr>
              <w:adjustRightInd w:val="0"/>
              <w:snapToGrid w:val="0"/>
              <w:spacing w:line="288" w:lineRule="auto"/>
              <w:rPr>
                <w:b/>
                <w:bCs/>
                <w:color w:val="auto"/>
                <w:sz w:val="21"/>
                <w:szCs w:val="21"/>
                <w:highlight w:val="none"/>
              </w:rPr>
            </w:pPr>
          </w:p>
        </w:tc>
      </w:tr>
    </w:tbl>
    <w:p w14:paraId="6F1BA17C">
      <w:pPr>
        <w:adjustRightInd w:val="0"/>
        <w:snapToGrid w:val="0"/>
        <w:spacing w:line="288" w:lineRule="auto"/>
        <w:rPr>
          <w:color w:val="auto"/>
          <w:spacing w:val="-6"/>
          <w:sz w:val="21"/>
          <w:szCs w:val="21"/>
          <w:highlight w:val="none"/>
        </w:rPr>
      </w:pPr>
    </w:p>
    <w:p w14:paraId="2AAC9B53">
      <w:pPr>
        <w:pStyle w:val="7"/>
        <w:spacing w:line="288" w:lineRule="auto"/>
        <w:rPr>
          <w:rFonts w:hAnsi="宋体" w:cs="宋体"/>
          <w:color w:val="auto"/>
          <w:spacing w:val="-6"/>
          <w:sz w:val="21"/>
          <w:szCs w:val="21"/>
          <w:highlight w:val="none"/>
        </w:rPr>
      </w:pPr>
    </w:p>
    <w:p w14:paraId="47B949B2">
      <w:pPr>
        <w:spacing w:line="288" w:lineRule="auto"/>
        <w:rPr>
          <w:color w:val="auto"/>
          <w:sz w:val="21"/>
          <w:szCs w:val="21"/>
          <w:highlight w:val="none"/>
        </w:rPr>
      </w:pPr>
    </w:p>
    <w:p w14:paraId="6EAF7A4B">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说明：</w:t>
      </w:r>
    </w:p>
    <w:p w14:paraId="6FF8E895">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1.此表在不改变格式要求的情况下，可自行增行。</w:t>
      </w:r>
    </w:p>
    <w:p w14:paraId="38CCB16E">
      <w:pPr>
        <w:adjustRightInd w:val="0"/>
        <w:snapToGrid w:val="0"/>
        <w:spacing w:line="288" w:lineRule="auto"/>
        <w:jc w:val="left"/>
        <w:rPr>
          <w:b/>
          <w:color w:val="auto"/>
          <w:spacing w:val="-6"/>
          <w:sz w:val="21"/>
          <w:szCs w:val="21"/>
          <w:highlight w:val="none"/>
        </w:rPr>
      </w:pPr>
      <w:r>
        <w:rPr>
          <w:rFonts w:hint="eastAsia"/>
          <w:bCs/>
          <w:color w:val="auto"/>
          <w:spacing w:val="-6"/>
          <w:sz w:val="21"/>
          <w:szCs w:val="21"/>
          <w:highlight w:val="none"/>
        </w:rPr>
        <w:t>2.有关本项目实施所涉及的一切费用均计入报价。</w:t>
      </w:r>
    </w:p>
    <w:p w14:paraId="0CF657BC">
      <w:pPr>
        <w:spacing w:line="288" w:lineRule="auto"/>
        <w:rPr>
          <w:bCs/>
          <w:color w:val="auto"/>
          <w:spacing w:val="-6"/>
          <w:sz w:val="21"/>
          <w:szCs w:val="21"/>
          <w:highlight w:val="none"/>
        </w:rPr>
      </w:pPr>
      <w:r>
        <w:rPr>
          <w:rFonts w:hint="eastAsia"/>
          <w:b/>
          <w:color w:val="auto"/>
          <w:spacing w:val="-6"/>
          <w:sz w:val="21"/>
          <w:szCs w:val="21"/>
          <w:highlight w:val="none"/>
        </w:rPr>
        <w:t>3.以上表格要求细分项目及报价，在“规格型号（或具体服务）”一栏中，货物类项目填写规格型号，服务类项目填写具体服务</w:t>
      </w:r>
      <w:r>
        <w:rPr>
          <w:rFonts w:hint="eastAsia"/>
          <w:bCs/>
          <w:color w:val="auto"/>
          <w:spacing w:val="-6"/>
          <w:sz w:val="21"/>
          <w:szCs w:val="21"/>
          <w:highlight w:val="none"/>
        </w:rPr>
        <w:t>。</w:t>
      </w:r>
    </w:p>
    <w:p w14:paraId="16178A71">
      <w:pPr>
        <w:adjustRightInd w:val="0"/>
        <w:snapToGrid w:val="0"/>
        <w:spacing w:line="288" w:lineRule="auto"/>
        <w:rPr>
          <w:bCs/>
          <w:color w:val="auto"/>
          <w:sz w:val="21"/>
          <w:szCs w:val="21"/>
          <w:highlight w:val="none"/>
        </w:rPr>
      </w:pPr>
    </w:p>
    <w:p w14:paraId="1DC8A4EE">
      <w:pPr>
        <w:adjustRightInd w:val="0"/>
        <w:snapToGrid w:val="0"/>
        <w:spacing w:line="288" w:lineRule="auto"/>
        <w:rPr>
          <w:bCs/>
          <w:color w:val="auto"/>
          <w:sz w:val="21"/>
          <w:szCs w:val="21"/>
          <w:highlight w:val="none"/>
        </w:rPr>
      </w:pPr>
    </w:p>
    <w:p w14:paraId="6E68E7A1">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供应商名称（电子签名/公章）：</w:t>
      </w:r>
    </w:p>
    <w:p w14:paraId="198CA4E7">
      <w:pPr>
        <w:adjustRightInd w:val="0"/>
        <w:snapToGrid w:val="0"/>
        <w:spacing w:line="288" w:lineRule="auto"/>
        <w:rPr>
          <w:bCs/>
          <w:color w:val="auto"/>
          <w:spacing w:val="-6"/>
          <w:sz w:val="21"/>
          <w:szCs w:val="21"/>
          <w:highlight w:val="none"/>
        </w:rPr>
      </w:pPr>
      <w:r>
        <w:rPr>
          <w:rFonts w:hint="eastAsia"/>
          <w:bCs/>
          <w:color w:val="auto"/>
          <w:spacing w:val="-6"/>
          <w:sz w:val="21"/>
          <w:szCs w:val="21"/>
          <w:highlight w:val="none"/>
        </w:rPr>
        <w:t>日期：</w:t>
      </w:r>
      <w:r>
        <w:rPr>
          <w:rFonts w:hint="eastAsia"/>
          <w:bCs/>
          <w:color w:val="auto"/>
          <w:spacing w:val="-6"/>
          <w:sz w:val="21"/>
          <w:szCs w:val="21"/>
          <w:highlight w:val="none"/>
          <w:lang w:eastAsia="zh-CN"/>
        </w:rPr>
        <w:t>2025年</w:t>
      </w:r>
      <w:r>
        <w:rPr>
          <w:rFonts w:hint="eastAsia"/>
          <w:bCs/>
          <w:color w:val="auto"/>
          <w:spacing w:val="-6"/>
          <w:sz w:val="21"/>
          <w:szCs w:val="21"/>
          <w:highlight w:val="none"/>
        </w:rPr>
        <w:t xml:space="preserve">  月  日</w:t>
      </w:r>
    </w:p>
    <w:p w14:paraId="456D9E92">
      <w:pPr>
        <w:adjustRightInd w:val="0"/>
        <w:snapToGrid w:val="0"/>
        <w:spacing w:line="288" w:lineRule="auto"/>
        <w:rPr>
          <w:b/>
          <w:color w:val="auto"/>
          <w:spacing w:val="-6"/>
          <w:sz w:val="21"/>
          <w:szCs w:val="21"/>
          <w:highlight w:val="none"/>
        </w:rPr>
      </w:pPr>
    </w:p>
    <w:p w14:paraId="7EA94DE2">
      <w:pPr>
        <w:pStyle w:val="63"/>
        <w:spacing w:line="288" w:lineRule="auto"/>
        <w:ind w:firstLine="398"/>
        <w:rPr>
          <w:rFonts w:ascii="宋体" w:hAnsi="宋体" w:eastAsia="宋体" w:cs="宋体"/>
          <w:b/>
          <w:color w:val="auto"/>
          <w:spacing w:val="-6"/>
          <w:sz w:val="21"/>
          <w:szCs w:val="21"/>
          <w:highlight w:val="none"/>
        </w:rPr>
      </w:pPr>
    </w:p>
    <w:p w14:paraId="1092866D">
      <w:pPr>
        <w:adjustRightInd w:val="0"/>
        <w:snapToGrid w:val="0"/>
        <w:spacing w:line="288" w:lineRule="auto"/>
        <w:rPr>
          <w:b/>
          <w:bCs/>
          <w:color w:val="auto"/>
          <w:spacing w:val="-6"/>
          <w:sz w:val="21"/>
          <w:szCs w:val="21"/>
          <w:highlight w:val="none"/>
        </w:rPr>
      </w:pPr>
      <w:r>
        <w:rPr>
          <w:rFonts w:hint="eastAsia"/>
          <w:b/>
          <w:bCs/>
          <w:color w:val="auto"/>
          <w:spacing w:val="-6"/>
          <w:sz w:val="21"/>
          <w:szCs w:val="21"/>
          <w:highlight w:val="none"/>
        </w:rPr>
        <w:t>说明：此表在政采云开标当天最后报价时作为附件上传系统。</w:t>
      </w:r>
    </w:p>
    <w:p w14:paraId="4747CC6D">
      <w:pPr>
        <w:pStyle w:val="63"/>
        <w:spacing w:line="288" w:lineRule="auto"/>
        <w:ind w:firstLine="398"/>
        <w:rPr>
          <w:rFonts w:ascii="宋体" w:hAnsi="宋体" w:eastAsia="宋体" w:cs="宋体"/>
          <w:b/>
          <w:color w:val="auto"/>
          <w:spacing w:val="-6"/>
          <w:sz w:val="21"/>
          <w:szCs w:val="21"/>
          <w:highlight w:val="none"/>
        </w:rPr>
        <w:sectPr>
          <w:pgSz w:w="11906" w:h="16838"/>
          <w:pgMar w:top="1247" w:right="1247" w:bottom="1247" w:left="1247" w:header="0" w:footer="692" w:gutter="0"/>
          <w:pgBorders>
            <w:top w:val="none" w:sz="0" w:space="0"/>
            <w:left w:val="none" w:sz="0" w:space="0"/>
            <w:bottom w:val="none" w:sz="0" w:space="0"/>
            <w:right w:val="none" w:sz="0" w:space="0"/>
          </w:pgBorders>
          <w:cols w:space="720" w:num="1"/>
          <w:docGrid w:type="lines" w:linePitch="312" w:charSpace="0"/>
        </w:sectPr>
      </w:pPr>
    </w:p>
    <w:p w14:paraId="58E49753">
      <w:pPr>
        <w:adjustRightInd w:val="0"/>
        <w:snapToGrid w:val="0"/>
        <w:spacing w:line="288" w:lineRule="auto"/>
        <w:outlineLvl w:val="1"/>
        <w:rPr>
          <w:b/>
          <w:color w:val="auto"/>
          <w:spacing w:val="-6"/>
          <w:sz w:val="21"/>
          <w:szCs w:val="21"/>
          <w:highlight w:val="none"/>
        </w:rPr>
      </w:pPr>
      <w:r>
        <w:rPr>
          <w:rFonts w:hint="eastAsia"/>
          <w:b/>
          <w:color w:val="auto"/>
          <w:spacing w:val="-6"/>
          <w:sz w:val="21"/>
          <w:szCs w:val="21"/>
          <w:highlight w:val="none"/>
        </w:rPr>
        <w:t>十、附件</w:t>
      </w:r>
    </w:p>
    <w:p w14:paraId="5617E556">
      <w:pPr>
        <w:adjustRightInd w:val="0"/>
        <w:snapToGrid w:val="0"/>
        <w:spacing w:line="288" w:lineRule="auto"/>
        <w:outlineLvl w:val="2"/>
        <w:rPr>
          <w:b/>
          <w:bCs/>
          <w:color w:val="auto"/>
          <w:sz w:val="21"/>
          <w:szCs w:val="21"/>
          <w:highlight w:val="none"/>
        </w:rPr>
      </w:pPr>
      <w:r>
        <w:rPr>
          <w:rFonts w:hint="eastAsia"/>
          <w:b/>
          <w:color w:val="auto"/>
          <w:spacing w:val="-6"/>
          <w:sz w:val="21"/>
          <w:szCs w:val="21"/>
          <w:highlight w:val="none"/>
        </w:rPr>
        <w:t>附件1：</w:t>
      </w:r>
      <w:r>
        <w:rPr>
          <w:rFonts w:hint="eastAsia"/>
          <w:b/>
          <w:bCs/>
          <w:color w:val="auto"/>
          <w:sz w:val="21"/>
          <w:szCs w:val="21"/>
          <w:highlight w:val="none"/>
        </w:rPr>
        <w:t>业务专用章使用说明函</w:t>
      </w:r>
      <w:bookmarkEnd w:id="164"/>
      <w:bookmarkEnd w:id="174"/>
      <w:bookmarkEnd w:id="175"/>
      <w:bookmarkEnd w:id="176"/>
    </w:p>
    <w:p w14:paraId="0C6A841A">
      <w:pPr>
        <w:snapToGrid w:val="0"/>
        <w:spacing w:line="288" w:lineRule="auto"/>
        <w:rPr>
          <w:color w:val="auto"/>
          <w:sz w:val="21"/>
          <w:szCs w:val="21"/>
          <w:highlight w:val="none"/>
          <w:u w:val="single"/>
        </w:rPr>
      </w:pPr>
    </w:p>
    <w:p w14:paraId="33EE3573">
      <w:pPr>
        <w:snapToGrid w:val="0"/>
        <w:spacing w:line="288" w:lineRule="auto"/>
        <w:rPr>
          <w:color w:val="auto"/>
          <w:sz w:val="21"/>
          <w:szCs w:val="21"/>
          <w:highlight w:val="none"/>
        </w:rPr>
      </w:pPr>
      <w:r>
        <w:rPr>
          <w:rFonts w:hint="eastAsia"/>
          <w:color w:val="auto"/>
          <w:sz w:val="21"/>
          <w:szCs w:val="21"/>
          <w:highlight w:val="none"/>
          <w:u w:val="single"/>
        </w:rPr>
        <w:t>（采购人）、（采购代理机构）</w:t>
      </w:r>
    </w:p>
    <w:p w14:paraId="595CB5BE">
      <w:pPr>
        <w:snapToGrid w:val="0"/>
        <w:spacing w:line="288" w:lineRule="auto"/>
        <w:ind w:firstLine="424" w:firstLineChars="202"/>
        <w:rPr>
          <w:color w:val="auto"/>
          <w:sz w:val="21"/>
          <w:szCs w:val="21"/>
          <w:highlight w:val="none"/>
        </w:rPr>
      </w:pPr>
      <w:r>
        <w:rPr>
          <w:rFonts w:hint="eastAsia"/>
          <w:color w:val="auto"/>
          <w:kern w:val="0"/>
          <w:sz w:val="21"/>
          <w:szCs w:val="21"/>
          <w:highlight w:val="none"/>
          <w:lang w:val="zh-CN"/>
        </w:rPr>
        <w:t>我方</w:t>
      </w:r>
      <w:r>
        <w:rPr>
          <w:rFonts w:hint="eastAsia"/>
          <w:color w:val="auto"/>
          <w:kern w:val="0"/>
          <w:sz w:val="21"/>
          <w:szCs w:val="21"/>
          <w:highlight w:val="none"/>
          <w:u w:val="single"/>
          <w:lang w:val="zh-CN"/>
        </w:rPr>
        <w:t xml:space="preserve">                         </w:t>
      </w:r>
      <w:r>
        <w:rPr>
          <w:rFonts w:hint="eastAsia"/>
          <w:color w:val="auto"/>
          <w:sz w:val="21"/>
          <w:szCs w:val="21"/>
          <w:highlight w:val="none"/>
        </w:rPr>
        <w:t>(供应商全称)是中华人民共和国依法登记注册的合法企业，</w:t>
      </w:r>
      <w:r>
        <w:rPr>
          <w:rFonts w:hint="eastAsia"/>
          <w:bCs/>
          <w:color w:val="auto"/>
          <w:sz w:val="21"/>
          <w:szCs w:val="21"/>
          <w:highlight w:val="none"/>
        </w:rPr>
        <w:t>在参加</w:t>
      </w:r>
      <w:r>
        <w:rPr>
          <w:rFonts w:hint="eastAsia"/>
          <w:color w:val="auto"/>
          <w:sz w:val="21"/>
          <w:szCs w:val="21"/>
          <w:highlight w:val="none"/>
        </w:rPr>
        <w:t>你方组织的</w:t>
      </w:r>
      <w:r>
        <w:rPr>
          <w:rFonts w:hint="eastAsia"/>
          <w:color w:val="auto"/>
          <w:sz w:val="21"/>
          <w:szCs w:val="21"/>
          <w:highlight w:val="none"/>
          <w:u w:val="single"/>
        </w:rPr>
        <w:t>（项目名称）</w:t>
      </w:r>
      <w:r>
        <w:rPr>
          <w:rFonts w:hint="eastAsia"/>
          <w:color w:val="auto"/>
          <w:sz w:val="21"/>
          <w:szCs w:val="21"/>
          <w:highlight w:val="none"/>
        </w:rPr>
        <w:t>项目</w:t>
      </w:r>
      <w:r>
        <w:rPr>
          <w:rFonts w:hint="eastAsia"/>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“XX专用章”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“XX专用章”</w:t>
      </w:r>
      <w:r>
        <w:rPr>
          <w:rFonts w:hint="eastAsia"/>
          <w:color w:val="auto"/>
          <w:sz w:val="21"/>
          <w:szCs w:val="21"/>
          <w:highlight w:val="none"/>
        </w:rPr>
        <w:t>的行为予以完全承认，并愿意承担相应责任。</w:t>
      </w:r>
    </w:p>
    <w:p w14:paraId="343198F0">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2125EFEE">
      <w:pPr>
        <w:snapToGrid w:val="0"/>
        <w:spacing w:line="288" w:lineRule="auto"/>
        <w:ind w:firstLine="424" w:firstLineChars="202"/>
        <w:rPr>
          <w:color w:val="auto"/>
          <w:sz w:val="21"/>
          <w:szCs w:val="21"/>
          <w:highlight w:val="none"/>
        </w:rPr>
      </w:pPr>
      <w:r>
        <w:rPr>
          <w:rFonts w:hint="eastAsia"/>
          <w:color w:val="auto"/>
          <w:sz w:val="21"/>
          <w:szCs w:val="21"/>
          <w:highlight w:val="none"/>
        </w:rPr>
        <w:t>供应商（法定名称章）：</w:t>
      </w:r>
    </w:p>
    <w:p w14:paraId="7A8FFBF8">
      <w:pPr>
        <w:snapToGrid w:val="0"/>
        <w:spacing w:line="288" w:lineRule="auto"/>
        <w:ind w:firstLine="424" w:firstLineChars="202"/>
        <w:rPr>
          <w:color w:val="auto"/>
          <w:sz w:val="21"/>
          <w:szCs w:val="21"/>
          <w:highlight w:val="none"/>
        </w:rPr>
      </w:pPr>
      <w:r>
        <w:rPr>
          <w:rFonts w:hint="eastAsia"/>
          <w:color w:val="auto"/>
          <w:sz w:val="21"/>
          <w:szCs w:val="21"/>
          <w:highlight w:val="none"/>
        </w:rPr>
        <w:t>日期：       年     月     日</w:t>
      </w:r>
    </w:p>
    <w:p w14:paraId="423B2A18">
      <w:pPr>
        <w:snapToGrid w:val="0"/>
        <w:spacing w:line="288" w:lineRule="auto"/>
        <w:rPr>
          <w:b/>
          <w:bCs/>
          <w:color w:val="auto"/>
          <w:sz w:val="21"/>
          <w:szCs w:val="21"/>
          <w:highlight w:val="none"/>
        </w:rPr>
      </w:pPr>
    </w:p>
    <w:p w14:paraId="2034C44A">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                供应商“XX专用章”（印模）</w:t>
      </w:r>
    </w:p>
    <w:p w14:paraId="774D1262">
      <w:pPr>
        <w:snapToGrid w:val="0"/>
        <w:spacing w:line="288" w:lineRule="auto"/>
        <w:rPr>
          <w:color w:val="auto"/>
          <w:sz w:val="21"/>
          <w:szCs w:val="21"/>
          <w:highlight w:val="none"/>
        </w:rPr>
      </w:pPr>
      <w:r>
        <w:rPr>
          <w:rFonts w:hint="eastAsia"/>
          <w:color w:val="auto"/>
          <w:sz w:val="21"/>
          <w:szCs w:val="21"/>
          <w:highlight w:val="none"/>
        </w:rPr>
        <mc:AlternateContent>
          <mc:Choice Requires="wps">
            <w:drawing>
              <wp:inline distT="0" distB="0" distL="114300" distR="114300">
                <wp:extent cx="2704465" cy="2253615"/>
                <wp:effectExtent l="5080" t="4445" r="14605" b="8890"/>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2"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S0Rk9UAAAAF&#10;AQAADwAAAAAAAAABACAAAAAiAAAAZHJzL2Rvd25yZXYueG1sUEsBAhQAFAAAAAgAh07iQK7+aYAf&#10;AgAAYwQAAA4AAAAAAAAAAQAgAAAAJAEAAGRycy9lMm9Eb2MueG1sUEsFBgAAAAAGAAYAWQEAALUF&#10;AAAAAA==&#10;">
                <v:fill on="t" focussize="0,0"/>
                <v:stroke color="#000000" joinstyle="miter"/>
                <v:imagedata o:title=""/>
                <o:lock v:ext="edit" rotation="t" aspectratio="t"/>
                <w10:wrap type="none"/>
                <w10:anchorlock/>
              </v:rect>
            </w:pict>
          </mc:Fallback>
        </mc:AlternateContent>
      </w:r>
      <w:r>
        <w:rPr>
          <w:rFonts w:hint="eastAsia"/>
          <w:color w:val="auto"/>
          <w:sz w:val="21"/>
          <w:szCs w:val="21"/>
          <w:highlight w:val="none"/>
        </w:rPr>
        <w:t xml:space="preserve"> </w:t>
      </w:r>
      <w:r>
        <w:rPr>
          <w:rFonts w:hint="eastAsia"/>
          <w:color w:val="auto"/>
          <w:sz w:val="21"/>
          <w:szCs w:val="21"/>
          <w:highlight w:val="none"/>
        </w:rPr>
        <mc:AlternateContent>
          <mc:Choice Requires="wps">
            <w:drawing>
              <wp:inline distT="0" distB="0" distL="114300" distR="114300">
                <wp:extent cx="2647950" cy="2253615"/>
                <wp:effectExtent l="5080" t="4445" r="13970" b="8890"/>
                <wp:docPr id="2"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inline>
            </w:drawing>
          </mc:Choice>
          <mc:Fallback>
            <w:pict>
              <v:rect id="矩形 1"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vpR3VAAAA&#10;BQEAAA8AAAAAAAAAAQAgAAAAIgAAAGRycy9kb3ducmV2LnhtbFBLAQIUABQAAAAIAIdO4kDLvTQA&#10;IAIAAGMEAAAOAAAAAAAAAAEAIAAAACQBAABkcnMvZTJvRG9jLnhtbFBLBQYAAAAABgAGAFkBAAC2&#10;BQAAAAA=&#10;">
                <v:fill on="t" focussize="0,0"/>
                <v:stroke color="#000000" joinstyle="miter"/>
                <v:imagedata o:title=""/>
                <o:lock v:ext="edit" rotation="t" aspectratio="t"/>
                <w10:wrap type="none"/>
                <w10:anchorlock/>
              </v:rect>
            </w:pict>
          </mc:Fallback>
        </mc:AlternateContent>
      </w:r>
    </w:p>
    <w:p w14:paraId="17413DAB">
      <w:pPr>
        <w:widowControl/>
        <w:spacing w:line="288" w:lineRule="auto"/>
        <w:jc w:val="center"/>
        <w:rPr>
          <w:b/>
          <w:color w:val="auto"/>
          <w:kern w:val="0"/>
          <w:sz w:val="21"/>
          <w:szCs w:val="21"/>
          <w:highlight w:val="none"/>
          <w:lang w:val="zh-CN"/>
        </w:rPr>
      </w:pPr>
      <w:r>
        <w:rPr>
          <w:rFonts w:hint="eastAsia"/>
          <w:b/>
          <w:color w:val="auto"/>
          <w:spacing w:val="-6"/>
          <w:sz w:val="21"/>
          <w:szCs w:val="21"/>
          <w:highlight w:val="none"/>
        </w:rPr>
        <w:br w:type="page"/>
      </w:r>
      <w:bookmarkStart w:id="177" w:name="_Toc24422"/>
      <w:bookmarkStart w:id="178" w:name="_Toc23516"/>
      <w:bookmarkStart w:id="179" w:name="_Toc23208"/>
      <w:bookmarkStart w:id="180" w:name="_Toc24386"/>
      <w:r>
        <w:rPr>
          <w:rFonts w:hint="eastAsia"/>
          <w:b/>
          <w:color w:val="auto"/>
          <w:kern w:val="0"/>
          <w:sz w:val="21"/>
          <w:szCs w:val="21"/>
          <w:highlight w:val="none"/>
          <w:lang w:val="zh-CN"/>
        </w:rPr>
        <w:t>附件2：联合协议</w:t>
      </w:r>
      <w:bookmarkEnd w:id="177"/>
      <w:bookmarkEnd w:id="178"/>
      <w:bookmarkEnd w:id="179"/>
      <w:bookmarkEnd w:id="180"/>
    </w:p>
    <w:p w14:paraId="49E8A9B3">
      <w:pPr>
        <w:widowControl/>
        <w:snapToGrid w:val="0"/>
        <w:spacing w:line="288" w:lineRule="auto"/>
        <w:ind w:firstLine="424" w:firstLineChars="201"/>
        <w:jc w:val="left"/>
        <w:rPr>
          <w:b/>
          <w:color w:val="auto"/>
          <w:sz w:val="21"/>
          <w:szCs w:val="21"/>
          <w:highlight w:val="none"/>
        </w:rPr>
      </w:pPr>
      <w:r>
        <w:rPr>
          <w:rFonts w:hint="eastAsia"/>
          <w:b/>
          <w:color w:val="auto"/>
          <w:sz w:val="21"/>
          <w:szCs w:val="21"/>
          <w:highlight w:val="none"/>
        </w:rPr>
        <w:t>（以联合体形式响应的，提供联合协议；供应商不以联合体形式响应的，则不需要提供）</w:t>
      </w:r>
    </w:p>
    <w:p w14:paraId="5D45544C">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（联合体所有成员名称）</w:t>
      </w:r>
      <w:r>
        <w:rPr>
          <w:rFonts w:hint="eastAsia"/>
          <w:color w:val="auto"/>
          <w:kern w:val="0"/>
          <w:sz w:val="21"/>
          <w:szCs w:val="21"/>
          <w:highlight w:val="none"/>
        </w:rPr>
        <w:t>自愿</w:t>
      </w:r>
      <w:r>
        <w:rPr>
          <w:rFonts w:hint="eastAsia"/>
          <w:color w:val="auto"/>
          <w:kern w:val="0"/>
          <w:sz w:val="21"/>
          <w:szCs w:val="21"/>
          <w:highlight w:val="none"/>
          <w:lang w:val="zh-CN"/>
        </w:rPr>
        <w:t>组成一个联合体，以一个供应商的身份</w:t>
      </w:r>
      <w:r>
        <w:rPr>
          <w:rFonts w:hint="eastAsia"/>
          <w:color w:val="auto"/>
          <w:kern w:val="0"/>
          <w:sz w:val="21"/>
          <w:szCs w:val="21"/>
          <w:highlight w:val="none"/>
        </w:rPr>
        <w:t>参加</w:t>
      </w:r>
      <w:r>
        <w:rPr>
          <w:rFonts w:hint="eastAsia"/>
          <w:color w:val="auto"/>
          <w:sz w:val="21"/>
          <w:szCs w:val="21"/>
          <w:highlight w:val="none"/>
        </w:rPr>
        <w:t>（项目名称）【招标编号：（采购编号）】</w:t>
      </w:r>
      <w:r>
        <w:rPr>
          <w:rFonts w:hint="eastAsia"/>
          <w:color w:val="auto"/>
          <w:kern w:val="0"/>
          <w:sz w:val="21"/>
          <w:szCs w:val="21"/>
          <w:highlight w:val="none"/>
          <w:lang w:val="zh-CN"/>
        </w:rPr>
        <w:t>响应。</w:t>
      </w:r>
    </w:p>
    <w:p w14:paraId="5D2E20C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一、各方一致决定，</w:t>
      </w:r>
      <w:r>
        <w:rPr>
          <w:rFonts w:hint="eastAsia"/>
          <w:color w:val="auto"/>
          <w:kern w:val="0"/>
          <w:sz w:val="21"/>
          <w:szCs w:val="21"/>
          <w:highlight w:val="none"/>
          <w:u w:val="single"/>
        </w:rPr>
        <w:t>（某联合体成员名称）</w:t>
      </w:r>
      <w:r>
        <w:rPr>
          <w:rFonts w:hint="eastAsia"/>
          <w:color w:val="auto"/>
          <w:kern w:val="0"/>
          <w:sz w:val="21"/>
          <w:szCs w:val="21"/>
          <w:highlight w:val="none"/>
        </w:rPr>
        <w:t>为联合体</w:t>
      </w:r>
      <w:r>
        <w:rPr>
          <w:rFonts w:hint="eastAsia"/>
          <w:color w:val="auto"/>
          <w:kern w:val="0"/>
          <w:sz w:val="21"/>
          <w:szCs w:val="21"/>
          <w:highlight w:val="none"/>
          <w:lang w:val="zh-CN"/>
        </w:rPr>
        <w:t>牵头人</w:t>
      </w:r>
      <w:r>
        <w:rPr>
          <w:rFonts w:hint="eastAsia"/>
          <w:color w:val="auto"/>
          <w:sz w:val="21"/>
          <w:szCs w:val="21"/>
          <w:highlight w:val="none"/>
        </w:rPr>
        <w:t>，代表所有联合体成员负责响应和合同实施阶段的主办、协调工作</w:t>
      </w:r>
      <w:r>
        <w:rPr>
          <w:rFonts w:hint="eastAsia"/>
          <w:color w:val="auto"/>
          <w:kern w:val="0"/>
          <w:sz w:val="21"/>
          <w:szCs w:val="21"/>
          <w:highlight w:val="none"/>
          <w:lang w:val="zh-CN"/>
        </w:rPr>
        <w:t>。</w:t>
      </w:r>
    </w:p>
    <w:p w14:paraId="500F34C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w:t>
      </w:r>
      <w:r>
        <w:rPr>
          <w:rFonts w:hint="eastAsia"/>
          <w:color w:val="auto"/>
          <w:sz w:val="21"/>
          <w:szCs w:val="21"/>
          <w:highlight w:val="none"/>
        </w:rPr>
        <w:t>所有联合体成员各方签署授权书，授权书载明的</w:t>
      </w:r>
      <w:r>
        <w:rPr>
          <w:rFonts w:hint="eastAsia"/>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3BFFEE7E">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三、本次联合响应中，分工如下：</w:t>
      </w:r>
      <w:r>
        <w:rPr>
          <w:rFonts w:hint="eastAsia"/>
          <w:color w:val="auto"/>
          <w:kern w:val="0"/>
          <w:sz w:val="21"/>
          <w:szCs w:val="21"/>
          <w:highlight w:val="none"/>
          <w:u w:val="single"/>
        </w:rPr>
        <w:t>（联合体其中一方成员名称）</w:t>
      </w:r>
      <w:r>
        <w:rPr>
          <w:rFonts w:hint="eastAsia"/>
          <w:color w:val="auto"/>
          <w:kern w:val="0"/>
          <w:sz w:val="21"/>
          <w:szCs w:val="21"/>
          <w:highlight w:val="none"/>
          <w:lang w:val="zh-CN"/>
        </w:rPr>
        <w:t>承担的工作和义务为：</w:t>
      </w:r>
      <w:r>
        <w:rPr>
          <w:rFonts w:hint="eastAsia"/>
          <w:color w:val="auto"/>
          <w:sz w:val="21"/>
          <w:szCs w:val="21"/>
          <w:highlight w:val="none"/>
          <w:u w:val="single"/>
        </w:rPr>
        <w:t xml:space="preserve">             </w:t>
      </w:r>
      <w:r>
        <w:rPr>
          <w:rFonts w:hint="eastAsia"/>
          <w:color w:val="auto"/>
          <w:kern w:val="0"/>
          <w:sz w:val="21"/>
          <w:szCs w:val="21"/>
          <w:highlight w:val="none"/>
          <w:lang w:val="zh-CN"/>
        </w:rPr>
        <w:t>；……。</w:t>
      </w:r>
    </w:p>
    <w:p w14:paraId="440F6B81">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lang w:val="zh-CN"/>
        </w:rPr>
        <w:t>四、</w:t>
      </w:r>
      <w:r>
        <w:rPr>
          <w:rFonts w:hint="eastAsia"/>
          <w:color w:val="auto"/>
          <w:kern w:val="0"/>
          <w:sz w:val="21"/>
          <w:szCs w:val="21"/>
          <w:highlight w:val="none"/>
          <w:u w:val="single"/>
        </w:rPr>
        <w:t>（联合体其中一方成员名称）</w:t>
      </w:r>
      <w:r>
        <w:rPr>
          <w:rFonts w:hint="eastAsia"/>
          <w:color w:val="auto"/>
          <w:kern w:val="0"/>
          <w:sz w:val="21"/>
          <w:szCs w:val="21"/>
          <w:highlight w:val="none"/>
        </w:rPr>
        <w:t>提供的全部货物由小微企业制造，其合同份额占到合同总金额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30%以上</w:t>
      </w:r>
      <w:r>
        <w:rPr>
          <w:rFonts w:hint="eastAsia" w:cs="仿宋_GB2312"/>
          <w:b/>
          <w:color w:val="auto"/>
          <w:kern w:val="0"/>
          <w:sz w:val="21"/>
          <w:szCs w:val="21"/>
          <w:highlight w:val="none"/>
          <w:lang w:val="zh-CN"/>
        </w:rPr>
        <w:t>的，对大中型企业的报价给予4%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13421226">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五、如果成交，</w:t>
      </w:r>
      <w:r>
        <w:rPr>
          <w:rFonts w:hint="eastAsia"/>
          <w:color w:val="auto"/>
          <w:sz w:val="21"/>
          <w:szCs w:val="21"/>
          <w:highlight w:val="none"/>
        </w:rPr>
        <w:t>联合体各成员方共同与采购人签订合同，并就采购合同约定的事项对采购人承担连带责任。</w:t>
      </w:r>
    </w:p>
    <w:p w14:paraId="0DE8504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六、有关本次联合响应的其他事宜：</w:t>
      </w:r>
    </w:p>
    <w:p w14:paraId="42BB634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1、联合体各方不再单独参加或者与其他供应商另外组成联合体参加同一合同项下的政府采购活动。</w:t>
      </w:r>
    </w:p>
    <w:p w14:paraId="4F418FB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2、联合体中有同类资质的各方按照联合体分工承担相同工作的，按照资质等级较低的供应商确定资质等级。</w:t>
      </w:r>
    </w:p>
    <w:p w14:paraId="60EE0880">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3、本协议提交采购人、采购机构后，联合体各方不得以任何形式对上述内容进行修改或撤销。</w:t>
      </w:r>
    </w:p>
    <w:p w14:paraId="3705DF82">
      <w:pPr>
        <w:snapToGrid w:val="0"/>
        <w:spacing w:line="288" w:lineRule="auto"/>
        <w:ind w:firstLine="422" w:firstLineChars="201"/>
        <w:rPr>
          <w:color w:val="auto"/>
          <w:kern w:val="0"/>
          <w:sz w:val="21"/>
          <w:szCs w:val="21"/>
          <w:highlight w:val="none"/>
          <w:lang w:val="zh-CN"/>
        </w:rPr>
      </w:pPr>
    </w:p>
    <w:p w14:paraId="6ACC82F6">
      <w:pPr>
        <w:snapToGrid w:val="0"/>
        <w:spacing w:line="288" w:lineRule="auto"/>
        <w:ind w:firstLine="422" w:firstLineChars="201"/>
        <w:rPr>
          <w:color w:val="auto"/>
          <w:kern w:val="0"/>
          <w:sz w:val="21"/>
          <w:szCs w:val="21"/>
          <w:highlight w:val="none"/>
          <w:lang w:val="zh-CN"/>
        </w:rPr>
      </w:pPr>
    </w:p>
    <w:p w14:paraId="027EF01A">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联合体成员名称(电子签名/公章)：</w:t>
      </w:r>
    </w:p>
    <w:p w14:paraId="57A9E5D9">
      <w:pPr>
        <w:snapToGrid w:val="0"/>
        <w:spacing w:line="288" w:lineRule="auto"/>
        <w:ind w:firstLine="424" w:firstLineChars="201"/>
        <w:rPr>
          <w:b/>
          <w:bCs/>
          <w:color w:val="auto"/>
          <w:kern w:val="0"/>
          <w:sz w:val="21"/>
          <w:szCs w:val="21"/>
          <w:highlight w:val="none"/>
          <w:lang w:val="zh-CN"/>
        </w:rPr>
      </w:pPr>
    </w:p>
    <w:p w14:paraId="0E3F9DCF">
      <w:pPr>
        <w:snapToGrid w:val="0"/>
        <w:spacing w:line="288" w:lineRule="auto"/>
        <w:ind w:firstLine="424" w:firstLineChars="201"/>
        <w:rPr>
          <w:b/>
          <w:bCs/>
          <w:color w:val="auto"/>
          <w:sz w:val="21"/>
          <w:szCs w:val="21"/>
          <w:highlight w:val="none"/>
        </w:rPr>
      </w:pPr>
    </w:p>
    <w:p w14:paraId="0A92CE99">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9AB525">
      <w:pPr>
        <w:widowControl/>
        <w:spacing w:line="288" w:lineRule="auto"/>
        <w:jc w:val="center"/>
        <w:rPr>
          <w:b/>
          <w:color w:val="auto"/>
          <w:kern w:val="0"/>
          <w:sz w:val="21"/>
          <w:szCs w:val="21"/>
          <w:highlight w:val="none"/>
        </w:rPr>
      </w:pPr>
      <w:r>
        <w:rPr>
          <w:rFonts w:hint="eastAsia"/>
          <w:b/>
          <w:color w:val="auto"/>
          <w:kern w:val="0"/>
          <w:sz w:val="21"/>
          <w:szCs w:val="21"/>
          <w:highlight w:val="none"/>
        </w:rPr>
        <w:br w:type="page"/>
      </w:r>
      <w:bookmarkStart w:id="181" w:name="_Toc8476"/>
      <w:bookmarkStart w:id="182" w:name="_Toc30452"/>
      <w:bookmarkStart w:id="183" w:name="_Toc23454"/>
      <w:bookmarkStart w:id="184" w:name="_Toc5675"/>
      <w:r>
        <w:rPr>
          <w:rFonts w:hint="eastAsia"/>
          <w:b/>
          <w:color w:val="auto"/>
          <w:kern w:val="0"/>
          <w:sz w:val="21"/>
          <w:szCs w:val="21"/>
          <w:highlight w:val="none"/>
        </w:rPr>
        <w:t>附件3：分包意向协议</w:t>
      </w:r>
      <w:bookmarkEnd w:id="181"/>
      <w:bookmarkEnd w:id="182"/>
      <w:bookmarkEnd w:id="183"/>
      <w:bookmarkEnd w:id="184"/>
    </w:p>
    <w:p w14:paraId="4AEF635B">
      <w:pPr>
        <w:widowControl/>
        <w:snapToGrid w:val="0"/>
        <w:spacing w:line="288" w:lineRule="auto"/>
        <w:ind w:firstLine="422" w:firstLineChars="201"/>
        <w:jc w:val="left"/>
        <w:rPr>
          <w:color w:val="auto"/>
          <w:sz w:val="21"/>
          <w:szCs w:val="21"/>
          <w:highlight w:val="none"/>
        </w:rPr>
      </w:pPr>
      <w:r>
        <w:rPr>
          <w:rFonts w:hint="eastAsia"/>
          <w:color w:val="auto"/>
          <w:sz w:val="21"/>
          <w:szCs w:val="21"/>
          <w:highlight w:val="none"/>
        </w:rPr>
        <w:t>（</w:t>
      </w:r>
      <w:r>
        <w:rPr>
          <w:rFonts w:hint="eastAsia"/>
          <w:b/>
          <w:color w:val="auto"/>
          <w:sz w:val="21"/>
          <w:szCs w:val="21"/>
          <w:highlight w:val="none"/>
        </w:rPr>
        <w:t>成交后以分包方式履行合同的，提供分包意向协议；采购人不同意分包或者供应商成交后不以分包方式履行合同的，则不需要提供。</w:t>
      </w:r>
      <w:r>
        <w:rPr>
          <w:rFonts w:hint="eastAsia"/>
          <w:color w:val="auto"/>
          <w:sz w:val="21"/>
          <w:szCs w:val="21"/>
          <w:highlight w:val="none"/>
        </w:rPr>
        <w:t>）</w:t>
      </w:r>
    </w:p>
    <w:p w14:paraId="6A24EEE7">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若成为</w:t>
      </w:r>
      <w:r>
        <w:rPr>
          <w:rFonts w:hint="eastAsia"/>
          <w:color w:val="auto"/>
          <w:sz w:val="21"/>
          <w:szCs w:val="21"/>
          <w:highlight w:val="none"/>
        </w:rPr>
        <w:t>（项目名称）【招标编号：（采购编号）】</w:t>
      </w:r>
      <w:r>
        <w:rPr>
          <w:rFonts w:hint="eastAsia"/>
          <w:color w:val="auto"/>
          <w:kern w:val="0"/>
          <w:sz w:val="21"/>
          <w:szCs w:val="21"/>
          <w:highlight w:val="none"/>
          <w:lang w:val="zh-CN"/>
        </w:rPr>
        <w:t>的成交供应商，将依法采取分包方式履行合同。</w:t>
      </w:r>
      <w:r>
        <w:rPr>
          <w:rFonts w:hint="eastAsia"/>
          <w:color w:val="auto"/>
          <w:kern w:val="0"/>
          <w:sz w:val="21"/>
          <w:szCs w:val="21"/>
          <w:highlight w:val="none"/>
          <w:u w:val="single"/>
        </w:rPr>
        <w:t>（供应商名称）</w:t>
      </w:r>
      <w:r>
        <w:rPr>
          <w:rFonts w:hint="eastAsia"/>
          <w:color w:val="auto"/>
          <w:kern w:val="0"/>
          <w:sz w:val="21"/>
          <w:szCs w:val="21"/>
          <w:highlight w:val="none"/>
        </w:rPr>
        <w:t>与</w:t>
      </w:r>
      <w:r>
        <w:rPr>
          <w:rFonts w:hint="eastAsia"/>
          <w:color w:val="auto"/>
          <w:kern w:val="0"/>
          <w:sz w:val="21"/>
          <w:szCs w:val="21"/>
          <w:highlight w:val="none"/>
          <w:u w:val="single"/>
        </w:rPr>
        <w:t>（所有分包供应商名称）</w:t>
      </w:r>
      <w:r>
        <w:rPr>
          <w:rFonts w:hint="eastAsia"/>
          <w:color w:val="auto"/>
          <w:kern w:val="0"/>
          <w:sz w:val="21"/>
          <w:szCs w:val="21"/>
          <w:highlight w:val="none"/>
        </w:rPr>
        <w:t>达成分包意向协议</w:t>
      </w:r>
      <w:r>
        <w:rPr>
          <w:rFonts w:hint="eastAsia"/>
          <w:color w:val="auto"/>
          <w:kern w:val="0"/>
          <w:sz w:val="21"/>
          <w:szCs w:val="21"/>
          <w:highlight w:val="none"/>
          <w:lang w:val="zh-CN"/>
        </w:rPr>
        <w:t xml:space="preserve">。 </w:t>
      </w:r>
    </w:p>
    <w:p w14:paraId="641346A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一、分包标的及数量</w:t>
      </w:r>
    </w:p>
    <w:p w14:paraId="4992B773">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u w:val="single"/>
        </w:rPr>
        <w:t>（供应商名称）</w:t>
      </w:r>
      <w:r>
        <w:rPr>
          <w:rFonts w:hint="eastAsia"/>
          <w:color w:val="auto"/>
          <w:kern w:val="0"/>
          <w:sz w:val="21"/>
          <w:szCs w:val="21"/>
          <w:highlight w:val="none"/>
          <w:lang w:val="zh-CN"/>
        </w:rPr>
        <w:t>将</w:t>
      </w:r>
      <w:r>
        <w:rPr>
          <w:rFonts w:hint="eastAsia"/>
          <w:color w:val="auto"/>
          <w:sz w:val="21"/>
          <w:szCs w:val="21"/>
          <w:highlight w:val="none"/>
          <w:u w:val="single"/>
        </w:rPr>
        <w:t xml:space="preserve">   XX工作内容   </w:t>
      </w:r>
      <w:r>
        <w:rPr>
          <w:rFonts w:hint="eastAsia"/>
          <w:color w:val="auto"/>
          <w:sz w:val="21"/>
          <w:szCs w:val="21"/>
          <w:highlight w:val="none"/>
        </w:rPr>
        <w:t>分包给</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w:t>
      </w:r>
      <w:r>
        <w:rPr>
          <w:rFonts w:hint="eastAsia"/>
          <w:color w:val="auto"/>
          <w:kern w:val="0"/>
          <w:sz w:val="21"/>
          <w:szCs w:val="21"/>
          <w:highlight w:val="none"/>
          <w:u w:val="single"/>
        </w:rPr>
        <w:t>（某分包供应商名称），</w:t>
      </w:r>
      <w:r>
        <w:rPr>
          <w:rFonts w:hint="eastAsia"/>
          <w:color w:val="auto"/>
          <w:kern w:val="0"/>
          <w:sz w:val="21"/>
          <w:szCs w:val="21"/>
          <w:highlight w:val="none"/>
          <w:lang w:val="zh-CN"/>
        </w:rPr>
        <w:t>具备承</w:t>
      </w:r>
      <w:r>
        <w:rPr>
          <w:rFonts w:hint="eastAsia"/>
          <w:color w:val="auto"/>
          <w:kern w:val="0"/>
          <w:sz w:val="21"/>
          <w:szCs w:val="21"/>
          <w:highlight w:val="none"/>
        </w:rPr>
        <w:t>担</w:t>
      </w:r>
      <w:r>
        <w:rPr>
          <w:rFonts w:hint="eastAsia"/>
          <w:color w:val="auto"/>
          <w:kern w:val="0"/>
          <w:sz w:val="21"/>
          <w:szCs w:val="21"/>
          <w:highlight w:val="none"/>
          <w:u w:val="single"/>
          <w:lang w:val="zh-CN"/>
        </w:rPr>
        <w:t>XX工作内容</w:t>
      </w:r>
      <w:r>
        <w:rPr>
          <w:rFonts w:hint="eastAsia"/>
          <w:color w:val="auto"/>
          <w:kern w:val="0"/>
          <w:sz w:val="21"/>
          <w:szCs w:val="21"/>
          <w:highlight w:val="none"/>
          <w:lang w:val="zh-CN"/>
        </w:rPr>
        <w:t>相应资质条件且不得再次分包；</w:t>
      </w:r>
    </w:p>
    <w:p w14:paraId="0D1351B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w:t>
      </w:r>
    </w:p>
    <w:p w14:paraId="29EA6402">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二、分包工作履行期限、地点、方式</w:t>
      </w:r>
    </w:p>
    <w:p w14:paraId="5F00A7E6">
      <w:pPr>
        <w:snapToGrid w:val="0"/>
        <w:spacing w:line="288" w:lineRule="auto"/>
        <w:ind w:firstLine="422" w:firstLineChars="201"/>
        <w:rPr>
          <w:color w:val="auto"/>
          <w:sz w:val="21"/>
          <w:szCs w:val="21"/>
          <w:highlight w:val="none"/>
          <w:u w:val="single"/>
        </w:rPr>
      </w:pPr>
      <w:r>
        <w:rPr>
          <w:rFonts w:hint="eastAsia"/>
          <w:color w:val="auto"/>
          <w:sz w:val="21"/>
          <w:szCs w:val="21"/>
          <w:highlight w:val="none"/>
          <w:u w:val="single"/>
        </w:rPr>
        <w:t xml:space="preserve">                                                                                  </w:t>
      </w:r>
    </w:p>
    <w:p w14:paraId="7861D82A">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三、质量</w:t>
      </w:r>
    </w:p>
    <w:p w14:paraId="2BD9F48D">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58AB0AF5">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四、价款或者报酬</w:t>
      </w:r>
    </w:p>
    <w:p w14:paraId="6232EFD2">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2C024FCF">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五、违约责任</w:t>
      </w:r>
    </w:p>
    <w:p w14:paraId="7397874F">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0D5636D4">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六、争议解决的办法</w:t>
      </w:r>
    </w:p>
    <w:p w14:paraId="2F5581AE">
      <w:pPr>
        <w:snapToGrid w:val="0"/>
        <w:spacing w:line="288" w:lineRule="auto"/>
        <w:ind w:firstLine="422" w:firstLineChars="201"/>
        <w:rPr>
          <w:color w:val="auto"/>
          <w:kern w:val="0"/>
          <w:sz w:val="21"/>
          <w:szCs w:val="21"/>
          <w:highlight w:val="none"/>
          <w:lang w:val="zh-CN"/>
        </w:rPr>
      </w:pPr>
      <w:r>
        <w:rPr>
          <w:rFonts w:hint="eastAsia"/>
          <w:color w:val="auto"/>
          <w:sz w:val="21"/>
          <w:szCs w:val="21"/>
          <w:highlight w:val="none"/>
          <w:u w:val="single"/>
        </w:rPr>
        <w:t xml:space="preserve">                                                                                  </w:t>
      </w:r>
    </w:p>
    <w:p w14:paraId="46BC7AF8">
      <w:pPr>
        <w:snapToGrid w:val="0"/>
        <w:spacing w:line="288" w:lineRule="auto"/>
        <w:ind w:firstLine="422" w:firstLineChars="201"/>
        <w:rPr>
          <w:color w:val="auto"/>
          <w:kern w:val="0"/>
          <w:sz w:val="21"/>
          <w:szCs w:val="21"/>
          <w:highlight w:val="none"/>
          <w:lang w:val="zh-CN"/>
        </w:rPr>
      </w:pPr>
      <w:r>
        <w:rPr>
          <w:rFonts w:hint="eastAsia"/>
          <w:color w:val="auto"/>
          <w:kern w:val="0"/>
          <w:sz w:val="21"/>
          <w:szCs w:val="21"/>
          <w:highlight w:val="none"/>
          <w:lang w:val="zh-CN"/>
        </w:rPr>
        <w:t>七、其他</w:t>
      </w:r>
    </w:p>
    <w:p w14:paraId="6797CB4C">
      <w:pPr>
        <w:snapToGrid w:val="0"/>
        <w:spacing w:line="288" w:lineRule="auto"/>
        <w:ind w:firstLine="422" w:firstLineChars="201"/>
        <w:rPr>
          <w:b/>
          <w:color w:val="auto"/>
          <w:kern w:val="0"/>
          <w:sz w:val="21"/>
          <w:szCs w:val="21"/>
          <w:highlight w:val="none"/>
          <w:lang w:val="zh-CN"/>
        </w:rPr>
      </w:pPr>
      <w:r>
        <w:rPr>
          <w:rFonts w:hint="eastAsia"/>
          <w:color w:val="auto"/>
          <w:kern w:val="0"/>
          <w:sz w:val="21"/>
          <w:szCs w:val="21"/>
          <w:highlight w:val="none"/>
          <w:u w:val="single"/>
        </w:rPr>
        <w:t>（分包供应商名称）提供的货物全部由小微企业制造，</w:t>
      </w:r>
      <w:r>
        <w:rPr>
          <w:rFonts w:hint="eastAsia"/>
          <w:color w:val="auto"/>
          <w:kern w:val="0"/>
          <w:sz w:val="21"/>
          <w:szCs w:val="21"/>
          <w:highlight w:val="none"/>
        </w:rPr>
        <w:t>其合同份额占到合同总金额</w:t>
      </w:r>
      <w:r>
        <w:rPr>
          <w:rFonts w:hint="eastAsia"/>
          <w:color w:val="auto"/>
          <w:kern w:val="0"/>
          <w:sz w:val="21"/>
          <w:szCs w:val="21"/>
          <w:highlight w:val="none"/>
          <w:u w:val="single"/>
        </w:rPr>
        <w:t xml:space="preserve">     </w:t>
      </w:r>
      <w:r>
        <w:rPr>
          <w:rFonts w:hint="eastAsia"/>
          <w:color w:val="auto"/>
          <w:kern w:val="0"/>
          <w:sz w:val="21"/>
          <w:szCs w:val="21"/>
          <w:highlight w:val="none"/>
        </w:rPr>
        <w:t>%以上</w:t>
      </w:r>
      <w:r>
        <w:rPr>
          <w:rFonts w:hint="eastAsia"/>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30%以上</w:t>
      </w:r>
      <w:r>
        <w:rPr>
          <w:rFonts w:hint="eastAsia" w:cs="仿宋_GB2312"/>
          <w:b/>
          <w:color w:val="auto"/>
          <w:kern w:val="0"/>
          <w:sz w:val="21"/>
          <w:szCs w:val="21"/>
          <w:highlight w:val="none"/>
          <w:lang w:val="zh-CN"/>
        </w:rPr>
        <w:t>的，对大中型企业的报价给予4%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4303FD85">
      <w:pPr>
        <w:snapToGrid w:val="0"/>
        <w:spacing w:line="288" w:lineRule="auto"/>
        <w:rPr>
          <w:color w:val="auto"/>
          <w:kern w:val="0"/>
          <w:sz w:val="21"/>
          <w:szCs w:val="21"/>
          <w:highlight w:val="none"/>
          <w:lang w:val="zh-CN"/>
        </w:rPr>
      </w:pPr>
    </w:p>
    <w:p w14:paraId="74225E7B">
      <w:pPr>
        <w:snapToGrid w:val="0"/>
        <w:spacing w:line="288" w:lineRule="auto"/>
        <w:ind w:firstLine="422" w:firstLineChars="200"/>
        <w:rPr>
          <w:b/>
          <w:bCs/>
          <w:color w:val="auto"/>
          <w:kern w:val="0"/>
          <w:sz w:val="21"/>
          <w:szCs w:val="21"/>
          <w:highlight w:val="none"/>
          <w:lang w:val="zh-CN"/>
        </w:rPr>
      </w:pPr>
      <w:r>
        <w:rPr>
          <w:rFonts w:hint="eastAsia"/>
          <w:b/>
          <w:bCs/>
          <w:color w:val="auto"/>
          <w:kern w:val="0"/>
          <w:sz w:val="21"/>
          <w:szCs w:val="21"/>
          <w:highlight w:val="none"/>
          <w:lang w:val="zh-CN"/>
        </w:rPr>
        <w:t>供应商名称（电子签名/公章）：</w:t>
      </w:r>
    </w:p>
    <w:p w14:paraId="0844476D">
      <w:pPr>
        <w:snapToGrid w:val="0"/>
        <w:spacing w:line="288" w:lineRule="auto"/>
        <w:ind w:firstLine="424" w:firstLineChars="201"/>
        <w:rPr>
          <w:b/>
          <w:bCs/>
          <w:color w:val="auto"/>
          <w:kern w:val="0"/>
          <w:sz w:val="21"/>
          <w:szCs w:val="21"/>
          <w:highlight w:val="none"/>
          <w:lang w:val="zh-CN"/>
        </w:rPr>
      </w:pPr>
    </w:p>
    <w:p w14:paraId="7463A09E">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分包供应商名称：</w:t>
      </w:r>
    </w:p>
    <w:p w14:paraId="7DB48DA1">
      <w:pPr>
        <w:snapToGrid w:val="0"/>
        <w:spacing w:line="288" w:lineRule="auto"/>
        <w:rPr>
          <w:b/>
          <w:bCs/>
          <w:color w:val="auto"/>
          <w:kern w:val="0"/>
          <w:sz w:val="21"/>
          <w:szCs w:val="21"/>
          <w:highlight w:val="none"/>
          <w:lang w:val="zh-CN"/>
        </w:rPr>
      </w:pPr>
    </w:p>
    <w:p w14:paraId="66D9E3C0">
      <w:pPr>
        <w:snapToGrid w:val="0"/>
        <w:spacing w:line="288" w:lineRule="auto"/>
        <w:ind w:firstLine="424" w:firstLineChars="201"/>
        <w:rPr>
          <w:b/>
          <w:bCs/>
          <w:color w:val="auto"/>
          <w:kern w:val="0"/>
          <w:sz w:val="21"/>
          <w:szCs w:val="21"/>
          <w:highlight w:val="none"/>
          <w:lang w:val="zh-CN"/>
        </w:rPr>
      </w:pPr>
      <w:r>
        <w:rPr>
          <w:rFonts w:hint="eastAsia"/>
          <w:b/>
          <w:bCs/>
          <w:color w:val="auto"/>
          <w:kern w:val="0"/>
          <w:sz w:val="21"/>
          <w:szCs w:val="21"/>
          <w:highlight w:val="none"/>
          <w:lang w:val="zh-CN"/>
        </w:rPr>
        <w:t>日期：  年  月   日</w:t>
      </w:r>
    </w:p>
    <w:p w14:paraId="5BEC744A">
      <w:pPr>
        <w:rPr>
          <w:color w:val="auto"/>
          <w:highlight w:val="none"/>
        </w:rPr>
      </w:pPr>
      <w:r>
        <w:rPr>
          <w:rFonts w:hint="eastAsia"/>
          <w:b/>
          <w:bCs/>
          <w:color w:val="auto"/>
          <w:kern w:val="0"/>
          <w:sz w:val="21"/>
          <w:szCs w:val="21"/>
          <w:highlight w:val="none"/>
          <w:lang w:val="zh-CN"/>
        </w:rPr>
        <w:br w:type="page"/>
      </w:r>
      <w:bookmarkStart w:id="185" w:name="_Toc27489"/>
      <w:bookmarkStart w:id="186" w:name="_Toc23373"/>
      <w:bookmarkStart w:id="187" w:name="_Toc12504"/>
      <w:r>
        <w:rPr>
          <w:rFonts w:hint="eastAsia"/>
          <w:color w:val="auto"/>
          <w:highlight w:val="none"/>
        </w:rPr>
        <w:t>二、质疑函范本及制作说明</w:t>
      </w:r>
      <w:bookmarkEnd w:id="185"/>
      <w:bookmarkEnd w:id="186"/>
      <w:bookmarkEnd w:id="187"/>
    </w:p>
    <w:p w14:paraId="5745851A">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680F0270">
      <w:pPr>
        <w:snapToGrid w:val="0"/>
        <w:spacing w:before="312" w:beforeLines="100"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一、质疑供应商基本信息</w:t>
      </w:r>
    </w:p>
    <w:p w14:paraId="07F07D0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质疑供应商：</w:t>
      </w:r>
      <w:r>
        <w:rPr>
          <w:rFonts w:ascii="仿宋_GB2312" w:hAnsi="仿宋" w:eastAsia="仿宋_GB2312" w:cs="仿宋"/>
          <w:color w:val="auto"/>
          <w:sz w:val="21"/>
          <w:szCs w:val="21"/>
          <w:highlight w:val="none"/>
          <w:u w:val="dotted"/>
        </w:rPr>
        <w:t xml:space="preserve">                                        </w:t>
      </w:r>
    </w:p>
    <w:p w14:paraId="75D01D5D">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0BEF906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联系人：</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p>
    <w:p w14:paraId="0103113F">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授权代表：</w:t>
      </w:r>
      <w:r>
        <w:rPr>
          <w:rFonts w:ascii="仿宋_GB2312" w:hAnsi="仿宋" w:eastAsia="仿宋_GB2312" w:cs="仿宋"/>
          <w:color w:val="auto"/>
          <w:sz w:val="21"/>
          <w:szCs w:val="21"/>
          <w:highlight w:val="none"/>
          <w:u w:val="dotted"/>
        </w:rPr>
        <w:t xml:space="preserve">                                          </w:t>
      </w:r>
    </w:p>
    <w:p w14:paraId="5FEE0857">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联系电话：</w:t>
      </w:r>
      <w:r>
        <w:rPr>
          <w:rFonts w:ascii="仿宋_GB2312" w:hAnsi="仿宋" w:eastAsia="仿宋_GB2312" w:cs="仿宋"/>
          <w:color w:val="auto"/>
          <w:sz w:val="21"/>
          <w:szCs w:val="21"/>
          <w:highlight w:val="none"/>
          <w:u w:val="dotted"/>
        </w:rPr>
        <w:t xml:space="preserve">                                           </w:t>
      </w:r>
      <w:r>
        <w:rPr>
          <w:rFonts w:ascii="仿宋_GB2312" w:hAnsi="仿宋" w:eastAsia="仿宋_GB2312" w:cs="仿宋"/>
          <w:color w:val="auto"/>
          <w:sz w:val="21"/>
          <w:szCs w:val="21"/>
          <w:highlight w:val="none"/>
        </w:rPr>
        <w:t xml:space="preserve"> </w:t>
      </w:r>
    </w:p>
    <w:p w14:paraId="516C8D14">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地址：</w:t>
      </w:r>
      <w:r>
        <w:rPr>
          <w:rFonts w:ascii="仿宋_GB2312" w:hAnsi="仿宋" w:eastAsia="仿宋_GB2312" w:cs="仿宋"/>
          <w:color w:val="auto"/>
          <w:sz w:val="21"/>
          <w:szCs w:val="21"/>
          <w:highlight w:val="none"/>
        </w:rPr>
        <w:t xml:space="preserve"> </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邮编：</w:t>
      </w:r>
      <w:r>
        <w:rPr>
          <w:rFonts w:ascii="仿宋_GB2312" w:hAnsi="仿宋" w:eastAsia="仿宋_GB2312" w:cs="仿宋"/>
          <w:color w:val="auto"/>
          <w:sz w:val="21"/>
          <w:szCs w:val="21"/>
          <w:highlight w:val="none"/>
          <w:u w:val="dotted"/>
        </w:rPr>
        <w:t xml:space="preserve">                                                </w:t>
      </w:r>
    </w:p>
    <w:p w14:paraId="312F8475">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二、质疑项目基本情况</w:t>
      </w:r>
    </w:p>
    <w:p w14:paraId="5DABD7D3">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质疑项目的名称：</w:t>
      </w:r>
      <w:r>
        <w:rPr>
          <w:rFonts w:ascii="仿宋_GB2312" w:hAnsi="仿宋" w:eastAsia="仿宋_GB2312" w:cs="仿宋"/>
          <w:color w:val="auto"/>
          <w:sz w:val="21"/>
          <w:szCs w:val="21"/>
          <w:highlight w:val="none"/>
          <w:u w:val="dotted"/>
        </w:rPr>
        <w:t xml:space="preserve">                                      </w:t>
      </w:r>
    </w:p>
    <w:p w14:paraId="431E0A46">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质疑项目的编号：</w:t>
      </w:r>
      <w:r>
        <w:rPr>
          <w:rFonts w:ascii="仿宋_GB2312" w:hAnsi="仿宋" w:eastAsia="仿宋_GB2312" w:cs="仿宋"/>
          <w:color w:val="auto"/>
          <w:sz w:val="21"/>
          <w:szCs w:val="21"/>
          <w:highlight w:val="none"/>
          <w:u w:val="dotted"/>
        </w:rPr>
        <w:t xml:space="preserve">               </w:t>
      </w:r>
      <w:r>
        <w:rPr>
          <w:rFonts w:hint="eastAsia" w:ascii="仿宋_GB2312" w:hAnsi="仿宋" w:eastAsia="仿宋_GB2312" w:cs="仿宋"/>
          <w:color w:val="auto"/>
          <w:sz w:val="21"/>
          <w:szCs w:val="21"/>
          <w:highlight w:val="none"/>
        </w:rPr>
        <w:t>包号：</w:t>
      </w:r>
      <w:r>
        <w:rPr>
          <w:rFonts w:ascii="仿宋_GB2312" w:hAnsi="仿宋" w:eastAsia="仿宋_GB2312" w:cs="仿宋"/>
          <w:color w:val="auto"/>
          <w:sz w:val="21"/>
          <w:szCs w:val="21"/>
          <w:highlight w:val="none"/>
          <w:u w:val="dotted"/>
        </w:rPr>
        <w:t xml:space="preserve">                 </w:t>
      </w:r>
    </w:p>
    <w:p w14:paraId="78A88147">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采购人名称：</w:t>
      </w:r>
      <w:r>
        <w:rPr>
          <w:rFonts w:ascii="仿宋_GB2312" w:hAnsi="仿宋" w:eastAsia="仿宋_GB2312" w:cs="仿宋"/>
          <w:color w:val="auto"/>
          <w:sz w:val="21"/>
          <w:szCs w:val="21"/>
          <w:highlight w:val="none"/>
          <w:u w:val="dotted"/>
        </w:rPr>
        <w:t xml:space="preserve">                                         </w:t>
      </w:r>
    </w:p>
    <w:p w14:paraId="5B2CCFEB">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采购文件获取日期：</w:t>
      </w:r>
      <w:r>
        <w:rPr>
          <w:rFonts w:ascii="仿宋_GB2312" w:hAnsi="仿宋" w:eastAsia="仿宋_GB2312" w:cs="仿宋"/>
          <w:color w:val="auto"/>
          <w:sz w:val="21"/>
          <w:szCs w:val="21"/>
          <w:highlight w:val="none"/>
          <w:u w:val="dotted"/>
        </w:rPr>
        <w:t xml:space="preserve">                                           </w:t>
      </w:r>
    </w:p>
    <w:p w14:paraId="228C77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三、质疑事项具体内容</w:t>
      </w:r>
    </w:p>
    <w:p w14:paraId="4061B3AD">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1：</w:t>
      </w:r>
      <w:r>
        <w:rPr>
          <w:rFonts w:ascii="仿宋_GB2312" w:hAnsi="仿宋" w:eastAsia="仿宋_GB2312" w:cs="仿宋"/>
          <w:color w:val="auto"/>
          <w:sz w:val="21"/>
          <w:szCs w:val="21"/>
          <w:highlight w:val="none"/>
          <w:u w:val="dotted"/>
        </w:rPr>
        <w:t xml:space="preserve">                                         </w:t>
      </w:r>
    </w:p>
    <w:p w14:paraId="42E16BBE">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事实依据：</w:t>
      </w:r>
      <w:r>
        <w:rPr>
          <w:rFonts w:ascii="仿宋_GB2312" w:hAnsi="仿宋" w:eastAsia="仿宋_GB2312" w:cs="仿宋"/>
          <w:color w:val="auto"/>
          <w:sz w:val="21"/>
          <w:szCs w:val="21"/>
          <w:highlight w:val="none"/>
          <w:u w:val="dotted"/>
        </w:rPr>
        <w:t xml:space="preserve">                                          </w:t>
      </w:r>
    </w:p>
    <w:p w14:paraId="2D7224A0">
      <w:pPr>
        <w:snapToGrid w:val="0"/>
        <w:spacing w:line="360" w:lineRule="auto"/>
        <w:rPr>
          <w:rFonts w:ascii="仿宋_GB2312" w:hAnsi="仿宋" w:eastAsia="仿宋_GB2312" w:cs="仿宋"/>
          <w:color w:val="auto"/>
          <w:sz w:val="21"/>
          <w:szCs w:val="21"/>
          <w:highlight w:val="none"/>
        </w:rPr>
      </w:pPr>
      <w:r>
        <w:rPr>
          <w:rFonts w:ascii="仿宋_GB2312" w:hAnsi="仿宋" w:eastAsia="仿宋_GB2312" w:cs="仿宋"/>
          <w:color w:val="auto"/>
          <w:sz w:val="21"/>
          <w:szCs w:val="21"/>
          <w:highlight w:val="none"/>
          <w:u w:val="dotted"/>
        </w:rPr>
        <w:t xml:space="preserve">                                                       </w:t>
      </w:r>
    </w:p>
    <w:p w14:paraId="4161240B">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法律依据：</w:t>
      </w:r>
      <w:r>
        <w:rPr>
          <w:rFonts w:ascii="仿宋_GB2312" w:hAnsi="仿宋" w:eastAsia="仿宋_GB2312" w:cs="仿宋"/>
          <w:color w:val="auto"/>
          <w:sz w:val="21"/>
          <w:szCs w:val="21"/>
          <w:highlight w:val="none"/>
          <w:u w:val="dotted"/>
        </w:rPr>
        <w:t xml:space="preserve">                                          </w:t>
      </w:r>
    </w:p>
    <w:p w14:paraId="0A782F44">
      <w:pPr>
        <w:snapToGrid w:val="0"/>
        <w:spacing w:line="360" w:lineRule="auto"/>
        <w:rPr>
          <w:rFonts w:ascii="仿宋_GB2312" w:hAnsi="仿宋" w:eastAsia="仿宋_GB2312" w:cs="仿宋"/>
          <w:color w:val="auto"/>
          <w:sz w:val="21"/>
          <w:szCs w:val="21"/>
          <w:highlight w:val="none"/>
          <w:u w:val="dotted"/>
        </w:rPr>
      </w:pPr>
      <w:r>
        <w:rPr>
          <w:rFonts w:ascii="仿宋_GB2312" w:hAnsi="仿宋" w:eastAsia="仿宋_GB2312" w:cs="仿宋"/>
          <w:color w:val="auto"/>
          <w:sz w:val="21"/>
          <w:szCs w:val="21"/>
          <w:highlight w:val="none"/>
          <w:u w:val="dotted"/>
        </w:rPr>
        <w:t xml:space="preserve">                                                     </w:t>
      </w:r>
    </w:p>
    <w:p w14:paraId="1FEA9779">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质疑事项</w:t>
      </w:r>
      <w:r>
        <w:rPr>
          <w:rFonts w:ascii="仿宋_GB2312" w:hAnsi="仿宋" w:eastAsia="仿宋_GB2312" w:cs="仿宋"/>
          <w:color w:val="auto"/>
          <w:sz w:val="21"/>
          <w:szCs w:val="21"/>
          <w:highlight w:val="none"/>
        </w:rPr>
        <w:t>2</w:t>
      </w:r>
    </w:p>
    <w:p w14:paraId="019A0E18">
      <w:pPr>
        <w:snapToGrid w:val="0"/>
        <w:spacing w:line="360" w:lineRule="auto"/>
        <w:rPr>
          <w:rFonts w:ascii="仿宋_GB2312" w:hAnsi="仿宋" w:eastAsia="仿宋_GB2312" w:cs="仿宋"/>
          <w:color w:val="auto"/>
          <w:sz w:val="21"/>
          <w:szCs w:val="21"/>
          <w:highlight w:val="none"/>
        </w:rPr>
      </w:pPr>
      <w:r>
        <w:rPr>
          <w:rFonts w:hint="eastAsia" w:ascii="仿宋_GB2312" w:hAnsi="仿宋" w:eastAsia="仿宋_GB2312" w:cs="仿宋"/>
          <w:color w:val="auto"/>
          <w:sz w:val="21"/>
          <w:szCs w:val="21"/>
          <w:highlight w:val="none"/>
        </w:rPr>
        <w:t>……</w:t>
      </w:r>
    </w:p>
    <w:p w14:paraId="08FBC451">
      <w:pPr>
        <w:snapToGrid w:val="0"/>
        <w:spacing w:line="360" w:lineRule="auto"/>
        <w:rPr>
          <w:rFonts w:ascii="仿宋_GB2312" w:hAnsi="仿宋" w:eastAsia="仿宋_GB2312" w:cs="仿宋"/>
          <w:bCs/>
          <w:color w:val="auto"/>
          <w:sz w:val="21"/>
          <w:szCs w:val="21"/>
          <w:highlight w:val="none"/>
        </w:rPr>
      </w:pPr>
      <w:r>
        <w:rPr>
          <w:rFonts w:hint="eastAsia" w:ascii="仿宋_GB2312" w:hAnsi="仿宋" w:eastAsia="仿宋_GB2312" w:cs="仿宋"/>
          <w:bCs/>
          <w:color w:val="auto"/>
          <w:sz w:val="21"/>
          <w:szCs w:val="21"/>
          <w:highlight w:val="none"/>
        </w:rPr>
        <w:t>四、与质疑事项相关的质疑请求</w:t>
      </w:r>
    </w:p>
    <w:p w14:paraId="1A759366">
      <w:pPr>
        <w:snapToGrid w:val="0"/>
        <w:spacing w:line="360" w:lineRule="auto"/>
        <w:rPr>
          <w:rFonts w:ascii="仿宋_GB2312" w:hAnsi="仿宋" w:eastAsia="仿宋_GB2312" w:cs="仿宋"/>
          <w:color w:val="auto"/>
          <w:sz w:val="21"/>
          <w:szCs w:val="21"/>
          <w:highlight w:val="none"/>
          <w:u w:val="dotted"/>
        </w:rPr>
      </w:pPr>
      <w:r>
        <w:rPr>
          <w:rFonts w:hint="eastAsia" w:ascii="仿宋_GB2312" w:hAnsi="仿宋" w:eastAsia="仿宋_GB2312" w:cs="仿宋"/>
          <w:color w:val="auto"/>
          <w:sz w:val="21"/>
          <w:szCs w:val="21"/>
          <w:highlight w:val="none"/>
        </w:rPr>
        <w:t>请求：</w:t>
      </w:r>
      <w:r>
        <w:rPr>
          <w:rFonts w:ascii="仿宋_GB2312" w:hAnsi="仿宋" w:eastAsia="仿宋_GB2312" w:cs="仿宋"/>
          <w:color w:val="auto"/>
          <w:sz w:val="21"/>
          <w:szCs w:val="21"/>
          <w:highlight w:val="none"/>
          <w:u w:val="dotted"/>
        </w:rPr>
        <w:t xml:space="preserve">                                               </w:t>
      </w:r>
    </w:p>
    <w:p w14:paraId="793D3F43">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C74EBC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4D71BC29">
      <w:pPr>
        <w:spacing w:line="360" w:lineRule="auto"/>
        <w:jc w:val="center"/>
        <w:rPr>
          <w:rFonts w:ascii="仿宋_GB2312" w:hAnsi="仿宋" w:eastAsia="仿宋_GB2312" w:cs="仿宋"/>
          <w:b/>
          <w:bCs/>
          <w:color w:val="auto"/>
          <w:sz w:val="21"/>
          <w:szCs w:val="21"/>
          <w:highlight w:val="none"/>
        </w:rPr>
      </w:pPr>
    </w:p>
    <w:p w14:paraId="0F2E01B3">
      <w:pPr>
        <w:spacing w:line="360" w:lineRule="auto"/>
        <w:rPr>
          <w:rFonts w:ascii="仿宋_GB2312" w:hAnsi="仿宋" w:eastAsia="仿宋_GB2312"/>
          <w:b/>
          <w:color w:val="auto"/>
          <w:sz w:val="21"/>
          <w:szCs w:val="21"/>
          <w:highlight w:val="none"/>
        </w:rPr>
      </w:pPr>
    </w:p>
    <w:p w14:paraId="382BEFC5">
      <w:pPr>
        <w:spacing w:line="360" w:lineRule="auto"/>
        <w:rPr>
          <w:rFonts w:ascii="仿宋_GB2312" w:hAnsi="仿宋" w:eastAsia="仿宋_GB2312"/>
          <w:b/>
          <w:color w:val="auto"/>
          <w:sz w:val="21"/>
          <w:szCs w:val="21"/>
          <w:highlight w:val="none"/>
        </w:rPr>
      </w:pPr>
    </w:p>
    <w:p w14:paraId="00DF615A">
      <w:pPr>
        <w:spacing w:line="360" w:lineRule="auto"/>
        <w:rPr>
          <w:rFonts w:ascii="仿宋_GB2312" w:hAnsi="仿宋" w:eastAsia="仿宋_GB2312"/>
          <w:b/>
          <w:color w:val="auto"/>
          <w:sz w:val="21"/>
          <w:szCs w:val="21"/>
          <w:highlight w:val="none"/>
        </w:rPr>
      </w:pPr>
    </w:p>
    <w:p w14:paraId="2835803C">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质疑函制作说明：</w:t>
      </w:r>
    </w:p>
    <w:p w14:paraId="7EAE09A3">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1.供应商提出质疑时，应提交质疑函和必要的证明材料。</w:t>
      </w:r>
    </w:p>
    <w:p w14:paraId="70E26AA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2.质疑供应商若委托代理人进行质疑的，</w:t>
      </w:r>
      <w:r>
        <w:rPr>
          <w:rFonts w:hint="eastAsia" w:ascii="仿宋_GB2312" w:hAnsi="仿宋" w:eastAsia="仿宋_GB2312"/>
          <w:color w:val="auto"/>
          <w:sz w:val="21"/>
          <w:szCs w:val="21"/>
          <w:highlight w:val="none"/>
        </w:rPr>
        <w:t>质疑函应按要求列明“授权代表”的有关内容，并在附件中提交由质疑</w:t>
      </w:r>
      <w:r>
        <w:rPr>
          <w:rFonts w:hint="eastAsia" w:ascii="仿宋_GB2312" w:hAnsi="仿宋" w:eastAsia="仿宋_GB2312"/>
          <w:color w:val="auto"/>
          <w:kern w:val="0"/>
          <w:sz w:val="21"/>
          <w:szCs w:val="21"/>
          <w:highlight w:val="none"/>
        </w:rPr>
        <w:t>供应商签署的授权委托书。授权委托书应载明代理人的姓名或者名称、代理事项、具体权限、期限和相关事项。</w:t>
      </w:r>
    </w:p>
    <w:p w14:paraId="26F3572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3.质疑供应商若对项目的某一分包进行质疑，质疑函中应列明具体分包号。</w:t>
      </w:r>
    </w:p>
    <w:p w14:paraId="12710162">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4.质疑函的质疑事项应具体、明确，并有必要的事实依据和法律依据。</w:t>
      </w:r>
    </w:p>
    <w:p w14:paraId="74E3D807">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5.质疑函的质疑请求应与质疑事项相关。</w:t>
      </w:r>
    </w:p>
    <w:p w14:paraId="5FAF216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6.质疑供应商为自然人的，</w:t>
      </w:r>
      <w:r>
        <w:rPr>
          <w:rFonts w:hint="eastAsia" w:ascii="仿宋_GB2312" w:hAnsi="仿宋" w:eastAsia="仿宋_GB2312"/>
          <w:color w:val="auto"/>
          <w:sz w:val="21"/>
          <w:szCs w:val="21"/>
          <w:highlight w:val="none"/>
        </w:rPr>
        <w:t>质疑函应由本人签字；质疑供应商为法人或者其他组织的，质疑函应由法定代表人、主要负责人，或者其授权代表签字或者盖章，并加盖公章。</w:t>
      </w:r>
    </w:p>
    <w:p w14:paraId="7C5A9E26">
      <w:pPr>
        <w:widowControl/>
        <w:spacing w:line="360" w:lineRule="auto"/>
        <w:ind w:firstLine="600" w:firstLineChars="200"/>
        <w:jc w:val="left"/>
        <w:rPr>
          <w:rFonts w:ascii="仿宋_GB2312" w:hAnsi="仿宋" w:eastAsia="仿宋_GB2312"/>
          <w:color w:val="auto"/>
          <w:sz w:val="30"/>
          <w:szCs w:val="30"/>
          <w:highlight w:val="none"/>
        </w:rPr>
      </w:pPr>
    </w:p>
    <w:p w14:paraId="01799D87">
      <w:pPr>
        <w:spacing w:line="360" w:lineRule="auto"/>
        <w:jc w:val="center"/>
        <w:rPr>
          <w:rFonts w:ascii="仿宋_GB2312" w:hAnsi="仿宋" w:eastAsia="仿宋_GB2312"/>
          <w:b/>
          <w:color w:val="auto"/>
          <w:spacing w:val="6"/>
          <w:sz w:val="32"/>
          <w:szCs w:val="32"/>
          <w:highlight w:val="none"/>
        </w:rPr>
      </w:pPr>
    </w:p>
    <w:p w14:paraId="1917642F">
      <w:pPr>
        <w:spacing w:line="360" w:lineRule="auto"/>
        <w:jc w:val="center"/>
        <w:rPr>
          <w:rFonts w:ascii="仿宋_GB2312" w:hAnsi="仿宋" w:eastAsia="仿宋_GB2312"/>
          <w:b/>
          <w:color w:val="auto"/>
          <w:spacing w:val="6"/>
          <w:sz w:val="32"/>
          <w:szCs w:val="32"/>
          <w:highlight w:val="none"/>
        </w:rPr>
      </w:pPr>
    </w:p>
    <w:p w14:paraId="1367672B">
      <w:pPr>
        <w:spacing w:line="360" w:lineRule="auto"/>
        <w:jc w:val="center"/>
        <w:rPr>
          <w:rFonts w:ascii="仿宋_GB2312" w:hAnsi="仿宋" w:eastAsia="仿宋_GB2312"/>
          <w:b/>
          <w:color w:val="auto"/>
          <w:spacing w:val="6"/>
          <w:sz w:val="32"/>
          <w:szCs w:val="32"/>
          <w:highlight w:val="none"/>
        </w:rPr>
      </w:pPr>
    </w:p>
    <w:p w14:paraId="5E438EA0">
      <w:pPr>
        <w:spacing w:line="360" w:lineRule="auto"/>
        <w:jc w:val="center"/>
        <w:rPr>
          <w:rFonts w:ascii="仿宋_GB2312" w:hAnsi="仿宋" w:eastAsia="仿宋_GB2312"/>
          <w:b/>
          <w:color w:val="auto"/>
          <w:spacing w:val="6"/>
          <w:sz w:val="32"/>
          <w:szCs w:val="32"/>
          <w:highlight w:val="none"/>
        </w:rPr>
      </w:pPr>
    </w:p>
    <w:p w14:paraId="36D62E9B">
      <w:pPr>
        <w:spacing w:line="360" w:lineRule="auto"/>
        <w:jc w:val="center"/>
        <w:rPr>
          <w:rFonts w:ascii="仿宋_GB2312" w:hAnsi="仿宋" w:eastAsia="仿宋_GB2312"/>
          <w:b/>
          <w:color w:val="auto"/>
          <w:spacing w:val="6"/>
          <w:sz w:val="32"/>
          <w:szCs w:val="32"/>
          <w:highlight w:val="none"/>
        </w:rPr>
      </w:pPr>
    </w:p>
    <w:p w14:paraId="214EB192">
      <w:pPr>
        <w:spacing w:line="360" w:lineRule="auto"/>
        <w:jc w:val="center"/>
        <w:rPr>
          <w:rFonts w:ascii="仿宋_GB2312" w:hAnsi="仿宋" w:eastAsia="仿宋_GB2312"/>
          <w:b/>
          <w:color w:val="auto"/>
          <w:spacing w:val="6"/>
          <w:sz w:val="32"/>
          <w:szCs w:val="32"/>
          <w:highlight w:val="none"/>
        </w:rPr>
      </w:pPr>
    </w:p>
    <w:p w14:paraId="3F290507">
      <w:pPr>
        <w:spacing w:line="360" w:lineRule="auto"/>
        <w:jc w:val="center"/>
        <w:rPr>
          <w:rFonts w:ascii="仿宋_GB2312" w:hAnsi="仿宋" w:eastAsia="仿宋_GB2312"/>
          <w:b/>
          <w:color w:val="auto"/>
          <w:spacing w:val="6"/>
          <w:sz w:val="32"/>
          <w:szCs w:val="32"/>
          <w:highlight w:val="none"/>
        </w:rPr>
      </w:pPr>
    </w:p>
    <w:p w14:paraId="5265D80A">
      <w:pPr>
        <w:spacing w:line="360" w:lineRule="auto"/>
        <w:jc w:val="center"/>
        <w:rPr>
          <w:rFonts w:ascii="仿宋_GB2312" w:hAnsi="仿宋" w:eastAsia="仿宋_GB2312"/>
          <w:b/>
          <w:color w:val="auto"/>
          <w:spacing w:val="6"/>
          <w:sz w:val="32"/>
          <w:szCs w:val="32"/>
          <w:highlight w:val="none"/>
        </w:rPr>
      </w:pPr>
    </w:p>
    <w:p w14:paraId="51C7BAFD">
      <w:pPr>
        <w:spacing w:line="360" w:lineRule="auto"/>
        <w:jc w:val="center"/>
        <w:rPr>
          <w:rFonts w:ascii="仿宋_GB2312" w:hAnsi="仿宋" w:eastAsia="仿宋_GB2312"/>
          <w:b/>
          <w:color w:val="auto"/>
          <w:spacing w:val="6"/>
          <w:sz w:val="32"/>
          <w:szCs w:val="32"/>
          <w:highlight w:val="none"/>
        </w:rPr>
      </w:pPr>
    </w:p>
    <w:p w14:paraId="5EB2FFC5">
      <w:pPr>
        <w:spacing w:line="360" w:lineRule="auto"/>
        <w:jc w:val="center"/>
        <w:rPr>
          <w:rFonts w:ascii="仿宋_GB2312" w:hAnsi="仿宋" w:eastAsia="仿宋_GB2312"/>
          <w:b/>
          <w:color w:val="auto"/>
          <w:spacing w:val="6"/>
          <w:sz w:val="32"/>
          <w:szCs w:val="32"/>
          <w:highlight w:val="none"/>
        </w:rPr>
      </w:pPr>
    </w:p>
    <w:p w14:paraId="409EB83C">
      <w:pPr>
        <w:spacing w:line="360" w:lineRule="auto"/>
        <w:jc w:val="center"/>
        <w:rPr>
          <w:rFonts w:ascii="仿宋_GB2312" w:hAnsi="仿宋" w:eastAsia="仿宋_GB2312"/>
          <w:b/>
          <w:color w:val="auto"/>
          <w:spacing w:val="6"/>
          <w:sz w:val="32"/>
          <w:szCs w:val="32"/>
          <w:highlight w:val="none"/>
        </w:rPr>
      </w:pPr>
    </w:p>
    <w:p w14:paraId="3D904057">
      <w:pPr>
        <w:spacing w:line="360" w:lineRule="auto"/>
        <w:jc w:val="center"/>
        <w:rPr>
          <w:rFonts w:ascii="仿宋_GB2312" w:hAnsi="仿宋" w:eastAsia="仿宋_GB2312"/>
          <w:b/>
          <w:color w:val="auto"/>
          <w:spacing w:val="6"/>
          <w:sz w:val="32"/>
          <w:szCs w:val="32"/>
          <w:highlight w:val="none"/>
        </w:rPr>
      </w:pPr>
    </w:p>
    <w:p w14:paraId="4DB2FD34">
      <w:pPr>
        <w:spacing w:line="360" w:lineRule="auto"/>
        <w:jc w:val="left"/>
        <w:rPr>
          <w:rFonts w:ascii="仿宋_GB2312" w:hAnsi="仿宋" w:eastAsia="仿宋_GB2312"/>
          <w:b/>
          <w:color w:val="auto"/>
          <w:spacing w:val="6"/>
          <w:sz w:val="32"/>
          <w:szCs w:val="32"/>
          <w:highlight w:val="none"/>
        </w:rPr>
      </w:pPr>
    </w:p>
    <w:p w14:paraId="4E2FE930">
      <w:pPr>
        <w:spacing w:line="360" w:lineRule="auto"/>
        <w:jc w:val="left"/>
        <w:rPr>
          <w:rFonts w:ascii="仿宋_GB2312" w:hAnsi="仿宋" w:eastAsia="仿宋_GB2312"/>
          <w:b/>
          <w:color w:val="auto"/>
          <w:spacing w:val="6"/>
          <w:sz w:val="32"/>
          <w:szCs w:val="32"/>
          <w:highlight w:val="none"/>
        </w:rPr>
      </w:pPr>
    </w:p>
    <w:p w14:paraId="3E5B0144">
      <w:pPr>
        <w:spacing w:line="360" w:lineRule="auto"/>
        <w:jc w:val="left"/>
        <w:outlineLvl w:val="2"/>
        <w:rPr>
          <w:rFonts w:ascii="仿宋_GB2312" w:hAnsi="仿宋" w:eastAsia="仿宋_GB2312"/>
          <w:b/>
          <w:color w:val="auto"/>
          <w:spacing w:val="6"/>
          <w:sz w:val="32"/>
          <w:szCs w:val="32"/>
          <w:highlight w:val="none"/>
        </w:rPr>
      </w:pPr>
      <w:bookmarkStart w:id="188" w:name="_Toc10678"/>
      <w:bookmarkStart w:id="189" w:name="_Toc25656"/>
      <w:bookmarkStart w:id="190" w:name="_Toc7397"/>
      <w:r>
        <w:rPr>
          <w:rFonts w:hint="eastAsia" w:ascii="仿宋_GB2312" w:hAnsi="仿宋" w:eastAsia="仿宋_GB2312"/>
          <w:b/>
          <w:color w:val="auto"/>
          <w:spacing w:val="6"/>
          <w:sz w:val="32"/>
          <w:szCs w:val="32"/>
          <w:highlight w:val="none"/>
        </w:rPr>
        <w:br w:type="page"/>
      </w:r>
      <w:r>
        <w:rPr>
          <w:rFonts w:hint="eastAsia" w:ascii="仿宋_GB2312" w:hAnsi="仿宋" w:eastAsia="仿宋_GB2312"/>
          <w:b/>
          <w:color w:val="auto"/>
          <w:spacing w:val="6"/>
          <w:sz w:val="32"/>
          <w:szCs w:val="32"/>
          <w:highlight w:val="none"/>
        </w:rPr>
        <w:t>附件4</w:t>
      </w:r>
      <w:r>
        <w:rPr>
          <w:rFonts w:ascii="仿宋_GB2312" w:hAnsi="仿宋" w:eastAsia="仿宋_GB2312"/>
          <w:b/>
          <w:color w:val="auto"/>
          <w:spacing w:val="6"/>
          <w:sz w:val="32"/>
          <w:szCs w:val="32"/>
          <w:highlight w:val="none"/>
        </w:rPr>
        <w:t>：投诉书范本及制作说明</w:t>
      </w:r>
      <w:bookmarkEnd w:id="188"/>
      <w:bookmarkEnd w:id="189"/>
      <w:bookmarkEnd w:id="190"/>
    </w:p>
    <w:p w14:paraId="1EF45C89">
      <w:pPr>
        <w:spacing w:line="360" w:lineRule="auto"/>
        <w:jc w:val="center"/>
        <w:rPr>
          <w:rFonts w:ascii="仿宋_GB2312" w:hAnsi="仿宋" w:eastAsia="仿宋_GB2312"/>
          <w:b/>
          <w:color w:val="auto"/>
          <w:highlight w:val="none"/>
        </w:rPr>
      </w:pPr>
    </w:p>
    <w:p w14:paraId="79F80168">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278D3B3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一、投诉相关主体基本情况</w:t>
      </w:r>
    </w:p>
    <w:p w14:paraId="7B772D8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w:t>
      </w:r>
      <w:r>
        <w:rPr>
          <w:rFonts w:ascii="仿宋_GB2312" w:hAnsi="仿宋" w:eastAsia="仿宋_GB2312"/>
          <w:color w:val="auto"/>
          <w:sz w:val="21"/>
          <w:szCs w:val="21"/>
          <w:highlight w:val="none"/>
          <w:u w:val="dotted"/>
        </w:rPr>
        <w:t xml:space="preserve">                                               </w:t>
      </w:r>
    </w:p>
    <w:p w14:paraId="58DF0E9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6E2B048E">
      <w:pPr>
        <w:tabs>
          <w:tab w:val="left" w:pos="6510"/>
        </w:tabs>
        <w:spacing w:line="360" w:lineRule="auto"/>
        <w:jc w:val="left"/>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法定代表人</w:t>
      </w:r>
      <w:r>
        <w:rPr>
          <w:rFonts w:ascii="仿宋_GB2312" w:hAnsi="仿宋" w:eastAsia="仿宋_GB2312"/>
          <w:color w:val="auto"/>
          <w:sz w:val="21"/>
          <w:szCs w:val="21"/>
          <w:highlight w:val="none"/>
        </w:rPr>
        <w:t>/主要负责人：</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17B1EC42">
      <w:pPr>
        <w:tabs>
          <w:tab w:val="left" w:pos="6510"/>
        </w:tabs>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p>
    <w:p w14:paraId="05A98B04">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授权代表：</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hint="eastAsia" w:ascii="仿宋_GB2312" w:hAnsi="仿宋" w:eastAsia="仿宋_GB2312"/>
          <w:color w:val="auto"/>
          <w:sz w:val="21"/>
          <w:szCs w:val="21"/>
          <w:highlight w:val="none"/>
          <w:u w:val="dotted"/>
        </w:rPr>
        <w:t>：</w:t>
      </w:r>
      <w:r>
        <w:rPr>
          <w:rFonts w:ascii="仿宋_GB2312" w:hAnsi="仿宋" w:eastAsia="仿宋_GB2312"/>
          <w:color w:val="auto"/>
          <w:sz w:val="21"/>
          <w:szCs w:val="21"/>
          <w:highlight w:val="none"/>
          <w:u w:val="dotted"/>
        </w:rPr>
        <w:t xml:space="preserve">                  </w:t>
      </w:r>
    </w:p>
    <w:p w14:paraId="12385F0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r>
        <w:rPr>
          <w:rFonts w:ascii="仿宋_GB2312" w:hAnsi="仿宋" w:eastAsia="仿宋_GB2312"/>
          <w:color w:val="auto"/>
          <w:sz w:val="21"/>
          <w:szCs w:val="21"/>
          <w:highlight w:val="none"/>
          <w:u w:val="dotted"/>
        </w:rPr>
        <w:t xml:space="preserve">                   </w:t>
      </w:r>
    </w:p>
    <w:p w14:paraId="5E8401EC">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1：</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4CAE5813">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7B45CA58">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5A7333FD">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被投诉人</w:t>
      </w:r>
      <w:r>
        <w:rPr>
          <w:rFonts w:ascii="仿宋_GB2312" w:hAnsi="仿宋" w:eastAsia="仿宋_GB2312"/>
          <w:color w:val="auto"/>
          <w:sz w:val="21"/>
          <w:szCs w:val="21"/>
          <w:highlight w:val="none"/>
        </w:rPr>
        <w:t>2</w:t>
      </w:r>
    </w:p>
    <w:p w14:paraId="6ED649BD">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50E94010">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相关供应商：</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310C3EE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地</w:t>
      </w:r>
      <w:r>
        <w:rPr>
          <w:rFonts w:ascii="仿宋_GB2312" w:hAnsi="仿宋" w:eastAsia="仿宋_GB2312"/>
          <w:color w:val="auto"/>
          <w:sz w:val="21"/>
          <w:szCs w:val="21"/>
          <w:highlight w:val="none"/>
        </w:rPr>
        <w:t xml:space="preserve">     </w:t>
      </w:r>
      <w:r>
        <w:rPr>
          <w:rFonts w:hint="eastAsia" w:ascii="仿宋_GB2312" w:hAnsi="仿宋" w:eastAsia="仿宋_GB2312"/>
          <w:color w:val="auto"/>
          <w:sz w:val="21"/>
          <w:szCs w:val="21"/>
          <w:highlight w:val="none"/>
        </w:rPr>
        <w:t>址：</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邮编：</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3BA6935">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联系人：</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联系电话：</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18CCFD94">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二、投诉项目基本情况</w:t>
      </w:r>
    </w:p>
    <w:p w14:paraId="27F395E8">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采购项目名称：</w:t>
      </w:r>
      <w:r>
        <w:rPr>
          <w:rFonts w:ascii="仿宋_GB2312" w:hAnsi="仿宋" w:eastAsia="仿宋_GB2312"/>
          <w:color w:val="auto"/>
          <w:sz w:val="21"/>
          <w:szCs w:val="21"/>
          <w:highlight w:val="none"/>
          <w:u w:val="dotted"/>
        </w:rPr>
        <w:t xml:space="preserve">                                        </w:t>
      </w:r>
    </w:p>
    <w:p w14:paraId="3F8747DB">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采购项目编号：</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包号：</w:t>
      </w:r>
      <w:r>
        <w:rPr>
          <w:rFonts w:ascii="仿宋_GB2312" w:hAnsi="仿宋" w:eastAsia="仿宋_GB2312"/>
          <w:color w:val="auto"/>
          <w:sz w:val="21"/>
          <w:szCs w:val="21"/>
          <w:highlight w:val="none"/>
          <w:u w:val="dotted"/>
        </w:rPr>
        <w:t xml:space="preserve">              </w:t>
      </w:r>
    </w:p>
    <w:p w14:paraId="6E74E850">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采购人名称：</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u w:val="single"/>
        </w:rPr>
        <w:t xml:space="preserve">  </w:t>
      </w:r>
    </w:p>
    <w:p w14:paraId="016E8189">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代理机构名称：</w:t>
      </w:r>
      <w:r>
        <w:rPr>
          <w:rFonts w:ascii="仿宋_GB2312" w:hAnsi="仿宋" w:eastAsia="仿宋_GB2312"/>
          <w:color w:val="auto"/>
          <w:sz w:val="21"/>
          <w:szCs w:val="21"/>
          <w:highlight w:val="none"/>
          <w:u w:val="dotted"/>
        </w:rPr>
        <w:t xml:space="preserve">                                         </w:t>
      </w:r>
    </w:p>
    <w:p w14:paraId="0758BC9A">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采购文件公告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0F24E397">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采购结果公告</w:t>
      </w:r>
      <w:r>
        <w:rPr>
          <w:rFonts w:ascii="仿宋_GB2312" w:hAnsi="仿宋" w:eastAsia="仿宋_GB2312"/>
          <w:color w:val="auto"/>
          <w:sz w:val="21"/>
          <w:szCs w:val="21"/>
          <w:highlight w:val="none"/>
        </w:rPr>
        <w:t>:</w:t>
      </w:r>
      <w:r>
        <w:rPr>
          <w:rFonts w:hint="eastAsia" w:ascii="仿宋_GB2312" w:hAnsi="仿宋" w:eastAsia="仿宋_GB2312"/>
          <w:color w:val="auto"/>
          <w:sz w:val="21"/>
          <w:szCs w:val="21"/>
          <w:highlight w:val="none"/>
          <w:u w:val="dotted"/>
        </w:rPr>
        <w:t>是</w:t>
      </w:r>
      <w:r>
        <w:rPr>
          <w:rFonts w:ascii="仿宋_GB2312" w:hAnsi="仿宋" w:eastAsia="仿宋_GB2312"/>
          <w:color w:val="auto"/>
          <w:sz w:val="21"/>
          <w:szCs w:val="21"/>
          <w:highlight w:val="none"/>
          <w:u w:val="dotted"/>
        </w:rPr>
        <w:t xml:space="preserve">/否 </w:t>
      </w:r>
      <w:r>
        <w:rPr>
          <w:rFonts w:hint="eastAsia" w:ascii="仿宋_GB2312" w:hAnsi="仿宋" w:eastAsia="仿宋_GB2312"/>
          <w:color w:val="auto"/>
          <w:sz w:val="21"/>
          <w:szCs w:val="21"/>
          <w:highlight w:val="none"/>
        </w:rPr>
        <w:t>公告期限：</w:t>
      </w:r>
      <w:r>
        <w:rPr>
          <w:rFonts w:ascii="仿宋_GB2312" w:hAnsi="仿宋" w:eastAsia="仿宋_GB2312"/>
          <w:color w:val="auto"/>
          <w:sz w:val="21"/>
          <w:szCs w:val="21"/>
          <w:highlight w:val="none"/>
          <w:u w:val="dotted"/>
        </w:rPr>
        <w:t xml:space="preserve">                        </w:t>
      </w:r>
    </w:p>
    <w:p w14:paraId="340A385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三、质疑基本情况</w:t>
      </w:r>
    </w:p>
    <w:p w14:paraId="04FE6633">
      <w:pPr>
        <w:spacing w:line="360" w:lineRule="auto"/>
        <w:ind w:firstLine="420" w:firstLineChars="200"/>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投诉人于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,向</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提出质疑，质疑事项为：</w:t>
      </w:r>
      <w:r>
        <w:rPr>
          <w:rFonts w:ascii="仿宋_GB2312" w:hAnsi="仿宋" w:eastAsia="仿宋_GB2312"/>
          <w:color w:val="auto"/>
          <w:sz w:val="21"/>
          <w:szCs w:val="21"/>
          <w:highlight w:val="none"/>
          <w:u w:val="dotted"/>
        </w:rPr>
        <w:t xml:space="preserve">                                </w:t>
      </w:r>
    </w:p>
    <w:p w14:paraId="17F40D12">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74965809">
      <w:pPr>
        <w:spacing w:line="360" w:lineRule="auto"/>
        <w:ind w:firstLine="315" w:firstLineChars="150"/>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u w:val="dotted"/>
        </w:rPr>
        <w:t>采购人</w:t>
      </w:r>
      <w:r>
        <w:rPr>
          <w:rFonts w:ascii="仿宋_GB2312" w:hAnsi="仿宋" w:eastAsia="仿宋_GB2312"/>
          <w:color w:val="auto"/>
          <w:sz w:val="21"/>
          <w:szCs w:val="21"/>
          <w:highlight w:val="none"/>
          <w:u w:val="dotted"/>
        </w:rPr>
        <w:t>/代理机构</w:t>
      </w:r>
      <w:r>
        <w:rPr>
          <w:rFonts w:hint="eastAsia" w:ascii="仿宋_GB2312" w:hAnsi="仿宋" w:eastAsia="仿宋_GB2312"/>
          <w:color w:val="auto"/>
          <w:sz w:val="21"/>
          <w:szCs w:val="21"/>
          <w:highlight w:val="none"/>
        </w:rPr>
        <w:t>于</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年</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月</w:t>
      </w:r>
      <w:r>
        <w:rPr>
          <w:rFonts w:ascii="仿宋_GB2312" w:hAnsi="仿宋" w:eastAsia="仿宋_GB2312"/>
          <w:color w:val="auto"/>
          <w:sz w:val="21"/>
          <w:szCs w:val="21"/>
          <w:highlight w:val="none"/>
          <w:u w:val="dotted"/>
        </w:rPr>
        <w:t xml:space="preserve">   </w:t>
      </w:r>
      <w:r>
        <w:rPr>
          <w:rFonts w:hint="eastAsia" w:ascii="仿宋_GB2312" w:hAnsi="仿宋" w:eastAsia="仿宋_GB2312"/>
          <w:color w:val="auto"/>
          <w:sz w:val="21"/>
          <w:szCs w:val="21"/>
          <w:highlight w:val="none"/>
        </w:rPr>
        <w:t>日</w:t>
      </w:r>
      <w:r>
        <w:rPr>
          <w:rFonts w:ascii="仿宋_GB2312" w:hAnsi="仿宋" w:eastAsia="仿宋_GB2312"/>
          <w:color w:val="auto"/>
          <w:sz w:val="21"/>
          <w:szCs w:val="21"/>
          <w:highlight w:val="none"/>
        </w:rPr>
        <w:t>,就质疑事项</w:t>
      </w:r>
      <w:r>
        <w:rPr>
          <w:rFonts w:hint="eastAsia" w:ascii="仿宋_GB2312" w:hAnsi="仿宋" w:eastAsia="仿宋_GB2312"/>
          <w:color w:val="auto"/>
          <w:sz w:val="21"/>
          <w:szCs w:val="21"/>
          <w:highlight w:val="none"/>
        </w:rPr>
        <w:t>作出了答复</w:t>
      </w:r>
      <w:r>
        <w:rPr>
          <w:rFonts w:ascii="仿宋_GB2312" w:hAnsi="仿宋" w:eastAsia="仿宋_GB2312"/>
          <w:color w:val="auto"/>
          <w:sz w:val="21"/>
          <w:szCs w:val="21"/>
          <w:highlight w:val="none"/>
        </w:rPr>
        <w:t>/没有在法定期限内</w:t>
      </w:r>
      <w:r>
        <w:rPr>
          <w:rFonts w:hint="eastAsia" w:ascii="仿宋_GB2312" w:hAnsi="仿宋" w:eastAsia="仿宋_GB2312"/>
          <w:color w:val="auto"/>
          <w:sz w:val="21"/>
          <w:szCs w:val="21"/>
          <w:highlight w:val="none"/>
        </w:rPr>
        <w:t>作出答复。</w:t>
      </w:r>
    </w:p>
    <w:p w14:paraId="5AF68C28">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四、投诉事项具体内容</w:t>
      </w:r>
    </w:p>
    <w:p w14:paraId="49D7BB61">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 xml:space="preserve"> 1：</w:t>
      </w:r>
      <w:r>
        <w:rPr>
          <w:rFonts w:ascii="仿宋_GB2312" w:hAnsi="仿宋" w:eastAsia="仿宋_GB2312"/>
          <w:color w:val="auto"/>
          <w:sz w:val="21"/>
          <w:szCs w:val="21"/>
          <w:highlight w:val="none"/>
          <w:u w:val="dotted"/>
        </w:rPr>
        <w:t xml:space="preserve">                                       </w:t>
      </w:r>
    </w:p>
    <w:p w14:paraId="4637A33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事实依据：</w:t>
      </w:r>
      <w:r>
        <w:rPr>
          <w:rFonts w:ascii="仿宋_GB2312" w:hAnsi="仿宋" w:eastAsia="仿宋_GB2312"/>
          <w:color w:val="auto"/>
          <w:sz w:val="21"/>
          <w:szCs w:val="21"/>
          <w:highlight w:val="none"/>
          <w:u w:val="dotted"/>
        </w:rPr>
        <w:t xml:space="preserve">                                         </w:t>
      </w:r>
    </w:p>
    <w:p w14:paraId="320FA447">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6A36684F">
      <w:pPr>
        <w:spacing w:line="360" w:lineRule="auto"/>
        <w:rPr>
          <w:rFonts w:ascii="仿宋_GB2312" w:hAnsi="仿宋" w:eastAsia="仿宋_GB2312"/>
          <w:color w:val="auto"/>
          <w:sz w:val="21"/>
          <w:szCs w:val="21"/>
          <w:highlight w:val="none"/>
          <w:u w:val="single"/>
        </w:rPr>
      </w:pPr>
      <w:r>
        <w:rPr>
          <w:rFonts w:hint="eastAsia" w:ascii="仿宋_GB2312" w:hAnsi="仿宋" w:eastAsia="仿宋_GB2312"/>
          <w:color w:val="auto"/>
          <w:sz w:val="21"/>
          <w:szCs w:val="21"/>
          <w:highlight w:val="none"/>
        </w:rPr>
        <w:t>法律依据：</w:t>
      </w:r>
      <w:r>
        <w:rPr>
          <w:rFonts w:ascii="仿宋_GB2312" w:hAnsi="仿宋" w:eastAsia="仿宋_GB2312"/>
          <w:color w:val="auto"/>
          <w:sz w:val="21"/>
          <w:szCs w:val="21"/>
          <w:highlight w:val="none"/>
          <w:u w:val="dotted"/>
        </w:rPr>
        <w:t xml:space="preserve">                                          </w:t>
      </w:r>
    </w:p>
    <w:p w14:paraId="5E08B68F">
      <w:pPr>
        <w:spacing w:line="360" w:lineRule="auto"/>
        <w:rPr>
          <w:rFonts w:ascii="仿宋_GB2312" w:hAnsi="仿宋" w:eastAsia="仿宋_GB2312"/>
          <w:color w:val="auto"/>
          <w:sz w:val="21"/>
          <w:szCs w:val="21"/>
          <w:highlight w:val="none"/>
          <w:u w:val="dotted"/>
        </w:rPr>
      </w:pPr>
      <w:r>
        <w:rPr>
          <w:rFonts w:ascii="仿宋_GB2312" w:hAnsi="仿宋" w:eastAsia="仿宋_GB2312"/>
          <w:color w:val="auto"/>
          <w:sz w:val="21"/>
          <w:szCs w:val="21"/>
          <w:highlight w:val="none"/>
          <w:u w:val="dotted"/>
        </w:rPr>
        <w:t xml:space="preserve">                                                      </w:t>
      </w:r>
    </w:p>
    <w:p w14:paraId="548B693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投诉事项</w:t>
      </w:r>
      <w:r>
        <w:rPr>
          <w:rFonts w:ascii="仿宋_GB2312" w:hAnsi="仿宋" w:eastAsia="仿宋_GB2312"/>
          <w:color w:val="auto"/>
          <w:sz w:val="21"/>
          <w:szCs w:val="21"/>
          <w:highlight w:val="none"/>
        </w:rPr>
        <w:t>2</w:t>
      </w:r>
    </w:p>
    <w:p w14:paraId="16E989B5">
      <w:pPr>
        <w:spacing w:line="360" w:lineRule="auto"/>
        <w:rPr>
          <w:rFonts w:ascii="仿宋_GB2312" w:hAnsi="仿宋" w:eastAsia="仿宋_GB2312"/>
          <w:color w:val="auto"/>
          <w:sz w:val="21"/>
          <w:szCs w:val="21"/>
          <w:highlight w:val="none"/>
          <w:u w:val="dotted"/>
        </w:rPr>
      </w:pPr>
      <w:r>
        <w:rPr>
          <w:rFonts w:hint="eastAsia" w:ascii="仿宋_GB2312" w:hAnsi="仿宋" w:eastAsia="仿宋_GB2312"/>
          <w:color w:val="auto"/>
          <w:sz w:val="21"/>
          <w:szCs w:val="21"/>
          <w:highlight w:val="none"/>
        </w:rPr>
        <w:t>……</w:t>
      </w:r>
    </w:p>
    <w:p w14:paraId="0C45F62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五、与投诉事项相关的投诉请求</w:t>
      </w:r>
    </w:p>
    <w:p w14:paraId="575E368C">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请求：</w:t>
      </w:r>
      <w:r>
        <w:rPr>
          <w:rFonts w:ascii="仿宋_GB2312" w:hAnsi="仿宋" w:eastAsia="仿宋_GB2312"/>
          <w:color w:val="auto"/>
          <w:sz w:val="21"/>
          <w:szCs w:val="21"/>
          <w:highlight w:val="none"/>
          <w:u w:val="dotted"/>
        </w:rPr>
        <w:t xml:space="preserve">                                              </w:t>
      </w:r>
      <w:r>
        <w:rPr>
          <w:rFonts w:ascii="仿宋_GB2312" w:hAnsi="仿宋" w:eastAsia="仿宋_GB2312"/>
          <w:color w:val="auto"/>
          <w:sz w:val="21"/>
          <w:szCs w:val="21"/>
          <w:highlight w:val="none"/>
        </w:rPr>
        <w:t xml:space="preserve"> </w:t>
      </w:r>
    </w:p>
    <w:p w14:paraId="44786BE2">
      <w:pPr>
        <w:spacing w:line="360" w:lineRule="auto"/>
        <w:rPr>
          <w:rFonts w:ascii="仿宋_GB2312" w:hAnsi="仿宋" w:eastAsia="仿宋_GB2312"/>
          <w:color w:val="auto"/>
          <w:sz w:val="21"/>
          <w:szCs w:val="21"/>
          <w:highlight w:val="none"/>
          <w:u w:val="single"/>
        </w:rPr>
      </w:pPr>
      <w:r>
        <w:rPr>
          <w:rFonts w:ascii="仿宋_GB2312" w:hAnsi="仿宋" w:eastAsia="仿宋_GB2312"/>
          <w:color w:val="auto"/>
          <w:sz w:val="21"/>
          <w:szCs w:val="21"/>
          <w:highlight w:val="none"/>
        </w:rPr>
        <w:t xml:space="preserve">                                                                                                    </w:t>
      </w:r>
    </w:p>
    <w:p w14:paraId="7A05E7BE">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签字</w:t>
      </w:r>
      <w:r>
        <w:rPr>
          <w:rFonts w:ascii="仿宋_GB2312" w:hAnsi="仿宋" w:eastAsia="仿宋_GB2312"/>
          <w:color w:val="auto"/>
          <w:sz w:val="21"/>
          <w:szCs w:val="21"/>
          <w:highlight w:val="none"/>
        </w:rPr>
        <w:t xml:space="preserve">(签章)：                   公章：                      </w:t>
      </w:r>
    </w:p>
    <w:p w14:paraId="4890DD19">
      <w:pPr>
        <w:spacing w:line="360" w:lineRule="auto"/>
        <w:rPr>
          <w:rFonts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日期：</w:t>
      </w:r>
      <w:r>
        <w:rPr>
          <w:rFonts w:ascii="仿宋_GB2312" w:hAnsi="仿宋" w:eastAsia="仿宋_GB2312"/>
          <w:color w:val="auto"/>
          <w:sz w:val="21"/>
          <w:szCs w:val="21"/>
          <w:highlight w:val="none"/>
        </w:rPr>
        <w:t xml:space="preserve">    </w:t>
      </w:r>
    </w:p>
    <w:p w14:paraId="2AD2AA2A">
      <w:pPr>
        <w:spacing w:line="360" w:lineRule="auto"/>
        <w:rPr>
          <w:rFonts w:ascii="仿宋_GB2312" w:hAnsi="仿宋" w:eastAsia="仿宋_GB2312"/>
          <w:b/>
          <w:color w:val="auto"/>
          <w:sz w:val="21"/>
          <w:szCs w:val="21"/>
          <w:highlight w:val="none"/>
        </w:rPr>
      </w:pPr>
    </w:p>
    <w:p w14:paraId="7EB77404">
      <w:pPr>
        <w:spacing w:line="360" w:lineRule="auto"/>
        <w:rPr>
          <w:rFonts w:ascii="仿宋_GB2312" w:hAnsi="仿宋" w:eastAsia="仿宋_GB2312"/>
          <w:b/>
          <w:color w:val="auto"/>
          <w:sz w:val="21"/>
          <w:szCs w:val="21"/>
          <w:highlight w:val="none"/>
        </w:rPr>
      </w:pPr>
    </w:p>
    <w:p w14:paraId="3A59A3E7">
      <w:pPr>
        <w:spacing w:line="360" w:lineRule="auto"/>
        <w:rPr>
          <w:rFonts w:ascii="仿宋_GB2312" w:hAnsi="仿宋" w:eastAsia="仿宋_GB2312"/>
          <w:b/>
          <w:color w:val="auto"/>
          <w:sz w:val="21"/>
          <w:szCs w:val="21"/>
          <w:highlight w:val="none"/>
        </w:rPr>
      </w:pPr>
      <w:r>
        <w:rPr>
          <w:rFonts w:hint="eastAsia" w:ascii="仿宋_GB2312" w:hAnsi="仿宋" w:eastAsia="仿宋_GB2312"/>
          <w:b/>
          <w:color w:val="auto"/>
          <w:sz w:val="21"/>
          <w:szCs w:val="21"/>
          <w:highlight w:val="none"/>
        </w:rPr>
        <w:t>投诉书制作说明：</w:t>
      </w:r>
    </w:p>
    <w:p w14:paraId="5EAD52F2">
      <w:pPr>
        <w:widowControl/>
        <w:spacing w:line="360" w:lineRule="auto"/>
        <w:ind w:firstLine="420" w:firstLineChars="200"/>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1.投诉人提起投诉时，应当提交投诉书和必要的证明材料，并按照被投诉人和与投诉事项有关的供应商数量提供投诉书副本。</w:t>
      </w:r>
    </w:p>
    <w:p w14:paraId="74309DE3">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2.投诉人若委托代理人进行投诉的，投诉书应按照要求列明“授权代表”的有关内容，并在附件中提交由</w:t>
      </w:r>
      <w:r>
        <w:rPr>
          <w:rFonts w:hint="eastAsia" w:ascii="仿宋_GB2312" w:hAnsi="仿宋" w:eastAsia="仿宋_GB2312"/>
          <w:color w:val="auto"/>
          <w:kern w:val="0"/>
          <w:sz w:val="21"/>
          <w:szCs w:val="21"/>
          <w:highlight w:val="none"/>
        </w:rPr>
        <w:t>投诉人签署的授权委托书。授权委托书应当载明代理人的姓名或者名称、代理事项、具体权限、期限和相关事项。</w:t>
      </w:r>
    </w:p>
    <w:p w14:paraId="0F41B00E">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3.投诉人若对项目的某一分包进行投诉，投诉书应列明具体分包号。</w:t>
      </w:r>
    </w:p>
    <w:p w14:paraId="6F31E39D">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4.投诉书应简要列明质疑事项，质疑函、质疑答复等作为附件材料提供。</w:t>
      </w:r>
    </w:p>
    <w:p w14:paraId="70F8F82A">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5.投诉书的投诉事项应具体、明确，并有必要的事实依据和法律依据。</w:t>
      </w:r>
    </w:p>
    <w:p w14:paraId="62E03F76">
      <w:pPr>
        <w:widowControl/>
        <w:spacing w:line="360" w:lineRule="auto"/>
        <w:ind w:firstLine="420" w:firstLineChars="200"/>
        <w:jc w:val="left"/>
        <w:rPr>
          <w:rFonts w:ascii="仿宋_GB2312" w:hAnsi="仿宋" w:eastAsia="仿宋_GB2312"/>
          <w:color w:val="auto"/>
          <w:sz w:val="21"/>
          <w:szCs w:val="21"/>
          <w:highlight w:val="none"/>
        </w:rPr>
      </w:pPr>
      <w:r>
        <w:rPr>
          <w:rFonts w:ascii="仿宋_GB2312" w:hAnsi="仿宋" w:eastAsia="仿宋_GB2312"/>
          <w:color w:val="auto"/>
          <w:sz w:val="21"/>
          <w:szCs w:val="21"/>
          <w:highlight w:val="none"/>
        </w:rPr>
        <w:t>6.投诉书的投诉请求应与投诉事项相关。</w:t>
      </w:r>
    </w:p>
    <w:p w14:paraId="634B87EA">
      <w:pPr>
        <w:widowControl/>
        <w:spacing w:line="360" w:lineRule="auto"/>
        <w:ind w:firstLine="420" w:firstLineChars="200"/>
        <w:jc w:val="left"/>
        <w:rPr>
          <w:rFonts w:ascii="仿宋_GB2312" w:hAnsi="仿宋" w:eastAsia="仿宋_GB2312"/>
          <w:color w:val="auto"/>
          <w:kern w:val="0"/>
          <w:sz w:val="21"/>
          <w:szCs w:val="21"/>
          <w:highlight w:val="none"/>
        </w:rPr>
      </w:pPr>
      <w:r>
        <w:rPr>
          <w:rFonts w:ascii="仿宋_GB2312" w:hAnsi="仿宋" w:eastAsia="仿宋_GB2312"/>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5BA8BA">
      <w:pPr>
        <w:spacing w:line="360" w:lineRule="auto"/>
        <w:rPr>
          <w:rFonts w:ascii="仿宋_GB2312" w:hAnsi="仿宋" w:eastAsia="仿宋_GB2312" w:cs="仿宋_GB2312"/>
          <w:b/>
          <w:color w:val="auto"/>
          <w:highlight w:val="none"/>
        </w:rPr>
      </w:pPr>
    </w:p>
    <w:p w14:paraId="6E1FEE34">
      <w:pPr>
        <w:autoSpaceDE w:val="0"/>
        <w:autoSpaceDN w:val="0"/>
        <w:jc w:val="center"/>
        <w:rPr>
          <w:rFonts w:ascii="仿宋" w:hAnsi="仿宋" w:eastAsia="仿宋"/>
          <w:b/>
          <w:color w:val="auto"/>
          <w:spacing w:val="6"/>
          <w:sz w:val="32"/>
          <w:szCs w:val="32"/>
          <w:highlight w:val="none"/>
        </w:rPr>
      </w:pPr>
    </w:p>
    <w:p w14:paraId="7EC84782">
      <w:pPr>
        <w:rPr>
          <w:color w:val="auto"/>
          <w:highlight w:val="none"/>
        </w:rPr>
      </w:pPr>
    </w:p>
    <w:sectPr>
      <w:pgSz w:w="11906" w:h="16838"/>
      <w:pgMar w:top="1247" w:right="1247" w:bottom="1247" w:left="1247" w:header="0" w:footer="6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7A4D6F4-FD8B-497D-A5FC-AB854F0FDF10}"/>
  </w:font>
  <w:font w:name="Arial">
    <w:panose1 w:val="020B0604020202020204"/>
    <w:charset w:val="01"/>
    <w:family w:val="swiss"/>
    <w:pitch w:val="default"/>
    <w:sig w:usb0="E0002EFF" w:usb1="C000785B" w:usb2="00000009" w:usb3="00000000" w:csb0="400001FF" w:csb1="FFFF0000"/>
    <w:embedRegular r:id="rId2" w:fontKey="{5405C0C2-5733-47D4-94D0-486B1ED3B5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embedRegular r:id="rId3" w:fontKey="{7B144306-9988-4D90-A0E3-E8D19530560C}"/>
  </w:font>
  <w:font w:name="仿宋_GB2312">
    <w:panose1 w:val="02010609030101010101"/>
    <w:charset w:val="86"/>
    <w:family w:val="modern"/>
    <w:pitch w:val="default"/>
    <w:sig w:usb0="00000001" w:usb1="080E0000" w:usb2="00000000" w:usb3="00000000" w:csb0="00040000" w:csb1="00000000"/>
    <w:embedRegular r:id="rId4" w:fontKey="{4290EBF1-E128-48FF-8D2F-3F393BF53B1A}"/>
  </w:font>
  <w:font w:name="Wingdings 2">
    <w:panose1 w:val="05020102010507070707"/>
    <w:charset w:val="02"/>
    <w:family w:val="roman"/>
    <w:pitch w:val="default"/>
    <w:sig w:usb0="00000000" w:usb1="00000000" w:usb2="00000000" w:usb3="00000000" w:csb0="80000000" w:csb1="00000000"/>
    <w:embedRegular r:id="rId5" w:fontKey="{9F29E2FC-D8F6-45EE-AB3F-CC33AA6D79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982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A9D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C7984">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1E3C798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0302">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C1D03">
                          <w:pPr>
                            <w:pStyle w:val="14"/>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3sF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97BXCAQAAjgMAAA4AAAAAAAAAAQAgAAAAHgEAAGRycy9lMm9Eb2MueG1sUEsF&#10;BgAAAAAGAAYAWQEAAFIFAAAAAA==&#10;">
              <v:fill on="f" focussize="0,0"/>
              <v:stroke on="f"/>
              <v:imagedata o:title=""/>
              <o:lock v:ext="edit" aspectratio="f"/>
              <v:textbox inset="0mm,0mm,0mm,0mm" style="mso-fit-shape-to-text:t;">
                <w:txbxContent>
                  <w:p w14:paraId="0D6C1D03">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A593">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04451">
                          <w:pPr>
                            <w:pStyle w:val="1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IO/8IBAACO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jiDv/CAQAAjgMAAA4AAAAAAAAAAQAgAAAAHgEAAGRycy9lMm9Eb2MueG1sUEsF&#10;BgAAAAAGAAYAWQEAAFIFAAAAAA==&#10;">
              <v:fill on="f" focussize="0,0"/>
              <v:stroke on="f"/>
              <v:imagedata o:title=""/>
              <o:lock v:ext="edit" aspectratio="f"/>
              <v:textbox inset="0mm,0mm,0mm,0mm" style="mso-fit-shape-to-text:t;">
                <w:txbxContent>
                  <w:p w14:paraId="6E80445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8333">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6CBD1">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EcDsIBAACO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BHA7CAQAAjgMAAA4AAAAAAAAAAQAgAAAAHgEAAGRycy9lMm9Eb2MueG1sUEsF&#10;BgAAAAAGAAYAWQEAAFIFAAAAAA==&#10;">
              <v:fill on="f" focussize="0,0"/>
              <v:stroke on="f"/>
              <v:imagedata o:title=""/>
              <o:lock v:ext="edit" aspectratio="f"/>
              <v:textbox inset="0mm,0mm,0mm,0mm" style="mso-fit-shape-to-text:t;">
                <w:txbxContent>
                  <w:p w14:paraId="6196CBD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62304">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E5C98">
                          <w:pPr>
                            <w:pStyle w:val="14"/>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fill on="f" focussize="0,0"/>
              <v:stroke on="f"/>
              <v:imagedata o:title=""/>
              <o:lock v:ext="edit" aspectratio="f"/>
              <v:textbox inset="0mm,0mm,0mm,0mm" style="mso-fit-shape-to-text:t;">
                <w:txbxContent>
                  <w:p w14:paraId="19AE5C98">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FAAE">
    <w:pPr>
      <w:pStyle w:val="14"/>
      <w:jc w:val="center"/>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0D1C8">
                          <w:pPr>
                            <w:pStyle w:val="14"/>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75GZ8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k5FrQLg9Jixc+smoI9RUDMdUGE0rlffgz3vJevy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u+RmfCAQAAjgMAAA4AAAAAAAAAAQAgAAAAHgEAAGRycy9lMm9Eb2MueG1sUEsF&#10;BgAAAAAGAAYAWQEAAFIFAAAAAA==&#10;">
              <v:fill on="f" focussize="0,0"/>
              <v:stroke on="f"/>
              <v:imagedata o:title=""/>
              <o:lock v:ext="edit" aspectratio="f"/>
              <v:textbox inset="0mm,0mm,0mm,0mm" style="mso-fit-shape-to-text:t;">
                <w:txbxContent>
                  <w:p w14:paraId="1CF0D1C8">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4A06">
    <w:pPr>
      <w:pStyle w:val="16"/>
    </w:pPr>
    <w:r>
      <w:rPr>
        <w:rFonts w:hint="eastAsia" w:eastAsia="宋体"/>
        <w:lang w:eastAsia="zh-CN"/>
      </w:rPr>
      <w:drawing>
        <wp:inline distT="0" distB="0" distL="114300" distR="114300">
          <wp:extent cx="5906770" cy="676910"/>
          <wp:effectExtent l="0" t="0" r="8255" b="8890"/>
          <wp:docPr id="10"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62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ADA3">
    <w:pPr>
      <w:pStyle w:val="16"/>
      <w:pBdr>
        <w:bottom w:val="single" w:color="auto" w:sz="4" w:space="1"/>
      </w:pBdr>
      <w:jc w:val="left"/>
      <w:rPr>
        <w:szCs w:val="18"/>
      </w:rPr>
    </w:pPr>
    <w:r>
      <w:rPr>
        <w:rFonts w:hint="eastAsia" w:eastAsia="宋体"/>
        <w:lang w:eastAsia="zh-CN"/>
      </w:rPr>
      <w:drawing>
        <wp:inline distT="0" distB="0" distL="114300" distR="114300">
          <wp:extent cx="5906770" cy="676910"/>
          <wp:effectExtent l="0" t="0" r="8255" b="8890"/>
          <wp:docPr id="9"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页眉"/>
                  <pic:cNvPicPr>
                    <a:picLocks noChangeAspect="1"/>
                  </pic:cNvPicPr>
                </pic:nvPicPr>
                <pic:blipFill>
                  <a:blip r:embed="rId1"/>
                  <a:stretch>
                    <a:fillRect/>
                  </a:stretch>
                </pic:blipFill>
                <pic:spPr>
                  <a:xfrm>
                    <a:off x="0" y="0"/>
                    <a:ext cx="5906770" cy="676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B6570"/>
    <w:multiLevelType w:val="singleLevel"/>
    <w:tmpl w:val="02FB65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c0OGNmMjIwZGRlZTJjNWI4MzJhNWUxMDRkYWYifQ=="/>
    <w:docVar w:name="KSO_WPS_MARK_KEY" w:val="329cc00d-31a1-424d-8f7f-811081ffa427"/>
  </w:docVars>
  <w:rsids>
    <w:rsidRoot w:val="2A2E0E20"/>
    <w:rsid w:val="00000FE0"/>
    <w:rsid w:val="00002968"/>
    <w:rsid w:val="00003692"/>
    <w:rsid w:val="00003FFC"/>
    <w:rsid w:val="0000672B"/>
    <w:rsid w:val="00006ED5"/>
    <w:rsid w:val="000071F7"/>
    <w:rsid w:val="00017F85"/>
    <w:rsid w:val="00020F6F"/>
    <w:rsid w:val="00021B54"/>
    <w:rsid w:val="00021E52"/>
    <w:rsid w:val="0002527B"/>
    <w:rsid w:val="00026204"/>
    <w:rsid w:val="0002684E"/>
    <w:rsid w:val="00031B39"/>
    <w:rsid w:val="00033A1D"/>
    <w:rsid w:val="000361A5"/>
    <w:rsid w:val="00052BA5"/>
    <w:rsid w:val="00057D5A"/>
    <w:rsid w:val="00071F0A"/>
    <w:rsid w:val="00072BF4"/>
    <w:rsid w:val="00072F3A"/>
    <w:rsid w:val="000767D0"/>
    <w:rsid w:val="000814F1"/>
    <w:rsid w:val="00081FB8"/>
    <w:rsid w:val="00083A4C"/>
    <w:rsid w:val="000849E8"/>
    <w:rsid w:val="000871AF"/>
    <w:rsid w:val="00087AA4"/>
    <w:rsid w:val="000908FB"/>
    <w:rsid w:val="00092938"/>
    <w:rsid w:val="0009587C"/>
    <w:rsid w:val="000A693B"/>
    <w:rsid w:val="000A7653"/>
    <w:rsid w:val="000B0AFC"/>
    <w:rsid w:val="000B2063"/>
    <w:rsid w:val="000B22A6"/>
    <w:rsid w:val="000B582B"/>
    <w:rsid w:val="000B6DC3"/>
    <w:rsid w:val="000C2E23"/>
    <w:rsid w:val="000C354C"/>
    <w:rsid w:val="000C5B13"/>
    <w:rsid w:val="000C5BAB"/>
    <w:rsid w:val="000D70AF"/>
    <w:rsid w:val="000E1952"/>
    <w:rsid w:val="000E6023"/>
    <w:rsid w:val="000F1C9D"/>
    <w:rsid w:val="000F2FDB"/>
    <w:rsid w:val="000F74F6"/>
    <w:rsid w:val="000F7F44"/>
    <w:rsid w:val="0010382F"/>
    <w:rsid w:val="00105402"/>
    <w:rsid w:val="00110E4C"/>
    <w:rsid w:val="00112934"/>
    <w:rsid w:val="001145A0"/>
    <w:rsid w:val="0012475B"/>
    <w:rsid w:val="00124850"/>
    <w:rsid w:val="00127624"/>
    <w:rsid w:val="00127812"/>
    <w:rsid w:val="0013073F"/>
    <w:rsid w:val="00131F8C"/>
    <w:rsid w:val="001407E0"/>
    <w:rsid w:val="001409BF"/>
    <w:rsid w:val="00142487"/>
    <w:rsid w:val="00145F4F"/>
    <w:rsid w:val="00146C91"/>
    <w:rsid w:val="001608A6"/>
    <w:rsid w:val="001629F2"/>
    <w:rsid w:val="0016331E"/>
    <w:rsid w:val="001705C9"/>
    <w:rsid w:val="00171BB9"/>
    <w:rsid w:val="001745BF"/>
    <w:rsid w:val="00174FAC"/>
    <w:rsid w:val="0017601C"/>
    <w:rsid w:val="001807FA"/>
    <w:rsid w:val="00180929"/>
    <w:rsid w:val="00180FC7"/>
    <w:rsid w:val="00183388"/>
    <w:rsid w:val="001841E7"/>
    <w:rsid w:val="001848A0"/>
    <w:rsid w:val="00184D11"/>
    <w:rsid w:val="00187378"/>
    <w:rsid w:val="00187B77"/>
    <w:rsid w:val="001929A5"/>
    <w:rsid w:val="0019300B"/>
    <w:rsid w:val="0019560E"/>
    <w:rsid w:val="00196F25"/>
    <w:rsid w:val="001A0438"/>
    <w:rsid w:val="001A0BB0"/>
    <w:rsid w:val="001A3239"/>
    <w:rsid w:val="001A44F4"/>
    <w:rsid w:val="001A4AFF"/>
    <w:rsid w:val="001A6712"/>
    <w:rsid w:val="001B0563"/>
    <w:rsid w:val="001B44C8"/>
    <w:rsid w:val="001B4D26"/>
    <w:rsid w:val="001B65D4"/>
    <w:rsid w:val="001B7E89"/>
    <w:rsid w:val="001C0122"/>
    <w:rsid w:val="001C398B"/>
    <w:rsid w:val="001C5E97"/>
    <w:rsid w:val="001C7942"/>
    <w:rsid w:val="001D0286"/>
    <w:rsid w:val="001D1E2A"/>
    <w:rsid w:val="001D3848"/>
    <w:rsid w:val="001E0FAD"/>
    <w:rsid w:val="001E505A"/>
    <w:rsid w:val="001F4C52"/>
    <w:rsid w:val="001F5B84"/>
    <w:rsid w:val="00201370"/>
    <w:rsid w:val="00203B7E"/>
    <w:rsid w:val="0020567E"/>
    <w:rsid w:val="00207647"/>
    <w:rsid w:val="00212EDD"/>
    <w:rsid w:val="00223344"/>
    <w:rsid w:val="002244D1"/>
    <w:rsid w:val="0022560D"/>
    <w:rsid w:val="00236087"/>
    <w:rsid w:val="002365FC"/>
    <w:rsid w:val="002428C3"/>
    <w:rsid w:val="002457EA"/>
    <w:rsid w:val="0024614F"/>
    <w:rsid w:val="00246483"/>
    <w:rsid w:val="002477E1"/>
    <w:rsid w:val="0025094B"/>
    <w:rsid w:val="00257623"/>
    <w:rsid w:val="00260A9F"/>
    <w:rsid w:val="00260D14"/>
    <w:rsid w:val="00261053"/>
    <w:rsid w:val="00264A17"/>
    <w:rsid w:val="002664FC"/>
    <w:rsid w:val="00271655"/>
    <w:rsid w:val="00271BC7"/>
    <w:rsid w:val="00272A61"/>
    <w:rsid w:val="00272B23"/>
    <w:rsid w:val="0027404F"/>
    <w:rsid w:val="00284383"/>
    <w:rsid w:val="002847E2"/>
    <w:rsid w:val="00284E31"/>
    <w:rsid w:val="00285ECD"/>
    <w:rsid w:val="0028756C"/>
    <w:rsid w:val="00290B03"/>
    <w:rsid w:val="00291C9E"/>
    <w:rsid w:val="00294B8C"/>
    <w:rsid w:val="00297341"/>
    <w:rsid w:val="002A0D65"/>
    <w:rsid w:val="002A143E"/>
    <w:rsid w:val="002A2B06"/>
    <w:rsid w:val="002A2E10"/>
    <w:rsid w:val="002A35AA"/>
    <w:rsid w:val="002A497A"/>
    <w:rsid w:val="002A7800"/>
    <w:rsid w:val="002B00EC"/>
    <w:rsid w:val="002B1D14"/>
    <w:rsid w:val="002B1D9A"/>
    <w:rsid w:val="002B6EDB"/>
    <w:rsid w:val="002C7B80"/>
    <w:rsid w:val="002D4CDE"/>
    <w:rsid w:val="002D5B1A"/>
    <w:rsid w:val="002D5E27"/>
    <w:rsid w:val="002E06FC"/>
    <w:rsid w:val="002E42D3"/>
    <w:rsid w:val="002E4A55"/>
    <w:rsid w:val="002E77E1"/>
    <w:rsid w:val="002F01A0"/>
    <w:rsid w:val="002F0A74"/>
    <w:rsid w:val="002F39B2"/>
    <w:rsid w:val="00301F56"/>
    <w:rsid w:val="00304910"/>
    <w:rsid w:val="00310D2D"/>
    <w:rsid w:val="00312E0A"/>
    <w:rsid w:val="003135FE"/>
    <w:rsid w:val="0031385A"/>
    <w:rsid w:val="00313A06"/>
    <w:rsid w:val="0031548D"/>
    <w:rsid w:val="003156ED"/>
    <w:rsid w:val="003159FE"/>
    <w:rsid w:val="003218CB"/>
    <w:rsid w:val="00324DBF"/>
    <w:rsid w:val="00326414"/>
    <w:rsid w:val="003277CE"/>
    <w:rsid w:val="0033123E"/>
    <w:rsid w:val="00331488"/>
    <w:rsid w:val="003321D8"/>
    <w:rsid w:val="00333ECD"/>
    <w:rsid w:val="00336076"/>
    <w:rsid w:val="003443D5"/>
    <w:rsid w:val="003451E0"/>
    <w:rsid w:val="00347DC5"/>
    <w:rsid w:val="003544E6"/>
    <w:rsid w:val="003554CF"/>
    <w:rsid w:val="00356525"/>
    <w:rsid w:val="003574D9"/>
    <w:rsid w:val="0036448F"/>
    <w:rsid w:val="00367407"/>
    <w:rsid w:val="003715FC"/>
    <w:rsid w:val="0037467E"/>
    <w:rsid w:val="00377AE5"/>
    <w:rsid w:val="00385DBD"/>
    <w:rsid w:val="003866DD"/>
    <w:rsid w:val="003875B9"/>
    <w:rsid w:val="0039100A"/>
    <w:rsid w:val="00391308"/>
    <w:rsid w:val="00393A98"/>
    <w:rsid w:val="00395B34"/>
    <w:rsid w:val="00395EE3"/>
    <w:rsid w:val="00396158"/>
    <w:rsid w:val="00396C6A"/>
    <w:rsid w:val="003A3B4B"/>
    <w:rsid w:val="003B5AAC"/>
    <w:rsid w:val="003B7308"/>
    <w:rsid w:val="003B7D07"/>
    <w:rsid w:val="003C00F7"/>
    <w:rsid w:val="003C3129"/>
    <w:rsid w:val="003C79AC"/>
    <w:rsid w:val="003D2668"/>
    <w:rsid w:val="003D2A8D"/>
    <w:rsid w:val="003D52D4"/>
    <w:rsid w:val="003E0C7F"/>
    <w:rsid w:val="003E1258"/>
    <w:rsid w:val="003E185A"/>
    <w:rsid w:val="003E3619"/>
    <w:rsid w:val="003F5A67"/>
    <w:rsid w:val="003F6DE7"/>
    <w:rsid w:val="003F738D"/>
    <w:rsid w:val="0040087E"/>
    <w:rsid w:val="00403DFF"/>
    <w:rsid w:val="0040692C"/>
    <w:rsid w:val="00406CB1"/>
    <w:rsid w:val="00406E33"/>
    <w:rsid w:val="00410205"/>
    <w:rsid w:val="004114B7"/>
    <w:rsid w:val="00411C4F"/>
    <w:rsid w:val="00412053"/>
    <w:rsid w:val="00413E6F"/>
    <w:rsid w:val="00414B48"/>
    <w:rsid w:val="00415AE6"/>
    <w:rsid w:val="00421745"/>
    <w:rsid w:val="004235BA"/>
    <w:rsid w:val="0043243E"/>
    <w:rsid w:val="00436610"/>
    <w:rsid w:val="004373B0"/>
    <w:rsid w:val="00437E88"/>
    <w:rsid w:val="004407A1"/>
    <w:rsid w:val="0044631C"/>
    <w:rsid w:val="00447892"/>
    <w:rsid w:val="0045716B"/>
    <w:rsid w:val="00460410"/>
    <w:rsid w:val="00460622"/>
    <w:rsid w:val="00462F48"/>
    <w:rsid w:val="00467FA3"/>
    <w:rsid w:val="0047650F"/>
    <w:rsid w:val="00477C08"/>
    <w:rsid w:val="004808A9"/>
    <w:rsid w:val="0048411A"/>
    <w:rsid w:val="0048646D"/>
    <w:rsid w:val="00486951"/>
    <w:rsid w:val="00491ED4"/>
    <w:rsid w:val="00495B52"/>
    <w:rsid w:val="004A2E0A"/>
    <w:rsid w:val="004A7850"/>
    <w:rsid w:val="004B27EF"/>
    <w:rsid w:val="004B4540"/>
    <w:rsid w:val="004B5259"/>
    <w:rsid w:val="004B5D4B"/>
    <w:rsid w:val="004C0583"/>
    <w:rsid w:val="004C28D6"/>
    <w:rsid w:val="004C5538"/>
    <w:rsid w:val="004C7B6B"/>
    <w:rsid w:val="004D29E5"/>
    <w:rsid w:val="004D632C"/>
    <w:rsid w:val="004E0163"/>
    <w:rsid w:val="004E5385"/>
    <w:rsid w:val="004E5BEF"/>
    <w:rsid w:val="004F285E"/>
    <w:rsid w:val="00501232"/>
    <w:rsid w:val="0050528C"/>
    <w:rsid w:val="00506BEA"/>
    <w:rsid w:val="00507935"/>
    <w:rsid w:val="005114AB"/>
    <w:rsid w:val="00512688"/>
    <w:rsid w:val="005146FE"/>
    <w:rsid w:val="00515539"/>
    <w:rsid w:val="00515BF9"/>
    <w:rsid w:val="005160C5"/>
    <w:rsid w:val="00516685"/>
    <w:rsid w:val="005203F2"/>
    <w:rsid w:val="0052060B"/>
    <w:rsid w:val="00521216"/>
    <w:rsid w:val="00521326"/>
    <w:rsid w:val="00524A81"/>
    <w:rsid w:val="00530769"/>
    <w:rsid w:val="00531406"/>
    <w:rsid w:val="005314FF"/>
    <w:rsid w:val="00533360"/>
    <w:rsid w:val="00537039"/>
    <w:rsid w:val="005400F0"/>
    <w:rsid w:val="00540291"/>
    <w:rsid w:val="00541586"/>
    <w:rsid w:val="00542553"/>
    <w:rsid w:val="00542E27"/>
    <w:rsid w:val="00544EE2"/>
    <w:rsid w:val="00553EFE"/>
    <w:rsid w:val="00557BFA"/>
    <w:rsid w:val="005627EA"/>
    <w:rsid w:val="0056288C"/>
    <w:rsid w:val="00563B42"/>
    <w:rsid w:val="00563F9A"/>
    <w:rsid w:val="00567E90"/>
    <w:rsid w:val="00572430"/>
    <w:rsid w:val="00572A91"/>
    <w:rsid w:val="00573A3D"/>
    <w:rsid w:val="00576CC0"/>
    <w:rsid w:val="00577E18"/>
    <w:rsid w:val="005854FF"/>
    <w:rsid w:val="00585872"/>
    <w:rsid w:val="005A0961"/>
    <w:rsid w:val="005A33A4"/>
    <w:rsid w:val="005A6BAA"/>
    <w:rsid w:val="005A7876"/>
    <w:rsid w:val="005B0747"/>
    <w:rsid w:val="005B2B3D"/>
    <w:rsid w:val="005B2FD9"/>
    <w:rsid w:val="005B3646"/>
    <w:rsid w:val="005B5E74"/>
    <w:rsid w:val="005B7054"/>
    <w:rsid w:val="005C3708"/>
    <w:rsid w:val="005C5996"/>
    <w:rsid w:val="005C76EF"/>
    <w:rsid w:val="005D7140"/>
    <w:rsid w:val="005E0672"/>
    <w:rsid w:val="005E0E5F"/>
    <w:rsid w:val="005E1447"/>
    <w:rsid w:val="005E15F5"/>
    <w:rsid w:val="005E541A"/>
    <w:rsid w:val="005E606B"/>
    <w:rsid w:val="005F090E"/>
    <w:rsid w:val="005F0EB3"/>
    <w:rsid w:val="005F1491"/>
    <w:rsid w:val="005F54EF"/>
    <w:rsid w:val="00601413"/>
    <w:rsid w:val="00602E69"/>
    <w:rsid w:val="00604B99"/>
    <w:rsid w:val="00605A26"/>
    <w:rsid w:val="00623375"/>
    <w:rsid w:val="00630726"/>
    <w:rsid w:val="00631899"/>
    <w:rsid w:val="00632793"/>
    <w:rsid w:val="006366F0"/>
    <w:rsid w:val="0064002C"/>
    <w:rsid w:val="00641E36"/>
    <w:rsid w:val="00645FD1"/>
    <w:rsid w:val="00647F07"/>
    <w:rsid w:val="00654391"/>
    <w:rsid w:val="006576BA"/>
    <w:rsid w:val="00660E80"/>
    <w:rsid w:val="00660F95"/>
    <w:rsid w:val="00665775"/>
    <w:rsid w:val="00666374"/>
    <w:rsid w:val="006764B3"/>
    <w:rsid w:val="00676C52"/>
    <w:rsid w:val="00680911"/>
    <w:rsid w:val="00680A5B"/>
    <w:rsid w:val="00682725"/>
    <w:rsid w:val="00683FD5"/>
    <w:rsid w:val="006A039B"/>
    <w:rsid w:val="006A5664"/>
    <w:rsid w:val="006A5A5D"/>
    <w:rsid w:val="006B4656"/>
    <w:rsid w:val="006B56BD"/>
    <w:rsid w:val="006C1D47"/>
    <w:rsid w:val="006C3481"/>
    <w:rsid w:val="006C4A19"/>
    <w:rsid w:val="006C6294"/>
    <w:rsid w:val="006C62B4"/>
    <w:rsid w:val="006D0DA8"/>
    <w:rsid w:val="006D3BAA"/>
    <w:rsid w:val="006D5BB2"/>
    <w:rsid w:val="006D7283"/>
    <w:rsid w:val="006E5749"/>
    <w:rsid w:val="006E5F7C"/>
    <w:rsid w:val="006F09B7"/>
    <w:rsid w:val="006F277C"/>
    <w:rsid w:val="006F30E0"/>
    <w:rsid w:val="006F46B6"/>
    <w:rsid w:val="006F4C41"/>
    <w:rsid w:val="0070138B"/>
    <w:rsid w:val="00705EF5"/>
    <w:rsid w:val="00707602"/>
    <w:rsid w:val="00707B60"/>
    <w:rsid w:val="00711714"/>
    <w:rsid w:val="00712984"/>
    <w:rsid w:val="00712AAF"/>
    <w:rsid w:val="0071599A"/>
    <w:rsid w:val="00717EBE"/>
    <w:rsid w:val="00720B98"/>
    <w:rsid w:val="007325CF"/>
    <w:rsid w:val="00732CDB"/>
    <w:rsid w:val="0073538E"/>
    <w:rsid w:val="00742B0C"/>
    <w:rsid w:val="007430B7"/>
    <w:rsid w:val="007453F9"/>
    <w:rsid w:val="0075711C"/>
    <w:rsid w:val="00757AD3"/>
    <w:rsid w:val="00757B26"/>
    <w:rsid w:val="00761EAB"/>
    <w:rsid w:val="00761FCE"/>
    <w:rsid w:val="00766742"/>
    <w:rsid w:val="00766D5A"/>
    <w:rsid w:val="007674CC"/>
    <w:rsid w:val="00771244"/>
    <w:rsid w:val="00771EA2"/>
    <w:rsid w:val="007836E8"/>
    <w:rsid w:val="00783DE5"/>
    <w:rsid w:val="00785D6C"/>
    <w:rsid w:val="00785E61"/>
    <w:rsid w:val="00786251"/>
    <w:rsid w:val="007873F4"/>
    <w:rsid w:val="0078759B"/>
    <w:rsid w:val="007904D7"/>
    <w:rsid w:val="00791767"/>
    <w:rsid w:val="007A2CA3"/>
    <w:rsid w:val="007B160C"/>
    <w:rsid w:val="007B70B8"/>
    <w:rsid w:val="007B7222"/>
    <w:rsid w:val="007C2F9C"/>
    <w:rsid w:val="007C537A"/>
    <w:rsid w:val="007D1444"/>
    <w:rsid w:val="007D1BA2"/>
    <w:rsid w:val="007D2661"/>
    <w:rsid w:val="007E240F"/>
    <w:rsid w:val="007E681D"/>
    <w:rsid w:val="007F1324"/>
    <w:rsid w:val="007F2E54"/>
    <w:rsid w:val="007F2E8B"/>
    <w:rsid w:val="007F705B"/>
    <w:rsid w:val="00800ABA"/>
    <w:rsid w:val="00800FCE"/>
    <w:rsid w:val="00810FA6"/>
    <w:rsid w:val="008133A4"/>
    <w:rsid w:val="00814192"/>
    <w:rsid w:val="00814C63"/>
    <w:rsid w:val="008211E3"/>
    <w:rsid w:val="0082686A"/>
    <w:rsid w:val="008316E0"/>
    <w:rsid w:val="00840283"/>
    <w:rsid w:val="00840FE7"/>
    <w:rsid w:val="00841ADD"/>
    <w:rsid w:val="00843675"/>
    <w:rsid w:val="00845E9F"/>
    <w:rsid w:val="00851510"/>
    <w:rsid w:val="008634FB"/>
    <w:rsid w:val="008639D0"/>
    <w:rsid w:val="00865FFB"/>
    <w:rsid w:val="00882EE8"/>
    <w:rsid w:val="00883287"/>
    <w:rsid w:val="00883BA0"/>
    <w:rsid w:val="00894E5B"/>
    <w:rsid w:val="00894FC3"/>
    <w:rsid w:val="008969AE"/>
    <w:rsid w:val="008A071D"/>
    <w:rsid w:val="008A18D2"/>
    <w:rsid w:val="008A34A6"/>
    <w:rsid w:val="008A59A5"/>
    <w:rsid w:val="008B218D"/>
    <w:rsid w:val="008B6837"/>
    <w:rsid w:val="008B71DF"/>
    <w:rsid w:val="008B7A93"/>
    <w:rsid w:val="008C0735"/>
    <w:rsid w:val="008C688F"/>
    <w:rsid w:val="008D1AF3"/>
    <w:rsid w:val="008D5940"/>
    <w:rsid w:val="008D737F"/>
    <w:rsid w:val="008D741F"/>
    <w:rsid w:val="008E0CE8"/>
    <w:rsid w:val="008E337A"/>
    <w:rsid w:val="008E4BFF"/>
    <w:rsid w:val="008E639F"/>
    <w:rsid w:val="008E648C"/>
    <w:rsid w:val="008F22D6"/>
    <w:rsid w:val="008F52EC"/>
    <w:rsid w:val="008F5B6A"/>
    <w:rsid w:val="008F6F9B"/>
    <w:rsid w:val="009011AD"/>
    <w:rsid w:val="009021E7"/>
    <w:rsid w:val="009023DD"/>
    <w:rsid w:val="00904B25"/>
    <w:rsid w:val="009132BA"/>
    <w:rsid w:val="00914148"/>
    <w:rsid w:val="00915C23"/>
    <w:rsid w:val="00920D1A"/>
    <w:rsid w:val="00922202"/>
    <w:rsid w:val="00925E18"/>
    <w:rsid w:val="0092726D"/>
    <w:rsid w:val="009273B3"/>
    <w:rsid w:val="00930242"/>
    <w:rsid w:val="00931A3E"/>
    <w:rsid w:val="00936D8A"/>
    <w:rsid w:val="00937430"/>
    <w:rsid w:val="00940BB4"/>
    <w:rsid w:val="00941011"/>
    <w:rsid w:val="00946CA8"/>
    <w:rsid w:val="00950B67"/>
    <w:rsid w:val="00953C5E"/>
    <w:rsid w:val="00957D35"/>
    <w:rsid w:val="009637F6"/>
    <w:rsid w:val="009653D9"/>
    <w:rsid w:val="00966E9D"/>
    <w:rsid w:val="00967418"/>
    <w:rsid w:val="009702BA"/>
    <w:rsid w:val="00981D3A"/>
    <w:rsid w:val="009875B5"/>
    <w:rsid w:val="009933E6"/>
    <w:rsid w:val="00993DBA"/>
    <w:rsid w:val="009949B7"/>
    <w:rsid w:val="009A33A7"/>
    <w:rsid w:val="009B0344"/>
    <w:rsid w:val="009B0494"/>
    <w:rsid w:val="009B2D3E"/>
    <w:rsid w:val="009B355A"/>
    <w:rsid w:val="009B35EF"/>
    <w:rsid w:val="009B4C50"/>
    <w:rsid w:val="009B750B"/>
    <w:rsid w:val="009C1B1F"/>
    <w:rsid w:val="009D152F"/>
    <w:rsid w:val="009D1E83"/>
    <w:rsid w:val="009D42DC"/>
    <w:rsid w:val="009D5682"/>
    <w:rsid w:val="009D5E5D"/>
    <w:rsid w:val="009D5FFD"/>
    <w:rsid w:val="009D6591"/>
    <w:rsid w:val="009D7233"/>
    <w:rsid w:val="009D7293"/>
    <w:rsid w:val="009E290A"/>
    <w:rsid w:val="009E3823"/>
    <w:rsid w:val="00A001AF"/>
    <w:rsid w:val="00A03AD8"/>
    <w:rsid w:val="00A07A45"/>
    <w:rsid w:val="00A10273"/>
    <w:rsid w:val="00A142D1"/>
    <w:rsid w:val="00A22CF0"/>
    <w:rsid w:val="00A2408D"/>
    <w:rsid w:val="00A249C0"/>
    <w:rsid w:val="00A25974"/>
    <w:rsid w:val="00A26592"/>
    <w:rsid w:val="00A2714D"/>
    <w:rsid w:val="00A30675"/>
    <w:rsid w:val="00A30EC0"/>
    <w:rsid w:val="00A33906"/>
    <w:rsid w:val="00A34291"/>
    <w:rsid w:val="00A35229"/>
    <w:rsid w:val="00A36700"/>
    <w:rsid w:val="00A40AAC"/>
    <w:rsid w:val="00A42750"/>
    <w:rsid w:val="00A42C00"/>
    <w:rsid w:val="00A50E3E"/>
    <w:rsid w:val="00A50ED8"/>
    <w:rsid w:val="00A549DF"/>
    <w:rsid w:val="00A6088B"/>
    <w:rsid w:val="00A64554"/>
    <w:rsid w:val="00A732F4"/>
    <w:rsid w:val="00A73C39"/>
    <w:rsid w:val="00A76148"/>
    <w:rsid w:val="00A76EBE"/>
    <w:rsid w:val="00A77A7A"/>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D48"/>
    <w:rsid w:val="00AD3EB3"/>
    <w:rsid w:val="00AD6487"/>
    <w:rsid w:val="00AE244D"/>
    <w:rsid w:val="00AE34E6"/>
    <w:rsid w:val="00AE7769"/>
    <w:rsid w:val="00AE786C"/>
    <w:rsid w:val="00AF26F2"/>
    <w:rsid w:val="00AF2775"/>
    <w:rsid w:val="00AF74F9"/>
    <w:rsid w:val="00B011C0"/>
    <w:rsid w:val="00B02F83"/>
    <w:rsid w:val="00B04CC6"/>
    <w:rsid w:val="00B058CE"/>
    <w:rsid w:val="00B06BD1"/>
    <w:rsid w:val="00B06C53"/>
    <w:rsid w:val="00B102AE"/>
    <w:rsid w:val="00B10592"/>
    <w:rsid w:val="00B13329"/>
    <w:rsid w:val="00B13F59"/>
    <w:rsid w:val="00B145EA"/>
    <w:rsid w:val="00B20D10"/>
    <w:rsid w:val="00B22B41"/>
    <w:rsid w:val="00B252B0"/>
    <w:rsid w:val="00B255CB"/>
    <w:rsid w:val="00B273E5"/>
    <w:rsid w:val="00B27D5F"/>
    <w:rsid w:val="00B316E8"/>
    <w:rsid w:val="00B32825"/>
    <w:rsid w:val="00B34DE9"/>
    <w:rsid w:val="00B35964"/>
    <w:rsid w:val="00B3599C"/>
    <w:rsid w:val="00B368F7"/>
    <w:rsid w:val="00B43EB1"/>
    <w:rsid w:val="00B44156"/>
    <w:rsid w:val="00B461A3"/>
    <w:rsid w:val="00B46901"/>
    <w:rsid w:val="00B60372"/>
    <w:rsid w:val="00B66F64"/>
    <w:rsid w:val="00B75F72"/>
    <w:rsid w:val="00B763C2"/>
    <w:rsid w:val="00B76572"/>
    <w:rsid w:val="00B8265D"/>
    <w:rsid w:val="00B82769"/>
    <w:rsid w:val="00B83699"/>
    <w:rsid w:val="00B83D54"/>
    <w:rsid w:val="00B92093"/>
    <w:rsid w:val="00B926BC"/>
    <w:rsid w:val="00B92C71"/>
    <w:rsid w:val="00B93538"/>
    <w:rsid w:val="00BA1344"/>
    <w:rsid w:val="00BA20EE"/>
    <w:rsid w:val="00BA23C3"/>
    <w:rsid w:val="00BA3334"/>
    <w:rsid w:val="00BA3907"/>
    <w:rsid w:val="00BA5574"/>
    <w:rsid w:val="00BA5B33"/>
    <w:rsid w:val="00BB42D8"/>
    <w:rsid w:val="00BB537B"/>
    <w:rsid w:val="00BC0A2A"/>
    <w:rsid w:val="00BC0C37"/>
    <w:rsid w:val="00BC25BA"/>
    <w:rsid w:val="00BC69B9"/>
    <w:rsid w:val="00BD1071"/>
    <w:rsid w:val="00BD48DF"/>
    <w:rsid w:val="00BD4A95"/>
    <w:rsid w:val="00BD6DF5"/>
    <w:rsid w:val="00BE1E84"/>
    <w:rsid w:val="00BF12A4"/>
    <w:rsid w:val="00BF7858"/>
    <w:rsid w:val="00C06714"/>
    <w:rsid w:val="00C06A4F"/>
    <w:rsid w:val="00C127D1"/>
    <w:rsid w:val="00C16A0C"/>
    <w:rsid w:val="00C20847"/>
    <w:rsid w:val="00C23F1B"/>
    <w:rsid w:val="00C31136"/>
    <w:rsid w:val="00C32739"/>
    <w:rsid w:val="00C419D0"/>
    <w:rsid w:val="00C43452"/>
    <w:rsid w:val="00C43EC7"/>
    <w:rsid w:val="00C45D87"/>
    <w:rsid w:val="00C55C7A"/>
    <w:rsid w:val="00C57C91"/>
    <w:rsid w:val="00C6071F"/>
    <w:rsid w:val="00C626C9"/>
    <w:rsid w:val="00C71AC5"/>
    <w:rsid w:val="00C7549F"/>
    <w:rsid w:val="00C80011"/>
    <w:rsid w:val="00C8122C"/>
    <w:rsid w:val="00C86AE4"/>
    <w:rsid w:val="00C87810"/>
    <w:rsid w:val="00C91A0B"/>
    <w:rsid w:val="00C92181"/>
    <w:rsid w:val="00CA6274"/>
    <w:rsid w:val="00CA65D5"/>
    <w:rsid w:val="00CA68BB"/>
    <w:rsid w:val="00CA714D"/>
    <w:rsid w:val="00CB0955"/>
    <w:rsid w:val="00CB13B5"/>
    <w:rsid w:val="00CB1FB2"/>
    <w:rsid w:val="00CB430B"/>
    <w:rsid w:val="00CC137F"/>
    <w:rsid w:val="00CC1A0F"/>
    <w:rsid w:val="00CC4BB4"/>
    <w:rsid w:val="00CD13BC"/>
    <w:rsid w:val="00CD43DF"/>
    <w:rsid w:val="00CD5D7C"/>
    <w:rsid w:val="00CD6044"/>
    <w:rsid w:val="00CD7BE2"/>
    <w:rsid w:val="00CE06DE"/>
    <w:rsid w:val="00CE2B63"/>
    <w:rsid w:val="00CE3808"/>
    <w:rsid w:val="00CE42A3"/>
    <w:rsid w:val="00CE67E4"/>
    <w:rsid w:val="00CF0526"/>
    <w:rsid w:val="00CF2E6B"/>
    <w:rsid w:val="00CF323A"/>
    <w:rsid w:val="00CF3679"/>
    <w:rsid w:val="00CF409E"/>
    <w:rsid w:val="00CF64DE"/>
    <w:rsid w:val="00D00C6C"/>
    <w:rsid w:val="00D1097C"/>
    <w:rsid w:val="00D116CB"/>
    <w:rsid w:val="00D14D9B"/>
    <w:rsid w:val="00D150C5"/>
    <w:rsid w:val="00D15194"/>
    <w:rsid w:val="00D15DBD"/>
    <w:rsid w:val="00D15F6A"/>
    <w:rsid w:val="00D24E07"/>
    <w:rsid w:val="00D272EA"/>
    <w:rsid w:val="00D277BD"/>
    <w:rsid w:val="00D27C5E"/>
    <w:rsid w:val="00D27DC0"/>
    <w:rsid w:val="00D32C35"/>
    <w:rsid w:val="00D3358B"/>
    <w:rsid w:val="00D3372B"/>
    <w:rsid w:val="00D358FB"/>
    <w:rsid w:val="00D37236"/>
    <w:rsid w:val="00D37F05"/>
    <w:rsid w:val="00D44ACC"/>
    <w:rsid w:val="00D45C73"/>
    <w:rsid w:val="00D45F06"/>
    <w:rsid w:val="00D505C3"/>
    <w:rsid w:val="00D5473A"/>
    <w:rsid w:val="00D549C3"/>
    <w:rsid w:val="00D60DBD"/>
    <w:rsid w:val="00D63B7F"/>
    <w:rsid w:val="00D6455C"/>
    <w:rsid w:val="00D6559F"/>
    <w:rsid w:val="00D66B50"/>
    <w:rsid w:val="00D70BAD"/>
    <w:rsid w:val="00D722AC"/>
    <w:rsid w:val="00D763FC"/>
    <w:rsid w:val="00D77392"/>
    <w:rsid w:val="00D80A2C"/>
    <w:rsid w:val="00D8672F"/>
    <w:rsid w:val="00D87236"/>
    <w:rsid w:val="00D91A7B"/>
    <w:rsid w:val="00D92F42"/>
    <w:rsid w:val="00D930C1"/>
    <w:rsid w:val="00D934D6"/>
    <w:rsid w:val="00D938F4"/>
    <w:rsid w:val="00D96E37"/>
    <w:rsid w:val="00DA38EB"/>
    <w:rsid w:val="00DA499E"/>
    <w:rsid w:val="00DA4A1E"/>
    <w:rsid w:val="00DA6115"/>
    <w:rsid w:val="00DA66D7"/>
    <w:rsid w:val="00DB0427"/>
    <w:rsid w:val="00DB252D"/>
    <w:rsid w:val="00DB7001"/>
    <w:rsid w:val="00DD03A9"/>
    <w:rsid w:val="00DD08CA"/>
    <w:rsid w:val="00DD2AFA"/>
    <w:rsid w:val="00DD3361"/>
    <w:rsid w:val="00DD6BD6"/>
    <w:rsid w:val="00DD6C5E"/>
    <w:rsid w:val="00DE0018"/>
    <w:rsid w:val="00DE147E"/>
    <w:rsid w:val="00DE276C"/>
    <w:rsid w:val="00DE402D"/>
    <w:rsid w:val="00DF07C2"/>
    <w:rsid w:val="00DF205A"/>
    <w:rsid w:val="00DF3A0D"/>
    <w:rsid w:val="00DF40BC"/>
    <w:rsid w:val="00DF489E"/>
    <w:rsid w:val="00DF5142"/>
    <w:rsid w:val="00E02718"/>
    <w:rsid w:val="00E02BC1"/>
    <w:rsid w:val="00E03F07"/>
    <w:rsid w:val="00E06A5B"/>
    <w:rsid w:val="00E06FA8"/>
    <w:rsid w:val="00E07963"/>
    <w:rsid w:val="00E12310"/>
    <w:rsid w:val="00E17C9D"/>
    <w:rsid w:val="00E2637A"/>
    <w:rsid w:val="00E26AFE"/>
    <w:rsid w:val="00E26F8C"/>
    <w:rsid w:val="00E2720B"/>
    <w:rsid w:val="00E2787B"/>
    <w:rsid w:val="00E30E42"/>
    <w:rsid w:val="00E3206B"/>
    <w:rsid w:val="00E35848"/>
    <w:rsid w:val="00E36D93"/>
    <w:rsid w:val="00E370E0"/>
    <w:rsid w:val="00E43A1D"/>
    <w:rsid w:val="00E43A2A"/>
    <w:rsid w:val="00E477D4"/>
    <w:rsid w:val="00E5038C"/>
    <w:rsid w:val="00E565AC"/>
    <w:rsid w:val="00E65A1A"/>
    <w:rsid w:val="00E66BFD"/>
    <w:rsid w:val="00E702BC"/>
    <w:rsid w:val="00E7371B"/>
    <w:rsid w:val="00E82C07"/>
    <w:rsid w:val="00E9083B"/>
    <w:rsid w:val="00E90BEF"/>
    <w:rsid w:val="00E92EC6"/>
    <w:rsid w:val="00E9327B"/>
    <w:rsid w:val="00E97A1F"/>
    <w:rsid w:val="00EA037E"/>
    <w:rsid w:val="00EA229E"/>
    <w:rsid w:val="00EA2CC6"/>
    <w:rsid w:val="00EA7038"/>
    <w:rsid w:val="00EB3171"/>
    <w:rsid w:val="00EB4463"/>
    <w:rsid w:val="00EB5B33"/>
    <w:rsid w:val="00EC0E91"/>
    <w:rsid w:val="00EC1D1C"/>
    <w:rsid w:val="00EC2506"/>
    <w:rsid w:val="00EC4BF5"/>
    <w:rsid w:val="00EC5481"/>
    <w:rsid w:val="00ED3169"/>
    <w:rsid w:val="00ED52F0"/>
    <w:rsid w:val="00ED5C3B"/>
    <w:rsid w:val="00ED5D79"/>
    <w:rsid w:val="00EE0537"/>
    <w:rsid w:val="00EE2A48"/>
    <w:rsid w:val="00EF24C3"/>
    <w:rsid w:val="00EF33ED"/>
    <w:rsid w:val="00EF4E01"/>
    <w:rsid w:val="00F018F6"/>
    <w:rsid w:val="00F02D14"/>
    <w:rsid w:val="00F04D51"/>
    <w:rsid w:val="00F05A5D"/>
    <w:rsid w:val="00F0780F"/>
    <w:rsid w:val="00F116E5"/>
    <w:rsid w:val="00F12741"/>
    <w:rsid w:val="00F136CE"/>
    <w:rsid w:val="00F15219"/>
    <w:rsid w:val="00F171A7"/>
    <w:rsid w:val="00F175C2"/>
    <w:rsid w:val="00F251E5"/>
    <w:rsid w:val="00F26B94"/>
    <w:rsid w:val="00F2739C"/>
    <w:rsid w:val="00F307EA"/>
    <w:rsid w:val="00F31217"/>
    <w:rsid w:val="00F31415"/>
    <w:rsid w:val="00F40CB5"/>
    <w:rsid w:val="00F47385"/>
    <w:rsid w:val="00F54B3E"/>
    <w:rsid w:val="00F55310"/>
    <w:rsid w:val="00F5586F"/>
    <w:rsid w:val="00F60635"/>
    <w:rsid w:val="00F60CB6"/>
    <w:rsid w:val="00F62803"/>
    <w:rsid w:val="00F64962"/>
    <w:rsid w:val="00F6570F"/>
    <w:rsid w:val="00F664EB"/>
    <w:rsid w:val="00F74051"/>
    <w:rsid w:val="00F742BF"/>
    <w:rsid w:val="00F75E1B"/>
    <w:rsid w:val="00F80014"/>
    <w:rsid w:val="00F8048B"/>
    <w:rsid w:val="00F80F99"/>
    <w:rsid w:val="00F86F09"/>
    <w:rsid w:val="00F9106A"/>
    <w:rsid w:val="00F94DF0"/>
    <w:rsid w:val="00F96C7B"/>
    <w:rsid w:val="00FA1F1C"/>
    <w:rsid w:val="00FB1975"/>
    <w:rsid w:val="00FB3C0F"/>
    <w:rsid w:val="00FB6264"/>
    <w:rsid w:val="00FC0DF7"/>
    <w:rsid w:val="00FC6758"/>
    <w:rsid w:val="00FD12C1"/>
    <w:rsid w:val="00FD21A7"/>
    <w:rsid w:val="00FD567D"/>
    <w:rsid w:val="00FD5B27"/>
    <w:rsid w:val="00FE036D"/>
    <w:rsid w:val="00FE2162"/>
    <w:rsid w:val="00FE23A5"/>
    <w:rsid w:val="00FE35AF"/>
    <w:rsid w:val="00FE795F"/>
    <w:rsid w:val="00FF407E"/>
    <w:rsid w:val="00FF5E63"/>
    <w:rsid w:val="00FF7CA2"/>
    <w:rsid w:val="01151B18"/>
    <w:rsid w:val="012670EA"/>
    <w:rsid w:val="013A75E3"/>
    <w:rsid w:val="01792A4C"/>
    <w:rsid w:val="017966BD"/>
    <w:rsid w:val="018C0E18"/>
    <w:rsid w:val="0199700D"/>
    <w:rsid w:val="01C9286B"/>
    <w:rsid w:val="01D408F4"/>
    <w:rsid w:val="01FD42EF"/>
    <w:rsid w:val="021B2FE5"/>
    <w:rsid w:val="02350109"/>
    <w:rsid w:val="02375CB6"/>
    <w:rsid w:val="02480D0E"/>
    <w:rsid w:val="024E4980"/>
    <w:rsid w:val="02503267"/>
    <w:rsid w:val="02515B60"/>
    <w:rsid w:val="025778F0"/>
    <w:rsid w:val="02933F19"/>
    <w:rsid w:val="02AE3211"/>
    <w:rsid w:val="02AE555A"/>
    <w:rsid w:val="02DD75DD"/>
    <w:rsid w:val="02F23728"/>
    <w:rsid w:val="035655C6"/>
    <w:rsid w:val="037324D4"/>
    <w:rsid w:val="037B50A2"/>
    <w:rsid w:val="038D5330"/>
    <w:rsid w:val="03DF70E9"/>
    <w:rsid w:val="03E00C4C"/>
    <w:rsid w:val="04047316"/>
    <w:rsid w:val="04107868"/>
    <w:rsid w:val="041A2636"/>
    <w:rsid w:val="042639C4"/>
    <w:rsid w:val="050378E0"/>
    <w:rsid w:val="05186D7A"/>
    <w:rsid w:val="05530297"/>
    <w:rsid w:val="056566E4"/>
    <w:rsid w:val="058A40EC"/>
    <w:rsid w:val="05921E89"/>
    <w:rsid w:val="059B7960"/>
    <w:rsid w:val="05EC5CFB"/>
    <w:rsid w:val="06073472"/>
    <w:rsid w:val="06155FB9"/>
    <w:rsid w:val="062C0EFB"/>
    <w:rsid w:val="063A4A7C"/>
    <w:rsid w:val="063F01A6"/>
    <w:rsid w:val="063F4856"/>
    <w:rsid w:val="06463495"/>
    <w:rsid w:val="065D4FEB"/>
    <w:rsid w:val="065D710A"/>
    <w:rsid w:val="06606BFB"/>
    <w:rsid w:val="06806222"/>
    <w:rsid w:val="069A3E96"/>
    <w:rsid w:val="06CA4E70"/>
    <w:rsid w:val="07002843"/>
    <w:rsid w:val="070D5CB2"/>
    <w:rsid w:val="07274707"/>
    <w:rsid w:val="07292075"/>
    <w:rsid w:val="07402809"/>
    <w:rsid w:val="074513B1"/>
    <w:rsid w:val="07530F64"/>
    <w:rsid w:val="079F04A6"/>
    <w:rsid w:val="07B8196E"/>
    <w:rsid w:val="07CF69E3"/>
    <w:rsid w:val="07D91574"/>
    <w:rsid w:val="07DD2110"/>
    <w:rsid w:val="08407E9B"/>
    <w:rsid w:val="085F1AE1"/>
    <w:rsid w:val="086679E5"/>
    <w:rsid w:val="08733E40"/>
    <w:rsid w:val="087B0B27"/>
    <w:rsid w:val="08942A43"/>
    <w:rsid w:val="089B2F1A"/>
    <w:rsid w:val="08A009CC"/>
    <w:rsid w:val="08A66635"/>
    <w:rsid w:val="08AF0BCB"/>
    <w:rsid w:val="08B63E7C"/>
    <w:rsid w:val="08BF04CA"/>
    <w:rsid w:val="08D10BEF"/>
    <w:rsid w:val="08D506D3"/>
    <w:rsid w:val="092F781E"/>
    <w:rsid w:val="094474E0"/>
    <w:rsid w:val="0949141E"/>
    <w:rsid w:val="09552E52"/>
    <w:rsid w:val="095639A6"/>
    <w:rsid w:val="095A626C"/>
    <w:rsid w:val="09D842F7"/>
    <w:rsid w:val="09EC1A68"/>
    <w:rsid w:val="0A016A3B"/>
    <w:rsid w:val="0A5A1C3F"/>
    <w:rsid w:val="0A621094"/>
    <w:rsid w:val="0A6D18E6"/>
    <w:rsid w:val="0A84444E"/>
    <w:rsid w:val="0A9E6814"/>
    <w:rsid w:val="0AA04E6E"/>
    <w:rsid w:val="0AB84F29"/>
    <w:rsid w:val="0ABB3A8F"/>
    <w:rsid w:val="0AC6684F"/>
    <w:rsid w:val="0ACF75C9"/>
    <w:rsid w:val="0AF721E9"/>
    <w:rsid w:val="0AFA33F2"/>
    <w:rsid w:val="0B0342E2"/>
    <w:rsid w:val="0B091E63"/>
    <w:rsid w:val="0B0C64AC"/>
    <w:rsid w:val="0B164A29"/>
    <w:rsid w:val="0B1B034D"/>
    <w:rsid w:val="0B475A5A"/>
    <w:rsid w:val="0B5D3C5D"/>
    <w:rsid w:val="0B9D7C1B"/>
    <w:rsid w:val="0BB34A54"/>
    <w:rsid w:val="0BE07CB5"/>
    <w:rsid w:val="0BE128F6"/>
    <w:rsid w:val="0BF6534F"/>
    <w:rsid w:val="0C065496"/>
    <w:rsid w:val="0C0C5636"/>
    <w:rsid w:val="0C0F2633"/>
    <w:rsid w:val="0C201187"/>
    <w:rsid w:val="0C303B01"/>
    <w:rsid w:val="0C510B2F"/>
    <w:rsid w:val="0C5E11F6"/>
    <w:rsid w:val="0C6B3C42"/>
    <w:rsid w:val="0C766EB2"/>
    <w:rsid w:val="0C86077A"/>
    <w:rsid w:val="0C881272"/>
    <w:rsid w:val="0C965B7D"/>
    <w:rsid w:val="0CB10F8C"/>
    <w:rsid w:val="0CC35546"/>
    <w:rsid w:val="0CC67799"/>
    <w:rsid w:val="0CCF00FE"/>
    <w:rsid w:val="0CEA24D2"/>
    <w:rsid w:val="0D091EB5"/>
    <w:rsid w:val="0D0E5602"/>
    <w:rsid w:val="0D110C4F"/>
    <w:rsid w:val="0D453026"/>
    <w:rsid w:val="0D593ED1"/>
    <w:rsid w:val="0D7E01E7"/>
    <w:rsid w:val="0D83196C"/>
    <w:rsid w:val="0D857B7F"/>
    <w:rsid w:val="0DD04469"/>
    <w:rsid w:val="0DE46F59"/>
    <w:rsid w:val="0E141B3D"/>
    <w:rsid w:val="0E196C19"/>
    <w:rsid w:val="0E253E72"/>
    <w:rsid w:val="0E287F77"/>
    <w:rsid w:val="0E792DB6"/>
    <w:rsid w:val="0E856FED"/>
    <w:rsid w:val="0E87741A"/>
    <w:rsid w:val="0E8B3ACA"/>
    <w:rsid w:val="0E8F37B9"/>
    <w:rsid w:val="0E9E29B6"/>
    <w:rsid w:val="0EB53893"/>
    <w:rsid w:val="0ECA7929"/>
    <w:rsid w:val="0ECB6FE5"/>
    <w:rsid w:val="0EE63652"/>
    <w:rsid w:val="0EEC3D3D"/>
    <w:rsid w:val="0EF34BBC"/>
    <w:rsid w:val="0F2F3444"/>
    <w:rsid w:val="0F410792"/>
    <w:rsid w:val="0F4C5F6E"/>
    <w:rsid w:val="0F61359F"/>
    <w:rsid w:val="0F627B1B"/>
    <w:rsid w:val="0F84079F"/>
    <w:rsid w:val="0FC77938"/>
    <w:rsid w:val="0FD53060"/>
    <w:rsid w:val="0FE412F8"/>
    <w:rsid w:val="10210889"/>
    <w:rsid w:val="10356A35"/>
    <w:rsid w:val="10364729"/>
    <w:rsid w:val="103C2486"/>
    <w:rsid w:val="105900A8"/>
    <w:rsid w:val="106120BF"/>
    <w:rsid w:val="10765998"/>
    <w:rsid w:val="107D4488"/>
    <w:rsid w:val="109E3910"/>
    <w:rsid w:val="10AC3582"/>
    <w:rsid w:val="10B206A8"/>
    <w:rsid w:val="10D1632A"/>
    <w:rsid w:val="11070506"/>
    <w:rsid w:val="11275087"/>
    <w:rsid w:val="11467786"/>
    <w:rsid w:val="1148776A"/>
    <w:rsid w:val="114B36EF"/>
    <w:rsid w:val="11777DC4"/>
    <w:rsid w:val="118B24F5"/>
    <w:rsid w:val="11A55747"/>
    <w:rsid w:val="11D54A79"/>
    <w:rsid w:val="120A2A2A"/>
    <w:rsid w:val="120B3EBE"/>
    <w:rsid w:val="123602DD"/>
    <w:rsid w:val="1264785B"/>
    <w:rsid w:val="1272668F"/>
    <w:rsid w:val="12957D69"/>
    <w:rsid w:val="12AB15B0"/>
    <w:rsid w:val="12AC0952"/>
    <w:rsid w:val="12B564BD"/>
    <w:rsid w:val="12CB18A0"/>
    <w:rsid w:val="12EC0C50"/>
    <w:rsid w:val="12F05A2A"/>
    <w:rsid w:val="1300503C"/>
    <w:rsid w:val="130A35D0"/>
    <w:rsid w:val="130F36D3"/>
    <w:rsid w:val="131F199E"/>
    <w:rsid w:val="13247991"/>
    <w:rsid w:val="13295189"/>
    <w:rsid w:val="134A3D79"/>
    <w:rsid w:val="13515A7F"/>
    <w:rsid w:val="135B3AAF"/>
    <w:rsid w:val="1394170F"/>
    <w:rsid w:val="13A76668"/>
    <w:rsid w:val="13B02B2B"/>
    <w:rsid w:val="14087B4A"/>
    <w:rsid w:val="14317930"/>
    <w:rsid w:val="14425C92"/>
    <w:rsid w:val="1443162A"/>
    <w:rsid w:val="14596392"/>
    <w:rsid w:val="145E0D0D"/>
    <w:rsid w:val="146A013D"/>
    <w:rsid w:val="147D6BCA"/>
    <w:rsid w:val="1484023A"/>
    <w:rsid w:val="1488545D"/>
    <w:rsid w:val="148C7CEF"/>
    <w:rsid w:val="14A75DDC"/>
    <w:rsid w:val="14B30EF0"/>
    <w:rsid w:val="14B950F8"/>
    <w:rsid w:val="14E4152A"/>
    <w:rsid w:val="14F36739"/>
    <w:rsid w:val="14F450DE"/>
    <w:rsid w:val="15000184"/>
    <w:rsid w:val="150C105C"/>
    <w:rsid w:val="15335CBD"/>
    <w:rsid w:val="15364C39"/>
    <w:rsid w:val="154B5D0D"/>
    <w:rsid w:val="155E366F"/>
    <w:rsid w:val="15624DC3"/>
    <w:rsid w:val="15671077"/>
    <w:rsid w:val="15756EE5"/>
    <w:rsid w:val="157A2AB5"/>
    <w:rsid w:val="15957336"/>
    <w:rsid w:val="15AC74D8"/>
    <w:rsid w:val="15BE38D2"/>
    <w:rsid w:val="162008E1"/>
    <w:rsid w:val="16423BED"/>
    <w:rsid w:val="165019B8"/>
    <w:rsid w:val="165A3E99"/>
    <w:rsid w:val="166334CF"/>
    <w:rsid w:val="166C4117"/>
    <w:rsid w:val="168E16B6"/>
    <w:rsid w:val="169220C2"/>
    <w:rsid w:val="16B10DCA"/>
    <w:rsid w:val="16B7295A"/>
    <w:rsid w:val="16C9249F"/>
    <w:rsid w:val="16CB56F4"/>
    <w:rsid w:val="16F20125"/>
    <w:rsid w:val="17597D27"/>
    <w:rsid w:val="177033FD"/>
    <w:rsid w:val="17865495"/>
    <w:rsid w:val="17895F4C"/>
    <w:rsid w:val="178C7602"/>
    <w:rsid w:val="178F43F2"/>
    <w:rsid w:val="17946704"/>
    <w:rsid w:val="17C43569"/>
    <w:rsid w:val="18172C34"/>
    <w:rsid w:val="18185598"/>
    <w:rsid w:val="181D16BA"/>
    <w:rsid w:val="1839033E"/>
    <w:rsid w:val="184451C8"/>
    <w:rsid w:val="184C58D3"/>
    <w:rsid w:val="185270BB"/>
    <w:rsid w:val="187175DA"/>
    <w:rsid w:val="18973F29"/>
    <w:rsid w:val="189A68D7"/>
    <w:rsid w:val="18B74DA0"/>
    <w:rsid w:val="18C97D82"/>
    <w:rsid w:val="18F37C5C"/>
    <w:rsid w:val="18FA48A0"/>
    <w:rsid w:val="190D2A36"/>
    <w:rsid w:val="191408D8"/>
    <w:rsid w:val="191C5EFD"/>
    <w:rsid w:val="19295D46"/>
    <w:rsid w:val="19311F7B"/>
    <w:rsid w:val="19335297"/>
    <w:rsid w:val="195041F3"/>
    <w:rsid w:val="19674FC7"/>
    <w:rsid w:val="19682425"/>
    <w:rsid w:val="197842C8"/>
    <w:rsid w:val="198978FC"/>
    <w:rsid w:val="19BE5EE1"/>
    <w:rsid w:val="19C01322"/>
    <w:rsid w:val="19C0498B"/>
    <w:rsid w:val="19D115FD"/>
    <w:rsid w:val="19F84096"/>
    <w:rsid w:val="1A241497"/>
    <w:rsid w:val="1A2D7A9D"/>
    <w:rsid w:val="1A477CEF"/>
    <w:rsid w:val="1AA66BE4"/>
    <w:rsid w:val="1AB23249"/>
    <w:rsid w:val="1AC828CA"/>
    <w:rsid w:val="1AE20BCB"/>
    <w:rsid w:val="1AE2213E"/>
    <w:rsid w:val="1AEF153B"/>
    <w:rsid w:val="1AF00FC1"/>
    <w:rsid w:val="1AF4305C"/>
    <w:rsid w:val="1B1768EA"/>
    <w:rsid w:val="1B2D212A"/>
    <w:rsid w:val="1B8B535C"/>
    <w:rsid w:val="1BA573C0"/>
    <w:rsid w:val="1BBF73DA"/>
    <w:rsid w:val="1BCB0252"/>
    <w:rsid w:val="1BF71F46"/>
    <w:rsid w:val="1C045F3E"/>
    <w:rsid w:val="1C0D34A1"/>
    <w:rsid w:val="1C26507A"/>
    <w:rsid w:val="1C3E597F"/>
    <w:rsid w:val="1C814F53"/>
    <w:rsid w:val="1C843709"/>
    <w:rsid w:val="1C911CFB"/>
    <w:rsid w:val="1C940833"/>
    <w:rsid w:val="1C9814DF"/>
    <w:rsid w:val="1CA8045F"/>
    <w:rsid w:val="1CBD583B"/>
    <w:rsid w:val="1CE04199"/>
    <w:rsid w:val="1CE1027B"/>
    <w:rsid w:val="1D4A6348"/>
    <w:rsid w:val="1D5C4ECD"/>
    <w:rsid w:val="1D5C7CC4"/>
    <w:rsid w:val="1D63527C"/>
    <w:rsid w:val="1D6A3946"/>
    <w:rsid w:val="1D6E48D2"/>
    <w:rsid w:val="1D920ECB"/>
    <w:rsid w:val="1DD259C3"/>
    <w:rsid w:val="1DDD0826"/>
    <w:rsid w:val="1E3561AD"/>
    <w:rsid w:val="1E654A1D"/>
    <w:rsid w:val="1E6A19B1"/>
    <w:rsid w:val="1E7F799F"/>
    <w:rsid w:val="1E8A0861"/>
    <w:rsid w:val="1ECF46BC"/>
    <w:rsid w:val="1EDE6AE8"/>
    <w:rsid w:val="1F21633C"/>
    <w:rsid w:val="1F2E38E2"/>
    <w:rsid w:val="1F325004"/>
    <w:rsid w:val="1F4151ED"/>
    <w:rsid w:val="1F695568"/>
    <w:rsid w:val="1F6C0729"/>
    <w:rsid w:val="1F6E1866"/>
    <w:rsid w:val="1F6E3091"/>
    <w:rsid w:val="1F977015"/>
    <w:rsid w:val="1F994C45"/>
    <w:rsid w:val="1FBB4EAA"/>
    <w:rsid w:val="1FED4B35"/>
    <w:rsid w:val="1FEF3F3B"/>
    <w:rsid w:val="201102FC"/>
    <w:rsid w:val="2023198E"/>
    <w:rsid w:val="2033565F"/>
    <w:rsid w:val="204F2951"/>
    <w:rsid w:val="204F5235"/>
    <w:rsid w:val="2050381E"/>
    <w:rsid w:val="205E3D53"/>
    <w:rsid w:val="20621E25"/>
    <w:rsid w:val="20870C14"/>
    <w:rsid w:val="209564D8"/>
    <w:rsid w:val="20A63680"/>
    <w:rsid w:val="20A667BD"/>
    <w:rsid w:val="20CF0226"/>
    <w:rsid w:val="20D21255"/>
    <w:rsid w:val="20EB2ED6"/>
    <w:rsid w:val="20EE3995"/>
    <w:rsid w:val="21104680"/>
    <w:rsid w:val="211047A9"/>
    <w:rsid w:val="21367F3E"/>
    <w:rsid w:val="21460152"/>
    <w:rsid w:val="21537630"/>
    <w:rsid w:val="21873C64"/>
    <w:rsid w:val="21A34113"/>
    <w:rsid w:val="21C72BFA"/>
    <w:rsid w:val="21DF1C1F"/>
    <w:rsid w:val="21E62252"/>
    <w:rsid w:val="21FC7B81"/>
    <w:rsid w:val="22136E98"/>
    <w:rsid w:val="223062BE"/>
    <w:rsid w:val="22493B10"/>
    <w:rsid w:val="226B53D9"/>
    <w:rsid w:val="227233DF"/>
    <w:rsid w:val="227812F9"/>
    <w:rsid w:val="228A18E3"/>
    <w:rsid w:val="23040770"/>
    <w:rsid w:val="230A7593"/>
    <w:rsid w:val="2313066A"/>
    <w:rsid w:val="231959D5"/>
    <w:rsid w:val="2338088B"/>
    <w:rsid w:val="233D1CE6"/>
    <w:rsid w:val="233F605A"/>
    <w:rsid w:val="23581152"/>
    <w:rsid w:val="23634392"/>
    <w:rsid w:val="23680495"/>
    <w:rsid w:val="237C76C6"/>
    <w:rsid w:val="23803567"/>
    <w:rsid w:val="239B159C"/>
    <w:rsid w:val="23AD1BF5"/>
    <w:rsid w:val="23C80CC2"/>
    <w:rsid w:val="23CA2360"/>
    <w:rsid w:val="23FE376C"/>
    <w:rsid w:val="240B7B52"/>
    <w:rsid w:val="24116F34"/>
    <w:rsid w:val="24227489"/>
    <w:rsid w:val="24635A3A"/>
    <w:rsid w:val="249B62E9"/>
    <w:rsid w:val="24AD7057"/>
    <w:rsid w:val="24C5755C"/>
    <w:rsid w:val="24EC117C"/>
    <w:rsid w:val="250C4BB6"/>
    <w:rsid w:val="252549CA"/>
    <w:rsid w:val="255D204D"/>
    <w:rsid w:val="2595460B"/>
    <w:rsid w:val="26035BEC"/>
    <w:rsid w:val="26043654"/>
    <w:rsid w:val="26091EBB"/>
    <w:rsid w:val="2609681D"/>
    <w:rsid w:val="262B40F9"/>
    <w:rsid w:val="26424AF4"/>
    <w:rsid w:val="26547AE8"/>
    <w:rsid w:val="26775500"/>
    <w:rsid w:val="269A2C67"/>
    <w:rsid w:val="26AB3636"/>
    <w:rsid w:val="26E20255"/>
    <w:rsid w:val="26E525E4"/>
    <w:rsid w:val="26E60A65"/>
    <w:rsid w:val="26F92A28"/>
    <w:rsid w:val="27137F69"/>
    <w:rsid w:val="2724134C"/>
    <w:rsid w:val="273E0805"/>
    <w:rsid w:val="274507F1"/>
    <w:rsid w:val="275D6915"/>
    <w:rsid w:val="276C3F26"/>
    <w:rsid w:val="27BC7F5C"/>
    <w:rsid w:val="27C450A3"/>
    <w:rsid w:val="27C918D2"/>
    <w:rsid w:val="27D11F11"/>
    <w:rsid w:val="27D545CC"/>
    <w:rsid w:val="27E9369E"/>
    <w:rsid w:val="284D099E"/>
    <w:rsid w:val="28620164"/>
    <w:rsid w:val="286C0A48"/>
    <w:rsid w:val="28A0628A"/>
    <w:rsid w:val="28ED54B0"/>
    <w:rsid w:val="293209AC"/>
    <w:rsid w:val="2933115D"/>
    <w:rsid w:val="29341AF5"/>
    <w:rsid w:val="293930E6"/>
    <w:rsid w:val="293C2243"/>
    <w:rsid w:val="29532E82"/>
    <w:rsid w:val="29713987"/>
    <w:rsid w:val="29735566"/>
    <w:rsid w:val="299F6EEA"/>
    <w:rsid w:val="29A0317E"/>
    <w:rsid w:val="29A212E5"/>
    <w:rsid w:val="29AC42AB"/>
    <w:rsid w:val="29C327DC"/>
    <w:rsid w:val="29D947EB"/>
    <w:rsid w:val="29E15790"/>
    <w:rsid w:val="29E250EE"/>
    <w:rsid w:val="29E570C1"/>
    <w:rsid w:val="2A2E0E20"/>
    <w:rsid w:val="2A3A52DB"/>
    <w:rsid w:val="2A3A704E"/>
    <w:rsid w:val="2A452B3D"/>
    <w:rsid w:val="2A4F7491"/>
    <w:rsid w:val="2A5F5870"/>
    <w:rsid w:val="2A687F7F"/>
    <w:rsid w:val="2A6E4BCA"/>
    <w:rsid w:val="2A7654F9"/>
    <w:rsid w:val="2A7B2580"/>
    <w:rsid w:val="2A866C7A"/>
    <w:rsid w:val="2AA23BEC"/>
    <w:rsid w:val="2AAD7231"/>
    <w:rsid w:val="2AF451E9"/>
    <w:rsid w:val="2AFA337A"/>
    <w:rsid w:val="2B1C3428"/>
    <w:rsid w:val="2B2B1C33"/>
    <w:rsid w:val="2B2B446B"/>
    <w:rsid w:val="2B3015E4"/>
    <w:rsid w:val="2B4F3D3D"/>
    <w:rsid w:val="2B6516A3"/>
    <w:rsid w:val="2B6676AF"/>
    <w:rsid w:val="2B8175A1"/>
    <w:rsid w:val="2BAE1C66"/>
    <w:rsid w:val="2BFF5D0E"/>
    <w:rsid w:val="2C2376E7"/>
    <w:rsid w:val="2C45590B"/>
    <w:rsid w:val="2C640943"/>
    <w:rsid w:val="2C665C52"/>
    <w:rsid w:val="2C7F3A5D"/>
    <w:rsid w:val="2CC338BC"/>
    <w:rsid w:val="2CDC7E42"/>
    <w:rsid w:val="2CF652E7"/>
    <w:rsid w:val="2D0B10C4"/>
    <w:rsid w:val="2D1153A4"/>
    <w:rsid w:val="2D614DC2"/>
    <w:rsid w:val="2D837739"/>
    <w:rsid w:val="2D860AD6"/>
    <w:rsid w:val="2DA22BE2"/>
    <w:rsid w:val="2DE5633D"/>
    <w:rsid w:val="2DF36AC5"/>
    <w:rsid w:val="2DF43473"/>
    <w:rsid w:val="2E2758AF"/>
    <w:rsid w:val="2E277E7A"/>
    <w:rsid w:val="2E3A18BB"/>
    <w:rsid w:val="2E3C752E"/>
    <w:rsid w:val="2E3F744B"/>
    <w:rsid w:val="2E744255"/>
    <w:rsid w:val="2E7942E2"/>
    <w:rsid w:val="2EB7131C"/>
    <w:rsid w:val="2ECB17AD"/>
    <w:rsid w:val="2ECB4055"/>
    <w:rsid w:val="2EF81307"/>
    <w:rsid w:val="2F0F13BF"/>
    <w:rsid w:val="2F0F2FF0"/>
    <w:rsid w:val="2F0F3ED9"/>
    <w:rsid w:val="2F3552C8"/>
    <w:rsid w:val="2F5D35AA"/>
    <w:rsid w:val="2F713FC3"/>
    <w:rsid w:val="2F726968"/>
    <w:rsid w:val="2FA007D0"/>
    <w:rsid w:val="2FBA4216"/>
    <w:rsid w:val="2FC21EFE"/>
    <w:rsid w:val="2FD12F51"/>
    <w:rsid w:val="30116C8D"/>
    <w:rsid w:val="302B091D"/>
    <w:rsid w:val="302F07D9"/>
    <w:rsid w:val="30376BB9"/>
    <w:rsid w:val="30606780"/>
    <w:rsid w:val="30735E1C"/>
    <w:rsid w:val="307566FE"/>
    <w:rsid w:val="307A41C9"/>
    <w:rsid w:val="307A6BF4"/>
    <w:rsid w:val="3098002B"/>
    <w:rsid w:val="30CD714A"/>
    <w:rsid w:val="30E425BE"/>
    <w:rsid w:val="30EA0FD1"/>
    <w:rsid w:val="30F92657"/>
    <w:rsid w:val="31186EB7"/>
    <w:rsid w:val="311C1CA6"/>
    <w:rsid w:val="3124643F"/>
    <w:rsid w:val="31655260"/>
    <w:rsid w:val="3179376A"/>
    <w:rsid w:val="31A353BC"/>
    <w:rsid w:val="31B10509"/>
    <w:rsid w:val="31BD5198"/>
    <w:rsid w:val="31C169C5"/>
    <w:rsid w:val="31DB0F40"/>
    <w:rsid w:val="321C1DAA"/>
    <w:rsid w:val="3230228C"/>
    <w:rsid w:val="324637C9"/>
    <w:rsid w:val="3253058A"/>
    <w:rsid w:val="327137A1"/>
    <w:rsid w:val="327E6B5A"/>
    <w:rsid w:val="32A97818"/>
    <w:rsid w:val="32B80E90"/>
    <w:rsid w:val="32CC1C4F"/>
    <w:rsid w:val="32D02B38"/>
    <w:rsid w:val="32DD2023"/>
    <w:rsid w:val="32F73AE0"/>
    <w:rsid w:val="33327CC9"/>
    <w:rsid w:val="33332E1D"/>
    <w:rsid w:val="33375399"/>
    <w:rsid w:val="33490A06"/>
    <w:rsid w:val="334A2C5B"/>
    <w:rsid w:val="335A0A56"/>
    <w:rsid w:val="3360187A"/>
    <w:rsid w:val="3365747E"/>
    <w:rsid w:val="339D1E8E"/>
    <w:rsid w:val="33A350EF"/>
    <w:rsid w:val="33F97333"/>
    <w:rsid w:val="341C663B"/>
    <w:rsid w:val="3427155D"/>
    <w:rsid w:val="34381FFF"/>
    <w:rsid w:val="343B144E"/>
    <w:rsid w:val="343D5485"/>
    <w:rsid w:val="34777905"/>
    <w:rsid w:val="34913081"/>
    <w:rsid w:val="349F5896"/>
    <w:rsid w:val="34AB3225"/>
    <w:rsid w:val="34D978D3"/>
    <w:rsid w:val="34E75F40"/>
    <w:rsid w:val="34EF4ACA"/>
    <w:rsid w:val="34FC275D"/>
    <w:rsid w:val="34FD3DC3"/>
    <w:rsid w:val="352744BF"/>
    <w:rsid w:val="35522F0D"/>
    <w:rsid w:val="35727820"/>
    <w:rsid w:val="357E28FB"/>
    <w:rsid w:val="35A501F7"/>
    <w:rsid w:val="35A66274"/>
    <w:rsid w:val="35AF2F94"/>
    <w:rsid w:val="35C64362"/>
    <w:rsid w:val="35D76993"/>
    <w:rsid w:val="35EB4CF7"/>
    <w:rsid w:val="35ED42AB"/>
    <w:rsid w:val="35F425D5"/>
    <w:rsid w:val="35FF42F7"/>
    <w:rsid w:val="36234B78"/>
    <w:rsid w:val="362D73D9"/>
    <w:rsid w:val="36553987"/>
    <w:rsid w:val="366954C3"/>
    <w:rsid w:val="36724074"/>
    <w:rsid w:val="36964948"/>
    <w:rsid w:val="36D74C38"/>
    <w:rsid w:val="36E466D7"/>
    <w:rsid w:val="371840E5"/>
    <w:rsid w:val="37396E03"/>
    <w:rsid w:val="37551903"/>
    <w:rsid w:val="37583B29"/>
    <w:rsid w:val="37A25A49"/>
    <w:rsid w:val="37A76E08"/>
    <w:rsid w:val="37BB45B8"/>
    <w:rsid w:val="37C41E89"/>
    <w:rsid w:val="37E52F1D"/>
    <w:rsid w:val="380C4385"/>
    <w:rsid w:val="380C4895"/>
    <w:rsid w:val="381540AD"/>
    <w:rsid w:val="381D5B4F"/>
    <w:rsid w:val="381E4532"/>
    <w:rsid w:val="383234BE"/>
    <w:rsid w:val="38393179"/>
    <w:rsid w:val="388D2882"/>
    <w:rsid w:val="38981BA0"/>
    <w:rsid w:val="38CB4D93"/>
    <w:rsid w:val="38D9238C"/>
    <w:rsid w:val="39083C99"/>
    <w:rsid w:val="39320533"/>
    <w:rsid w:val="39427F2C"/>
    <w:rsid w:val="39661F6A"/>
    <w:rsid w:val="39773CF9"/>
    <w:rsid w:val="39A64945"/>
    <w:rsid w:val="39AC1200"/>
    <w:rsid w:val="39B648D2"/>
    <w:rsid w:val="39BC414C"/>
    <w:rsid w:val="39CA3049"/>
    <w:rsid w:val="39DB35B8"/>
    <w:rsid w:val="39E0384C"/>
    <w:rsid w:val="39FD506F"/>
    <w:rsid w:val="3A043B52"/>
    <w:rsid w:val="3A133610"/>
    <w:rsid w:val="3A651F91"/>
    <w:rsid w:val="3A81387B"/>
    <w:rsid w:val="3A877B34"/>
    <w:rsid w:val="3A937FC1"/>
    <w:rsid w:val="3A982385"/>
    <w:rsid w:val="3AA8016E"/>
    <w:rsid w:val="3AB86CFD"/>
    <w:rsid w:val="3ABB7B6E"/>
    <w:rsid w:val="3ADC0C19"/>
    <w:rsid w:val="3AFC37EC"/>
    <w:rsid w:val="3B006358"/>
    <w:rsid w:val="3B2E0B34"/>
    <w:rsid w:val="3B387DC7"/>
    <w:rsid w:val="3B5932CD"/>
    <w:rsid w:val="3B94546D"/>
    <w:rsid w:val="3B9868BA"/>
    <w:rsid w:val="3BB63E9D"/>
    <w:rsid w:val="3BC01FF5"/>
    <w:rsid w:val="3BC30B8A"/>
    <w:rsid w:val="3BDB3237"/>
    <w:rsid w:val="3BFB5130"/>
    <w:rsid w:val="3C047D4B"/>
    <w:rsid w:val="3C125C42"/>
    <w:rsid w:val="3C355C3F"/>
    <w:rsid w:val="3C3B50E0"/>
    <w:rsid w:val="3C5677C7"/>
    <w:rsid w:val="3C631E39"/>
    <w:rsid w:val="3C705704"/>
    <w:rsid w:val="3C9219F0"/>
    <w:rsid w:val="3C997B6E"/>
    <w:rsid w:val="3CC137AD"/>
    <w:rsid w:val="3CC21A1C"/>
    <w:rsid w:val="3D4E5423"/>
    <w:rsid w:val="3D985639"/>
    <w:rsid w:val="3DB14219"/>
    <w:rsid w:val="3DE55BC3"/>
    <w:rsid w:val="3DE62B02"/>
    <w:rsid w:val="3DE64EF8"/>
    <w:rsid w:val="3E12397F"/>
    <w:rsid w:val="3E1D6A2E"/>
    <w:rsid w:val="3E1F0EB2"/>
    <w:rsid w:val="3E2E3C7F"/>
    <w:rsid w:val="3E3006DD"/>
    <w:rsid w:val="3E3A43A6"/>
    <w:rsid w:val="3E6C0A8A"/>
    <w:rsid w:val="3E70261D"/>
    <w:rsid w:val="3E7145EF"/>
    <w:rsid w:val="3E766141"/>
    <w:rsid w:val="3E843852"/>
    <w:rsid w:val="3E9632B8"/>
    <w:rsid w:val="3E9926CE"/>
    <w:rsid w:val="3E9F68B5"/>
    <w:rsid w:val="3EB346E9"/>
    <w:rsid w:val="3EBD6A2B"/>
    <w:rsid w:val="3ECE4E0A"/>
    <w:rsid w:val="3EDE7DBE"/>
    <w:rsid w:val="3EE04095"/>
    <w:rsid w:val="3F03729D"/>
    <w:rsid w:val="3F183797"/>
    <w:rsid w:val="3F491508"/>
    <w:rsid w:val="3F5D7FCB"/>
    <w:rsid w:val="3F5E6491"/>
    <w:rsid w:val="3F9900FB"/>
    <w:rsid w:val="3F9B2115"/>
    <w:rsid w:val="3F9F67D4"/>
    <w:rsid w:val="3FCD053B"/>
    <w:rsid w:val="3FEA6AA5"/>
    <w:rsid w:val="3FEE43BA"/>
    <w:rsid w:val="402C4DAE"/>
    <w:rsid w:val="40522DD7"/>
    <w:rsid w:val="40641372"/>
    <w:rsid w:val="408E221F"/>
    <w:rsid w:val="4094290E"/>
    <w:rsid w:val="40BC267D"/>
    <w:rsid w:val="410715B3"/>
    <w:rsid w:val="41124712"/>
    <w:rsid w:val="41144707"/>
    <w:rsid w:val="41224FB8"/>
    <w:rsid w:val="414954A9"/>
    <w:rsid w:val="414D2866"/>
    <w:rsid w:val="417F7AFD"/>
    <w:rsid w:val="4181590E"/>
    <w:rsid w:val="419F315F"/>
    <w:rsid w:val="41B2073E"/>
    <w:rsid w:val="41B31BED"/>
    <w:rsid w:val="41BE677C"/>
    <w:rsid w:val="41E6652F"/>
    <w:rsid w:val="41F55CA8"/>
    <w:rsid w:val="42276C78"/>
    <w:rsid w:val="423A1DC3"/>
    <w:rsid w:val="42663872"/>
    <w:rsid w:val="428C51B1"/>
    <w:rsid w:val="42D262AA"/>
    <w:rsid w:val="42DC38D8"/>
    <w:rsid w:val="43260AE2"/>
    <w:rsid w:val="432953C8"/>
    <w:rsid w:val="434B609F"/>
    <w:rsid w:val="43516F16"/>
    <w:rsid w:val="4361261C"/>
    <w:rsid w:val="437322DC"/>
    <w:rsid w:val="43763861"/>
    <w:rsid w:val="4390073B"/>
    <w:rsid w:val="43976639"/>
    <w:rsid w:val="43984936"/>
    <w:rsid w:val="43A246D5"/>
    <w:rsid w:val="43BC3329"/>
    <w:rsid w:val="43C27A16"/>
    <w:rsid w:val="44064188"/>
    <w:rsid w:val="442B1667"/>
    <w:rsid w:val="442C5D93"/>
    <w:rsid w:val="44507864"/>
    <w:rsid w:val="4463056C"/>
    <w:rsid w:val="446D5132"/>
    <w:rsid w:val="44711592"/>
    <w:rsid w:val="447F6CF1"/>
    <w:rsid w:val="448955E3"/>
    <w:rsid w:val="44AA53F4"/>
    <w:rsid w:val="44B86C03"/>
    <w:rsid w:val="44DB13AA"/>
    <w:rsid w:val="453647EA"/>
    <w:rsid w:val="453B60CF"/>
    <w:rsid w:val="455333C3"/>
    <w:rsid w:val="45540B2A"/>
    <w:rsid w:val="456E52B6"/>
    <w:rsid w:val="45A560D2"/>
    <w:rsid w:val="45C304E1"/>
    <w:rsid w:val="46084EAB"/>
    <w:rsid w:val="46092EE9"/>
    <w:rsid w:val="462C484E"/>
    <w:rsid w:val="462D32F3"/>
    <w:rsid w:val="463E2755"/>
    <w:rsid w:val="466B7373"/>
    <w:rsid w:val="46860526"/>
    <w:rsid w:val="468F5F60"/>
    <w:rsid w:val="46C81ABE"/>
    <w:rsid w:val="46D139FA"/>
    <w:rsid w:val="46D27040"/>
    <w:rsid w:val="46E35C75"/>
    <w:rsid w:val="470B28A7"/>
    <w:rsid w:val="470F280F"/>
    <w:rsid w:val="47205C30"/>
    <w:rsid w:val="473976EE"/>
    <w:rsid w:val="4755652A"/>
    <w:rsid w:val="47646867"/>
    <w:rsid w:val="4765531B"/>
    <w:rsid w:val="476913E2"/>
    <w:rsid w:val="4770795F"/>
    <w:rsid w:val="477418F3"/>
    <w:rsid w:val="4798537B"/>
    <w:rsid w:val="479E69C8"/>
    <w:rsid w:val="47A3367E"/>
    <w:rsid w:val="47D04B77"/>
    <w:rsid w:val="480D617D"/>
    <w:rsid w:val="48310E8E"/>
    <w:rsid w:val="483B232B"/>
    <w:rsid w:val="48403498"/>
    <w:rsid w:val="48655DAA"/>
    <w:rsid w:val="48657449"/>
    <w:rsid w:val="4866403B"/>
    <w:rsid w:val="48695DA4"/>
    <w:rsid w:val="48803C39"/>
    <w:rsid w:val="48887710"/>
    <w:rsid w:val="489127A7"/>
    <w:rsid w:val="48BF6B05"/>
    <w:rsid w:val="48D31753"/>
    <w:rsid w:val="494657B0"/>
    <w:rsid w:val="4947314E"/>
    <w:rsid w:val="4981225E"/>
    <w:rsid w:val="49DD655A"/>
    <w:rsid w:val="4A0E502C"/>
    <w:rsid w:val="4A152D6C"/>
    <w:rsid w:val="4A155F64"/>
    <w:rsid w:val="4A1974C0"/>
    <w:rsid w:val="4A307C3D"/>
    <w:rsid w:val="4A561635"/>
    <w:rsid w:val="4A5D6D36"/>
    <w:rsid w:val="4A685300"/>
    <w:rsid w:val="4A6E0EB3"/>
    <w:rsid w:val="4A855391"/>
    <w:rsid w:val="4A915CC1"/>
    <w:rsid w:val="4A93693A"/>
    <w:rsid w:val="4AA50B47"/>
    <w:rsid w:val="4AA61B68"/>
    <w:rsid w:val="4ADA36F1"/>
    <w:rsid w:val="4ADD16A7"/>
    <w:rsid w:val="4AE1743A"/>
    <w:rsid w:val="4AF06DC5"/>
    <w:rsid w:val="4AF117E4"/>
    <w:rsid w:val="4AF62C56"/>
    <w:rsid w:val="4B0A5C21"/>
    <w:rsid w:val="4B0A6344"/>
    <w:rsid w:val="4B1A6ED1"/>
    <w:rsid w:val="4B1C60E9"/>
    <w:rsid w:val="4B1F3121"/>
    <w:rsid w:val="4B734122"/>
    <w:rsid w:val="4BBA2B01"/>
    <w:rsid w:val="4BC74E6E"/>
    <w:rsid w:val="4BCF10E0"/>
    <w:rsid w:val="4BDB67A7"/>
    <w:rsid w:val="4BE13A23"/>
    <w:rsid w:val="4BE4402F"/>
    <w:rsid w:val="4BF800DC"/>
    <w:rsid w:val="4BF85AA5"/>
    <w:rsid w:val="4C052700"/>
    <w:rsid w:val="4C590C5D"/>
    <w:rsid w:val="4C5D1D5A"/>
    <w:rsid w:val="4CAC181F"/>
    <w:rsid w:val="4CB97E79"/>
    <w:rsid w:val="4CF67A71"/>
    <w:rsid w:val="4D3F1D0A"/>
    <w:rsid w:val="4D4B3976"/>
    <w:rsid w:val="4D562539"/>
    <w:rsid w:val="4D644AE4"/>
    <w:rsid w:val="4D6B732C"/>
    <w:rsid w:val="4D895D66"/>
    <w:rsid w:val="4D9B2A2A"/>
    <w:rsid w:val="4DA16E27"/>
    <w:rsid w:val="4DBE7DFA"/>
    <w:rsid w:val="4DCC7E54"/>
    <w:rsid w:val="4DF5551C"/>
    <w:rsid w:val="4E125F5E"/>
    <w:rsid w:val="4E194AE1"/>
    <w:rsid w:val="4E262F7C"/>
    <w:rsid w:val="4E4023B2"/>
    <w:rsid w:val="4E494B00"/>
    <w:rsid w:val="4E5E5A05"/>
    <w:rsid w:val="4E7A13E6"/>
    <w:rsid w:val="4E805443"/>
    <w:rsid w:val="4E835A83"/>
    <w:rsid w:val="4E87023A"/>
    <w:rsid w:val="4E937B48"/>
    <w:rsid w:val="4E9B5FEF"/>
    <w:rsid w:val="4EA05D76"/>
    <w:rsid w:val="4EAA03B2"/>
    <w:rsid w:val="4EC93248"/>
    <w:rsid w:val="4ECB500C"/>
    <w:rsid w:val="4EDF069F"/>
    <w:rsid w:val="4EF26FBB"/>
    <w:rsid w:val="4EFE5BE2"/>
    <w:rsid w:val="4EFE6728"/>
    <w:rsid w:val="4F05236E"/>
    <w:rsid w:val="4F0B787A"/>
    <w:rsid w:val="4F1203F1"/>
    <w:rsid w:val="4F187DE9"/>
    <w:rsid w:val="4F210F21"/>
    <w:rsid w:val="4F3718E3"/>
    <w:rsid w:val="4F4103F4"/>
    <w:rsid w:val="4F7B269C"/>
    <w:rsid w:val="4F8B0585"/>
    <w:rsid w:val="4FDA0DAB"/>
    <w:rsid w:val="4FEC3BFA"/>
    <w:rsid w:val="4FF053B2"/>
    <w:rsid w:val="500009BE"/>
    <w:rsid w:val="50377F99"/>
    <w:rsid w:val="503B0720"/>
    <w:rsid w:val="507239EE"/>
    <w:rsid w:val="50824944"/>
    <w:rsid w:val="5088341F"/>
    <w:rsid w:val="509F5180"/>
    <w:rsid w:val="50AD2A54"/>
    <w:rsid w:val="50BA7E57"/>
    <w:rsid w:val="50D31B0B"/>
    <w:rsid w:val="50D81BF7"/>
    <w:rsid w:val="50DE6820"/>
    <w:rsid w:val="50E9335E"/>
    <w:rsid w:val="51013988"/>
    <w:rsid w:val="51190415"/>
    <w:rsid w:val="513738A4"/>
    <w:rsid w:val="513E2846"/>
    <w:rsid w:val="5154538B"/>
    <w:rsid w:val="518E2826"/>
    <w:rsid w:val="518F3505"/>
    <w:rsid w:val="519C4558"/>
    <w:rsid w:val="519C7C5B"/>
    <w:rsid w:val="519D7D7A"/>
    <w:rsid w:val="51D42DB3"/>
    <w:rsid w:val="51D67140"/>
    <w:rsid w:val="51E95069"/>
    <w:rsid w:val="51F577C4"/>
    <w:rsid w:val="51F73AE5"/>
    <w:rsid w:val="51F85346"/>
    <w:rsid w:val="52264409"/>
    <w:rsid w:val="52815EB4"/>
    <w:rsid w:val="52A86A4C"/>
    <w:rsid w:val="52BC519A"/>
    <w:rsid w:val="52BF4740"/>
    <w:rsid w:val="52C719B0"/>
    <w:rsid w:val="52DC5B16"/>
    <w:rsid w:val="52EE5E34"/>
    <w:rsid w:val="533941D1"/>
    <w:rsid w:val="534B63AE"/>
    <w:rsid w:val="535E35D9"/>
    <w:rsid w:val="536B1AAE"/>
    <w:rsid w:val="53860027"/>
    <w:rsid w:val="53A9412B"/>
    <w:rsid w:val="53D95743"/>
    <w:rsid w:val="53E075C9"/>
    <w:rsid w:val="53E4448B"/>
    <w:rsid w:val="54964C34"/>
    <w:rsid w:val="54A10EA9"/>
    <w:rsid w:val="54A83322"/>
    <w:rsid w:val="54A9021D"/>
    <w:rsid w:val="54C066C6"/>
    <w:rsid w:val="54C80C1B"/>
    <w:rsid w:val="54E7165D"/>
    <w:rsid w:val="54F23C40"/>
    <w:rsid w:val="55066D76"/>
    <w:rsid w:val="55105FBB"/>
    <w:rsid w:val="55164621"/>
    <w:rsid w:val="551A6E7C"/>
    <w:rsid w:val="552D710B"/>
    <w:rsid w:val="555A26FD"/>
    <w:rsid w:val="556A04AF"/>
    <w:rsid w:val="557766E3"/>
    <w:rsid w:val="557B0739"/>
    <w:rsid w:val="558E66C9"/>
    <w:rsid w:val="55A5332F"/>
    <w:rsid w:val="55CC5ACC"/>
    <w:rsid w:val="55E36449"/>
    <w:rsid w:val="55EF73AC"/>
    <w:rsid w:val="55F05BDD"/>
    <w:rsid w:val="56226A5D"/>
    <w:rsid w:val="5630006B"/>
    <w:rsid w:val="563433B9"/>
    <w:rsid w:val="566136B8"/>
    <w:rsid w:val="569D7FEE"/>
    <w:rsid w:val="56C52FDC"/>
    <w:rsid w:val="56CE0A80"/>
    <w:rsid w:val="56D5788D"/>
    <w:rsid w:val="56E637DC"/>
    <w:rsid w:val="56F13E4B"/>
    <w:rsid w:val="57063CE5"/>
    <w:rsid w:val="57094CF9"/>
    <w:rsid w:val="57131A63"/>
    <w:rsid w:val="57193C7A"/>
    <w:rsid w:val="5753390A"/>
    <w:rsid w:val="57575FE6"/>
    <w:rsid w:val="5793283F"/>
    <w:rsid w:val="581731F5"/>
    <w:rsid w:val="5818649C"/>
    <w:rsid w:val="585D0BD4"/>
    <w:rsid w:val="58607583"/>
    <w:rsid w:val="58736928"/>
    <w:rsid w:val="5875284A"/>
    <w:rsid w:val="587C6933"/>
    <w:rsid w:val="58807792"/>
    <w:rsid w:val="58B23644"/>
    <w:rsid w:val="58B24F2D"/>
    <w:rsid w:val="58B6757E"/>
    <w:rsid w:val="58BC103B"/>
    <w:rsid w:val="59000DC4"/>
    <w:rsid w:val="59427DB3"/>
    <w:rsid w:val="597E6AEA"/>
    <w:rsid w:val="598650A1"/>
    <w:rsid w:val="599E3599"/>
    <w:rsid w:val="59DA4DF8"/>
    <w:rsid w:val="5A10328C"/>
    <w:rsid w:val="5A3F0B8D"/>
    <w:rsid w:val="5A45368C"/>
    <w:rsid w:val="5A482F49"/>
    <w:rsid w:val="5A56778D"/>
    <w:rsid w:val="5A6046DD"/>
    <w:rsid w:val="5A8848BE"/>
    <w:rsid w:val="5AA255CF"/>
    <w:rsid w:val="5AAA4C83"/>
    <w:rsid w:val="5ABB33A6"/>
    <w:rsid w:val="5AC23B1A"/>
    <w:rsid w:val="5ACE76BA"/>
    <w:rsid w:val="5AD003A8"/>
    <w:rsid w:val="5AF4242B"/>
    <w:rsid w:val="5AF637F7"/>
    <w:rsid w:val="5AFD2165"/>
    <w:rsid w:val="5B2F0C90"/>
    <w:rsid w:val="5B336D55"/>
    <w:rsid w:val="5B680C56"/>
    <w:rsid w:val="5B7F07E6"/>
    <w:rsid w:val="5BA65572"/>
    <w:rsid w:val="5BCB1B7A"/>
    <w:rsid w:val="5BF043CA"/>
    <w:rsid w:val="5BF338B6"/>
    <w:rsid w:val="5BF77DAF"/>
    <w:rsid w:val="5C01203D"/>
    <w:rsid w:val="5C080B93"/>
    <w:rsid w:val="5C1D05D0"/>
    <w:rsid w:val="5C1D29FC"/>
    <w:rsid w:val="5C395E90"/>
    <w:rsid w:val="5C4F30B2"/>
    <w:rsid w:val="5C67459F"/>
    <w:rsid w:val="5C753FBD"/>
    <w:rsid w:val="5C876A5B"/>
    <w:rsid w:val="5CAE640D"/>
    <w:rsid w:val="5CB22F64"/>
    <w:rsid w:val="5CB62421"/>
    <w:rsid w:val="5CB95FC7"/>
    <w:rsid w:val="5CF345FA"/>
    <w:rsid w:val="5CF76710"/>
    <w:rsid w:val="5D100813"/>
    <w:rsid w:val="5D1A4495"/>
    <w:rsid w:val="5D214AD4"/>
    <w:rsid w:val="5D2E6143"/>
    <w:rsid w:val="5D3443CF"/>
    <w:rsid w:val="5D4E5810"/>
    <w:rsid w:val="5D5602F4"/>
    <w:rsid w:val="5D6B0ADC"/>
    <w:rsid w:val="5D973102"/>
    <w:rsid w:val="5DB91FED"/>
    <w:rsid w:val="5DDC3049"/>
    <w:rsid w:val="5DE3352B"/>
    <w:rsid w:val="5E2118F1"/>
    <w:rsid w:val="5E2454A6"/>
    <w:rsid w:val="5E315598"/>
    <w:rsid w:val="5E424FF2"/>
    <w:rsid w:val="5E463BD8"/>
    <w:rsid w:val="5E48511F"/>
    <w:rsid w:val="5E58304E"/>
    <w:rsid w:val="5E7A71A2"/>
    <w:rsid w:val="5E805853"/>
    <w:rsid w:val="5E8C73C5"/>
    <w:rsid w:val="5EB96BDC"/>
    <w:rsid w:val="5EE64F13"/>
    <w:rsid w:val="5EF26512"/>
    <w:rsid w:val="5EF364BA"/>
    <w:rsid w:val="5F333DDF"/>
    <w:rsid w:val="5F653280"/>
    <w:rsid w:val="5F886A94"/>
    <w:rsid w:val="5F977AFF"/>
    <w:rsid w:val="60122100"/>
    <w:rsid w:val="605F771E"/>
    <w:rsid w:val="60692C39"/>
    <w:rsid w:val="60706D24"/>
    <w:rsid w:val="607D5317"/>
    <w:rsid w:val="60BF4EDB"/>
    <w:rsid w:val="60E3797D"/>
    <w:rsid w:val="6111579F"/>
    <w:rsid w:val="612742F0"/>
    <w:rsid w:val="61667655"/>
    <w:rsid w:val="61812778"/>
    <w:rsid w:val="61847EEA"/>
    <w:rsid w:val="618A71D9"/>
    <w:rsid w:val="619B1407"/>
    <w:rsid w:val="61F5057D"/>
    <w:rsid w:val="620D493E"/>
    <w:rsid w:val="620E31A7"/>
    <w:rsid w:val="62121550"/>
    <w:rsid w:val="621C251B"/>
    <w:rsid w:val="62227941"/>
    <w:rsid w:val="622E2FB0"/>
    <w:rsid w:val="627243D7"/>
    <w:rsid w:val="6281362B"/>
    <w:rsid w:val="62A72958"/>
    <w:rsid w:val="62BB7314"/>
    <w:rsid w:val="62D073C1"/>
    <w:rsid w:val="630577C9"/>
    <w:rsid w:val="6324797A"/>
    <w:rsid w:val="63284132"/>
    <w:rsid w:val="635527B8"/>
    <w:rsid w:val="63646BCD"/>
    <w:rsid w:val="637E0365"/>
    <w:rsid w:val="638B1146"/>
    <w:rsid w:val="638D1D3D"/>
    <w:rsid w:val="63947D17"/>
    <w:rsid w:val="63CB2FCE"/>
    <w:rsid w:val="63E750B0"/>
    <w:rsid w:val="63F818AF"/>
    <w:rsid w:val="64097F81"/>
    <w:rsid w:val="642928A3"/>
    <w:rsid w:val="643F5712"/>
    <w:rsid w:val="64474946"/>
    <w:rsid w:val="645C02DB"/>
    <w:rsid w:val="6487484E"/>
    <w:rsid w:val="648864C8"/>
    <w:rsid w:val="648C65D0"/>
    <w:rsid w:val="64AC0F65"/>
    <w:rsid w:val="64AC4D21"/>
    <w:rsid w:val="64BC0202"/>
    <w:rsid w:val="64DE6188"/>
    <w:rsid w:val="64EA3740"/>
    <w:rsid w:val="65237F12"/>
    <w:rsid w:val="654062D1"/>
    <w:rsid w:val="6563017D"/>
    <w:rsid w:val="65825866"/>
    <w:rsid w:val="658A7D14"/>
    <w:rsid w:val="658D2E2C"/>
    <w:rsid w:val="65931376"/>
    <w:rsid w:val="65A93B6B"/>
    <w:rsid w:val="65DA51F7"/>
    <w:rsid w:val="65E541E6"/>
    <w:rsid w:val="65EA73D0"/>
    <w:rsid w:val="65F77FAC"/>
    <w:rsid w:val="65FD27F5"/>
    <w:rsid w:val="661B4D50"/>
    <w:rsid w:val="6659611C"/>
    <w:rsid w:val="666D4B17"/>
    <w:rsid w:val="667C4235"/>
    <w:rsid w:val="667D1AD5"/>
    <w:rsid w:val="66973754"/>
    <w:rsid w:val="66C24048"/>
    <w:rsid w:val="66DB1226"/>
    <w:rsid w:val="66E469B2"/>
    <w:rsid w:val="66F71842"/>
    <w:rsid w:val="67205059"/>
    <w:rsid w:val="672370FC"/>
    <w:rsid w:val="674F1686"/>
    <w:rsid w:val="675871CF"/>
    <w:rsid w:val="675E63A8"/>
    <w:rsid w:val="677D5022"/>
    <w:rsid w:val="67A86DEF"/>
    <w:rsid w:val="67BF3F06"/>
    <w:rsid w:val="67C7472A"/>
    <w:rsid w:val="67C77E13"/>
    <w:rsid w:val="67D7611B"/>
    <w:rsid w:val="67DF2B40"/>
    <w:rsid w:val="67E44C51"/>
    <w:rsid w:val="68001822"/>
    <w:rsid w:val="681B213F"/>
    <w:rsid w:val="682D4F2F"/>
    <w:rsid w:val="68547848"/>
    <w:rsid w:val="687F52E8"/>
    <w:rsid w:val="68822D00"/>
    <w:rsid w:val="689E6E93"/>
    <w:rsid w:val="68C04240"/>
    <w:rsid w:val="68F152B8"/>
    <w:rsid w:val="68F2206A"/>
    <w:rsid w:val="68FA2B7B"/>
    <w:rsid w:val="68FA3F01"/>
    <w:rsid w:val="693442D1"/>
    <w:rsid w:val="695A7DFF"/>
    <w:rsid w:val="69AF407E"/>
    <w:rsid w:val="69DD3507"/>
    <w:rsid w:val="69E74048"/>
    <w:rsid w:val="69F134E0"/>
    <w:rsid w:val="6A010AF2"/>
    <w:rsid w:val="6A2B5C7C"/>
    <w:rsid w:val="6A311016"/>
    <w:rsid w:val="6A433BA4"/>
    <w:rsid w:val="6A6A0424"/>
    <w:rsid w:val="6A705A68"/>
    <w:rsid w:val="6A9F40EF"/>
    <w:rsid w:val="6AB662D5"/>
    <w:rsid w:val="6AC5705C"/>
    <w:rsid w:val="6AC87B09"/>
    <w:rsid w:val="6B02331D"/>
    <w:rsid w:val="6B037366"/>
    <w:rsid w:val="6B080012"/>
    <w:rsid w:val="6B6A57BF"/>
    <w:rsid w:val="6B9078C4"/>
    <w:rsid w:val="6BAB28CC"/>
    <w:rsid w:val="6BB94EE7"/>
    <w:rsid w:val="6BC327F3"/>
    <w:rsid w:val="6BE02D0B"/>
    <w:rsid w:val="6C3124B6"/>
    <w:rsid w:val="6C317735"/>
    <w:rsid w:val="6C621AA2"/>
    <w:rsid w:val="6C9D0897"/>
    <w:rsid w:val="6CFC400F"/>
    <w:rsid w:val="6D2A615E"/>
    <w:rsid w:val="6D313AF2"/>
    <w:rsid w:val="6D574E27"/>
    <w:rsid w:val="6D680F11"/>
    <w:rsid w:val="6D8A508E"/>
    <w:rsid w:val="6D94528B"/>
    <w:rsid w:val="6D9B6FED"/>
    <w:rsid w:val="6DAB31AB"/>
    <w:rsid w:val="6DD17321"/>
    <w:rsid w:val="6DD55516"/>
    <w:rsid w:val="6E642ECA"/>
    <w:rsid w:val="6E981498"/>
    <w:rsid w:val="6ED33EBE"/>
    <w:rsid w:val="6EDD44D5"/>
    <w:rsid w:val="6EE53D65"/>
    <w:rsid w:val="6EF151C0"/>
    <w:rsid w:val="6EF94C30"/>
    <w:rsid w:val="6F0462AF"/>
    <w:rsid w:val="6F3C78C1"/>
    <w:rsid w:val="6F5B536E"/>
    <w:rsid w:val="6F5C51F6"/>
    <w:rsid w:val="6F6C5A34"/>
    <w:rsid w:val="6F862021"/>
    <w:rsid w:val="6F887D73"/>
    <w:rsid w:val="6FA80CAD"/>
    <w:rsid w:val="6FDB67F5"/>
    <w:rsid w:val="6FEB7F4E"/>
    <w:rsid w:val="6FF13155"/>
    <w:rsid w:val="701B7A5A"/>
    <w:rsid w:val="70710D73"/>
    <w:rsid w:val="7075449C"/>
    <w:rsid w:val="7093328D"/>
    <w:rsid w:val="709A5ECC"/>
    <w:rsid w:val="70B94757"/>
    <w:rsid w:val="70CF457E"/>
    <w:rsid w:val="70EB10A9"/>
    <w:rsid w:val="711C0A07"/>
    <w:rsid w:val="713153F6"/>
    <w:rsid w:val="71493E4B"/>
    <w:rsid w:val="71714708"/>
    <w:rsid w:val="71B9722D"/>
    <w:rsid w:val="720529C4"/>
    <w:rsid w:val="72243AEB"/>
    <w:rsid w:val="722A7E86"/>
    <w:rsid w:val="723356D8"/>
    <w:rsid w:val="723B1117"/>
    <w:rsid w:val="724F76A0"/>
    <w:rsid w:val="726208DF"/>
    <w:rsid w:val="727B04D4"/>
    <w:rsid w:val="727B4099"/>
    <w:rsid w:val="727F4596"/>
    <w:rsid w:val="72A94047"/>
    <w:rsid w:val="72B574C1"/>
    <w:rsid w:val="72DE3FCB"/>
    <w:rsid w:val="7301059D"/>
    <w:rsid w:val="730B3575"/>
    <w:rsid w:val="734071D4"/>
    <w:rsid w:val="735E369C"/>
    <w:rsid w:val="73734FD6"/>
    <w:rsid w:val="738257B4"/>
    <w:rsid w:val="73A83D47"/>
    <w:rsid w:val="73AF252F"/>
    <w:rsid w:val="73B211D9"/>
    <w:rsid w:val="73BF1841"/>
    <w:rsid w:val="73C31078"/>
    <w:rsid w:val="73EE04C5"/>
    <w:rsid w:val="740E4978"/>
    <w:rsid w:val="74420289"/>
    <w:rsid w:val="745844E5"/>
    <w:rsid w:val="74694643"/>
    <w:rsid w:val="749C3913"/>
    <w:rsid w:val="74CE1CE7"/>
    <w:rsid w:val="74F07844"/>
    <w:rsid w:val="74F07908"/>
    <w:rsid w:val="750D3F7B"/>
    <w:rsid w:val="75420951"/>
    <w:rsid w:val="754F755D"/>
    <w:rsid w:val="75626BEA"/>
    <w:rsid w:val="756A2C5F"/>
    <w:rsid w:val="7597752C"/>
    <w:rsid w:val="75A603BA"/>
    <w:rsid w:val="75B71B9E"/>
    <w:rsid w:val="75D0035C"/>
    <w:rsid w:val="75EB1E45"/>
    <w:rsid w:val="75FC1264"/>
    <w:rsid w:val="75FD6D00"/>
    <w:rsid w:val="75FF3BC5"/>
    <w:rsid w:val="7605606F"/>
    <w:rsid w:val="761722E7"/>
    <w:rsid w:val="762557EB"/>
    <w:rsid w:val="764175EF"/>
    <w:rsid w:val="765D4A66"/>
    <w:rsid w:val="7666128B"/>
    <w:rsid w:val="766A38A7"/>
    <w:rsid w:val="766B234E"/>
    <w:rsid w:val="76784A7A"/>
    <w:rsid w:val="767A5291"/>
    <w:rsid w:val="76A30D0B"/>
    <w:rsid w:val="76BE27F8"/>
    <w:rsid w:val="76BF2164"/>
    <w:rsid w:val="76C020B2"/>
    <w:rsid w:val="76EF302D"/>
    <w:rsid w:val="76FE5C18"/>
    <w:rsid w:val="7703408C"/>
    <w:rsid w:val="77090983"/>
    <w:rsid w:val="77094214"/>
    <w:rsid w:val="7715289A"/>
    <w:rsid w:val="7715423E"/>
    <w:rsid w:val="7727409D"/>
    <w:rsid w:val="77275E5B"/>
    <w:rsid w:val="77397399"/>
    <w:rsid w:val="77426719"/>
    <w:rsid w:val="775341E3"/>
    <w:rsid w:val="775B20A7"/>
    <w:rsid w:val="777032C5"/>
    <w:rsid w:val="77786484"/>
    <w:rsid w:val="7789074F"/>
    <w:rsid w:val="77AB5374"/>
    <w:rsid w:val="77B72B1A"/>
    <w:rsid w:val="77E75600"/>
    <w:rsid w:val="780B47A1"/>
    <w:rsid w:val="783953F6"/>
    <w:rsid w:val="7856695F"/>
    <w:rsid w:val="78855B94"/>
    <w:rsid w:val="788C2A25"/>
    <w:rsid w:val="78A55C9A"/>
    <w:rsid w:val="78CB1A27"/>
    <w:rsid w:val="78F146F6"/>
    <w:rsid w:val="78FF42BE"/>
    <w:rsid w:val="791D3EC5"/>
    <w:rsid w:val="793C1D1A"/>
    <w:rsid w:val="797A57B3"/>
    <w:rsid w:val="79904108"/>
    <w:rsid w:val="79B96D27"/>
    <w:rsid w:val="79D6560E"/>
    <w:rsid w:val="79DD780C"/>
    <w:rsid w:val="79F345E9"/>
    <w:rsid w:val="79F56A7E"/>
    <w:rsid w:val="7A2F051E"/>
    <w:rsid w:val="7A331A23"/>
    <w:rsid w:val="7A4E22EF"/>
    <w:rsid w:val="7A8E68BB"/>
    <w:rsid w:val="7A8F2EC6"/>
    <w:rsid w:val="7A962995"/>
    <w:rsid w:val="7AA84B5D"/>
    <w:rsid w:val="7AD03545"/>
    <w:rsid w:val="7AD91DD2"/>
    <w:rsid w:val="7ADD7AFB"/>
    <w:rsid w:val="7ADF56A9"/>
    <w:rsid w:val="7B117C35"/>
    <w:rsid w:val="7B3967A5"/>
    <w:rsid w:val="7B3F2806"/>
    <w:rsid w:val="7B4B38BB"/>
    <w:rsid w:val="7B7A5DE8"/>
    <w:rsid w:val="7B8D1DF0"/>
    <w:rsid w:val="7B903319"/>
    <w:rsid w:val="7B930120"/>
    <w:rsid w:val="7BA60E4C"/>
    <w:rsid w:val="7BAB6FC2"/>
    <w:rsid w:val="7C070032"/>
    <w:rsid w:val="7C10135A"/>
    <w:rsid w:val="7C750E75"/>
    <w:rsid w:val="7C8576A4"/>
    <w:rsid w:val="7CA41621"/>
    <w:rsid w:val="7CCD57C5"/>
    <w:rsid w:val="7CD64B89"/>
    <w:rsid w:val="7CFD1F85"/>
    <w:rsid w:val="7D0723C7"/>
    <w:rsid w:val="7D10766F"/>
    <w:rsid w:val="7D1136F7"/>
    <w:rsid w:val="7D223FE1"/>
    <w:rsid w:val="7D851B58"/>
    <w:rsid w:val="7DCD0FCE"/>
    <w:rsid w:val="7E1C3145"/>
    <w:rsid w:val="7E2010C6"/>
    <w:rsid w:val="7E4234E1"/>
    <w:rsid w:val="7E4F352C"/>
    <w:rsid w:val="7E8C467E"/>
    <w:rsid w:val="7E8F6A6B"/>
    <w:rsid w:val="7EC54DBD"/>
    <w:rsid w:val="7EC93871"/>
    <w:rsid w:val="7EFC1450"/>
    <w:rsid w:val="7F097EC6"/>
    <w:rsid w:val="7F25157A"/>
    <w:rsid w:val="7F2C2FB4"/>
    <w:rsid w:val="7F4935EE"/>
    <w:rsid w:val="7F551A8E"/>
    <w:rsid w:val="7F67411D"/>
    <w:rsid w:val="7F6D458E"/>
    <w:rsid w:val="7F6F60AC"/>
    <w:rsid w:val="7F8D2BB6"/>
    <w:rsid w:val="7F92418F"/>
    <w:rsid w:val="7FB35AB2"/>
    <w:rsid w:val="7FBE237B"/>
    <w:rsid w:val="7FCD12DD"/>
    <w:rsid w:val="7FE474C5"/>
    <w:rsid w:val="DFFF3833"/>
    <w:rsid w:val="FDFBA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qFormat="1" w:unhideWhenUsed="0"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3">
    <w:name w:val="heading 2"/>
    <w:basedOn w:val="1"/>
    <w:next w:val="1"/>
    <w:autoRedefine/>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4">
    <w:name w:val="heading 3"/>
    <w:basedOn w:val="1"/>
    <w:next w:val="1"/>
    <w:autoRedefine/>
    <w:qFormat/>
    <w:uiPriority w:val="9"/>
    <w:pPr>
      <w:keepNext/>
      <w:keepLines/>
      <w:spacing w:line="416" w:lineRule="auto"/>
      <w:outlineLvl w:val="2"/>
    </w:pPr>
    <w:rPr>
      <w:rFonts w:ascii="Calibri" w:hAnsi="Calibri"/>
      <w:b/>
      <w:bCs/>
      <w:sz w:val="32"/>
      <w:szCs w:val="32"/>
    </w:rPr>
  </w:style>
  <w:style w:type="paragraph" w:styleId="5">
    <w:name w:val="heading 4"/>
    <w:basedOn w:val="1"/>
    <w:next w:val="1"/>
    <w:autoRedefine/>
    <w:qFormat/>
    <w:uiPriority w:val="99"/>
    <w:pPr>
      <w:widowControl/>
      <w:spacing w:before="100" w:beforeAutospacing="1" w:after="100" w:afterAutospacing="1"/>
      <w:jc w:val="left"/>
      <w:outlineLvl w:val="3"/>
    </w:pPr>
    <w:rPr>
      <w:kern w:val="0"/>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unhideWhenUsed/>
    <w:qFormat/>
    <w:uiPriority w:val="0"/>
    <w:pPr>
      <w:ind w:firstLine="420" w:firstLineChars="200"/>
    </w:pPr>
    <w:rPr>
      <w:rFonts w:ascii="Times New Roman" w:hAnsi="Times New Roman" w:cs="Times New Roman"/>
      <w:sz w:val="21"/>
      <w:szCs w:val="21"/>
    </w:rPr>
  </w:style>
  <w:style w:type="paragraph" w:styleId="7">
    <w:name w:val="Body Text Indent"/>
    <w:basedOn w:val="1"/>
    <w:next w:val="1"/>
    <w:link w:val="34"/>
    <w:qFormat/>
    <w:uiPriority w:val="0"/>
    <w:pPr>
      <w:spacing w:line="200" w:lineRule="atLeast"/>
      <w:ind w:firstLine="301"/>
    </w:pPr>
    <w:rPr>
      <w:rFonts w:hAnsi="Courier New" w:cs="Times New Roman"/>
      <w:spacing w:val="-4"/>
      <w:sz w:val="18"/>
      <w:szCs w:val="20"/>
    </w:rPr>
  </w:style>
  <w:style w:type="paragraph" w:styleId="8">
    <w:name w:val="annotation text"/>
    <w:basedOn w:val="1"/>
    <w:link w:val="35"/>
    <w:autoRedefine/>
    <w:unhideWhenUsed/>
    <w:qFormat/>
    <w:uiPriority w:val="99"/>
    <w:pPr>
      <w:jc w:val="left"/>
    </w:pPr>
    <w:rPr>
      <w:rFonts w:ascii="Times New Roman" w:hAnsi="Times New Roman" w:cs="Times New Roman"/>
      <w:sz w:val="28"/>
    </w:rPr>
  </w:style>
  <w:style w:type="paragraph" w:styleId="9">
    <w:name w:val="Body Text 3"/>
    <w:basedOn w:val="1"/>
    <w:autoRedefine/>
    <w:qFormat/>
    <w:uiPriority w:val="99"/>
    <w:pPr>
      <w:spacing w:line="440" w:lineRule="atLeast"/>
      <w:jc w:val="center"/>
    </w:pPr>
    <w:rPr>
      <w:rFonts w:ascii="楷体_GB2312" w:eastAsia="楷体_GB2312"/>
      <w:b/>
      <w:color w:val="000000"/>
      <w:sz w:val="30"/>
    </w:rPr>
  </w:style>
  <w:style w:type="paragraph" w:styleId="10">
    <w:name w:val="Body Text"/>
    <w:basedOn w:val="1"/>
    <w:next w:val="1"/>
    <w:autoRedefine/>
    <w:unhideWhenUsed/>
    <w:qFormat/>
    <w:uiPriority w:val="0"/>
    <w:pPr>
      <w:spacing w:after="120"/>
    </w:pPr>
  </w:style>
  <w:style w:type="paragraph" w:styleId="11">
    <w:name w:val="toc 3"/>
    <w:basedOn w:val="1"/>
    <w:next w:val="1"/>
    <w:autoRedefine/>
    <w:unhideWhenUsed/>
    <w:qFormat/>
    <w:uiPriority w:val="0"/>
    <w:pPr>
      <w:ind w:left="840" w:leftChars="400"/>
    </w:pPr>
  </w:style>
  <w:style w:type="paragraph" w:styleId="12">
    <w:name w:val="Plain Text"/>
    <w:basedOn w:val="1"/>
    <w:next w:val="10"/>
    <w:link w:val="33"/>
    <w:autoRedefine/>
    <w:qFormat/>
    <w:uiPriority w:val="99"/>
    <w:pPr>
      <w:spacing w:beforeLines="50" w:afterLines="50" w:line="400" w:lineRule="atLeast"/>
    </w:pPr>
    <w:rPr>
      <w:rFonts w:hAnsi="Courier New" w:cs="Times New Roman"/>
    </w:rPr>
  </w:style>
  <w:style w:type="paragraph" w:styleId="13">
    <w:name w:val="Balloon Text"/>
    <w:basedOn w:val="1"/>
    <w:link w:val="36"/>
    <w:autoRedefine/>
    <w:qFormat/>
    <w:uiPriority w:val="0"/>
    <w:rPr>
      <w:rFonts w:cs="Times New Roman"/>
      <w:sz w:val="18"/>
      <w:szCs w:val="18"/>
    </w:rPr>
  </w:style>
  <w:style w:type="paragraph" w:styleId="14">
    <w:name w:val="footer"/>
    <w:basedOn w:val="1"/>
    <w:link w:val="37"/>
    <w:autoRedefine/>
    <w:qFormat/>
    <w:uiPriority w:val="99"/>
    <w:pPr>
      <w:tabs>
        <w:tab w:val="center" w:pos="4153"/>
        <w:tab w:val="right" w:pos="8306"/>
      </w:tabs>
      <w:snapToGrid w:val="0"/>
      <w:jc w:val="left"/>
    </w:pPr>
    <w:rPr>
      <w:rFonts w:cs="Times New Roman"/>
      <w:sz w:val="18"/>
    </w:rPr>
  </w:style>
  <w:style w:type="paragraph" w:styleId="15">
    <w:name w:val="envelope return"/>
    <w:basedOn w:val="1"/>
    <w:autoRedefine/>
    <w:unhideWhenUsed/>
    <w:qFormat/>
    <w:uiPriority w:val="99"/>
    <w:pPr>
      <w:snapToGrid w:val="0"/>
    </w:pPr>
    <w:rPr>
      <w:rFonts w:ascii="Cambria" w:hAnsi="Cambria" w:cs="Times New Roman"/>
    </w:rPr>
  </w:style>
  <w:style w:type="paragraph" w:styleId="16">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unhideWhenUsed/>
    <w:qFormat/>
    <w:uiPriority w:val="0"/>
  </w:style>
  <w:style w:type="paragraph" w:styleId="18">
    <w:name w:val="toc 6"/>
    <w:basedOn w:val="1"/>
    <w:next w:val="1"/>
    <w:autoRedefine/>
    <w:unhideWhenUsed/>
    <w:qFormat/>
    <w:uiPriority w:val="39"/>
    <w:rPr>
      <w:rFonts w:ascii="Calibri" w:hAnsi="Calibri"/>
      <w:sz w:val="22"/>
      <w:szCs w:val="22"/>
    </w:rPr>
  </w:style>
  <w:style w:type="paragraph" w:styleId="19">
    <w:name w:val="toc 2"/>
    <w:basedOn w:val="1"/>
    <w:next w:val="1"/>
    <w:unhideWhenUsed/>
    <w:qFormat/>
    <w:uiPriority w:val="0"/>
    <w:pPr>
      <w:ind w:left="420" w:leftChars="200"/>
    </w:pPr>
  </w:style>
  <w:style w:type="paragraph" w:styleId="20">
    <w:name w:val="Normal (Web)"/>
    <w:basedOn w:val="1"/>
    <w:autoRedefine/>
    <w:unhideWhenUsed/>
    <w:qFormat/>
    <w:uiPriority w:val="99"/>
    <w:pPr>
      <w:widowControl/>
      <w:spacing w:before="100" w:beforeAutospacing="1" w:after="100" w:afterAutospacing="1"/>
      <w:jc w:val="left"/>
    </w:pPr>
    <w:rPr>
      <w:kern w:val="0"/>
    </w:rPr>
  </w:style>
  <w:style w:type="paragraph" w:styleId="21">
    <w:name w:val="Title"/>
    <w:basedOn w:val="1"/>
    <w:next w:val="1"/>
    <w:autoRedefine/>
    <w:qFormat/>
    <w:uiPriority w:val="0"/>
    <w:pPr>
      <w:tabs>
        <w:tab w:val="left" w:pos="1200"/>
      </w:tabs>
      <w:spacing w:after="624" w:afterLines="200"/>
      <w:ind w:left="1440" w:hanging="720"/>
      <w:jc w:val="center"/>
    </w:pPr>
    <w:rPr>
      <w:b/>
      <w:bCs/>
      <w:spacing w:val="60"/>
      <w:sz w:val="32"/>
    </w:rPr>
  </w:style>
  <w:style w:type="paragraph" w:styleId="22">
    <w:name w:val="annotation subject"/>
    <w:basedOn w:val="8"/>
    <w:next w:val="8"/>
    <w:link w:val="38"/>
    <w:autoRedefine/>
    <w:unhideWhenUsed/>
    <w:qFormat/>
    <w:uiPriority w:val="0"/>
    <w:rPr>
      <w:rFonts w:ascii="宋体" w:hAnsi="宋体"/>
      <w:b/>
      <w:bCs/>
      <w:sz w:val="24"/>
    </w:rPr>
  </w:style>
  <w:style w:type="paragraph" w:styleId="23">
    <w:name w:val="Body Text First Indent"/>
    <w:basedOn w:val="10"/>
    <w:autoRedefine/>
    <w:unhideWhenUsed/>
    <w:qFormat/>
    <w:uiPriority w:val="99"/>
    <w:pPr>
      <w:widowControl/>
      <w:ind w:firstLine="420" w:firstLineChars="100"/>
      <w:jc w:val="left"/>
    </w:pPr>
  </w:style>
  <w:style w:type="paragraph" w:styleId="24">
    <w:name w:val="Body Text First Indent 2"/>
    <w:basedOn w:val="7"/>
    <w:autoRedefine/>
    <w:unhideWhenUsed/>
    <w:qFormat/>
    <w:uiPriority w:val="99"/>
    <w:pPr>
      <w:ind w:firstLine="42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rPr>
      <w:rFonts w:ascii="Arial" w:hAnsi="Arial" w:eastAsia="黑体" w:cs="Arial"/>
      <w:snapToGrid w:val="0"/>
      <w:kern w:val="0"/>
      <w:szCs w:val="21"/>
    </w:rPr>
  </w:style>
  <w:style w:type="character" w:styleId="29">
    <w:name w:val="Emphasis"/>
    <w:basedOn w:val="27"/>
    <w:autoRedefine/>
    <w:qFormat/>
    <w:uiPriority w:val="0"/>
    <w:rPr>
      <w:i/>
    </w:rPr>
  </w:style>
  <w:style w:type="character" w:styleId="30">
    <w:name w:val="Hyperlink"/>
    <w:autoRedefine/>
    <w:unhideWhenUsed/>
    <w:qFormat/>
    <w:uiPriority w:val="99"/>
    <w:rPr>
      <w:color w:val="0000FF"/>
      <w:u w:val="single"/>
    </w:rPr>
  </w:style>
  <w:style w:type="character" w:styleId="31">
    <w:name w:val="annotation reference"/>
    <w:autoRedefine/>
    <w:unhideWhenUsed/>
    <w:qFormat/>
    <w:uiPriority w:val="99"/>
    <w:rPr>
      <w:sz w:val="21"/>
      <w:szCs w:val="21"/>
    </w:rPr>
  </w:style>
  <w:style w:type="character" w:styleId="32">
    <w:name w:val="HTML Sample"/>
    <w:basedOn w:val="27"/>
    <w:autoRedefine/>
    <w:unhideWhenUsed/>
    <w:qFormat/>
    <w:uiPriority w:val="0"/>
    <w:rPr>
      <w:rFonts w:ascii="Courier New" w:hAnsi="Courier New"/>
    </w:rPr>
  </w:style>
  <w:style w:type="character" w:customStyle="1" w:styleId="33">
    <w:name w:val="纯文本 Char"/>
    <w:link w:val="12"/>
    <w:autoRedefine/>
    <w:qFormat/>
    <w:uiPriority w:val="99"/>
    <w:rPr>
      <w:rFonts w:ascii="宋体" w:hAnsi="Courier New" w:eastAsia="宋体" w:cs="Times New Roman"/>
      <w:kern w:val="2"/>
      <w:sz w:val="24"/>
      <w:szCs w:val="24"/>
    </w:rPr>
  </w:style>
  <w:style w:type="character" w:customStyle="1" w:styleId="34">
    <w:name w:val="正文文本缩进 Char"/>
    <w:link w:val="7"/>
    <w:autoRedefine/>
    <w:qFormat/>
    <w:uiPriority w:val="0"/>
    <w:rPr>
      <w:rFonts w:ascii="宋体" w:hAnsi="Courier New"/>
      <w:spacing w:val="-4"/>
      <w:kern w:val="2"/>
      <w:sz w:val="18"/>
    </w:rPr>
  </w:style>
  <w:style w:type="character" w:customStyle="1" w:styleId="35">
    <w:name w:val="批注文字 Char"/>
    <w:link w:val="8"/>
    <w:autoRedefine/>
    <w:qFormat/>
    <w:uiPriority w:val="99"/>
    <w:rPr>
      <w:kern w:val="2"/>
      <w:sz w:val="28"/>
      <w:szCs w:val="24"/>
    </w:rPr>
  </w:style>
  <w:style w:type="character" w:customStyle="1" w:styleId="36">
    <w:name w:val="批注框文本 Char"/>
    <w:link w:val="13"/>
    <w:autoRedefine/>
    <w:qFormat/>
    <w:uiPriority w:val="0"/>
    <w:rPr>
      <w:rFonts w:ascii="宋体" w:hAnsi="宋体" w:cs="宋体"/>
      <w:kern w:val="2"/>
      <w:sz w:val="18"/>
      <w:szCs w:val="18"/>
    </w:rPr>
  </w:style>
  <w:style w:type="character" w:customStyle="1" w:styleId="37">
    <w:name w:val="页脚 Char"/>
    <w:link w:val="14"/>
    <w:autoRedefine/>
    <w:qFormat/>
    <w:uiPriority w:val="99"/>
    <w:rPr>
      <w:rFonts w:ascii="宋体" w:hAnsi="宋体" w:cs="宋体"/>
      <w:kern w:val="2"/>
      <w:sz w:val="18"/>
      <w:szCs w:val="24"/>
    </w:rPr>
  </w:style>
  <w:style w:type="character" w:customStyle="1" w:styleId="38">
    <w:name w:val="批注主题 Char"/>
    <w:link w:val="22"/>
    <w:autoRedefine/>
    <w:semiHidden/>
    <w:qFormat/>
    <w:uiPriority w:val="0"/>
    <w:rPr>
      <w:rFonts w:ascii="宋体" w:hAnsi="宋体" w:cs="宋体"/>
      <w:b/>
      <w:bCs/>
      <w:kern w:val="2"/>
      <w:sz w:val="24"/>
      <w:szCs w:val="24"/>
    </w:rPr>
  </w:style>
  <w:style w:type="character" w:customStyle="1" w:styleId="39">
    <w:name w:val="未处理的提及1"/>
    <w:autoRedefine/>
    <w:unhideWhenUsed/>
    <w:qFormat/>
    <w:uiPriority w:val="99"/>
    <w:rPr>
      <w:color w:val="605E5C"/>
      <w:shd w:val="clear" w:color="auto" w:fill="E1DFDD"/>
    </w:rPr>
  </w:style>
  <w:style w:type="character" w:customStyle="1" w:styleId="40">
    <w:name w:val="正文文本缩进 字符2"/>
    <w:autoRedefine/>
    <w:qFormat/>
    <w:uiPriority w:val="0"/>
    <w:rPr>
      <w:rFonts w:ascii="宋体" w:hAnsi="Courier New"/>
      <w:spacing w:val="-4"/>
      <w:kern w:val="2"/>
      <w:sz w:val="18"/>
    </w:rPr>
  </w:style>
  <w:style w:type="character" w:customStyle="1" w:styleId="41">
    <w:name w:val="纯文本 字符"/>
    <w:autoRedefine/>
    <w:qFormat/>
    <w:uiPriority w:val="0"/>
    <w:rPr>
      <w:rFonts w:ascii="宋体" w:hAnsi="Courier New" w:eastAsia="宋体" w:cs="Courier New"/>
      <w:kern w:val="2"/>
      <w:sz w:val="24"/>
      <w:szCs w:val="24"/>
    </w:rPr>
  </w:style>
  <w:style w:type="character" w:customStyle="1" w:styleId="42">
    <w:name w:val="font41"/>
    <w:autoRedefine/>
    <w:qFormat/>
    <w:uiPriority w:val="0"/>
    <w:rPr>
      <w:rFonts w:hint="eastAsia" w:ascii="宋体" w:hAnsi="宋体" w:eastAsia="宋体" w:cs="宋体"/>
      <w:color w:val="000000"/>
      <w:sz w:val="24"/>
      <w:szCs w:val="24"/>
      <w:u w:val="none"/>
    </w:rPr>
  </w:style>
  <w:style w:type="character" w:customStyle="1" w:styleId="43">
    <w:name w:val="15"/>
    <w:autoRedefine/>
    <w:qFormat/>
    <w:uiPriority w:val="0"/>
    <w:rPr>
      <w:rFonts w:hint="default" w:ascii="Times New Roman" w:hAnsi="Times New Roman" w:cs="Times New Roman"/>
    </w:rPr>
  </w:style>
  <w:style w:type="character" w:customStyle="1" w:styleId="44">
    <w:name w:val="font31"/>
    <w:autoRedefine/>
    <w:qFormat/>
    <w:uiPriority w:val="0"/>
    <w:rPr>
      <w:rFonts w:hint="default" w:ascii="Arial" w:hAnsi="Arial" w:cs="Arial"/>
      <w:color w:val="000000"/>
      <w:sz w:val="20"/>
      <w:szCs w:val="20"/>
      <w:u w:val="none"/>
    </w:rPr>
  </w:style>
  <w:style w:type="character" w:customStyle="1" w:styleId="45">
    <w:name w:val="正文文本缩进 字符"/>
    <w:autoRedefine/>
    <w:qFormat/>
    <w:uiPriority w:val="0"/>
    <w:rPr>
      <w:rFonts w:ascii="宋体" w:hAnsi="宋体" w:cs="宋体"/>
      <w:kern w:val="2"/>
      <w:sz w:val="24"/>
      <w:szCs w:val="24"/>
    </w:rPr>
  </w:style>
  <w:style w:type="character" w:customStyle="1" w:styleId="46">
    <w:name w:val="16"/>
    <w:autoRedefine/>
    <w:qFormat/>
    <w:uiPriority w:val="0"/>
    <w:rPr>
      <w:rFonts w:hint="default" w:ascii="Times New Roman" w:hAnsi="Times New Roman" w:cs="Times New Roman"/>
    </w:rPr>
  </w:style>
  <w:style w:type="paragraph" w:customStyle="1" w:styleId="47">
    <w:name w:val="列表段落1"/>
    <w:basedOn w:val="1"/>
    <w:autoRedefine/>
    <w:qFormat/>
    <w:uiPriority w:val="0"/>
    <w:pPr>
      <w:ind w:firstLine="420" w:firstLineChars="200"/>
    </w:pPr>
    <w:rPr>
      <w:rFonts w:ascii="Calibri" w:hAnsi="Calibri" w:cs="Times New Roman"/>
      <w:sz w:val="21"/>
      <w:szCs w:val="21"/>
    </w:rPr>
  </w:style>
  <w:style w:type="paragraph" w:customStyle="1" w:styleId="48">
    <w:name w:val="_Style 47"/>
    <w:autoRedefine/>
    <w:unhideWhenUsed/>
    <w:qFormat/>
    <w:uiPriority w:val="99"/>
    <w:rPr>
      <w:rFonts w:ascii="宋体" w:hAnsi="宋体" w:eastAsia="宋体" w:cs="宋体"/>
      <w:kern w:val="2"/>
      <w:sz w:val="24"/>
      <w:szCs w:val="24"/>
      <w:lang w:val="en-US" w:eastAsia="zh-CN" w:bidi="ar-SA"/>
    </w:rPr>
  </w:style>
  <w:style w:type="paragraph" w:customStyle="1" w:styleId="49">
    <w:name w:val="_Style 1"/>
    <w:autoRedefine/>
    <w:qFormat/>
    <w:uiPriority w:val="0"/>
    <w:rPr>
      <w:rFonts w:ascii="Calibri" w:hAnsi="Calibri" w:eastAsia="宋体" w:cs="Times New Roman"/>
      <w:kern w:val="2"/>
      <w:sz w:val="28"/>
      <w:szCs w:val="22"/>
      <w:lang w:val="en-US" w:eastAsia="zh-CN" w:bidi="ar-SA"/>
    </w:rPr>
  </w:style>
  <w:style w:type="paragraph" w:customStyle="1" w:styleId="5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1"/>
    <w:next w:val="10"/>
    <w:autoRedefine/>
    <w:qFormat/>
    <w:uiPriority w:val="99"/>
    <w:pPr>
      <w:spacing w:line="420" w:lineRule="atLeast"/>
      <w:textAlignment w:val="baseline"/>
    </w:pPr>
    <w:rPr>
      <w:rFonts w:ascii="Calibri" w:hAnsi="Calibri"/>
    </w:rPr>
  </w:style>
  <w:style w:type="paragraph" w:customStyle="1" w:styleId="5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3">
    <w:name w:val="正文2"/>
    <w:basedOn w:val="1"/>
    <w:autoRedefine/>
    <w:qFormat/>
    <w:uiPriority w:val="0"/>
    <w:pPr>
      <w:spacing w:before="156" w:line="360" w:lineRule="auto"/>
      <w:ind w:firstLine="200" w:firstLineChars="200"/>
    </w:pPr>
    <w:rPr>
      <w:rFonts w:eastAsia="??"/>
      <w:szCs w:val="28"/>
    </w:rPr>
  </w:style>
  <w:style w:type="paragraph" w:customStyle="1" w:styleId="54">
    <w:name w:val="Default"/>
    <w:next w:val="5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自定义正文"/>
    <w:basedOn w:val="1"/>
    <w:autoRedefine/>
    <w:qFormat/>
    <w:uiPriority w:val="0"/>
    <w:pPr>
      <w:spacing w:after="156" w:afterLines="50" w:line="360" w:lineRule="auto"/>
      <w:ind w:firstLine="200" w:firstLineChars="200"/>
      <w:jc w:val="left"/>
    </w:pPr>
    <w:rPr>
      <w:rFonts w:ascii="Times New Roman" w:hAnsi="Times New Roman" w:cs="Times New Roman"/>
    </w:rPr>
  </w:style>
  <w:style w:type="paragraph" w:customStyle="1" w:styleId="5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7">
    <w:name w:val="修订1"/>
    <w:autoRedefine/>
    <w:semiHidden/>
    <w:qFormat/>
    <w:uiPriority w:val="99"/>
    <w:rPr>
      <w:rFonts w:ascii="宋体" w:hAnsi="宋体" w:eastAsia="宋体" w:cs="宋体"/>
      <w:kern w:val="2"/>
      <w:sz w:val="24"/>
      <w:szCs w:val="24"/>
      <w:lang w:val="en-US" w:eastAsia="zh-CN" w:bidi="ar-SA"/>
    </w:rPr>
  </w:style>
  <w:style w:type="paragraph" w:customStyle="1" w:styleId="58">
    <w:name w:val="首行缩进"/>
    <w:basedOn w:val="1"/>
    <w:autoRedefine/>
    <w:qFormat/>
    <w:uiPriority w:val="0"/>
    <w:pPr>
      <w:spacing w:line="360" w:lineRule="auto"/>
      <w:ind w:firstLine="480" w:firstLineChars="200"/>
    </w:pPr>
  </w:style>
  <w:style w:type="paragraph" w:customStyle="1" w:styleId="59">
    <w:name w:val="样式 正文缩进 + 首行缩进: 2 字符"/>
    <w:autoRedefine/>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60">
    <w:name w:val="纯文本_0_0"/>
    <w:basedOn w:val="61"/>
    <w:autoRedefine/>
    <w:qFormat/>
    <w:uiPriority w:val="0"/>
    <w:rPr>
      <w:rFonts w:ascii="宋体" w:hAnsi="Courier New"/>
      <w:szCs w:val="21"/>
    </w:rPr>
  </w:style>
  <w:style w:type="paragraph" w:customStyle="1" w:styleId="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3">
    <w:name w:val="正文空2字"/>
    <w:basedOn w:val="6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
    <w:name w:val="左对齐正文"/>
    <w:qFormat/>
    <w:uiPriority w:val="99"/>
    <w:rPr>
      <w:rFonts w:ascii="Calibri" w:hAnsi="Calibri" w:eastAsia="仿宋_GB2312" w:cs="Calibri"/>
      <w:kern w:val="2"/>
      <w:sz w:val="32"/>
      <w:szCs w:val="32"/>
      <w:lang w:val="en-US" w:eastAsia="zh-CN" w:bidi="ar-SA"/>
    </w:rPr>
  </w:style>
  <w:style w:type="paragraph" w:customStyle="1" w:styleId="65">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66">
    <w:name w:val="样式1"/>
    <w:basedOn w:val="1"/>
    <w:qFormat/>
    <w:uiPriority w:val="0"/>
    <w:pPr>
      <w:spacing w:line="360" w:lineRule="exact"/>
      <w:ind w:firstLine="200" w:firstLineChars="200"/>
    </w:pPr>
    <w:rPr>
      <w:rFonts w:ascii="Arial" w:hAnsi="Arial"/>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列出段落1"/>
    <w:basedOn w:val="1"/>
    <w:qFormat/>
    <w:uiPriority w:val="99"/>
    <w:pPr>
      <w:ind w:firstLine="420" w:firstLineChars="200"/>
    </w:pPr>
  </w:style>
  <w:style w:type="paragraph" w:customStyle="1" w:styleId="69">
    <w:name w:val="无间隔1"/>
    <w:qFormat/>
    <w:uiPriority w:val="0"/>
    <w:rPr>
      <w:rFonts w:ascii="Times New Roman" w:hAnsi="Times New Roman" w:eastAsia="宋体" w:cs="Times New Roman"/>
      <w:sz w:val="22"/>
      <w:szCs w:val="22"/>
      <w:lang w:val="en-US" w:eastAsia="en-US" w:bidi="ar-SA"/>
    </w:rPr>
  </w:style>
  <w:style w:type="character" w:customStyle="1" w:styleId="70">
    <w:name w:val="10"/>
    <w:basedOn w:val="27"/>
    <w:qFormat/>
    <w:uiPriority w:val="0"/>
    <w:rPr>
      <w:rFonts w:hint="default" w:ascii="Times New Roman" w:hAnsi="Times New Roman" w:cs="Times New Roman"/>
    </w:rPr>
  </w:style>
  <w:style w:type="character" w:styleId="71">
    <w:name w:val="Placeholder Text"/>
    <w:basedOn w:val="2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3739</Words>
  <Characters>4216</Characters>
  <Lines>1</Lines>
  <Paragraphs>1</Paragraphs>
  <TotalTime>30</TotalTime>
  <ScaleCrop>false</ScaleCrop>
  <LinksUpToDate>false</LinksUpToDate>
  <CharactersWithSpaces>4253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2023-05-17T02:40:00Z</dcterms:created>
  <dc:creator>Administrator</dc:creator>
  <cp:lastModifiedBy>yubin</cp:lastModifiedBy>
  <cp:lastPrinted>2022-02-28T13:42:00Z</cp:lastPrinted>
  <dcterms:modified xsi:type="dcterms:W3CDTF">2025-07-17T08:47:56Z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986FDFA7152446DEA7AE8A35EB736AD4_13</vt:lpwstr>
  </property>
  <property fmtid="{D5CDD505-2E9C-101B-9397-08002B2CF9AE}" pid="4" name="KSOTemplateDocerSaveRecord">
    <vt:lpwstr>eyJoZGlkIjoiNDA1NjJhY2YzNGY0NzY5M2ZmM2Y0ZjcwMmY2ODQ2YTYiLCJ1c2VySWQiOiIxNjEzNTQ4OTc4In0=</vt:lpwstr>
  </property>
</Properties>
</file>