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ABB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31243C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423C5E2C">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hint="eastAsia" w:ascii="仿宋" w:hAnsi="仿宋" w:eastAsia="仿宋" w:cs="仿宋"/>
          <w:b/>
          <w:color w:val="auto"/>
          <w:spacing w:val="-6"/>
          <w:sz w:val="84"/>
          <w:szCs w:val="84"/>
          <w:highlight w:val="none"/>
          <w:lang w:eastAsia="zh-CN"/>
        </w:rPr>
      </w:pPr>
      <w:r>
        <w:rPr>
          <w:rFonts w:hint="eastAsia" w:ascii="仿宋" w:hAnsi="仿宋" w:eastAsia="仿宋" w:cs="仿宋"/>
          <w:b/>
          <w:color w:val="auto"/>
          <w:spacing w:val="-6"/>
          <w:sz w:val="84"/>
          <w:szCs w:val="84"/>
          <w:highlight w:val="none"/>
          <w:lang w:eastAsia="zh-CN"/>
        </w:rPr>
        <w:t>浙江省市场监督管理局</w:t>
      </w:r>
    </w:p>
    <w:p w14:paraId="774B04B1">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52"/>
          <w:szCs w:val="52"/>
          <w:highlight w:val="none"/>
          <w:lang w:eastAsia="zh-CN"/>
        </w:rPr>
        <w:t>2025年度浙江省助力产品质量提升重点攻坚（二）产品质量监督抽查抽样检验机构技术服务采购项目</w:t>
      </w:r>
    </w:p>
    <w:p w14:paraId="44B46BE0">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72"/>
          <w:szCs w:val="72"/>
          <w:highlight w:val="none"/>
          <w:lang w:eastAsia="zh-CN"/>
        </w:rPr>
      </w:pPr>
    </w:p>
    <w:p w14:paraId="1E2B7CC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14:paraId="4A9C2368">
      <w:pPr>
        <w:widowControl/>
        <w:adjustRightInd w:val="0"/>
        <w:snapToGrid w:val="0"/>
        <w:spacing w:line="288" w:lineRule="auto"/>
        <w:ind w:right="-2"/>
        <w:jc w:val="center"/>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14:paraId="17A782C5">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72"/>
          <w:szCs w:val="72"/>
          <w:highlight w:val="none"/>
          <w:lang w:val="en-US" w:eastAsia="zh-CN"/>
        </w:rPr>
      </w:pPr>
    </w:p>
    <w:p w14:paraId="712A6F4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color w:val="auto"/>
          <w:spacing w:val="-6"/>
          <w:sz w:val="28"/>
          <w:szCs w:val="28"/>
          <w:highlight w:val="none"/>
          <w:lang w:eastAsia="zh-CN"/>
        </w:rPr>
      </w:pPr>
      <w:r>
        <w:rPr>
          <w:rFonts w:hint="eastAsia" w:ascii="仿宋" w:hAnsi="仿宋" w:eastAsia="仿宋" w:cs="仿宋"/>
          <w:b/>
          <w:color w:val="auto"/>
          <w:spacing w:val="-6"/>
          <w:sz w:val="28"/>
          <w:szCs w:val="28"/>
          <w:highlight w:val="none"/>
        </w:rPr>
        <w:t>项目名称：</w:t>
      </w:r>
      <w:r>
        <w:rPr>
          <w:rFonts w:hint="eastAsia" w:ascii="仿宋" w:hAnsi="仿宋" w:eastAsia="仿宋" w:cs="仿宋"/>
          <w:b/>
          <w:color w:val="auto"/>
          <w:spacing w:val="-6"/>
          <w:sz w:val="28"/>
          <w:szCs w:val="28"/>
          <w:highlight w:val="none"/>
          <w:lang w:eastAsia="zh-CN"/>
        </w:rPr>
        <w:t>2025年度浙江省助力产品质量提升重点攻坚（二）产品质量监督抽查抽样检验机构技术服务采购项目</w:t>
      </w:r>
    </w:p>
    <w:p w14:paraId="14C20FA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color w:val="auto"/>
          <w:spacing w:val="-6"/>
          <w:sz w:val="28"/>
          <w:szCs w:val="28"/>
          <w:highlight w:val="none"/>
          <w:lang w:eastAsia="zh-CN"/>
        </w:rPr>
      </w:pPr>
      <w:r>
        <w:rPr>
          <w:rFonts w:hint="eastAsia" w:ascii="仿宋" w:hAnsi="仿宋" w:eastAsia="仿宋" w:cs="仿宋"/>
          <w:b/>
          <w:color w:val="auto"/>
          <w:spacing w:val="-6"/>
          <w:sz w:val="28"/>
          <w:szCs w:val="28"/>
          <w:highlight w:val="none"/>
        </w:rPr>
        <w:t>项目编号：</w:t>
      </w:r>
      <w:r>
        <w:rPr>
          <w:rFonts w:hint="eastAsia" w:ascii="仿宋" w:hAnsi="仿宋" w:eastAsia="仿宋" w:cs="仿宋"/>
          <w:b/>
          <w:color w:val="auto"/>
          <w:spacing w:val="-6"/>
          <w:sz w:val="28"/>
          <w:szCs w:val="28"/>
          <w:highlight w:val="none"/>
          <w:lang w:eastAsia="zh-CN"/>
        </w:rPr>
        <w:t>QSZB-Z(F)-H25102(GK)</w:t>
      </w:r>
    </w:p>
    <w:p w14:paraId="01A9BD3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color w:val="auto"/>
          <w:spacing w:val="-6"/>
          <w:sz w:val="28"/>
          <w:szCs w:val="28"/>
          <w:highlight w:val="none"/>
          <w:lang w:eastAsia="zh-CN"/>
        </w:rPr>
      </w:pPr>
      <w:r>
        <w:rPr>
          <w:rFonts w:hint="eastAsia" w:ascii="仿宋" w:hAnsi="仿宋" w:eastAsia="仿宋" w:cs="仿宋"/>
          <w:b/>
          <w:color w:val="auto"/>
          <w:spacing w:val="-6"/>
          <w:sz w:val="28"/>
          <w:szCs w:val="28"/>
          <w:highlight w:val="none"/>
        </w:rPr>
        <w:t>采 购 人：</w:t>
      </w:r>
      <w:r>
        <w:rPr>
          <w:rFonts w:hint="eastAsia" w:ascii="仿宋" w:hAnsi="仿宋" w:eastAsia="仿宋" w:cs="仿宋"/>
          <w:b/>
          <w:color w:val="auto"/>
          <w:spacing w:val="-6"/>
          <w:sz w:val="28"/>
          <w:szCs w:val="28"/>
          <w:highlight w:val="none"/>
          <w:lang w:eastAsia="zh-CN"/>
        </w:rPr>
        <w:t>浙江省市场监督管理局</w:t>
      </w:r>
    </w:p>
    <w:p w14:paraId="2A76CFB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采购代理机构：浙江求是招标代理有限公司</w:t>
      </w:r>
    </w:p>
    <w:p w14:paraId="3A55A149">
      <w:pPr>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default" w:ascii="仿宋" w:hAnsi="仿宋" w:eastAsia="仿宋" w:cs="仿宋"/>
          <w:b/>
          <w:color w:val="auto"/>
          <w:sz w:val="32"/>
          <w:szCs w:val="32"/>
          <w:highlight w:val="none"/>
          <w:lang w:val="en-US" w:eastAsia="zh-CN"/>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r>
        <w:rPr>
          <w:rFonts w:hint="eastAsia" w:ascii="仿宋" w:hAnsi="仿宋" w:eastAsia="仿宋" w:cs="仿宋"/>
          <w:b/>
          <w:color w:val="auto"/>
          <w:spacing w:val="-6"/>
          <w:sz w:val="28"/>
          <w:szCs w:val="28"/>
          <w:highlight w:val="none"/>
        </w:rPr>
        <w:t>采购计划文号：</w:t>
      </w:r>
      <w:r>
        <w:rPr>
          <w:rFonts w:hint="eastAsia" w:ascii="仿宋" w:hAnsi="仿宋" w:eastAsia="仿宋" w:cs="仿宋"/>
          <w:b/>
          <w:color w:val="auto"/>
          <w:spacing w:val="-6"/>
          <w:sz w:val="28"/>
          <w:szCs w:val="28"/>
          <w:highlight w:val="none"/>
          <w:lang w:eastAsia="zh-CN"/>
        </w:rPr>
        <w:t>[2025]30988、30989、30990、30991、30992、30993、30994、30995、30996、30997</w:t>
      </w:r>
      <w:r>
        <w:rPr>
          <w:rFonts w:hint="eastAsia" w:ascii="仿宋" w:hAnsi="仿宋" w:eastAsia="仿宋" w:cs="仿宋"/>
          <w:b/>
          <w:color w:val="auto"/>
          <w:spacing w:val="-6"/>
          <w:sz w:val="28"/>
          <w:szCs w:val="28"/>
          <w:highlight w:val="none"/>
          <w:lang w:val="en-US" w:eastAsia="zh-CN"/>
        </w:rPr>
        <w:t>号</w:t>
      </w:r>
    </w:p>
    <w:p w14:paraId="57102752">
      <w:pPr>
        <w:adjustRightInd w:val="0"/>
        <w:snapToGrid w:val="0"/>
        <w:ind w:left="0" w:leftChars="0" w:right="0" w:rightChars="0" w:firstLine="0" w:firstLineChars="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091370CA">
      <w:pPr>
        <w:adjustRightInd w:val="0"/>
        <w:snapToGrid w:val="0"/>
        <w:jc w:val="center"/>
        <w:rPr>
          <w:rFonts w:ascii="仿宋" w:hAnsi="仿宋" w:eastAsia="仿宋" w:cs="仿宋"/>
          <w:b/>
          <w:color w:val="auto"/>
          <w:spacing w:val="-6"/>
          <w:sz w:val="30"/>
          <w:szCs w:val="30"/>
          <w:highlight w:val="none"/>
        </w:rPr>
      </w:pPr>
    </w:p>
    <w:p w14:paraId="1F6F713E">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14:paraId="3B661D9C">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14:paraId="2863B5E9">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14:paraId="47DC2F60">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 xml:space="preserve">第四章  </w:t>
      </w:r>
      <w:r>
        <w:rPr>
          <w:rFonts w:hint="eastAsia" w:ascii="仿宋" w:hAnsi="仿宋" w:eastAsia="仿宋" w:cs="仿宋"/>
          <w:b/>
          <w:color w:val="auto"/>
          <w:spacing w:val="-6"/>
          <w:sz w:val="30"/>
          <w:szCs w:val="30"/>
          <w:highlight w:val="none"/>
          <w:lang w:eastAsia="zh-CN"/>
        </w:rPr>
        <w:t>评标方法和评标标准</w:t>
      </w:r>
    </w:p>
    <w:p w14:paraId="77EF8B01">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14:paraId="2CD1564C">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14:paraId="0E544230">
      <w:pPr>
        <w:adjustRightInd w:val="0"/>
        <w:snapToGrid w:val="0"/>
        <w:spacing w:line="360" w:lineRule="auto"/>
        <w:ind w:left="0" w:leftChars="0" w:right="0" w:rightChars="0" w:firstLine="0" w:firstLineChars="0"/>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14:paraId="1256A15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37C6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14:paraId="29EF35C6">
            <w:pPr>
              <w:adjustRightInd w:val="0"/>
              <w:snapToGrid w:val="0"/>
              <w:ind w:firstLine="422" w:firstLineChars="200"/>
              <w:rPr>
                <w:rFonts w:ascii="仿宋" w:hAnsi="仿宋" w:eastAsia="仿宋" w:cs="仿宋"/>
                <w:b/>
                <w:color w:val="auto"/>
                <w:szCs w:val="21"/>
                <w:highlight w:val="none"/>
              </w:rPr>
            </w:pPr>
            <w:bookmarkStart w:id="0" w:name="_Toc35393790"/>
            <w:bookmarkStart w:id="1" w:name="_Toc28359079"/>
            <w:bookmarkStart w:id="2" w:name="_Toc28359002"/>
            <w:bookmarkStart w:id="3" w:name="_Toc35393621"/>
            <w:bookmarkStart w:id="4" w:name="_Hlk24379207"/>
            <w:r>
              <w:rPr>
                <w:rFonts w:hint="eastAsia" w:ascii="仿宋" w:hAnsi="仿宋" w:eastAsia="仿宋" w:cs="仿宋"/>
                <w:b/>
                <w:color w:val="auto"/>
                <w:szCs w:val="21"/>
                <w:highlight w:val="none"/>
              </w:rPr>
              <w:t>项目概况</w:t>
            </w:r>
          </w:p>
          <w:p w14:paraId="1C3401E4">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2025年度浙江省助力产品质量提升重点攻坚（二）产品质量监督抽查抽样检验机构技术服务采购项目</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2025年07月07日上午09:30:00（北京时间）</w:t>
            </w:r>
            <w:r>
              <w:rPr>
                <w:rFonts w:hint="eastAsia" w:ascii="仿宋" w:hAnsi="仿宋" w:eastAsia="仿宋" w:cs="仿宋"/>
                <w:b/>
                <w:color w:val="auto"/>
                <w:szCs w:val="21"/>
                <w:highlight w:val="none"/>
              </w:rPr>
              <w:t>前递交（上传）投标文件。</w:t>
            </w:r>
          </w:p>
        </w:tc>
      </w:tr>
    </w:tbl>
    <w:p w14:paraId="1BE6076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14:paraId="0EBED8E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14:paraId="3DDAB44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QSZB-Z(F)-H25102(GK)</w:t>
      </w:r>
    </w:p>
    <w:p w14:paraId="5BEB61F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2025年度浙江省助力产品质量提升重点攻坚（二）产品质量监督抽查抽样检验机构技术服务采购项目</w:t>
      </w:r>
    </w:p>
    <w:bookmarkEnd w:id="4"/>
    <w:p w14:paraId="07629F6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default" w:ascii="仿宋" w:hAnsi="仿宋" w:eastAsia="仿宋" w:cs="仿宋"/>
          <w:color w:val="auto"/>
          <w:szCs w:val="21"/>
          <w:highlight w:val="none"/>
          <w:lang w:val="en-US" w:eastAsia="zh-CN"/>
        </w:rPr>
        <w:t>预算金额（元）：</w:t>
      </w:r>
      <w:r>
        <w:rPr>
          <w:rFonts w:hint="eastAsia" w:ascii="仿宋" w:hAnsi="仿宋" w:eastAsia="仿宋" w:cs="仿宋"/>
          <w:color w:val="auto"/>
          <w:szCs w:val="21"/>
          <w:highlight w:val="none"/>
          <w:lang w:val="en-US" w:eastAsia="zh-CN"/>
        </w:rPr>
        <w:t>2390000</w:t>
      </w:r>
    </w:p>
    <w:p w14:paraId="4369380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最高限价（元）：</w:t>
      </w:r>
      <w:r>
        <w:rPr>
          <w:rFonts w:hint="eastAsia" w:ascii="仿宋" w:hAnsi="仿宋" w:eastAsia="仿宋" w:cs="仿宋"/>
          <w:color w:val="auto"/>
          <w:szCs w:val="21"/>
          <w:highlight w:val="none"/>
          <w:lang w:val="en-US" w:eastAsia="zh-CN"/>
        </w:rPr>
        <w:t>/</w:t>
      </w:r>
    </w:p>
    <w:p w14:paraId="22E4C34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5" w:name="_Toc28359080"/>
      <w:bookmarkStart w:id="6" w:name="_Toc35393622"/>
      <w:bookmarkStart w:id="7" w:name="_Toc35393791"/>
      <w:bookmarkStart w:id="8" w:name="_Toc28359003"/>
      <w:r>
        <w:rPr>
          <w:rFonts w:hint="eastAsia" w:ascii="仿宋" w:hAnsi="仿宋" w:eastAsia="仿宋" w:cs="仿宋"/>
          <w:color w:val="auto"/>
          <w:szCs w:val="21"/>
          <w:highlight w:val="none"/>
        </w:rPr>
        <w:t>采购需求：</w:t>
      </w:r>
    </w:p>
    <w:p w14:paraId="258C9FD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p>
    <w:p w14:paraId="7BB5C86E">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标项一</w:t>
      </w:r>
    </w:p>
    <w:p w14:paraId="27CAE38C">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标项名称：珠宝饰品</w:t>
      </w:r>
    </w:p>
    <w:p w14:paraId="1EFBB7AE">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数量：1</w:t>
      </w:r>
    </w:p>
    <w:p w14:paraId="70BF1A77">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100000</w:t>
      </w:r>
    </w:p>
    <w:p w14:paraId="3D06157D">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简要规格描述或项目基本概况介绍、用途：贵金属首饰及制品</w:t>
      </w:r>
      <w:r>
        <w:rPr>
          <w:rFonts w:hint="eastAsia" w:ascii="仿宋" w:hAnsi="仿宋" w:eastAsia="仿宋" w:cs="仿宋"/>
          <w:szCs w:val="21"/>
          <w:highlight w:val="none"/>
          <w:lang w:eastAsia="zh-CN"/>
        </w:rPr>
        <w:t>、</w:t>
      </w:r>
      <w:r>
        <w:rPr>
          <w:rFonts w:hint="eastAsia" w:ascii="仿宋" w:hAnsi="仿宋" w:eastAsia="仿宋" w:cs="仿宋"/>
          <w:szCs w:val="21"/>
          <w:highlight w:val="none"/>
        </w:rPr>
        <w:t>珍珠及饰品</w:t>
      </w:r>
      <w:r>
        <w:rPr>
          <w:rFonts w:hint="eastAsia" w:ascii="仿宋" w:hAnsi="仿宋" w:eastAsia="仿宋" w:cs="仿宋"/>
          <w:szCs w:val="21"/>
          <w:highlight w:val="none"/>
          <w:lang w:eastAsia="zh-CN"/>
        </w:rPr>
        <w:t>、</w:t>
      </w:r>
      <w:r>
        <w:rPr>
          <w:rFonts w:hint="eastAsia" w:ascii="仿宋" w:hAnsi="仿宋" w:eastAsia="仿宋" w:cs="仿宋"/>
          <w:szCs w:val="21"/>
          <w:highlight w:val="none"/>
        </w:rPr>
        <w:t>珠宝玉石制品</w:t>
      </w:r>
    </w:p>
    <w:p w14:paraId="083DFDF7">
      <w:pPr>
        <w:adjustRightInd w:val="0"/>
        <w:snapToGrid w:val="0"/>
        <w:spacing w:line="288" w:lineRule="auto"/>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对应采购计划文号[2025]30989号</w:t>
      </w:r>
    </w:p>
    <w:p w14:paraId="5F81B5ED">
      <w:pPr>
        <w:adjustRightInd w:val="0"/>
        <w:snapToGrid w:val="0"/>
        <w:spacing w:line="288" w:lineRule="auto"/>
        <w:ind w:firstLine="420" w:firstLineChars="200"/>
        <w:rPr>
          <w:rFonts w:ascii="仿宋" w:hAnsi="仿宋" w:eastAsia="仿宋" w:cs="仿宋"/>
          <w:szCs w:val="21"/>
          <w:highlight w:val="none"/>
        </w:rPr>
      </w:pPr>
    </w:p>
    <w:p w14:paraId="10BDECE3">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标项二</w:t>
      </w:r>
    </w:p>
    <w:p w14:paraId="3B2CD414">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标项名称：箱包鞋类产品（一）</w:t>
      </w:r>
    </w:p>
    <w:p w14:paraId="1FC9A6A7">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数量：1</w:t>
      </w:r>
    </w:p>
    <w:p w14:paraId="67355A84">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220000</w:t>
      </w:r>
    </w:p>
    <w:p w14:paraId="5794DFC7">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简要规格描述或项目基本概况介绍、用途：老人健步鞋</w:t>
      </w:r>
      <w:r>
        <w:rPr>
          <w:rFonts w:hint="eastAsia" w:ascii="仿宋" w:hAnsi="仿宋" w:eastAsia="仿宋" w:cs="仿宋"/>
          <w:szCs w:val="21"/>
          <w:highlight w:val="none"/>
          <w:lang w:eastAsia="zh-CN"/>
        </w:rPr>
        <w:t>、</w:t>
      </w:r>
      <w:r>
        <w:rPr>
          <w:rFonts w:hint="eastAsia" w:ascii="仿宋" w:hAnsi="仿宋" w:eastAsia="仿宋" w:cs="仿宋"/>
          <w:szCs w:val="21"/>
          <w:highlight w:val="none"/>
        </w:rPr>
        <w:t>旅游休闲鞋</w:t>
      </w:r>
      <w:r>
        <w:rPr>
          <w:rFonts w:hint="eastAsia" w:ascii="仿宋" w:hAnsi="仿宋" w:eastAsia="仿宋" w:cs="仿宋"/>
          <w:szCs w:val="21"/>
          <w:highlight w:val="none"/>
          <w:lang w:eastAsia="zh-CN"/>
        </w:rPr>
        <w:t>、</w:t>
      </w:r>
      <w:r>
        <w:rPr>
          <w:rFonts w:hint="eastAsia" w:ascii="仿宋" w:hAnsi="仿宋" w:eastAsia="仿宋" w:cs="仿宋"/>
          <w:szCs w:val="21"/>
          <w:highlight w:val="none"/>
        </w:rPr>
        <w:t>皮凉鞋</w:t>
      </w:r>
      <w:r>
        <w:rPr>
          <w:rFonts w:hint="eastAsia" w:ascii="仿宋" w:hAnsi="仿宋" w:eastAsia="仿宋" w:cs="仿宋"/>
          <w:szCs w:val="21"/>
          <w:highlight w:val="none"/>
          <w:lang w:eastAsia="zh-CN"/>
        </w:rPr>
        <w:t>、</w:t>
      </w:r>
      <w:r>
        <w:rPr>
          <w:rFonts w:hint="eastAsia" w:ascii="仿宋" w:hAnsi="仿宋" w:eastAsia="仿宋" w:cs="仿宋"/>
          <w:szCs w:val="21"/>
          <w:highlight w:val="none"/>
        </w:rPr>
        <w:t>棉拖鞋</w:t>
      </w:r>
    </w:p>
    <w:p w14:paraId="635425D5">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对应采购计划文号[2025]30988号</w:t>
      </w:r>
    </w:p>
    <w:p w14:paraId="5BB35230">
      <w:pPr>
        <w:adjustRightInd w:val="0"/>
        <w:snapToGrid w:val="0"/>
        <w:spacing w:line="288" w:lineRule="auto"/>
        <w:ind w:firstLine="420" w:firstLineChars="200"/>
        <w:rPr>
          <w:rFonts w:ascii="仿宋" w:hAnsi="仿宋" w:eastAsia="仿宋" w:cs="仿宋"/>
          <w:szCs w:val="21"/>
          <w:highlight w:val="none"/>
        </w:rPr>
      </w:pPr>
    </w:p>
    <w:p w14:paraId="72C3D21A">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标项三</w:t>
      </w:r>
    </w:p>
    <w:p w14:paraId="241E5F7B">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标项名称：箱包鞋类产品（二）</w:t>
      </w:r>
    </w:p>
    <w:p w14:paraId="3644379E">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数量：1</w:t>
      </w:r>
    </w:p>
    <w:p w14:paraId="0A71D29E">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20000</w:t>
      </w:r>
    </w:p>
    <w:p w14:paraId="49ACC0ED">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简要规格描述或项目基本概况介绍、用途：背提包（书包除外）</w:t>
      </w:r>
      <w:r>
        <w:rPr>
          <w:rFonts w:hint="eastAsia" w:ascii="仿宋" w:hAnsi="仿宋" w:eastAsia="仿宋" w:cs="仿宋"/>
          <w:szCs w:val="21"/>
          <w:highlight w:val="none"/>
          <w:lang w:eastAsia="zh-CN"/>
        </w:rPr>
        <w:t>、</w:t>
      </w:r>
      <w:r>
        <w:rPr>
          <w:rFonts w:hint="eastAsia" w:ascii="仿宋" w:hAnsi="仿宋" w:eastAsia="仿宋" w:cs="仿宋"/>
          <w:szCs w:val="21"/>
          <w:highlight w:val="none"/>
        </w:rPr>
        <w:t>旅行箱包</w:t>
      </w:r>
      <w:r>
        <w:rPr>
          <w:rFonts w:hint="eastAsia" w:ascii="仿宋" w:hAnsi="仿宋" w:eastAsia="仿宋" w:cs="仿宋"/>
          <w:szCs w:val="21"/>
          <w:highlight w:val="none"/>
          <w:lang w:eastAsia="zh-CN"/>
        </w:rPr>
        <w:t>、</w:t>
      </w:r>
      <w:r>
        <w:rPr>
          <w:rFonts w:hint="eastAsia" w:ascii="仿宋" w:hAnsi="仿宋" w:eastAsia="仿宋" w:cs="仿宋"/>
          <w:szCs w:val="21"/>
          <w:highlight w:val="none"/>
        </w:rPr>
        <w:t>雪地靴</w:t>
      </w:r>
      <w:r>
        <w:rPr>
          <w:rFonts w:hint="eastAsia" w:ascii="仿宋" w:hAnsi="仿宋" w:eastAsia="仿宋" w:cs="仿宋"/>
          <w:szCs w:val="21"/>
          <w:highlight w:val="none"/>
          <w:lang w:eastAsia="zh-CN"/>
        </w:rPr>
        <w:t>、</w:t>
      </w:r>
      <w:r>
        <w:rPr>
          <w:rFonts w:hint="eastAsia" w:ascii="仿宋" w:hAnsi="仿宋" w:eastAsia="仿宋" w:cs="仿宋"/>
          <w:szCs w:val="21"/>
          <w:highlight w:val="none"/>
        </w:rPr>
        <w:t>皮鞋</w:t>
      </w:r>
    </w:p>
    <w:p w14:paraId="3EE40730">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对应采购计划文号[2025]30990号</w:t>
      </w:r>
    </w:p>
    <w:p w14:paraId="2E498192">
      <w:pPr>
        <w:adjustRightInd w:val="0"/>
        <w:snapToGrid w:val="0"/>
        <w:spacing w:line="288" w:lineRule="auto"/>
        <w:ind w:firstLine="420" w:firstLineChars="200"/>
        <w:rPr>
          <w:rFonts w:ascii="仿宋" w:hAnsi="仿宋" w:eastAsia="仿宋" w:cs="仿宋"/>
          <w:szCs w:val="21"/>
          <w:highlight w:val="none"/>
        </w:rPr>
      </w:pPr>
    </w:p>
    <w:p w14:paraId="66B048C0">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标项四</w:t>
      </w:r>
    </w:p>
    <w:p w14:paraId="4F3A6738">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标项名称：家具产品</w:t>
      </w:r>
    </w:p>
    <w:p w14:paraId="4FB160F1">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数量：1</w:t>
      </w:r>
    </w:p>
    <w:p w14:paraId="03B68862">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280000</w:t>
      </w:r>
    </w:p>
    <w:p w14:paraId="176B210C">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简要规格描述或项目基本概况介绍、用途：办公家具（办公椅）</w:t>
      </w:r>
      <w:r>
        <w:rPr>
          <w:rFonts w:hint="eastAsia" w:ascii="仿宋" w:hAnsi="仿宋" w:eastAsia="仿宋" w:cs="仿宋"/>
          <w:szCs w:val="21"/>
          <w:highlight w:val="none"/>
          <w:lang w:eastAsia="zh-CN"/>
        </w:rPr>
        <w:t>、</w:t>
      </w:r>
      <w:r>
        <w:rPr>
          <w:rFonts w:hint="eastAsia" w:ascii="仿宋" w:hAnsi="仿宋" w:eastAsia="仿宋" w:cs="仿宋"/>
          <w:szCs w:val="21"/>
          <w:highlight w:val="none"/>
        </w:rPr>
        <w:t>卫浴家具</w:t>
      </w:r>
    </w:p>
    <w:p w14:paraId="62C0AD38">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对应采购计划文号[2025]30991号</w:t>
      </w:r>
    </w:p>
    <w:p w14:paraId="3BC6C150">
      <w:pPr>
        <w:adjustRightInd w:val="0"/>
        <w:snapToGrid w:val="0"/>
        <w:spacing w:line="288" w:lineRule="auto"/>
        <w:ind w:firstLine="420" w:firstLineChars="200"/>
        <w:rPr>
          <w:rFonts w:ascii="仿宋" w:hAnsi="仿宋" w:eastAsia="仿宋" w:cs="仿宋"/>
          <w:szCs w:val="21"/>
          <w:highlight w:val="none"/>
        </w:rPr>
      </w:pPr>
    </w:p>
    <w:p w14:paraId="5428C37E">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标项五</w:t>
      </w:r>
    </w:p>
    <w:p w14:paraId="34242D6C">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标项名称：计量相关产品</w:t>
      </w:r>
    </w:p>
    <w:p w14:paraId="6A08A506">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数量：1</w:t>
      </w:r>
    </w:p>
    <w:p w14:paraId="07C40BB1">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360000</w:t>
      </w:r>
    </w:p>
    <w:p w14:paraId="38714E5D">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简要规格描述或项目基本概况介绍、用途：老视成镜</w:t>
      </w:r>
      <w:r>
        <w:rPr>
          <w:rFonts w:hint="eastAsia" w:ascii="仿宋" w:hAnsi="仿宋" w:eastAsia="仿宋" w:cs="仿宋"/>
          <w:szCs w:val="21"/>
          <w:highlight w:val="none"/>
          <w:lang w:eastAsia="zh-CN"/>
        </w:rPr>
        <w:t>、</w:t>
      </w:r>
      <w:r>
        <w:rPr>
          <w:rFonts w:hint="eastAsia" w:ascii="仿宋" w:hAnsi="仿宋" w:eastAsia="仿宋" w:cs="仿宋"/>
          <w:szCs w:val="21"/>
          <w:highlight w:val="none"/>
        </w:rPr>
        <w:t>眼镜架</w:t>
      </w:r>
      <w:r>
        <w:rPr>
          <w:rFonts w:hint="eastAsia" w:ascii="仿宋" w:hAnsi="仿宋" w:eastAsia="仿宋" w:cs="仿宋"/>
          <w:szCs w:val="21"/>
          <w:highlight w:val="none"/>
          <w:lang w:eastAsia="zh-CN"/>
        </w:rPr>
        <w:t>、</w:t>
      </w:r>
      <w:r>
        <w:rPr>
          <w:rFonts w:hint="eastAsia" w:ascii="仿宋" w:hAnsi="仿宋" w:eastAsia="仿宋" w:cs="仿宋"/>
          <w:szCs w:val="21"/>
          <w:highlight w:val="none"/>
        </w:rPr>
        <w:t>眼镜镜片</w:t>
      </w:r>
      <w:r>
        <w:rPr>
          <w:rFonts w:hint="eastAsia" w:ascii="仿宋" w:hAnsi="仿宋" w:eastAsia="仿宋" w:cs="仿宋"/>
          <w:szCs w:val="21"/>
          <w:highlight w:val="none"/>
          <w:lang w:eastAsia="zh-CN"/>
        </w:rPr>
        <w:t>、</w:t>
      </w:r>
      <w:r>
        <w:rPr>
          <w:rFonts w:hint="eastAsia" w:ascii="仿宋" w:hAnsi="仿宋" w:eastAsia="仿宋" w:cs="仿宋"/>
          <w:szCs w:val="21"/>
          <w:highlight w:val="none"/>
        </w:rPr>
        <w:t>游泳眼镜</w:t>
      </w:r>
      <w:r>
        <w:rPr>
          <w:rFonts w:hint="eastAsia" w:ascii="仿宋" w:hAnsi="仿宋" w:eastAsia="仿宋" w:cs="仿宋"/>
          <w:szCs w:val="21"/>
          <w:highlight w:val="none"/>
          <w:lang w:eastAsia="zh-CN"/>
        </w:rPr>
        <w:t>、</w:t>
      </w:r>
      <w:r>
        <w:rPr>
          <w:rFonts w:hint="eastAsia" w:ascii="仿宋" w:hAnsi="仿宋" w:eastAsia="仿宋" w:cs="仿宋"/>
          <w:szCs w:val="21"/>
          <w:highlight w:val="none"/>
        </w:rPr>
        <w:t>衡器（电子计价秤）</w:t>
      </w:r>
      <w:r>
        <w:rPr>
          <w:rFonts w:hint="eastAsia" w:ascii="仿宋" w:hAnsi="仿宋" w:eastAsia="仿宋" w:cs="仿宋"/>
          <w:szCs w:val="21"/>
          <w:highlight w:val="none"/>
          <w:lang w:eastAsia="zh-CN"/>
        </w:rPr>
        <w:t>、</w:t>
      </w:r>
      <w:r>
        <w:rPr>
          <w:rFonts w:hint="eastAsia" w:ascii="仿宋" w:hAnsi="仿宋" w:eastAsia="仿宋" w:cs="仿宋"/>
          <w:szCs w:val="21"/>
          <w:highlight w:val="none"/>
        </w:rPr>
        <w:t>冷水水表</w:t>
      </w:r>
      <w:r>
        <w:rPr>
          <w:rFonts w:hint="eastAsia" w:ascii="仿宋" w:hAnsi="仿宋" w:eastAsia="仿宋" w:cs="仿宋"/>
          <w:szCs w:val="21"/>
          <w:highlight w:val="none"/>
          <w:lang w:eastAsia="zh-CN"/>
        </w:rPr>
        <w:t>、</w:t>
      </w:r>
      <w:r>
        <w:rPr>
          <w:rFonts w:hint="eastAsia" w:ascii="仿宋" w:hAnsi="仿宋" w:eastAsia="仿宋" w:cs="仿宋"/>
          <w:szCs w:val="21"/>
          <w:highlight w:val="none"/>
        </w:rPr>
        <w:t>一般压力表</w:t>
      </w:r>
      <w:r>
        <w:rPr>
          <w:rFonts w:hint="eastAsia" w:ascii="仿宋" w:hAnsi="仿宋" w:eastAsia="仿宋" w:cs="仿宋"/>
          <w:szCs w:val="21"/>
          <w:highlight w:val="none"/>
          <w:lang w:eastAsia="zh-CN"/>
        </w:rPr>
        <w:t>、</w:t>
      </w:r>
      <w:r>
        <w:rPr>
          <w:rFonts w:hint="eastAsia" w:ascii="仿宋" w:hAnsi="仿宋" w:eastAsia="仿宋" w:cs="仿宋"/>
          <w:szCs w:val="21"/>
          <w:highlight w:val="none"/>
        </w:rPr>
        <w:t>电能表</w:t>
      </w:r>
      <w:r>
        <w:rPr>
          <w:rFonts w:hint="eastAsia" w:ascii="仿宋" w:hAnsi="仿宋" w:eastAsia="仿宋" w:cs="仿宋"/>
          <w:szCs w:val="21"/>
          <w:highlight w:val="none"/>
          <w:lang w:eastAsia="zh-CN"/>
        </w:rPr>
        <w:t>、</w:t>
      </w:r>
      <w:r>
        <w:rPr>
          <w:rFonts w:hint="eastAsia" w:ascii="仿宋" w:hAnsi="仿宋" w:eastAsia="仿宋" w:cs="仿宋"/>
          <w:szCs w:val="21"/>
          <w:highlight w:val="none"/>
        </w:rPr>
        <w:t>燃气表</w:t>
      </w:r>
    </w:p>
    <w:p w14:paraId="2BED6FE9">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对应采购计划文号[2025]30992号</w:t>
      </w:r>
    </w:p>
    <w:p w14:paraId="1717AE10">
      <w:pPr>
        <w:adjustRightInd w:val="0"/>
        <w:snapToGrid w:val="0"/>
        <w:spacing w:line="288" w:lineRule="auto"/>
        <w:ind w:firstLine="420" w:firstLineChars="200"/>
        <w:rPr>
          <w:rFonts w:ascii="仿宋" w:hAnsi="仿宋" w:eastAsia="仿宋" w:cs="仿宋"/>
          <w:szCs w:val="21"/>
          <w:highlight w:val="none"/>
        </w:rPr>
      </w:pPr>
    </w:p>
    <w:p w14:paraId="4DB97927">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标项六</w:t>
      </w:r>
    </w:p>
    <w:p w14:paraId="3000EB00">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标项名称：日用品</w:t>
      </w:r>
    </w:p>
    <w:p w14:paraId="72A2ED4F">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数量：1</w:t>
      </w:r>
    </w:p>
    <w:p w14:paraId="4FB2FAA8">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130000</w:t>
      </w:r>
    </w:p>
    <w:p w14:paraId="29CAE9C2">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简要规格描述或项目基本概况介绍、用途：晴雨伞</w:t>
      </w:r>
      <w:r>
        <w:rPr>
          <w:rFonts w:hint="eastAsia" w:ascii="仿宋" w:hAnsi="仿宋" w:eastAsia="仿宋" w:cs="仿宋"/>
          <w:szCs w:val="21"/>
          <w:highlight w:val="none"/>
          <w:lang w:eastAsia="zh-CN"/>
        </w:rPr>
        <w:t>、</w:t>
      </w:r>
      <w:r>
        <w:rPr>
          <w:rFonts w:hint="eastAsia" w:ascii="仿宋" w:hAnsi="仿宋" w:eastAsia="仿宋" w:cs="仿宋"/>
          <w:szCs w:val="21"/>
          <w:highlight w:val="none"/>
        </w:rPr>
        <w:t>国旗</w:t>
      </w:r>
      <w:r>
        <w:rPr>
          <w:rFonts w:hint="eastAsia" w:ascii="仿宋" w:hAnsi="仿宋" w:eastAsia="仿宋" w:cs="仿宋"/>
          <w:szCs w:val="21"/>
          <w:highlight w:val="none"/>
          <w:lang w:eastAsia="zh-CN"/>
        </w:rPr>
        <w:t>、</w:t>
      </w:r>
      <w:r>
        <w:rPr>
          <w:rFonts w:hint="eastAsia" w:ascii="仿宋" w:hAnsi="仿宋" w:eastAsia="仿宋" w:cs="仿宋"/>
          <w:szCs w:val="21"/>
          <w:highlight w:val="none"/>
        </w:rPr>
        <w:t>洗衣凝珠</w:t>
      </w:r>
      <w:r>
        <w:rPr>
          <w:rFonts w:hint="eastAsia" w:ascii="仿宋" w:hAnsi="仿宋" w:eastAsia="仿宋" w:cs="仿宋"/>
          <w:szCs w:val="21"/>
          <w:highlight w:val="none"/>
          <w:lang w:eastAsia="zh-CN"/>
        </w:rPr>
        <w:t>、</w:t>
      </w:r>
      <w:r>
        <w:rPr>
          <w:rFonts w:hint="eastAsia" w:ascii="仿宋" w:hAnsi="仿宋" w:eastAsia="仿宋" w:cs="仿宋"/>
          <w:szCs w:val="21"/>
          <w:highlight w:val="none"/>
        </w:rPr>
        <w:t>一次性浴巾</w:t>
      </w:r>
    </w:p>
    <w:p w14:paraId="211D11AD">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对应采购计划文号[2025]30993号</w:t>
      </w:r>
    </w:p>
    <w:p w14:paraId="21570F12">
      <w:pPr>
        <w:adjustRightInd w:val="0"/>
        <w:snapToGrid w:val="0"/>
        <w:spacing w:line="288" w:lineRule="auto"/>
        <w:ind w:firstLine="420" w:firstLineChars="200"/>
        <w:rPr>
          <w:rFonts w:ascii="仿宋" w:hAnsi="仿宋" w:eastAsia="仿宋" w:cs="仿宋"/>
          <w:szCs w:val="21"/>
          <w:highlight w:val="none"/>
        </w:rPr>
      </w:pPr>
    </w:p>
    <w:p w14:paraId="6CFEEDB9">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标项七</w:t>
      </w:r>
    </w:p>
    <w:p w14:paraId="0EBCDF7A">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标项名称：电动自行车</w:t>
      </w:r>
    </w:p>
    <w:p w14:paraId="79F1C3A5">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数量：1</w:t>
      </w:r>
    </w:p>
    <w:p w14:paraId="20B34029">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560000</w:t>
      </w:r>
    </w:p>
    <w:p w14:paraId="6D2BDE45">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简要规格描述或项目基本概况介绍、用途：电动自行车</w:t>
      </w:r>
    </w:p>
    <w:p w14:paraId="702B6DEF">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对应采购计划文号[2025]30994号</w:t>
      </w:r>
    </w:p>
    <w:p w14:paraId="7CABBA48">
      <w:pPr>
        <w:adjustRightInd w:val="0"/>
        <w:snapToGrid w:val="0"/>
        <w:spacing w:line="288" w:lineRule="auto"/>
        <w:ind w:firstLine="420" w:firstLineChars="200"/>
        <w:rPr>
          <w:rFonts w:ascii="仿宋" w:hAnsi="仿宋" w:eastAsia="仿宋" w:cs="仿宋"/>
          <w:szCs w:val="21"/>
          <w:highlight w:val="none"/>
        </w:rPr>
      </w:pPr>
    </w:p>
    <w:p w14:paraId="201D346F">
      <w:pPr>
        <w:adjustRightInd w:val="0"/>
        <w:snapToGrid w:val="0"/>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标项</w:t>
      </w:r>
      <w:r>
        <w:rPr>
          <w:rFonts w:hint="eastAsia" w:ascii="仿宋" w:hAnsi="仿宋" w:eastAsia="仿宋" w:cs="仿宋"/>
          <w:szCs w:val="21"/>
          <w:highlight w:val="none"/>
          <w:lang w:val="en-US" w:eastAsia="zh-CN"/>
        </w:rPr>
        <w:t>八</w:t>
      </w:r>
    </w:p>
    <w:p w14:paraId="5DB88A84">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标项名称：运载工具</w:t>
      </w:r>
    </w:p>
    <w:p w14:paraId="75DD0862">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数量：1</w:t>
      </w:r>
    </w:p>
    <w:p w14:paraId="0F65F0A6">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110000</w:t>
      </w:r>
    </w:p>
    <w:p w14:paraId="3D45DC34">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简要规格描述或项目基本概况介绍、用途：电动平衡车</w:t>
      </w:r>
      <w:r>
        <w:rPr>
          <w:rFonts w:hint="eastAsia" w:ascii="仿宋" w:hAnsi="仿宋" w:eastAsia="仿宋" w:cs="仿宋"/>
          <w:szCs w:val="21"/>
          <w:highlight w:val="none"/>
          <w:lang w:eastAsia="zh-CN"/>
        </w:rPr>
        <w:t>、</w:t>
      </w:r>
      <w:r>
        <w:rPr>
          <w:rFonts w:hint="eastAsia" w:ascii="仿宋" w:hAnsi="仿宋" w:eastAsia="仿宋" w:cs="仿宋"/>
          <w:szCs w:val="21"/>
          <w:highlight w:val="none"/>
        </w:rPr>
        <w:t>电动滑板车</w:t>
      </w:r>
      <w:r>
        <w:rPr>
          <w:rFonts w:hint="eastAsia" w:ascii="仿宋" w:hAnsi="仿宋" w:eastAsia="仿宋" w:cs="仿宋"/>
          <w:szCs w:val="21"/>
          <w:highlight w:val="none"/>
          <w:lang w:eastAsia="zh-CN"/>
        </w:rPr>
        <w:t>、</w:t>
      </w:r>
      <w:r>
        <w:rPr>
          <w:rFonts w:hint="eastAsia" w:ascii="仿宋" w:hAnsi="仿宋" w:eastAsia="仿宋" w:cs="仿宋"/>
          <w:szCs w:val="21"/>
          <w:highlight w:val="none"/>
        </w:rPr>
        <w:t>自行车</w:t>
      </w:r>
    </w:p>
    <w:p w14:paraId="4999C467">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对应采购计划文号[2025]30996号</w:t>
      </w:r>
    </w:p>
    <w:p w14:paraId="6C0B7682">
      <w:pPr>
        <w:adjustRightInd w:val="0"/>
        <w:snapToGrid w:val="0"/>
        <w:spacing w:line="288" w:lineRule="auto"/>
        <w:ind w:firstLine="420" w:firstLineChars="200"/>
        <w:rPr>
          <w:rFonts w:ascii="仿宋" w:hAnsi="仿宋" w:eastAsia="仿宋" w:cs="仿宋"/>
          <w:szCs w:val="21"/>
          <w:highlight w:val="none"/>
        </w:rPr>
      </w:pPr>
    </w:p>
    <w:p w14:paraId="14FFCDC6">
      <w:pPr>
        <w:adjustRightInd w:val="0"/>
        <w:snapToGrid w:val="0"/>
        <w:spacing w:line="288"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标项</w:t>
      </w:r>
      <w:r>
        <w:rPr>
          <w:rFonts w:hint="eastAsia" w:ascii="仿宋" w:hAnsi="仿宋" w:eastAsia="仿宋" w:cs="仿宋"/>
          <w:szCs w:val="21"/>
          <w:highlight w:val="none"/>
          <w:lang w:val="en-US" w:eastAsia="zh-CN"/>
        </w:rPr>
        <w:t>九</w:t>
      </w:r>
    </w:p>
    <w:p w14:paraId="4999C748">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标项名称：电动自行车及摩托车头盔</w:t>
      </w:r>
    </w:p>
    <w:p w14:paraId="371E753D">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数量：1</w:t>
      </w:r>
    </w:p>
    <w:p w14:paraId="55DD06DA">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150000</w:t>
      </w:r>
    </w:p>
    <w:p w14:paraId="2D3F7B52">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简要规格描述或项目基本概况介绍、用途：电动自行车头盔</w:t>
      </w:r>
      <w:r>
        <w:rPr>
          <w:rFonts w:hint="eastAsia" w:ascii="仿宋" w:hAnsi="仿宋" w:eastAsia="仿宋" w:cs="仿宋"/>
          <w:szCs w:val="21"/>
          <w:highlight w:val="none"/>
          <w:lang w:eastAsia="zh-CN"/>
        </w:rPr>
        <w:t>、</w:t>
      </w:r>
      <w:r>
        <w:rPr>
          <w:rFonts w:hint="eastAsia" w:ascii="仿宋" w:hAnsi="仿宋" w:eastAsia="仿宋" w:cs="仿宋"/>
          <w:szCs w:val="21"/>
          <w:highlight w:val="none"/>
        </w:rPr>
        <w:t>摩托车乘员头盔</w:t>
      </w:r>
    </w:p>
    <w:p w14:paraId="01F8982E">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对应采购计划文号[2025]30997号</w:t>
      </w:r>
    </w:p>
    <w:p w14:paraId="47496D2B">
      <w:pPr>
        <w:adjustRightInd w:val="0"/>
        <w:snapToGrid w:val="0"/>
        <w:spacing w:line="288" w:lineRule="auto"/>
        <w:ind w:firstLine="420" w:firstLineChars="200"/>
        <w:rPr>
          <w:rFonts w:ascii="仿宋" w:hAnsi="仿宋" w:eastAsia="仿宋" w:cs="仿宋"/>
          <w:szCs w:val="21"/>
          <w:highlight w:val="none"/>
        </w:rPr>
      </w:pPr>
    </w:p>
    <w:p w14:paraId="1DB0B491">
      <w:pPr>
        <w:adjustRightInd w:val="0"/>
        <w:snapToGrid w:val="0"/>
        <w:spacing w:line="288"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标项</w:t>
      </w:r>
      <w:r>
        <w:rPr>
          <w:rFonts w:hint="eastAsia" w:ascii="仿宋" w:hAnsi="仿宋" w:eastAsia="仿宋" w:cs="仿宋"/>
          <w:szCs w:val="21"/>
          <w:highlight w:val="none"/>
          <w:lang w:val="en-US" w:eastAsia="zh-CN"/>
        </w:rPr>
        <w:t>十</w:t>
      </w:r>
    </w:p>
    <w:p w14:paraId="2280A000">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标项名称：电动自行车配件</w:t>
      </w:r>
    </w:p>
    <w:p w14:paraId="00651E0A">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数量：1</w:t>
      </w:r>
    </w:p>
    <w:p w14:paraId="4E51D3B0">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260000</w:t>
      </w:r>
    </w:p>
    <w:p w14:paraId="3E812B68">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简要规格描述或项目基本概况介绍、用途：电动自行车充电器</w:t>
      </w:r>
      <w:r>
        <w:rPr>
          <w:rFonts w:hint="eastAsia" w:ascii="仿宋" w:hAnsi="仿宋" w:eastAsia="仿宋" w:cs="仿宋"/>
          <w:szCs w:val="21"/>
          <w:highlight w:val="none"/>
          <w:lang w:eastAsia="zh-CN"/>
        </w:rPr>
        <w:t>、</w:t>
      </w:r>
      <w:r>
        <w:rPr>
          <w:rFonts w:hint="eastAsia" w:ascii="仿宋" w:hAnsi="仿宋" w:eastAsia="仿宋" w:cs="仿宋"/>
          <w:szCs w:val="21"/>
          <w:highlight w:val="none"/>
        </w:rPr>
        <w:t>电动车动力电池（电动车用锂离子电池）</w:t>
      </w:r>
      <w:r>
        <w:rPr>
          <w:rFonts w:hint="eastAsia" w:ascii="仿宋" w:hAnsi="仿宋" w:eastAsia="仿宋" w:cs="仿宋"/>
          <w:szCs w:val="21"/>
          <w:highlight w:val="none"/>
          <w:lang w:eastAsia="zh-CN"/>
        </w:rPr>
        <w:t>、</w:t>
      </w:r>
      <w:r>
        <w:rPr>
          <w:rFonts w:hint="eastAsia" w:ascii="仿宋" w:hAnsi="仿宋" w:eastAsia="仿宋" w:cs="仿宋"/>
          <w:szCs w:val="21"/>
          <w:highlight w:val="none"/>
        </w:rPr>
        <w:t>电动车动力电池（电动车用铅酸蓄电池）</w:t>
      </w:r>
    </w:p>
    <w:p w14:paraId="53BDC8C0">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对应采购计划文号[2025]30995号</w:t>
      </w:r>
    </w:p>
    <w:p w14:paraId="0649105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Cs w:val="21"/>
          <w:highlight w:val="none"/>
        </w:rPr>
      </w:pPr>
    </w:p>
    <w:p w14:paraId="2D6D93E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合同履约期限：合同签订后，一年内有效</w:t>
      </w:r>
      <w:r>
        <w:rPr>
          <w:rFonts w:hint="eastAsia" w:ascii="仿宋" w:hAnsi="仿宋" w:eastAsia="仿宋" w:cs="仿宋"/>
          <w:color w:val="auto"/>
          <w:szCs w:val="21"/>
          <w:highlight w:val="none"/>
          <w:lang w:eastAsia="zh-CN"/>
        </w:rPr>
        <w:t>。</w:t>
      </w:r>
    </w:p>
    <w:p w14:paraId="7E47C38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w:t>
      </w:r>
      <w:r>
        <w:rPr>
          <w:rFonts w:hint="eastAsia" w:ascii="仿宋" w:hAnsi="仿宋" w:eastAsia="仿宋" w:cs="仿宋"/>
          <w:bCs/>
          <w:color w:val="auto"/>
          <w:szCs w:val="21"/>
          <w:highlight w:val="none"/>
          <w:lang w:val="en-US" w:eastAsia="zh-CN"/>
        </w:rPr>
        <w:t>是</w:t>
      </w:r>
      <w:r>
        <w:rPr>
          <w:rFonts w:hint="eastAsia" w:ascii="仿宋" w:hAnsi="仿宋" w:eastAsia="仿宋" w:cs="仿宋"/>
          <w:bCs/>
          <w:color w:val="auto"/>
          <w:szCs w:val="21"/>
          <w:highlight w:val="none"/>
        </w:rPr>
        <w:t>）接受联合体投标。</w:t>
      </w:r>
    </w:p>
    <w:p w14:paraId="3453CAA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14:paraId="5F0C87F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9" w:name="_Toc28359081"/>
      <w:bookmarkStart w:id="10" w:name="_Toc28359004"/>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9D0502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szCs w:val="21"/>
          <w:highlight w:val="none"/>
          <w:lang w:val="en-US" w:eastAsia="zh-CN"/>
        </w:rPr>
        <w:t>无</w:t>
      </w:r>
    </w:p>
    <w:p w14:paraId="30521C8F">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color w:val="auto"/>
          <w:szCs w:val="21"/>
          <w:highlight w:val="none"/>
        </w:rPr>
        <w:t>3.本项目的特定资格要求：</w:t>
      </w:r>
      <w:r>
        <w:rPr>
          <w:rFonts w:hint="eastAsia" w:ascii="仿宋" w:hAnsi="仿宋" w:eastAsia="仿宋" w:cs="仿宋"/>
          <w:szCs w:val="21"/>
          <w:highlight w:val="none"/>
        </w:rPr>
        <w:t>具有国家认证认可监督管理委员会或市场监督管理部门颁发的有效期内的检验检测机构资质认定证书（CMA）</w:t>
      </w:r>
    </w:p>
    <w:p w14:paraId="7BCC307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szCs w:val="21"/>
          <w:highlight w:val="none"/>
        </w:rPr>
        <w:t>备注：</w:t>
      </w:r>
      <w:r>
        <w:rPr>
          <w:rFonts w:ascii="仿宋" w:hAnsi="仿宋" w:eastAsia="仿宋" w:cs="仿宋"/>
          <w:szCs w:val="21"/>
          <w:highlight w:val="none"/>
        </w:rPr>
        <w:t>公益一类事业单位不作为政府购买服务的购买主体和承接主体</w:t>
      </w:r>
    </w:p>
    <w:p w14:paraId="1594AC5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1" w:name="_Toc35393623"/>
      <w:bookmarkStart w:id="12" w:name="_Toc35393792"/>
      <w:r>
        <w:rPr>
          <w:rFonts w:hint="eastAsia" w:ascii="仿宋" w:hAnsi="仿宋" w:eastAsia="仿宋" w:cs="仿宋"/>
          <w:b/>
          <w:color w:val="auto"/>
          <w:szCs w:val="21"/>
          <w:highlight w:val="none"/>
        </w:rPr>
        <w:t>三、获取招标文件</w:t>
      </w:r>
      <w:bookmarkEnd w:id="9"/>
      <w:bookmarkEnd w:id="10"/>
      <w:bookmarkEnd w:id="11"/>
      <w:bookmarkEnd w:id="12"/>
    </w:p>
    <w:p w14:paraId="5381F57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13" w:name="_Toc35393793"/>
      <w:bookmarkStart w:id="14" w:name="_Toc35393624"/>
      <w:bookmarkStart w:id="15" w:name="_Toc28359005"/>
      <w:bookmarkStart w:id="16" w:name="_Toc28359082"/>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2025年</w:t>
      </w:r>
      <w:r>
        <w:rPr>
          <w:rFonts w:hint="eastAsia" w:ascii="仿宋" w:hAnsi="仿宋" w:eastAsia="仿宋" w:cs="仿宋"/>
          <w:color w:val="auto"/>
          <w:szCs w:val="21"/>
          <w:highlight w:val="none"/>
          <w:lang w:val="en-US" w:eastAsia="zh-CN"/>
        </w:rPr>
        <w:t>06</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12</w:t>
      </w:r>
      <w:bookmarkStart w:id="49" w:name="_GoBack"/>
      <w:bookmarkEnd w:id="49"/>
      <w:r>
        <w:rPr>
          <w:rFonts w:hint="eastAsia" w:ascii="仿宋" w:hAnsi="仿宋" w:eastAsia="仿宋" w:cs="仿宋"/>
          <w:color w:val="auto"/>
          <w:szCs w:val="21"/>
          <w:highlight w:val="none"/>
          <w:lang w:eastAsia="zh-CN"/>
        </w:rPr>
        <w:t>日至2025年07月07日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14:paraId="1BB0506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14:paraId="53023BB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14:paraId="31E06E1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14:paraId="1635750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14:paraId="43E4AE6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2025年07月07日上午09:30:00（北京时间）</w:t>
      </w:r>
    </w:p>
    <w:p w14:paraId="4C84E1D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14:paraId="1B5E436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2025年07月07日上午09:30:00（北京时间）</w:t>
      </w:r>
    </w:p>
    <w:p w14:paraId="299F1FC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lang w:eastAsia="zh-CN"/>
        </w:rPr>
        <w:t>政府采购云平台（https://www.zcygov.cn）/杭州市西湖区玉古路173号中田大厦</w:t>
      </w:r>
      <w:r>
        <w:rPr>
          <w:rFonts w:hint="eastAsia" w:ascii="仿宋" w:hAnsi="仿宋" w:eastAsia="仿宋" w:cs="仿宋"/>
          <w:color w:val="auto"/>
          <w:szCs w:val="21"/>
          <w:highlight w:val="none"/>
          <w:lang w:val="en-US" w:eastAsia="zh-CN"/>
        </w:rPr>
        <w:t>21</w:t>
      </w:r>
      <w:r>
        <w:rPr>
          <w:rFonts w:hint="eastAsia" w:ascii="仿宋" w:hAnsi="仿宋" w:eastAsia="仿宋" w:cs="仿宋"/>
          <w:color w:val="auto"/>
          <w:szCs w:val="21"/>
          <w:highlight w:val="none"/>
          <w:lang w:eastAsia="zh-CN"/>
        </w:rPr>
        <w:t>楼求是招标会议室</w:t>
      </w:r>
      <w:r>
        <w:rPr>
          <w:rFonts w:hint="eastAsia" w:ascii="仿宋" w:hAnsi="仿宋" w:eastAsia="仿宋" w:cs="仿宋"/>
          <w:color w:val="auto"/>
          <w:szCs w:val="21"/>
          <w:highlight w:val="none"/>
          <w:lang w:val="en-US" w:eastAsia="zh-CN"/>
        </w:rPr>
        <w:t>1</w:t>
      </w:r>
    </w:p>
    <w:bookmarkEnd w:id="17"/>
    <w:p w14:paraId="6359AD5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8" w:name="_Toc28359084"/>
      <w:bookmarkStart w:id="19" w:name="_Toc35393625"/>
      <w:bookmarkStart w:id="20" w:name="_Toc28359007"/>
      <w:bookmarkStart w:id="21" w:name="_Toc35393794"/>
      <w:r>
        <w:rPr>
          <w:rFonts w:hint="eastAsia" w:ascii="仿宋" w:hAnsi="仿宋" w:eastAsia="仿宋" w:cs="仿宋"/>
          <w:b/>
          <w:color w:val="auto"/>
          <w:szCs w:val="21"/>
          <w:highlight w:val="none"/>
        </w:rPr>
        <w:t>五、公告期限</w:t>
      </w:r>
      <w:bookmarkEnd w:id="18"/>
      <w:bookmarkEnd w:id="19"/>
      <w:bookmarkEnd w:id="20"/>
      <w:bookmarkEnd w:id="21"/>
    </w:p>
    <w:p w14:paraId="13E5F00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5A71679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2" w:name="_Toc35393626"/>
      <w:bookmarkStart w:id="23" w:name="_Toc35393795"/>
      <w:r>
        <w:rPr>
          <w:rFonts w:hint="eastAsia" w:ascii="仿宋" w:hAnsi="仿宋" w:eastAsia="仿宋" w:cs="仿宋"/>
          <w:b/>
          <w:color w:val="auto"/>
          <w:szCs w:val="21"/>
          <w:highlight w:val="none"/>
        </w:rPr>
        <w:t>六、其他补充事宜</w:t>
      </w:r>
      <w:bookmarkEnd w:id="22"/>
      <w:bookmarkEnd w:id="23"/>
    </w:p>
    <w:p w14:paraId="350E992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color w:val="auto"/>
          <w:szCs w:val="21"/>
          <w:highlight w:val="none"/>
        </w:rPr>
        <w:t>，此前有关规定与上述文件内容不一致的，按上述文件要求执行。</w:t>
      </w:r>
    </w:p>
    <w:p w14:paraId="63F49B2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9C24A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Cs w:val="21"/>
          <w:highlight w:val="none"/>
          <w:lang w:eastAsia="zh-CN"/>
        </w:rPr>
        <w:t>同级政府采购监督管理部门</w:t>
      </w:r>
      <w:r>
        <w:rPr>
          <w:rFonts w:hint="eastAsia" w:ascii="仿宋" w:hAnsi="仿宋" w:eastAsia="仿宋" w:cs="仿宋"/>
          <w:color w:val="auto"/>
          <w:szCs w:val="21"/>
          <w:highlight w:val="none"/>
        </w:rPr>
        <w:t>投诉。质疑函范本、投诉书范本请到浙江政府采购网下载专区下载。</w:t>
      </w:r>
    </w:p>
    <w:p w14:paraId="5102D31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（1）需要落实的政府采购政策：包括促进中小企业发展等，具体详见招标文件第三章“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14:paraId="24245D1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7" w:name="_Toc28359008"/>
      <w:bookmarkStart w:id="28" w:name="_Toc35393796"/>
      <w:bookmarkStart w:id="29" w:name="_Toc35393627"/>
      <w:bookmarkStart w:id="30" w:name="_Toc28359085"/>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14:paraId="716CDD5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2EED757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浙江省市场监督管理局</w:t>
      </w:r>
    </w:p>
    <w:p w14:paraId="50B438B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地址：杭州市莫干山路77号金汇大厦</w:t>
      </w:r>
    </w:p>
    <w:p w14:paraId="028E94D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14:paraId="1EC8CEF4">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项目联系人：赵老师</w:t>
      </w:r>
    </w:p>
    <w:p w14:paraId="337ADF42">
      <w:pPr>
        <w:adjustRightInd w:val="0"/>
        <w:snapToGrid w:val="0"/>
        <w:spacing w:line="288" w:lineRule="auto"/>
        <w:ind w:firstLine="630" w:firstLineChars="300"/>
        <w:rPr>
          <w:rFonts w:hint="eastAsia" w:ascii="仿宋" w:hAnsi="仿宋" w:eastAsia="仿宋" w:cs="仿宋"/>
          <w:szCs w:val="21"/>
          <w:highlight w:val="none"/>
          <w:lang w:eastAsia="zh-CN"/>
        </w:rPr>
      </w:pPr>
      <w:r>
        <w:rPr>
          <w:rFonts w:hint="eastAsia" w:ascii="仿宋" w:hAnsi="仿宋" w:eastAsia="仿宋" w:cs="仿宋"/>
          <w:szCs w:val="21"/>
          <w:highlight w:val="none"/>
        </w:rPr>
        <w:t>项目联系方式：0571-8976143</w:t>
      </w:r>
      <w:r>
        <w:rPr>
          <w:rFonts w:hint="eastAsia" w:ascii="仿宋" w:hAnsi="仿宋" w:eastAsia="仿宋" w:cs="仿宋"/>
          <w:szCs w:val="21"/>
          <w:highlight w:val="none"/>
          <w:lang w:val="en-US" w:eastAsia="zh-CN"/>
        </w:rPr>
        <w:t>1</w:t>
      </w:r>
    </w:p>
    <w:p w14:paraId="10119242">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质疑联系人：刘老师</w:t>
      </w:r>
    </w:p>
    <w:p w14:paraId="06F3B3FD">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质疑联系方式：0571-89761</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55</w:t>
      </w:r>
    </w:p>
    <w:p w14:paraId="53230A9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367130E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620455D3">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14:paraId="7F325078">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地址：杭州市西湖区玉古路173号</w:t>
      </w:r>
      <w:r>
        <w:rPr>
          <w:rFonts w:hint="eastAsia" w:ascii="仿宋" w:hAnsi="仿宋" w:eastAsia="仿宋" w:cs="仿宋"/>
          <w:color w:val="auto"/>
          <w:szCs w:val="21"/>
          <w:highlight w:val="none"/>
          <w:lang w:eastAsia="zh-CN"/>
        </w:rPr>
        <w:t>中田大厦21楼</w:t>
      </w:r>
    </w:p>
    <w:p w14:paraId="20EFEC46">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0C86DAAF">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杨立凯、冯增伟</w:t>
      </w:r>
    </w:p>
    <w:p w14:paraId="20AC455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14:paraId="4E1200DF">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14:paraId="4F5ABFBB">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14:paraId="7BBAD106">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14:paraId="4AABCB9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4FA251A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3.同级政府采购监督管理部门</w:t>
      </w:r>
    </w:p>
    <w:p w14:paraId="235D01D2">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名称：浙江省财政厅政府采购监管处、浙江省政府采购行政裁决服务中心（杭州）</w:t>
      </w:r>
    </w:p>
    <w:p w14:paraId="63B618A2">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地址：杭州市上城区清泰街549号城建综合大楼11楼（快递仅限ems或顺丰）</w:t>
      </w:r>
    </w:p>
    <w:p w14:paraId="621EADF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14:paraId="65645015">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联系人：朱女士、王女士</w:t>
      </w:r>
    </w:p>
    <w:p w14:paraId="4CE1FABD">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监督投诉电话：0571-87227671,0571-87800218</w:t>
      </w:r>
    </w:p>
    <w:p w14:paraId="10C6BC33">
      <w:pPr>
        <w:pStyle w:val="2"/>
        <w:rPr>
          <w:rFonts w:hint="eastAsia"/>
          <w:color w:val="auto"/>
          <w:highlight w:val="none"/>
        </w:rPr>
      </w:pPr>
    </w:p>
    <w:p w14:paraId="503834DE">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14:paraId="1CA9495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预算金额未达100万元的采购项目，由采购人处理采购争议。</w:t>
      </w:r>
    </w:p>
    <w:p w14:paraId="3B1171A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p>
    <w:p w14:paraId="19E19B6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2855933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400-888-4636；天谷CA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400-087-8198。</w:t>
      </w:r>
    </w:p>
    <w:p w14:paraId="4EE86E84">
      <w:pPr>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0E7C145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14:paraId="45BC43AA">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973"/>
        <w:gridCol w:w="5871"/>
      </w:tblGrid>
      <w:tr w14:paraId="76A8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60130BAC">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2973" w:type="dxa"/>
            <w:vAlign w:val="center"/>
          </w:tcPr>
          <w:p w14:paraId="0EBD0227">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5871" w:type="dxa"/>
            <w:vAlign w:val="center"/>
          </w:tcPr>
          <w:p w14:paraId="7645F0A6">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14:paraId="2DAA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389559FD">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2973" w:type="dxa"/>
            <w:vAlign w:val="center"/>
          </w:tcPr>
          <w:p w14:paraId="3CF703F3">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5871" w:type="dxa"/>
            <w:vAlign w:val="center"/>
          </w:tcPr>
          <w:p w14:paraId="0B9AE895">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不适用</w:t>
            </w:r>
          </w:p>
        </w:tc>
      </w:tr>
      <w:tr w14:paraId="35E0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3364E9BA">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2973" w:type="dxa"/>
            <w:vAlign w:val="center"/>
          </w:tcPr>
          <w:p w14:paraId="4E26B881">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5871" w:type="dxa"/>
            <w:vAlign w:val="center"/>
          </w:tcPr>
          <w:p w14:paraId="2181F465">
            <w:pPr>
              <w:keepNext w:val="0"/>
              <w:keepLines w:val="0"/>
              <w:pageBreakBefore w:val="0"/>
              <w:widowControl w:val="0"/>
              <w:kinsoku/>
              <w:wordWrap/>
              <w:overflowPunct/>
              <w:topLinePunct w:val="0"/>
              <w:autoSpaceDE/>
              <w:autoSpaceDN/>
              <w:bidi w:val="0"/>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14:paraId="5F90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4E61167C">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2973" w:type="dxa"/>
            <w:vAlign w:val="center"/>
          </w:tcPr>
          <w:p w14:paraId="2AFE6EC9">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5871" w:type="dxa"/>
            <w:vAlign w:val="center"/>
          </w:tcPr>
          <w:p w14:paraId="57F26941">
            <w:pPr>
              <w:keepNext w:val="0"/>
              <w:keepLines w:val="0"/>
              <w:pageBreakBefore w:val="0"/>
              <w:widowControl w:val="0"/>
              <w:kinsoku/>
              <w:wordWrap/>
              <w:overflowPunct/>
              <w:topLinePunct w:val="0"/>
              <w:autoSpaceDE/>
              <w:autoSpaceDN/>
              <w:bidi w:val="0"/>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14:paraId="40A9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783709E5">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2973" w:type="dxa"/>
            <w:vAlign w:val="center"/>
          </w:tcPr>
          <w:p w14:paraId="6916EAC6">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政府采购支持创新发展</w:t>
            </w:r>
          </w:p>
        </w:tc>
        <w:tc>
          <w:tcPr>
            <w:tcW w:w="5871" w:type="dxa"/>
            <w:vAlign w:val="center"/>
          </w:tcPr>
          <w:p w14:paraId="59D6B3CD">
            <w:pPr>
              <w:keepNext w:val="0"/>
              <w:keepLines w:val="0"/>
              <w:pageBreakBefore w:val="0"/>
              <w:widowControl w:val="0"/>
              <w:kinsoku/>
              <w:wordWrap/>
              <w:overflowPunct/>
              <w:topLinePunct w:val="0"/>
              <w:autoSpaceDE/>
              <w:autoSpaceDN/>
              <w:bidi w:val="0"/>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14:paraId="6695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0AA9E09F">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2973" w:type="dxa"/>
            <w:vAlign w:val="center"/>
          </w:tcPr>
          <w:p w14:paraId="7DB0692C">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5871" w:type="dxa"/>
            <w:vAlign w:val="center"/>
          </w:tcPr>
          <w:p w14:paraId="47E7535E">
            <w:pPr>
              <w:keepNext w:val="0"/>
              <w:keepLines w:val="0"/>
              <w:pageBreakBefore w:val="0"/>
              <w:widowControl w:val="0"/>
              <w:kinsoku/>
              <w:wordWrap/>
              <w:overflowPunct/>
              <w:topLinePunct w:val="0"/>
              <w:autoSpaceDE/>
              <w:autoSpaceDN/>
              <w:bidi w:val="0"/>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p>
          <w:p w14:paraId="329D8E42">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属性：服务</w:t>
            </w:r>
          </w:p>
          <w:p w14:paraId="01546D40">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采购标的对应的中小企业划分标准所属行业</w:t>
            </w:r>
            <w:r>
              <w:rPr>
                <w:rFonts w:hint="eastAsia" w:ascii="仿宋" w:hAnsi="仿宋" w:eastAsia="仿宋" w:cs="仿宋"/>
                <w:b w:val="0"/>
                <w:bCs w:val="0"/>
                <w:color w:val="auto"/>
                <w:szCs w:val="21"/>
                <w:highlight w:val="none"/>
                <w:lang w:eastAsia="zh-CN"/>
              </w:rPr>
              <w:t>：</w:t>
            </w:r>
            <w:r>
              <w:rPr>
                <w:rFonts w:hint="eastAsia" w:ascii="仿宋" w:hAnsi="仿宋" w:eastAsia="仿宋" w:cs="仿宋"/>
                <w:b/>
                <w:bCs/>
                <w:color w:val="auto"/>
                <w:szCs w:val="21"/>
                <w:highlight w:val="none"/>
              </w:rPr>
              <w:t>其他未列明行业</w:t>
            </w:r>
          </w:p>
          <w:p w14:paraId="09F464EC">
            <w:pPr>
              <w:keepNext w:val="0"/>
              <w:keepLines w:val="0"/>
              <w:pageBreakBefore w:val="0"/>
              <w:widowControl w:val="0"/>
              <w:kinsoku/>
              <w:wordWrap/>
              <w:overflowPunct/>
              <w:topLinePunct w:val="0"/>
              <w:autoSpaceDE/>
              <w:autoSpaceDN/>
              <w:bidi w:val="0"/>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val="0"/>
                <w:bCs w:val="0"/>
                <w:color w:val="auto"/>
                <w:szCs w:val="21"/>
                <w:highlight w:val="none"/>
              </w:rPr>
              <w:t>中小企业划型标准：从业人员300人以下的为中小微型企业。其中，从业人员100人及以上的为中型企业；从业人员10人及以上的为小型企业；从业人员10人以下的为微型企业。</w:t>
            </w:r>
          </w:p>
        </w:tc>
      </w:tr>
      <w:tr w14:paraId="0F42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53EBD9E1">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2973" w:type="dxa"/>
            <w:vAlign w:val="center"/>
          </w:tcPr>
          <w:p w14:paraId="30D30E23">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5871" w:type="dxa"/>
            <w:vAlign w:val="center"/>
          </w:tcPr>
          <w:p w14:paraId="0E74A80B">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tr w14:paraId="256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11C826CD">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2973" w:type="dxa"/>
            <w:vAlign w:val="center"/>
          </w:tcPr>
          <w:p w14:paraId="2F8A85B3">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5871" w:type="dxa"/>
            <w:vAlign w:val="center"/>
          </w:tcPr>
          <w:p w14:paraId="7B10CC47">
            <w:pPr>
              <w:keepNext w:val="0"/>
              <w:keepLines w:val="0"/>
              <w:pageBreakBefore w:val="0"/>
              <w:widowControl w:val="0"/>
              <w:kinsoku/>
              <w:wordWrap/>
              <w:overflowPunct/>
              <w:topLinePunct w:val="0"/>
              <w:autoSpaceDE/>
              <w:autoSpaceDN/>
              <w:bidi w:val="0"/>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bookmarkEnd w:id="31"/>
    </w:tbl>
    <w:p w14:paraId="216386EC">
      <w:pPr>
        <w:adjustRightInd w:val="0"/>
        <w:snapToGrid w:val="0"/>
        <w:spacing w:line="288" w:lineRule="auto"/>
        <w:rPr>
          <w:rFonts w:ascii="仿宋" w:hAnsi="仿宋" w:eastAsia="仿宋" w:cs="仿宋"/>
          <w:b/>
          <w:color w:val="auto"/>
          <w:spacing w:val="-4"/>
          <w:szCs w:val="21"/>
          <w:highlight w:val="none"/>
        </w:rPr>
      </w:pPr>
    </w:p>
    <w:p w14:paraId="0ED444D2">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7"/>
        <w:gridCol w:w="7701"/>
      </w:tblGrid>
      <w:tr w14:paraId="56257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927" w:type="dxa"/>
            <w:tcBorders>
              <w:top w:val="single" w:color="auto" w:sz="4" w:space="0"/>
              <w:left w:val="single" w:color="auto" w:sz="4" w:space="0"/>
              <w:bottom w:val="single" w:color="auto" w:sz="4" w:space="0"/>
              <w:right w:val="single" w:color="auto" w:sz="4" w:space="0"/>
            </w:tcBorders>
            <w:vAlign w:val="center"/>
          </w:tcPr>
          <w:p w14:paraId="52E4D857">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7701" w:type="dxa"/>
            <w:tcBorders>
              <w:top w:val="single" w:color="auto" w:sz="4" w:space="0"/>
              <w:left w:val="single" w:color="auto" w:sz="4" w:space="0"/>
              <w:bottom w:val="single" w:color="auto" w:sz="4" w:space="0"/>
              <w:right w:val="single" w:color="auto" w:sz="4" w:space="0"/>
            </w:tcBorders>
            <w:vAlign w:val="center"/>
          </w:tcPr>
          <w:p w14:paraId="3F4E48C8">
            <w:pPr>
              <w:keepNext w:val="0"/>
              <w:keepLines w:val="0"/>
              <w:pageBreakBefore w:val="0"/>
              <w:widowControl w:val="0"/>
              <w:kinsoku/>
              <w:wordWrap/>
              <w:overflowPunct/>
              <w:topLinePunct w:val="0"/>
              <w:autoSpaceDE/>
              <w:autoSpaceDN/>
              <w:bidi w:val="0"/>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14:paraId="50213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27" w:type="dxa"/>
            <w:tcBorders>
              <w:top w:val="single" w:color="auto" w:sz="4" w:space="0"/>
              <w:left w:val="single" w:color="auto" w:sz="4" w:space="0"/>
              <w:bottom w:val="single" w:color="auto" w:sz="4" w:space="0"/>
              <w:right w:val="single" w:color="auto" w:sz="4" w:space="0"/>
            </w:tcBorders>
            <w:vAlign w:val="center"/>
          </w:tcPr>
          <w:p w14:paraId="70B3E498">
            <w:pPr>
              <w:jc w:val="center"/>
              <w:rPr>
                <w:rFonts w:ascii="仿宋" w:hAnsi="仿宋" w:eastAsia="仿宋" w:cs="仿宋"/>
                <w:b/>
                <w:bCs/>
                <w:color w:val="auto"/>
                <w:szCs w:val="21"/>
                <w:highlight w:val="none"/>
              </w:rPr>
            </w:pPr>
            <w:r>
              <w:rPr>
                <w:rFonts w:hint="eastAsia" w:ascii="仿宋" w:hAnsi="仿宋" w:eastAsia="仿宋" w:cs="仿宋"/>
                <w:b/>
                <w:bCs/>
                <w:szCs w:val="21"/>
                <w:highlight w:val="none"/>
              </w:rPr>
              <w:t>支付时间及条件</w:t>
            </w:r>
          </w:p>
        </w:tc>
        <w:tc>
          <w:tcPr>
            <w:tcW w:w="7701" w:type="dxa"/>
            <w:tcBorders>
              <w:top w:val="single" w:color="auto" w:sz="4" w:space="0"/>
              <w:left w:val="single" w:color="auto" w:sz="4" w:space="0"/>
              <w:bottom w:val="single" w:color="auto" w:sz="4" w:space="0"/>
              <w:right w:val="single" w:color="auto" w:sz="4" w:space="0"/>
            </w:tcBorders>
            <w:vAlign w:val="center"/>
          </w:tcPr>
          <w:p w14:paraId="1D2FEBB9">
            <w:pPr>
              <w:rPr>
                <w:rFonts w:ascii="仿宋" w:hAnsi="仿宋" w:eastAsia="仿宋" w:cs="仿宋"/>
                <w:highlight w:val="none"/>
              </w:rPr>
            </w:pPr>
            <w:r>
              <w:rPr>
                <w:rFonts w:hint="eastAsia" w:ascii="仿宋" w:hAnsi="仿宋" w:eastAsia="仿宋" w:cs="仿宋"/>
                <w:highlight w:val="none"/>
              </w:rPr>
              <w:t>分三期付款：</w:t>
            </w:r>
          </w:p>
          <w:p w14:paraId="731C4B53">
            <w:pPr>
              <w:rPr>
                <w:rFonts w:ascii="仿宋" w:hAnsi="仿宋" w:eastAsia="仿宋" w:cs="仿宋"/>
                <w:highlight w:val="none"/>
              </w:rPr>
            </w:pPr>
            <w:r>
              <w:rPr>
                <w:rFonts w:hint="eastAsia" w:ascii="仿宋" w:hAnsi="仿宋" w:eastAsia="仿宋" w:cs="仿宋"/>
                <w:highlight w:val="none"/>
              </w:rPr>
              <w:t>1.第一期支付：合同签订后且收到中标人开具的符合要求的票据之日起七个工作日内，由采购人支付标项预算金额的60%作为预付款。</w:t>
            </w:r>
          </w:p>
          <w:p w14:paraId="483D6052">
            <w:pPr>
              <w:rPr>
                <w:rFonts w:ascii="仿宋" w:hAnsi="仿宋" w:eastAsia="仿宋" w:cs="仿宋"/>
                <w:highlight w:val="none"/>
              </w:rPr>
            </w:pPr>
            <w:r>
              <w:rPr>
                <w:rFonts w:hint="eastAsia" w:ascii="仿宋" w:hAnsi="仿宋" w:eastAsia="仿宋" w:cs="仿宋"/>
                <w:highlight w:val="none"/>
              </w:rPr>
              <w:t>2.第二期支付：中标人完成抽样环节的工作时，采购人按预测算的抽检服务经费总额（中标单价×抽样批次数）的30%向中标人支付服务费用。如预测算的抽检服务经费总额在计算后已出现第三期拨付款金额小于零的情况，则不再进行第二期支付，待中标人完成项目验收后与中标人进行尾款结算，支付剩余经费。</w:t>
            </w:r>
          </w:p>
          <w:p w14:paraId="4A7A20DD">
            <w:pPr>
              <w:rPr>
                <w:rFonts w:ascii="仿宋" w:hAnsi="仿宋" w:eastAsia="仿宋" w:cs="仿宋"/>
                <w:highlight w:val="none"/>
              </w:rPr>
            </w:pPr>
            <w:r>
              <w:rPr>
                <w:rFonts w:hint="eastAsia" w:ascii="仿宋" w:hAnsi="仿宋" w:eastAsia="仿宋" w:cs="仿宋"/>
                <w:highlight w:val="none"/>
              </w:rPr>
              <w:t>3.第三期支付：项目评审验收通过后，采购人向中标人支付合同的全部尾款，尾款金额=实际应支付的抽检服务经费总额（中标单价×实际抽检批次数）-第一期已付款金额-第二期已付款金额。采购人收到中标人出具符合要求的拨付材料后付清合同的剩余款项。如果计算得出的尾款金额小于零，中标人应当退还采购人预付的相应费用。尾款支付后，如有未完成事项，中标人应按招标文件或本合同约定执行。</w:t>
            </w:r>
          </w:p>
          <w:p w14:paraId="201E2D24">
            <w:pPr>
              <w:rPr>
                <w:rFonts w:ascii="仿宋" w:hAnsi="仿宋" w:eastAsia="仿宋" w:cs="仿宋"/>
                <w:b/>
                <w:bCs/>
                <w:sz w:val="18"/>
                <w:szCs w:val="18"/>
                <w:highlight w:val="none"/>
              </w:rPr>
            </w:pPr>
            <w:r>
              <w:rPr>
                <w:rFonts w:hint="eastAsia" w:ascii="仿宋" w:hAnsi="仿宋" w:eastAsia="仿宋" w:cs="仿宋"/>
                <w:b/>
                <w:bCs/>
                <w:sz w:val="18"/>
                <w:szCs w:val="18"/>
                <w:highlight w:val="none"/>
              </w:rPr>
              <w:t>注:</w:t>
            </w:r>
          </w:p>
          <w:p w14:paraId="576B2CB9">
            <w:pPr>
              <w:rPr>
                <w:rFonts w:ascii="仿宋" w:hAnsi="仿宋" w:eastAsia="仿宋" w:cs="仿宋"/>
                <w:b/>
                <w:bCs/>
                <w:sz w:val="18"/>
                <w:szCs w:val="18"/>
                <w:highlight w:val="none"/>
              </w:rPr>
            </w:pPr>
            <w:r>
              <w:rPr>
                <w:rFonts w:hint="eastAsia" w:ascii="仿宋" w:hAnsi="仿宋" w:eastAsia="仿宋" w:cs="仿宋"/>
                <w:b/>
                <w:bCs/>
                <w:sz w:val="18"/>
                <w:szCs w:val="18"/>
                <w:highlight w:val="none"/>
              </w:rPr>
              <w:t>1.甲方付款前，乙方应开具符合要求的发票，否则甲方有权拒绝付款，且不视为甲方违约；</w:t>
            </w:r>
          </w:p>
          <w:p w14:paraId="314449E8">
            <w:pPr>
              <w:rPr>
                <w:rFonts w:ascii="仿宋" w:hAnsi="仿宋" w:eastAsia="仿宋" w:cs="仿宋"/>
                <w:b/>
                <w:bCs/>
                <w:sz w:val="18"/>
                <w:szCs w:val="18"/>
                <w:highlight w:val="none"/>
              </w:rPr>
            </w:pPr>
            <w:r>
              <w:rPr>
                <w:rFonts w:hint="eastAsia" w:ascii="仿宋" w:hAnsi="仿宋" w:eastAsia="仿宋" w:cs="仿宋"/>
                <w:b/>
                <w:bCs/>
                <w:sz w:val="18"/>
                <w:szCs w:val="18"/>
                <w:highlight w:val="none"/>
              </w:rPr>
              <w:t>2.本项目的每笔款项均以人民币方式支付，支付所需材料按抽样、检验任务布置会要求准备。</w:t>
            </w:r>
          </w:p>
          <w:p w14:paraId="3A2C4676">
            <w:pPr>
              <w:rPr>
                <w:rFonts w:hint="default"/>
                <w:color w:val="auto"/>
                <w:highlight w:val="none"/>
                <w:lang w:val="en-US"/>
              </w:rPr>
            </w:pPr>
            <w:r>
              <w:rPr>
                <w:rFonts w:hint="eastAsia" w:ascii="仿宋" w:hAnsi="仿宋" w:eastAsia="仿宋" w:cs="仿宋"/>
                <w:b/>
                <w:bCs/>
                <w:sz w:val="18"/>
                <w:szCs w:val="18"/>
                <w:highlight w:val="none"/>
              </w:rPr>
              <w:t>3.合同中有联合体等多家单位合作完成的情况，采购人支付款项均支付给联合体牵头单位，相应发票亦由联合体牵头单位开具给采购人。</w:t>
            </w:r>
          </w:p>
        </w:tc>
      </w:tr>
      <w:tr w14:paraId="0A9F7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927" w:type="dxa"/>
            <w:tcBorders>
              <w:top w:val="single" w:color="auto" w:sz="4" w:space="0"/>
              <w:left w:val="single" w:color="auto" w:sz="4" w:space="0"/>
              <w:bottom w:val="single" w:color="auto" w:sz="4" w:space="0"/>
              <w:right w:val="single" w:color="auto" w:sz="4" w:space="0"/>
            </w:tcBorders>
            <w:vAlign w:val="center"/>
          </w:tcPr>
          <w:p w14:paraId="7919FE64">
            <w:pPr>
              <w:jc w:val="center"/>
              <w:rPr>
                <w:rFonts w:ascii="仿宋" w:hAnsi="仿宋" w:eastAsia="仿宋" w:cs="仿宋"/>
                <w:b/>
                <w:bCs/>
                <w:color w:val="auto"/>
                <w:szCs w:val="21"/>
                <w:highlight w:val="none"/>
              </w:rPr>
            </w:pPr>
            <w:r>
              <w:rPr>
                <w:rFonts w:hint="eastAsia" w:ascii="仿宋" w:hAnsi="仿宋" w:eastAsia="仿宋" w:cs="仿宋"/>
                <w:b/>
                <w:bCs/>
                <w:szCs w:val="21"/>
                <w:highlight w:val="none"/>
              </w:rPr>
              <w:t>履约保证金</w:t>
            </w:r>
          </w:p>
        </w:tc>
        <w:tc>
          <w:tcPr>
            <w:tcW w:w="7701" w:type="dxa"/>
            <w:tcBorders>
              <w:top w:val="single" w:color="auto" w:sz="4" w:space="0"/>
              <w:left w:val="single" w:color="auto" w:sz="4" w:space="0"/>
              <w:bottom w:val="single" w:color="auto" w:sz="4" w:space="0"/>
              <w:right w:val="single" w:color="auto" w:sz="4" w:space="0"/>
            </w:tcBorders>
            <w:vAlign w:val="center"/>
          </w:tcPr>
          <w:p w14:paraId="3AF35524">
            <w:pPr>
              <w:rPr>
                <w:rFonts w:hint="default" w:ascii="仿宋" w:hAnsi="仿宋" w:eastAsia="仿宋" w:cs="仿宋"/>
                <w:color w:val="auto"/>
                <w:kern w:val="2"/>
                <w:sz w:val="21"/>
                <w:szCs w:val="22"/>
                <w:highlight w:val="none"/>
                <w:lang w:val="en-US" w:eastAsia="zh-CN" w:bidi="ar-SA"/>
              </w:rPr>
            </w:pPr>
            <w:r>
              <w:rPr>
                <w:rFonts w:hint="eastAsia" w:ascii="仿宋" w:hAnsi="仿宋" w:eastAsia="仿宋" w:cs="仿宋"/>
                <w:szCs w:val="21"/>
                <w:highlight w:val="none"/>
              </w:rPr>
              <w:t>无</w:t>
            </w:r>
          </w:p>
        </w:tc>
      </w:tr>
    </w:tbl>
    <w:p w14:paraId="01A62EAC">
      <w:pPr>
        <w:adjustRightInd w:val="0"/>
        <w:snapToGrid w:val="0"/>
        <w:spacing w:line="288" w:lineRule="auto"/>
        <w:rPr>
          <w:rFonts w:ascii="仿宋" w:hAnsi="仿宋" w:eastAsia="仿宋" w:cs="仿宋"/>
          <w:color w:val="auto"/>
          <w:spacing w:val="-4"/>
          <w:szCs w:val="21"/>
          <w:highlight w:val="none"/>
        </w:rPr>
      </w:pPr>
    </w:p>
    <w:p w14:paraId="305E6B7B">
      <w:pPr>
        <w:adjustRightInd w:val="0"/>
        <w:snapToGrid w:val="0"/>
        <w:spacing w:line="288" w:lineRule="auto"/>
        <w:outlineLvl w:val="1"/>
        <w:rPr>
          <w:rFonts w:ascii="仿宋" w:hAnsi="仿宋" w:eastAsia="仿宋" w:cs="仿宋"/>
          <w:b/>
          <w:szCs w:val="21"/>
          <w:highlight w:val="none"/>
        </w:rPr>
      </w:pPr>
      <w:r>
        <w:rPr>
          <w:rFonts w:hint="eastAsia" w:ascii="仿宋" w:hAnsi="仿宋" w:eastAsia="仿宋" w:cs="仿宋"/>
          <w:b/>
          <w:szCs w:val="21"/>
          <w:highlight w:val="none"/>
        </w:rPr>
        <w:t>三、服务要求</w:t>
      </w:r>
    </w:p>
    <w:p w14:paraId="0E5BCF14">
      <w:pPr>
        <w:spacing w:line="288"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1.需实现的功能或者目标：</w:t>
      </w:r>
      <w:r>
        <w:rPr>
          <w:rFonts w:hint="eastAsia" w:ascii="仿宋" w:hAnsi="仿宋" w:eastAsia="仿宋" w:cs="仿宋"/>
          <w:szCs w:val="21"/>
          <w:highlight w:val="none"/>
        </w:rPr>
        <w:t>完成</w:t>
      </w:r>
      <w:r>
        <w:rPr>
          <w:rFonts w:hint="eastAsia" w:ascii="仿宋" w:hAnsi="仿宋" w:eastAsia="仿宋" w:cs="仿宋"/>
          <w:szCs w:val="21"/>
          <w:highlight w:val="none"/>
          <w:lang w:val="en-US" w:eastAsia="zh-CN"/>
        </w:rPr>
        <w:t>浙江省市场监督管理局</w:t>
      </w:r>
      <w:r>
        <w:rPr>
          <w:rFonts w:hint="eastAsia" w:ascii="仿宋" w:hAnsi="仿宋" w:eastAsia="仿宋" w:cs="仿宋"/>
          <w:color w:val="auto"/>
          <w:szCs w:val="21"/>
          <w:highlight w:val="none"/>
          <w:lang w:eastAsia="zh-CN"/>
        </w:rPr>
        <w:t>2025年度浙江省助力产品质量提升重点攻坚（二）产品质量监督抽查抽样检验机构技术服务采购项目</w:t>
      </w:r>
      <w:r>
        <w:rPr>
          <w:rFonts w:hint="eastAsia" w:ascii="仿宋" w:hAnsi="仿宋" w:eastAsia="仿宋" w:cs="仿宋"/>
          <w:szCs w:val="21"/>
          <w:highlight w:val="none"/>
        </w:rPr>
        <w:t>；</w:t>
      </w:r>
    </w:p>
    <w:p w14:paraId="04CDED21">
      <w:pPr>
        <w:pStyle w:val="40"/>
        <w:spacing w:line="288" w:lineRule="auto"/>
        <w:ind w:firstLine="422" w:firstLineChars="20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2.需满足的服务要求</w:t>
      </w:r>
    </w:p>
    <w:p w14:paraId="76EEF57E">
      <w:pPr>
        <w:spacing w:line="288"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2.1 总体要求</w:t>
      </w:r>
    </w:p>
    <w:p w14:paraId="2BF3F937">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（1）管理能力：投标人具备完善的管理制度，至少涵盖人员工作规范、抽样、检验工作的具体要求，样品管理、处置工作的具体要求以及异议处理、复检及结果上报工作的具体要求；</w:t>
      </w:r>
    </w:p>
    <w:p w14:paraId="29FF9B88">
      <w:pPr>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检验能力：投标人提供的投标技术服务方案应具备全部覆盖所投产品检验项目的检验能力，且检验能力稳定可靠。对于不具有检测能力的产品，本项目允许投标人在中标后对该产品的检测工作进行分包。但投标人应在投标文件技术方案中提供详细的分包方案，包括但不限于：拟实施分包的范围、作为分包人的检测机构具有相应检测能力的证明材料等。投标人应确保分包人在中标后能够以投标人承诺的质量标准实施项目，并对分包人的服务质量负有全部责任。未在投标文件中明确的分包方案，在中标后不得实施。分包人不得转包、二次分包。如发现中标人以转包、分包或挂靠的方式谋取中标，采购人有权对其解除合同、并要求赔偿相关损失。分包最多分包2家，在分包方案中具有2家以上分包人的投标无效。</w:t>
      </w:r>
    </w:p>
    <w:p w14:paraId="2349B0C4">
      <w:pPr>
        <w:spacing w:line="288"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2.</w:t>
      </w:r>
      <w:r>
        <w:rPr>
          <w:rFonts w:hint="eastAsia" w:ascii="仿宋" w:hAnsi="仿宋" w:eastAsia="仿宋" w:cs="仿宋"/>
          <w:b/>
          <w:bCs/>
          <w:szCs w:val="21"/>
          <w:highlight w:val="none"/>
          <w:lang w:val="en-US" w:eastAsia="zh-CN"/>
        </w:rPr>
        <w:t>2</w:t>
      </w:r>
      <w:r>
        <w:rPr>
          <w:rFonts w:hint="eastAsia" w:ascii="仿宋" w:hAnsi="仿宋" w:eastAsia="仿宋" w:cs="仿宋"/>
          <w:b/>
          <w:bCs/>
          <w:szCs w:val="21"/>
          <w:highlight w:val="none"/>
        </w:rPr>
        <w:t xml:space="preserve"> 任务内容及要求</w:t>
      </w:r>
    </w:p>
    <w:p w14:paraId="6CBD180C">
      <w:pPr>
        <w:spacing w:line="288" w:lineRule="auto"/>
        <w:ind w:firstLine="420" w:firstLineChars="200"/>
        <w:rPr>
          <w:rFonts w:hint="eastAsia" w:ascii="仿宋" w:hAnsi="仿宋" w:eastAsia="仿宋" w:cs="仿宋"/>
          <w:b/>
          <w:bCs/>
          <w:sz w:val="18"/>
          <w:szCs w:val="18"/>
          <w:highlight w:val="none"/>
          <w:lang w:eastAsia="zh-CN"/>
        </w:rPr>
      </w:pPr>
      <w:r>
        <w:rPr>
          <w:rFonts w:hint="eastAsia" w:ascii="仿宋" w:hAnsi="仿宋" w:eastAsia="仿宋" w:cs="仿宋"/>
          <w:szCs w:val="21"/>
          <w:highlight w:val="none"/>
        </w:rPr>
        <w:t>（1）本次采购需求目录所列产品为</w:t>
      </w:r>
      <w:r>
        <w:rPr>
          <w:rFonts w:hint="eastAsia" w:ascii="仿宋" w:hAnsi="仿宋" w:eastAsia="仿宋" w:cs="仿宋"/>
          <w:szCs w:val="21"/>
          <w:highlight w:val="none"/>
          <w:lang w:val="en-US" w:eastAsia="zh-CN"/>
        </w:rPr>
        <w:t>浙江省市场监督管理局</w:t>
      </w:r>
      <w:r>
        <w:rPr>
          <w:rFonts w:hint="eastAsia" w:ascii="仿宋" w:hAnsi="仿宋" w:eastAsia="仿宋" w:cs="仿宋"/>
          <w:color w:val="auto"/>
          <w:szCs w:val="21"/>
          <w:highlight w:val="none"/>
          <w:lang w:eastAsia="zh-CN"/>
        </w:rPr>
        <w:t>2025年度浙江省助力产品质量提升重点攻坚（二）产品质量监督抽查抽样检验机构技术服务采购项目</w:t>
      </w:r>
      <w:r>
        <w:rPr>
          <w:rFonts w:hint="eastAsia" w:ascii="仿宋" w:hAnsi="仿宋" w:eastAsia="仿宋" w:cs="仿宋"/>
          <w:szCs w:val="21"/>
          <w:highlight w:val="none"/>
        </w:rPr>
        <w:t>，抽查产品详见下文采购需求一览表，检验项目及依据见招标公告附件</w:t>
      </w:r>
      <w:r>
        <w:rPr>
          <w:rFonts w:hint="eastAsia" w:ascii="仿宋" w:hAnsi="仿宋" w:eastAsia="仿宋" w:cs="仿宋"/>
          <w:szCs w:val="21"/>
          <w:highlight w:val="none"/>
          <w:lang w:eastAsia="zh-CN"/>
        </w:rPr>
        <w:t>；</w:t>
      </w:r>
    </w:p>
    <w:p w14:paraId="502931DB">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（2）采购人与中标人就项目签订技术服务合同（见第五章 拟签订的合同文本）；</w:t>
      </w:r>
    </w:p>
    <w:p w14:paraId="162A3AB9">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（3）投标人对本项目相关产品的国内产业、行业现状、省内企业数望、产业模式有充分了解；</w:t>
      </w:r>
    </w:p>
    <w:p w14:paraId="24DAC57B">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4）各中标人应在规定的任务时间内，严格按照《中华人民共和国产品质量法》、《产品质量监督抽查管理暂行办法》、《浙江省产品质量监督抽查工作实施办法（试行）》等抽样检验工作任务布置要求开展样品抽取、文书填写、样品收寄、样品检验、数据记录、报告寄送、结果上报、样品处置等工作以及其他</w:t>
      </w:r>
      <w:r>
        <w:rPr>
          <w:rFonts w:hint="eastAsia" w:ascii="仿宋" w:hAnsi="仿宋" w:eastAsia="仿宋" w:cs="仿宋"/>
          <w:szCs w:val="21"/>
          <w:highlight w:val="none"/>
          <w:lang w:val="en-US" w:eastAsia="zh-CN"/>
        </w:rPr>
        <w:t>采购人</w:t>
      </w:r>
      <w:r>
        <w:rPr>
          <w:rFonts w:hint="eastAsia" w:ascii="仿宋" w:hAnsi="仿宋" w:eastAsia="仿宋" w:cs="仿宋"/>
          <w:szCs w:val="21"/>
          <w:highlight w:val="none"/>
        </w:rPr>
        <w:t>要求的数据采集工作</w:t>
      </w:r>
      <w:r>
        <w:rPr>
          <w:rFonts w:hint="eastAsia" w:ascii="仿宋" w:hAnsi="仿宋" w:eastAsia="仿宋" w:cs="仿宋"/>
          <w:szCs w:val="21"/>
          <w:highlight w:val="none"/>
          <w:lang w:eastAsia="zh-CN"/>
        </w:rPr>
        <w:t>；</w:t>
      </w:r>
    </w:p>
    <w:p w14:paraId="6A4DDBAD">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w:t>
      </w:r>
      <w:r>
        <w:rPr>
          <w:rFonts w:ascii="仿宋" w:hAnsi="仿宋" w:eastAsia="仿宋" w:cs="仿宋"/>
          <w:szCs w:val="21"/>
          <w:highlight w:val="none"/>
        </w:rPr>
        <w:t>5</w:t>
      </w:r>
      <w:r>
        <w:rPr>
          <w:rFonts w:hint="eastAsia" w:ascii="仿宋" w:hAnsi="仿宋" w:eastAsia="仿宋" w:cs="仿宋"/>
          <w:szCs w:val="21"/>
          <w:highlight w:val="none"/>
        </w:rPr>
        <w:t>）中标人要按采购人要求做好样品复检相关工作</w:t>
      </w:r>
      <w:r>
        <w:rPr>
          <w:rFonts w:hint="eastAsia" w:ascii="仿宋" w:hAnsi="仿宋" w:eastAsia="仿宋" w:cs="仿宋"/>
          <w:szCs w:val="21"/>
          <w:highlight w:val="none"/>
          <w:lang w:eastAsia="zh-CN"/>
        </w:rPr>
        <w:t>；</w:t>
      </w:r>
    </w:p>
    <w:p w14:paraId="2843C5DD">
      <w:pPr>
        <w:spacing w:line="288"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w:t>
      </w:r>
      <w:r>
        <w:rPr>
          <w:rFonts w:ascii="仿宋" w:hAnsi="仿宋" w:eastAsia="仿宋" w:cs="仿宋"/>
          <w:szCs w:val="21"/>
          <w:highlight w:val="none"/>
        </w:rPr>
        <w:t>6</w:t>
      </w:r>
      <w:r>
        <w:rPr>
          <w:rFonts w:hint="eastAsia" w:ascii="仿宋" w:hAnsi="仿宋" w:eastAsia="仿宋" w:cs="仿宋"/>
          <w:szCs w:val="21"/>
          <w:highlight w:val="none"/>
        </w:rPr>
        <w:t>）中标人应配合地方市场监管部门开展本机构检出的不合格产品生产企业整改复查的检验工作</w:t>
      </w:r>
      <w:r>
        <w:rPr>
          <w:rFonts w:hint="eastAsia" w:ascii="仿宋" w:hAnsi="仿宋" w:eastAsia="仿宋" w:cs="仿宋"/>
          <w:szCs w:val="21"/>
          <w:highlight w:val="none"/>
          <w:lang w:eastAsia="zh-CN"/>
        </w:rPr>
        <w:t>；</w:t>
      </w:r>
    </w:p>
    <w:p w14:paraId="4ECA42D3">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w:t>
      </w:r>
      <w:r>
        <w:rPr>
          <w:rFonts w:ascii="仿宋" w:hAnsi="仿宋" w:eastAsia="仿宋" w:cs="仿宋"/>
          <w:szCs w:val="21"/>
          <w:highlight w:val="none"/>
        </w:rPr>
        <w:t>7</w:t>
      </w:r>
      <w:r>
        <w:rPr>
          <w:rFonts w:hint="eastAsia" w:ascii="仿宋" w:hAnsi="仿宋" w:eastAsia="仿宋" w:cs="仿宋"/>
          <w:szCs w:val="21"/>
          <w:highlight w:val="none"/>
        </w:rPr>
        <w:t>）依据产品所执行的相关标准、相关法律法规及国家有关规定、相关产品的浙江省级监督抽查方案和监督抽查实施细则抽取检验样品</w:t>
      </w:r>
      <w:r>
        <w:rPr>
          <w:rFonts w:hint="eastAsia" w:ascii="仿宋" w:hAnsi="仿宋" w:eastAsia="仿宋" w:cs="仿宋"/>
          <w:szCs w:val="21"/>
          <w:highlight w:val="none"/>
          <w:lang w:eastAsia="zh-CN"/>
        </w:rPr>
        <w:t>；</w:t>
      </w:r>
    </w:p>
    <w:p w14:paraId="53353F79">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w:t>
      </w:r>
      <w:r>
        <w:rPr>
          <w:rFonts w:ascii="仿宋" w:hAnsi="仿宋" w:eastAsia="仿宋" w:cs="仿宋"/>
          <w:szCs w:val="21"/>
          <w:highlight w:val="none"/>
        </w:rPr>
        <w:t>8</w:t>
      </w:r>
      <w:r>
        <w:rPr>
          <w:rFonts w:hint="eastAsia" w:ascii="仿宋" w:hAnsi="仿宋" w:eastAsia="仿宋" w:cs="仿宋"/>
          <w:szCs w:val="21"/>
          <w:highlight w:val="none"/>
        </w:rPr>
        <w:t>）中标人应在完成检验工作结束后按采购人要求提供抽查结果寄送汇总表、产品质量监督抽查样品处置清单、产品质量监督抽查样品处置审批表、产品质量相关的消费警示及企业帮扶指南等验收材料，并按采购人要求及时将抽样检验相关数据录入采购人指定的信息管理系统（清单、报表格式后续由采购人提供）</w:t>
      </w:r>
      <w:r>
        <w:rPr>
          <w:rFonts w:hint="eastAsia" w:ascii="仿宋" w:hAnsi="仿宋" w:eastAsia="仿宋" w:cs="仿宋"/>
          <w:szCs w:val="21"/>
          <w:highlight w:val="none"/>
          <w:lang w:eastAsia="zh-CN"/>
        </w:rPr>
        <w:t>；</w:t>
      </w:r>
    </w:p>
    <w:p w14:paraId="4B7542D2">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w:t>
      </w:r>
      <w:r>
        <w:rPr>
          <w:rFonts w:ascii="仿宋" w:hAnsi="仿宋" w:eastAsia="仿宋" w:cs="仿宋"/>
          <w:szCs w:val="21"/>
          <w:highlight w:val="none"/>
        </w:rPr>
        <w:t>9</w:t>
      </w:r>
      <w:r>
        <w:rPr>
          <w:rFonts w:hint="eastAsia" w:ascii="仿宋" w:hAnsi="仿宋" w:eastAsia="仿宋" w:cs="仿宋"/>
          <w:szCs w:val="21"/>
          <w:highlight w:val="none"/>
        </w:rPr>
        <w:t>）中标人应在完成检验工作结束后按采购人要求提供产业分析报告</w:t>
      </w:r>
      <w:r>
        <w:rPr>
          <w:rFonts w:hint="eastAsia" w:ascii="仿宋" w:hAnsi="仿宋" w:eastAsia="仿宋" w:cs="仿宋"/>
          <w:szCs w:val="21"/>
          <w:highlight w:val="none"/>
          <w:lang w:eastAsia="zh-CN"/>
        </w:rPr>
        <w:t>；</w:t>
      </w:r>
    </w:p>
    <w:p w14:paraId="1ADD66A9">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w:t>
      </w:r>
      <w:r>
        <w:rPr>
          <w:rFonts w:ascii="仿宋" w:hAnsi="仿宋" w:eastAsia="仿宋" w:cs="仿宋"/>
          <w:szCs w:val="21"/>
          <w:highlight w:val="none"/>
        </w:rPr>
        <w:t>10</w:t>
      </w:r>
      <w:r>
        <w:rPr>
          <w:rFonts w:hint="eastAsia" w:ascii="仿宋" w:hAnsi="仿宋" w:eastAsia="仿宋" w:cs="仿宋"/>
          <w:szCs w:val="21"/>
          <w:highlight w:val="none"/>
        </w:rPr>
        <w:t>）任务完成后，采购人将组织抽查结果及工作质量验收评审工作，验收评审通过后，采购人会按照技术合同要求对其支付相应费用</w:t>
      </w:r>
      <w:r>
        <w:rPr>
          <w:rFonts w:hint="eastAsia" w:ascii="仿宋" w:hAnsi="仿宋" w:eastAsia="仿宋" w:cs="仿宋"/>
          <w:szCs w:val="21"/>
          <w:highlight w:val="none"/>
          <w:lang w:eastAsia="zh-CN"/>
        </w:rPr>
        <w:t>；</w:t>
      </w:r>
    </w:p>
    <w:p w14:paraId="69F3F776">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w:t>
      </w:r>
      <w:r>
        <w:rPr>
          <w:rFonts w:ascii="仿宋" w:hAnsi="仿宋" w:eastAsia="仿宋" w:cs="仿宋"/>
          <w:szCs w:val="21"/>
          <w:highlight w:val="none"/>
        </w:rPr>
        <w:t>11</w:t>
      </w:r>
      <w:r>
        <w:rPr>
          <w:rFonts w:hint="eastAsia" w:ascii="仿宋" w:hAnsi="仿宋" w:eastAsia="仿宋" w:cs="仿宋"/>
          <w:szCs w:val="21"/>
          <w:highlight w:val="none"/>
        </w:rPr>
        <w:t>）根据监督抽查方案、招标文件以及技术服务合同要求，中标人应在规定时间内完成抽检工作。如中标后因中标人自身原因导致抽检任务延期，一切后果由中标人承担</w:t>
      </w:r>
      <w:r>
        <w:rPr>
          <w:rFonts w:hint="eastAsia" w:ascii="仿宋" w:hAnsi="仿宋" w:eastAsia="仿宋" w:cs="仿宋"/>
          <w:szCs w:val="21"/>
          <w:highlight w:val="none"/>
          <w:lang w:eastAsia="zh-CN"/>
        </w:rPr>
        <w:t>；</w:t>
      </w:r>
    </w:p>
    <w:p w14:paraId="438920C1">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w:t>
      </w:r>
      <w:r>
        <w:rPr>
          <w:rFonts w:ascii="仿宋" w:hAnsi="仿宋" w:eastAsia="仿宋" w:cs="仿宋"/>
          <w:szCs w:val="21"/>
          <w:highlight w:val="none"/>
        </w:rPr>
        <w:t>12</w:t>
      </w:r>
      <w:r>
        <w:rPr>
          <w:rFonts w:hint="eastAsia" w:ascii="仿宋" w:hAnsi="仿宋" w:eastAsia="仿宋" w:cs="仿宋"/>
          <w:szCs w:val="21"/>
          <w:highlight w:val="none"/>
        </w:rPr>
        <w:t>）中标人对其抽取和检验的样品负责，抽取的样品应满足检验需求，检验结果应反映样品的真实状况，若因中标人自身原因造成样品失效、丢失或其他因素造成无法实施检验而影响检验进度的，采购人将追究其相关责任</w:t>
      </w:r>
      <w:r>
        <w:rPr>
          <w:rFonts w:hint="eastAsia" w:ascii="仿宋" w:hAnsi="仿宋" w:eastAsia="仿宋" w:cs="仿宋"/>
          <w:szCs w:val="21"/>
          <w:highlight w:val="none"/>
          <w:lang w:eastAsia="zh-CN"/>
        </w:rPr>
        <w:t>；</w:t>
      </w:r>
    </w:p>
    <w:p w14:paraId="3AFDF46E">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w:t>
      </w:r>
      <w:r>
        <w:rPr>
          <w:rFonts w:ascii="仿宋" w:hAnsi="仿宋" w:eastAsia="仿宋" w:cs="仿宋"/>
          <w:szCs w:val="21"/>
          <w:highlight w:val="none"/>
        </w:rPr>
        <w:t>13</w:t>
      </w:r>
      <w:r>
        <w:rPr>
          <w:rFonts w:hint="eastAsia" w:ascii="仿宋" w:hAnsi="仿宋" w:eastAsia="仿宋" w:cs="仿宋"/>
          <w:szCs w:val="21"/>
          <w:highlight w:val="none"/>
        </w:rPr>
        <w:t>）中标人由于虚假、错误检验数据和结论而给被检验人造成损失的，或者给社会带来不良影响的，中标人应当负责赔偿，并承担相应法律责任</w:t>
      </w:r>
      <w:r>
        <w:rPr>
          <w:rFonts w:hint="eastAsia" w:ascii="仿宋" w:hAnsi="仿宋" w:eastAsia="仿宋" w:cs="仿宋"/>
          <w:szCs w:val="21"/>
          <w:highlight w:val="none"/>
          <w:lang w:eastAsia="zh-CN"/>
        </w:rPr>
        <w:t>；</w:t>
      </w:r>
    </w:p>
    <w:p w14:paraId="30245CAB">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（1</w:t>
      </w:r>
      <w:r>
        <w:rPr>
          <w:rFonts w:ascii="仿宋" w:hAnsi="仿宋" w:eastAsia="仿宋" w:cs="仿宋"/>
          <w:szCs w:val="21"/>
          <w:highlight w:val="none"/>
        </w:rPr>
        <w:t>4</w:t>
      </w:r>
      <w:r>
        <w:rPr>
          <w:rFonts w:hint="eastAsia" w:ascii="仿宋" w:hAnsi="仿宋" w:eastAsia="仿宋" w:cs="仿宋"/>
          <w:szCs w:val="21"/>
          <w:highlight w:val="none"/>
        </w:rPr>
        <w:t>）中标人及其人员应对在所承担项目中知悉的国家秘密、商业秘密和技术秘密切实做好保密工作，如（但不限于）：承担抽检工作过程中的企业样品信息、检验数据及结果等，不得对外泄露</w:t>
      </w:r>
      <w:r>
        <w:rPr>
          <w:rFonts w:hint="eastAsia" w:ascii="仿宋" w:hAnsi="仿宋" w:eastAsia="仿宋" w:cs="仿宋"/>
          <w:szCs w:val="21"/>
          <w:highlight w:val="none"/>
          <w:lang w:eastAsia="zh-CN"/>
        </w:rPr>
        <w:t>；</w:t>
      </w:r>
    </w:p>
    <w:p w14:paraId="536A479C">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5</w:t>
      </w:r>
      <w:r>
        <w:rPr>
          <w:rFonts w:hint="eastAsia" w:ascii="仿宋" w:hAnsi="仿宋" w:eastAsia="仿宋" w:cs="仿宋"/>
          <w:szCs w:val="21"/>
          <w:highlight w:val="none"/>
        </w:rPr>
        <w:t>）如中标人在人员配置、作业管理、质量控制、任务进度等各个方面不能满足招标文件的相关要求或没有实现投标文件中的相关承诺，采购人有权进行通报，并要求中标人限期整改，中标人拒不整改或整改不到位的，采购人有权单方面解除合同，对应费用采购人将不予支付。采购人视情况暂停中标人3年承担浙江省省级产品质量安全监管技术服务资格并保留追究其法律责任的权利。</w:t>
      </w:r>
    </w:p>
    <w:p w14:paraId="053D8CDC">
      <w:pPr>
        <w:spacing w:line="288" w:lineRule="auto"/>
        <w:ind w:firstLine="422" w:firstLineChars="200"/>
        <w:rPr>
          <w:rFonts w:hint="eastAsia" w:ascii="仿宋" w:hAnsi="仿宋" w:eastAsia="仿宋" w:cs="仿宋"/>
          <w:szCs w:val="21"/>
          <w:highlight w:val="none"/>
        </w:rPr>
      </w:pPr>
      <w:r>
        <w:rPr>
          <w:rFonts w:hint="eastAsia" w:ascii="仿宋" w:hAnsi="仿宋" w:eastAsia="仿宋" w:cs="仿宋"/>
          <w:b/>
          <w:bCs/>
          <w:szCs w:val="21"/>
          <w:highlight w:val="none"/>
        </w:rPr>
        <w:t>2.</w:t>
      </w:r>
      <w:r>
        <w:rPr>
          <w:rFonts w:hint="eastAsia" w:ascii="仿宋" w:hAnsi="仿宋" w:eastAsia="仿宋" w:cs="仿宋"/>
          <w:b/>
          <w:bCs/>
          <w:szCs w:val="21"/>
          <w:highlight w:val="none"/>
          <w:lang w:val="en-US" w:eastAsia="zh-CN"/>
        </w:rPr>
        <w:t>3</w:t>
      </w:r>
      <w:r>
        <w:rPr>
          <w:rFonts w:hint="eastAsia" w:ascii="仿宋" w:hAnsi="仿宋" w:eastAsia="仿宋" w:cs="仿宋"/>
          <w:b/>
          <w:bCs/>
          <w:szCs w:val="21"/>
          <w:highlight w:val="none"/>
        </w:rPr>
        <w:t xml:space="preserve"> 应急要求：</w:t>
      </w:r>
      <w:r>
        <w:rPr>
          <w:rFonts w:hint="eastAsia" w:ascii="仿宋" w:hAnsi="仿宋" w:eastAsia="仿宋" w:cs="仿宋"/>
          <w:szCs w:val="21"/>
          <w:highlight w:val="none"/>
        </w:rPr>
        <w:t>中标人应当有专门针对突发事件且符合采购人需求的应急预案，有能应对突发事件的专业人员及专业设备。</w:t>
      </w:r>
    </w:p>
    <w:p w14:paraId="469D686B">
      <w:pPr>
        <w:spacing w:line="288"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2.</w:t>
      </w:r>
      <w:r>
        <w:rPr>
          <w:rFonts w:hint="eastAsia" w:ascii="仿宋" w:hAnsi="仿宋" w:eastAsia="仿宋" w:cs="仿宋"/>
          <w:b/>
          <w:bCs/>
          <w:szCs w:val="21"/>
          <w:highlight w:val="none"/>
          <w:lang w:val="en-US" w:eastAsia="zh-CN"/>
        </w:rPr>
        <w:t>4</w:t>
      </w:r>
      <w:r>
        <w:rPr>
          <w:rFonts w:hint="eastAsia" w:ascii="仿宋" w:hAnsi="仿宋" w:eastAsia="仿宋" w:cs="仿宋"/>
          <w:b/>
          <w:bCs/>
          <w:szCs w:val="21"/>
          <w:highlight w:val="none"/>
        </w:rPr>
        <w:t xml:space="preserve"> 人员配置要求</w:t>
      </w:r>
    </w:p>
    <w:p w14:paraId="662B761F">
      <w:pPr>
        <w:spacing w:line="288" w:lineRule="auto"/>
        <w:ind w:firstLine="420" w:firstLineChars="200"/>
        <w:rPr>
          <w:rFonts w:hint="eastAsia" w:ascii="仿宋" w:hAnsi="仿宋" w:eastAsia="仿宋" w:cs="仿宋"/>
          <w:b w:val="0"/>
          <w:bCs w:val="0"/>
          <w:szCs w:val="21"/>
          <w:highlight w:val="none"/>
          <w:lang w:eastAsia="zh-CN"/>
        </w:rPr>
      </w:pP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1</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rPr>
        <w:t>投标人应提供完整的人员配置方案，至少包括机构人员概况、人员职责分工以及投入该产品抽查任务的人员及分配列表。如中标，人员团队非经采购人同意，不得更换</w:t>
      </w:r>
      <w:r>
        <w:rPr>
          <w:rFonts w:hint="eastAsia" w:ascii="仿宋" w:hAnsi="仿宋" w:eastAsia="仿宋" w:cs="仿宋"/>
          <w:b w:val="0"/>
          <w:bCs w:val="0"/>
          <w:szCs w:val="21"/>
          <w:highlight w:val="none"/>
          <w:lang w:eastAsia="zh-CN"/>
        </w:rPr>
        <w:t>；</w:t>
      </w:r>
    </w:p>
    <w:p w14:paraId="158D4FF4">
      <w:pPr>
        <w:spacing w:line="288" w:lineRule="auto"/>
        <w:ind w:firstLine="420" w:firstLineChars="200"/>
        <w:rPr>
          <w:rFonts w:hint="eastAsia" w:ascii="仿宋" w:hAnsi="仿宋" w:eastAsia="仿宋" w:cs="仿宋"/>
          <w:b w:val="0"/>
          <w:bCs w:val="0"/>
          <w:szCs w:val="21"/>
          <w:highlight w:val="none"/>
          <w:lang w:eastAsia="zh-CN"/>
        </w:rPr>
      </w:pP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2</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rPr>
        <w:t>项目团队成员要求：所投产品的抽检工作项目团队要求岗位配置合理，应包括项目负责人、抽样相关人员、样品接收人员、检验相关人员（包括检测人员、报告审核人员、授权签字人等）；人员分工明确，专业合理、全面，经验丰富</w:t>
      </w:r>
      <w:r>
        <w:rPr>
          <w:rFonts w:hint="eastAsia" w:ascii="仿宋" w:hAnsi="仿宋" w:eastAsia="仿宋" w:cs="仿宋"/>
          <w:b w:val="0"/>
          <w:bCs w:val="0"/>
          <w:szCs w:val="21"/>
          <w:highlight w:val="none"/>
          <w:lang w:eastAsia="zh-CN"/>
        </w:rPr>
        <w:t>；</w:t>
      </w:r>
    </w:p>
    <w:p w14:paraId="7B6B8B3E">
      <w:pPr>
        <w:spacing w:line="288" w:lineRule="auto"/>
        <w:ind w:firstLine="420" w:firstLineChars="200"/>
        <w:rPr>
          <w:rFonts w:ascii="仿宋" w:hAnsi="仿宋" w:eastAsia="仿宋" w:cs="仿宋"/>
          <w:b w:val="0"/>
          <w:bCs w:val="0"/>
          <w:szCs w:val="21"/>
          <w:highlight w:val="none"/>
        </w:rPr>
      </w:pP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3</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rPr>
        <w:t>实际抽样工作中，应按投标材料内容安排相关人员抽样，对存在虚报人员，采购人将视情况解除合同关系。</w:t>
      </w:r>
    </w:p>
    <w:p w14:paraId="1377AE6C">
      <w:pPr>
        <w:spacing w:line="288"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2.</w:t>
      </w:r>
      <w:r>
        <w:rPr>
          <w:rFonts w:hint="eastAsia" w:ascii="仿宋" w:hAnsi="仿宋" w:eastAsia="仿宋" w:cs="仿宋"/>
          <w:b/>
          <w:bCs/>
          <w:szCs w:val="21"/>
          <w:highlight w:val="none"/>
          <w:lang w:val="en-US" w:eastAsia="zh-CN"/>
        </w:rPr>
        <w:t>5</w:t>
      </w:r>
      <w:r>
        <w:rPr>
          <w:rFonts w:hint="eastAsia" w:ascii="仿宋" w:hAnsi="仿宋" w:eastAsia="仿宋" w:cs="仿宋"/>
          <w:b/>
          <w:bCs/>
          <w:szCs w:val="21"/>
          <w:highlight w:val="none"/>
        </w:rPr>
        <w:t xml:space="preserve"> 实验室要求</w:t>
      </w:r>
    </w:p>
    <w:p w14:paraId="17A28197">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eastAsia="zh-CN"/>
        </w:rPr>
        <w:t>）</w:t>
      </w:r>
      <w:r>
        <w:rPr>
          <w:rFonts w:hint="eastAsia" w:ascii="仿宋" w:hAnsi="仿宋" w:eastAsia="仿宋" w:cs="仿宋"/>
          <w:szCs w:val="21"/>
          <w:highlight w:val="none"/>
        </w:rPr>
        <w:t>投标人应搭建优良的实验室环境，配备完善的检测设备保障本项目高质量有序进行。所配备仪器设备能够有效支撑完成所有检验项目，精度适宜、数量充足。试验场所环境优良、产品检验的环境条件控制充分</w:t>
      </w:r>
      <w:r>
        <w:rPr>
          <w:rFonts w:hint="eastAsia" w:ascii="仿宋" w:hAnsi="仿宋" w:eastAsia="仿宋" w:cs="仿宋"/>
          <w:szCs w:val="21"/>
          <w:highlight w:val="none"/>
          <w:lang w:eastAsia="zh-CN"/>
        </w:rPr>
        <w:t>；</w:t>
      </w:r>
    </w:p>
    <w:p w14:paraId="092C6F55">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w:t>
      </w:r>
      <w:r>
        <w:rPr>
          <w:rFonts w:hint="eastAsia" w:ascii="仿宋" w:hAnsi="仿宋" w:eastAsia="仿宋" w:cs="仿宋"/>
          <w:szCs w:val="21"/>
          <w:highlight w:val="none"/>
        </w:rPr>
        <w:t>投标人配备抽样车辆、抽样现场信息记录仪器，确保完整记录抽样现场有声视频、音频及清晰照片以证明抽样工作的公正、合规的</w:t>
      </w:r>
      <w:r>
        <w:rPr>
          <w:rFonts w:hint="eastAsia" w:ascii="仿宋" w:hAnsi="仿宋" w:eastAsia="仿宋" w:cs="仿宋"/>
          <w:szCs w:val="21"/>
          <w:highlight w:val="none"/>
          <w:lang w:eastAsia="zh-CN"/>
        </w:rPr>
        <w:t>；</w:t>
      </w:r>
    </w:p>
    <w:p w14:paraId="0D836BBD">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eastAsia="zh-CN"/>
        </w:rPr>
        <w:t>）</w:t>
      </w:r>
      <w:r>
        <w:rPr>
          <w:rFonts w:hint="eastAsia" w:ascii="仿宋" w:hAnsi="仿宋" w:eastAsia="仿宋" w:cs="仿宋"/>
          <w:szCs w:val="21"/>
          <w:highlight w:val="none"/>
        </w:rPr>
        <w:t>投标人应拥有检测及仓储场所，能满足本项目的基本检测与样品存放需要的，承诺检测相关样品可以存放至少两年。</w:t>
      </w:r>
    </w:p>
    <w:p w14:paraId="128C2694">
      <w:pPr>
        <w:spacing w:line="288"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2.</w:t>
      </w:r>
      <w:r>
        <w:rPr>
          <w:rFonts w:hint="eastAsia" w:ascii="仿宋" w:hAnsi="仿宋" w:eastAsia="仿宋" w:cs="仿宋"/>
          <w:b/>
          <w:bCs/>
          <w:szCs w:val="21"/>
          <w:highlight w:val="none"/>
          <w:lang w:val="en-US" w:eastAsia="zh-CN"/>
        </w:rPr>
        <w:t>6</w:t>
      </w:r>
      <w:r>
        <w:rPr>
          <w:rFonts w:hint="eastAsia" w:ascii="仿宋" w:hAnsi="仿宋" w:eastAsia="仿宋" w:cs="仿宋"/>
          <w:b/>
          <w:bCs/>
          <w:szCs w:val="21"/>
          <w:highlight w:val="none"/>
        </w:rPr>
        <w:t xml:space="preserve"> 其他要求</w:t>
      </w:r>
    </w:p>
    <w:p w14:paraId="092B617A">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采购人有权在签订合同时对项目方案（非实质性条款）作适当修改。</w:t>
      </w:r>
    </w:p>
    <w:p w14:paraId="359EAB7A">
      <w:pPr>
        <w:pStyle w:val="2"/>
        <w:rPr>
          <w:highlight w:val="none"/>
        </w:rPr>
      </w:pPr>
    </w:p>
    <w:p w14:paraId="22319A19">
      <w:pPr>
        <w:spacing w:line="288" w:lineRule="auto"/>
        <w:ind w:firstLine="420" w:firstLineChars="200"/>
        <w:rPr>
          <w:rFonts w:ascii="仿宋" w:hAnsi="仿宋" w:eastAsia="仿宋" w:cs="仿宋"/>
          <w:szCs w:val="21"/>
          <w:highlight w:val="none"/>
        </w:rPr>
        <w:sectPr>
          <w:footerReference r:id="rId5" w:type="default"/>
          <w:pgSz w:w="11906" w:h="16838"/>
          <w:pgMar w:top="1440" w:right="1247" w:bottom="1440" w:left="1247" w:header="283" w:footer="850" w:gutter="0"/>
          <w:pgNumType w:start="1"/>
          <w:cols w:space="0" w:num="1"/>
          <w:docGrid w:linePitch="381" w:charSpace="0"/>
        </w:sectPr>
      </w:pPr>
    </w:p>
    <w:p w14:paraId="09F01A6D">
      <w:pPr>
        <w:spacing w:line="288" w:lineRule="auto"/>
        <w:ind w:firstLine="422" w:firstLineChars="200"/>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rPr>
        <w:t>2.6 采购需求一览表</w:t>
      </w:r>
      <w:r>
        <w:rPr>
          <w:rFonts w:hint="eastAsia" w:ascii="仿宋" w:hAnsi="仿宋" w:eastAsia="仿宋" w:cs="仿宋"/>
          <w:b/>
          <w:bCs/>
          <w:szCs w:val="21"/>
          <w:highlight w:val="none"/>
          <w:lang w:val="en-US" w:eastAsia="zh-CN"/>
        </w:rPr>
        <w:t xml:space="preserve"> </w:t>
      </w:r>
    </w:p>
    <w:tbl>
      <w:tblPr>
        <w:tblStyle w:val="2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2"/>
        <w:gridCol w:w="2740"/>
        <w:gridCol w:w="6290"/>
        <w:gridCol w:w="1992"/>
        <w:gridCol w:w="1990"/>
      </w:tblGrid>
      <w:tr w14:paraId="5544A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63C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标项序号</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4532">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标项名称</w:t>
            </w: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F52A6">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产品</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98D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批次</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A8455">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周期（天）</w:t>
            </w:r>
          </w:p>
        </w:tc>
      </w:tr>
      <w:tr w14:paraId="51933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BB45">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w:t>
            </w:r>
          </w:p>
        </w:tc>
        <w:tc>
          <w:tcPr>
            <w:tcW w:w="9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0D555">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珠宝饰品</w:t>
            </w: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7261E">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贵金属首饰及制品</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81A6A">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9749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30</w:t>
            </w:r>
          </w:p>
        </w:tc>
      </w:tr>
      <w:tr w14:paraId="7D7A9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4AAA">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2B08E">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F4EE2">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珍珠及饰品</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339BC">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B36F">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30</w:t>
            </w:r>
          </w:p>
        </w:tc>
      </w:tr>
      <w:tr w14:paraId="6F3F0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3758">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ED886">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C2625">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珠宝玉石制品</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2673A">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90F7F">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30</w:t>
            </w:r>
          </w:p>
        </w:tc>
      </w:tr>
      <w:tr w14:paraId="50F8A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3B56">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w:t>
            </w:r>
          </w:p>
        </w:tc>
        <w:tc>
          <w:tcPr>
            <w:tcW w:w="9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FD5BD">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箱包鞋类产品（一）</w:t>
            </w: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C677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老人健步鞋</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B708F">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2DD5F">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20756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2381">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A63BC">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7B585">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旅游休闲鞋</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EF5BB">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2D792">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07424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0A65">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2CC70">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28B18">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皮凉鞋</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833DD">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9D331">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1F1A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B088">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C8FBC">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EAC6">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棉拖鞋</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FA36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9514A">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707F2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EAB8">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w:t>
            </w:r>
          </w:p>
        </w:tc>
        <w:tc>
          <w:tcPr>
            <w:tcW w:w="9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04A2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箱包鞋类产品（二）</w:t>
            </w: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AD761">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背提包（书包除外）</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107F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17D9">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4175C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01DB">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BA0CF">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2C9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旅行箱包</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9FB8D">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1906E">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20E34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2C31">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EE134">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9772A">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雪地靴</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083FE">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1B555">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46F4D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DBB8">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C4925">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12161">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皮鞋</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6A83B">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909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4E524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A7323">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w:t>
            </w:r>
          </w:p>
        </w:tc>
        <w:tc>
          <w:tcPr>
            <w:tcW w:w="9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EB69F">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家具产品</w:t>
            </w: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1B6E9">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办公家具（办公椅）</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6B921">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A9143">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60</w:t>
            </w:r>
          </w:p>
        </w:tc>
      </w:tr>
      <w:tr w14:paraId="5F09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E6E8F">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A9219">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EDA04">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卫浴家具</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0E138">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A101B">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60</w:t>
            </w:r>
          </w:p>
        </w:tc>
      </w:tr>
      <w:tr w14:paraId="44F9F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4E88">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5</w:t>
            </w:r>
          </w:p>
        </w:tc>
        <w:tc>
          <w:tcPr>
            <w:tcW w:w="9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FEEB6">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计量相关产品</w:t>
            </w: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EFDCB">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老视成镜</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D9532">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6E39">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78E22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46FC">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9ED3C">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7727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眼镜架</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E1F0C">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0012D">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4E5DA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D43A">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1D85E">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8DCA1">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眼镜镜片</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FC868">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055EE">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0F5B5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CB95">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3C60B">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0C591">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游泳眼镜</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4BCFF">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DCA64">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53B78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B63C">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DCB7F">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081DA">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衡器（电子计价秤）</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9044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AC6F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24CDF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0475">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9A3E2">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D2845">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冷水水表</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C6753">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AD9E6">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1451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8D7D">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B244F">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FA473">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一般压力表</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9D6AA">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E1E71">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0051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A476">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EF5B6">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E47B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电能表</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EA87B">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8705E">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15429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5AEB">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51F90">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A68B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燃气表</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B4BEE">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D9E23">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63E6E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restart"/>
            <w:tcBorders>
              <w:top w:val="nil"/>
              <w:left w:val="single" w:color="000000" w:sz="4" w:space="0"/>
              <w:bottom w:val="nil"/>
              <w:right w:val="single" w:color="000000" w:sz="4" w:space="0"/>
            </w:tcBorders>
            <w:shd w:val="clear" w:color="auto" w:fill="auto"/>
            <w:noWrap/>
            <w:vAlign w:val="center"/>
          </w:tcPr>
          <w:p w14:paraId="1B15B01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w:t>
            </w:r>
          </w:p>
        </w:tc>
        <w:tc>
          <w:tcPr>
            <w:tcW w:w="966" w:type="pct"/>
            <w:vMerge w:val="restart"/>
            <w:tcBorders>
              <w:top w:val="nil"/>
              <w:left w:val="single" w:color="000000" w:sz="4" w:space="0"/>
              <w:bottom w:val="single" w:color="000000" w:sz="4" w:space="0"/>
              <w:right w:val="single" w:color="000000" w:sz="4" w:space="0"/>
            </w:tcBorders>
            <w:shd w:val="clear" w:color="auto" w:fill="auto"/>
            <w:vAlign w:val="center"/>
          </w:tcPr>
          <w:p w14:paraId="2498DBF4">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日用品</w:t>
            </w: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8E5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晴雨伞</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61BC6">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C29EC">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7F42F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nil"/>
              <w:left w:val="single" w:color="000000" w:sz="4" w:space="0"/>
              <w:bottom w:val="nil"/>
              <w:right w:val="single" w:color="000000" w:sz="4" w:space="0"/>
            </w:tcBorders>
            <w:shd w:val="clear" w:color="auto" w:fill="auto"/>
            <w:noWrap/>
            <w:vAlign w:val="center"/>
          </w:tcPr>
          <w:p w14:paraId="3C70472B">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nil"/>
              <w:left w:val="single" w:color="000000" w:sz="4" w:space="0"/>
              <w:bottom w:val="single" w:color="000000" w:sz="4" w:space="0"/>
              <w:right w:val="single" w:color="000000" w:sz="4" w:space="0"/>
            </w:tcBorders>
            <w:shd w:val="clear" w:color="auto" w:fill="auto"/>
            <w:vAlign w:val="center"/>
          </w:tcPr>
          <w:p w14:paraId="0A681642">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514B2">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国旗</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3F128">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D26E4">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63254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nil"/>
              <w:left w:val="single" w:color="000000" w:sz="4" w:space="0"/>
              <w:bottom w:val="nil"/>
              <w:right w:val="single" w:color="000000" w:sz="4" w:space="0"/>
            </w:tcBorders>
            <w:shd w:val="clear" w:color="auto" w:fill="auto"/>
            <w:noWrap/>
            <w:vAlign w:val="center"/>
          </w:tcPr>
          <w:p w14:paraId="79D261D1">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nil"/>
              <w:left w:val="single" w:color="000000" w:sz="4" w:space="0"/>
              <w:bottom w:val="single" w:color="000000" w:sz="4" w:space="0"/>
              <w:right w:val="single" w:color="000000" w:sz="4" w:space="0"/>
            </w:tcBorders>
            <w:shd w:val="clear" w:color="auto" w:fill="auto"/>
            <w:vAlign w:val="center"/>
          </w:tcPr>
          <w:p w14:paraId="6F290BB9">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C6792">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洗衣凝珠</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C0F6C">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B2DC5">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27DC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nil"/>
              <w:left w:val="single" w:color="000000" w:sz="4" w:space="0"/>
              <w:bottom w:val="nil"/>
              <w:right w:val="single" w:color="000000" w:sz="4" w:space="0"/>
            </w:tcBorders>
            <w:shd w:val="clear" w:color="auto" w:fill="auto"/>
            <w:noWrap/>
            <w:vAlign w:val="center"/>
          </w:tcPr>
          <w:p w14:paraId="17835A7D">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nil"/>
              <w:left w:val="single" w:color="000000" w:sz="4" w:space="0"/>
              <w:bottom w:val="single" w:color="000000" w:sz="4" w:space="0"/>
              <w:right w:val="single" w:color="000000" w:sz="4" w:space="0"/>
            </w:tcBorders>
            <w:shd w:val="clear" w:color="auto" w:fill="auto"/>
            <w:vAlign w:val="center"/>
          </w:tcPr>
          <w:p w14:paraId="212DDC9B">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B56F1">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一次性浴巾</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4D2E3">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164A">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39ABD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B83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7</w:t>
            </w:r>
          </w:p>
        </w:tc>
        <w:tc>
          <w:tcPr>
            <w:tcW w:w="966" w:type="pct"/>
            <w:tcBorders>
              <w:top w:val="nil"/>
              <w:left w:val="nil"/>
              <w:bottom w:val="single" w:color="000000" w:sz="4" w:space="0"/>
              <w:right w:val="single" w:color="000000" w:sz="4" w:space="0"/>
            </w:tcBorders>
            <w:shd w:val="clear" w:color="auto" w:fill="auto"/>
            <w:vAlign w:val="center"/>
          </w:tcPr>
          <w:p w14:paraId="659C5E61">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电动自行车</w:t>
            </w: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0EBA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电动自行车</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8B1D">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85C29">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80</w:t>
            </w:r>
          </w:p>
        </w:tc>
      </w:tr>
      <w:tr w14:paraId="433EE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A46A">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8</w:t>
            </w:r>
          </w:p>
        </w:tc>
        <w:tc>
          <w:tcPr>
            <w:tcW w:w="9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95B0C">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运载工具</w:t>
            </w: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29CB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电动平衡车</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1DC03">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41A5">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60</w:t>
            </w:r>
          </w:p>
        </w:tc>
      </w:tr>
      <w:tr w14:paraId="5985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90D7">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D83C0">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4EB8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电动滑板车</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1AB5E">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16559">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6961E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B3D7">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F00D5">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93A45">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自行车</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06C72">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563C6">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5D0BB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36C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9</w:t>
            </w:r>
          </w:p>
        </w:tc>
        <w:tc>
          <w:tcPr>
            <w:tcW w:w="9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F07B9">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电动自行车及摩托车头盔</w:t>
            </w: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8981A">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电动自行车头盔</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EFE9E">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0D46C">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2F49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E314">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E6380">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1B38A">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摩托车乘员头盔</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DB818">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A0F9C">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60</w:t>
            </w:r>
          </w:p>
        </w:tc>
      </w:tr>
      <w:tr w14:paraId="2EE9F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236F">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w:t>
            </w:r>
          </w:p>
        </w:tc>
        <w:tc>
          <w:tcPr>
            <w:tcW w:w="9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8ED4B">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电动自行车配件</w:t>
            </w:r>
          </w:p>
        </w:tc>
        <w:tc>
          <w:tcPr>
            <w:tcW w:w="2238" w:type="pct"/>
            <w:tcBorders>
              <w:top w:val="nil"/>
              <w:left w:val="nil"/>
              <w:bottom w:val="nil"/>
              <w:right w:val="nil"/>
            </w:tcBorders>
            <w:shd w:val="clear" w:color="auto" w:fill="auto"/>
            <w:vAlign w:val="center"/>
          </w:tcPr>
          <w:p w14:paraId="333F9B0D">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电动自行车充电器</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1C1B4">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DC8BA">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60</w:t>
            </w:r>
          </w:p>
        </w:tc>
      </w:tr>
      <w:tr w14:paraId="644B7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B16D">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9A4AE">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nil"/>
              <w:bottom w:val="single" w:color="000000" w:sz="4" w:space="0"/>
              <w:right w:val="single" w:color="000000" w:sz="4" w:space="0"/>
            </w:tcBorders>
            <w:shd w:val="clear" w:color="auto" w:fill="auto"/>
            <w:vAlign w:val="center"/>
          </w:tcPr>
          <w:p w14:paraId="3246BF16">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电动车动力电池（电动车用锂离子电池）</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83AF">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5B8E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17570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6549">
            <w:pPr>
              <w:jc w:val="center"/>
              <w:rPr>
                <w:rFonts w:hint="eastAsia" w:ascii="仿宋" w:hAnsi="仿宋" w:eastAsia="仿宋" w:cs="仿宋"/>
                <w:i w:val="0"/>
                <w:iCs w:val="0"/>
                <w:color w:val="000000"/>
                <w:sz w:val="21"/>
                <w:szCs w:val="21"/>
                <w:highlight w:val="none"/>
                <w:u w:val="none"/>
                <w:lang w:val="en-US" w:eastAsia="zh-CN"/>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2FA41">
            <w:pPr>
              <w:jc w:val="center"/>
              <w:rPr>
                <w:rFonts w:hint="eastAsia" w:ascii="仿宋" w:hAnsi="仿宋" w:eastAsia="仿宋" w:cs="仿宋"/>
                <w:i w:val="0"/>
                <w:iCs w:val="0"/>
                <w:color w:val="000000"/>
                <w:sz w:val="21"/>
                <w:szCs w:val="21"/>
                <w:highlight w:val="none"/>
                <w:u w:val="none"/>
                <w:lang w:val="en-US" w:eastAsia="zh-CN"/>
              </w:rPr>
            </w:pPr>
          </w:p>
        </w:tc>
        <w:tc>
          <w:tcPr>
            <w:tcW w:w="2238" w:type="pct"/>
            <w:tcBorders>
              <w:top w:val="single" w:color="000000" w:sz="4" w:space="0"/>
              <w:left w:val="nil"/>
              <w:bottom w:val="single" w:color="000000" w:sz="4" w:space="0"/>
              <w:right w:val="single" w:color="000000" w:sz="4" w:space="0"/>
            </w:tcBorders>
            <w:shd w:val="clear" w:color="auto" w:fill="auto"/>
            <w:vAlign w:val="center"/>
          </w:tcPr>
          <w:p w14:paraId="7872E83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电动车动力电池（电动车用铅酸蓄电池）</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90FD9">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30CAC">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48181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8BE9">
            <w:pPr>
              <w:adjustRightInd w:val="0"/>
              <w:snapToGrid w:val="0"/>
              <w:spacing w:line="288" w:lineRule="auto"/>
              <w:jc w:val="left"/>
              <w:rPr>
                <w:rFonts w:hint="eastAsia" w:ascii="仿宋" w:hAnsi="仿宋" w:eastAsia="仿宋" w:cs="仿宋"/>
                <w:b/>
                <w:bCs/>
                <w:spacing w:val="-20"/>
                <w:kern w:val="0"/>
                <w:sz w:val="21"/>
                <w:szCs w:val="21"/>
                <w:highlight w:val="none"/>
              </w:rPr>
            </w:pPr>
            <w:r>
              <w:rPr>
                <w:rFonts w:hint="eastAsia" w:ascii="仿宋" w:hAnsi="仿宋" w:eastAsia="仿宋" w:cs="仿宋"/>
                <w:b/>
                <w:bCs/>
                <w:spacing w:val="-20"/>
                <w:kern w:val="0"/>
                <w:sz w:val="21"/>
                <w:szCs w:val="21"/>
                <w:highlight w:val="none"/>
              </w:rPr>
              <w:t>备注：</w:t>
            </w:r>
          </w:p>
          <w:p w14:paraId="5A8EF5CA">
            <w:pPr>
              <w:adjustRightInd w:val="0"/>
              <w:snapToGrid w:val="0"/>
              <w:spacing w:line="288" w:lineRule="auto"/>
              <w:jc w:val="left"/>
              <w:rPr>
                <w:rFonts w:hint="eastAsia" w:ascii="仿宋" w:hAnsi="仿宋" w:eastAsia="仿宋" w:cs="仿宋"/>
                <w:b/>
                <w:bCs/>
                <w:spacing w:val="-20"/>
                <w:kern w:val="0"/>
                <w:sz w:val="21"/>
                <w:szCs w:val="21"/>
                <w:highlight w:val="none"/>
              </w:rPr>
            </w:pPr>
            <w:r>
              <w:rPr>
                <w:rFonts w:hint="eastAsia" w:ascii="仿宋" w:hAnsi="仿宋" w:eastAsia="仿宋" w:cs="仿宋"/>
                <w:b/>
                <w:bCs/>
                <w:spacing w:val="-20"/>
                <w:kern w:val="0"/>
                <w:sz w:val="21"/>
                <w:szCs w:val="21"/>
                <w:highlight w:val="none"/>
              </w:rPr>
              <w:t>1.由于标项二</w:t>
            </w:r>
            <w:r>
              <w:rPr>
                <w:rFonts w:hint="eastAsia" w:ascii="仿宋" w:hAnsi="仿宋" w:eastAsia="仿宋" w:cs="仿宋"/>
                <w:b/>
                <w:bCs/>
                <w:spacing w:val="-20"/>
                <w:kern w:val="0"/>
                <w:sz w:val="21"/>
                <w:szCs w:val="21"/>
                <w:highlight w:val="none"/>
                <w:lang w:eastAsia="zh-CN"/>
              </w:rPr>
              <w:t>、</w:t>
            </w:r>
            <w:r>
              <w:rPr>
                <w:rFonts w:hint="eastAsia" w:ascii="仿宋" w:hAnsi="仿宋" w:eastAsia="仿宋" w:cs="仿宋"/>
                <w:b/>
                <w:bCs/>
                <w:spacing w:val="-20"/>
                <w:kern w:val="0"/>
                <w:sz w:val="21"/>
                <w:szCs w:val="21"/>
                <w:highlight w:val="none"/>
                <w:lang w:val="en-US" w:eastAsia="zh-CN"/>
              </w:rPr>
              <w:t>三</w:t>
            </w:r>
            <w:r>
              <w:rPr>
                <w:rFonts w:hint="eastAsia" w:ascii="仿宋" w:hAnsi="仿宋" w:eastAsia="仿宋" w:cs="仿宋"/>
                <w:b/>
                <w:bCs/>
                <w:spacing w:val="-20"/>
                <w:kern w:val="0"/>
                <w:sz w:val="21"/>
                <w:szCs w:val="21"/>
                <w:highlight w:val="none"/>
              </w:rPr>
              <w:t>涉及产品种类不同，同一中标人无法保障服务进度及质量，故要求同一投标人在不同标项不能兼中，各标项推荐中标候选人或确定中标人的顺序和规则详见“第三章  投标人须知 六、评  标 （六）排序与推荐”；</w:t>
            </w:r>
          </w:p>
          <w:p w14:paraId="19F4DD2C">
            <w:pPr>
              <w:adjustRightInd w:val="0"/>
              <w:snapToGrid w:val="0"/>
              <w:spacing w:line="288" w:lineRule="auto"/>
              <w:jc w:val="left"/>
              <w:rPr>
                <w:rFonts w:hint="eastAsia" w:ascii="仿宋" w:hAnsi="仿宋" w:eastAsia="仿宋" w:cs="仿宋"/>
                <w:b/>
                <w:bCs/>
                <w:spacing w:val="-20"/>
                <w:kern w:val="0"/>
                <w:sz w:val="21"/>
                <w:szCs w:val="21"/>
                <w:highlight w:val="none"/>
                <w:lang w:val="en-US" w:eastAsia="zh-CN"/>
              </w:rPr>
            </w:pPr>
            <w:r>
              <w:rPr>
                <w:rFonts w:hint="eastAsia" w:ascii="仿宋" w:hAnsi="仿宋" w:eastAsia="仿宋" w:cs="仿宋"/>
                <w:b/>
                <w:bCs/>
                <w:spacing w:val="-20"/>
                <w:kern w:val="0"/>
                <w:sz w:val="21"/>
                <w:szCs w:val="21"/>
                <w:highlight w:val="none"/>
                <w:lang w:val="en-US" w:eastAsia="zh-CN"/>
              </w:rPr>
              <w:t>2.投标人应结合自身能力仔细对照 “整体抽检工作完成周期”，预判“最终产品任务批次数”不能满足完成要求者不能应标。</w:t>
            </w:r>
          </w:p>
          <w:p w14:paraId="3F5CCC92">
            <w:pPr>
              <w:adjustRightInd w:val="0"/>
              <w:snapToGrid w:val="0"/>
              <w:spacing w:line="288" w:lineRule="auto"/>
              <w:jc w:val="left"/>
              <w:rPr>
                <w:rFonts w:hint="eastAsia" w:ascii="仿宋" w:hAnsi="仿宋" w:eastAsia="仿宋" w:cs="仿宋"/>
                <w:b/>
                <w:bCs/>
                <w:spacing w:val="-20"/>
                <w:kern w:val="0"/>
                <w:sz w:val="21"/>
                <w:szCs w:val="21"/>
                <w:highlight w:val="none"/>
              </w:rPr>
            </w:pPr>
            <w:r>
              <w:rPr>
                <w:rFonts w:hint="eastAsia" w:ascii="仿宋" w:hAnsi="仿宋" w:eastAsia="仿宋" w:cs="仿宋"/>
                <w:b/>
                <w:bCs/>
                <w:spacing w:val="-20"/>
                <w:kern w:val="0"/>
                <w:sz w:val="21"/>
                <w:szCs w:val="21"/>
                <w:highlight w:val="none"/>
                <w:lang w:val="en-US" w:eastAsia="zh-CN"/>
              </w:rPr>
              <w:t>3</w:t>
            </w:r>
            <w:r>
              <w:rPr>
                <w:rFonts w:hint="eastAsia" w:ascii="仿宋" w:hAnsi="仿宋" w:eastAsia="仿宋" w:cs="仿宋"/>
                <w:b/>
                <w:bCs/>
                <w:spacing w:val="-20"/>
                <w:kern w:val="0"/>
                <w:sz w:val="21"/>
                <w:szCs w:val="21"/>
                <w:highlight w:val="none"/>
              </w:rPr>
              <w:t>.本次招标仅设定单产品最低任务批次要求和产品采购预算，最终产品任务批次数按产品采购预算及单批次中标价格计算后通过任务文件下发；</w:t>
            </w:r>
          </w:p>
          <w:p w14:paraId="722B96C1">
            <w:pPr>
              <w:jc w:val="both"/>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b/>
                <w:bCs/>
                <w:spacing w:val="-20"/>
                <w:kern w:val="0"/>
                <w:sz w:val="21"/>
                <w:szCs w:val="21"/>
                <w:highlight w:val="none"/>
                <w:lang w:val="en-US" w:eastAsia="zh-CN"/>
              </w:rPr>
              <w:t>4</w:t>
            </w:r>
            <w:r>
              <w:rPr>
                <w:rFonts w:hint="eastAsia" w:ascii="仿宋" w:hAnsi="仿宋" w:eastAsia="仿宋" w:cs="仿宋"/>
                <w:b/>
                <w:bCs/>
                <w:spacing w:val="-20"/>
                <w:kern w:val="0"/>
                <w:sz w:val="21"/>
                <w:szCs w:val="21"/>
                <w:highlight w:val="none"/>
              </w:rPr>
              <w:t xml:space="preserve">.每个标项的具体细则（分类产品名称、检验项目（抽查项目名称）、检验依据、检验方法等）另附（详见招标公告附件）。 </w:t>
            </w:r>
          </w:p>
        </w:tc>
      </w:tr>
    </w:tbl>
    <w:p w14:paraId="56D8179B">
      <w:pPr>
        <w:pStyle w:val="3"/>
        <w:ind w:firstLine="0"/>
        <w:rPr>
          <w:highlight w:val="none"/>
        </w:rPr>
      </w:pPr>
    </w:p>
    <w:p w14:paraId="5ABF19F9">
      <w:pPr>
        <w:adjustRightInd w:val="0"/>
        <w:snapToGrid w:val="0"/>
        <w:spacing w:line="288" w:lineRule="auto"/>
        <w:jc w:val="center"/>
        <w:outlineLvl w:val="0"/>
        <w:rPr>
          <w:rFonts w:ascii="仿宋" w:hAnsi="仿宋" w:eastAsia="仿宋" w:cs="仿宋"/>
          <w:b/>
          <w:sz w:val="32"/>
          <w:szCs w:val="32"/>
          <w:highlight w:val="none"/>
        </w:rPr>
        <w:sectPr>
          <w:pgSz w:w="16838" w:h="11906" w:orient="landscape"/>
          <w:pgMar w:top="1247" w:right="1440" w:bottom="1247" w:left="1440" w:header="283" w:footer="850" w:gutter="0"/>
          <w:cols w:space="0" w:num="1"/>
          <w:docGrid w:linePitch="381" w:charSpace="0"/>
        </w:sectPr>
      </w:pPr>
    </w:p>
    <w:p w14:paraId="64345E5F">
      <w:pPr>
        <w:adjustRightInd w:val="0"/>
        <w:snapToGrid w:val="0"/>
        <w:spacing w:line="288" w:lineRule="auto"/>
        <w:ind w:left="0" w:leftChars="0" w:right="0" w:rightChars="0" w:firstLine="0" w:firstLineChars="0"/>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14:paraId="47D94547">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7"/>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741"/>
        <w:gridCol w:w="6983"/>
      </w:tblGrid>
      <w:tr w14:paraId="2152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6E80A1D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905" w:type="pct"/>
            <w:vAlign w:val="center"/>
          </w:tcPr>
          <w:p w14:paraId="2FA146B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3630" w:type="pct"/>
            <w:vAlign w:val="center"/>
          </w:tcPr>
          <w:p w14:paraId="1ED80C7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14:paraId="1462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37C9173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（一）</w:t>
            </w:r>
          </w:p>
        </w:tc>
        <w:tc>
          <w:tcPr>
            <w:tcW w:w="905" w:type="pct"/>
            <w:vAlign w:val="center"/>
          </w:tcPr>
          <w:p w14:paraId="54FD5A2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3630" w:type="pct"/>
            <w:vAlign w:val="center"/>
          </w:tcPr>
          <w:p w14:paraId="5E158643">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2025年度浙江省助力产品质量提升重点攻坚（二）产品质量监督抽查抽样检验机构技术服务采购项目</w:t>
            </w:r>
            <w:r>
              <w:rPr>
                <w:rFonts w:hint="eastAsia" w:ascii="仿宋" w:hAnsi="仿宋" w:eastAsia="仿宋" w:cs="仿宋"/>
                <w:color w:val="auto"/>
                <w:sz w:val="18"/>
                <w:szCs w:val="18"/>
                <w:highlight w:val="none"/>
              </w:rPr>
              <w:t>的招标、评标、定标、验收、合同履约、付款等（法律、法规另有规定的，从其规定）</w:t>
            </w:r>
          </w:p>
        </w:tc>
      </w:tr>
      <w:tr w14:paraId="3E3B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52183D2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rPr>
              <w:t>）</w:t>
            </w:r>
          </w:p>
        </w:tc>
        <w:tc>
          <w:tcPr>
            <w:tcW w:w="905" w:type="pct"/>
            <w:vAlign w:val="center"/>
          </w:tcPr>
          <w:p w14:paraId="4A902E1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3630" w:type="pct"/>
            <w:vAlign w:val="center"/>
          </w:tcPr>
          <w:p w14:paraId="3D30DF4D">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14:paraId="1075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1BC0DFF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四</w:t>
            </w:r>
            <w:r>
              <w:rPr>
                <w:rFonts w:hint="eastAsia" w:ascii="仿宋" w:hAnsi="仿宋" w:eastAsia="仿宋" w:cs="仿宋"/>
                <w:b/>
                <w:bCs/>
                <w:color w:val="auto"/>
                <w:sz w:val="18"/>
                <w:szCs w:val="18"/>
                <w:highlight w:val="none"/>
              </w:rPr>
              <w:t>）</w:t>
            </w:r>
          </w:p>
        </w:tc>
        <w:tc>
          <w:tcPr>
            <w:tcW w:w="905" w:type="pct"/>
            <w:vAlign w:val="center"/>
          </w:tcPr>
          <w:p w14:paraId="3A2A8C3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3630" w:type="pct"/>
            <w:vAlign w:val="center"/>
          </w:tcPr>
          <w:p w14:paraId="14660DB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不论投标结果如何，投标人均应自行承担所有与投标有关的全部费用；</w:t>
            </w:r>
          </w:p>
          <w:p w14:paraId="3D47BEC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中标人在中标通知书发出之日起七个工作日内向采购代理机构交纳代理服务费；</w:t>
            </w:r>
          </w:p>
          <w:p w14:paraId="4DDAAFE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B478DE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lang w:val="en-US" w:eastAsia="zh-CN"/>
              </w:rPr>
              <w:t>4.</w:t>
            </w:r>
            <w:r>
              <w:rPr>
                <w:rFonts w:hint="eastAsia" w:ascii="仿宋" w:hAnsi="仿宋" w:eastAsia="仿宋" w:cs="仿宋"/>
                <w:color w:val="auto"/>
                <w:spacing w:val="-6"/>
                <w:sz w:val="18"/>
                <w:szCs w:val="18"/>
                <w:highlight w:val="none"/>
                <w:lang w:eastAsia="zh-CN"/>
              </w:rPr>
              <w:t>收费标准：</w:t>
            </w:r>
          </w:p>
          <w:tbl>
            <w:tblPr>
              <w:tblStyle w:val="27"/>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901"/>
              <w:gridCol w:w="3483"/>
            </w:tblGrid>
            <w:tr w14:paraId="005966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901" w:type="dxa"/>
                  <w:tcMar>
                    <w:top w:w="0" w:type="dxa"/>
                    <w:left w:w="108" w:type="dxa"/>
                    <w:bottom w:w="0" w:type="dxa"/>
                    <w:right w:w="108" w:type="dxa"/>
                  </w:tcMar>
                  <w:vAlign w:val="center"/>
                </w:tcPr>
                <w:p w14:paraId="7E13F33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中标金额（万元）</w:t>
                  </w:r>
                </w:p>
              </w:tc>
              <w:tc>
                <w:tcPr>
                  <w:tcW w:w="3483" w:type="dxa"/>
                  <w:tcMar>
                    <w:top w:w="0" w:type="dxa"/>
                    <w:left w:w="108" w:type="dxa"/>
                    <w:bottom w:w="0" w:type="dxa"/>
                    <w:right w:w="108" w:type="dxa"/>
                  </w:tcMar>
                  <w:vAlign w:val="center"/>
                </w:tcPr>
                <w:p w14:paraId="46412F5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收费标准（费率，%）</w:t>
                  </w:r>
                </w:p>
              </w:tc>
            </w:tr>
            <w:tr w14:paraId="73A471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901" w:type="dxa"/>
                  <w:tcMar>
                    <w:top w:w="0" w:type="dxa"/>
                    <w:left w:w="108" w:type="dxa"/>
                    <w:bottom w:w="0" w:type="dxa"/>
                    <w:right w:w="108" w:type="dxa"/>
                  </w:tcMar>
                  <w:vAlign w:val="center"/>
                </w:tcPr>
                <w:p w14:paraId="5F6F5EC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100以下</w:t>
                  </w:r>
                </w:p>
              </w:tc>
              <w:tc>
                <w:tcPr>
                  <w:tcW w:w="3483" w:type="dxa"/>
                  <w:tcMar>
                    <w:top w:w="0" w:type="dxa"/>
                    <w:left w:w="108" w:type="dxa"/>
                    <w:bottom w:w="0" w:type="dxa"/>
                    <w:right w:w="108" w:type="dxa"/>
                  </w:tcMar>
                  <w:vAlign w:val="center"/>
                </w:tcPr>
                <w:p w14:paraId="2EA4AD8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0.9（不足壹仟伍佰元按壹仟伍佰元收取）</w:t>
                  </w:r>
                </w:p>
              </w:tc>
            </w:tr>
          </w:tbl>
          <w:p w14:paraId="5A07BD9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lang w:val="en-US" w:eastAsia="zh-CN"/>
              </w:rPr>
              <w:t>5.</w:t>
            </w:r>
            <w:r>
              <w:rPr>
                <w:rFonts w:hint="eastAsia" w:ascii="仿宋" w:hAnsi="仿宋" w:eastAsia="仿宋" w:cs="仿宋"/>
                <w:color w:val="auto"/>
                <w:spacing w:val="-6"/>
                <w:sz w:val="18"/>
                <w:szCs w:val="18"/>
                <w:highlight w:val="none"/>
              </w:rPr>
              <w:t>投标保证金：无</w:t>
            </w:r>
          </w:p>
        </w:tc>
      </w:tr>
      <w:tr w14:paraId="1CF7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08113E0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p>
        </w:tc>
        <w:tc>
          <w:tcPr>
            <w:tcW w:w="905" w:type="pct"/>
            <w:vAlign w:val="center"/>
          </w:tcPr>
          <w:p w14:paraId="0E3DCE5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3630" w:type="pct"/>
            <w:vAlign w:val="center"/>
          </w:tcPr>
          <w:p w14:paraId="6355000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投标人代表是法定代表人（单位负责人、自然人本人）的提供本人身份证明</w:t>
            </w:r>
            <w:r>
              <w:rPr>
                <w:rFonts w:hint="eastAsia" w:ascii="仿宋" w:hAnsi="仿宋" w:eastAsia="仿宋" w:cs="仿宋"/>
                <w:color w:val="auto"/>
                <w:sz w:val="18"/>
                <w:szCs w:val="18"/>
                <w:highlight w:val="none"/>
                <w:lang w:eastAsia="zh-CN"/>
              </w:rPr>
              <w:t>；</w:t>
            </w:r>
          </w:p>
          <w:p w14:paraId="1A49066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z w:val="18"/>
                <w:szCs w:val="18"/>
                <w:highlight w:val="none"/>
                <w:lang w:eastAsia="zh-CN"/>
              </w:rPr>
              <w:t>[2025年1月（含）至今任意一月]</w:t>
            </w:r>
            <w:r>
              <w:rPr>
                <w:rFonts w:hint="eastAsia" w:ascii="仿宋" w:hAnsi="仿宋" w:eastAsia="仿宋" w:cs="仿宋"/>
                <w:color w:val="auto"/>
                <w:sz w:val="18"/>
                <w:szCs w:val="18"/>
                <w:highlight w:val="none"/>
              </w:rPr>
              <w:t>证明；</w:t>
            </w:r>
          </w:p>
          <w:p w14:paraId="029204B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投标人委派不在本单位缴纳社保的人员作为授权代表的，在投标文件中说明具体原因、授权代表缴纳社保单位并附列该授权代表缴纳社保清单。</w:t>
            </w:r>
          </w:p>
        </w:tc>
      </w:tr>
      <w:tr w14:paraId="1F80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6AA905A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rPr>
              <w:t>）</w:t>
            </w:r>
          </w:p>
        </w:tc>
        <w:tc>
          <w:tcPr>
            <w:tcW w:w="905" w:type="pct"/>
            <w:vAlign w:val="center"/>
          </w:tcPr>
          <w:p w14:paraId="6FDEC20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3630" w:type="pct"/>
            <w:vAlign w:val="center"/>
          </w:tcPr>
          <w:p w14:paraId="5119D3A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本项目接受联合体投标。</w:t>
            </w:r>
          </w:p>
          <w:p w14:paraId="5F62885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两个以上的自然人、法人或者其他组织可以组成一个联合体，以一个供应商的身份共同参加政府采购。</w:t>
            </w:r>
          </w:p>
          <w:p w14:paraId="064602F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62A8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0FEDADD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七</w:t>
            </w:r>
            <w:r>
              <w:rPr>
                <w:rFonts w:hint="eastAsia" w:ascii="仿宋" w:hAnsi="仿宋" w:eastAsia="仿宋" w:cs="仿宋"/>
                <w:b/>
                <w:bCs/>
                <w:color w:val="auto"/>
                <w:sz w:val="18"/>
                <w:szCs w:val="18"/>
                <w:highlight w:val="none"/>
              </w:rPr>
              <w:t>）</w:t>
            </w:r>
          </w:p>
        </w:tc>
        <w:tc>
          <w:tcPr>
            <w:tcW w:w="905" w:type="pct"/>
            <w:vAlign w:val="center"/>
          </w:tcPr>
          <w:p w14:paraId="13DD90C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3630" w:type="pct"/>
            <w:vAlign w:val="center"/>
          </w:tcPr>
          <w:p w14:paraId="1AE1BFB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1.本项目不允许转包；</w:t>
            </w:r>
          </w:p>
          <w:p w14:paraId="54A8049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2.本项目允许分包，可以分包履行的（非主体、非关键性的工作）具体内容、金额或者比例：</w:t>
            </w:r>
            <w:r>
              <w:rPr>
                <w:rFonts w:hint="eastAsia" w:ascii="仿宋" w:hAnsi="仿宋" w:eastAsia="仿宋" w:cs="仿宋"/>
                <w:color w:val="auto"/>
                <w:sz w:val="18"/>
                <w:szCs w:val="18"/>
                <w:highlight w:val="none"/>
                <w:lang w:val="en-US" w:eastAsia="zh-CN"/>
              </w:rPr>
              <w:t>详见第二章 采购需求</w:t>
            </w:r>
            <w:r>
              <w:rPr>
                <w:rFonts w:hint="eastAsia" w:ascii="仿宋" w:hAnsi="仿宋" w:eastAsia="仿宋" w:cs="仿宋"/>
                <w:color w:val="auto"/>
                <w:sz w:val="18"/>
                <w:szCs w:val="18"/>
                <w:highlight w:val="none"/>
              </w:rPr>
              <w:t>。</w:t>
            </w:r>
          </w:p>
          <w:p w14:paraId="4007A30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1745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052B256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905" w:type="pct"/>
            <w:vAlign w:val="center"/>
          </w:tcPr>
          <w:p w14:paraId="4C4D0F6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投标文件份数</w:t>
            </w:r>
          </w:p>
        </w:tc>
        <w:tc>
          <w:tcPr>
            <w:tcW w:w="3630" w:type="pct"/>
            <w:vAlign w:val="center"/>
          </w:tcPr>
          <w:p w14:paraId="770C1A4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w:t>
            </w:r>
            <w:r>
              <w:rPr>
                <w:rFonts w:hint="eastAsia" w:ascii="仿宋" w:hAnsi="仿宋" w:eastAsia="仿宋" w:cs="仿宋"/>
                <w:b/>
                <w:bCs/>
                <w:color w:val="auto"/>
                <w:sz w:val="18"/>
                <w:szCs w:val="18"/>
                <w:highlight w:val="none"/>
                <w:lang w:eastAsia="zh-CN"/>
              </w:rPr>
              <w:t>中田大厦21楼</w:t>
            </w:r>
            <w:r>
              <w:rPr>
                <w:rFonts w:hint="eastAsia" w:ascii="仿宋" w:hAnsi="仿宋" w:eastAsia="仿宋" w:cs="仿宋"/>
                <w:b/>
                <w:bCs/>
                <w:color w:val="auto"/>
                <w:sz w:val="18"/>
                <w:szCs w:val="18"/>
                <w:highlight w:val="none"/>
              </w:rPr>
              <w:t>H室，浙江求是招标代理有限公司</w:t>
            </w:r>
            <w:r>
              <w:rPr>
                <w:rFonts w:hint="eastAsia" w:ascii="仿宋" w:hAnsi="仿宋" w:eastAsia="仿宋" w:cs="仿宋"/>
                <w:b/>
                <w:bCs/>
                <w:color w:val="auto"/>
                <w:sz w:val="18"/>
                <w:szCs w:val="18"/>
                <w:highlight w:val="none"/>
                <w:lang w:eastAsia="zh-CN"/>
              </w:rPr>
              <w:t>招标八部收</w:t>
            </w:r>
            <w:r>
              <w:rPr>
                <w:rFonts w:hint="eastAsia" w:ascii="仿宋" w:hAnsi="仿宋" w:eastAsia="仿宋" w:cs="仿宋"/>
                <w:b/>
                <w:bCs/>
                <w:color w:val="auto"/>
                <w:sz w:val="18"/>
                <w:szCs w:val="18"/>
                <w:highlight w:val="none"/>
              </w:rPr>
              <w:t>，电话：0571-87679349，寄出后将快递单号、项目名称、公司名称、联系方式等相关信息发至zb08@qszb.net以便查收）。</w:t>
            </w:r>
          </w:p>
          <w:p w14:paraId="1C4043B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14:paraId="27ED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0168961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lang w:eastAsia="zh-CN"/>
              </w:rPr>
              <w:t>）</w:t>
            </w:r>
          </w:p>
        </w:tc>
        <w:tc>
          <w:tcPr>
            <w:tcW w:w="905" w:type="pct"/>
            <w:vAlign w:val="center"/>
          </w:tcPr>
          <w:p w14:paraId="033ED29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3630" w:type="pct"/>
            <w:vAlign w:val="center"/>
          </w:tcPr>
          <w:p w14:paraId="6A540594">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报价应按招标文件要求的格式编制、</w:t>
            </w:r>
            <w:r>
              <w:rPr>
                <w:rFonts w:hint="eastAsia" w:ascii="仿宋" w:hAnsi="仿宋" w:eastAsia="仿宋" w:cs="仿宋"/>
                <w:color w:val="auto"/>
                <w:sz w:val="18"/>
                <w:szCs w:val="18"/>
                <w:highlight w:val="none"/>
                <w:lang w:eastAsia="zh-CN"/>
              </w:rPr>
              <w:t>填写报价内容</w:t>
            </w:r>
            <w:r>
              <w:rPr>
                <w:rFonts w:hint="eastAsia" w:ascii="仿宋" w:hAnsi="仿宋" w:eastAsia="仿宋" w:cs="仿宋"/>
                <w:color w:val="auto"/>
                <w:sz w:val="18"/>
                <w:szCs w:val="18"/>
                <w:highlight w:val="none"/>
              </w:rPr>
              <w:t>，未按招标文件要求编制、填写的投标文件可能被拒绝；</w:t>
            </w:r>
          </w:p>
          <w:p w14:paraId="40DD6A56">
            <w:pPr>
              <w:keepNext w:val="0"/>
              <w:keepLines w:val="0"/>
              <w:pageBreakBefore w:val="0"/>
              <w:widowControl w:val="0"/>
              <w:kinsoku/>
              <w:wordWrap/>
              <w:overflowPunct/>
              <w:topLinePunct w:val="0"/>
              <w:autoSpaceDE/>
              <w:autoSpaceDN/>
              <w:bidi w:val="0"/>
              <w:snapToGrid w:val="0"/>
              <w:jc w:val="left"/>
              <w:textAlignment w:val="auto"/>
              <w:rPr>
                <w:rFonts w:hint="eastAsia" w:ascii="仿宋" w:hAnsi="仿宋" w:eastAsia="仿宋" w:cs="仿宋"/>
                <w:bCs/>
                <w:color w:val="auto"/>
                <w:sz w:val="18"/>
                <w:szCs w:val="18"/>
                <w:highlight w:val="none"/>
                <w:lang w:val="en-US" w:eastAsia="zh-CN"/>
              </w:rPr>
            </w:pPr>
            <w:r>
              <w:rPr>
                <w:rFonts w:hint="eastAsia" w:ascii="仿宋" w:hAnsi="仿宋" w:eastAsia="仿宋" w:cs="仿宋"/>
                <w:bCs/>
                <w:color w:val="auto"/>
                <w:sz w:val="18"/>
                <w:szCs w:val="18"/>
                <w:highlight w:val="none"/>
                <w:lang w:val="en-US" w:eastAsia="zh-CN"/>
              </w:rPr>
              <w:t>2.以人民币报价；</w:t>
            </w:r>
          </w:p>
          <w:p w14:paraId="20273B1D">
            <w:pPr>
              <w:keepNext w:val="0"/>
              <w:keepLines w:val="0"/>
              <w:pageBreakBefore w:val="0"/>
              <w:widowControl w:val="0"/>
              <w:kinsoku/>
              <w:wordWrap/>
              <w:overflowPunct/>
              <w:topLinePunct w:val="0"/>
              <w:autoSpaceDE/>
              <w:autoSpaceDN/>
              <w:bidi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bCs/>
                <w:color w:val="auto"/>
                <w:sz w:val="18"/>
                <w:szCs w:val="18"/>
                <w:highlight w:val="none"/>
                <w:lang w:val="en-US" w:eastAsia="zh-CN"/>
              </w:rPr>
              <w:t>3.</w:t>
            </w:r>
            <w:r>
              <w:rPr>
                <w:rFonts w:hint="eastAsia" w:ascii="仿宋" w:hAnsi="仿宋" w:eastAsia="仿宋" w:cs="仿宋"/>
                <w:bCs/>
                <w:color w:val="auto"/>
                <w:sz w:val="18"/>
                <w:szCs w:val="18"/>
                <w:highlight w:val="none"/>
                <w:lang w:eastAsia="zh-CN"/>
              </w:rPr>
              <w:t>投标报价是履行合同的最终价格，应包含履行所有规定服务所产生的全部费用，包括但不限于采购需求中需投标人承担的费用及潜在可能涉及的完成本项目的其它费用和政策性文件规定及合同包含的所有风险、责任和义务等一切应由采购人支付的费用；总价不为零，分项报价中部分服务单价为零的，视作已包含在总价中。</w:t>
            </w:r>
          </w:p>
          <w:p w14:paraId="03CA9230">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b/>
                <w:color w:val="auto"/>
                <w:sz w:val="18"/>
                <w:szCs w:val="18"/>
                <w:highlight w:val="none"/>
                <w:lang w:val="en-US"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4.</w:t>
            </w:r>
            <w:r>
              <w:rPr>
                <w:rFonts w:hint="eastAsia" w:ascii="仿宋" w:hAnsi="仿宋" w:eastAsia="仿宋" w:cs="仿宋"/>
                <w:color w:val="auto"/>
                <w:sz w:val="18"/>
                <w:szCs w:val="18"/>
                <w:highlight w:val="none"/>
              </w:rPr>
              <w:t>采购人将以合同形式</w:t>
            </w:r>
            <w:r>
              <w:rPr>
                <w:rFonts w:hint="eastAsia" w:ascii="仿宋" w:hAnsi="仿宋" w:eastAsia="仿宋" w:cs="仿宋"/>
                <w:color w:val="auto"/>
                <w:sz w:val="18"/>
                <w:szCs w:val="18"/>
                <w:highlight w:val="none"/>
                <w:lang w:eastAsia="zh-CN"/>
              </w:rPr>
              <w:t>有偿取得服务</w:t>
            </w:r>
            <w:r>
              <w:rPr>
                <w:rFonts w:hint="eastAsia" w:ascii="仿宋" w:hAnsi="仿宋" w:eastAsia="仿宋" w:cs="仿宋"/>
                <w:color w:val="auto"/>
                <w:sz w:val="18"/>
                <w:szCs w:val="18"/>
                <w:highlight w:val="none"/>
              </w:rPr>
              <w:t>，不接受投标人给予的赠品、回扣或者与采购无关的其他商品、服务</w:t>
            </w:r>
            <w:r>
              <w:rPr>
                <w:rFonts w:hint="eastAsia" w:ascii="仿宋" w:hAnsi="仿宋" w:eastAsia="仿宋" w:cs="仿宋"/>
                <w:color w:val="auto"/>
                <w:sz w:val="18"/>
                <w:szCs w:val="18"/>
                <w:highlight w:val="none"/>
                <w:lang w:eastAsia="zh-CN"/>
              </w:rPr>
              <w:t>。</w:t>
            </w:r>
          </w:p>
        </w:tc>
      </w:tr>
      <w:tr w14:paraId="6D2A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78BCBE7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lang w:eastAsia="zh-CN"/>
              </w:rPr>
              <w:t>）</w:t>
            </w:r>
          </w:p>
        </w:tc>
        <w:tc>
          <w:tcPr>
            <w:tcW w:w="905" w:type="pct"/>
            <w:vAlign w:val="center"/>
          </w:tcPr>
          <w:p w14:paraId="3D586F0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3630" w:type="pct"/>
            <w:vAlign w:val="center"/>
          </w:tcPr>
          <w:p w14:paraId="1F0DF43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14:paraId="2CC8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695503D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905" w:type="pct"/>
            <w:vAlign w:val="center"/>
          </w:tcPr>
          <w:p w14:paraId="69F2C80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w:t>
            </w:r>
          </w:p>
          <w:p w14:paraId="10BB7E7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资格证明材料</w:t>
            </w:r>
          </w:p>
        </w:tc>
        <w:tc>
          <w:tcPr>
            <w:tcW w:w="3630" w:type="pct"/>
            <w:vAlign w:val="center"/>
          </w:tcPr>
          <w:p w14:paraId="719807F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14:paraId="1492937D">
            <w:pPr>
              <w:rPr>
                <w:rFonts w:ascii="仿宋" w:hAnsi="仿宋" w:eastAsia="仿宋" w:cs="仿宋"/>
                <w:b/>
                <w:bCs/>
                <w:sz w:val="18"/>
                <w:szCs w:val="18"/>
                <w:highlight w:val="none"/>
              </w:rPr>
            </w:pP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1）有效的法人或者其他组织的营业执照等证明文件/自然人的身份证明</w:t>
            </w:r>
          </w:p>
          <w:p w14:paraId="2613FCA5">
            <w:pPr>
              <w:rPr>
                <w:rFonts w:ascii="仿宋" w:hAnsi="仿宋" w:eastAsia="仿宋" w:cs="仿宋"/>
                <w:b/>
                <w:bCs/>
                <w:sz w:val="18"/>
                <w:szCs w:val="18"/>
                <w:highlight w:val="none"/>
              </w:rPr>
            </w:pP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2）符合参加政府采购活动应当具备的一般条件的承诺函</w:t>
            </w:r>
          </w:p>
          <w:p w14:paraId="37661226">
            <w:pPr>
              <w:rPr>
                <w:rFonts w:ascii="仿宋" w:hAnsi="仿宋" w:eastAsia="仿宋" w:cs="仿宋"/>
                <w:b/>
                <w:bCs/>
                <w:sz w:val="18"/>
                <w:szCs w:val="18"/>
                <w:highlight w:val="none"/>
              </w:rPr>
            </w:pP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3）本项目的特定资格要求证明材料</w:t>
            </w:r>
          </w:p>
          <w:p w14:paraId="3C498391">
            <w:pPr>
              <w:rPr>
                <w:rFonts w:ascii="仿宋" w:hAnsi="仿宋" w:eastAsia="仿宋" w:cs="仿宋"/>
                <w:b/>
                <w:bCs/>
                <w:sz w:val="18"/>
                <w:szCs w:val="18"/>
                <w:highlight w:val="none"/>
              </w:rPr>
            </w:pP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4）联合协议（若联合体投标）</w:t>
            </w:r>
          </w:p>
          <w:p w14:paraId="0EB948B4">
            <w:pPr>
              <w:rPr>
                <w:rFonts w:ascii="仿宋" w:hAnsi="仿宋" w:eastAsia="仿宋" w:cs="仿宋"/>
                <w:b/>
                <w:bCs/>
                <w:sz w:val="18"/>
                <w:szCs w:val="18"/>
                <w:highlight w:val="none"/>
              </w:rPr>
            </w:pP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5）分包意向协议（若中标后以分包方式履行合同）</w:t>
            </w:r>
          </w:p>
          <w:p w14:paraId="2FFB744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pacing w:val="-6"/>
                <w:sz w:val="18"/>
                <w:szCs w:val="18"/>
                <w:highlight w:val="none"/>
              </w:rPr>
            </w:pPr>
            <w:r>
              <w:rPr>
                <w:rFonts w:hint="eastAsia" w:ascii="仿宋" w:hAnsi="仿宋" w:eastAsia="仿宋" w:cs="仿宋"/>
                <w:b/>
                <w:bCs/>
                <w:sz w:val="18"/>
                <w:szCs w:val="18"/>
                <w:highlight w:val="none"/>
              </w:rPr>
              <w:t>备注：如联合体投标则联合体双方均需满足（1）&amp;（2）&amp;（3）项资格要求</w:t>
            </w:r>
          </w:p>
        </w:tc>
      </w:tr>
      <w:tr w14:paraId="3BD8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0DFDEEF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lang w:eastAsia="zh-CN"/>
              </w:rPr>
              <w:t>）</w:t>
            </w:r>
          </w:p>
        </w:tc>
        <w:tc>
          <w:tcPr>
            <w:tcW w:w="905" w:type="pct"/>
            <w:vAlign w:val="center"/>
          </w:tcPr>
          <w:p w14:paraId="0FD8C4C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3630" w:type="pct"/>
            <w:vAlign w:val="center"/>
          </w:tcPr>
          <w:p w14:paraId="3D09147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14:paraId="24B6C82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14:paraId="2DA0E69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14:paraId="107F218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14:paraId="25447A1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14:paraId="59E47B4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5AD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4E2EC6C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905" w:type="pct"/>
            <w:vAlign w:val="center"/>
          </w:tcPr>
          <w:p w14:paraId="2DECE02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评标方法和评标</w:t>
            </w:r>
          </w:p>
          <w:p w14:paraId="451BC40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标准</w:t>
            </w:r>
          </w:p>
        </w:tc>
        <w:tc>
          <w:tcPr>
            <w:tcW w:w="3630" w:type="pct"/>
            <w:vAlign w:val="center"/>
          </w:tcPr>
          <w:p w14:paraId="09E52DA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 xml:space="preserve">详见“第四章  </w:t>
            </w:r>
            <w:r>
              <w:rPr>
                <w:rFonts w:hint="eastAsia" w:ascii="仿宋" w:hAnsi="仿宋" w:eastAsia="仿宋" w:cs="仿宋"/>
                <w:color w:val="auto"/>
                <w:spacing w:val="-6"/>
                <w:sz w:val="18"/>
                <w:szCs w:val="18"/>
                <w:highlight w:val="none"/>
                <w:lang w:eastAsia="zh-CN"/>
              </w:rPr>
              <w:t>评标方法和评标标准</w:t>
            </w:r>
            <w:r>
              <w:rPr>
                <w:rFonts w:hint="eastAsia" w:ascii="仿宋" w:hAnsi="仿宋" w:eastAsia="仿宋" w:cs="仿宋"/>
                <w:color w:val="auto"/>
                <w:spacing w:val="-6"/>
                <w:sz w:val="18"/>
                <w:szCs w:val="18"/>
                <w:highlight w:val="none"/>
              </w:rPr>
              <w:t>”</w:t>
            </w:r>
          </w:p>
        </w:tc>
      </w:tr>
      <w:tr w14:paraId="2DEA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67421C0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lang w:eastAsia="zh-CN"/>
              </w:rPr>
              <w:t>）</w:t>
            </w:r>
          </w:p>
        </w:tc>
        <w:tc>
          <w:tcPr>
            <w:tcW w:w="905" w:type="pct"/>
            <w:vAlign w:val="center"/>
          </w:tcPr>
          <w:p w14:paraId="636B45E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p>
        </w:tc>
        <w:tc>
          <w:tcPr>
            <w:tcW w:w="3630" w:type="pct"/>
            <w:vAlign w:val="center"/>
          </w:tcPr>
          <w:p w14:paraId="3F74FA6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14:paraId="486F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48DC3BD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p>
        </w:tc>
        <w:tc>
          <w:tcPr>
            <w:tcW w:w="905" w:type="pct"/>
            <w:vAlign w:val="center"/>
          </w:tcPr>
          <w:p w14:paraId="6ABF98D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p>
        </w:tc>
        <w:tc>
          <w:tcPr>
            <w:tcW w:w="3630" w:type="pct"/>
            <w:vAlign w:val="center"/>
          </w:tcPr>
          <w:p w14:paraId="4BC6C5B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14:paraId="538089D8">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0AA392B2">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14:paraId="44855156">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2"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2"/>
    <w:p w14:paraId="7A4C7B80">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适用范围</w:t>
      </w:r>
    </w:p>
    <w:p w14:paraId="602110D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2025年度浙江省助力产品质量提升重点攻坚（二）产品质量监督抽查抽样检验机构技术服务采购项目</w:t>
      </w:r>
      <w:r>
        <w:rPr>
          <w:rFonts w:hint="eastAsia" w:ascii="仿宋" w:hAnsi="仿宋" w:eastAsia="仿宋" w:cs="仿宋"/>
          <w:color w:val="auto"/>
          <w:spacing w:val="-6"/>
          <w:szCs w:val="21"/>
          <w:highlight w:val="none"/>
        </w:rPr>
        <w:t>的招标、评标、定标、验收、合同履约、付款等（法律、法规另有规定的，从其规定）。</w:t>
      </w:r>
    </w:p>
    <w:p w14:paraId="7D9F2132">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定义</w:t>
      </w:r>
    </w:p>
    <w:p w14:paraId="2EEAFA1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.“采购人”系指</w:t>
      </w:r>
      <w:r>
        <w:rPr>
          <w:rFonts w:hint="eastAsia" w:ascii="仿宋" w:hAnsi="仿宋" w:eastAsia="仿宋" w:cs="仿宋"/>
          <w:color w:val="auto"/>
          <w:spacing w:val="-6"/>
          <w:szCs w:val="21"/>
          <w:highlight w:val="none"/>
          <w:lang w:eastAsia="zh-CN"/>
        </w:rPr>
        <w:t>浙江省市场监督管理局</w:t>
      </w:r>
      <w:r>
        <w:rPr>
          <w:rFonts w:hint="eastAsia" w:ascii="仿宋" w:hAnsi="仿宋" w:eastAsia="仿宋" w:cs="仿宋"/>
          <w:color w:val="auto"/>
          <w:spacing w:val="-6"/>
          <w:szCs w:val="21"/>
          <w:highlight w:val="none"/>
        </w:rPr>
        <w:t>；</w:t>
      </w:r>
    </w:p>
    <w:p w14:paraId="359E8E3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14:paraId="44F7712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.“投标人”系指响应招标、参加投标竞争的法人、其他组织或者自然人；</w:t>
      </w:r>
    </w:p>
    <w:p w14:paraId="42A7043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.“书面形式”包括合同书、信件和数据电文（包括电报、电传、传真、电子数据交换和电子邮件）等可以有形地表现所载内容的形式；</w:t>
      </w:r>
    </w:p>
    <w:p w14:paraId="78F65524">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3"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因特殊原因需要使用冠以法定名称的业务专用章的，投标</w:t>
      </w:r>
      <w:r>
        <w:rPr>
          <w:rFonts w:hint="eastAsia" w:ascii="仿宋" w:hAnsi="仿宋" w:eastAsia="仿宋" w:cs="仿宋"/>
          <w:b/>
          <w:bCs/>
          <w:color w:val="auto"/>
          <w:szCs w:val="21"/>
          <w:highlight w:val="none"/>
          <w:lang w:val="en-US" w:eastAsia="zh-CN"/>
        </w:rPr>
        <w:t>时须</w:t>
      </w:r>
      <w:r>
        <w:rPr>
          <w:rFonts w:hint="eastAsia" w:ascii="仿宋" w:hAnsi="仿宋" w:eastAsia="仿宋" w:cs="仿宋"/>
          <w:b/>
          <w:bCs/>
          <w:color w:val="auto"/>
          <w:szCs w:val="21"/>
          <w:highlight w:val="none"/>
        </w:rPr>
        <w:t>提供《业务专用章使用说明函》（附件1）</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w:t>
      </w:r>
      <w:r>
        <w:rPr>
          <w:rFonts w:hint="eastAsia" w:ascii="仿宋" w:hAnsi="仿宋" w:eastAsia="仿宋" w:cs="仿宋"/>
          <w:b/>
          <w:bCs/>
          <w:color w:val="auto"/>
          <w:spacing w:val="-6"/>
          <w:szCs w:val="21"/>
          <w:highlight w:val="none"/>
        </w:rPr>
        <w:t>招标文件对投标文件签署、盖章的要求适用于电子签名；</w:t>
      </w:r>
    </w:p>
    <w:bookmarkEnd w:id="33"/>
    <w:p w14:paraId="2E616AC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“▲”系指实质性要求条款，投标人应当做出实质性响应。</w:t>
      </w:r>
    </w:p>
    <w:p w14:paraId="0698A2BD">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招标方式</w:t>
      </w:r>
    </w:p>
    <w:p w14:paraId="3DB06B1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14:paraId="0E1860C1">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投标费用</w:t>
      </w:r>
    </w:p>
    <w:p w14:paraId="2632732F">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.不论投标结果如何，投标人均应自行承担所有与投标有关的全部费用；</w:t>
      </w:r>
    </w:p>
    <w:p w14:paraId="0D0712B2">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.中标人在中标通知书发出之日起七个工作日内向采购代理机构交纳代理服务费；</w:t>
      </w:r>
    </w:p>
    <w:p w14:paraId="1FD5A566">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840B28">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lang w:eastAsia="zh-CN"/>
        </w:rPr>
        <w:t>收费标准：</w:t>
      </w:r>
    </w:p>
    <w:tbl>
      <w:tblPr>
        <w:tblStyle w:val="27"/>
        <w:tblW w:w="582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69"/>
        <w:gridCol w:w="3956"/>
      </w:tblGrid>
      <w:tr w14:paraId="1582F6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69" w:type="dxa"/>
            <w:tcMar>
              <w:top w:w="0" w:type="dxa"/>
              <w:left w:w="108" w:type="dxa"/>
              <w:bottom w:w="0" w:type="dxa"/>
              <w:right w:w="108" w:type="dxa"/>
            </w:tcMar>
            <w:vAlign w:val="center"/>
          </w:tcPr>
          <w:p w14:paraId="735CC629">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中标</w:t>
            </w:r>
            <w:r>
              <w:rPr>
                <w:rFonts w:hint="eastAsia" w:ascii="仿宋" w:hAnsi="仿宋" w:eastAsia="仿宋" w:cs="仿宋"/>
                <w:b/>
                <w:bCs/>
                <w:color w:val="auto"/>
                <w:szCs w:val="21"/>
                <w:highlight w:val="none"/>
              </w:rPr>
              <w:t>金额（万元）</w:t>
            </w:r>
          </w:p>
        </w:tc>
        <w:tc>
          <w:tcPr>
            <w:tcW w:w="3956" w:type="dxa"/>
            <w:tcMar>
              <w:top w:w="0" w:type="dxa"/>
              <w:left w:w="108" w:type="dxa"/>
              <w:bottom w:w="0" w:type="dxa"/>
              <w:right w:w="108" w:type="dxa"/>
            </w:tcMar>
            <w:vAlign w:val="center"/>
          </w:tcPr>
          <w:p w14:paraId="4BC8DE1E">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14:paraId="233A39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69" w:type="dxa"/>
            <w:tcMar>
              <w:top w:w="0" w:type="dxa"/>
              <w:left w:w="108" w:type="dxa"/>
              <w:bottom w:w="0" w:type="dxa"/>
              <w:right w:w="108" w:type="dxa"/>
            </w:tcMar>
            <w:vAlign w:val="center"/>
          </w:tcPr>
          <w:p w14:paraId="7F2FA6B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100以下</w:t>
            </w:r>
          </w:p>
        </w:tc>
        <w:tc>
          <w:tcPr>
            <w:tcW w:w="3956" w:type="dxa"/>
            <w:tcMar>
              <w:top w:w="0" w:type="dxa"/>
              <w:left w:w="108" w:type="dxa"/>
              <w:bottom w:w="0" w:type="dxa"/>
              <w:right w:w="108" w:type="dxa"/>
            </w:tcMar>
            <w:vAlign w:val="center"/>
          </w:tcPr>
          <w:p w14:paraId="0C3D4D5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0.9（不足壹仟伍佰元按壹仟伍佰元收取）</w:t>
            </w:r>
          </w:p>
        </w:tc>
      </w:tr>
    </w:tbl>
    <w:p w14:paraId="3D9D2345">
      <w:pPr>
        <w:adjustRightInd w:val="0"/>
        <w:snapToGrid w:val="0"/>
        <w:spacing w:line="288" w:lineRule="auto"/>
        <w:ind w:firstLine="399" w:firstLineChars="202"/>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.投标保证金：无</w:t>
      </w:r>
    </w:p>
    <w:p w14:paraId="2FE5D82E">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投标委托</w:t>
      </w:r>
    </w:p>
    <w:p w14:paraId="09F76D74">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.投标人代表是法定代表人（单位负责人、自然人本人）的提供本人身份证明；</w:t>
      </w:r>
    </w:p>
    <w:p w14:paraId="300F1BCE">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pacing w:val="-6"/>
          <w:szCs w:val="21"/>
          <w:highlight w:val="none"/>
          <w:lang w:eastAsia="zh-CN"/>
        </w:rPr>
        <w:t>[2025年1月（含）至今任意一月]</w:t>
      </w:r>
      <w:r>
        <w:rPr>
          <w:rFonts w:hint="eastAsia" w:ascii="仿宋" w:hAnsi="仿宋" w:eastAsia="仿宋" w:cs="仿宋"/>
          <w:color w:val="auto"/>
          <w:spacing w:val="-6"/>
          <w:szCs w:val="21"/>
          <w:highlight w:val="none"/>
        </w:rPr>
        <w:t>证明；</w:t>
      </w:r>
    </w:p>
    <w:p w14:paraId="686E97D1">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.投标人委派不在本单位缴纳社保的人员作为授权代表的，在投标文件中说明具体原因、授权代表缴纳社保单位并附列该授权代表缴纳社保清单。</w:t>
      </w:r>
    </w:p>
    <w:p w14:paraId="0A9F571C">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bCs/>
          <w:color w:val="auto"/>
          <w:szCs w:val="21"/>
          <w:highlight w:val="none"/>
        </w:rPr>
        <w:t>联合体投标</w:t>
      </w:r>
    </w:p>
    <w:p w14:paraId="3CD7D79C">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本项目接受联合体投标。</w:t>
      </w:r>
    </w:p>
    <w:p w14:paraId="5A7DC187">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两个以上的自然人、法人或者其他组织可以组成一个联合体，以一个供应商的身份共同参加政府采购。</w:t>
      </w:r>
    </w:p>
    <w:p w14:paraId="50ADB8FE">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76AD1F0C">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转包与分包</w:t>
      </w:r>
    </w:p>
    <w:p w14:paraId="27974E67">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1.本项目不允许转包；</w:t>
      </w:r>
    </w:p>
    <w:p w14:paraId="22F4250E">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rPr>
      </w:pPr>
      <w:r>
        <w:rPr>
          <w:rFonts w:hint="eastAsia" w:ascii="仿宋" w:hAnsi="仿宋" w:eastAsia="仿宋" w:cs="仿宋"/>
          <w:b w:val="0"/>
          <w:bCs w:val="0"/>
          <w:color w:val="auto"/>
          <w:spacing w:val="-6"/>
          <w:szCs w:val="21"/>
          <w:highlight w:val="none"/>
        </w:rPr>
        <w:t>2.本项目允许分包，可以分包履行的（非主体、非关键性的工作）具体内容、金额或者比例：</w:t>
      </w:r>
      <w:r>
        <w:rPr>
          <w:rFonts w:hint="eastAsia" w:ascii="仿宋" w:hAnsi="仿宋" w:eastAsia="仿宋" w:cs="仿宋"/>
          <w:b w:val="0"/>
          <w:bCs w:val="0"/>
          <w:color w:val="auto"/>
          <w:spacing w:val="-6"/>
          <w:szCs w:val="21"/>
          <w:highlight w:val="none"/>
          <w:lang w:val="en-US" w:eastAsia="zh-CN"/>
        </w:rPr>
        <w:t>详见第二章 采购需求</w:t>
      </w:r>
      <w:r>
        <w:rPr>
          <w:rFonts w:hint="eastAsia" w:ascii="仿宋" w:hAnsi="仿宋" w:eastAsia="仿宋" w:cs="仿宋"/>
          <w:b w:val="0"/>
          <w:bCs w:val="0"/>
          <w:color w:val="auto"/>
          <w:spacing w:val="-6"/>
          <w:szCs w:val="21"/>
          <w:highlight w:val="none"/>
        </w:rPr>
        <w:t>。</w:t>
      </w:r>
    </w:p>
    <w:p w14:paraId="54A1B482">
      <w:pPr>
        <w:adjustRightInd w:val="0"/>
        <w:snapToGrid w:val="0"/>
        <w:spacing w:line="288" w:lineRule="auto"/>
        <w:ind w:firstLine="396" w:firstLineChars="200"/>
        <w:jc w:val="left"/>
        <w:rPr>
          <w:rFonts w:ascii="仿宋" w:hAnsi="仿宋" w:eastAsia="仿宋" w:cs="仿宋"/>
          <w:b w:val="0"/>
          <w:bCs w:val="0"/>
          <w:color w:val="auto"/>
          <w:spacing w:val="-6"/>
          <w:szCs w:val="21"/>
          <w:highlight w:val="none"/>
        </w:rPr>
      </w:pPr>
      <w:r>
        <w:rPr>
          <w:rFonts w:hint="eastAsia" w:ascii="仿宋" w:hAnsi="仿宋" w:eastAsia="仿宋" w:cs="仿宋"/>
          <w:b w:val="0"/>
          <w:bCs w:val="0"/>
          <w:color w:val="auto"/>
          <w:spacing w:val="-6"/>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8698470">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14:paraId="1F094FB5">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2273406"/>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4"/>
    <w:p w14:paraId="745EA4A1">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投标人提出质疑应当提交质疑函和必要的证明材料，质疑函应当包括下列内容：</w:t>
      </w:r>
    </w:p>
    <w:p w14:paraId="4AC66F7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14:paraId="2AEF556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14:paraId="7F5E37B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14:paraId="063405B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14:paraId="2C19B29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14:paraId="311452C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14:paraId="7B902BA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14:paraId="6AB1552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14:paraId="7937FF6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14:paraId="4A4C412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14:paraId="482128A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14:paraId="22DA0E3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14:paraId="1FF2BDA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14:paraId="2BD57033">
      <w:pPr>
        <w:adjustRightInd w:val="0"/>
        <w:snapToGrid w:val="0"/>
        <w:spacing w:line="288" w:lineRule="auto"/>
        <w:outlineLvl w:val="2"/>
        <w:rPr>
          <w:rFonts w:ascii="仿宋" w:hAnsi="仿宋" w:eastAsia="仿宋" w:cs="仿宋"/>
          <w:color w:val="auto"/>
          <w:szCs w:val="21"/>
          <w:highlight w:val="none"/>
        </w:rPr>
      </w:pPr>
      <w:bookmarkStart w:id="35" w:name="_Hlk92273111"/>
      <w:bookmarkStart w:id="36"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5"/>
    <w:p w14:paraId="0A3E531D">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1.进口产品</w:t>
      </w:r>
    </w:p>
    <w:p w14:paraId="11E2E671">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本项目原则上采购本国生产的货物、服务，不允许采购进口产品。优先采购向我国企业转让技术、与我国企业签订消化吸收再创新方案的供应商的进口产品。</w:t>
      </w:r>
    </w:p>
    <w:p w14:paraId="1FCE4F4B">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0BD2AC74">
      <w:pPr>
        <w:adjustRightInd w:val="0"/>
        <w:snapToGrid w:val="0"/>
        <w:spacing w:line="288" w:lineRule="auto"/>
        <w:ind w:firstLine="396" w:firstLineChars="200"/>
        <w:jc w:val="left"/>
        <w:rPr>
          <w:rFonts w:ascii="仿宋" w:hAnsi="仿宋" w:eastAsia="仿宋" w:cs="仿宋"/>
          <w:b w:val="0"/>
          <w:bCs w:val="0"/>
          <w:color w:val="auto"/>
          <w:spacing w:val="-6"/>
          <w:szCs w:val="21"/>
          <w:highlight w:val="none"/>
        </w:rPr>
      </w:pPr>
      <w:r>
        <w:rPr>
          <w:rFonts w:hint="eastAsia" w:ascii="仿宋" w:hAnsi="仿宋" w:eastAsia="仿宋" w:cs="仿宋"/>
          <w:b w:val="0"/>
          <w:bCs w:val="0"/>
          <w:color w:val="auto"/>
          <w:spacing w:val="-6"/>
          <w:szCs w:val="21"/>
          <w:highlight w:val="none"/>
          <w:lang w:val="en-US" w:eastAsia="zh-CN"/>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8163789">
      <w:pPr>
        <w:adjustRightInd w:val="0"/>
        <w:snapToGrid w:val="0"/>
        <w:spacing w:line="288" w:lineRule="auto"/>
        <w:ind w:firstLine="398"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2.支持绿色发展</w:t>
      </w:r>
    </w:p>
    <w:p w14:paraId="348A7C19">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23527D6B">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▲采购人拟采购产品属于节能产品政府采购清单规定必须强制采购的，将在招标文件中明确载明，供应商相应的投标产品须提供国家确定的认证机构出具的、处于有效期之内的节能产品认证证书。</w:t>
      </w:r>
    </w:p>
    <w:p w14:paraId="2F82EB49">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支持科技创新</w:t>
      </w:r>
    </w:p>
    <w:p w14:paraId="55BA2E0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采购人优先采购被认定为首台套产品和“制造精品”的自主创新产品。</w:t>
      </w:r>
    </w:p>
    <w:p w14:paraId="3C8DD8F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对省级以上主管部门认定的首台套产品，自纳入《省推广应用指导目录》起3年内参加政府采购活动，视同已具备相应销售业绩，业绩分为满分。</w:t>
      </w:r>
    </w:p>
    <w:p w14:paraId="3414444C">
      <w:pPr>
        <w:adjustRightInd w:val="0"/>
        <w:snapToGrid w:val="0"/>
        <w:spacing w:line="288" w:lineRule="auto"/>
        <w:ind w:firstLine="396" w:firstLineChars="200"/>
        <w:jc w:val="left"/>
        <w:rPr>
          <w:rFonts w:hint="eastAsia"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产品核心技术高于国内领先水平，并具有明晰自主知识产权的“制造精品”产品，自认定之日起2年内视同已具备相应销售业绩，参加政府采购活动时业绩分值为满分。</w:t>
      </w:r>
    </w:p>
    <w:p w14:paraId="6C4E087C">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支持中小企业发展</w:t>
      </w:r>
    </w:p>
    <w:p w14:paraId="0B03A6B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0BF386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.2 在政府采购活动中，供应商提供的货物或者服务符合下列情形的，享受中小企业扶持政策：在货物采购项目中，货物由中小企业制造，即货物由中小企业生产且使用该中小企业商号或者注册商标。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D3A27C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w:t>
      </w:r>
    </w:p>
    <w:p w14:paraId="3D3C434D">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中小企业享受扶持政策获得政府采购合同的，小微企业不得将合同分包给大中型企业，中型企业不得将合同分包给大型企业。</w:t>
      </w:r>
    </w:p>
    <w:p w14:paraId="53F5EE2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.4 以联合体形式参加政府采购活动，联合体各方均为中小企业的，联合体视同中小企业。其中，联合体各方均为小微企业的，联合体视同小微企业。</w:t>
      </w:r>
    </w:p>
    <w:p w14:paraId="2F58171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50E93BE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组成联合体或者接受分包合同的中小企业与联合体内其他企业、分包企业之间不得存在直接控股、管理关系。</w:t>
      </w:r>
    </w:p>
    <w:p w14:paraId="0001148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专门面向中小企业采购的项目或者采购包，不再执行价格评审优惠的扶持政策。</w:t>
      </w:r>
    </w:p>
    <w:p w14:paraId="34B620F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3DE978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.7 中小企业参加政府采购活动，应当出具办法规定的《中小企业声明函》，否则不得享受相关中小企业扶持政策。</w:t>
      </w:r>
    </w:p>
    <w:p w14:paraId="6BA5395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DB058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.8 供应商提供《中小企业声明函》内容不实的，属于提供虚假材料谋取中标，依照《中华人民共和国政府采购法》等国家有关规定追究相应责任。</w:t>
      </w:r>
    </w:p>
    <w:p w14:paraId="53DA72C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.9 供应商提供的《中小企业声明函》中，企业数据（如从业人员</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营业收入</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资产总额）有误的，采购</w:t>
      </w:r>
      <w:r>
        <w:rPr>
          <w:rFonts w:hint="eastAsia" w:ascii="仿宋" w:hAnsi="仿宋" w:eastAsia="仿宋" w:cs="仿宋"/>
          <w:color w:val="auto"/>
          <w:spacing w:val="-6"/>
          <w:szCs w:val="21"/>
          <w:highlight w:val="none"/>
          <w:lang w:val="en-US" w:eastAsia="zh-CN"/>
        </w:rPr>
        <w:t>代理</w:t>
      </w:r>
      <w:r>
        <w:rPr>
          <w:rFonts w:hint="eastAsia" w:ascii="仿宋" w:hAnsi="仿宋" w:eastAsia="仿宋" w:cs="仿宋"/>
          <w:color w:val="auto"/>
          <w:spacing w:val="-6"/>
          <w:szCs w:val="21"/>
          <w:highlight w:val="none"/>
        </w:rPr>
        <w:t>机构或评标委员会可以要求供应商进行澄清、说明。但《中小企业声明函》出现下列情形的，《中小企业声明函》无效，不享受《政府采购促进中小企业发展管理办法》规定的中小企业扶持政策：</w:t>
      </w:r>
    </w:p>
    <w:p w14:paraId="5BA94ED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（1）内容未包括全部采购标的；</w:t>
      </w:r>
    </w:p>
    <w:p w14:paraId="3B89962A">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（2）未填写标的所属行业，或者填写的所属行业与</w:t>
      </w:r>
      <w:r>
        <w:rPr>
          <w:rFonts w:hint="eastAsia" w:ascii="仿宋" w:hAnsi="仿宋" w:eastAsia="仿宋" w:cs="仿宋"/>
          <w:color w:val="auto"/>
          <w:spacing w:val="-6"/>
          <w:szCs w:val="21"/>
          <w:highlight w:val="none"/>
          <w:lang w:val="en-US" w:eastAsia="zh-CN"/>
        </w:rPr>
        <w:t>招标</w:t>
      </w:r>
      <w:r>
        <w:rPr>
          <w:rFonts w:hint="eastAsia" w:ascii="仿宋" w:hAnsi="仿宋" w:eastAsia="仿宋" w:cs="仿宋"/>
          <w:color w:val="auto"/>
          <w:spacing w:val="-6"/>
          <w:szCs w:val="21"/>
          <w:highlight w:val="none"/>
        </w:rPr>
        <w:t>文件明确的所属行业不一致；</w:t>
      </w:r>
    </w:p>
    <w:p w14:paraId="65E6EBC1">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（3）未填写企业类型、填写的企业类型不明确或填写的企业类型与实际不符（即：企业类型（中型企业、小型企业或微型企业）填写错误）。</w:t>
      </w:r>
    </w:p>
    <w:p w14:paraId="261BE81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供应商声明的类型获得了本不应获得的利益（价格扣除或者资格审查通过），属于提供虚假材料。构成“提供虚假材料谋取中标的”，依法承担法律责任。</w:t>
      </w:r>
    </w:p>
    <w:p w14:paraId="0E37B353">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政府采购支持监狱企业发展</w:t>
      </w:r>
    </w:p>
    <w:p w14:paraId="0354D92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3D9114C">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6.</w:t>
      </w:r>
      <w:r>
        <w:rPr>
          <w:rFonts w:hint="eastAsia" w:ascii="仿宋" w:hAnsi="仿宋" w:eastAsia="仿宋" w:cs="仿宋"/>
          <w:b/>
          <w:bCs/>
          <w:color w:val="auto"/>
          <w:spacing w:val="-6"/>
          <w:szCs w:val="21"/>
          <w:highlight w:val="none"/>
        </w:rPr>
        <w:t>政府采购促进残疾人就业</w:t>
      </w:r>
    </w:p>
    <w:p w14:paraId="7C2DA8D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符合《关于促进残疾人就业政府采购政策的通知》（财库[2017]141号）规定的条件并提供《残疾人福利性单位声明函》的残疾人福利性单位视同小型、微型企业。</w:t>
      </w:r>
    </w:p>
    <w:p w14:paraId="0F91E752">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14:paraId="5857DCD5">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6"/>
    <w:p w14:paraId="01BE6743">
      <w:pPr>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D8EFCCF">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14:paraId="53661029">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招标文件的构成</w:t>
      </w:r>
    </w:p>
    <w:p w14:paraId="03804E01">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14:paraId="6212414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投标邀请</w:t>
      </w:r>
    </w:p>
    <w:p w14:paraId="5F0F222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采购需求</w:t>
      </w:r>
    </w:p>
    <w:p w14:paraId="7E465CA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投标人须知</w:t>
      </w:r>
    </w:p>
    <w:p w14:paraId="646F8B93">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评标方法和评标标准</w:t>
      </w:r>
    </w:p>
    <w:p w14:paraId="3492D6B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拟签订的合同文本</w:t>
      </w:r>
    </w:p>
    <w:p w14:paraId="4A6591E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投标文件格式</w:t>
      </w:r>
    </w:p>
    <w:p w14:paraId="410AFD8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本项目招标文件的澄清、答复、修改、补充的内容</w:t>
      </w:r>
    </w:p>
    <w:p w14:paraId="4FDD9D1E">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招标文件的澄清与修改</w:t>
      </w:r>
    </w:p>
    <w:p w14:paraId="2921769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采购人或者采购代理机构可以对已发出的招标文件进行必要的澄清或者修改，澄清或者修改会在原公告发布媒体上发布澄清公告，澄清或者修改的内容为招标文件的组成部分。</w:t>
      </w:r>
    </w:p>
    <w:p w14:paraId="717504F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14:paraId="02DC1D3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4244988B">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7D39E91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14:paraId="697AA6C4">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投标文件的组成</w:t>
      </w:r>
    </w:p>
    <w:p w14:paraId="057D854E">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7"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14:paraId="467E90D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.投标文件组成：详见“第六章  投标文件格式”目录。</w:t>
      </w:r>
    </w:p>
    <w:bookmarkEnd w:id="37"/>
    <w:p w14:paraId="4EA9F7A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投标文件的签署和份数</w:t>
      </w:r>
    </w:p>
    <w:p w14:paraId="0B1BEDE7">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14:paraId="01D8AC7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38" w:name="_Hlk96329183"/>
      <w:r>
        <w:rPr>
          <w:rFonts w:hint="eastAsia" w:ascii="仿宋" w:hAnsi="仿宋" w:eastAsia="仿宋" w:cs="仿宋"/>
          <w:color w:val="auto"/>
          <w:spacing w:val="-6"/>
          <w:szCs w:val="21"/>
          <w:highlight w:val="none"/>
        </w:rPr>
        <w:t>加盖公章</w:t>
      </w:r>
      <w:bookmarkEnd w:id="38"/>
      <w:r>
        <w:rPr>
          <w:rFonts w:hint="eastAsia" w:ascii="仿宋" w:hAnsi="仿宋" w:eastAsia="仿宋" w:cs="仿宋"/>
          <w:color w:val="auto"/>
          <w:spacing w:val="-6"/>
          <w:szCs w:val="21"/>
          <w:highlight w:val="none"/>
        </w:rPr>
        <w:t>，投标人应写全称；</w:t>
      </w:r>
    </w:p>
    <w:p w14:paraId="553023E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.投标文件不得涂改，若有修改错漏处，须由投标人加盖公章，或者由</w:t>
      </w:r>
      <w:r>
        <w:rPr>
          <w:rFonts w:hint="eastAsia" w:ascii="仿宋" w:hAnsi="仿宋" w:eastAsia="仿宋" w:cs="仿宋"/>
          <w:color w:val="auto"/>
          <w:spacing w:val="-6"/>
          <w:szCs w:val="21"/>
          <w:highlight w:val="none"/>
          <w:lang w:eastAsia="zh-CN"/>
        </w:rPr>
        <w:t>投标人代表</w:t>
      </w:r>
      <w:r>
        <w:rPr>
          <w:rFonts w:hint="eastAsia" w:ascii="仿宋" w:hAnsi="仿宋" w:eastAsia="仿宋" w:cs="仿宋"/>
          <w:color w:val="auto"/>
          <w:spacing w:val="-6"/>
          <w:szCs w:val="21"/>
          <w:highlight w:val="none"/>
        </w:rPr>
        <w:t>签名。投标文件因字迹潦草或表达不清所引起的后果由投标人负责；</w:t>
      </w:r>
    </w:p>
    <w:p w14:paraId="12A4643B">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.投标文件份数：</w:t>
      </w:r>
    </w:p>
    <w:p w14:paraId="3BA8B409">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w:t>
      </w:r>
      <w:r>
        <w:rPr>
          <w:rFonts w:hint="eastAsia" w:ascii="仿宋" w:hAnsi="仿宋" w:eastAsia="仿宋" w:cs="仿宋"/>
          <w:b/>
          <w:bCs/>
          <w:color w:val="auto"/>
          <w:szCs w:val="21"/>
          <w:highlight w:val="none"/>
          <w:lang w:eastAsia="zh-CN"/>
        </w:rPr>
        <w:t>中田大厦21楼</w:t>
      </w:r>
      <w:r>
        <w:rPr>
          <w:rFonts w:hint="eastAsia" w:ascii="仿宋" w:hAnsi="仿宋" w:eastAsia="仿宋" w:cs="仿宋"/>
          <w:b/>
          <w:bCs/>
          <w:color w:val="auto"/>
          <w:szCs w:val="21"/>
          <w:highlight w:val="none"/>
        </w:rPr>
        <w:t>H室，浙江求是招标代理有限公司</w:t>
      </w:r>
      <w:r>
        <w:rPr>
          <w:rFonts w:hint="eastAsia" w:ascii="仿宋" w:hAnsi="仿宋" w:eastAsia="仿宋" w:cs="仿宋"/>
          <w:b/>
          <w:bCs/>
          <w:color w:val="auto"/>
          <w:szCs w:val="21"/>
          <w:highlight w:val="none"/>
          <w:lang w:eastAsia="zh-CN"/>
        </w:rPr>
        <w:t>招标八部收</w:t>
      </w:r>
      <w:r>
        <w:rPr>
          <w:rFonts w:hint="eastAsia" w:ascii="仿宋" w:hAnsi="仿宋" w:eastAsia="仿宋" w:cs="仿宋"/>
          <w:b/>
          <w:bCs/>
          <w:color w:val="auto"/>
          <w:szCs w:val="21"/>
          <w:highlight w:val="none"/>
        </w:rPr>
        <w:t>，电话：0571-87679349，寄出后将快递单号、项目名称、公司名称、联系方式等相关信息发至zb08@qszb.net以便查收）。</w:t>
      </w:r>
    </w:p>
    <w:p w14:paraId="31068153">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14:paraId="1F226E30">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投标文件的上传、递交、修改和撤回</w:t>
      </w:r>
    </w:p>
    <w:p w14:paraId="1CEAA71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.投标文件的上传、递交：</w:t>
      </w:r>
    </w:p>
    <w:p w14:paraId="56C577D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14:paraId="71CBC50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投标人应在提交投标文件截止时间前将电子加密投标文件成功上传至政府采购云平台，否则投标无效；</w:t>
      </w:r>
    </w:p>
    <w:p w14:paraId="6D20F68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电子加密投标文件成功上传后，投标人可自行打印投标文件接收回执。</w:t>
      </w:r>
    </w:p>
    <w:p w14:paraId="4751D62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14:paraId="63A01C5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投标人在政府采购云平台完成电子加密投标文件的上传后，可以EMS或顺丰邮寄形式在提交投标文件截止时间前递交以介质（U盘）存储的数据电文形式的备份投标文件；</w:t>
      </w:r>
    </w:p>
    <w:p w14:paraId="188B3A7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14:paraId="5D7DD15B">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通过政府采购云平台成功上传的电子加密投标文件已按时解密的，备份投标文件自动失效</w:t>
      </w:r>
      <w:bookmarkStart w:id="39" w:name="_Hlk94018616"/>
      <w:r>
        <w:rPr>
          <w:rFonts w:hint="eastAsia" w:ascii="仿宋" w:hAnsi="仿宋" w:eastAsia="仿宋" w:cs="仿宋"/>
          <w:color w:val="auto"/>
          <w:spacing w:val="-6"/>
          <w:szCs w:val="21"/>
          <w:highlight w:val="none"/>
          <w:lang w:eastAsia="zh-CN"/>
        </w:rPr>
        <w:t>；</w:t>
      </w:r>
    </w:p>
    <w:p w14:paraId="00DE59F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4）投标人</w:t>
      </w:r>
      <w:r>
        <w:rPr>
          <w:rFonts w:hint="eastAsia" w:ascii="仿宋" w:hAnsi="仿宋" w:eastAsia="仿宋" w:cs="仿宋"/>
          <w:color w:val="auto"/>
          <w:spacing w:val="-6"/>
          <w:szCs w:val="21"/>
          <w:highlight w:val="none"/>
        </w:rPr>
        <w:t>仅递交备份投标文件而未将电子加密投标文件成功上传至政府采购云平台的，投标无效。</w:t>
      </w:r>
    </w:p>
    <w:bookmarkEnd w:id="39"/>
    <w:p w14:paraId="5086122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14:paraId="73ED9100">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投标人因未在线参加开标而导致电子加密投标文件无法按时解密等一切后果由投标人自行承担</w:t>
      </w:r>
      <w:r>
        <w:rPr>
          <w:rFonts w:hint="eastAsia" w:ascii="仿宋" w:hAnsi="仿宋" w:eastAsia="仿宋" w:cs="仿宋"/>
          <w:color w:val="auto"/>
          <w:spacing w:val="-6"/>
          <w:szCs w:val="21"/>
          <w:highlight w:val="none"/>
          <w:lang w:eastAsia="zh-CN"/>
        </w:rPr>
        <w:t>；</w:t>
      </w:r>
    </w:p>
    <w:p w14:paraId="3C4FC2E2">
      <w:pPr>
        <w:adjustRightInd w:val="0"/>
        <w:snapToGrid w:val="0"/>
        <w:spacing w:line="288"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3.投标人应按照招标文件和政府采购云平台的要求，根据投标文件的组成规定的内容及顺序通过政采云电子交易客户端（政采云投标客户端）编制加密投标文件。</w:t>
      </w:r>
    </w:p>
    <w:p w14:paraId="50AB098D">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14:paraId="71B64CDE">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投标文件的语言及计量</w:t>
      </w:r>
    </w:p>
    <w:p w14:paraId="07E3F2B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55D378E0">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投标报价</w:t>
      </w:r>
    </w:p>
    <w:p w14:paraId="3EAE37D1">
      <w:pPr>
        <w:adjustRightInd w:val="0"/>
        <w:snapToGrid w:val="0"/>
        <w:spacing w:line="288" w:lineRule="auto"/>
        <w:ind w:firstLine="396" w:firstLineChars="200"/>
        <w:jc w:val="left"/>
        <w:rPr>
          <w:rFonts w:hint="eastAsia" w:ascii="仿宋" w:hAnsi="仿宋" w:eastAsia="仿宋" w:cs="仿宋"/>
          <w:color w:val="auto"/>
          <w:spacing w:val="-6"/>
          <w:sz w:val="21"/>
          <w:szCs w:val="21"/>
          <w:highlight w:val="none"/>
          <w:lang w:val="en-US" w:eastAsia="zh-CN"/>
        </w:rPr>
      </w:pPr>
      <w:bookmarkStart w:id="40" w:name="_Hlk94018664"/>
      <w:r>
        <w:rPr>
          <w:rFonts w:hint="eastAsia" w:ascii="仿宋" w:hAnsi="仿宋" w:eastAsia="仿宋" w:cs="仿宋"/>
          <w:color w:val="auto"/>
          <w:spacing w:val="-6"/>
          <w:sz w:val="21"/>
          <w:szCs w:val="21"/>
          <w:highlight w:val="none"/>
          <w:lang w:val="en-US" w:eastAsia="zh-CN"/>
        </w:rPr>
        <w:t>1.报价应按招标文件要求的格式编制、填写报价内容，未按招标文件要求编制、填写的投标文件可能被拒绝；</w:t>
      </w:r>
    </w:p>
    <w:p w14:paraId="178946C3">
      <w:pPr>
        <w:adjustRightInd w:val="0"/>
        <w:snapToGrid w:val="0"/>
        <w:spacing w:line="288" w:lineRule="auto"/>
        <w:ind w:firstLine="396"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lang w:val="en-US" w:eastAsia="zh-CN"/>
        </w:rPr>
        <w:t>2.以人民币报价；</w:t>
      </w:r>
    </w:p>
    <w:p w14:paraId="22A99E96">
      <w:pPr>
        <w:adjustRightInd w:val="0"/>
        <w:snapToGrid w:val="0"/>
        <w:spacing w:line="288" w:lineRule="auto"/>
        <w:ind w:firstLine="396"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lang w:val="en-US" w:eastAsia="zh-CN"/>
        </w:rPr>
        <w:t>3.投标报价是履行合同的最终价格，应包含履行所有规定服务所产生的全部费用，包括但不限于采购需求中需投标人承担的费用及潜在可能涉及的完成本项目的其它费用和政策性文件规定及合同包含的所有风险、责任和义务等一切应由采购人支付的费用；总价不为零，分项报价中部分服务单价为零的，视作已包含在总价中。</w:t>
      </w:r>
    </w:p>
    <w:p w14:paraId="36A6888B">
      <w:pPr>
        <w:adjustRightInd w:val="0"/>
        <w:snapToGrid w:val="0"/>
        <w:spacing w:line="288" w:lineRule="auto"/>
        <w:ind w:firstLine="396"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lang w:val="en-US" w:eastAsia="zh-CN"/>
        </w:rPr>
        <w:t>▲4.采购人将以合同形式有偿取得服务，不接受投标人给予的赠品、回扣或者与采购无关的其他商品、服务。</w:t>
      </w:r>
    </w:p>
    <w:bookmarkEnd w:id="40"/>
    <w:p w14:paraId="3E226DB7">
      <w:pPr>
        <w:adjustRightInd w:val="0"/>
        <w:snapToGrid w:val="0"/>
        <w:spacing w:line="288" w:lineRule="auto"/>
        <w:jc w:val="left"/>
        <w:outlineLvl w:val="2"/>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投标有效期</w:t>
      </w:r>
      <w:r>
        <w:rPr>
          <w:rFonts w:hint="eastAsia" w:ascii="仿宋" w:hAnsi="仿宋" w:eastAsia="仿宋" w:cs="仿宋"/>
          <w:b/>
          <w:color w:val="auto"/>
          <w:spacing w:val="-6"/>
          <w:szCs w:val="21"/>
          <w:highlight w:val="none"/>
          <w:lang w:val="en-US" w:eastAsia="zh-CN"/>
        </w:rPr>
        <w:tab/>
      </w:r>
    </w:p>
    <w:p w14:paraId="6AA45033">
      <w:pPr>
        <w:pStyle w:val="10"/>
        <w:adjustRightInd w:val="0"/>
        <w:snapToGrid w:val="0"/>
        <w:spacing w:before="0" w:beforeLines="0" w:after="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14:paraId="031F4629">
      <w:pPr>
        <w:widowControl/>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0CFBB8E">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14:paraId="6E367E1E">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在资格审查时，如发现下列情形之一的，投标人将被视为资格审查不通过：</w:t>
      </w:r>
    </w:p>
    <w:p w14:paraId="21563A92">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资格证明材料不全的或者不符合招标文件要求的</w:t>
      </w:r>
    </w:p>
    <w:p w14:paraId="59E35BE3">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投标人不具备招标文件中规定的资格要求的</w:t>
      </w:r>
    </w:p>
    <w:p w14:paraId="4F85EED0">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资格文件未按要求签署、盖章的</w:t>
      </w:r>
    </w:p>
    <w:p w14:paraId="4AAC4E21">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未响应招标文件“▲”标记条款要求的</w:t>
      </w:r>
    </w:p>
    <w:p w14:paraId="21A2D9D7">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在符合性审查、商务和技术评审时，如发现下列情形之一的，投标文件将被视为无效：</w:t>
      </w:r>
    </w:p>
    <w:p w14:paraId="7DA58453">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商务和技术文件未按要求签署、盖章的</w:t>
      </w:r>
    </w:p>
    <w:p w14:paraId="24D280D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未提供或未按要求提供投标函、</w:t>
      </w:r>
      <w:r>
        <w:rPr>
          <w:rFonts w:hint="eastAsia" w:ascii="仿宋" w:hAnsi="仿宋" w:eastAsia="仿宋" w:cs="仿宋"/>
          <w:color w:val="auto"/>
          <w:spacing w:val="-6"/>
          <w:szCs w:val="21"/>
          <w:highlight w:val="none"/>
          <w:lang w:eastAsia="zh-CN"/>
        </w:rPr>
        <w:t>授权委托书</w:t>
      </w:r>
      <w:r>
        <w:rPr>
          <w:rFonts w:hint="eastAsia" w:ascii="仿宋" w:hAnsi="仿宋" w:eastAsia="仿宋" w:cs="仿宋"/>
          <w:color w:val="auto"/>
          <w:spacing w:val="-6"/>
          <w:szCs w:val="21"/>
          <w:highlight w:val="none"/>
        </w:rPr>
        <w:t>的</w:t>
      </w:r>
    </w:p>
    <w:p w14:paraId="749B7EA3">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未响应招标文件“▲”标记条款要求的</w:t>
      </w:r>
    </w:p>
    <w:p w14:paraId="5C60346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未提供或未如实提供采购需求偏离表的</w:t>
      </w:r>
    </w:p>
    <w:p w14:paraId="5E9BC317">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5.服务响应负偏离达到评分标准中规定数量</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color w:val="auto"/>
          <w:spacing w:val="-6"/>
          <w:szCs w:val="21"/>
          <w:highlight w:val="none"/>
          <w:lang w:val="en-US" w:eastAsia="zh-CN"/>
        </w:rPr>
        <w:t>的</w:t>
      </w:r>
    </w:p>
    <w:p w14:paraId="2AF0259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明显不符合招标文件要求</w:t>
      </w:r>
      <w:r>
        <w:rPr>
          <w:rFonts w:hint="eastAsia" w:ascii="仿宋" w:hAnsi="仿宋" w:eastAsia="仿宋" w:cs="仿宋"/>
          <w:color w:val="auto"/>
          <w:szCs w:val="21"/>
          <w:highlight w:val="none"/>
        </w:rPr>
        <w:t>的</w:t>
      </w:r>
    </w:p>
    <w:p w14:paraId="0710A829">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7.投标服务</w:t>
      </w:r>
      <w:r>
        <w:rPr>
          <w:rFonts w:hint="eastAsia" w:ascii="仿宋" w:hAnsi="仿宋" w:eastAsia="仿宋" w:cs="仿宋"/>
          <w:color w:val="auto"/>
          <w:spacing w:val="-6"/>
          <w:szCs w:val="21"/>
          <w:highlight w:val="none"/>
        </w:rPr>
        <w:t>方案不明确（存在一个或一个以上备选/替代</w:t>
      </w:r>
      <w:r>
        <w:rPr>
          <w:rFonts w:hint="eastAsia" w:ascii="仿宋" w:hAnsi="仿宋" w:eastAsia="仿宋" w:cs="仿宋"/>
          <w:color w:val="auto"/>
          <w:spacing w:val="-6"/>
          <w:szCs w:val="21"/>
          <w:highlight w:val="none"/>
          <w:lang w:val="en-US" w:eastAsia="zh-CN"/>
        </w:rPr>
        <w:t>投标服务</w:t>
      </w:r>
      <w:r>
        <w:rPr>
          <w:rFonts w:hint="eastAsia" w:ascii="仿宋" w:hAnsi="仿宋" w:eastAsia="仿宋" w:cs="仿宋"/>
          <w:color w:val="auto"/>
          <w:spacing w:val="-6"/>
          <w:szCs w:val="21"/>
          <w:highlight w:val="none"/>
        </w:rPr>
        <w:t>方案）的</w:t>
      </w:r>
    </w:p>
    <w:p w14:paraId="02C3FC0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投标文件含有采购人不能接受的附加条件的</w:t>
      </w:r>
    </w:p>
    <w:p w14:paraId="7789DC1C">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法律、法规和招标文件规定的其他无效情形</w:t>
      </w:r>
    </w:p>
    <w:p w14:paraId="00971719">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在报价评审时，如发现下列情形之一的，投标文件将被视为无效：</w:t>
      </w:r>
    </w:p>
    <w:p w14:paraId="1DA63D3F">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报价文件未按要求签署、盖章的</w:t>
      </w:r>
    </w:p>
    <w:p w14:paraId="33B7E7E9">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未按照招标文件标明的币种</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形式</w:t>
      </w:r>
      <w:r>
        <w:rPr>
          <w:rFonts w:hint="eastAsia" w:ascii="仿宋" w:hAnsi="仿宋" w:eastAsia="仿宋" w:cs="仿宋"/>
          <w:color w:val="auto"/>
          <w:spacing w:val="-6"/>
          <w:szCs w:val="21"/>
          <w:highlight w:val="none"/>
        </w:rPr>
        <w:t>报价的</w:t>
      </w:r>
    </w:p>
    <w:p w14:paraId="1158928E">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报价内容有缺漏项或者与招标文件要求不一致的</w:t>
      </w:r>
    </w:p>
    <w:p w14:paraId="462BCEB6">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报价超过招标文件中规定的</w:t>
      </w:r>
      <w:r>
        <w:rPr>
          <w:rFonts w:hint="eastAsia" w:ascii="仿宋" w:hAnsi="仿宋" w:eastAsia="仿宋" w:cs="仿宋"/>
          <w:color w:val="auto"/>
          <w:spacing w:val="-6"/>
          <w:szCs w:val="21"/>
          <w:highlight w:val="none"/>
          <w:lang w:val="en-US" w:eastAsia="zh-CN"/>
        </w:rPr>
        <w:t>预算金额</w:t>
      </w:r>
      <w:r>
        <w:rPr>
          <w:rFonts w:hint="eastAsia" w:ascii="仿宋" w:hAnsi="仿宋" w:eastAsia="仿宋" w:cs="仿宋"/>
          <w:color w:val="auto"/>
          <w:spacing w:val="-6"/>
          <w:szCs w:val="21"/>
          <w:highlight w:val="none"/>
        </w:rPr>
        <w:t>的</w:t>
      </w:r>
    </w:p>
    <w:p w14:paraId="31AB794E">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报价具有选择性的</w:t>
      </w:r>
    </w:p>
    <w:p w14:paraId="0CCAC660">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未响应招标文件“▲”标记条款要求的</w:t>
      </w:r>
    </w:p>
    <w:p w14:paraId="1B5396A9">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1"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特别说明：评标委员会认为投标人的报价明显低于其他通过符合性审查投标人的报价，有可能影响</w:t>
      </w:r>
      <w:r>
        <w:rPr>
          <w:rFonts w:hint="eastAsia" w:ascii="仿宋" w:hAnsi="仿宋" w:eastAsia="仿宋" w:cs="仿宋"/>
          <w:b/>
          <w:bCs/>
          <w:color w:val="auto"/>
          <w:spacing w:val="-6"/>
          <w:szCs w:val="21"/>
          <w:highlight w:val="none"/>
          <w:lang w:eastAsia="zh-CN"/>
        </w:rPr>
        <w:t>服务质量</w:t>
      </w:r>
      <w:r>
        <w:rPr>
          <w:rFonts w:hint="eastAsia" w:ascii="仿宋" w:hAnsi="仿宋" w:eastAsia="仿宋" w:cs="仿宋"/>
          <w:b/>
          <w:bCs/>
          <w:color w:val="auto"/>
          <w:spacing w:val="-6"/>
          <w:szCs w:val="21"/>
          <w:highlight w:val="none"/>
        </w:rPr>
        <w:t>或者不能诚信履约的，应当要求其在评标现场合理的时间内提供书面说明，必要时提交相关证明材料；投标人不能证明其报价合理性的，评标委员会应当将其作为无效投标处理。</w:t>
      </w:r>
    </w:p>
    <w:bookmarkEnd w:id="41"/>
    <w:p w14:paraId="47D91082">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有下列情形之一的，视为投标人串通投标，其投标无效：</w:t>
      </w:r>
    </w:p>
    <w:p w14:paraId="03CDF6E5">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不同投标人的投标文件由同一单位或者个人编制</w:t>
      </w:r>
    </w:p>
    <w:p w14:paraId="0A79BF5B">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不同投标人委托同一单位或者个人办理投标事宜</w:t>
      </w:r>
    </w:p>
    <w:p w14:paraId="0D35F877">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不同投标人的投标文件载明的项目管理成员或者联系人员为同一人</w:t>
      </w:r>
    </w:p>
    <w:p w14:paraId="5F9F604D">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不同投标人的投标文件异常一致或者投标报价呈规律性差异</w:t>
      </w:r>
    </w:p>
    <w:p w14:paraId="6F259C57">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不同投标人的投标文件相互混装</w:t>
      </w:r>
    </w:p>
    <w:p w14:paraId="725DC850">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）参与同一个采购包（标项）的投标人存在下列情形之一且无法合理解释的，其投标文件无效：</w:t>
      </w:r>
    </w:p>
    <w:p w14:paraId="540B6A25">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不同供应商的电子投标文件上传计算机的网卡MAC地址或硬盘序列号等硬件信息相同的；</w:t>
      </w:r>
    </w:p>
    <w:p w14:paraId="30A245FE">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上传的电子投标文件若出现使用本项目其他投标供应商的数字证书加密的，或者加盖本项目其他投标供应商的电子印章的；</w:t>
      </w:r>
    </w:p>
    <w:p w14:paraId="6C5E0766">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不同供应商的投标文件的内容存在3处（含）以上错误一致的；</w:t>
      </w:r>
    </w:p>
    <w:p w14:paraId="493969FA">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不同供应商联系人为同一人或不同联系人的联系电话一致的。</w:t>
      </w:r>
    </w:p>
    <w:p w14:paraId="681897C2">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66F31FF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14:paraId="2BD9A228">
      <w:pPr>
        <w:pStyle w:val="104"/>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ascii="仿宋" w:hAnsi="仿宋" w:eastAsia="仿宋" w:cs="仿宋"/>
          <w:color w:val="auto"/>
          <w:szCs w:val="21"/>
          <w:highlight w:val="none"/>
        </w:rPr>
      </w:pPr>
      <w:bookmarkStart w:id="42" w:name="_Hlk94018775"/>
      <w:r>
        <w:rPr>
          <w:rFonts w:hint="eastAsia" w:ascii="仿宋" w:hAnsi="仿宋" w:eastAsia="仿宋" w:cs="仿宋"/>
          <w:b/>
          <w:color w:val="auto"/>
          <w:szCs w:val="21"/>
          <w:highlight w:val="none"/>
        </w:rPr>
        <w:t>（一）开标</w:t>
      </w:r>
    </w:p>
    <w:p w14:paraId="136E67CB">
      <w:pPr>
        <w:pStyle w:val="104"/>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14:paraId="610D12A3">
      <w:pPr>
        <w:pStyle w:val="104"/>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w:t>
      </w:r>
      <w:r>
        <w:rPr>
          <w:rFonts w:hint="eastAsia" w:ascii="仿宋" w:hAnsi="仿宋" w:eastAsia="仿宋" w:cs="仿宋"/>
          <w:color w:val="auto"/>
          <w:szCs w:val="21"/>
          <w:highlight w:val="none"/>
          <w:lang w:val="en-US" w:eastAsia="zh-CN"/>
        </w:rPr>
        <w:t>人或采购</w:t>
      </w:r>
      <w:r>
        <w:rPr>
          <w:rFonts w:hint="eastAsia" w:ascii="仿宋" w:hAnsi="仿宋" w:eastAsia="仿宋" w:cs="仿宋"/>
          <w:color w:val="auto"/>
          <w:szCs w:val="21"/>
          <w:highlight w:val="none"/>
        </w:rPr>
        <w:t>代理机构依托电子交易平台发起开始解密指令，投标人按照平台提示和招标文件的规定在半小时内完成在线解密。</w:t>
      </w:r>
    </w:p>
    <w:p w14:paraId="273B6206">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14:paraId="714EAB71">
      <w:pPr>
        <w:pStyle w:val="104"/>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14:paraId="4037FD16">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14:paraId="2BD1E527">
      <w:pPr>
        <w:pStyle w:val="103"/>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14:paraId="5C9D6FD5">
      <w:pPr>
        <w:pStyle w:val="103"/>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14:paraId="0B94D655">
      <w:pPr>
        <w:pStyle w:val="104"/>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14:paraId="6C231CE0">
      <w:pPr>
        <w:pStyle w:val="103"/>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14:paraId="70203949">
      <w:pPr>
        <w:pStyle w:val="103"/>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信用信息查询的截止时点：投标截止时间；</w:t>
      </w:r>
    </w:p>
    <w:p w14:paraId="0BB02214">
      <w:pPr>
        <w:pStyle w:val="103"/>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查询渠道：“信用中国”（www.creditchina.gov.cn）、“中国政府采购网”（www.ccgp.gov.cn）；</w:t>
      </w:r>
    </w:p>
    <w:p w14:paraId="69DF7652">
      <w:pPr>
        <w:pStyle w:val="103"/>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信用信息查询记录和证据留存具体方式：采购代理机构经办人和监督人员将查询网页打印、签名与其他采购文件一并保存；</w:t>
      </w:r>
    </w:p>
    <w:p w14:paraId="3A705E87">
      <w:pPr>
        <w:pStyle w:val="103"/>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信用信息的使用规则：投标人被列入失信被执行人、重大税收违法案件当事人名单、政府采购严重违法失信行为记录名单的，拒绝其参与政府采购活动。</w:t>
      </w:r>
    </w:p>
    <w:p w14:paraId="39C1B467">
      <w:pPr>
        <w:pStyle w:val="103"/>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B298533">
      <w:pPr>
        <w:adjustRightInd w:val="0"/>
        <w:snapToGrid w:val="0"/>
        <w:spacing w:line="288" w:lineRule="auto"/>
        <w:ind w:firstLine="398" w:firstLineChars="200"/>
        <w:rPr>
          <w:rFonts w:ascii="仿宋" w:hAnsi="仿宋" w:eastAsia="仿宋" w:cs="仿宋"/>
          <w:b/>
          <w:bCs/>
          <w:color w:val="auto"/>
          <w:spacing w:val="-6"/>
          <w:szCs w:val="21"/>
          <w:highlight w:val="none"/>
        </w:rPr>
      </w:pPr>
    </w:p>
    <w:p w14:paraId="4D09801F">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2"/>
    <w:p w14:paraId="76D2843A">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730F935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14:paraId="08EF90F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bookmarkStart w:id="43"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47628DA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3"/>
    <w:p w14:paraId="256F826C">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ascii="仿宋" w:hAnsi="仿宋" w:eastAsia="仿宋" w:cs="仿宋"/>
          <w:b/>
          <w:color w:val="auto"/>
          <w:kern w:val="0"/>
          <w:szCs w:val="21"/>
          <w:highlight w:val="none"/>
        </w:rPr>
      </w:pPr>
      <w:bookmarkStart w:id="44" w:name="_Hlk94019000"/>
      <w:r>
        <w:rPr>
          <w:rFonts w:hint="eastAsia" w:ascii="仿宋" w:hAnsi="仿宋" w:eastAsia="仿宋" w:cs="仿宋"/>
          <w:b/>
          <w:color w:val="auto"/>
          <w:kern w:val="0"/>
          <w:szCs w:val="21"/>
          <w:highlight w:val="none"/>
        </w:rPr>
        <w:t>（一）符合性审查</w:t>
      </w:r>
    </w:p>
    <w:p w14:paraId="20ACEB69">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14:paraId="65AA9664">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14:paraId="17061C8F">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w:t>
      </w:r>
      <w:r>
        <w:rPr>
          <w:rFonts w:hint="eastAsia" w:ascii="仿宋" w:hAnsi="仿宋" w:eastAsia="仿宋" w:cs="仿宋"/>
          <w:color w:val="auto"/>
          <w:kern w:val="0"/>
          <w:szCs w:val="21"/>
          <w:highlight w:val="none"/>
          <w:lang w:val="en-US" w:eastAsia="zh-CN"/>
        </w:rPr>
        <w:t>按照标项一、二、三、四、五、六、七顺序依次</w:t>
      </w:r>
      <w:r>
        <w:rPr>
          <w:rFonts w:hint="eastAsia" w:ascii="仿宋" w:hAnsi="仿宋" w:eastAsia="仿宋" w:cs="仿宋"/>
          <w:color w:val="auto"/>
          <w:kern w:val="0"/>
          <w:szCs w:val="21"/>
          <w:highlight w:val="none"/>
        </w:rPr>
        <w:t>对符合性审查合格的投标文件进行商务和技术评估，综合比较与评价。</w:t>
      </w:r>
    </w:p>
    <w:p w14:paraId="411D02E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8F4191D">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14:paraId="4BCD4C96">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14:paraId="5E10E50D">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14:paraId="5D4D2376">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14:paraId="623A0CF4">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14:paraId="1C84E568">
      <w:pPr>
        <w:pStyle w:val="103"/>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14:paraId="17A96CA2">
      <w:pPr>
        <w:pStyle w:val="103"/>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14:paraId="0FCC8099">
      <w:pPr>
        <w:pStyle w:val="103"/>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14:paraId="50F9DEB1">
      <w:pPr>
        <w:pStyle w:val="103"/>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14:paraId="1C619729">
      <w:pPr>
        <w:pStyle w:val="103"/>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5" w:name="_Hlk96329302"/>
      <w:r>
        <w:rPr>
          <w:rFonts w:hint="eastAsia" w:ascii="仿宋" w:hAnsi="仿宋" w:eastAsia="仿宋" w:cs="仿宋"/>
          <w:color w:val="auto"/>
          <w:kern w:val="0"/>
          <w:sz w:val="21"/>
          <w:szCs w:val="21"/>
          <w:highlight w:val="none"/>
        </w:rPr>
        <w:t>加盖公章，或者由</w:t>
      </w:r>
      <w:r>
        <w:rPr>
          <w:rFonts w:hint="eastAsia" w:ascii="仿宋" w:hAnsi="仿宋" w:eastAsia="仿宋" w:cs="仿宋"/>
          <w:color w:val="auto"/>
          <w:kern w:val="0"/>
          <w:sz w:val="21"/>
          <w:szCs w:val="21"/>
          <w:highlight w:val="none"/>
          <w:lang w:eastAsia="zh-CN"/>
        </w:rPr>
        <w:t>投标人代表</w:t>
      </w:r>
      <w:r>
        <w:rPr>
          <w:rFonts w:hint="eastAsia" w:ascii="仿宋" w:hAnsi="仿宋" w:eastAsia="仿宋" w:cs="仿宋"/>
          <w:color w:val="auto"/>
          <w:kern w:val="0"/>
          <w:sz w:val="21"/>
          <w:szCs w:val="21"/>
          <w:highlight w:val="none"/>
        </w:rPr>
        <w:t>签名</w:t>
      </w:r>
      <w:bookmarkEnd w:id="45"/>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14:paraId="0AC88BA0">
      <w:pPr>
        <w:pStyle w:val="103"/>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hint="eastAsia" w:ascii="仿宋" w:hAnsi="仿宋" w:eastAsia="仿宋" w:cs="仿宋"/>
          <w:b/>
          <w:color w:val="auto"/>
          <w:kern w:val="0"/>
          <w:szCs w:val="21"/>
          <w:highlight w:val="none"/>
          <w:lang w:val="en-US" w:eastAsia="zh-CN"/>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14:paraId="003A35CE">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9"/>
        <w:rPr>
          <w:rFonts w:hint="eastAsia" w:ascii="仿宋" w:hAnsi="仿宋" w:eastAsia="仿宋" w:cs="仿宋"/>
          <w:b/>
          <w:color w:val="auto"/>
          <w:kern w:val="0"/>
          <w:szCs w:val="21"/>
          <w:highlight w:val="none"/>
          <w:lang w:val="en-US" w:eastAsia="zh-CN"/>
        </w:rPr>
      </w:pPr>
      <w:r>
        <w:rPr>
          <w:rFonts w:hint="eastAsia" w:ascii="仿宋" w:hAnsi="仿宋" w:eastAsia="仿宋" w:cs="仿宋"/>
          <w:b/>
          <w:color w:val="auto"/>
          <w:kern w:val="0"/>
          <w:szCs w:val="21"/>
          <w:highlight w:val="none"/>
          <w:lang w:val="en-US" w:eastAsia="zh-CN"/>
        </w:rPr>
        <w:t>评审中出现下列情形之一的，评标委员会应当启动异常低价投标审查程序：</w:t>
      </w:r>
    </w:p>
    <w:p w14:paraId="1801F1EF">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outlineLvl w:val="9"/>
        <w:rPr>
          <w:rFonts w:hint="eastAsia" w:ascii="仿宋" w:hAnsi="仿宋" w:eastAsia="仿宋" w:cs="仿宋"/>
          <w:b w:val="0"/>
          <w:bCs/>
          <w:color w:val="auto"/>
          <w:kern w:val="0"/>
          <w:szCs w:val="21"/>
          <w:highlight w:val="none"/>
          <w:lang w:val="en-US" w:eastAsia="zh-CN"/>
        </w:rPr>
      </w:pPr>
      <w:r>
        <w:rPr>
          <w:rFonts w:hint="eastAsia" w:ascii="仿宋" w:hAnsi="仿宋" w:eastAsia="仿宋" w:cs="仿宋"/>
          <w:b w:val="0"/>
          <w:bCs/>
          <w:color w:val="auto"/>
          <w:kern w:val="0"/>
          <w:szCs w:val="21"/>
          <w:highlight w:val="none"/>
          <w:lang w:val="en-US" w:eastAsia="zh-CN"/>
        </w:rPr>
        <w:t>（一）投标报价低于全部通过符合性审查供应商投标报价平均值50%的，即投标报价&lt;全部通过符合性审查供应商投标报价平均值×50%；</w:t>
      </w:r>
    </w:p>
    <w:p w14:paraId="604D7BA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outlineLvl w:val="9"/>
        <w:rPr>
          <w:rFonts w:hint="eastAsia" w:ascii="仿宋" w:hAnsi="仿宋" w:eastAsia="仿宋" w:cs="仿宋"/>
          <w:b w:val="0"/>
          <w:bCs/>
          <w:color w:val="auto"/>
          <w:kern w:val="0"/>
          <w:szCs w:val="21"/>
          <w:highlight w:val="none"/>
          <w:lang w:val="en-US" w:eastAsia="zh-CN"/>
        </w:rPr>
      </w:pPr>
      <w:r>
        <w:rPr>
          <w:rFonts w:hint="eastAsia" w:ascii="仿宋" w:hAnsi="仿宋" w:eastAsia="仿宋" w:cs="仿宋"/>
          <w:b w:val="0"/>
          <w:bCs/>
          <w:color w:val="auto"/>
          <w:kern w:val="0"/>
          <w:szCs w:val="21"/>
          <w:highlight w:val="none"/>
          <w:lang w:val="en-US" w:eastAsia="zh-CN"/>
        </w:rPr>
        <w:t>（二）投标报价低于通过符合性审查且报价次低供应商投标报价50%的，即投标报价&lt;通过符合性审查且报价次低供应商投标报价×50%；</w:t>
      </w:r>
    </w:p>
    <w:p w14:paraId="06797FF1">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outlineLvl w:val="9"/>
        <w:rPr>
          <w:rFonts w:hint="eastAsia" w:ascii="仿宋" w:hAnsi="仿宋" w:eastAsia="仿宋" w:cs="仿宋"/>
          <w:b w:val="0"/>
          <w:bCs/>
          <w:color w:val="auto"/>
          <w:kern w:val="0"/>
          <w:szCs w:val="21"/>
          <w:highlight w:val="none"/>
          <w:lang w:val="en-US" w:eastAsia="zh-CN"/>
        </w:rPr>
      </w:pPr>
      <w:r>
        <w:rPr>
          <w:rFonts w:hint="eastAsia" w:ascii="仿宋" w:hAnsi="仿宋" w:eastAsia="仿宋" w:cs="仿宋"/>
          <w:b w:val="0"/>
          <w:bCs/>
          <w:color w:val="auto"/>
          <w:kern w:val="0"/>
          <w:szCs w:val="21"/>
          <w:highlight w:val="none"/>
          <w:lang w:val="en-US" w:eastAsia="zh-CN"/>
        </w:rPr>
        <w:t>（三）投标报价低于采购项目最高限价45%的，即投标报价&lt;采购项目最高限价×45%；</w:t>
      </w:r>
    </w:p>
    <w:p w14:paraId="5760373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outlineLvl w:val="9"/>
        <w:rPr>
          <w:rFonts w:hint="eastAsia" w:ascii="仿宋" w:hAnsi="仿宋" w:eastAsia="仿宋" w:cs="仿宋"/>
          <w:b w:val="0"/>
          <w:bCs/>
          <w:color w:val="auto"/>
          <w:kern w:val="0"/>
          <w:szCs w:val="21"/>
          <w:highlight w:val="none"/>
          <w:lang w:val="en-US" w:eastAsia="zh-CN"/>
        </w:rPr>
      </w:pPr>
      <w:r>
        <w:rPr>
          <w:rFonts w:hint="eastAsia" w:ascii="仿宋" w:hAnsi="仿宋" w:eastAsia="仿宋" w:cs="仿宋"/>
          <w:b w:val="0"/>
          <w:bCs/>
          <w:color w:val="auto"/>
          <w:kern w:val="0"/>
          <w:szCs w:val="21"/>
          <w:highlight w:val="none"/>
          <w:lang w:val="en-US" w:eastAsia="zh-CN"/>
        </w:rPr>
        <w:t>（四）其他评标委员会认为供应商报价过低，有可能影响产品质量或者不能诚信履约的情形。</w:t>
      </w:r>
    </w:p>
    <w:p w14:paraId="4CCA192E">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outlineLvl w:val="9"/>
        <w:rPr>
          <w:rFonts w:hint="eastAsia" w:ascii="仿宋" w:hAnsi="仿宋" w:eastAsia="仿宋" w:cs="仿宋"/>
          <w:b w:val="0"/>
          <w:bCs/>
          <w:color w:val="auto"/>
          <w:kern w:val="0"/>
          <w:szCs w:val="21"/>
          <w:highlight w:val="none"/>
          <w:lang w:val="en-US" w:eastAsia="zh-CN"/>
        </w:rPr>
      </w:pPr>
      <w:r>
        <w:rPr>
          <w:rFonts w:hint="eastAsia" w:ascii="仿宋" w:hAnsi="仿宋" w:eastAsia="仿宋" w:cs="仿宋"/>
          <w:b w:val="0"/>
          <w:bCs/>
          <w:color w:val="auto"/>
          <w:kern w:val="0"/>
          <w:szCs w:val="21"/>
          <w:highlight w:val="none"/>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5ADF786C">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outlineLvl w:val="9"/>
        <w:rPr>
          <w:rFonts w:hint="eastAsia" w:ascii="仿宋" w:hAnsi="仿宋" w:eastAsia="仿宋" w:cs="仿宋"/>
          <w:b/>
          <w:color w:val="auto"/>
          <w:kern w:val="0"/>
          <w:szCs w:val="21"/>
          <w:highlight w:val="none"/>
        </w:rPr>
      </w:pPr>
      <w:r>
        <w:rPr>
          <w:rFonts w:hint="eastAsia" w:ascii="仿宋" w:hAnsi="仿宋" w:eastAsia="仿宋" w:cs="仿宋"/>
          <w:b w:val="0"/>
          <w:bCs/>
          <w:color w:val="auto"/>
          <w:kern w:val="0"/>
          <w:szCs w:val="21"/>
          <w:highlight w:val="none"/>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审报告中记录。</w:t>
      </w:r>
    </w:p>
    <w:p w14:paraId="43C20A84">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14:paraId="007FB030">
      <w:pPr>
        <w:pStyle w:val="103"/>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69BE0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14:paraId="5876DB81">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14:paraId="69B5D231">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是综合评分法，具体</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等详见“第四章：</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w:t>
      </w:r>
    </w:p>
    <w:p w14:paraId="1A23696F">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仿宋" w:hAnsi="仿宋" w:eastAsia="仿宋" w:cs="仿宋"/>
          <w:bCs/>
          <w:color w:val="auto"/>
          <w:spacing w:val="-6"/>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w:t>
      </w:r>
      <w:r>
        <w:rPr>
          <w:rFonts w:hint="eastAsia" w:ascii="仿宋" w:hAnsi="仿宋" w:eastAsia="仿宋" w:cs="仿宋"/>
          <w:bCs/>
          <w:color w:val="auto"/>
          <w:spacing w:val="-6"/>
          <w:szCs w:val="21"/>
          <w:highlight w:val="none"/>
          <w:lang w:val="en-US" w:eastAsia="zh-CN"/>
        </w:rPr>
        <w:t>一</w:t>
      </w:r>
      <w:r>
        <w:rPr>
          <w:rFonts w:hint="eastAsia" w:ascii="仿宋" w:hAnsi="仿宋" w:eastAsia="仿宋" w:cs="仿宋"/>
          <w:bCs/>
          <w:color w:val="auto"/>
          <w:spacing w:val="-6"/>
          <w:szCs w:val="21"/>
          <w:highlight w:val="none"/>
        </w:rPr>
        <w:t>名中标候选人</w:t>
      </w:r>
      <w:r>
        <w:rPr>
          <w:rFonts w:hint="eastAsia" w:ascii="仿宋" w:hAnsi="仿宋" w:eastAsia="仿宋" w:cs="仿宋"/>
          <w:bCs/>
          <w:color w:val="auto"/>
          <w:spacing w:val="-6"/>
          <w:szCs w:val="21"/>
          <w:highlight w:val="none"/>
          <w:lang w:val="en-US" w:eastAsia="zh-CN"/>
        </w:rPr>
        <w:t>/标项</w:t>
      </w:r>
      <w:r>
        <w:rPr>
          <w:rFonts w:hint="eastAsia" w:ascii="仿宋" w:hAnsi="仿宋" w:eastAsia="仿宋" w:cs="仿宋"/>
          <w:bCs/>
          <w:color w:val="auto"/>
          <w:spacing w:val="-6"/>
          <w:szCs w:val="21"/>
          <w:highlight w:val="none"/>
        </w:rPr>
        <w:t>。</w:t>
      </w:r>
    </w:p>
    <w:p w14:paraId="40062138">
      <w:pPr>
        <w:adjustRightInd w:val="0"/>
        <w:snapToGrid w:val="0"/>
        <w:spacing w:line="288" w:lineRule="auto"/>
        <w:ind w:firstLine="402" w:firstLineChars="202"/>
        <w:rPr>
          <w:rFonts w:ascii="仿宋" w:hAnsi="仿宋" w:eastAsia="仿宋" w:cs="仿宋"/>
          <w:b/>
          <w:color w:val="auto"/>
          <w:kern w:val="0"/>
          <w:szCs w:val="21"/>
          <w:highlight w:val="none"/>
        </w:rPr>
      </w:pPr>
      <w:r>
        <w:rPr>
          <w:rFonts w:hint="eastAsia" w:ascii="仿宋" w:hAnsi="仿宋" w:eastAsia="仿宋" w:cs="仿宋"/>
          <w:b/>
          <w:color w:val="auto"/>
          <w:spacing w:val="-6"/>
          <w:szCs w:val="21"/>
          <w:highlight w:val="none"/>
        </w:rPr>
        <w:t>标项二、三采用兼投兼评不兼中的方式，投标人可参加所有标项的投标、评标，但最多只能成为标项二、三</w:t>
      </w:r>
      <w:r>
        <w:rPr>
          <w:rFonts w:hint="eastAsia" w:ascii="仿宋" w:hAnsi="仿宋" w:eastAsia="仿宋" w:cs="仿宋"/>
          <w:b/>
          <w:color w:val="auto"/>
          <w:spacing w:val="-6"/>
          <w:szCs w:val="21"/>
          <w:highlight w:val="none"/>
          <w:lang w:val="en-US" w:eastAsia="zh-CN"/>
        </w:rPr>
        <w:t>中</w:t>
      </w:r>
      <w:r>
        <w:rPr>
          <w:rFonts w:hint="eastAsia" w:ascii="仿宋" w:hAnsi="仿宋" w:eastAsia="仿宋" w:cs="仿宋"/>
          <w:b/>
          <w:color w:val="auto"/>
          <w:spacing w:val="-6"/>
          <w:szCs w:val="21"/>
          <w:highlight w:val="none"/>
        </w:rPr>
        <w:t>一个标项的中标人。即1个投标人同时为2个及以上标项排名第一的中标候选人时根据标项顺序确定其中标的标项（在标项二、三剩余标项中上述投标人不作为中标候选人），剩余标项的中标人由对应标项排名第二的</w:t>
      </w:r>
      <w:r>
        <w:rPr>
          <w:rFonts w:hint="eastAsia" w:ascii="仿宋" w:hAnsi="仿宋" w:eastAsia="仿宋" w:cs="仿宋"/>
          <w:b/>
          <w:color w:val="auto"/>
          <w:spacing w:val="-6"/>
          <w:szCs w:val="21"/>
          <w:highlight w:val="none"/>
          <w:lang w:val="en-US" w:eastAsia="zh-CN"/>
        </w:rPr>
        <w:t>投标人</w:t>
      </w:r>
      <w:r>
        <w:rPr>
          <w:rFonts w:hint="eastAsia" w:ascii="仿宋" w:hAnsi="仿宋" w:eastAsia="仿宋" w:cs="仿宋"/>
          <w:b/>
          <w:color w:val="auto"/>
          <w:spacing w:val="-6"/>
          <w:szCs w:val="21"/>
          <w:highlight w:val="none"/>
        </w:rPr>
        <w:t>递补，依此类推直至所有标项中标人产生为止。</w:t>
      </w:r>
    </w:p>
    <w:p w14:paraId="6AD4BD98">
      <w:pPr>
        <w:adjustRightInd w:val="0"/>
        <w:snapToGrid w:val="0"/>
        <w:spacing w:line="288" w:lineRule="auto"/>
        <w:ind w:firstLine="426" w:firstLineChars="202"/>
        <w:rPr>
          <w:rFonts w:hint="eastAsia" w:ascii="仿宋" w:hAnsi="仿宋" w:eastAsia="仿宋" w:cs="仿宋"/>
          <w:color w:val="auto"/>
          <w:kern w:val="0"/>
          <w:szCs w:val="21"/>
          <w:highlight w:val="none"/>
          <w:lang w:val="en-US" w:eastAsia="zh-CN"/>
        </w:rPr>
      </w:pPr>
      <w:r>
        <w:rPr>
          <w:rFonts w:hint="eastAsia" w:ascii="仿宋" w:hAnsi="仿宋" w:eastAsia="仿宋" w:cs="仿宋"/>
          <w:b/>
          <w:color w:val="auto"/>
          <w:kern w:val="0"/>
          <w:szCs w:val="21"/>
          <w:highlight w:val="none"/>
        </w:rPr>
        <w:t>说明：如N个（N≥2）标项排名第一的</w:t>
      </w:r>
      <w:r>
        <w:rPr>
          <w:rFonts w:hint="eastAsia" w:ascii="仿宋" w:hAnsi="仿宋" w:eastAsia="仿宋" w:cs="仿宋"/>
          <w:b/>
          <w:color w:val="auto"/>
          <w:spacing w:val="-6"/>
          <w:szCs w:val="21"/>
          <w:highlight w:val="none"/>
        </w:rPr>
        <w:t>中标候选人为同一家，则排序在后的标项有效投标人须≥N+2家（例：N=2则标项二有效投标人须≥4家、N=3则标项三有效投标人须≥5家），有效投标人不足则该标项废标。</w:t>
      </w:r>
    </w:p>
    <w:p w14:paraId="469FCC8E">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14:paraId="3AB23E3B">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4"/>
    <w:p w14:paraId="3CC8502C">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73BCAFE">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14:paraId="6D830774">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中标</w:t>
      </w:r>
    </w:p>
    <w:p w14:paraId="51B33BB9">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r>
        <w:rPr>
          <w:rFonts w:hint="eastAsia" w:ascii="仿宋" w:hAnsi="仿宋" w:eastAsia="仿宋" w:cs="仿宋"/>
          <w:color w:val="auto"/>
          <w:spacing w:val="-6"/>
          <w:szCs w:val="21"/>
          <w:highlight w:val="none"/>
          <w:lang w:eastAsia="zh-CN"/>
        </w:rPr>
        <w:t>；</w:t>
      </w:r>
    </w:p>
    <w:p w14:paraId="48020433">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2.采购代理机构自中标人确定之日起2个工作日内，公告中标结果，并发出中标通知书</w:t>
      </w:r>
      <w:r>
        <w:rPr>
          <w:rFonts w:hint="eastAsia" w:ascii="仿宋" w:hAnsi="仿宋" w:eastAsia="仿宋" w:cs="仿宋"/>
          <w:color w:val="auto"/>
          <w:spacing w:val="-6"/>
          <w:szCs w:val="21"/>
          <w:highlight w:val="none"/>
          <w:lang w:eastAsia="zh-CN"/>
        </w:rPr>
        <w:t>；</w:t>
      </w:r>
    </w:p>
    <w:p w14:paraId="614766AA">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14:paraId="53691114">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）合同</w:t>
      </w:r>
    </w:p>
    <w:p w14:paraId="50257A8C">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D43683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C4F5AC7">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28C1AB8">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14:paraId="10535B9F">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E22B178">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14:paraId="22F826C5">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2612B42">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131DF1A">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541FF6E">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14:paraId="79339466">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14:paraId="7FF45CDE">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14:paraId="4284CF49">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14:paraId="4993016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14:paraId="7208632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14:paraId="240BD77C">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14:paraId="7A8ED7EA">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4F508B12">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0A6E121C">
      <w:pPr>
        <w:adjustRightInd w:val="0"/>
        <w:snapToGrid w:val="0"/>
        <w:spacing w:line="288" w:lineRule="auto"/>
        <w:ind w:left="0" w:leftChars="0" w:right="0" w:rightChars="0" w:firstLine="0" w:firstLineChars="0"/>
        <w:jc w:val="center"/>
        <w:outlineLvl w:val="0"/>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z w:val="32"/>
          <w:szCs w:val="32"/>
          <w:highlight w:val="none"/>
        </w:rPr>
        <w:t xml:space="preserve">第四章  </w:t>
      </w:r>
      <w:r>
        <w:rPr>
          <w:rFonts w:hint="eastAsia" w:ascii="仿宋" w:hAnsi="仿宋" w:eastAsia="仿宋" w:cs="仿宋"/>
          <w:b/>
          <w:color w:val="auto"/>
          <w:sz w:val="32"/>
          <w:szCs w:val="32"/>
          <w:highlight w:val="none"/>
          <w:lang w:eastAsia="zh-CN"/>
        </w:rPr>
        <w:t>评标方法和评标标准</w:t>
      </w:r>
    </w:p>
    <w:p w14:paraId="2868B607">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14:paraId="053BC6C7">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14:paraId="7616FDDF">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14:paraId="4907464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14:paraId="2B58B956">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二、评标标准</w:t>
      </w:r>
    </w:p>
    <w:tbl>
      <w:tblPr>
        <w:tblStyle w:val="27"/>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660"/>
        <w:gridCol w:w="7723"/>
      </w:tblGrid>
      <w:tr w14:paraId="6488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Align w:val="center"/>
          </w:tcPr>
          <w:p w14:paraId="35BFB10A">
            <w:pPr>
              <w:jc w:val="center"/>
              <w:rPr>
                <w:rFonts w:ascii="仿宋" w:hAnsi="仿宋" w:eastAsia="仿宋" w:cs="仿宋"/>
                <w:b/>
                <w:bCs/>
                <w:szCs w:val="21"/>
                <w:highlight w:val="none"/>
              </w:rPr>
            </w:pPr>
            <w:r>
              <w:rPr>
                <w:rFonts w:hint="eastAsia" w:ascii="仿宋" w:hAnsi="仿宋" w:eastAsia="仿宋" w:cs="仿宋"/>
                <w:b/>
                <w:bCs/>
                <w:szCs w:val="21"/>
                <w:highlight w:val="none"/>
              </w:rPr>
              <w:t>评审因素</w:t>
            </w:r>
          </w:p>
        </w:tc>
        <w:tc>
          <w:tcPr>
            <w:tcW w:w="660" w:type="dxa"/>
            <w:vAlign w:val="center"/>
          </w:tcPr>
          <w:p w14:paraId="436B0F8D">
            <w:pPr>
              <w:jc w:val="center"/>
              <w:rPr>
                <w:rFonts w:ascii="仿宋" w:hAnsi="仿宋" w:eastAsia="仿宋" w:cs="仿宋"/>
                <w:b/>
                <w:bCs/>
                <w:szCs w:val="21"/>
                <w:highlight w:val="none"/>
              </w:rPr>
            </w:pPr>
            <w:r>
              <w:rPr>
                <w:rFonts w:hint="eastAsia" w:ascii="仿宋" w:hAnsi="仿宋" w:eastAsia="仿宋" w:cs="仿宋"/>
                <w:b/>
                <w:bCs/>
                <w:szCs w:val="21"/>
                <w:highlight w:val="none"/>
              </w:rPr>
              <w:t>分值</w:t>
            </w:r>
          </w:p>
        </w:tc>
        <w:tc>
          <w:tcPr>
            <w:tcW w:w="7723" w:type="dxa"/>
            <w:vAlign w:val="center"/>
          </w:tcPr>
          <w:p w14:paraId="771D6ABC">
            <w:pPr>
              <w:jc w:val="center"/>
              <w:rPr>
                <w:rFonts w:ascii="仿宋" w:hAnsi="仿宋" w:eastAsia="仿宋" w:cs="仿宋"/>
                <w:b/>
                <w:bCs/>
                <w:szCs w:val="21"/>
                <w:highlight w:val="none"/>
              </w:rPr>
            </w:pPr>
            <w:r>
              <w:rPr>
                <w:rFonts w:hint="eastAsia" w:ascii="仿宋" w:hAnsi="仿宋" w:eastAsia="仿宋" w:cs="仿宋"/>
                <w:b/>
                <w:bCs/>
                <w:szCs w:val="21"/>
                <w:highlight w:val="none"/>
              </w:rPr>
              <w:t>评分标准</w:t>
            </w:r>
          </w:p>
        </w:tc>
      </w:tr>
      <w:tr w14:paraId="419B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2" w:type="dxa"/>
            <w:gridSpan w:val="3"/>
            <w:vAlign w:val="center"/>
          </w:tcPr>
          <w:p w14:paraId="787C3B2C">
            <w:pPr>
              <w:jc w:val="center"/>
              <w:rPr>
                <w:rFonts w:ascii="仿宋" w:hAnsi="仿宋" w:eastAsia="仿宋" w:cs="仿宋"/>
                <w:szCs w:val="21"/>
                <w:highlight w:val="none"/>
              </w:rPr>
            </w:pPr>
            <w:r>
              <w:rPr>
                <w:rFonts w:hint="eastAsia" w:ascii="仿宋" w:hAnsi="仿宋" w:eastAsia="仿宋" w:cs="仿宋"/>
                <w:b/>
                <w:bCs/>
                <w:szCs w:val="21"/>
                <w:highlight w:val="none"/>
              </w:rPr>
              <w:t>价格分</w:t>
            </w:r>
          </w:p>
        </w:tc>
      </w:tr>
      <w:tr w14:paraId="5002C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tcBorders>
              <w:top w:val="single" w:color="auto" w:sz="4" w:space="0"/>
              <w:left w:val="single" w:color="auto" w:sz="4" w:space="0"/>
              <w:bottom w:val="single" w:color="auto" w:sz="4" w:space="0"/>
              <w:right w:val="single" w:color="auto" w:sz="4" w:space="0"/>
            </w:tcBorders>
            <w:vAlign w:val="center"/>
          </w:tcPr>
          <w:p w14:paraId="24AC005C">
            <w:pPr>
              <w:jc w:val="center"/>
              <w:rPr>
                <w:rFonts w:ascii="仿宋" w:hAnsi="仿宋" w:eastAsia="仿宋" w:cs="仿宋"/>
                <w:b/>
                <w:bCs/>
                <w:szCs w:val="21"/>
                <w:highlight w:val="none"/>
              </w:rPr>
            </w:pPr>
            <w:r>
              <w:rPr>
                <w:rFonts w:hint="eastAsia" w:ascii="仿宋" w:hAnsi="仿宋" w:eastAsia="仿宋" w:cs="仿宋"/>
                <w:b/>
                <w:bCs/>
                <w:szCs w:val="21"/>
                <w:highlight w:val="none"/>
              </w:rPr>
              <w:t>投标报价</w:t>
            </w:r>
          </w:p>
        </w:tc>
        <w:tc>
          <w:tcPr>
            <w:tcW w:w="660" w:type="dxa"/>
            <w:tcBorders>
              <w:top w:val="single" w:color="auto" w:sz="4" w:space="0"/>
              <w:left w:val="single" w:color="auto" w:sz="4" w:space="0"/>
              <w:bottom w:val="single" w:color="auto" w:sz="4" w:space="0"/>
              <w:right w:val="single" w:color="auto" w:sz="4" w:space="0"/>
            </w:tcBorders>
            <w:vAlign w:val="center"/>
          </w:tcPr>
          <w:p w14:paraId="2A64F07C">
            <w:pPr>
              <w:jc w:val="center"/>
              <w:rPr>
                <w:rFonts w:ascii="仿宋" w:hAnsi="仿宋" w:eastAsia="仿宋" w:cs="仿宋"/>
                <w:b/>
                <w:bCs/>
                <w:szCs w:val="21"/>
                <w:highlight w:val="none"/>
              </w:rPr>
            </w:pPr>
            <w:r>
              <w:rPr>
                <w:rFonts w:hint="eastAsia" w:ascii="仿宋" w:hAnsi="仿宋" w:eastAsia="仿宋" w:cs="仿宋"/>
                <w:b/>
                <w:bCs/>
                <w:szCs w:val="21"/>
                <w:highlight w:val="none"/>
              </w:rPr>
              <w:t>10</w:t>
            </w:r>
          </w:p>
        </w:tc>
        <w:tc>
          <w:tcPr>
            <w:tcW w:w="7723" w:type="dxa"/>
            <w:tcBorders>
              <w:top w:val="single" w:color="auto" w:sz="4" w:space="0"/>
              <w:left w:val="single" w:color="auto" w:sz="4" w:space="0"/>
              <w:bottom w:val="single" w:color="auto" w:sz="4" w:space="0"/>
              <w:right w:val="single" w:color="auto" w:sz="4" w:space="0"/>
            </w:tcBorders>
            <w:vAlign w:val="center"/>
          </w:tcPr>
          <w:p w14:paraId="5E28A83D">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价格分采用低价优先法计算，即满足招标文件要求且投标价格最低的投标报价为评标基准价，其价格分为满分。其他投标人的价格分按照下列公式计算：</w:t>
            </w:r>
          </w:p>
          <w:p w14:paraId="07FAB774">
            <w:pPr>
              <w:keepNext w:val="0"/>
              <w:keepLines w:val="0"/>
              <w:suppressLineNumbers w:val="0"/>
              <w:spacing w:before="0" w:beforeAutospacing="0" w:after="0" w:afterAutospacing="0"/>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价格分=（评标基准价/投标报价）</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100</w:t>
            </w:r>
          </w:p>
          <w:p w14:paraId="7203BA7D">
            <w:pPr>
              <w:rPr>
                <w:rFonts w:ascii="仿宋" w:hAnsi="仿宋" w:eastAsia="仿宋" w:cs="仿宋"/>
                <w:szCs w:val="21"/>
                <w:highlight w:val="none"/>
              </w:rPr>
            </w:pPr>
            <w:r>
              <w:rPr>
                <w:rFonts w:hint="eastAsia" w:ascii="仿宋" w:hAnsi="仿宋" w:eastAsia="仿宋" w:cs="仿宋"/>
                <w:b/>
                <w:bCs/>
                <w:color w:val="auto"/>
                <w:sz w:val="18"/>
                <w:szCs w:val="18"/>
                <w:highlight w:val="none"/>
                <w:lang w:val="en-US" w:eastAsia="zh-CN"/>
              </w:rPr>
              <w:t xml:space="preserve">注：本项目对符合规定的小微企业报价给予【10】%的扣除后计算价格得分。对于联合协议或者分包意向协议约定小微企业的合同份额占到合同总金额30%以上的，对联合体或者大中型企业的报价给予【4】%的扣除，用扣除后的价格参加评审。 </w:t>
            </w:r>
          </w:p>
        </w:tc>
      </w:tr>
      <w:tr w14:paraId="12DC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2" w:type="dxa"/>
            <w:gridSpan w:val="3"/>
            <w:vAlign w:val="center"/>
          </w:tcPr>
          <w:p w14:paraId="01178B46">
            <w:pPr>
              <w:jc w:val="center"/>
              <w:rPr>
                <w:rFonts w:ascii="仿宋" w:hAnsi="仿宋" w:eastAsia="仿宋" w:cs="仿宋"/>
                <w:szCs w:val="21"/>
                <w:highlight w:val="none"/>
              </w:rPr>
            </w:pPr>
            <w:r>
              <w:rPr>
                <w:rFonts w:hint="eastAsia" w:ascii="仿宋" w:hAnsi="仿宋" w:eastAsia="仿宋" w:cs="仿宋"/>
                <w:b/>
                <w:bCs/>
                <w:szCs w:val="21"/>
                <w:highlight w:val="none"/>
              </w:rPr>
              <w:t>商务分</w:t>
            </w:r>
          </w:p>
        </w:tc>
      </w:tr>
      <w:tr w14:paraId="7789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Align w:val="center"/>
          </w:tcPr>
          <w:p w14:paraId="0BEB47BC">
            <w:pPr>
              <w:jc w:val="center"/>
              <w:rPr>
                <w:rFonts w:ascii="仿宋" w:hAnsi="仿宋" w:eastAsia="仿宋" w:cs="仿宋"/>
                <w:b/>
                <w:bCs/>
                <w:szCs w:val="21"/>
                <w:highlight w:val="none"/>
              </w:rPr>
            </w:pPr>
            <w:r>
              <w:rPr>
                <w:rFonts w:hint="eastAsia" w:ascii="仿宋" w:hAnsi="仿宋" w:eastAsia="仿宋" w:cs="仿宋"/>
                <w:b/>
                <w:bCs/>
                <w:szCs w:val="21"/>
                <w:highlight w:val="none"/>
              </w:rPr>
              <w:t>业绩</w:t>
            </w:r>
          </w:p>
        </w:tc>
        <w:tc>
          <w:tcPr>
            <w:tcW w:w="660" w:type="dxa"/>
            <w:vAlign w:val="center"/>
          </w:tcPr>
          <w:p w14:paraId="0B8BA062">
            <w:pPr>
              <w:jc w:val="center"/>
              <w:rPr>
                <w:rFonts w:ascii="仿宋" w:hAnsi="仿宋" w:eastAsia="仿宋" w:cs="仿宋"/>
                <w:b/>
                <w:bCs/>
                <w:szCs w:val="21"/>
                <w:highlight w:val="none"/>
              </w:rPr>
            </w:pPr>
            <w:r>
              <w:rPr>
                <w:rFonts w:hint="eastAsia" w:ascii="仿宋" w:hAnsi="仿宋" w:eastAsia="仿宋" w:cs="仿宋"/>
                <w:b/>
                <w:bCs/>
                <w:szCs w:val="21"/>
                <w:highlight w:val="none"/>
              </w:rPr>
              <w:t>1</w:t>
            </w:r>
          </w:p>
        </w:tc>
        <w:tc>
          <w:tcPr>
            <w:tcW w:w="7723" w:type="dxa"/>
            <w:vAlign w:val="center"/>
          </w:tcPr>
          <w:p w14:paraId="3AA7D6A2">
            <w:pPr>
              <w:rPr>
                <w:rFonts w:ascii="仿宋" w:hAnsi="仿宋" w:eastAsia="仿宋" w:cs="仿宋"/>
                <w:szCs w:val="21"/>
                <w:highlight w:val="none"/>
              </w:rPr>
            </w:pPr>
            <w:r>
              <w:rPr>
                <w:rFonts w:hint="eastAsia" w:ascii="仿宋" w:hAnsi="仿宋" w:eastAsia="仿宋" w:cs="仿宋"/>
                <w:b/>
                <w:bCs/>
                <w:szCs w:val="21"/>
                <w:highlight w:val="none"/>
              </w:rPr>
              <w:t>[客观分]</w:t>
            </w:r>
            <w:r>
              <w:rPr>
                <w:rFonts w:hint="eastAsia" w:ascii="仿宋" w:hAnsi="仿宋" w:eastAsia="仿宋" w:cs="仿宋"/>
                <w:szCs w:val="21"/>
                <w:highlight w:val="none"/>
              </w:rPr>
              <w:t>投标人自202</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年1月1日以来</w:t>
            </w:r>
            <w:r>
              <w:rPr>
                <w:rFonts w:hint="eastAsia" w:ascii="仿宋" w:hAnsi="仿宋" w:eastAsia="仿宋" w:cs="仿宋"/>
                <w:szCs w:val="21"/>
                <w:highlight w:val="none"/>
                <w:lang w:val="en-US" w:eastAsia="zh-CN"/>
              </w:rPr>
              <w:t>相关</w:t>
            </w:r>
            <w:r>
              <w:rPr>
                <w:rFonts w:hint="eastAsia" w:ascii="仿宋" w:hAnsi="仿宋" w:eastAsia="仿宋" w:cs="仿宋"/>
                <w:szCs w:val="21"/>
                <w:highlight w:val="none"/>
              </w:rPr>
              <w:t>产品质量监督抽查工作经历（最高1分）：1分/份</w:t>
            </w:r>
            <w:r>
              <w:rPr>
                <w:rFonts w:hint="eastAsia" w:ascii="仿宋" w:hAnsi="仿宋" w:eastAsia="仿宋" w:cs="仿宋"/>
                <w:b/>
                <w:bCs/>
                <w:szCs w:val="21"/>
                <w:highlight w:val="none"/>
              </w:rPr>
              <w:t>（以提供的相应文件或委托合同等扫描件为准）</w:t>
            </w:r>
          </w:p>
        </w:tc>
      </w:tr>
      <w:tr w14:paraId="5020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Align w:val="center"/>
          </w:tcPr>
          <w:p w14:paraId="5DD9884B">
            <w:pPr>
              <w:jc w:val="center"/>
              <w:rPr>
                <w:rFonts w:ascii="仿宋" w:hAnsi="仿宋" w:eastAsia="仿宋" w:cs="仿宋"/>
                <w:b/>
                <w:bCs/>
                <w:szCs w:val="21"/>
                <w:highlight w:val="none"/>
              </w:rPr>
            </w:pPr>
            <w:r>
              <w:rPr>
                <w:rFonts w:hint="eastAsia" w:ascii="仿宋" w:hAnsi="仿宋" w:eastAsia="仿宋" w:cs="仿宋"/>
                <w:b/>
                <w:bCs/>
                <w:szCs w:val="21"/>
                <w:highlight w:val="none"/>
              </w:rPr>
              <w:t>履约信用</w:t>
            </w:r>
          </w:p>
        </w:tc>
        <w:tc>
          <w:tcPr>
            <w:tcW w:w="660" w:type="dxa"/>
            <w:vAlign w:val="center"/>
          </w:tcPr>
          <w:p w14:paraId="50FA797E">
            <w:pPr>
              <w:jc w:val="center"/>
              <w:rPr>
                <w:rFonts w:ascii="仿宋" w:hAnsi="仿宋" w:eastAsia="仿宋" w:cs="仿宋"/>
                <w:b/>
                <w:bCs/>
                <w:szCs w:val="21"/>
                <w:highlight w:val="none"/>
              </w:rPr>
            </w:pPr>
            <w:r>
              <w:rPr>
                <w:rFonts w:hint="eastAsia" w:ascii="仿宋" w:hAnsi="仿宋" w:eastAsia="仿宋" w:cs="仿宋"/>
                <w:b/>
                <w:bCs/>
                <w:szCs w:val="21"/>
                <w:highlight w:val="none"/>
              </w:rPr>
              <w:t>3</w:t>
            </w:r>
          </w:p>
        </w:tc>
        <w:tc>
          <w:tcPr>
            <w:tcW w:w="7723" w:type="dxa"/>
            <w:vAlign w:val="center"/>
          </w:tcPr>
          <w:p w14:paraId="1462B9CE">
            <w:pPr>
              <w:rPr>
                <w:rFonts w:ascii="仿宋" w:hAnsi="仿宋" w:eastAsia="仿宋" w:cs="仿宋"/>
                <w:szCs w:val="21"/>
                <w:highlight w:val="none"/>
              </w:rPr>
            </w:pPr>
            <w:r>
              <w:rPr>
                <w:rFonts w:hint="eastAsia" w:ascii="仿宋" w:hAnsi="仿宋" w:eastAsia="仿宋" w:cs="仿宋"/>
                <w:b/>
                <w:bCs/>
                <w:szCs w:val="21"/>
                <w:highlight w:val="none"/>
              </w:rPr>
              <w:t>[客观分]</w:t>
            </w:r>
            <w:r>
              <w:rPr>
                <w:rFonts w:hint="eastAsia" w:ascii="仿宋" w:hAnsi="仿宋" w:eastAsia="仿宋" w:cs="仿宋"/>
                <w:szCs w:val="21"/>
                <w:highlight w:val="none"/>
              </w:rPr>
              <w:t>投标人自202</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年1月1日以来在市场监管领域</w:t>
            </w:r>
            <w:r>
              <w:rPr>
                <w:rFonts w:hint="eastAsia" w:ascii="仿宋" w:hAnsi="仿宋" w:eastAsia="仿宋" w:cs="仿宋"/>
                <w:szCs w:val="21"/>
                <w:highlight w:val="none"/>
                <w:lang w:val="en-US" w:eastAsia="zh-CN"/>
              </w:rPr>
              <w:t>相关</w:t>
            </w:r>
            <w:r>
              <w:rPr>
                <w:rFonts w:hint="eastAsia" w:ascii="仿宋" w:hAnsi="仿宋" w:eastAsia="仿宋" w:cs="仿宋"/>
                <w:szCs w:val="21"/>
                <w:highlight w:val="none"/>
              </w:rPr>
              <w:t>产品质量监督抽查任务中没有因工作质量问题被通报的：3分</w:t>
            </w:r>
            <w:r>
              <w:rPr>
                <w:rFonts w:hint="eastAsia" w:ascii="仿宋" w:hAnsi="仿宋" w:eastAsia="仿宋" w:cs="仿宋"/>
                <w:b/>
                <w:bCs/>
                <w:szCs w:val="21"/>
                <w:highlight w:val="none"/>
              </w:rPr>
              <w:t>（需提供承诺函，否则不得分）</w:t>
            </w:r>
          </w:p>
          <w:p w14:paraId="5393A587">
            <w:pPr>
              <w:rPr>
                <w:rFonts w:ascii="仿宋" w:hAnsi="仿宋" w:eastAsia="仿宋" w:cs="仿宋"/>
                <w:b/>
                <w:bCs/>
                <w:szCs w:val="21"/>
                <w:highlight w:val="none"/>
              </w:rPr>
            </w:pPr>
            <w:r>
              <w:rPr>
                <w:rFonts w:hint="eastAsia" w:ascii="仿宋" w:hAnsi="仿宋" w:eastAsia="仿宋" w:cs="仿宋"/>
                <w:szCs w:val="21"/>
                <w:highlight w:val="none"/>
              </w:rPr>
              <w:t>注：若投标人自202</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年1月1日在市场监管领域无产品质量监督抽查任务的，视为无工作质量问题：3分</w:t>
            </w:r>
            <w:r>
              <w:rPr>
                <w:rFonts w:hint="eastAsia" w:ascii="仿宋" w:hAnsi="仿宋" w:eastAsia="仿宋" w:cs="仿宋"/>
                <w:b/>
                <w:bCs/>
                <w:szCs w:val="21"/>
                <w:highlight w:val="none"/>
              </w:rPr>
              <w:t>（需提供书面说明，否则不得分）</w:t>
            </w:r>
          </w:p>
        </w:tc>
      </w:tr>
      <w:tr w14:paraId="66F8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2" w:type="dxa"/>
            <w:gridSpan w:val="3"/>
            <w:vAlign w:val="center"/>
          </w:tcPr>
          <w:p w14:paraId="00731FAC">
            <w:pPr>
              <w:jc w:val="center"/>
              <w:rPr>
                <w:rFonts w:ascii="仿宋" w:hAnsi="仿宋" w:eastAsia="仿宋" w:cs="仿宋"/>
                <w:b/>
                <w:bCs/>
                <w:sz w:val="18"/>
                <w:szCs w:val="18"/>
                <w:highlight w:val="none"/>
              </w:rPr>
            </w:pPr>
            <w:r>
              <w:rPr>
                <w:rFonts w:hint="eastAsia" w:ascii="仿宋" w:hAnsi="仿宋" w:eastAsia="仿宋" w:cs="仿宋"/>
                <w:b/>
                <w:bCs/>
                <w:szCs w:val="21"/>
                <w:highlight w:val="none"/>
              </w:rPr>
              <w:t>技术分</w:t>
            </w:r>
          </w:p>
        </w:tc>
      </w:tr>
      <w:tr w14:paraId="4015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Align w:val="center"/>
          </w:tcPr>
          <w:p w14:paraId="3DF0B6B8">
            <w:pPr>
              <w:jc w:val="center"/>
              <w:rPr>
                <w:rFonts w:ascii="仿宋" w:hAnsi="仿宋" w:eastAsia="仿宋" w:cs="仿宋"/>
                <w:b/>
                <w:bCs/>
                <w:szCs w:val="21"/>
                <w:highlight w:val="none"/>
              </w:rPr>
            </w:pPr>
            <w:r>
              <w:rPr>
                <w:rFonts w:hint="eastAsia" w:ascii="仿宋" w:hAnsi="仿宋" w:eastAsia="仿宋" w:cs="仿宋"/>
                <w:b/>
                <w:bCs/>
                <w:szCs w:val="21"/>
                <w:highlight w:val="none"/>
              </w:rPr>
              <w:t>服务响应</w:t>
            </w:r>
          </w:p>
        </w:tc>
        <w:tc>
          <w:tcPr>
            <w:tcW w:w="660" w:type="dxa"/>
            <w:vAlign w:val="center"/>
          </w:tcPr>
          <w:p w14:paraId="3FDB20DF">
            <w:pPr>
              <w:jc w:val="center"/>
              <w:rPr>
                <w:rFonts w:ascii="仿宋" w:hAnsi="仿宋" w:eastAsia="仿宋" w:cs="仿宋"/>
                <w:b/>
                <w:bCs/>
                <w:szCs w:val="21"/>
                <w:highlight w:val="none"/>
              </w:rPr>
            </w:pPr>
            <w:r>
              <w:rPr>
                <w:rFonts w:hint="eastAsia" w:ascii="仿宋" w:hAnsi="仿宋" w:eastAsia="仿宋" w:cs="仿宋"/>
                <w:b/>
                <w:bCs/>
                <w:szCs w:val="21"/>
                <w:highlight w:val="none"/>
              </w:rPr>
              <w:t>28</w:t>
            </w:r>
          </w:p>
        </w:tc>
        <w:tc>
          <w:tcPr>
            <w:tcW w:w="7723" w:type="dxa"/>
            <w:vAlign w:val="center"/>
          </w:tcPr>
          <w:p w14:paraId="7414931C">
            <w:pPr>
              <w:rPr>
                <w:rFonts w:ascii="仿宋" w:hAnsi="仿宋" w:eastAsia="仿宋" w:cs="仿宋"/>
                <w:b/>
                <w:bCs/>
                <w:sz w:val="18"/>
                <w:szCs w:val="18"/>
                <w:highlight w:val="none"/>
              </w:rPr>
            </w:pPr>
            <w:r>
              <w:rPr>
                <w:rFonts w:hint="eastAsia" w:ascii="仿宋" w:hAnsi="仿宋" w:eastAsia="仿宋" w:cs="仿宋"/>
                <w:b/>
                <w:bCs/>
                <w:szCs w:val="21"/>
                <w:highlight w:val="none"/>
              </w:rPr>
              <w:t>[客观分]</w:t>
            </w:r>
            <w:r>
              <w:rPr>
                <w:rFonts w:hint="eastAsia" w:ascii="仿宋" w:hAnsi="仿宋" w:eastAsia="仿宋" w:cs="仿宋"/>
                <w:szCs w:val="21"/>
                <w:highlight w:val="none"/>
              </w:rPr>
              <w:t>满足或明显优于招标文件明确的全部服务条款要求得28分，低于服务要求（负偏离）扣4分/项（28分起扣），负偏离≥8项投标无效。</w:t>
            </w:r>
          </w:p>
        </w:tc>
      </w:tr>
      <w:tr w14:paraId="4696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39" w:type="dxa"/>
            <w:vMerge w:val="restart"/>
            <w:vAlign w:val="center"/>
          </w:tcPr>
          <w:p w14:paraId="2A91527C">
            <w:pPr>
              <w:jc w:val="center"/>
              <w:rPr>
                <w:rFonts w:ascii="仿宋" w:hAnsi="仿宋" w:eastAsia="仿宋" w:cs="仿宋"/>
                <w:b/>
                <w:bCs/>
                <w:szCs w:val="21"/>
                <w:highlight w:val="none"/>
              </w:rPr>
            </w:pPr>
            <w:r>
              <w:rPr>
                <w:rFonts w:hint="eastAsia" w:ascii="仿宋" w:hAnsi="仿宋" w:eastAsia="仿宋" w:cs="仿宋"/>
                <w:b/>
                <w:bCs/>
                <w:szCs w:val="21"/>
                <w:highlight w:val="none"/>
              </w:rPr>
              <w:t>服务方案</w:t>
            </w:r>
          </w:p>
        </w:tc>
        <w:tc>
          <w:tcPr>
            <w:tcW w:w="660" w:type="dxa"/>
            <w:vAlign w:val="center"/>
          </w:tcPr>
          <w:p w14:paraId="308597AB">
            <w:pPr>
              <w:jc w:val="center"/>
              <w:rPr>
                <w:rFonts w:ascii="仿宋" w:hAnsi="仿宋" w:eastAsia="仿宋" w:cs="仿宋"/>
                <w:b/>
                <w:bCs/>
                <w:szCs w:val="21"/>
                <w:highlight w:val="none"/>
              </w:rPr>
            </w:pPr>
            <w:r>
              <w:rPr>
                <w:rFonts w:hint="eastAsia" w:ascii="仿宋" w:hAnsi="仿宋" w:eastAsia="仿宋" w:cs="仿宋"/>
                <w:b/>
                <w:bCs/>
                <w:szCs w:val="21"/>
                <w:highlight w:val="none"/>
              </w:rPr>
              <w:t>3</w:t>
            </w:r>
          </w:p>
        </w:tc>
        <w:tc>
          <w:tcPr>
            <w:tcW w:w="7723" w:type="dxa"/>
            <w:vAlign w:val="center"/>
          </w:tcPr>
          <w:p w14:paraId="2AFAFFFD">
            <w:pPr>
              <w:rPr>
                <w:rFonts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所投项目相关产品国内产业、行业现状介绍、省内企业数量、产业模式的报告：报告全面、充分、针对采购需求及实际特点、有利于采购标的实现及合同履约</w:t>
            </w:r>
            <w:r>
              <w:rPr>
                <w:rFonts w:hint="eastAsia" w:ascii="仿宋" w:hAnsi="仿宋" w:eastAsia="仿宋" w:cs="仿宋"/>
                <w:b/>
                <w:bCs/>
                <w:szCs w:val="21"/>
                <w:highlight w:val="none"/>
              </w:rPr>
              <w:t>（评分范围：3,2,1,0）</w:t>
            </w:r>
          </w:p>
        </w:tc>
      </w:tr>
      <w:tr w14:paraId="0F03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Merge w:val="continue"/>
            <w:vAlign w:val="center"/>
          </w:tcPr>
          <w:p w14:paraId="4CCB243A">
            <w:pPr>
              <w:jc w:val="center"/>
              <w:rPr>
                <w:rFonts w:ascii="仿宋" w:hAnsi="仿宋" w:eastAsia="仿宋" w:cs="仿宋"/>
                <w:b/>
                <w:bCs/>
                <w:szCs w:val="21"/>
                <w:highlight w:val="none"/>
              </w:rPr>
            </w:pPr>
          </w:p>
        </w:tc>
        <w:tc>
          <w:tcPr>
            <w:tcW w:w="660" w:type="dxa"/>
            <w:vAlign w:val="center"/>
          </w:tcPr>
          <w:p w14:paraId="423338BD">
            <w:pPr>
              <w:jc w:val="center"/>
              <w:rPr>
                <w:rFonts w:ascii="仿宋" w:hAnsi="仿宋" w:eastAsia="仿宋" w:cs="仿宋"/>
                <w:b/>
                <w:bCs/>
                <w:szCs w:val="21"/>
                <w:highlight w:val="none"/>
              </w:rPr>
            </w:pPr>
            <w:r>
              <w:rPr>
                <w:rFonts w:hint="eastAsia" w:ascii="仿宋" w:hAnsi="仿宋" w:eastAsia="仿宋" w:cs="仿宋"/>
                <w:b/>
                <w:bCs/>
                <w:szCs w:val="21"/>
                <w:highlight w:val="none"/>
              </w:rPr>
              <w:t>6</w:t>
            </w:r>
          </w:p>
        </w:tc>
        <w:tc>
          <w:tcPr>
            <w:tcW w:w="7723" w:type="dxa"/>
            <w:vAlign w:val="center"/>
          </w:tcPr>
          <w:p w14:paraId="27573EEB">
            <w:pPr>
              <w:rPr>
                <w:rFonts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管理制度及质量管理体系：全面、充分、针对采购需求及实际特点、有利于采购标的实现及合同履约</w:t>
            </w:r>
          </w:p>
          <w:p w14:paraId="58621911">
            <w:pPr>
              <w:rPr>
                <w:rFonts w:ascii="仿宋" w:hAnsi="仿宋" w:eastAsia="仿宋" w:cs="仿宋"/>
                <w:szCs w:val="21"/>
                <w:highlight w:val="none"/>
              </w:rPr>
            </w:pPr>
            <w:r>
              <w:rPr>
                <w:rFonts w:hint="eastAsia" w:ascii="仿宋" w:hAnsi="仿宋" w:eastAsia="仿宋" w:cs="仿宋"/>
                <w:szCs w:val="21"/>
                <w:highlight w:val="none"/>
              </w:rPr>
              <w:t>1.管理制度健全程度</w:t>
            </w:r>
            <w:r>
              <w:rPr>
                <w:rFonts w:hint="eastAsia" w:ascii="仿宋" w:hAnsi="仿宋" w:eastAsia="仿宋" w:cs="仿宋"/>
                <w:b/>
                <w:bCs/>
                <w:szCs w:val="21"/>
                <w:highlight w:val="none"/>
              </w:rPr>
              <w:t>（评分范围：3,2,1,0）</w:t>
            </w:r>
          </w:p>
          <w:p w14:paraId="7BB224AC">
            <w:pPr>
              <w:rPr>
                <w:rFonts w:ascii="仿宋" w:hAnsi="仿宋" w:eastAsia="仿宋" w:cs="仿宋"/>
                <w:b/>
                <w:bCs/>
                <w:szCs w:val="21"/>
                <w:highlight w:val="none"/>
              </w:rPr>
            </w:pPr>
            <w:r>
              <w:rPr>
                <w:rFonts w:hint="eastAsia" w:ascii="仿宋" w:hAnsi="仿宋" w:eastAsia="仿宋" w:cs="仿宋"/>
                <w:szCs w:val="21"/>
                <w:highlight w:val="none"/>
              </w:rPr>
              <w:t>2.质量管理体系完善程度</w:t>
            </w:r>
            <w:r>
              <w:rPr>
                <w:rFonts w:hint="eastAsia" w:ascii="仿宋" w:hAnsi="仿宋" w:eastAsia="仿宋" w:cs="仿宋"/>
                <w:b/>
                <w:bCs/>
                <w:szCs w:val="21"/>
                <w:highlight w:val="none"/>
              </w:rPr>
              <w:t>（评分范围：3,2,1,0）</w:t>
            </w:r>
          </w:p>
        </w:tc>
      </w:tr>
      <w:tr w14:paraId="7EAE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Merge w:val="continue"/>
            <w:vAlign w:val="center"/>
          </w:tcPr>
          <w:p w14:paraId="233D6FD5">
            <w:pPr>
              <w:jc w:val="center"/>
              <w:rPr>
                <w:rFonts w:ascii="仿宋" w:hAnsi="仿宋" w:eastAsia="仿宋" w:cs="仿宋"/>
                <w:b/>
                <w:bCs/>
                <w:szCs w:val="21"/>
                <w:highlight w:val="none"/>
              </w:rPr>
            </w:pPr>
          </w:p>
        </w:tc>
        <w:tc>
          <w:tcPr>
            <w:tcW w:w="660" w:type="dxa"/>
            <w:vAlign w:val="center"/>
          </w:tcPr>
          <w:p w14:paraId="73D1F96F">
            <w:pPr>
              <w:jc w:val="center"/>
              <w:rPr>
                <w:rFonts w:ascii="仿宋" w:hAnsi="仿宋" w:eastAsia="仿宋" w:cs="仿宋"/>
                <w:b/>
                <w:bCs/>
                <w:szCs w:val="21"/>
                <w:highlight w:val="none"/>
              </w:rPr>
            </w:pPr>
            <w:r>
              <w:rPr>
                <w:rFonts w:hint="eastAsia" w:ascii="仿宋" w:hAnsi="仿宋" w:eastAsia="仿宋" w:cs="仿宋"/>
                <w:b/>
                <w:bCs/>
                <w:szCs w:val="21"/>
                <w:highlight w:val="none"/>
              </w:rPr>
              <w:t>20</w:t>
            </w:r>
          </w:p>
        </w:tc>
        <w:tc>
          <w:tcPr>
            <w:tcW w:w="7723" w:type="dxa"/>
            <w:vAlign w:val="center"/>
          </w:tcPr>
          <w:p w14:paraId="425F349B">
            <w:pPr>
              <w:rPr>
                <w:rFonts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具体实施方案：专业、全面、针对采购需求及实际特点、有利于采购标的实现及合同履约</w:t>
            </w:r>
          </w:p>
          <w:p w14:paraId="2E532D69">
            <w:pPr>
              <w:rPr>
                <w:rFonts w:ascii="仿宋" w:hAnsi="仿宋" w:eastAsia="仿宋" w:cs="仿宋"/>
                <w:szCs w:val="21"/>
                <w:highlight w:val="none"/>
              </w:rPr>
            </w:pPr>
            <w:r>
              <w:rPr>
                <w:rFonts w:hint="eastAsia" w:ascii="仿宋" w:hAnsi="仿宋" w:eastAsia="仿宋" w:cs="仿宋"/>
                <w:szCs w:val="21"/>
                <w:highlight w:val="none"/>
              </w:rPr>
              <w:t>1.抽查时间进度计划及安排</w:t>
            </w:r>
            <w:r>
              <w:rPr>
                <w:rFonts w:hint="eastAsia" w:ascii="仿宋" w:hAnsi="仿宋" w:eastAsia="仿宋" w:cs="仿宋"/>
                <w:b/>
                <w:bCs/>
                <w:szCs w:val="21"/>
                <w:highlight w:val="none"/>
              </w:rPr>
              <w:t>（评分范围：3,2,1,0）</w:t>
            </w:r>
          </w:p>
          <w:p w14:paraId="71C698CD">
            <w:pPr>
              <w:rPr>
                <w:rFonts w:ascii="仿宋" w:hAnsi="仿宋" w:eastAsia="仿宋" w:cs="仿宋"/>
                <w:szCs w:val="21"/>
                <w:highlight w:val="none"/>
              </w:rPr>
            </w:pPr>
            <w:r>
              <w:rPr>
                <w:rFonts w:hint="eastAsia" w:ascii="仿宋" w:hAnsi="仿宋" w:eastAsia="仿宋" w:cs="仿宋"/>
                <w:szCs w:val="21"/>
                <w:highlight w:val="none"/>
              </w:rPr>
              <w:t>2.抽样安排</w:t>
            </w:r>
            <w:r>
              <w:rPr>
                <w:rFonts w:hint="eastAsia" w:ascii="仿宋" w:hAnsi="仿宋" w:eastAsia="仿宋" w:cs="仿宋"/>
                <w:b/>
                <w:bCs/>
                <w:szCs w:val="21"/>
                <w:highlight w:val="none"/>
              </w:rPr>
              <w:t>（评分范围：3,2,1,0）</w:t>
            </w:r>
          </w:p>
          <w:p w14:paraId="5AF4B1A7">
            <w:pPr>
              <w:rPr>
                <w:rFonts w:ascii="仿宋" w:hAnsi="仿宋" w:eastAsia="仿宋" w:cs="仿宋"/>
                <w:b/>
                <w:bCs/>
                <w:szCs w:val="21"/>
                <w:highlight w:val="none"/>
              </w:rPr>
            </w:pPr>
            <w:r>
              <w:rPr>
                <w:rFonts w:hint="eastAsia" w:ascii="仿宋" w:hAnsi="仿宋" w:eastAsia="仿宋" w:cs="仿宋"/>
                <w:szCs w:val="21"/>
                <w:highlight w:val="none"/>
              </w:rPr>
              <w:t>3.样品物流安排</w:t>
            </w:r>
            <w:r>
              <w:rPr>
                <w:rFonts w:hint="eastAsia" w:ascii="仿宋" w:hAnsi="仿宋" w:eastAsia="仿宋" w:cs="仿宋"/>
                <w:b/>
                <w:bCs/>
                <w:szCs w:val="21"/>
                <w:highlight w:val="none"/>
              </w:rPr>
              <w:t>（评分范围：3,2,1,0）</w:t>
            </w:r>
          </w:p>
          <w:p w14:paraId="2C8FDBC9">
            <w:pPr>
              <w:rPr>
                <w:rFonts w:ascii="仿宋" w:hAnsi="仿宋" w:eastAsia="仿宋" w:cs="仿宋"/>
                <w:b/>
                <w:bCs/>
                <w:szCs w:val="21"/>
                <w:highlight w:val="none"/>
              </w:rPr>
            </w:pPr>
            <w:r>
              <w:rPr>
                <w:rFonts w:hint="eastAsia" w:ascii="仿宋" w:hAnsi="仿宋" w:eastAsia="仿宋" w:cs="仿宋"/>
                <w:szCs w:val="21"/>
                <w:highlight w:val="none"/>
              </w:rPr>
              <w:t>4.检验工作安排</w:t>
            </w:r>
            <w:r>
              <w:rPr>
                <w:rFonts w:hint="eastAsia" w:ascii="仿宋" w:hAnsi="仿宋" w:eastAsia="仿宋" w:cs="仿宋"/>
                <w:b/>
                <w:bCs/>
                <w:szCs w:val="21"/>
                <w:highlight w:val="none"/>
              </w:rPr>
              <w:t>（评分范围：3,2,1,0）</w:t>
            </w:r>
          </w:p>
          <w:p w14:paraId="6828DB9C">
            <w:pPr>
              <w:rPr>
                <w:rFonts w:ascii="仿宋" w:hAnsi="仿宋" w:eastAsia="仿宋" w:cs="仿宋"/>
                <w:b/>
                <w:bCs/>
                <w:szCs w:val="21"/>
                <w:highlight w:val="none"/>
              </w:rPr>
            </w:pPr>
            <w:r>
              <w:rPr>
                <w:rFonts w:hint="eastAsia" w:ascii="仿宋" w:hAnsi="仿宋" w:eastAsia="仿宋" w:cs="仿宋"/>
                <w:szCs w:val="21"/>
                <w:highlight w:val="none"/>
              </w:rPr>
              <w:t>5.检验结果报送</w:t>
            </w:r>
            <w:r>
              <w:rPr>
                <w:rFonts w:hint="eastAsia" w:ascii="仿宋" w:hAnsi="仿宋" w:eastAsia="仿宋" w:cs="仿宋"/>
                <w:b/>
                <w:bCs/>
                <w:szCs w:val="21"/>
                <w:highlight w:val="none"/>
              </w:rPr>
              <w:t>（评分范围：3,2,1,0）</w:t>
            </w:r>
          </w:p>
          <w:p w14:paraId="4A34A5B3">
            <w:pPr>
              <w:rPr>
                <w:rFonts w:ascii="仿宋" w:hAnsi="仿宋" w:eastAsia="仿宋" w:cs="仿宋"/>
                <w:b/>
                <w:bCs/>
                <w:szCs w:val="21"/>
                <w:highlight w:val="none"/>
              </w:rPr>
            </w:pPr>
            <w:r>
              <w:rPr>
                <w:rFonts w:hint="eastAsia" w:ascii="仿宋" w:hAnsi="仿宋" w:eastAsia="仿宋" w:cs="仿宋"/>
                <w:szCs w:val="21"/>
                <w:highlight w:val="none"/>
              </w:rPr>
              <w:t>6.异议复检安排</w:t>
            </w:r>
            <w:r>
              <w:rPr>
                <w:rFonts w:hint="eastAsia" w:ascii="仿宋" w:hAnsi="仿宋" w:eastAsia="仿宋" w:cs="仿宋"/>
                <w:b/>
                <w:bCs/>
                <w:szCs w:val="21"/>
                <w:highlight w:val="none"/>
              </w:rPr>
              <w:t>（评分范围：2,1,0）</w:t>
            </w:r>
          </w:p>
          <w:p w14:paraId="2661DAF6">
            <w:pPr>
              <w:rPr>
                <w:rFonts w:ascii="仿宋" w:hAnsi="仿宋" w:eastAsia="仿宋" w:cs="仿宋"/>
                <w:b/>
                <w:bCs/>
                <w:szCs w:val="21"/>
                <w:highlight w:val="none"/>
              </w:rPr>
            </w:pPr>
            <w:r>
              <w:rPr>
                <w:rFonts w:hint="eastAsia" w:ascii="仿宋" w:hAnsi="仿宋" w:eastAsia="仿宋" w:cs="仿宋"/>
                <w:szCs w:val="21"/>
                <w:highlight w:val="none"/>
              </w:rPr>
              <w:t>7.样品保存、处置具体方案</w:t>
            </w:r>
            <w:r>
              <w:rPr>
                <w:rFonts w:hint="eastAsia" w:ascii="仿宋" w:hAnsi="仿宋" w:eastAsia="仿宋" w:cs="仿宋"/>
                <w:b/>
                <w:bCs/>
                <w:szCs w:val="21"/>
                <w:highlight w:val="none"/>
              </w:rPr>
              <w:t>（评分范围：3,2,1,0）</w:t>
            </w:r>
          </w:p>
        </w:tc>
      </w:tr>
      <w:tr w14:paraId="641F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Merge w:val="continue"/>
            <w:vAlign w:val="center"/>
          </w:tcPr>
          <w:p w14:paraId="659A82A7">
            <w:pPr>
              <w:jc w:val="center"/>
              <w:rPr>
                <w:rFonts w:ascii="仿宋" w:hAnsi="仿宋" w:eastAsia="仿宋" w:cs="仿宋"/>
                <w:b/>
                <w:bCs/>
                <w:szCs w:val="21"/>
                <w:highlight w:val="none"/>
              </w:rPr>
            </w:pPr>
          </w:p>
        </w:tc>
        <w:tc>
          <w:tcPr>
            <w:tcW w:w="660" w:type="dxa"/>
            <w:vAlign w:val="center"/>
          </w:tcPr>
          <w:p w14:paraId="0C12D0C6">
            <w:pPr>
              <w:jc w:val="center"/>
              <w:rPr>
                <w:rFonts w:ascii="仿宋" w:hAnsi="仿宋" w:eastAsia="仿宋" w:cs="仿宋"/>
                <w:b/>
                <w:bCs/>
                <w:szCs w:val="21"/>
                <w:highlight w:val="none"/>
              </w:rPr>
            </w:pPr>
            <w:r>
              <w:rPr>
                <w:rFonts w:hint="eastAsia" w:ascii="仿宋" w:hAnsi="仿宋" w:eastAsia="仿宋" w:cs="仿宋"/>
                <w:b/>
                <w:bCs/>
                <w:szCs w:val="21"/>
                <w:highlight w:val="none"/>
              </w:rPr>
              <w:t>13</w:t>
            </w:r>
          </w:p>
        </w:tc>
        <w:tc>
          <w:tcPr>
            <w:tcW w:w="7723" w:type="dxa"/>
            <w:vAlign w:val="center"/>
          </w:tcPr>
          <w:p w14:paraId="46C42029">
            <w:pPr>
              <w:rPr>
                <w:rFonts w:ascii="仿宋" w:hAnsi="仿宋" w:eastAsia="仿宋" w:cs="仿宋"/>
                <w:szCs w:val="21"/>
                <w:highlight w:val="none"/>
              </w:rPr>
            </w:pPr>
            <w:r>
              <w:rPr>
                <w:rFonts w:hint="eastAsia" w:ascii="仿宋" w:hAnsi="仿宋" w:eastAsia="仿宋" w:cs="仿宋"/>
                <w:szCs w:val="21"/>
                <w:highlight w:val="none"/>
              </w:rPr>
              <w:t>场地、设备配置</w:t>
            </w:r>
          </w:p>
          <w:p w14:paraId="4DB6DFA3">
            <w:pPr>
              <w:rPr>
                <w:rFonts w:ascii="仿宋" w:hAnsi="仿宋" w:eastAsia="仿宋" w:cs="仿宋"/>
                <w:b/>
                <w:bCs/>
                <w:szCs w:val="21"/>
                <w:highlight w:val="none"/>
              </w:rPr>
            </w:pPr>
            <w:r>
              <w:rPr>
                <w:rFonts w:hint="eastAsia" w:ascii="仿宋" w:hAnsi="仿宋" w:eastAsia="仿宋" w:cs="仿宋"/>
                <w:b/>
                <w:bCs/>
                <w:szCs w:val="21"/>
                <w:highlight w:val="none"/>
              </w:rPr>
              <w:t>[主观分]1.</w:t>
            </w:r>
            <w:r>
              <w:rPr>
                <w:rFonts w:hint="eastAsia" w:ascii="仿宋" w:hAnsi="仿宋" w:eastAsia="仿宋" w:cs="仿宋"/>
                <w:szCs w:val="21"/>
                <w:highlight w:val="none"/>
              </w:rPr>
              <w:t>配备检测设备：专业、完整、覆盖所承担项目需要及满足大批量样品检测需要、有利于采购标的实现及合同履约</w:t>
            </w:r>
            <w:r>
              <w:rPr>
                <w:rFonts w:hint="eastAsia" w:ascii="仿宋" w:hAnsi="仿宋" w:eastAsia="仿宋" w:cs="仿宋"/>
                <w:b/>
                <w:bCs/>
                <w:szCs w:val="21"/>
                <w:highlight w:val="none"/>
              </w:rPr>
              <w:t>（评分范围：3,2,1,0）</w:t>
            </w:r>
            <w:r>
              <w:rPr>
                <w:rFonts w:hint="eastAsia" w:ascii="仿宋" w:hAnsi="仿宋" w:eastAsia="仿宋" w:cs="仿宋"/>
                <w:szCs w:val="21"/>
                <w:highlight w:val="none"/>
              </w:rPr>
              <w:t>（以提供的设备清单、照片、购置合同或购置发票、校准报告、检定证书等相关证明材料为准，在计量检定（校准）有效期内）</w:t>
            </w:r>
          </w:p>
          <w:p w14:paraId="00FDD640">
            <w:pPr>
              <w:rPr>
                <w:rFonts w:ascii="仿宋" w:hAnsi="仿宋" w:eastAsia="仿宋" w:cs="仿宋"/>
                <w:szCs w:val="21"/>
                <w:highlight w:val="none"/>
              </w:rPr>
            </w:pPr>
            <w:r>
              <w:rPr>
                <w:rFonts w:hint="eastAsia" w:ascii="仿宋" w:hAnsi="仿宋" w:eastAsia="仿宋" w:cs="仿宋"/>
                <w:b/>
                <w:bCs/>
                <w:szCs w:val="21"/>
                <w:highlight w:val="none"/>
              </w:rPr>
              <w:t>[主观分]2.</w:t>
            </w:r>
            <w:r>
              <w:rPr>
                <w:rFonts w:hint="eastAsia" w:ascii="仿宋" w:hAnsi="仿宋" w:eastAsia="仿宋" w:cs="仿宋"/>
                <w:szCs w:val="21"/>
                <w:highlight w:val="none"/>
              </w:rPr>
              <w:t>配备抽样现场信息记录仪器：专业、完整记录抽样现场有声视频、音频及清晰照片、有利于采购标的实现及合同履约</w:t>
            </w:r>
            <w:r>
              <w:rPr>
                <w:rFonts w:hint="eastAsia" w:ascii="仿宋" w:hAnsi="仿宋" w:eastAsia="仿宋" w:cs="仿宋"/>
                <w:b/>
                <w:bCs/>
                <w:szCs w:val="21"/>
                <w:highlight w:val="none"/>
              </w:rPr>
              <w:t>（评分范围：3,2,1,0）</w:t>
            </w:r>
            <w:r>
              <w:rPr>
                <w:rFonts w:hint="eastAsia" w:ascii="仿宋" w:hAnsi="仿宋" w:eastAsia="仿宋" w:cs="仿宋"/>
                <w:szCs w:val="21"/>
                <w:highlight w:val="none"/>
              </w:rPr>
              <w:t>（以提供的设备清单、照片、购置合同或购置发票等相关证明材料为准）</w:t>
            </w:r>
          </w:p>
          <w:p w14:paraId="3AC1E759">
            <w:pPr>
              <w:rPr>
                <w:rFonts w:ascii="仿宋" w:hAnsi="仿宋" w:eastAsia="仿宋" w:cs="仿宋"/>
                <w:szCs w:val="21"/>
                <w:highlight w:val="none"/>
              </w:rPr>
            </w:pPr>
            <w:r>
              <w:rPr>
                <w:rFonts w:hint="eastAsia" w:ascii="仿宋" w:hAnsi="仿宋" w:eastAsia="仿宋" w:cs="仿宋"/>
                <w:b/>
                <w:bCs/>
                <w:szCs w:val="21"/>
                <w:highlight w:val="none"/>
              </w:rPr>
              <w:t>[主观分]3.</w:t>
            </w:r>
            <w:r>
              <w:rPr>
                <w:rFonts w:hint="eastAsia" w:ascii="仿宋" w:hAnsi="仿宋" w:eastAsia="仿宋" w:cs="仿宋"/>
                <w:szCs w:val="21"/>
                <w:highlight w:val="none"/>
              </w:rPr>
              <w:t>拟投入项目专用采样车：专业、全面、针对采购需求及实际特点、有利于采购标的实现及合同履约</w:t>
            </w:r>
            <w:r>
              <w:rPr>
                <w:rFonts w:hint="eastAsia" w:ascii="仿宋" w:hAnsi="仿宋" w:eastAsia="仿宋" w:cs="仿宋"/>
                <w:b/>
                <w:bCs/>
                <w:szCs w:val="21"/>
                <w:highlight w:val="none"/>
              </w:rPr>
              <w:t>（评分范围：3,2,1,0）</w:t>
            </w:r>
            <w:r>
              <w:rPr>
                <w:rFonts w:hint="eastAsia" w:ascii="仿宋" w:hAnsi="仿宋" w:eastAsia="仿宋" w:cs="仿宋"/>
                <w:szCs w:val="21"/>
                <w:highlight w:val="none"/>
              </w:rPr>
              <w:t>（允许租用，以提供的车辆信息及照片、租赁证明或行驶证、保险复印件等相关证明材料为准）</w:t>
            </w:r>
          </w:p>
          <w:p w14:paraId="1F740C63">
            <w:pPr>
              <w:rPr>
                <w:rFonts w:ascii="仿宋" w:hAnsi="仿宋" w:eastAsia="仿宋" w:cs="仿宋"/>
                <w:szCs w:val="21"/>
                <w:highlight w:val="none"/>
              </w:rPr>
            </w:pPr>
            <w:r>
              <w:rPr>
                <w:rFonts w:hint="eastAsia" w:ascii="仿宋" w:hAnsi="仿宋" w:eastAsia="仿宋" w:cs="仿宋"/>
                <w:b/>
                <w:bCs/>
                <w:szCs w:val="21"/>
                <w:highlight w:val="none"/>
              </w:rPr>
              <w:t>[客观分]4.</w:t>
            </w:r>
            <w:r>
              <w:rPr>
                <w:rFonts w:hint="eastAsia" w:ascii="仿宋" w:hAnsi="仿宋" w:eastAsia="仿宋" w:cs="仿宋"/>
                <w:szCs w:val="21"/>
                <w:highlight w:val="none"/>
              </w:rPr>
              <w:t>具有独立、固定的检测及仓储场所：</w:t>
            </w:r>
            <w:r>
              <w:rPr>
                <w:rFonts w:hint="eastAsia" w:ascii="仿宋" w:hAnsi="仿宋" w:eastAsia="仿宋" w:cs="仿宋"/>
                <w:b/>
                <w:bCs/>
                <w:szCs w:val="21"/>
                <w:highlight w:val="none"/>
              </w:rPr>
              <w:t>2分</w:t>
            </w:r>
            <w:r>
              <w:rPr>
                <w:rFonts w:hint="eastAsia" w:ascii="仿宋" w:hAnsi="仿宋" w:eastAsia="仿宋" w:cs="仿宋"/>
                <w:szCs w:val="21"/>
                <w:highlight w:val="none"/>
              </w:rPr>
              <w:t>（以提供的场所产权证明或有效租赁合同等相关证明材料为准）</w:t>
            </w:r>
          </w:p>
          <w:p w14:paraId="62943666">
            <w:pPr>
              <w:rPr>
                <w:rFonts w:ascii="仿宋" w:hAnsi="仿宋" w:eastAsia="仿宋" w:cs="仿宋"/>
                <w:szCs w:val="21"/>
                <w:highlight w:val="none"/>
              </w:rPr>
            </w:pPr>
            <w:r>
              <w:rPr>
                <w:rFonts w:hint="eastAsia" w:ascii="仿宋" w:hAnsi="仿宋" w:eastAsia="仿宋" w:cs="仿宋"/>
                <w:b/>
                <w:bCs/>
                <w:szCs w:val="21"/>
                <w:highlight w:val="none"/>
              </w:rPr>
              <w:t>[主观分]5.</w:t>
            </w:r>
            <w:r>
              <w:rPr>
                <w:rFonts w:hint="eastAsia" w:ascii="仿宋" w:hAnsi="仿宋" w:eastAsia="仿宋" w:cs="仿宋"/>
                <w:szCs w:val="21"/>
                <w:highlight w:val="none"/>
              </w:rPr>
              <w:t>检测及仓储场所布置：合理、规范、专业、针对采购需求及实际特点、有利于采购标的实现及合同履约</w:t>
            </w:r>
            <w:r>
              <w:rPr>
                <w:rFonts w:hint="eastAsia" w:ascii="仿宋" w:hAnsi="仿宋" w:eastAsia="仿宋" w:cs="仿宋"/>
                <w:b/>
                <w:bCs/>
                <w:szCs w:val="21"/>
                <w:highlight w:val="none"/>
              </w:rPr>
              <w:t>（评分范围：2,1,0）</w:t>
            </w:r>
          </w:p>
        </w:tc>
      </w:tr>
      <w:tr w14:paraId="093B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Merge w:val="continue"/>
            <w:vAlign w:val="center"/>
          </w:tcPr>
          <w:p w14:paraId="2C49890D">
            <w:pPr>
              <w:jc w:val="center"/>
              <w:rPr>
                <w:rFonts w:ascii="仿宋" w:hAnsi="仿宋" w:eastAsia="仿宋" w:cs="仿宋"/>
                <w:b/>
                <w:bCs/>
                <w:szCs w:val="21"/>
                <w:highlight w:val="none"/>
              </w:rPr>
            </w:pPr>
          </w:p>
        </w:tc>
        <w:tc>
          <w:tcPr>
            <w:tcW w:w="660" w:type="dxa"/>
            <w:vAlign w:val="center"/>
          </w:tcPr>
          <w:p w14:paraId="00A44607">
            <w:pPr>
              <w:snapToGrid w:val="0"/>
              <w:jc w:val="center"/>
              <w:rPr>
                <w:rFonts w:ascii="仿宋" w:hAnsi="仿宋" w:eastAsia="仿宋" w:cs="仿宋"/>
                <w:b/>
                <w:bCs/>
                <w:szCs w:val="21"/>
                <w:highlight w:val="none"/>
              </w:rPr>
            </w:pPr>
            <w:r>
              <w:rPr>
                <w:rFonts w:hint="eastAsia" w:ascii="仿宋" w:hAnsi="仿宋" w:eastAsia="仿宋" w:cs="仿宋"/>
                <w:b/>
                <w:bCs/>
                <w:szCs w:val="21"/>
                <w:highlight w:val="none"/>
              </w:rPr>
              <w:t>3</w:t>
            </w:r>
          </w:p>
        </w:tc>
        <w:tc>
          <w:tcPr>
            <w:tcW w:w="7723" w:type="dxa"/>
            <w:vAlign w:val="center"/>
          </w:tcPr>
          <w:p w14:paraId="085816AA">
            <w:pPr>
              <w:snapToGrid w:val="0"/>
              <w:rPr>
                <w:rFonts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突发事件应急保障及响应方案（包括但不仅限于产品质量突发性、应急性等事件,应对机构、人员、响应具体时间及具体措施）：专业、全面、针对采购需求及实际特点、有利于采购标的实现及合同履约</w:t>
            </w:r>
            <w:r>
              <w:rPr>
                <w:rFonts w:hint="eastAsia" w:ascii="仿宋" w:hAnsi="仿宋" w:eastAsia="仿宋" w:cs="仿宋"/>
                <w:b/>
                <w:bCs/>
                <w:szCs w:val="21"/>
                <w:highlight w:val="none"/>
              </w:rPr>
              <w:t>（评分范围：3,2,1,0）</w:t>
            </w:r>
          </w:p>
        </w:tc>
      </w:tr>
      <w:tr w14:paraId="1CC6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Merge w:val="restart"/>
            <w:vAlign w:val="center"/>
          </w:tcPr>
          <w:p w14:paraId="37B2CC34">
            <w:pPr>
              <w:jc w:val="center"/>
              <w:rPr>
                <w:rFonts w:ascii="仿宋" w:hAnsi="仿宋" w:eastAsia="仿宋" w:cs="仿宋"/>
                <w:b/>
                <w:bCs/>
                <w:szCs w:val="21"/>
                <w:highlight w:val="none"/>
              </w:rPr>
            </w:pPr>
            <w:r>
              <w:rPr>
                <w:rFonts w:hint="eastAsia" w:ascii="仿宋" w:hAnsi="仿宋" w:eastAsia="仿宋" w:cs="仿宋"/>
                <w:b/>
                <w:bCs/>
                <w:szCs w:val="21"/>
                <w:highlight w:val="none"/>
              </w:rPr>
              <w:t>服务团队</w:t>
            </w:r>
          </w:p>
        </w:tc>
        <w:tc>
          <w:tcPr>
            <w:tcW w:w="660" w:type="dxa"/>
            <w:vAlign w:val="center"/>
          </w:tcPr>
          <w:p w14:paraId="3E3C99C5">
            <w:pPr>
              <w:jc w:val="center"/>
              <w:rPr>
                <w:rFonts w:ascii="仿宋" w:hAnsi="仿宋" w:eastAsia="仿宋" w:cs="仿宋"/>
                <w:b/>
                <w:bCs/>
                <w:szCs w:val="21"/>
                <w:highlight w:val="none"/>
              </w:rPr>
            </w:pPr>
            <w:r>
              <w:rPr>
                <w:rFonts w:hint="eastAsia" w:ascii="仿宋" w:hAnsi="仿宋" w:eastAsia="仿宋" w:cs="仿宋"/>
                <w:b/>
                <w:bCs/>
                <w:szCs w:val="21"/>
                <w:highlight w:val="none"/>
              </w:rPr>
              <w:t>3</w:t>
            </w:r>
          </w:p>
        </w:tc>
        <w:tc>
          <w:tcPr>
            <w:tcW w:w="7723" w:type="dxa"/>
            <w:vAlign w:val="center"/>
          </w:tcPr>
          <w:p w14:paraId="7C7AA7AE">
            <w:pPr>
              <w:rPr>
                <w:rFonts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服务</w:t>
            </w:r>
            <w:r>
              <w:rPr>
                <w:rFonts w:ascii="仿宋" w:hAnsi="仿宋" w:eastAsia="仿宋" w:cs="仿宋"/>
                <w:szCs w:val="21"/>
                <w:highlight w:val="none"/>
              </w:rPr>
              <w:t>团队人员组织结构</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完整</w:t>
            </w:r>
            <w:r>
              <w:rPr>
                <w:rFonts w:hint="eastAsia" w:ascii="仿宋" w:hAnsi="仿宋" w:eastAsia="仿宋" w:cs="仿宋"/>
                <w:szCs w:val="21"/>
                <w:highlight w:val="none"/>
              </w:rPr>
              <w:t>、合理、针对采购需求及实际特点、有利于采购标的实现及合同履约</w:t>
            </w:r>
            <w:r>
              <w:rPr>
                <w:rFonts w:hint="eastAsia" w:ascii="仿宋" w:hAnsi="仿宋" w:eastAsia="仿宋" w:cs="仿宋"/>
                <w:b/>
                <w:bCs/>
                <w:szCs w:val="21"/>
                <w:highlight w:val="none"/>
              </w:rPr>
              <w:t>（评分范围：3,2,1,0）</w:t>
            </w:r>
          </w:p>
        </w:tc>
      </w:tr>
      <w:tr w14:paraId="2EFF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Merge w:val="continue"/>
            <w:vAlign w:val="center"/>
          </w:tcPr>
          <w:p w14:paraId="69C13F78">
            <w:pPr>
              <w:jc w:val="center"/>
              <w:rPr>
                <w:rFonts w:ascii="仿宋" w:hAnsi="仿宋" w:eastAsia="仿宋" w:cs="仿宋"/>
                <w:b/>
                <w:bCs/>
                <w:szCs w:val="21"/>
                <w:highlight w:val="none"/>
              </w:rPr>
            </w:pPr>
          </w:p>
        </w:tc>
        <w:tc>
          <w:tcPr>
            <w:tcW w:w="660" w:type="dxa"/>
            <w:vAlign w:val="center"/>
          </w:tcPr>
          <w:p w14:paraId="6F72F942">
            <w:pPr>
              <w:jc w:val="center"/>
              <w:rPr>
                <w:rFonts w:ascii="仿宋" w:hAnsi="仿宋" w:eastAsia="仿宋" w:cs="仿宋"/>
                <w:b/>
                <w:bCs/>
                <w:szCs w:val="21"/>
                <w:highlight w:val="none"/>
              </w:rPr>
            </w:pPr>
            <w:r>
              <w:rPr>
                <w:rFonts w:hint="eastAsia" w:ascii="仿宋" w:hAnsi="仿宋" w:eastAsia="仿宋" w:cs="仿宋"/>
                <w:b/>
                <w:bCs/>
                <w:szCs w:val="21"/>
                <w:highlight w:val="none"/>
              </w:rPr>
              <w:t>2</w:t>
            </w:r>
          </w:p>
        </w:tc>
        <w:tc>
          <w:tcPr>
            <w:tcW w:w="7723" w:type="dxa"/>
            <w:vAlign w:val="center"/>
          </w:tcPr>
          <w:p w14:paraId="3D3E37B6">
            <w:pPr>
              <w:rPr>
                <w:rFonts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实施人员抽检分离的相关制度：全面、专业、针对采购需求及实际特点、有利于采购标的实现及合同履约</w:t>
            </w:r>
            <w:r>
              <w:rPr>
                <w:rFonts w:hint="eastAsia" w:ascii="仿宋" w:hAnsi="仿宋" w:eastAsia="仿宋" w:cs="仿宋"/>
                <w:b/>
                <w:bCs/>
                <w:szCs w:val="21"/>
                <w:highlight w:val="none"/>
              </w:rPr>
              <w:t>（评分范围：2,1,0）</w:t>
            </w:r>
          </w:p>
        </w:tc>
      </w:tr>
      <w:tr w14:paraId="7C5C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Merge w:val="continue"/>
            <w:vAlign w:val="center"/>
          </w:tcPr>
          <w:p w14:paraId="4F3B966D">
            <w:pPr>
              <w:jc w:val="center"/>
              <w:rPr>
                <w:rFonts w:ascii="仿宋" w:hAnsi="仿宋" w:eastAsia="仿宋" w:cs="仿宋"/>
                <w:b/>
                <w:bCs/>
                <w:szCs w:val="21"/>
                <w:highlight w:val="none"/>
              </w:rPr>
            </w:pPr>
          </w:p>
        </w:tc>
        <w:tc>
          <w:tcPr>
            <w:tcW w:w="660" w:type="dxa"/>
            <w:vAlign w:val="center"/>
          </w:tcPr>
          <w:p w14:paraId="0FB541AB">
            <w:pPr>
              <w:jc w:val="center"/>
              <w:rPr>
                <w:rFonts w:ascii="仿宋" w:hAnsi="仿宋" w:eastAsia="仿宋" w:cs="仿宋"/>
                <w:b/>
                <w:bCs/>
                <w:szCs w:val="21"/>
                <w:highlight w:val="none"/>
              </w:rPr>
            </w:pPr>
            <w:r>
              <w:rPr>
                <w:rFonts w:hint="eastAsia" w:ascii="仿宋" w:hAnsi="仿宋" w:eastAsia="仿宋" w:cs="仿宋"/>
                <w:b/>
                <w:bCs/>
                <w:szCs w:val="21"/>
                <w:highlight w:val="none"/>
              </w:rPr>
              <w:t>4</w:t>
            </w:r>
          </w:p>
        </w:tc>
        <w:tc>
          <w:tcPr>
            <w:tcW w:w="7723" w:type="dxa"/>
            <w:vAlign w:val="center"/>
          </w:tcPr>
          <w:p w14:paraId="0157D208">
            <w:pPr>
              <w:rPr>
                <w:rFonts w:ascii="仿宋" w:hAnsi="仿宋" w:eastAsia="仿宋" w:cs="仿宋"/>
                <w:szCs w:val="21"/>
                <w:highlight w:val="none"/>
              </w:rPr>
            </w:pPr>
            <w:r>
              <w:rPr>
                <w:rFonts w:hint="eastAsia" w:ascii="仿宋" w:hAnsi="仿宋" w:eastAsia="仿宋" w:cs="仿宋"/>
                <w:b/>
                <w:bCs/>
                <w:szCs w:val="21"/>
                <w:highlight w:val="none"/>
              </w:rPr>
              <w:t>[客观分]</w:t>
            </w:r>
            <w:r>
              <w:rPr>
                <w:rFonts w:hint="eastAsia" w:ascii="仿宋" w:hAnsi="仿宋" w:eastAsia="仿宋" w:cs="仿宋"/>
                <w:szCs w:val="21"/>
                <w:highlight w:val="none"/>
              </w:rPr>
              <w:t>项目负责人</w:t>
            </w:r>
          </w:p>
          <w:p w14:paraId="7F6453B0">
            <w:pPr>
              <w:rPr>
                <w:rFonts w:ascii="仿宋" w:hAnsi="仿宋" w:eastAsia="仿宋" w:cs="仿宋"/>
                <w:szCs w:val="21"/>
                <w:highlight w:val="none"/>
              </w:rPr>
            </w:pPr>
            <w:r>
              <w:rPr>
                <w:rFonts w:hint="eastAsia" w:ascii="仿宋" w:hAnsi="仿宋" w:eastAsia="仿宋" w:cs="仿宋"/>
                <w:szCs w:val="21"/>
                <w:highlight w:val="none"/>
              </w:rPr>
              <w:t>1.检验工作经历（以提供的工作年限证明或说明或相关合同等证明材料为准）：＜3年0分、[3,10)年1分、≥10年2分</w:t>
            </w:r>
          </w:p>
          <w:p w14:paraId="7A0DC606">
            <w:pPr>
              <w:rPr>
                <w:rFonts w:ascii="仿宋" w:hAnsi="仿宋" w:eastAsia="仿宋" w:cs="仿宋"/>
                <w:b/>
                <w:bCs/>
                <w:szCs w:val="21"/>
                <w:highlight w:val="none"/>
              </w:rPr>
            </w:pPr>
            <w:r>
              <w:rPr>
                <w:rFonts w:hint="eastAsia" w:ascii="仿宋" w:hAnsi="仿宋" w:eastAsia="仿宋" w:cs="仿宋"/>
                <w:szCs w:val="21"/>
                <w:highlight w:val="none"/>
              </w:rPr>
              <w:t>2.项目实施相关专业技术职称（以提供的职称证书扫描件为准）：中级1分、副高级或以上2分</w:t>
            </w:r>
          </w:p>
        </w:tc>
      </w:tr>
      <w:tr w14:paraId="53D8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Merge w:val="continue"/>
            <w:vAlign w:val="center"/>
          </w:tcPr>
          <w:p w14:paraId="1F4461FB">
            <w:pPr>
              <w:jc w:val="center"/>
              <w:rPr>
                <w:rFonts w:ascii="仿宋" w:hAnsi="仿宋" w:eastAsia="仿宋" w:cs="仿宋"/>
                <w:b/>
                <w:bCs/>
                <w:szCs w:val="21"/>
                <w:highlight w:val="none"/>
              </w:rPr>
            </w:pPr>
          </w:p>
        </w:tc>
        <w:tc>
          <w:tcPr>
            <w:tcW w:w="660" w:type="dxa"/>
            <w:vAlign w:val="center"/>
          </w:tcPr>
          <w:p w14:paraId="08A50ED3">
            <w:pPr>
              <w:jc w:val="center"/>
              <w:rPr>
                <w:rFonts w:ascii="仿宋" w:hAnsi="仿宋" w:eastAsia="仿宋" w:cs="仿宋"/>
                <w:b/>
                <w:bCs/>
                <w:szCs w:val="21"/>
                <w:highlight w:val="none"/>
              </w:rPr>
            </w:pPr>
            <w:r>
              <w:rPr>
                <w:rFonts w:hint="eastAsia" w:ascii="仿宋" w:hAnsi="仿宋" w:eastAsia="仿宋" w:cs="仿宋"/>
                <w:b/>
                <w:bCs/>
                <w:szCs w:val="21"/>
                <w:highlight w:val="none"/>
              </w:rPr>
              <w:t>2</w:t>
            </w:r>
          </w:p>
        </w:tc>
        <w:tc>
          <w:tcPr>
            <w:tcW w:w="7723" w:type="dxa"/>
            <w:vAlign w:val="center"/>
          </w:tcPr>
          <w:p w14:paraId="44E6E53A">
            <w:pPr>
              <w:rPr>
                <w:rFonts w:ascii="仿宋" w:hAnsi="仿宋" w:eastAsia="仿宋" w:cs="仿宋"/>
                <w:szCs w:val="21"/>
                <w:highlight w:val="none"/>
              </w:rPr>
            </w:pPr>
            <w:r>
              <w:rPr>
                <w:rFonts w:hint="eastAsia" w:ascii="仿宋" w:hAnsi="仿宋" w:eastAsia="仿宋" w:cs="仿宋"/>
                <w:b/>
                <w:bCs/>
                <w:szCs w:val="21"/>
                <w:highlight w:val="none"/>
              </w:rPr>
              <w:t>[客观分]</w:t>
            </w:r>
            <w:r>
              <w:rPr>
                <w:rFonts w:hint="eastAsia" w:ascii="仿宋" w:hAnsi="仿宋" w:eastAsia="仿宋" w:cs="仿宋"/>
                <w:szCs w:val="21"/>
                <w:highlight w:val="none"/>
              </w:rPr>
              <w:t>检验团队（含项目负责人）项目实施相关专业中级或以上技术职称人员数量（以提供的职称证书扫描件为准）：＜4人0分、[4,7]人1分、≥8人2分</w:t>
            </w:r>
          </w:p>
        </w:tc>
      </w:tr>
      <w:tr w14:paraId="34E0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Merge w:val="continue"/>
            <w:vAlign w:val="center"/>
          </w:tcPr>
          <w:p w14:paraId="54616B73">
            <w:pPr>
              <w:jc w:val="center"/>
              <w:rPr>
                <w:rFonts w:ascii="仿宋" w:hAnsi="仿宋" w:eastAsia="仿宋" w:cs="仿宋"/>
                <w:b/>
                <w:bCs/>
                <w:szCs w:val="21"/>
                <w:highlight w:val="none"/>
              </w:rPr>
            </w:pPr>
          </w:p>
        </w:tc>
        <w:tc>
          <w:tcPr>
            <w:tcW w:w="660" w:type="dxa"/>
            <w:vAlign w:val="center"/>
          </w:tcPr>
          <w:p w14:paraId="4FF9BEA5">
            <w:pPr>
              <w:jc w:val="center"/>
              <w:rPr>
                <w:rFonts w:ascii="仿宋" w:hAnsi="仿宋" w:eastAsia="仿宋" w:cs="仿宋"/>
                <w:b/>
                <w:bCs/>
                <w:szCs w:val="21"/>
                <w:highlight w:val="none"/>
              </w:rPr>
            </w:pPr>
            <w:r>
              <w:rPr>
                <w:rFonts w:hint="eastAsia" w:ascii="仿宋" w:hAnsi="仿宋" w:eastAsia="仿宋" w:cs="仿宋"/>
                <w:b/>
                <w:bCs/>
                <w:szCs w:val="21"/>
                <w:highlight w:val="none"/>
              </w:rPr>
              <w:t>2</w:t>
            </w:r>
          </w:p>
        </w:tc>
        <w:tc>
          <w:tcPr>
            <w:tcW w:w="7723" w:type="dxa"/>
            <w:vAlign w:val="center"/>
          </w:tcPr>
          <w:p w14:paraId="329552D7">
            <w:pPr>
              <w:rPr>
                <w:rFonts w:ascii="仿宋" w:hAnsi="仿宋" w:eastAsia="仿宋" w:cs="仿宋"/>
                <w:szCs w:val="21"/>
                <w:highlight w:val="none"/>
              </w:rPr>
            </w:pPr>
            <w:r>
              <w:rPr>
                <w:rFonts w:hint="eastAsia" w:ascii="仿宋" w:hAnsi="仿宋" w:eastAsia="仿宋" w:cs="仿宋"/>
                <w:b/>
                <w:bCs/>
                <w:szCs w:val="21"/>
                <w:highlight w:val="none"/>
              </w:rPr>
              <w:t>[客观分]</w:t>
            </w:r>
            <w:r>
              <w:rPr>
                <w:rFonts w:hint="eastAsia" w:ascii="仿宋" w:hAnsi="仿宋" w:eastAsia="仿宋" w:cs="仿宋"/>
                <w:szCs w:val="21"/>
                <w:highlight w:val="none"/>
              </w:rPr>
              <w:t>抽样团队人员数量：＜4人0分、[4,6)人1分、≥6人2分</w:t>
            </w:r>
          </w:p>
        </w:tc>
      </w:tr>
    </w:tbl>
    <w:p w14:paraId="337D0F0D">
      <w:pPr>
        <w:widowControl/>
        <w:adjustRightInd w:val="0"/>
        <w:snapToGrid w:val="0"/>
        <w:spacing w:line="288" w:lineRule="auto"/>
        <w:ind w:left="0" w:leftChars="0" w:right="0" w:rightChars="0" w:firstLine="0" w:firstLineChars="0"/>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4ADDA09A">
      <w:pPr>
        <w:adjustRightInd w:val="0"/>
        <w:snapToGrid w:val="0"/>
        <w:spacing w:line="288" w:lineRule="auto"/>
        <w:ind w:left="0" w:leftChars="0" w:right="0" w:rightChars="0" w:firstLine="0" w:firstLineChars="0"/>
        <w:jc w:val="center"/>
        <w:outlineLvl w:val="0"/>
        <w:rPr>
          <w:rFonts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14:paraId="63E5A8BF">
      <w:pPr>
        <w:spacing w:line="288" w:lineRule="auto"/>
        <w:jc w:val="center"/>
        <w:outlineLvl w:val="1"/>
        <w:rPr>
          <w:rFonts w:hint="eastAsia" w:ascii="仿宋" w:hAnsi="仿宋" w:eastAsia="仿宋" w:cs="仿宋"/>
          <w:b/>
          <w:sz w:val="24"/>
          <w:szCs w:val="24"/>
          <w:highlight w:val="none"/>
        </w:rPr>
      </w:pPr>
      <w:bookmarkStart w:id="46" w:name="_Toc496796639"/>
      <w:r>
        <w:rPr>
          <w:rFonts w:hint="eastAsia" w:ascii="仿宋" w:hAnsi="仿宋" w:eastAsia="仿宋" w:cs="仿宋"/>
          <w:b/>
          <w:sz w:val="24"/>
          <w:szCs w:val="24"/>
          <w:highlight w:val="none"/>
        </w:rPr>
        <w:t>浙江省市场监督管理局产品质量安全监管技术服务采购合同</w:t>
      </w:r>
      <w:bookmarkEnd w:id="46"/>
    </w:p>
    <w:p w14:paraId="45491D55">
      <w:pPr>
        <w:snapToGrid w:val="0"/>
        <w:spacing w:line="288" w:lineRule="auto"/>
        <w:ind w:left="0" w:leftChars="0" w:firstLine="6300" w:firstLineChars="3000"/>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政采云合同编号</w:t>
      </w:r>
      <w:r>
        <w:rPr>
          <w:rFonts w:hint="eastAsia" w:ascii="仿宋" w:hAnsi="仿宋" w:eastAsia="仿宋" w:cs="仿宋"/>
          <w:snapToGrid w:val="0"/>
          <w:szCs w:val="21"/>
          <w:highlight w:val="none"/>
          <w:lang w:eastAsia="zh-CN"/>
        </w:rPr>
        <w:t>：</w:t>
      </w:r>
      <w:r>
        <w:rPr>
          <w:rFonts w:hint="eastAsia" w:ascii="仿宋" w:hAnsi="仿宋" w:eastAsia="仿宋" w:cs="仿宋"/>
          <w:snapToGrid w:val="0"/>
          <w:szCs w:val="21"/>
          <w:highlight w:val="none"/>
          <w:lang w:val="en-US" w:eastAsia="zh-CN"/>
        </w:rPr>
        <w:t xml:space="preserve">                        </w:t>
      </w:r>
    </w:p>
    <w:p w14:paraId="42746366">
      <w:pPr>
        <w:snapToGrid w:val="0"/>
        <w:spacing w:line="288" w:lineRule="auto"/>
        <w:ind w:left="0" w:leftChars="0" w:firstLine="6300" w:firstLineChars="3000"/>
        <w:rPr>
          <w:rFonts w:hint="default" w:ascii="仿宋" w:hAnsi="仿宋" w:eastAsia="仿宋" w:cs="仿宋"/>
          <w:snapToGrid w:val="0"/>
          <w:szCs w:val="21"/>
          <w:highlight w:val="none"/>
          <w:lang w:val="en-US" w:eastAsia="zh-CN"/>
        </w:rPr>
      </w:pPr>
      <w:r>
        <w:rPr>
          <w:rFonts w:hint="eastAsia" w:ascii="仿宋" w:hAnsi="仿宋" w:eastAsia="仿宋" w:cs="仿宋"/>
          <w:snapToGrid w:val="0"/>
          <w:szCs w:val="21"/>
          <w:highlight w:val="none"/>
        </w:rPr>
        <w:t>合同编号：</w:t>
      </w:r>
      <w:r>
        <w:rPr>
          <w:rFonts w:hint="eastAsia" w:ascii="仿宋" w:hAnsi="仿宋" w:eastAsia="仿宋" w:cs="仿宋"/>
          <w:snapToGrid w:val="0"/>
          <w:szCs w:val="21"/>
          <w:highlight w:val="none"/>
          <w:lang w:val="en-US" w:eastAsia="zh-CN"/>
        </w:rPr>
        <w:t xml:space="preserve">                        </w:t>
      </w:r>
    </w:p>
    <w:p w14:paraId="4B0B8A44">
      <w:pPr>
        <w:snapToGrid w:val="0"/>
        <w:spacing w:line="288" w:lineRule="auto"/>
        <w:ind w:firstLine="420" w:firstLineChars="200"/>
        <w:rPr>
          <w:rFonts w:ascii="仿宋" w:hAnsi="仿宋" w:eastAsia="仿宋" w:cs="仿宋"/>
          <w:snapToGrid w:val="0"/>
          <w:szCs w:val="21"/>
          <w:highlight w:val="none"/>
        </w:rPr>
      </w:pPr>
      <w:r>
        <w:rPr>
          <w:rFonts w:hint="eastAsia" w:ascii="仿宋" w:hAnsi="仿宋" w:eastAsia="仿宋" w:cs="仿宋"/>
          <w:snapToGrid w:val="0"/>
          <w:szCs w:val="21"/>
          <w:highlight w:val="none"/>
        </w:rPr>
        <w:t>甲方（采购人）：浙江省市场监督管理局</w:t>
      </w:r>
    </w:p>
    <w:p w14:paraId="18094157">
      <w:pPr>
        <w:snapToGrid w:val="0"/>
        <w:spacing w:line="288" w:lineRule="auto"/>
        <w:ind w:firstLine="420" w:firstLineChars="200"/>
        <w:rPr>
          <w:rFonts w:ascii="仿宋" w:hAnsi="仿宋" w:eastAsia="仿宋" w:cs="仿宋"/>
          <w:snapToGrid w:val="0"/>
          <w:szCs w:val="21"/>
          <w:highlight w:val="none"/>
        </w:rPr>
      </w:pPr>
      <w:r>
        <w:rPr>
          <w:rFonts w:hint="eastAsia" w:ascii="仿宋" w:hAnsi="仿宋" w:eastAsia="仿宋" w:cs="仿宋"/>
          <w:snapToGrid w:val="0"/>
          <w:szCs w:val="21"/>
          <w:highlight w:val="none"/>
        </w:rPr>
        <w:t>乙方（服务方）：</w:t>
      </w:r>
    </w:p>
    <w:p w14:paraId="76F60B44">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napToGrid w:val="0"/>
          <w:sz w:val="21"/>
          <w:szCs w:val="21"/>
          <w:highlight w:val="none"/>
        </w:rPr>
      </w:pPr>
      <w:r>
        <w:rPr>
          <w:rFonts w:hint="eastAsia" w:ascii="仿宋" w:hAnsi="仿宋" w:eastAsia="仿宋" w:cs="仿宋"/>
          <w:snapToGrid w:val="0"/>
          <w:szCs w:val="21"/>
          <w:highlight w:val="none"/>
        </w:rPr>
        <w:t>依照《中华人民共和国政府采购法》《中华人民共和国民法典》等有关法律法规的规定，浙江省市场监督管理局委托</w:t>
      </w:r>
      <w:r>
        <w:rPr>
          <w:rFonts w:hint="eastAsia" w:ascii="仿宋" w:hAnsi="仿宋" w:eastAsia="仿宋" w:cs="仿宋"/>
          <w:snapToGrid w:val="0"/>
          <w:szCs w:val="21"/>
          <w:highlight w:val="none"/>
          <w:u w:val="single"/>
          <w:lang w:val="en-US" w:eastAsia="zh-CN"/>
        </w:rPr>
        <w:t xml:space="preserve"> 浙江求是招标代理有限公司 </w:t>
      </w:r>
      <w:r>
        <w:rPr>
          <w:rFonts w:hint="eastAsia" w:ascii="仿宋" w:hAnsi="仿宋" w:eastAsia="仿宋" w:cs="仿宋"/>
          <w:snapToGrid w:val="0"/>
          <w:szCs w:val="21"/>
          <w:highlight w:val="none"/>
        </w:rPr>
        <w:t>就其关于项目编号为</w:t>
      </w:r>
      <w:r>
        <w:rPr>
          <w:rFonts w:hint="eastAsia" w:ascii="仿宋" w:hAnsi="仿宋" w:eastAsia="仿宋" w:cs="仿宋"/>
          <w:snapToGrid w:val="0"/>
          <w:szCs w:val="21"/>
          <w:highlight w:val="none"/>
          <w:u w:val="single"/>
          <w:lang w:val="en-US" w:eastAsia="zh-CN"/>
        </w:rPr>
        <w:t xml:space="preserve"> QSZB-Z(F)-H25102(GK) </w:t>
      </w:r>
      <w:r>
        <w:rPr>
          <w:rFonts w:hint="eastAsia" w:ascii="仿宋" w:hAnsi="仿宋" w:eastAsia="仿宋" w:cs="仿宋"/>
          <w:snapToGrid w:val="0"/>
          <w:szCs w:val="21"/>
          <w:highlight w:val="none"/>
        </w:rPr>
        <w:t>的产品质量安全监管技术服务采购项目进行招标采购，确定乙方为</w:t>
      </w:r>
      <w:r>
        <w:rPr>
          <w:rFonts w:hint="eastAsia" w:ascii="仿宋" w:hAnsi="仿宋" w:eastAsia="仿宋" w:cs="仿宋"/>
          <w:snapToGrid w:val="0"/>
          <w:szCs w:val="21"/>
          <w:highlight w:val="none"/>
          <w:u w:val="single"/>
          <w:lang w:val="en-US" w:eastAsia="zh-CN"/>
        </w:rPr>
        <w:t xml:space="preserve">          </w:t>
      </w:r>
      <w:r>
        <w:rPr>
          <w:rFonts w:hint="eastAsia" w:ascii="仿宋" w:hAnsi="仿宋" w:eastAsia="仿宋" w:cs="仿宋"/>
          <w:snapToGrid w:val="0"/>
          <w:szCs w:val="21"/>
          <w:highlight w:val="none"/>
        </w:rPr>
        <w:t>的服务单位，经双方协商，达成以</w:t>
      </w:r>
      <w:r>
        <w:rPr>
          <w:rFonts w:hint="eastAsia" w:ascii="仿宋" w:hAnsi="仿宋" w:eastAsia="仿宋" w:cs="仿宋"/>
          <w:snapToGrid w:val="0"/>
          <w:sz w:val="21"/>
          <w:szCs w:val="21"/>
          <w:highlight w:val="none"/>
        </w:rPr>
        <w:t>下条款。具体如下：</w:t>
      </w:r>
    </w:p>
    <w:p w14:paraId="6C6F6919">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textAlignment w:val="auto"/>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第一条 委托业务内容</w:t>
      </w:r>
    </w:p>
    <w:p w14:paraId="7B00606D">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b/>
          <w:bCs/>
          <w:sz w:val="21"/>
          <w:szCs w:val="21"/>
          <w:highlight w:val="none"/>
        </w:rPr>
      </w:pPr>
      <w:r>
        <w:rPr>
          <w:rFonts w:hint="eastAsia" w:ascii="仿宋" w:hAnsi="仿宋" w:eastAsia="仿宋" w:cs="仿宋"/>
          <w:kern w:val="0"/>
          <w:sz w:val="21"/>
          <w:szCs w:val="21"/>
          <w:highlight w:val="none"/>
        </w:rPr>
        <w:t>甲方委托乙方进行委托业务的内容如下：</w:t>
      </w:r>
    </w:p>
    <w:p w14:paraId="45A0610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在甲方要求的时间内，按照《产品质量监督抽查管理暂行办法》《浙江省产品质量监督抽查工作实施办法（试行）》，相关的监督抽查方案、判定依据（实施细则）要求，完成抽样、检验、抽检结果寄送并通过“浙江省产品质量智慧监管平台”完成结果数据上报等工作。</w:t>
      </w:r>
    </w:p>
    <w:p w14:paraId="1F1C16A9">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2.在甲方要求的时间内，按甲方要求完成产品质量检情分析报告、抽查结果寄送汇总表、产业情况分析报告等相关工作。</w:t>
      </w:r>
    </w:p>
    <w:p w14:paraId="2DEE8B4C">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iCs/>
          <w:kern w:val="0"/>
          <w:sz w:val="21"/>
          <w:szCs w:val="21"/>
          <w:highlight w:val="none"/>
        </w:rPr>
      </w:pPr>
      <w:r>
        <w:rPr>
          <w:rFonts w:hint="eastAsia" w:ascii="仿宋" w:hAnsi="仿宋" w:eastAsia="仿宋" w:cs="仿宋"/>
          <w:iCs/>
          <w:kern w:val="0"/>
          <w:sz w:val="21"/>
          <w:szCs w:val="21"/>
          <w:highlight w:val="none"/>
        </w:rPr>
        <w:t>3.按甲方要求完成异议复检、</w:t>
      </w:r>
      <w:r>
        <w:rPr>
          <w:rFonts w:hint="eastAsia" w:ascii="仿宋" w:hAnsi="仿宋" w:eastAsia="仿宋" w:cs="仿宋"/>
          <w:kern w:val="28"/>
          <w:sz w:val="21"/>
          <w:szCs w:val="21"/>
          <w:highlight w:val="none"/>
        </w:rPr>
        <w:t>整改复查</w:t>
      </w:r>
      <w:r>
        <w:rPr>
          <w:rFonts w:hint="eastAsia" w:ascii="仿宋" w:hAnsi="仿宋" w:eastAsia="仿宋" w:cs="仿宋"/>
          <w:iCs/>
          <w:kern w:val="0"/>
          <w:sz w:val="21"/>
          <w:szCs w:val="21"/>
          <w:highlight w:val="none"/>
        </w:rPr>
        <w:t>，不合格产品整改复查及样品保存、处置工作。</w:t>
      </w:r>
    </w:p>
    <w:p w14:paraId="16D2ED29">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第二条 甲方的权利与义务</w:t>
      </w:r>
    </w:p>
    <w:p w14:paraId="612DF26C">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1.负责任务的下达。根据任务安排下达任务文件，明确工作时限、内容、要求及纪律；提供抽查工作所需相关文书，为乙方提供相关业务咨询。</w:t>
      </w:r>
    </w:p>
    <w:p w14:paraId="0F4AC7C6">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2.维护并完善监督抽查信息化系统。</w:t>
      </w:r>
    </w:p>
    <w:p w14:paraId="26DB3DBD">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3.甲方有权随时向乙方了解项目进度，并要求乙方提供项目相关资料。</w:t>
      </w:r>
    </w:p>
    <w:p w14:paraId="15FE7184">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5CDE5185">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5.甲方有权在乙方履行合同过程中出现损害或可能损害公共利益、公共安全情形时终止本合同。</w:t>
      </w:r>
    </w:p>
    <w:p w14:paraId="3F17889B">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6.甲方有权根据国家政策或法律法规的变动对服务项目的需求标准和质量要求作出相应变动或者取消项目。</w:t>
      </w:r>
    </w:p>
    <w:p w14:paraId="5A36B9FF">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7.甲方应当按照合同验收结果及时向乙方支付相关服务费用。甲方有权对项目资金使用情况进行监督、检查，并要求乙方提供相关资料。</w:t>
      </w:r>
    </w:p>
    <w:p w14:paraId="1C7C5DBE">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8.甲方有权将乙方履行合同情况及不符合政府购买服务管理规定情况，向相关部门报告并纳入不良信用记录、年检（报）、评估、执法等监管体系中。</w:t>
      </w:r>
    </w:p>
    <w:p w14:paraId="2F88D87D">
      <w:pPr>
        <w:pStyle w:val="2"/>
        <w:keepNext w:val="0"/>
        <w:keepLines w:val="0"/>
        <w:pageBreakBefore w:val="0"/>
        <w:kinsoku/>
        <w:wordWrap/>
        <w:overflowPunct/>
        <w:topLinePunct w:val="0"/>
        <w:autoSpaceDE/>
        <w:autoSpaceDN/>
        <w:bidi w:val="0"/>
        <w:snapToGrid w:val="0"/>
        <w:spacing w:line="288" w:lineRule="auto"/>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9.</w:t>
      </w:r>
      <w:r>
        <w:rPr>
          <w:rFonts w:hint="eastAsia" w:ascii="仿宋" w:hAnsi="仿宋" w:eastAsia="仿宋" w:cs="仿宋"/>
          <w:sz w:val="21"/>
          <w:szCs w:val="21"/>
          <w:highlight w:val="none"/>
          <w:lang w:val="zh-CN"/>
        </w:rPr>
        <w:t>甲方有权根据客观事实及工作实际要求对本合同进行调整和变更，调整和变更情况应当及时告知乙方，乙方如有不同意见应及时书面反馈，最终变更结果以双方商定结果为准。</w:t>
      </w:r>
    </w:p>
    <w:p w14:paraId="1C20C0EF">
      <w:pPr>
        <w:pStyle w:val="2"/>
        <w:keepNext w:val="0"/>
        <w:keepLines w:val="0"/>
        <w:pageBreakBefore w:val="0"/>
        <w:kinsoku/>
        <w:wordWrap/>
        <w:overflowPunct/>
        <w:topLinePunct w:val="0"/>
        <w:autoSpaceDE/>
        <w:autoSpaceDN/>
        <w:bidi w:val="0"/>
        <w:snapToGrid w:val="0"/>
        <w:spacing w:line="288"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10.尾款支付后，乙方未按甲方要求履行合同要求的整改复查及样品保存、处置等工作，甲方有权进行通报批评。</w:t>
      </w:r>
    </w:p>
    <w:p w14:paraId="4D2AAD6B">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第三条 乙方的权利与义务</w:t>
      </w:r>
    </w:p>
    <w:p w14:paraId="13BD7A16">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1.乙方应按照相关法律法规，部门规章，招标文件、本合同约定等要求完成项目。</w:t>
      </w:r>
    </w:p>
    <w:p w14:paraId="63C59D18">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2.乙方应全面履行本项目实施过程中的相关安全管理职责，因乙方未尽到管理职责发生安全事故的，由乙方承担相应的法律责任。</w:t>
      </w:r>
    </w:p>
    <w:p w14:paraId="280617B4">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3.乙方承诺根据本合同提供的服务及相关的软件和技术资料，均已取得有关知识产权的权利人的合法授权。如发生涉及到专利权、著作权、商标权等争议，乙方负责处理并承担由此引起的全部法律及经济责任。</w:t>
      </w:r>
    </w:p>
    <w:p w14:paraId="1C3CF8F9">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4.乙方应对项目资金进行规范的财务管理和会计核算，加强自身监督，确保资金规范管理和使用。</w:t>
      </w:r>
    </w:p>
    <w:p w14:paraId="1FC3F4B7">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14:paraId="600FF887">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乙方应建立抽样人员随机选派制度和相应的随机选派的工作机制，按照甲方的有关规定合理安排抽样检验进度，保证抽检工作质量和效率。及时报送甲方所需材料，对于无法按时上报的情况应事先向甲方书面说明情况。</w:t>
      </w:r>
    </w:p>
    <w:p w14:paraId="0812B94C">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7.乙方应建立健全财务管理与报告制度，按要求向甲方提供资金的使用情况、项目执行情况、成果总结等材料，并配合甲方及甲方组织的监督检查或绩效评价。</w:t>
      </w:r>
    </w:p>
    <w:p w14:paraId="56436ECF">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8.乙方在规定期限内且不影响整体检验进度的前提下，若所抽样品不符合抽样检验要求或者因包装邮寄过失等造成样品失效，无法完成检验的，要及时与被抽查企业沟通，完成退样和补抽的工作，由此产生的费用由乙方承担。</w:t>
      </w:r>
    </w:p>
    <w:p w14:paraId="167CDD9D">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9.严格遵守国家法律、法规的规定和抽检工作有关纪律要求。按财政和甲方关于经费使用的各项规定进行经费管理；接受并配合甲方对抽检工作质量考核、任务完成情况及经费使用情况的检查，对于甲方指出的问题，应及时作出合理解释或予以纠正。</w:t>
      </w:r>
    </w:p>
    <w:p w14:paraId="0EB21BE7">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10</w:t>
      </w:r>
      <w:r>
        <w:rPr>
          <w:rFonts w:hint="eastAsia" w:ascii="仿宋" w:hAnsi="仿宋" w:eastAsia="仿宋" w:cs="仿宋"/>
          <w:sz w:val="21"/>
          <w:szCs w:val="21"/>
          <w:highlight w:val="none"/>
          <w:lang w:val="zh-CN"/>
        </w:rPr>
        <w:t>.乙方在实施承担任务过程中如取得重大进展、重要突破或发生其他重大事项，应及时向甲方报告；如因遭遇不可抗力或其他因素影响项目任务的正常执行进度，致使承担任务需要调整时，乙方应当及时向甲方提交书面报告，经甲方确定处理意见后执行。</w:t>
      </w:r>
    </w:p>
    <w:p w14:paraId="58F5D8A5">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11.尾款支付后，乙方仍应当按合同及甲方的要求履行本次任务涉及产品的整改复查及样品处置工作。</w:t>
      </w:r>
    </w:p>
    <w:p w14:paraId="5B0B3049">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12.如有联合体等多家单位合作完成的情况，联合体各方应对本合同项下的义务承担连带责任。如果一方未能履行义务，则另一方需履行另一方不履行的义务。</w:t>
      </w:r>
    </w:p>
    <w:p w14:paraId="675BDD1E">
      <w:pPr>
        <w:keepNext w:val="0"/>
        <w:keepLines w:val="0"/>
        <w:pageBreakBefore w:val="0"/>
        <w:kinsoku/>
        <w:wordWrap/>
        <w:overflowPunct/>
        <w:topLinePunct w:val="0"/>
        <w:autoSpaceDE/>
        <w:autoSpaceDN/>
        <w:bidi w:val="0"/>
        <w:snapToGrid w:val="0"/>
        <w:spacing w:line="288" w:lineRule="auto"/>
        <w:ind w:firstLine="398" w:firstLineChars="189"/>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第四条 验收方与验收标准</w:t>
      </w:r>
    </w:p>
    <w:p w14:paraId="76D7F39F">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1.甲方或甲方委托的其他机构应及时对乙方提供的服务进行验收。验收时乙方应派员参加，共同对验收结果进行确认，并承担相关责任。</w:t>
      </w:r>
    </w:p>
    <w:p w14:paraId="41FBC706">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2.验收程序及标准：</w:t>
      </w:r>
    </w:p>
    <w:p w14:paraId="7E4D7FE6">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（1）验收程序</w:t>
      </w:r>
    </w:p>
    <w:p w14:paraId="06A0576C">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甲方或甲方依法委托的其他机构组织验收小组，原则上应由三人以上单数组成，并明确负责人。还可以邀请政府采购专家等熟悉掌握政府采购事项的人员组成。</w:t>
      </w:r>
    </w:p>
    <w:p w14:paraId="2A0A2718">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验收小组负责验收方案的制定、验收工作的安排以及验收人员的组织工作、验收单或验收报告的编制工作。其工作情况代表采购人履行验收工作职责。验收小组的负责人视具体情况也可根据其他成员的建议决定召集成员并布置任务。</w:t>
      </w:r>
    </w:p>
    <w:p w14:paraId="17340E33">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验收小组成员应当在实施验收前完全掌握验收合同服务项目质量标准要求和乙方的响应承诺情况，并完成实施验收所需要的其他准备工作。</w:t>
      </w:r>
    </w:p>
    <w:p w14:paraId="10D77BEB">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验收小组完成验收后，应当出具验收报告。验收报告的内容应包括：实施验收过程基本情况陈述，采购项目验收情况介绍，对乙方履约情况与政府采购合同、采购文件规定要求以及乙方投标文件响应承诺情况进行比较，最后得出验收结论性意见。</w:t>
      </w:r>
    </w:p>
    <w:p w14:paraId="27B0B637">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验收小组完成验收后应出具验收单，验收小组成员要在验收单上签署验收意见。</w:t>
      </w:r>
    </w:p>
    <w:p w14:paraId="1BE40531">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乙方凭验收报告（或验收单）向甲方申请付款，甲方根据验收结论，确定是否可以付款。</w:t>
      </w:r>
    </w:p>
    <w:p w14:paraId="597F8418">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1）乙方完全符合甲方需求，验收结果为A类的，甲方按合同约定的付款方式，支付合同价款；</w:t>
      </w:r>
    </w:p>
    <w:p w14:paraId="1A63BEE7">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2）乙方工作存在问题，能及时整改并符合甲方需求的，验收结果为B类的，甲方按合同约定的付款方式，支付合同价款。</w:t>
      </w:r>
    </w:p>
    <w:p w14:paraId="56B5E286">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3）乙方工作存在问题，无法符合甲方需求，验收结果为C类的，甲方按合同约定的付款方式时，酌情扣除相应费用</w:t>
      </w:r>
      <w:bookmarkStart w:id="47" w:name="_Hlk168579318"/>
      <w:r>
        <w:rPr>
          <w:rFonts w:hint="eastAsia" w:ascii="仿宋" w:hAnsi="仿宋" w:eastAsia="仿宋" w:cs="仿宋"/>
          <w:sz w:val="21"/>
          <w:szCs w:val="21"/>
          <w:highlight w:val="none"/>
        </w:rPr>
        <w:t>（包含已支付服务费用）</w:t>
      </w:r>
      <w:bookmarkEnd w:id="47"/>
      <w:r>
        <w:rPr>
          <w:rFonts w:hint="eastAsia" w:ascii="仿宋" w:hAnsi="仿宋" w:eastAsia="仿宋" w:cs="仿宋"/>
          <w:sz w:val="21"/>
          <w:szCs w:val="21"/>
          <w:highlight w:val="none"/>
        </w:rPr>
        <w:t>，并视情况对乙方通报批评。</w:t>
      </w:r>
    </w:p>
    <w:p w14:paraId="09D612D1">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4）乙方工作存在严重质量问题，验收结果为D类的，甲方不予付款，乙方需退回第一期、第二期支付的服务费用。甲方并给予乙方通报批评。给甲方造成损失的，乙方应当承担赔偿责任。</w:t>
      </w:r>
    </w:p>
    <w:p w14:paraId="0C40241A">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验收标准：根据效力从高到低分别为：国家法律法规条例、国家强制性标准要求、政府采购合同约定、投标文件承诺、评标过程中形成的文字资料、询标纪要、招标文件。当两个或以上部分标准不一致时，以效力高的为准。具体由验收小组制定验收方案时另行确定。</w:t>
      </w:r>
    </w:p>
    <w:p w14:paraId="031304F0">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第五条 服务期限</w:t>
      </w:r>
    </w:p>
    <w:p w14:paraId="493025CA">
      <w:pPr>
        <w:pStyle w:val="2"/>
        <w:keepNext w:val="0"/>
        <w:keepLines w:val="0"/>
        <w:pageBreakBefore w:val="0"/>
        <w:kinsoku/>
        <w:wordWrap/>
        <w:overflowPunct/>
        <w:topLinePunct w:val="0"/>
        <w:autoSpaceDE/>
        <w:autoSpaceDN/>
        <w:bidi w:val="0"/>
        <w:snapToGrid w:val="0"/>
        <w:spacing w:line="288" w:lineRule="auto"/>
        <w:textAlignment w:val="auto"/>
        <w:rPr>
          <w:rFonts w:hint="eastAsia" w:ascii="仿宋" w:hAnsi="仿宋" w:eastAsia="仿宋" w:cs="仿宋"/>
          <w:sz w:val="21"/>
          <w:szCs w:val="21"/>
          <w:highlight w:val="none"/>
        </w:rPr>
      </w:pPr>
      <w:r>
        <w:rPr>
          <w:rFonts w:hint="eastAsia" w:ascii="仿宋" w:hAnsi="仿宋" w:eastAsia="仿宋" w:cs="仿宋"/>
          <w:iCs/>
          <w:kern w:val="0"/>
          <w:sz w:val="21"/>
          <w:szCs w:val="21"/>
          <w:highlight w:val="none"/>
        </w:rPr>
        <w:t>乙方服务期限：合同签订之日起至</w:t>
      </w:r>
      <w:r>
        <w:rPr>
          <w:rFonts w:hint="eastAsia" w:ascii="仿宋" w:hAnsi="仿宋" w:eastAsia="仿宋" w:cs="仿宋"/>
          <w:iCs/>
          <w:kern w:val="0"/>
          <w:sz w:val="21"/>
          <w:szCs w:val="21"/>
          <w:highlight w:val="none"/>
          <w:lang w:val="en-US" w:eastAsia="zh-CN"/>
        </w:rPr>
        <w:t xml:space="preserve">  </w:t>
      </w:r>
      <w:r>
        <w:rPr>
          <w:rFonts w:hint="eastAsia" w:ascii="仿宋" w:hAnsi="仿宋" w:eastAsia="仿宋" w:cs="仿宋"/>
          <w:iCs/>
          <w:kern w:val="0"/>
          <w:sz w:val="21"/>
          <w:szCs w:val="21"/>
          <w:highlight w:val="none"/>
        </w:rPr>
        <w:t>年</w:t>
      </w:r>
      <w:r>
        <w:rPr>
          <w:rFonts w:hint="eastAsia" w:ascii="仿宋" w:hAnsi="仿宋" w:eastAsia="仿宋" w:cs="仿宋"/>
          <w:iCs/>
          <w:kern w:val="0"/>
          <w:sz w:val="21"/>
          <w:szCs w:val="21"/>
          <w:highlight w:val="none"/>
          <w:lang w:val="en-US" w:eastAsia="zh-CN"/>
        </w:rPr>
        <w:t xml:space="preserve">  </w:t>
      </w:r>
      <w:r>
        <w:rPr>
          <w:rFonts w:hint="eastAsia" w:ascii="仿宋" w:hAnsi="仿宋" w:eastAsia="仿宋" w:cs="仿宋"/>
          <w:iCs/>
          <w:kern w:val="0"/>
          <w:sz w:val="21"/>
          <w:szCs w:val="21"/>
          <w:highlight w:val="none"/>
        </w:rPr>
        <w:t>月</w:t>
      </w:r>
      <w:r>
        <w:rPr>
          <w:rFonts w:hint="eastAsia" w:ascii="仿宋" w:hAnsi="仿宋" w:eastAsia="仿宋" w:cs="仿宋"/>
          <w:iCs/>
          <w:kern w:val="0"/>
          <w:sz w:val="21"/>
          <w:szCs w:val="21"/>
          <w:highlight w:val="none"/>
          <w:lang w:val="en-US" w:eastAsia="zh-CN"/>
        </w:rPr>
        <w:t xml:space="preserve">  </w:t>
      </w:r>
      <w:r>
        <w:rPr>
          <w:rFonts w:hint="eastAsia" w:ascii="仿宋" w:hAnsi="仿宋" w:eastAsia="仿宋" w:cs="仿宋"/>
          <w:iCs/>
          <w:kern w:val="0"/>
          <w:sz w:val="21"/>
          <w:szCs w:val="21"/>
          <w:highlight w:val="none"/>
        </w:rPr>
        <w:t>日。</w:t>
      </w:r>
    </w:p>
    <w:p w14:paraId="7D100580">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第六条 费用与支付方式</w:t>
      </w:r>
    </w:p>
    <w:p w14:paraId="27F4EA45">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1.抽检服务费用：</w:t>
      </w:r>
      <w:r>
        <w:rPr>
          <w:rFonts w:hint="eastAsia" w:ascii="仿宋" w:hAnsi="仿宋" w:eastAsia="仿宋" w:cs="仿宋"/>
          <w:snapToGrid w:val="0"/>
          <w:sz w:val="21"/>
          <w:szCs w:val="21"/>
          <w:highlight w:val="none"/>
        </w:rPr>
        <w:t>签约服务经费</w:t>
      </w:r>
      <w:r>
        <w:rPr>
          <w:rFonts w:hint="eastAsia" w:ascii="仿宋" w:hAnsi="仿宋" w:eastAsia="仿宋" w:cs="仿宋"/>
          <w:sz w:val="21"/>
          <w:szCs w:val="21"/>
          <w:highlight w:val="none"/>
        </w:rPr>
        <w:t>中标单价为</w:t>
      </w:r>
      <w:r>
        <w:rPr>
          <w:rFonts w:hint="eastAsia" w:ascii="仿宋" w:hAnsi="仿宋" w:eastAsia="仿宋" w:cs="仿宋"/>
          <w:sz w:val="21"/>
          <w:szCs w:val="21"/>
          <w:highlight w:val="none"/>
          <w:lang w:val="en-US" w:eastAsia="zh-CN"/>
        </w:rPr>
        <w:t xml:space="preserve">  元</w:t>
      </w:r>
      <w:r>
        <w:rPr>
          <w:rFonts w:hint="eastAsia" w:ascii="仿宋" w:hAnsi="仿宋" w:eastAsia="仿宋" w:cs="仿宋"/>
          <w:sz w:val="21"/>
          <w:szCs w:val="21"/>
          <w:highlight w:val="none"/>
        </w:rPr>
        <w:t>/批次（大写：</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项目</w:t>
      </w:r>
      <w:r>
        <w:rPr>
          <w:rFonts w:hint="eastAsia" w:ascii="仿宋" w:hAnsi="仿宋" w:eastAsia="仿宋" w:cs="仿宋"/>
          <w:sz w:val="21"/>
          <w:szCs w:val="21"/>
          <w:highlight w:val="none"/>
        </w:rPr>
        <w:t>服务费</w:t>
      </w:r>
      <w:r>
        <w:rPr>
          <w:rFonts w:hint="eastAsia" w:ascii="仿宋" w:hAnsi="仿宋" w:eastAsia="仿宋" w:cs="仿宋"/>
          <w:snapToGrid w:val="0"/>
          <w:sz w:val="21"/>
          <w:szCs w:val="21"/>
          <w:highlight w:val="none"/>
        </w:rPr>
        <w:t>总</w:t>
      </w:r>
      <w:r>
        <w:rPr>
          <w:rFonts w:hint="eastAsia" w:ascii="仿宋" w:hAnsi="仿宋" w:eastAsia="仿宋" w:cs="仿宋"/>
          <w:sz w:val="21"/>
          <w:szCs w:val="21"/>
          <w:highlight w:val="none"/>
        </w:rPr>
        <w:t>额暂定为人民币</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元（大写：</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），最终</w:t>
      </w:r>
      <w:r>
        <w:rPr>
          <w:rFonts w:hint="eastAsia" w:ascii="仿宋" w:hAnsi="仿宋" w:eastAsia="仿宋" w:cs="仿宋"/>
          <w:sz w:val="21"/>
          <w:szCs w:val="21"/>
          <w:highlight w:val="none"/>
          <w:lang w:val="zh-CN"/>
        </w:rPr>
        <w:t>结算总价</w:t>
      </w:r>
      <w:r>
        <w:rPr>
          <w:rFonts w:hint="eastAsia" w:ascii="仿宋" w:hAnsi="仿宋" w:eastAsia="仿宋" w:cs="仿宋"/>
          <w:sz w:val="21"/>
          <w:szCs w:val="21"/>
          <w:highlight w:val="none"/>
        </w:rPr>
        <w:t>根据实际检验批次据实结算，但不高于人民币</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元（大写：</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zh-CN"/>
        </w:rPr>
        <w:t>。</w:t>
      </w:r>
    </w:p>
    <w:p w14:paraId="66F67001">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合同中有联合体等多家单位合作完成的情况，根据联合体合作单位商定，【  】承担   等产品相关工作，上述产品所涉及的服务费总额暂定为人民币  元（大写：   ），最终</w:t>
      </w:r>
      <w:r>
        <w:rPr>
          <w:rFonts w:hint="eastAsia" w:ascii="仿宋" w:hAnsi="仿宋" w:eastAsia="仿宋" w:cs="仿宋"/>
          <w:sz w:val="21"/>
          <w:szCs w:val="21"/>
          <w:highlight w:val="none"/>
          <w:lang w:val="zh-CN" w:eastAsia="zh-CN"/>
        </w:rPr>
        <w:t>结算总价</w:t>
      </w:r>
      <w:r>
        <w:rPr>
          <w:rFonts w:hint="eastAsia" w:ascii="仿宋" w:hAnsi="仿宋" w:eastAsia="仿宋" w:cs="仿宋"/>
          <w:sz w:val="21"/>
          <w:szCs w:val="21"/>
          <w:highlight w:val="none"/>
          <w:lang w:val="en-US" w:eastAsia="zh-CN"/>
        </w:rPr>
        <w:t>根据实际检验批次据实结算，但不高于人民币  元（大写：  ）；【  】承担  产品相关工作，上述产品所涉及的服务费总额暂定为人民币  元（大写：  ），最终</w:t>
      </w:r>
      <w:r>
        <w:rPr>
          <w:rFonts w:hint="eastAsia" w:ascii="仿宋" w:hAnsi="仿宋" w:eastAsia="仿宋" w:cs="仿宋"/>
          <w:sz w:val="21"/>
          <w:szCs w:val="21"/>
          <w:highlight w:val="none"/>
          <w:lang w:val="zh-CN" w:eastAsia="zh-CN"/>
        </w:rPr>
        <w:t>结算总价</w:t>
      </w:r>
      <w:r>
        <w:rPr>
          <w:rFonts w:hint="eastAsia" w:ascii="仿宋" w:hAnsi="仿宋" w:eastAsia="仿宋" w:cs="仿宋"/>
          <w:sz w:val="21"/>
          <w:szCs w:val="21"/>
          <w:highlight w:val="none"/>
          <w:lang w:val="en-US" w:eastAsia="zh-CN"/>
        </w:rPr>
        <w:t>根据实际检验批次据实结算，但不高于人民币  元（大写：  ）。</w:t>
      </w:r>
    </w:p>
    <w:p w14:paraId="7C1C393E">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备注：</w:t>
      </w:r>
    </w:p>
    <w:p w14:paraId="3FD2BA93">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CN" w:eastAsia="zh-CN"/>
        </w:rPr>
        <w:t>）实际工作中，实际应支付的抽检服务经费总额=中标单价×实际抽检批次数，双方核对确认后出具费用明细表。</w:t>
      </w:r>
    </w:p>
    <w:p w14:paraId="15B2E36D">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zh-CN"/>
        </w:rPr>
        <w:t>中标单价已包含</w:t>
      </w:r>
      <w:r>
        <w:rPr>
          <w:rFonts w:hint="eastAsia" w:ascii="仿宋" w:hAnsi="仿宋" w:eastAsia="仿宋" w:cs="仿宋"/>
          <w:sz w:val="21"/>
          <w:szCs w:val="21"/>
          <w:highlight w:val="none"/>
          <w:lang w:val="en-US" w:eastAsia="zh-CN"/>
        </w:rPr>
        <w:t>样品费用（含复检样品费用）</w:t>
      </w: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rPr>
        <w:t>检验费用、</w:t>
      </w:r>
      <w:r>
        <w:rPr>
          <w:rFonts w:hint="eastAsia" w:ascii="仿宋" w:hAnsi="仿宋" w:eastAsia="仿宋" w:cs="仿宋"/>
          <w:sz w:val="21"/>
          <w:szCs w:val="21"/>
          <w:highlight w:val="none"/>
          <w:lang w:val="zh-CN"/>
        </w:rPr>
        <w:t>复检费用、结果处置复查检验费用、样品处置费用、</w:t>
      </w:r>
      <w:r>
        <w:rPr>
          <w:rFonts w:hint="eastAsia" w:ascii="仿宋" w:hAnsi="仿宋" w:eastAsia="仿宋" w:cs="仿宋"/>
          <w:sz w:val="21"/>
          <w:szCs w:val="21"/>
          <w:highlight w:val="none"/>
        </w:rPr>
        <w:t>税金</w:t>
      </w:r>
      <w:r>
        <w:rPr>
          <w:rFonts w:hint="eastAsia" w:ascii="仿宋" w:hAnsi="仿宋" w:eastAsia="仿宋" w:cs="仿宋"/>
          <w:sz w:val="21"/>
          <w:szCs w:val="21"/>
          <w:highlight w:val="none"/>
          <w:lang w:val="zh-CN"/>
        </w:rPr>
        <w:t>等与本合同项下委托事项实施相关的全部费用，除双方另有约定，乙方不得再以其他任何理由向甲方主张其他费用。</w:t>
      </w:r>
    </w:p>
    <w:p w14:paraId="4F19855A">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2.支付方式：</w:t>
      </w:r>
      <w:r>
        <w:rPr>
          <w:rFonts w:hint="eastAsia" w:ascii="仿宋" w:hAnsi="仿宋" w:eastAsia="仿宋" w:cs="仿宋"/>
          <w:sz w:val="21"/>
          <w:szCs w:val="21"/>
          <w:highlight w:val="none"/>
          <w:lang w:val="zh-CN"/>
        </w:rPr>
        <w:t>分</w:t>
      </w:r>
      <w:r>
        <w:rPr>
          <w:rFonts w:hint="eastAsia" w:ascii="仿宋" w:hAnsi="仿宋" w:eastAsia="仿宋" w:cs="仿宋"/>
          <w:sz w:val="21"/>
          <w:szCs w:val="21"/>
          <w:highlight w:val="none"/>
        </w:rPr>
        <w:t>三</w:t>
      </w:r>
      <w:r>
        <w:rPr>
          <w:rFonts w:hint="eastAsia" w:ascii="仿宋" w:hAnsi="仿宋" w:eastAsia="仿宋" w:cs="仿宋"/>
          <w:sz w:val="21"/>
          <w:szCs w:val="21"/>
          <w:highlight w:val="none"/>
          <w:lang w:val="zh-CN"/>
        </w:rPr>
        <w:t>期付款。</w:t>
      </w:r>
    </w:p>
    <w:p w14:paraId="3F5E21B5">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rPr>
        <w:t>1）第一期支付：</w:t>
      </w:r>
      <w:r>
        <w:rPr>
          <w:rFonts w:hint="eastAsia" w:ascii="仿宋" w:hAnsi="仿宋" w:eastAsia="仿宋" w:cs="仿宋"/>
          <w:sz w:val="21"/>
          <w:szCs w:val="21"/>
          <w:highlight w:val="none"/>
          <w:lang w:val="zh-CN"/>
        </w:rPr>
        <w:t>合同签订后七个工作日内由甲方支付签约服务经费总额的</w:t>
      </w:r>
      <w:r>
        <w:rPr>
          <w:rFonts w:hint="eastAsia" w:ascii="仿宋" w:hAnsi="仿宋" w:eastAsia="仿宋" w:cs="仿宋"/>
          <w:sz w:val="21"/>
          <w:szCs w:val="21"/>
          <w:highlight w:val="none"/>
        </w:rPr>
        <w:t>60</w:t>
      </w:r>
      <w:r>
        <w:rPr>
          <w:rFonts w:hint="eastAsia" w:ascii="仿宋" w:hAnsi="仿宋" w:eastAsia="仿宋" w:cs="仿宋"/>
          <w:sz w:val="21"/>
          <w:szCs w:val="21"/>
          <w:highlight w:val="none"/>
          <w:lang w:val="zh-CN"/>
        </w:rPr>
        <w:t>%作为首期款。乙方需先行出具符合要求的正规发票给甲方，甲方收到乙方票据之日作为付款期限起算日。</w:t>
      </w:r>
    </w:p>
    <w:p w14:paraId="779E687E">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zh-CN"/>
        </w:rPr>
        <w:t>第</w:t>
      </w:r>
      <w:r>
        <w:rPr>
          <w:rFonts w:hint="eastAsia" w:ascii="仿宋" w:hAnsi="仿宋" w:eastAsia="仿宋" w:cs="仿宋"/>
          <w:sz w:val="21"/>
          <w:szCs w:val="21"/>
          <w:highlight w:val="none"/>
        </w:rPr>
        <w:t>二</w:t>
      </w:r>
      <w:r>
        <w:rPr>
          <w:rFonts w:hint="eastAsia" w:ascii="仿宋" w:hAnsi="仿宋" w:eastAsia="仿宋" w:cs="仿宋"/>
          <w:sz w:val="21"/>
          <w:szCs w:val="21"/>
          <w:highlight w:val="none"/>
          <w:lang w:val="zh-CN"/>
        </w:rPr>
        <w:t>期支付：</w:t>
      </w:r>
      <w:r>
        <w:rPr>
          <w:rFonts w:hint="eastAsia" w:ascii="仿宋" w:hAnsi="仿宋" w:eastAsia="仿宋" w:cs="仿宋"/>
          <w:sz w:val="21"/>
          <w:szCs w:val="21"/>
          <w:highlight w:val="none"/>
        </w:rPr>
        <w:t>乙方完成抽样环节的工作</w:t>
      </w:r>
      <w:r>
        <w:rPr>
          <w:rFonts w:hint="eastAsia" w:ascii="仿宋" w:hAnsi="仿宋" w:eastAsia="仿宋" w:cs="仿宋"/>
          <w:sz w:val="21"/>
          <w:szCs w:val="21"/>
          <w:highlight w:val="none"/>
          <w:lang w:val="zh-CN"/>
        </w:rPr>
        <w:t>时，甲方按</w:t>
      </w:r>
      <w:r>
        <w:rPr>
          <w:rFonts w:hint="eastAsia" w:ascii="仿宋" w:hAnsi="仿宋" w:eastAsia="仿宋" w:cs="仿宋"/>
          <w:sz w:val="21"/>
          <w:szCs w:val="21"/>
          <w:highlight w:val="none"/>
        </w:rPr>
        <w:t>预测算的抽检服务经费总额（中标单价×抽样批次数）的30%向乙方支付服务费用。如预测算的抽检服务经费总额在计算后已出现第三期拨付款金额小于零的情况，则不再进行第二期支付，待乙方完成项目验收后与乙方进行尾款结算，支付剩余经费。</w:t>
      </w:r>
    </w:p>
    <w:p w14:paraId="4CF0512A">
      <w:pPr>
        <w:pStyle w:val="2"/>
        <w:keepNext w:val="0"/>
        <w:keepLines w:val="0"/>
        <w:pageBreakBefore w:val="0"/>
        <w:kinsoku/>
        <w:wordWrap/>
        <w:overflowPunct/>
        <w:topLinePunct w:val="0"/>
        <w:autoSpaceDE/>
        <w:autoSpaceDN/>
        <w:bidi w:val="0"/>
        <w:snapToGrid w:val="0"/>
        <w:spacing w:line="288" w:lineRule="auto"/>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rPr>
        <w:t>3）第三期支付：</w:t>
      </w:r>
      <w:r>
        <w:rPr>
          <w:rFonts w:hint="eastAsia" w:ascii="仿宋" w:hAnsi="仿宋" w:eastAsia="仿宋" w:cs="仿宋"/>
          <w:sz w:val="21"/>
          <w:szCs w:val="21"/>
          <w:highlight w:val="none"/>
          <w:lang w:val="zh-CN"/>
        </w:rPr>
        <w:t>项目评审验收通过后，甲方向乙方支付合同的全部尾款，尾款</w:t>
      </w:r>
      <w:r>
        <w:rPr>
          <w:rFonts w:hint="eastAsia" w:ascii="仿宋" w:hAnsi="仿宋" w:eastAsia="仿宋" w:cs="仿宋"/>
          <w:sz w:val="21"/>
          <w:szCs w:val="21"/>
          <w:highlight w:val="none"/>
        </w:rPr>
        <w:t>金额=实际应支付的抽检服务经费总额（中标单价×实际抽检批次数）-第一</w:t>
      </w:r>
      <w:r>
        <w:rPr>
          <w:rFonts w:hint="eastAsia" w:ascii="仿宋" w:hAnsi="仿宋" w:eastAsia="仿宋" w:cs="仿宋"/>
          <w:sz w:val="21"/>
          <w:szCs w:val="21"/>
          <w:highlight w:val="none"/>
          <w:lang w:val="zh-CN"/>
        </w:rPr>
        <w:t>期已付款金额</w:t>
      </w:r>
      <w:r>
        <w:rPr>
          <w:rFonts w:hint="eastAsia" w:ascii="仿宋" w:hAnsi="仿宋" w:eastAsia="仿宋" w:cs="仿宋"/>
          <w:sz w:val="21"/>
          <w:szCs w:val="21"/>
          <w:highlight w:val="none"/>
        </w:rPr>
        <w:t>-第二</w:t>
      </w:r>
      <w:r>
        <w:rPr>
          <w:rFonts w:hint="eastAsia" w:ascii="仿宋" w:hAnsi="仿宋" w:eastAsia="仿宋" w:cs="仿宋"/>
          <w:sz w:val="21"/>
          <w:szCs w:val="21"/>
          <w:highlight w:val="none"/>
          <w:lang w:val="zh-CN"/>
        </w:rPr>
        <w:t>期已付款金额。甲方收到乙方出具符合要求的拨付材料后付清合同的剩余款项。如果计算得出的尾款金额小于零，乙方应当退还甲方预付的相应费用。尾款支付后，如有未完成事项，乙方应按招标文件或本合同约定执行。</w:t>
      </w:r>
    </w:p>
    <w:p w14:paraId="7A5309EC">
      <w:pPr>
        <w:pStyle w:val="2"/>
        <w:keepNext w:val="0"/>
        <w:keepLines w:val="0"/>
        <w:pageBreakBefore w:val="0"/>
        <w:kinsoku/>
        <w:wordWrap/>
        <w:overflowPunct/>
        <w:topLinePunct w:val="0"/>
        <w:autoSpaceDE/>
        <w:autoSpaceDN/>
        <w:bidi w:val="0"/>
        <w:snapToGrid w:val="0"/>
        <w:spacing w:line="288" w:lineRule="auto"/>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（4）甲方付款前，乙方应开具符合要求的发票，否则甲方有权拒绝付款，且不视为甲方违约。</w:t>
      </w:r>
    </w:p>
    <w:p w14:paraId="23520119">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bCs/>
          <w:kern w:val="0"/>
          <w:sz w:val="21"/>
          <w:szCs w:val="21"/>
          <w:highlight w:val="none"/>
          <w:lang w:val="zh-CN"/>
        </w:rPr>
      </w:pPr>
      <w:r>
        <w:rPr>
          <w:rFonts w:hint="eastAsia" w:ascii="仿宋" w:hAnsi="仿宋" w:eastAsia="仿宋" w:cs="仿宋"/>
          <w:b/>
          <w:bCs/>
          <w:kern w:val="0"/>
          <w:sz w:val="21"/>
          <w:szCs w:val="21"/>
          <w:highlight w:val="none"/>
          <w:lang w:val="zh-CN"/>
        </w:rPr>
        <w:t>第七条</w:t>
      </w:r>
      <w:r>
        <w:rPr>
          <w:rFonts w:hint="eastAsia" w:ascii="仿宋" w:hAnsi="仿宋" w:eastAsia="仿宋" w:cs="仿宋"/>
          <w:b/>
          <w:bCs/>
          <w:kern w:val="0"/>
          <w:sz w:val="21"/>
          <w:szCs w:val="21"/>
          <w:highlight w:val="none"/>
        </w:rPr>
        <w:t xml:space="preserve"> </w:t>
      </w:r>
      <w:r>
        <w:rPr>
          <w:rFonts w:hint="eastAsia" w:ascii="仿宋" w:hAnsi="仿宋" w:eastAsia="仿宋" w:cs="仿宋"/>
          <w:b/>
          <w:bCs/>
          <w:kern w:val="0"/>
          <w:sz w:val="21"/>
          <w:szCs w:val="21"/>
          <w:highlight w:val="none"/>
          <w:lang w:val="zh-CN"/>
        </w:rPr>
        <w:t>违约责任及纠纷解决</w:t>
      </w:r>
    </w:p>
    <w:p w14:paraId="6B6D52A8">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1.乙方应本着科学性、准确性和真实性原则执行项目任务；并按合同书约定的时间向甲方提交技术服务完成成果。如乙方未按时提交技术服务成果，或技术服务成果不符合甲方要求，影响甲方采用的，甲方有权单方面解除合同，过程中所产生的费用甲方将不予支付，并视情况进行通报。甲方视情况暂停乙方3年承担浙江省省级产品质量安全监管技术服务资格。甲方保留追究其法律责任的权利。</w:t>
      </w:r>
    </w:p>
    <w:p w14:paraId="6068AAAF">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2.因乙方虚假承诺而造成甲方损失或影响采购人整体抽样工作的，甲方有权单方面解除合同，过程中所产生的费用甲方将不予支付，禁止其3年内承担浙江省监督抽查任务，并保留追究其法律责任的权利。</w:t>
      </w:r>
    </w:p>
    <w:p w14:paraId="1F16CFA0">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zh-CN"/>
        </w:rPr>
        <w:t>乙方未在规定期限内完成任务的，向甲方支付合同金额的</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zh-CN"/>
        </w:rPr>
        <w:t>0%的违约金并视情况通报。</w:t>
      </w:r>
    </w:p>
    <w:p w14:paraId="5F69CFB3">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4.乙方提交的材料不符合甲方要求或者虚报数据，向甲方支付合同金额的</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zh-CN"/>
        </w:rPr>
        <w:t>0%的违约金并视情况通报。</w:t>
      </w:r>
    </w:p>
    <w:p w14:paraId="03CC0FA9">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5.乙方应严格按照投标文件中人员配置方案进行人员安排，未经甲方同意不得擅</w:t>
      </w:r>
      <w:r>
        <w:rPr>
          <w:rFonts w:hint="eastAsia" w:ascii="仿宋" w:hAnsi="仿宋" w:eastAsia="仿宋" w:cs="仿宋"/>
          <w:sz w:val="21"/>
          <w:szCs w:val="21"/>
          <w:highlight w:val="none"/>
        </w:rPr>
        <w:t>自更换人员。对存在虚报人员或者未经甲方同意擅自更换人员的，甲方将视情况解除合同关系。</w:t>
      </w:r>
    </w:p>
    <w:p w14:paraId="4D4BF0F6">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6.乙方如出现出具虚假、错误检测数据或检验报告的，甲方将扣除相应的批次经费，乙方需承担后续可能出现的赔偿责任，并由相关部门对乙方上述行为依法进行处置。</w:t>
      </w:r>
    </w:p>
    <w:p w14:paraId="7A2E3199">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7</w:t>
      </w:r>
      <w:r>
        <w:rPr>
          <w:rFonts w:hint="eastAsia" w:ascii="仿宋" w:hAnsi="仿宋" w:eastAsia="仿宋" w:cs="仿宋"/>
          <w:sz w:val="21"/>
          <w:szCs w:val="21"/>
          <w:highlight w:val="none"/>
          <w:lang w:val="zh-CN"/>
        </w:rPr>
        <w:t>.任何一方如有违反上述条款的行为，按有关法规处理，严重的应追究有关人员的法律责任。</w:t>
      </w:r>
    </w:p>
    <w:p w14:paraId="1FA43609">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8.未在投标文件中明确的分包方案，乙方不得实施。分包人不得转包、二次分包。如乙方违反上述约定，甲方有权解除合同，乙方退还甲方</w:t>
      </w:r>
      <w:r>
        <w:rPr>
          <w:rFonts w:hint="eastAsia" w:ascii="仿宋" w:hAnsi="仿宋" w:eastAsia="仿宋" w:cs="仿宋"/>
          <w:sz w:val="21"/>
          <w:szCs w:val="21"/>
          <w:highlight w:val="none"/>
        </w:rPr>
        <w:t>先行支付的服务费用</w:t>
      </w: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rPr>
        <w:t>第一期、第二期支付的服务费用</w:t>
      </w:r>
      <w:r>
        <w:rPr>
          <w:rFonts w:hint="eastAsia" w:ascii="仿宋" w:hAnsi="仿宋" w:eastAsia="仿宋" w:cs="仿宋"/>
          <w:sz w:val="21"/>
          <w:szCs w:val="21"/>
          <w:highlight w:val="none"/>
          <w:lang w:val="zh-CN"/>
        </w:rPr>
        <w:t>），甲方不再支付剩余合同款项。乙方还需承担其他相应法律责任。</w:t>
      </w:r>
    </w:p>
    <w:p w14:paraId="6634E94A">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color w:val="auto"/>
          <w:sz w:val="21"/>
          <w:szCs w:val="21"/>
          <w:highlight w:val="none"/>
          <w:lang w:val="zh-CN"/>
        </w:rPr>
      </w:pPr>
      <w:r>
        <w:rPr>
          <w:rFonts w:hint="eastAsia" w:ascii="仿宋" w:hAnsi="仿宋" w:eastAsia="仿宋" w:cs="仿宋"/>
          <w:sz w:val="21"/>
          <w:szCs w:val="21"/>
          <w:highlight w:val="none"/>
          <w:lang w:val="zh-CN"/>
        </w:rPr>
        <w:t>9.因乙方工作差错造成的样品损坏、检验结果偏差等工作质量问题导致撤销批次情况发生，甲方不支付撤销批次的相关费用，甲方视情况通报，</w:t>
      </w:r>
      <w:r>
        <w:rPr>
          <w:rFonts w:hint="eastAsia" w:ascii="仿宋" w:hAnsi="仿宋" w:eastAsia="仿宋" w:cs="仿宋"/>
          <w:color w:val="auto"/>
          <w:sz w:val="21"/>
          <w:szCs w:val="21"/>
          <w:highlight w:val="none"/>
          <w:lang w:val="zh-CN"/>
        </w:rPr>
        <w:t>乙方还需承担其他相应法律责任。</w:t>
      </w:r>
    </w:p>
    <w:p w14:paraId="32D6C6F7">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10.其他违约责任，违约方应按违约行为对守约方造成的实际损失（包括但不限于守约方主张权利所支付的诉讼费、律师费等）进行赔偿。</w:t>
      </w:r>
    </w:p>
    <w:p w14:paraId="27F5B971">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bCs/>
          <w:kern w:val="0"/>
          <w:sz w:val="21"/>
          <w:szCs w:val="21"/>
          <w:highlight w:val="none"/>
          <w:lang w:val="zh-CN"/>
        </w:rPr>
      </w:pPr>
      <w:r>
        <w:rPr>
          <w:rFonts w:hint="eastAsia" w:ascii="仿宋" w:hAnsi="仿宋" w:eastAsia="仿宋" w:cs="仿宋"/>
          <w:b/>
          <w:bCs/>
          <w:kern w:val="0"/>
          <w:sz w:val="21"/>
          <w:szCs w:val="21"/>
          <w:highlight w:val="none"/>
          <w:lang w:val="zh-CN"/>
        </w:rPr>
        <w:t>第八条</w:t>
      </w:r>
      <w:r>
        <w:rPr>
          <w:rFonts w:hint="eastAsia" w:ascii="仿宋" w:hAnsi="仿宋" w:eastAsia="仿宋" w:cs="仿宋"/>
          <w:b/>
          <w:bCs/>
          <w:kern w:val="0"/>
          <w:sz w:val="21"/>
          <w:szCs w:val="21"/>
          <w:highlight w:val="none"/>
        </w:rPr>
        <w:t xml:space="preserve"> </w:t>
      </w:r>
      <w:r>
        <w:rPr>
          <w:rFonts w:hint="eastAsia" w:ascii="仿宋" w:hAnsi="仿宋" w:eastAsia="仿宋" w:cs="仿宋"/>
          <w:b/>
          <w:bCs/>
          <w:kern w:val="0"/>
          <w:sz w:val="21"/>
          <w:szCs w:val="21"/>
          <w:highlight w:val="none"/>
          <w:lang w:val="zh-CN"/>
        </w:rPr>
        <w:t>保密条款</w:t>
      </w:r>
    </w:p>
    <w:p w14:paraId="6C9316DC">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1</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zh-CN"/>
        </w:rPr>
        <w:t>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14:paraId="7043A44A">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2</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zh-CN"/>
        </w:rPr>
        <w:t>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29BF106C">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第九条 不可抗力事件处理</w:t>
      </w:r>
    </w:p>
    <w:p w14:paraId="4E298FBD">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在合同有效期内，任何一方因不可抗力事件导致不能履行合同，则合同履行期可延长，其延长期与不可抗力影响期相同。</w:t>
      </w:r>
    </w:p>
    <w:p w14:paraId="23C429B4">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不可抗力事件发生后，应立即通知对方，并寄送有关权威机构出具的证明。</w:t>
      </w:r>
    </w:p>
    <w:p w14:paraId="64CE6C17">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不可抗力事件延续120天以上，双方应通过友好协商，确定是否继续履行合同。</w:t>
      </w:r>
    </w:p>
    <w:p w14:paraId="003D8668">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bCs/>
          <w:kern w:val="0"/>
          <w:sz w:val="21"/>
          <w:szCs w:val="21"/>
          <w:highlight w:val="none"/>
          <w:lang w:val="zh-CN"/>
        </w:rPr>
      </w:pPr>
      <w:r>
        <w:rPr>
          <w:rFonts w:hint="eastAsia" w:ascii="仿宋" w:hAnsi="仿宋" w:eastAsia="仿宋" w:cs="仿宋"/>
          <w:b/>
          <w:bCs/>
          <w:kern w:val="0"/>
          <w:sz w:val="21"/>
          <w:szCs w:val="21"/>
          <w:highlight w:val="none"/>
          <w:lang w:val="zh-CN"/>
        </w:rPr>
        <w:t>第十条 其他事项</w:t>
      </w:r>
    </w:p>
    <w:p w14:paraId="4A4EC5FC">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因乙方工作过失造成不良后果的，将由乙方承担相关法律责任。若有其他本协议未</w:t>
      </w:r>
      <w:r>
        <w:rPr>
          <w:rFonts w:hint="eastAsia" w:ascii="仿宋" w:hAnsi="仿宋" w:eastAsia="仿宋" w:cs="仿宋"/>
          <w:sz w:val="21"/>
          <w:szCs w:val="21"/>
          <w:highlight w:val="none"/>
        </w:rPr>
        <w:t>规定</w:t>
      </w:r>
      <w:r>
        <w:rPr>
          <w:rFonts w:hint="eastAsia" w:ascii="仿宋" w:hAnsi="仿宋" w:eastAsia="仿宋" w:cs="仿宋"/>
          <w:sz w:val="21"/>
          <w:szCs w:val="21"/>
          <w:highlight w:val="none"/>
          <w:lang w:val="zh-CN"/>
        </w:rPr>
        <w:t>或特殊事项，可通过补充协议予以明确，未在本协议及补充协议中明确的事项，由双方协商确定。因履行本合同引起的或与本合同有关的任何争议，应提请杭州市西湖区人民法院通过诉讼解决。</w:t>
      </w:r>
    </w:p>
    <w:p w14:paraId="4D55559E">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第十一条 合同的生效</w:t>
      </w:r>
    </w:p>
    <w:p w14:paraId="5E652A3A">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1.本协议经甲方和乙方法定代表人或其委托人签字并加盖双方公章后生效。</w:t>
      </w:r>
    </w:p>
    <w:p w14:paraId="403CC0B1">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2.招标文件、投标文件及评审过程中形成的磋商文件等文字资料、询标纪要均作为本合同的组成部分，具有同等效力。本合同未尽事宜，遵照《中华人民共和国民法典》有关条文执行，双方可以签订补充协议，补充协议与本协议有同等效力。</w:t>
      </w:r>
    </w:p>
    <w:p w14:paraId="483820F3">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3.本合同一式</w:t>
      </w:r>
      <w:r>
        <w:rPr>
          <w:rFonts w:hint="eastAsia" w:ascii="仿宋" w:hAnsi="仿宋" w:eastAsia="仿宋" w:cs="仿宋"/>
          <w:sz w:val="21"/>
          <w:szCs w:val="21"/>
          <w:highlight w:val="none"/>
          <w:lang w:val="en-US" w:eastAsia="zh-CN"/>
        </w:rPr>
        <w:t>五</w:t>
      </w:r>
      <w:r>
        <w:rPr>
          <w:rFonts w:hint="eastAsia" w:ascii="仿宋" w:hAnsi="仿宋" w:eastAsia="仿宋" w:cs="仿宋"/>
          <w:sz w:val="21"/>
          <w:szCs w:val="21"/>
          <w:highlight w:val="none"/>
          <w:lang w:val="zh-CN"/>
        </w:rPr>
        <w:t>份，甲方执</w:t>
      </w:r>
      <w:r>
        <w:rPr>
          <w:rFonts w:hint="eastAsia" w:ascii="仿宋" w:hAnsi="仿宋" w:eastAsia="仿宋" w:cs="仿宋"/>
          <w:sz w:val="21"/>
          <w:szCs w:val="21"/>
          <w:highlight w:val="none"/>
        </w:rPr>
        <w:t>四</w:t>
      </w:r>
      <w:r>
        <w:rPr>
          <w:rFonts w:hint="eastAsia" w:ascii="仿宋" w:hAnsi="仿宋" w:eastAsia="仿宋" w:cs="仿宋"/>
          <w:sz w:val="21"/>
          <w:szCs w:val="21"/>
          <w:highlight w:val="none"/>
          <w:lang w:val="zh-CN"/>
        </w:rPr>
        <w:t>份、乙方各执一份。</w:t>
      </w:r>
    </w:p>
    <w:p w14:paraId="6194182C">
      <w:pPr>
        <w:snapToGrid w:val="0"/>
        <w:spacing w:line="288" w:lineRule="auto"/>
        <w:ind w:firstLine="420" w:firstLineChars="200"/>
        <w:rPr>
          <w:rFonts w:hint="eastAsia" w:ascii="仿宋" w:hAnsi="仿宋" w:eastAsia="仿宋" w:cs="仿宋"/>
          <w:snapToGrid w:val="0"/>
          <w:szCs w:val="21"/>
          <w:highlight w:val="none"/>
        </w:rPr>
      </w:pPr>
    </w:p>
    <w:p w14:paraId="5B60CF28">
      <w:pPr>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br w:type="page"/>
      </w:r>
    </w:p>
    <w:p w14:paraId="58B3FA1F">
      <w:pPr>
        <w:snapToGrid w:val="0"/>
        <w:spacing w:line="288" w:lineRule="auto"/>
        <w:ind w:firstLine="420" w:firstLineChars="200"/>
        <w:rPr>
          <w:rFonts w:ascii="仿宋" w:hAnsi="仿宋" w:eastAsia="仿宋" w:cs="仿宋"/>
          <w:snapToGrid w:val="0"/>
          <w:szCs w:val="21"/>
          <w:highlight w:val="none"/>
        </w:rPr>
      </w:pPr>
      <w:r>
        <w:rPr>
          <w:rFonts w:hint="eastAsia" w:ascii="仿宋" w:hAnsi="仿宋" w:eastAsia="仿宋" w:cs="仿宋"/>
          <w:snapToGrid w:val="0"/>
          <w:szCs w:val="21"/>
          <w:highlight w:val="none"/>
        </w:rPr>
        <w:t>甲  方（盖章）：浙江省市场监督管理局   乙方（盖章）：</w:t>
      </w:r>
    </w:p>
    <w:p w14:paraId="635D13E2">
      <w:pPr>
        <w:snapToGrid w:val="0"/>
        <w:spacing w:line="288" w:lineRule="auto"/>
        <w:ind w:firstLine="420" w:firstLineChars="200"/>
        <w:rPr>
          <w:rFonts w:ascii="仿宋" w:hAnsi="仿宋" w:eastAsia="仿宋" w:cs="仿宋"/>
          <w:snapToGrid w:val="0"/>
          <w:szCs w:val="21"/>
          <w:highlight w:val="none"/>
        </w:rPr>
      </w:pPr>
      <w:r>
        <w:rPr>
          <w:rFonts w:hint="eastAsia" w:ascii="仿宋" w:hAnsi="仿宋" w:eastAsia="仿宋" w:cs="仿宋"/>
          <w:snapToGrid w:val="0"/>
          <w:szCs w:val="21"/>
          <w:highlight w:val="none"/>
        </w:rPr>
        <w:t>法定代表人或受委托人                   法定代表人或受委托人</w:t>
      </w:r>
    </w:p>
    <w:p w14:paraId="380B60B9">
      <w:pPr>
        <w:snapToGrid w:val="0"/>
        <w:spacing w:line="288" w:lineRule="auto"/>
        <w:ind w:firstLine="420" w:firstLineChars="200"/>
        <w:rPr>
          <w:rFonts w:ascii="仿宋" w:hAnsi="仿宋" w:eastAsia="仿宋" w:cs="仿宋"/>
          <w:snapToGrid w:val="0"/>
          <w:szCs w:val="21"/>
          <w:highlight w:val="none"/>
        </w:rPr>
      </w:pPr>
      <w:r>
        <w:rPr>
          <w:rFonts w:hint="eastAsia" w:ascii="仿宋" w:hAnsi="仿宋" w:eastAsia="仿宋" w:cs="仿宋"/>
          <w:snapToGrid w:val="0"/>
          <w:szCs w:val="21"/>
          <w:highlight w:val="none"/>
        </w:rPr>
        <w:t>（签字）：                            （签字）：</w:t>
      </w:r>
    </w:p>
    <w:p w14:paraId="53700A04">
      <w:pPr>
        <w:snapToGrid w:val="0"/>
        <w:spacing w:line="288" w:lineRule="auto"/>
        <w:ind w:firstLine="420" w:firstLineChars="200"/>
        <w:rPr>
          <w:rFonts w:ascii="仿宋" w:hAnsi="仿宋" w:eastAsia="仿宋" w:cs="仿宋"/>
          <w:snapToGrid w:val="0"/>
          <w:szCs w:val="21"/>
          <w:highlight w:val="none"/>
        </w:rPr>
      </w:pPr>
      <w:r>
        <w:rPr>
          <w:rFonts w:hint="eastAsia" w:ascii="仿宋" w:hAnsi="仿宋" w:eastAsia="仿宋" w:cs="仿宋"/>
          <w:snapToGrid w:val="0"/>
          <w:szCs w:val="21"/>
          <w:highlight w:val="none"/>
        </w:rPr>
        <w:t xml:space="preserve">地  址：杭州市莫干山路77号            地 址： </w:t>
      </w:r>
    </w:p>
    <w:p w14:paraId="48D7BCC0">
      <w:pPr>
        <w:snapToGrid w:val="0"/>
        <w:spacing w:line="288" w:lineRule="auto"/>
        <w:ind w:firstLine="420" w:firstLineChars="200"/>
        <w:rPr>
          <w:rFonts w:ascii="仿宋" w:hAnsi="仿宋" w:eastAsia="仿宋" w:cs="仿宋"/>
          <w:snapToGrid w:val="0"/>
          <w:szCs w:val="21"/>
          <w:highlight w:val="none"/>
        </w:rPr>
      </w:pPr>
      <w:r>
        <w:rPr>
          <w:rFonts w:hint="eastAsia" w:ascii="仿宋" w:hAnsi="仿宋" w:eastAsia="仿宋" w:cs="仿宋"/>
          <w:snapToGrid w:val="0"/>
          <w:szCs w:val="21"/>
          <w:highlight w:val="none"/>
        </w:rPr>
        <w:t xml:space="preserve">                                       开户银行：</w:t>
      </w:r>
    </w:p>
    <w:p w14:paraId="48399B47">
      <w:pPr>
        <w:snapToGrid w:val="0"/>
        <w:spacing w:line="288" w:lineRule="auto"/>
        <w:ind w:firstLine="420" w:firstLineChars="200"/>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 xml:space="preserve">                                       </w:t>
      </w:r>
      <w:r>
        <w:rPr>
          <w:rFonts w:hint="eastAsia" w:ascii="仿宋" w:hAnsi="仿宋" w:eastAsia="仿宋" w:cs="仿宋"/>
          <w:snapToGrid w:val="0"/>
          <w:szCs w:val="21"/>
          <w:highlight w:val="none"/>
          <w:lang w:val="en-US" w:eastAsia="zh-CN"/>
        </w:rPr>
        <w:t>账</w:t>
      </w:r>
      <w:r>
        <w:rPr>
          <w:rFonts w:hint="eastAsia" w:ascii="仿宋" w:hAnsi="仿宋" w:eastAsia="仿宋" w:cs="仿宋"/>
          <w:snapToGrid w:val="0"/>
          <w:szCs w:val="21"/>
          <w:highlight w:val="none"/>
        </w:rPr>
        <w:t xml:space="preserve">  号：</w:t>
      </w:r>
    </w:p>
    <w:p w14:paraId="1E122AC5">
      <w:pPr>
        <w:snapToGrid w:val="0"/>
        <w:spacing w:line="288" w:lineRule="auto"/>
        <w:ind w:firstLine="420" w:firstLineChars="200"/>
        <w:rPr>
          <w:rFonts w:ascii="仿宋" w:hAnsi="仿宋" w:eastAsia="仿宋" w:cs="仿宋"/>
          <w:snapToGrid w:val="0"/>
          <w:szCs w:val="21"/>
          <w:highlight w:val="none"/>
        </w:rPr>
      </w:pPr>
      <w:r>
        <w:rPr>
          <w:rFonts w:hint="eastAsia" w:ascii="仿宋" w:hAnsi="仿宋" w:eastAsia="仿宋" w:cs="仿宋"/>
          <w:snapToGrid w:val="0"/>
          <w:szCs w:val="21"/>
          <w:highlight w:val="none"/>
        </w:rPr>
        <w:t xml:space="preserve">                                       乙方（盖章）：</w:t>
      </w:r>
    </w:p>
    <w:p w14:paraId="1BD6FCF9">
      <w:pPr>
        <w:snapToGrid w:val="0"/>
        <w:spacing w:line="288" w:lineRule="auto"/>
        <w:ind w:firstLine="420" w:firstLineChars="200"/>
        <w:rPr>
          <w:rFonts w:ascii="仿宋" w:hAnsi="仿宋" w:eastAsia="仿宋" w:cs="仿宋"/>
          <w:snapToGrid w:val="0"/>
          <w:szCs w:val="21"/>
          <w:highlight w:val="none"/>
        </w:rPr>
      </w:pPr>
      <w:r>
        <w:rPr>
          <w:rFonts w:hint="eastAsia" w:ascii="仿宋" w:hAnsi="仿宋" w:eastAsia="仿宋" w:cs="仿宋"/>
          <w:snapToGrid w:val="0"/>
          <w:szCs w:val="21"/>
          <w:highlight w:val="none"/>
        </w:rPr>
        <w:t xml:space="preserve">                                       法定代表人或受委托人</w:t>
      </w:r>
    </w:p>
    <w:p w14:paraId="7D49629E">
      <w:pPr>
        <w:snapToGrid w:val="0"/>
        <w:spacing w:line="288" w:lineRule="auto"/>
        <w:ind w:firstLine="420" w:firstLineChars="200"/>
        <w:rPr>
          <w:rFonts w:ascii="仿宋" w:hAnsi="仿宋" w:eastAsia="仿宋" w:cs="仿宋"/>
          <w:snapToGrid w:val="0"/>
          <w:szCs w:val="21"/>
          <w:highlight w:val="none"/>
        </w:rPr>
      </w:pPr>
      <w:r>
        <w:rPr>
          <w:rFonts w:hint="eastAsia" w:ascii="仿宋" w:hAnsi="仿宋" w:eastAsia="仿宋" w:cs="仿宋"/>
          <w:snapToGrid w:val="0"/>
          <w:szCs w:val="21"/>
          <w:highlight w:val="none"/>
        </w:rPr>
        <w:t xml:space="preserve">                                       （签字）：</w:t>
      </w:r>
    </w:p>
    <w:p w14:paraId="7327FA5B">
      <w:pPr>
        <w:snapToGrid w:val="0"/>
        <w:spacing w:line="288" w:lineRule="auto"/>
        <w:ind w:firstLine="420" w:firstLineChars="200"/>
        <w:rPr>
          <w:rFonts w:ascii="仿宋" w:hAnsi="仿宋" w:eastAsia="仿宋" w:cs="仿宋"/>
          <w:snapToGrid w:val="0"/>
          <w:szCs w:val="21"/>
          <w:highlight w:val="none"/>
        </w:rPr>
      </w:pPr>
      <w:r>
        <w:rPr>
          <w:rFonts w:hint="eastAsia" w:ascii="仿宋" w:hAnsi="仿宋" w:eastAsia="仿宋" w:cs="仿宋"/>
          <w:snapToGrid w:val="0"/>
          <w:szCs w:val="21"/>
          <w:highlight w:val="none"/>
        </w:rPr>
        <w:t xml:space="preserve">                                       地 址： </w:t>
      </w:r>
    </w:p>
    <w:p w14:paraId="4627B729">
      <w:pPr>
        <w:snapToGrid w:val="0"/>
        <w:spacing w:line="288" w:lineRule="auto"/>
        <w:ind w:firstLine="420" w:firstLineChars="200"/>
        <w:rPr>
          <w:rFonts w:ascii="仿宋" w:hAnsi="仿宋" w:eastAsia="仿宋" w:cs="仿宋"/>
          <w:snapToGrid w:val="0"/>
          <w:szCs w:val="21"/>
          <w:highlight w:val="none"/>
        </w:rPr>
      </w:pPr>
      <w:r>
        <w:rPr>
          <w:rFonts w:hint="eastAsia" w:ascii="仿宋" w:hAnsi="仿宋" w:eastAsia="仿宋" w:cs="仿宋"/>
          <w:snapToGrid w:val="0"/>
          <w:szCs w:val="21"/>
          <w:highlight w:val="none"/>
        </w:rPr>
        <w:t xml:space="preserve">                                       开户银行：</w:t>
      </w:r>
    </w:p>
    <w:p w14:paraId="1E9F52CA">
      <w:pPr>
        <w:snapToGrid w:val="0"/>
        <w:spacing w:line="288" w:lineRule="auto"/>
        <w:ind w:firstLine="420" w:firstLineChars="200"/>
        <w:rPr>
          <w:rFonts w:ascii="仿宋" w:hAnsi="仿宋" w:eastAsia="仿宋" w:cs="仿宋"/>
          <w:snapToGrid w:val="0"/>
          <w:szCs w:val="21"/>
          <w:highlight w:val="none"/>
        </w:rPr>
      </w:pPr>
      <w:r>
        <w:rPr>
          <w:rFonts w:hint="eastAsia" w:ascii="仿宋" w:hAnsi="仿宋" w:eastAsia="仿宋" w:cs="仿宋"/>
          <w:snapToGrid w:val="0"/>
          <w:szCs w:val="21"/>
          <w:highlight w:val="none"/>
        </w:rPr>
        <w:t xml:space="preserve">                                       </w:t>
      </w:r>
      <w:r>
        <w:rPr>
          <w:rFonts w:hint="eastAsia" w:ascii="仿宋" w:hAnsi="仿宋" w:eastAsia="仿宋" w:cs="仿宋"/>
          <w:snapToGrid w:val="0"/>
          <w:szCs w:val="21"/>
          <w:highlight w:val="none"/>
          <w:lang w:val="en-US" w:eastAsia="zh-CN"/>
        </w:rPr>
        <w:t>账</w:t>
      </w:r>
      <w:r>
        <w:rPr>
          <w:rFonts w:hint="eastAsia" w:ascii="仿宋" w:hAnsi="仿宋" w:eastAsia="仿宋" w:cs="仿宋"/>
          <w:snapToGrid w:val="0"/>
          <w:szCs w:val="21"/>
          <w:highlight w:val="none"/>
        </w:rPr>
        <w:t xml:space="preserve">  号：</w:t>
      </w:r>
    </w:p>
    <w:p w14:paraId="370E4B79">
      <w:pPr>
        <w:snapToGrid w:val="0"/>
        <w:spacing w:line="288" w:lineRule="auto"/>
        <w:ind w:firstLine="420" w:firstLineChars="200"/>
        <w:jc w:val="right"/>
        <w:rPr>
          <w:rFonts w:ascii="仿宋" w:hAnsi="仿宋" w:eastAsia="仿宋" w:cs="仿宋"/>
          <w:snapToGrid w:val="0"/>
          <w:szCs w:val="21"/>
          <w:highlight w:val="none"/>
        </w:rPr>
      </w:pPr>
      <w:r>
        <w:rPr>
          <w:rFonts w:hint="eastAsia" w:ascii="仿宋" w:hAnsi="仿宋" w:eastAsia="仿宋" w:cs="仿宋"/>
          <w:snapToGrid w:val="0"/>
          <w:szCs w:val="21"/>
          <w:highlight w:val="none"/>
        </w:rPr>
        <w:t xml:space="preserve">                签约时间：</w:t>
      </w:r>
      <w:r>
        <w:rPr>
          <w:rFonts w:hint="eastAsia" w:ascii="仿宋" w:hAnsi="仿宋" w:eastAsia="仿宋" w:cs="仿宋"/>
          <w:snapToGrid w:val="0"/>
          <w:szCs w:val="21"/>
          <w:highlight w:val="none"/>
          <w:lang w:val="en-US" w:eastAsia="zh-CN"/>
        </w:rPr>
        <w:t xml:space="preserve">  </w:t>
      </w:r>
      <w:r>
        <w:rPr>
          <w:rFonts w:hint="eastAsia" w:ascii="仿宋" w:hAnsi="仿宋" w:eastAsia="仿宋" w:cs="仿宋"/>
          <w:snapToGrid w:val="0"/>
          <w:szCs w:val="21"/>
          <w:highlight w:val="none"/>
        </w:rPr>
        <w:t>年</w:t>
      </w:r>
      <w:r>
        <w:rPr>
          <w:rFonts w:hint="eastAsia" w:ascii="仿宋" w:hAnsi="仿宋" w:eastAsia="仿宋" w:cs="仿宋"/>
          <w:snapToGrid w:val="0"/>
          <w:szCs w:val="21"/>
          <w:highlight w:val="none"/>
          <w:lang w:val="en-US" w:eastAsia="zh-CN"/>
        </w:rPr>
        <w:t xml:space="preserve">  </w:t>
      </w:r>
      <w:r>
        <w:rPr>
          <w:rFonts w:hint="eastAsia" w:ascii="仿宋" w:hAnsi="仿宋" w:eastAsia="仿宋" w:cs="仿宋"/>
          <w:snapToGrid w:val="0"/>
          <w:szCs w:val="21"/>
          <w:highlight w:val="none"/>
        </w:rPr>
        <w:t>月</w:t>
      </w:r>
      <w:r>
        <w:rPr>
          <w:rFonts w:hint="eastAsia" w:ascii="仿宋" w:hAnsi="仿宋" w:eastAsia="仿宋" w:cs="仿宋"/>
          <w:snapToGrid w:val="0"/>
          <w:szCs w:val="21"/>
          <w:highlight w:val="none"/>
          <w:lang w:val="en-US" w:eastAsia="zh-CN"/>
        </w:rPr>
        <w:t xml:space="preserve">  </w:t>
      </w:r>
      <w:r>
        <w:rPr>
          <w:rFonts w:hint="eastAsia" w:ascii="仿宋" w:hAnsi="仿宋" w:eastAsia="仿宋" w:cs="仿宋"/>
          <w:snapToGrid w:val="0"/>
          <w:szCs w:val="21"/>
          <w:highlight w:val="none"/>
        </w:rPr>
        <w:t>日</w:t>
      </w:r>
    </w:p>
    <w:p w14:paraId="605003E2">
      <w:pPr>
        <w:snapToGrid w:val="0"/>
        <w:spacing w:line="288" w:lineRule="auto"/>
        <w:ind w:firstLine="420" w:firstLineChars="200"/>
        <w:jc w:val="right"/>
        <w:rPr>
          <w:rFonts w:ascii="仿宋" w:hAnsi="仿宋" w:eastAsia="仿宋" w:cs="仿宋"/>
          <w:snapToGrid w:val="0"/>
          <w:szCs w:val="21"/>
          <w:highlight w:val="none"/>
        </w:rPr>
      </w:pPr>
      <w:r>
        <w:rPr>
          <w:rFonts w:hint="eastAsia" w:ascii="仿宋" w:hAnsi="仿宋" w:eastAsia="仿宋" w:cs="仿宋"/>
          <w:snapToGrid w:val="0"/>
          <w:szCs w:val="21"/>
          <w:highlight w:val="none"/>
        </w:rPr>
        <w:t xml:space="preserve">             签约地点：浙江杭州</w:t>
      </w:r>
    </w:p>
    <w:p w14:paraId="4919EC17">
      <w:pPr>
        <w:snapToGrid w:val="0"/>
        <w:spacing w:line="288" w:lineRule="auto"/>
        <w:ind w:firstLine="420" w:firstLineChars="200"/>
        <w:rPr>
          <w:rFonts w:ascii="仿宋" w:hAnsi="仿宋" w:eastAsia="仿宋" w:cs="仿宋"/>
          <w:snapToGrid w:val="0"/>
          <w:szCs w:val="21"/>
          <w:highlight w:val="none"/>
        </w:rPr>
      </w:pPr>
    </w:p>
    <w:p w14:paraId="209D6668">
      <w:pPr>
        <w:pStyle w:val="10"/>
        <w:snapToGrid w:val="0"/>
        <w:spacing w:beforeLines="0" w:afterLines="0" w:line="288" w:lineRule="auto"/>
        <w:rPr>
          <w:rFonts w:ascii="仿宋" w:hAnsi="仿宋" w:eastAsia="仿宋" w:cs="仿宋"/>
          <w:b/>
          <w:color w:val="auto"/>
          <w:sz w:val="32"/>
          <w:szCs w:val="32"/>
          <w:highlight w:val="none"/>
        </w:rPr>
      </w:pPr>
      <w:r>
        <w:rPr>
          <w:rFonts w:hint="eastAsia" w:ascii="仿宋" w:hAnsi="仿宋" w:eastAsia="仿宋" w:cs="仿宋"/>
          <w:b/>
          <w:color w:val="auto"/>
          <w:spacing w:val="-6"/>
          <w:sz w:val="24"/>
          <w:highlight w:val="none"/>
        </w:rPr>
        <w:br w:type="page"/>
      </w:r>
    </w:p>
    <w:p w14:paraId="5CB14A89">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14:paraId="46970C35">
      <w:pPr>
        <w:adjustRightInd w:val="0"/>
        <w:snapToGrid w:val="0"/>
        <w:spacing w:line="360" w:lineRule="auto"/>
        <w:rPr>
          <w:rFonts w:ascii="仿宋" w:hAnsi="仿宋" w:eastAsia="仿宋" w:cs="仿宋"/>
          <w:b/>
          <w:bCs/>
          <w:color w:val="auto"/>
          <w:spacing w:val="-6"/>
          <w:sz w:val="24"/>
          <w:szCs w:val="24"/>
          <w:highlight w:val="none"/>
        </w:rPr>
      </w:pPr>
    </w:p>
    <w:p w14:paraId="73956E61">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14:paraId="71E16161">
      <w:pPr>
        <w:adjustRightInd w:val="0"/>
        <w:snapToGrid w:val="0"/>
        <w:spacing w:line="360" w:lineRule="auto"/>
        <w:rPr>
          <w:rFonts w:ascii="仿宋" w:hAnsi="仿宋" w:eastAsia="仿宋" w:cs="仿宋"/>
          <w:b/>
          <w:bCs/>
          <w:color w:val="auto"/>
          <w:spacing w:val="-6"/>
          <w:sz w:val="24"/>
          <w:szCs w:val="24"/>
          <w:highlight w:val="none"/>
        </w:rPr>
      </w:pPr>
    </w:p>
    <w:p w14:paraId="7157401D">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▲1.资格文件（单独上传）</w:t>
      </w:r>
    </w:p>
    <w:p w14:paraId="1F6B8245">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14:paraId="4BA544A4">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1）有效的法人或者其他组织的营业执照等证明文件/自然人的身份证明</w:t>
      </w:r>
    </w:p>
    <w:p w14:paraId="2B1127D4">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2）符合参加政府采购活动应当具备的一般条件的承诺函</w:t>
      </w:r>
    </w:p>
    <w:p w14:paraId="175AD804">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3）本项目的特定资格要求证明材料</w:t>
      </w:r>
    </w:p>
    <w:p w14:paraId="03078BED">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4）联合协议（若联合体投标）</w:t>
      </w:r>
    </w:p>
    <w:p w14:paraId="204E7A7A">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5）分包意向协议（若中标后以分包方式履行合同）</w:t>
      </w:r>
    </w:p>
    <w:p w14:paraId="33B3E7EF">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▲联合体投标的，联合体各方均应提供（1）</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rPr>
        <w:t>（2）</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3）</w:t>
      </w:r>
      <w:r>
        <w:rPr>
          <w:rFonts w:hint="eastAsia" w:ascii="仿宋" w:hAnsi="仿宋" w:eastAsia="仿宋" w:cs="仿宋"/>
          <w:b/>
          <w:color w:val="auto"/>
          <w:spacing w:val="-6"/>
          <w:szCs w:val="21"/>
          <w:highlight w:val="none"/>
          <w:lang w:val="en-US" w:eastAsia="zh-CN"/>
        </w:rPr>
        <w:t>项</w:t>
      </w:r>
      <w:r>
        <w:rPr>
          <w:rFonts w:hint="eastAsia" w:ascii="仿宋" w:hAnsi="仿宋" w:eastAsia="仿宋" w:cs="仿宋"/>
          <w:b/>
          <w:color w:val="auto"/>
          <w:spacing w:val="-6"/>
          <w:szCs w:val="21"/>
          <w:highlight w:val="none"/>
        </w:rPr>
        <w:t>材料</w:t>
      </w:r>
    </w:p>
    <w:p w14:paraId="11B3AAAA">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rPr>
        <w:t>2.商务和</w:t>
      </w:r>
      <w:r>
        <w:rPr>
          <w:rFonts w:hint="eastAsia" w:ascii="仿宋" w:hAnsi="仿宋" w:eastAsia="仿宋" w:cs="仿宋"/>
          <w:b/>
          <w:bCs/>
          <w:color w:val="auto"/>
          <w:spacing w:val="-6"/>
          <w:szCs w:val="21"/>
          <w:highlight w:val="none"/>
        </w:rPr>
        <w:t>技术文件（单独上传）</w:t>
      </w:r>
    </w:p>
    <w:p w14:paraId="146F7C5B">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1）投标函</w:t>
      </w:r>
    </w:p>
    <w:p w14:paraId="4BE49EE6">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2）法定代表人（单位负责人、自然人本人）身份证明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14:paraId="781AF909">
      <w:pPr>
        <w:adjustRightInd w:val="0"/>
        <w:snapToGrid w:val="0"/>
        <w:spacing w:line="360" w:lineRule="auto"/>
        <w:ind w:firstLine="735" w:firstLineChars="350"/>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lang w:eastAsia="zh-CN"/>
        </w:rPr>
        <w:t>2025年1月（含）至今任意一月</w:t>
      </w:r>
      <w:r>
        <w:rPr>
          <w:rFonts w:hint="eastAsia" w:ascii="仿宋" w:hAnsi="仿宋" w:eastAsia="仿宋" w:cs="仿宋"/>
          <w:color w:val="auto"/>
          <w:spacing w:val="-6"/>
          <w:szCs w:val="21"/>
          <w:highlight w:val="none"/>
        </w:rPr>
        <w:t>投标授权代表社保缴纳证明</w:t>
      </w:r>
    </w:p>
    <w:p w14:paraId="2660B810">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3）采购需求偏离表</w:t>
      </w:r>
    </w:p>
    <w:p w14:paraId="754AC61A">
      <w:pPr>
        <w:adjustRightInd w:val="0"/>
        <w:snapToGrid w:val="0"/>
        <w:spacing w:line="360" w:lineRule="auto"/>
        <w:ind w:firstLine="396" w:firstLineChars="200"/>
        <w:jc w:val="left"/>
        <w:rPr>
          <w:rFonts w:hint="eastAsia" w:ascii="仿宋" w:hAnsi="仿宋" w:eastAsia="仿宋" w:cs="仿宋"/>
          <w:b w:val="0"/>
          <w:bCs/>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b w:val="0"/>
          <w:bCs/>
          <w:color w:val="auto"/>
          <w:spacing w:val="-6"/>
          <w:szCs w:val="21"/>
          <w:highlight w:val="none"/>
          <w:lang w:val="en-US" w:eastAsia="zh-CN"/>
        </w:rPr>
        <w:t>4</w:t>
      </w:r>
      <w:r>
        <w:rPr>
          <w:rFonts w:hint="eastAsia" w:ascii="仿宋" w:hAnsi="仿宋" w:eastAsia="仿宋" w:cs="仿宋"/>
          <w:b w:val="0"/>
          <w:bCs/>
          <w:color w:val="auto"/>
          <w:spacing w:val="-6"/>
          <w:szCs w:val="21"/>
          <w:highlight w:val="none"/>
        </w:rPr>
        <w:t>）投标人同类合同实施情况一览表</w:t>
      </w:r>
    </w:p>
    <w:p w14:paraId="7792C2FB">
      <w:pPr>
        <w:adjustRightInd w:val="0"/>
        <w:snapToGrid w:val="0"/>
        <w:spacing w:line="360" w:lineRule="auto"/>
        <w:ind w:firstLine="396" w:firstLineChars="200"/>
        <w:jc w:val="left"/>
        <w:rPr>
          <w:rFonts w:hint="eastAsia" w:ascii="仿宋" w:hAnsi="仿宋" w:eastAsia="仿宋" w:cs="仿宋"/>
          <w:b w:val="0"/>
          <w:bCs w:val="0"/>
          <w:color w:val="auto"/>
          <w:spacing w:val="-6"/>
          <w:szCs w:val="21"/>
          <w:highlight w:val="none"/>
        </w:rPr>
      </w:pPr>
      <w:r>
        <w:rPr>
          <w:rFonts w:hint="eastAsia" w:ascii="仿宋" w:hAnsi="仿宋" w:eastAsia="仿宋" w:cs="仿宋"/>
          <w:b w:val="0"/>
          <w:bCs w:val="0"/>
          <w:color w:val="auto"/>
          <w:spacing w:val="-6"/>
          <w:szCs w:val="21"/>
          <w:highlight w:val="none"/>
          <w:lang w:eastAsia="zh-CN"/>
        </w:rPr>
        <w:t>（</w:t>
      </w:r>
      <w:r>
        <w:rPr>
          <w:rFonts w:hint="eastAsia" w:ascii="仿宋" w:hAnsi="仿宋" w:eastAsia="仿宋" w:cs="仿宋"/>
          <w:b w:val="0"/>
          <w:bCs w:val="0"/>
          <w:color w:val="auto"/>
          <w:spacing w:val="-6"/>
          <w:szCs w:val="21"/>
          <w:highlight w:val="none"/>
        </w:rPr>
        <w:t>5）商务分评审相关证明材料</w:t>
      </w:r>
    </w:p>
    <w:p w14:paraId="533A781A">
      <w:pPr>
        <w:adjustRightInd w:val="0"/>
        <w:snapToGrid w:val="0"/>
        <w:spacing w:line="360" w:lineRule="auto"/>
        <w:ind w:firstLine="396" w:firstLineChars="200"/>
        <w:jc w:val="left"/>
        <w:rPr>
          <w:rFonts w:hint="eastAsia" w:ascii="仿宋" w:hAnsi="仿宋" w:eastAsia="仿宋" w:cs="仿宋"/>
          <w:b w:val="0"/>
          <w:bCs w:val="0"/>
          <w:color w:val="auto"/>
          <w:spacing w:val="-6"/>
          <w:szCs w:val="21"/>
          <w:highlight w:val="none"/>
        </w:rPr>
      </w:pPr>
      <w:r>
        <w:rPr>
          <w:rFonts w:hint="eastAsia" w:ascii="仿宋" w:hAnsi="仿宋" w:eastAsia="仿宋" w:cs="仿宋"/>
          <w:b w:val="0"/>
          <w:bCs w:val="0"/>
          <w:color w:val="auto"/>
          <w:spacing w:val="-6"/>
          <w:szCs w:val="21"/>
          <w:highlight w:val="none"/>
          <w:lang w:eastAsia="zh-CN"/>
        </w:rPr>
        <w:t>（</w:t>
      </w:r>
      <w:r>
        <w:rPr>
          <w:rFonts w:hint="eastAsia" w:ascii="仿宋" w:hAnsi="仿宋" w:eastAsia="仿宋" w:cs="仿宋"/>
          <w:b w:val="0"/>
          <w:bCs w:val="0"/>
          <w:color w:val="auto"/>
          <w:spacing w:val="-6"/>
          <w:szCs w:val="21"/>
          <w:highlight w:val="none"/>
        </w:rPr>
        <w:t>6）服务方案</w:t>
      </w:r>
    </w:p>
    <w:p w14:paraId="0BF1CC85">
      <w:pPr>
        <w:adjustRightInd w:val="0"/>
        <w:snapToGrid w:val="0"/>
        <w:spacing w:line="360" w:lineRule="auto"/>
        <w:ind w:firstLine="396" w:firstLineChars="200"/>
        <w:jc w:val="left"/>
        <w:rPr>
          <w:rFonts w:hint="eastAsia" w:ascii="仿宋" w:hAnsi="仿宋" w:eastAsia="仿宋" w:cs="仿宋"/>
          <w:b w:val="0"/>
          <w:bCs w:val="0"/>
          <w:color w:val="auto"/>
          <w:spacing w:val="-6"/>
          <w:szCs w:val="21"/>
          <w:highlight w:val="none"/>
        </w:rPr>
      </w:pPr>
      <w:r>
        <w:rPr>
          <w:rFonts w:hint="eastAsia" w:ascii="仿宋" w:hAnsi="仿宋" w:eastAsia="仿宋" w:cs="仿宋"/>
          <w:b w:val="0"/>
          <w:bCs w:val="0"/>
          <w:color w:val="auto"/>
          <w:spacing w:val="-6"/>
          <w:szCs w:val="21"/>
          <w:highlight w:val="none"/>
          <w:lang w:eastAsia="zh-CN"/>
        </w:rPr>
        <w:t>（</w:t>
      </w:r>
      <w:r>
        <w:rPr>
          <w:rFonts w:hint="eastAsia" w:ascii="仿宋" w:hAnsi="仿宋" w:eastAsia="仿宋" w:cs="仿宋"/>
          <w:b w:val="0"/>
          <w:bCs w:val="0"/>
          <w:color w:val="auto"/>
          <w:spacing w:val="-6"/>
          <w:szCs w:val="21"/>
          <w:highlight w:val="none"/>
        </w:rPr>
        <w:t>7）服务团队人员一览表</w:t>
      </w:r>
    </w:p>
    <w:p w14:paraId="59E363D4">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3.报价文件</w:t>
      </w:r>
      <w:r>
        <w:rPr>
          <w:rFonts w:hint="eastAsia" w:ascii="仿宋" w:hAnsi="仿宋" w:eastAsia="仿宋" w:cs="仿宋"/>
          <w:b/>
          <w:bCs/>
          <w:color w:val="auto"/>
          <w:spacing w:val="-6"/>
          <w:szCs w:val="21"/>
          <w:highlight w:val="none"/>
        </w:rPr>
        <w:t>（单独上传）</w:t>
      </w:r>
    </w:p>
    <w:p w14:paraId="63D46FB1">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1）开标一览表</w:t>
      </w:r>
    </w:p>
    <w:p w14:paraId="0C0D3A15">
      <w:pPr>
        <w:adjustRightInd w:val="0"/>
        <w:snapToGrid w:val="0"/>
        <w:spacing w:line="360"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投标报价明细表</w:t>
      </w:r>
    </w:p>
    <w:p w14:paraId="6722A10B">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2）中小企业声明函（若属于中小企业）</w:t>
      </w:r>
    </w:p>
    <w:p w14:paraId="20A301AD">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3）属于监狱企业的证明文件（若属于监狱企业）</w:t>
      </w:r>
    </w:p>
    <w:p w14:paraId="4171A3F5">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4）残疾人福利性单位声明函（若属于残疾人福利性单位）</w:t>
      </w:r>
    </w:p>
    <w:p w14:paraId="3B7D9D9B">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F059EAC">
      <w:pPr>
        <w:adjustRightInd w:val="0"/>
        <w:snapToGrid w:val="0"/>
        <w:spacing w:line="288" w:lineRule="auto"/>
        <w:jc w:val="center"/>
        <w:rPr>
          <w:rFonts w:ascii="仿宋" w:hAnsi="仿宋" w:eastAsia="仿宋" w:cs="仿宋"/>
          <w:b/>
          <w:bCs/>
          <w:color w:val="auto"/>
          <w:sz w:val="84"/>
          <w:szCs w:val="84"/>
          <w:highlight w:val="none"/>
        </w:rPr>
      </w:pPr>
    </w:p>
    <w:p w14:paraId="41948766">
      <w:pPr>
        <w:adjustRightInd w:val="0"/>
        <w:snapToGrid w:val="0"/>
        <w:spacing w:line="288" w:lineRule="auto"/>
        <w:jc w:val="center"/>
        <w:rPr>
          <w:rFonts w:ascii="仿宋" w:hAnsi="仿宋" w:eastAsia="仿宋" w:cs="仿宋"/>
          <w:b/>
          <w:bCs/>
          <w:color w:val="auto"/>
          <w:sz w:val="84"/>
          <w:szCs w:val="84"/>
          <w:highlight w:val="none"/>
        </w:rPr>
      </w:pPr>
    </w:p>
    <w:p w14:paraId="6F39B3F9">
      <w:pPr>
        <w:adjustRightInd w:val="0"/>
        <w:snapToGrid w:val="0"/>
        <w:spacing w:line="288" w:lineRule="auto"/>
        <w:jc w:val="center"/>
        <w:rPr>
          <w:rFonts w:ascii="仿宋" w:hAnsi="仿宋" w:eastAsia="仿宋" w:cs="仿宋"/>
          <w:b/>
          <w:bCs/>
          <w:color w:val="auto"/>
          <w:sz w:val="84"/>
          <w:szCs w:val="84"/>
          <w:highlight w:val="none"/>
        </w:rPr>
      </w:pPr>
    </w:p>
    <w:p w14:paraId="77E9D047">
      <w:pPr>
        <w:adjustRightInd w:val="0"/>
        <w:snapToGrid w:val="0"/>
        <w:spacing w:line="288" w:lineRule="auto"/>
        <w:jc w:val="center"/>
        <w:rPr>
          <w:rFonts w:ascii="仿宋" w:hAnsi="仿宋" w:eastAsia="仿宋" w:cs="仿宋"/>
          <w:b/>
          <w:bCs/>
          <w:color w:val="auto"/>
          <w:sz w:val="84"/>
          <w:szCs w:val="84"/>
          <w:highlight w:val="none"/>
        </w:rPr>
      </w:pPr>
    </w:p>
    <w:p w14:paraId="7F972EAE">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14:paraId="7DD5FAA9">
      <w:pPr>
        <w:adjustRightInd w:val="0"/>
        <w:snapToGrid w:val="0"/>
        <w:spacing w:line="288" w:lineRule="auto"/>
        <w:jc w:val="center"/>
        <w:rPr>
          <w:rFonts w:ascii="仿宋" w:hAnsi="仿宋" w:eastAsia="仿宋" w:cs="仿宋"/>
          <w:b/>
          <w:bCs/>
          <w:color w:val="auto"/>
          <w:sz w:val="84"/>
          <w:szCs w:val="84"/>
          <w:highlight w:val="none"/>
        </w:rPr>
      </w:pPr>
    </w:p>
    <w:p w14:paraId="694C690E">
      <w:pPr>
        <w:adjustRightInd w:val="0"/>
        <w:snapToGrid w:val="0"/>
        <w:spacing w:line="288" w:lineRule="auto"/>
        <w:jc w:val="center"/>
        <w:rPr>
          <w:rFonts w:ascii="仿宋" w:hAnsi="仿宋" w:eastAsia="仿宋" w:cs="仿宋"/>
          <w:b/>
          <w:bCs/>
          <w:color w:val="auto"/>
          <w:szCs w:val="21"/>
          <w:highlight w:val="none"/>
        </w:rPr>
      </w:pPr>
      <w:bookmarkStart w:id="48" w:name="_Hlk94097338"/>
      <w:r>
        <w:rPr>
          <w:rFonts w:hint="eastAsia" w:ascii="仿宋" w:hAnsi="仿宋" w:eastAsia="仿宋" w:cs="仿宋"/>
          <w:b/>
          <w:bCs/>
          <w:color w:val="auto"/>
          <w:sz w:val="24"/>
          <w:szCs w:val="24"/>
          <w:highlight w:val="none"/>
        </w:rPr>
        <w:t>资格审查要求的资格证明材料（均需加盖公章）</w:t>
      </w:r>
      <w:bookmarkEnd w:id="48"/>
    </w:p>
    <w:p w14:paraId="2315A42C">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16A3DEC">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14:paraId="24D49F8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60C0B3AF">
      <w:pPr>
        <w:adjustRightInd w:val="0"/>
        <w:snapToGrid w:val="0"/>
        <w:spacing w:line="360" w:lineRule="auto"/>
        <w:rPr>
          <w:rFonts w:ascii="仿宋" w:hAnsi="仿宋" w:eastAsia="仿宋" w:cs="仿宋"/>
          <w:color w:val="auto"/>
          <w:szCs w:val="21"/>
          <w:highlight w:val="none"/>
        </w:rPr>
      </w:pPr>
    </w:p>
    <w:p w14:paraId="3F86BB9D">
      <w:pPr>
        <w:adjustRightInd w:val="0"/>
        <w:snapToGrid w:val="0"/>
        <w:spacing w:line="360" w:lineRule="auto"/>
        <w:rPr>
          <w:rFonts w:ascii="仿宋" w:hAnsi="仿宋" w:eastAsia="仿宋" w:cs="仿宋"/>
          <w:color w:val="auto"/>
          <w:szCs w:val="21"/>
          <w:highlight w:val="none"/>
        </w:rPr>
      </w:pPr>
    </w:p>
    <w:p w14:paraId="07F8773F">
      <w:pPr>
        <w:adjustRightInd w:val="0"/>
        <w:snapToGrid w:val="0"/>
        <w:spacing w:line="360" w:lineRule="auto"/>
        <w:rPr>
          <w:rFonts w:ascii="仿宋" w:hAnsi="仿宋" w:eastAsia="仿宋" w:cs="仿宋"/>
          <w:b/>
          <w:bCs/>
          <w:color w:val="auto"/>
          <w:szCs w:val="21"/>
          <w:highlight w:val="none"/>
        </w:rPr>
      </w:pPr>
    </w:p>
    <w:p w14:paraId="709965F9">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4DE542C0">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是企业（包括合伙企业），提供在工商部门注册的有效“企业法人营业执照”或“营业执照”；</w:t>
      </w:r>
    </w:p>
    <w:p w14:paraId="3774095D">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是事业单位，提供有效的“事业单位法人证书”；</w:t>
      </w:r>
    </w:p>
    <w:p w14:paraId="2DA19B16">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是非企业专业服务机构，提供执业许可证等证明文件；</w:t>
      </w:r>
    </w:p>
    <w:p w14:paraId="567DEA71">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是个体工商户，提供有效的“个体工商户营业执照”；</w:t>
      </w:r>
    </w:p>
    <w:p w14:paraId="46D70CC6">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是自然人，提供有效的自然人身份证明。</w:t>
      </w:r>
    </w:p>
    <w:p w14:paraId="6CE5242D">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441F1A8B">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14:paraId="23825D6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1AA9CA09">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浙江省市场监督管理局</w:t>
      </w:r>
      <w:r>
        <w:rPr>
          <w:rFonts w:hint="eastAsia" w:ascii="仿宋" w:hAnsi="仿宋" w:eastAsia="仿宋" w:cs="仿宋"/>
          <w:b/>
          <w:bCs/>
          <w:color w:val="auto"/>
          <w:spacing w:val="-6"/>
          <w:szCs w:val="21"/>
          <w:highlight w:val="none"/>
        </w:rPr>
        <w:t>、浙江求是招标代理有限公司</w:t>
      </w:r>
    </w:p>
    <w:p w14:paraId="3C6BFA3C">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2025年度浙江省助力产品质量提升重点攻坚（二）产品质量监督抽查抽样检验机构技术服务采购项目</w:t>
      </w:r>
      <w:r>
        <w:rPr>
          <w:rFonts w:hint="eastAsia" w:ascii="仿宋" w:hAnsi="仿宋" w:eastAsia="仿宋" w:cs="仿宋"/>
          <w:color w:val="auto"/>
          <w:spacing w:val="-6"/>
          <w:szCs w:val="21"/>
          <w:highlight w:val="none"/>
        </w:rPr>
        <w:t>的采购活动并承诺如下：</w:t>
      </w:r>
    </w:p>
    <w:p w14:paraId="1EAAA15E">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7F5AE736">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0E6A443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1A0C7CA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00F8B8E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62F70EB3">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14:paraId="4660186E">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21F59C0F">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14:paraId="5D2B11F0">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08854CA3">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14:paraId="33D32273">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62900C7F">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609D159F">
      <w:pPr>
        <w:adjustRightInd w:val="0"/>
        <w:snapToGrid w:val="0"/>
        <w:spacing w:line="360" w:lineRule="auto"/>
        <w:rPr>
          <w:rFonts w:ascii="仿宋" w:hAnsi="仿宋" w:eastAsia="仿宋" w:cs="仿宋"/>
          <w:color w:val="auto"/>
          <w:szCs w:val="21"/>
          <w:highlight w:val="none"/>
        </w:rPr>
      </w:pPr>
    </w:p>
    <w:p w14:paraId="3C9FEDEC">
      <w:pPr>
        <w:adjustRightInd w:val="0"/>
        <w:snapToGrid w:val="0"/>
        <w:spacing w:line="360" w:lineRule="auto"/>
        <w:rPr>
          <w:rFonts w:ascii="仿宋" w:hAnsi="仿宋" w:eastAsia="仿宋" w:cs="仿宋"/>
          <w:b/>
          <w:bCs/>
          <w:color w:val="auto"/>
          <w:spacing w:val="-6"/>
          <w:szCs w:val="21"/>
          <w:highlight w:val="none"/>
        </w:rPr>
      </w:pPr>
    </w:p>
    <w:p w14:paraId="44306C10">
      <w:pPr>
        <w:adjustRightInd w:val="0"/>
        <w:snapToGrid w:val="0"/>
        <w:spacing w:line="360" w:lineRule="auto"/>
        <w:rPr>
          <w:rFonts w:ascii="仿宋" w:hAnsi="仿宋" w:eastAsia="仿宋" w:cs="仿宋"/>
          <w:b/>
          <w:bCs/>
          <w:color w:val="auto"/>
          <w:spacing w:val="-6"/>
          <w:szCs w:val="21"/>
          <w:highlight w:val="none"/>
        </w:rPr>
      </w:pPr>
    </w:p>
    <w:p w14:paraId="4D5243A1">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62DF9EA4">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61F6AE7C">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57225F38">
      <w:pPr>
        <w:adjustRightInd w:val="0"/>
        <w:snapToGrid w:val="0"/>
        <w:spacing w:line="360" w:lineRule="auto"/>
        <w:jc w:val="center"/>
        <w:outlineLvl w:val="2"/>
        <w:rPr>
          <w:rFonts w:ascii="仿宋" w:hAnsi="仿宋" w:eastAsia="仿宋" w:cs="仿宋"/>
          <w:b/>
          <w:bCs/>
          <w:sz w:val="24"/>
          <w:szCs w:val="24"/>
          <w:highlight w:val="none"/>
        </w:rPr>
      </w:pPr>
      <w:r>
        <w:rPr>
          <w:rFonts w:hint="eastAsia" w:ascii="仿宋" w:hAnsi="仿宋" w:eastAsia="仿宋" w:cs="仿宋"/>
          <w:b/>
          <w:bCs/>
          <w:sz w:val="24"/>
          <w:szCs w:val="24"/>
          <w:highlight w:val="none"/>
        </w:rPr>
        <w:t>本项目的特定资格要求证明材料</w:t>
      </w:r>
    </w:p>
    <w:p w14:paraId="5828B196">
      <w:pPr>
        <w:spacing w:line="360" w:lineRule="auto"/>
        <w:jc w:val="center"/>
        <w:rPr>
          <w:rFonts w:ascii="仿宋" w:hAnsi="仿宋" w:eastAsia="仿宋" w:cs="仿宋"/>
          <w:b/>
          <w:bCs/>
          <w:spacing w:val="-6"/>
          <w:szCs w:val="21"/>
          <w:highlight w:val="none"/>
        </w:rPr>
      </w:pPr>
      <w:r>
        <w:rPr>
          <w:rFonts w:hint="eastAsia" w:ascii="仿宋" w:hAnsi="仿宋" w:eastAsia="仿宋" w:cs="仿宋"/>
          <w:b/>
          <w:bCs/>
          <w:spacing w:val="-6"/>
          <w:szCs w:val="21"/>
          <w:highlight w:val="none"/>
        </w:rPr>
        <w:t>国家认证认可监督管理委员会或市场监督管理部门颁发的有效期内的检验检测机构资质认定证书（CMA）</w:t>
      </w:r>
    </w:p>
    <w:p w14:paraId="29E64AFC">
      <w:pPr>
        <w:spacing w:line="360" w:lineRule="auto"/>
        <w:jc w:val="center"/>
        <w:rPr>
          <w:rFonts w:ascii="仿宋" w:hAnsi="仿宋" w:eastAsia="仿宋" w:cs="仿宋"/>
          <w:b/>
          <w:bCs/>
          <w:spacing w:val="-6"/>
          <w:szCs w:val="21"/>
          <w:highlight w:val="none"/>
        </w:rPr>
      </w:pPr>
      <w:r>
        <w:rPr>
          <w:rFonts w:hint="eastAsia" w:ascii="仿宋" w:hAnsi="仿宋" w:eastAsia="仿宋" w:cs="仿宋"/>
          <w:b/>
          <w:bCs/>
          <w:color w:val="auto"/>
          <w:sz w:val="18"/>
          <w:szCs w:val="18"/>
          <w:highlight w:val="none"/>
          <w:lang w:val="en-US" w:eastAsia="zh-CN"/>
        </w:rPr>
        <w:t>（联合体投标的，联合体各方均需提供）</w:t>
      </w:r>
    </w:p>
    <w:p w14:paraId="704499CF">
      <w:pPr>
        <w:spacing w:line="360" w:lineRule="auto"/>
        <w:rPr>
          <w:rFonts w:ascii="仿宋" w:hAnsi="仿宋" w:eastAsia="仿宋" w:cs="仿宋"/>
          <w:b/>
          <w:spacing w:val="-6"/>
          <w:sz w:val="24"/>
          <w:highlight w:val="none"/>
          <w:lang w:val="zh-CN"/>
        </w:rPr>
      </w:pPr>
    </w:p>
    <w:p w14:paraId="5A0A6E11">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说明：</w:t>
      </w:r>
    </w:p>
    <w:p w14:paraId="5BF7374B">
      <w:pPr>
        <w:adjustRightInd w:val="0"/>
        <w:snapToGrid w:val="0"/>
        <w:spacing w:line="360" w:lineRule="auto"/>
        <w:rPr>
          <w:rFonts w:ascii="仿宋" w:hAnsi="仿宋" w:eastAsia="仿宋" w:cs="仿宋"/>
          <w:b/>
          <w:bCs/>
          <w:sz w:val="18"/>
          <w:szCs w:val="18"/>
          <w:highlight w:val="none"/>
          <w:lang w:val="zh-CN"/>
        </w:rPr>
      </w:pPr>
      <w:r>
        <w:rPr>
          <w:rFonts w:hint="eastAsia" w:ascii="仿宋" w:hAnsi="仿宋" w:eastAsia="仿宋" w:cs="仿宋"/>
          <w:b/>
          <w:bCs/>
          <w:sz w:val="18"/>
          <w:szCs w:val="18"/>
          <w:highlight w:val="none"/>
          <w:lang w:val="zh-CN"/>
        </w:rPr>
        <w:t>国家质检中心或质检站承担检验工作的，可提供国家质检中心或质检站有效期内的检验检测机构资质认定证书（CMA）。</w:t>
      </w:r>
    </w:p>
    <w:p w14:paraId="5B59CF75">
      <w:pPr>
        <w:spacing w:line="360" w:lineRule="auto"/>
        <w:rPr>
          <w:rFonts w:ascii="仿宋" w:hAnsi="仿宋" w:eastAsia="仿宋" w:cs="仿宋"/>
          <w:b/>
          <w:spacing w:val="-6"/>
          <w:sz w:val="24"/>
          <w:highlight w:val="none"/>
          <w:lang w:val="zh-CN"/>
        </w:rPr>
      </w:pPr>
      <w:r>
        <w:rPr>
          <w:rFonts w:hint="eastAsia" w:ascii="仿宋" w:hAnsi="仿宋" w:eastAsia="仿宋" w:cs="仿宋"/>
          <w:b/>
          <w:spacing w:val="-6"/>
          <w:sz w:val="24"/>
          <w:highlight w:val="none"/>
          <w:lang w:val="zh-CN"/>
        </w:rPr>
        <w:br w:type="page"/>
      </w:r>
    </w:p>
    <w:p w14:paraId="4A8917A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联合协议</w:t>
      </w:r>
    </w:p>
    <w:p w14:paraId="305A5F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（若联合体投标）</w:t>
      </w:r>
    </w:p>
    <w:p w14:paraId="43B1E5C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14:paraId="0E6749B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说明：格式见附件2</w:t>
      </w:r>
    </w:p>
    <w:p w14:paraId="08ED9C18">
      <w:pPr>
        <w:adjustRightInd w:val="0"/>
        <w:snapToGrid w:val="0"/>
        <w:spacing w:line="360" w:lineRule="auto"/>
        <w:jc w:val="center"/>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pacing w:val="-6"/>
          <w:szCs w:val="21"/>
          <w:highlight w:val="none"/>
          <w:lang w:val="en-US" w:eastAsia="zh-CN"/>
        </w:rPr>
        <w:br w:type="page"/>
      </w:r>
      <w:r>
        <w:rPr>
          <w:rFonts w:hint="eastAsia" w:ascii="仿宋" w:hAnsi="仿宋" w:eastAsia="仿宋" w:cs="仿宋"/>
          <w:b/>
          <w:bCs/>
          <w:sz w:val="24"/>
          <w:szCs w:val="24"/>
          <w:highlight w:val="none"/>
          <w:lang w:val="zh-CN"/>
        </w:rPr>
        <w:t>分包意向协议</w:t>
      </w:r>
    </w:p>
    <w:p w14:paraId="52ECF1C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w:t>
      </w:r>
      <w:r>
        <w:rPr>
          <w:rFonts w:hint="eastAsia" w:ascii="仿宋" w:hAnsi="仿宋" w:eastAsia="仿宋" w:cs="仿宋"/>
          <w:b/>
          <w:bCs/>
          <w:sz w:val="18"/>
          <w:szCs w:val="18"/>
          <w:highlight w:val="none"/>
        </w:rPr>
        <w:t>中标后以分包方式履行合同的提供分包意向协议，采购人不同意分包或中标后不以分包方式履行合同的则不需要提供</w:t>
      </w:r>
      <w:r>
        <w:rPr>
          <w:rFonts w:hint="eastAsia" w:ascii="仿宋" w:hAnsi="仿宋" w:eastAsia="仿宋" w:cs="仿宋"/>
          <w:b/>
          <w:color w:val="auto"/>
          <w:spacing w:val="-6"/>
          <w:sz w:val="18"/>
          <w:szCs w:val="18"/>
          <w:highlight w:val="none"/>
          <w:lang w:val="en-US" w:eastAsia="zh-CN"/>
        </w:rPr>
        <w:t>）</w:t>
      </w:r>
    </w:p>
    <w:p w14:paraId="33A78C5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14:paraId="60719E7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说明：格式见附件3</w:t>
      </w:r>
    </w:p>
    <w:p w14:paraId="6AE43CD1">
      <w:pPr>
        <w:ind w:left="0" w:leftChars="0" w:right="0" w:rightChars="0" w:firstLine="0" w:firstLineChars="0"/>
        <w:jc w:val="center"/>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br w:type="page"/>
      </w:r>
    </w:p>
    <w:p w14:paraId="58AC0C48">
      <w:pPr>
        <w:ind w:left="0" w:leftChars="0" w:right="0" w:rightChars="0" w:firstLine="0" w:firstLineChars="0"/>
        <w:jc w:val="center"/>
        <w:rPr>
          <w:rFonts w:hint="eastAsia" w:ascii="仿宋" w:hAnsi="仿宋" w:eastAsia="仿宋" w:cs="仿宋"/>
          <w:b/>
          <w:color w:val="auto"/>
          <w:spacing w:val="-6"/>
          <w:szCs w:val="21"/>
          <w:highlight w:val="none"/>
          <w:lang w:val="en-US" w:eastAsia="zh-CN"/>
        </w:rPr>
      </w:pPr>
    </w:p>
    <w:p w14:paraId="30ACA33C">
      <w:pPr>
        <w:adjustRightInd w:val="0"/>
        <w:snapToGrid w:val="0"/>
        <w:spacing w:line="288" w:lineRule="auto"/>
        <w:jc w:val="center"/>
        <w:rPr>
          <w:rFonts w:ascii="仿宋" w:hAnsi="仿宋" w:eastAsia="仿宋" w:cs="仿宋"/>
          <w:b/>
          <w:bCs/>
          <w:color w:val="auto"/>
          <w:sz w:val="84"/>
          <w:szCs w:val="84"/>
          <w:highlight w:val="none"/>
        </w:rPr>
      </w:pPr>
    </w:p>
    <w:p w14:paraId="1C8B2AEC">
      <w:pPr>
        <w:adjustRightInd w:val="0"/>
        <w:snapToGrid w:val="0"/>
        <w:spacing w:line="288" w:lineRule="auto"/>
        <w:jc w:val="center"/>
        <w:rPr>
          <w:rFonts w:ascii="仿宋" w:hAnsi="仿宋" w:eastAsia="仿宋" w:cs="仿宋"/>
          <w:b/>
          <w:bCs/>
          <w:color w:val="auto"/>
          <w:sz w:val="84"/>
          <w:szCs w:val="84"/>
          <w:highlight w:val="none"/>
        </w:rPr>
      </w:pPr>
    </w:p>
    <w:p w14:paraId="077BC86E">
      <w:pPr>
        <w:adjustRightInd w:val="0"/>
        <w:snapToGrid w:val="0"/>
        <w:spacing w:line="288" w:lineRule="auto"/>
        <w:jc w:val="center"/>
        <w:rPr>
          <w:rFonts w:ascii="仿宋" w:hAnsi="仿宋" w:eastAsia="仿宋" w:cs="仿宋"/>
          <w:b/>
          <w:bCs/>
          <w:color w:val="auto"/>
          <w:sz w:val="84"/>
          <w:szCs w:val="84"/>
          <w:highlight w:val="none"/>
        </w:rPr>
      </w:pPr>
    </w:p>
    <w:p w14:paraId="32463174">
      <w:pPr>
        <w:adjustRightInd w:val="0"/>
        <w:snapToGrid w:val="0"/>
        <w:spacing w:line="288" w:lineRule="auto"/>
        <w:jc w:val="center"/>
        <w:rPr>
          <w:rFonts w:ascii="仿宋" w:hAnsi="仿宋" w:eastAsia="仿宋" w:cs="仿宋"/>
          <w:b/>
          <w:bCs/>
          <w:color w:val="auto"/>
          <w:sz w:val="84"/>
          <w:szCs w:val="84"/>
          <w:highlight w:val="none"/>
        </w:rPr>
      </w:pPr>
    </w:p>
    <w:p w14:paraId="21FE4C2A">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14:paraId="039E0411">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D30E9CE">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14:paraId="0D7C1021">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浙江省市场监督管理局</w:t>
      </w:r>
      <w:r>
        <w:rPr>
          <w:rFonts w:hint="eastAsia" w:ascii="仿宋" w:hAnsi="仿宋" w:eastAsia="仿宋" w:cs="仿宋"/>
          <w:b/>
          <w:bCs/>
          <w:color w:val="auto"/>
          <w:spacing w:val="-6"/>
          <w:szCs w:val="21"/>
          <w:highlight w:val="none"/>
        </w:rPr>
        <w:t>、浙江求是招标代理有限公司</w:t>
      </w:r>
    </w:p>
    <w:p w14:paraId="58D4371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2025年度浙江省助力产品质量提升重点攻坚（二）产品质量监督抽查抽样检验机构技术服务采购项目</w:t>
      </w:r>
      <w:r>
        <w:rPr>
          <w:rFonts w:hint="eastAsia" w:ascii="仿宋" w:hAnsi="仿宋" w:eastAsia="仿宋" w:cs="仿宋"/>
          <w:bCs/>
          <w:color w:val="auto"/>
          <w:spacing w:val="-6"/>
          <w:szCs w:val="21"/>
          <w:highlight w:val="none"/>
          <w:lang w:val="en-US" w:eastAsia="zh-CN"/>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QSZB-Z(F)-H25102(GK)]</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14:paraId="4DCB513D">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0F63CD6D">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14:paraId="400DABD6">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14:paraId="453315AA">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1B3BC02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14:paraId="7770F71E">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0768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635FEE1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14:paraId="7BFFB946">
            <w:pPr>
              <w:jc w:val="center"/>
              <w:rPr>
                <w:rFonts w:ascii="仿宋" w:hAnsi="仿宋" w:eastAsia="仿宋" w:cs="仿宋"/>
                <w:color w:val="auto"/>
                <w:szCs w:val="21"/>
                <w:highlight w:val="none"/>
              </w:rPr>
            </w:pPr>
          </w:p>
        </w:tc>
      </w:tr>
      <w:tr w14:paraId="01DF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B7A78B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14:paraId="477A5088">
            <w:pPr>
              <w:jc w:val="center"/>
              <w:rPr>
                <w:rFonts w:ascii="仿宋" w:hAnsi="仿宋" w:eastAsia="仿宋" w:cs="仿宋"/>
                <w:color w:val="auto"/>
                <w:szCs w:val="21"/>
                <w:highlight w:val="none"/>
              </w:rPr>
            </w:pPr>
          </w:p>
        </w:tc>
      </w:tr>
      <w:tr w14:paraId="3A61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31784D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14:paraId="15C943EF">
            <w:pPr>
              <w:jc w:val="center"/>
              <w:rPr>
                <w:rFonts w:ascii="仿宋" w:hAnsi="仿宋" w:eastAsia="仿宋" w:cs="仿宋"/>
                <w:color w:val="auto"/>
                <w:szCs w:val="21"/>
                <w:highlight w:val="none"/>
              </w:rPr>
            </w:pPr>
          </w:p>
        </w:tc>
      </w:tr>
      <w:tr w14:paraId="774A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6AA9FD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14:paraId="4A7FF600">
            <w:pPr>
              <w:jc w:val="center"/>
              <w:rPr>
                <w:rFonts w:ascii="仿宋" w:hAnsi="仿宋" w:eastAsia="仿宋" w:cs="仿宋"/>
                <w:color w:val="auto"/>
                <w:szCs w:val="21"/>
                <w:highlight w:val="none"/>
              </w:rPr>
            </w:pPr>
          </w:p>
        </w:tc>
      </w:tr>
      <w:tr w14:paraId="4BA3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12A1B17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14:paraId="78ED483E">
            <w:pPr>
              <w:jc w:val="center"/>
              <w:rPr>
                <w:rFonts w:ascii="仿宋" w:hAnsi="仿宋" w:eastAsia="仿宋" w:cs="仿宋"/>
                <w:color w:val="auto"/>
                <w:szCs w:val="21"/>
                <w:highlight w:val="none"/>
              </w:rPr>
            </w:pPr>
          </w:p>
        </w:tc>
      </w:tr>
      <w:tr w14:paraId="4663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DB0C02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14:paraId="13491B91">
            <w:pPr>
              <w:jc w:val="center"/>
              <w:rPr>
                <w:rFonts w:ascii="仿宋" w:hAnsi="仿宋" w:eastAsia="仿宋" w:cs="仿宋"/>
                <w:color w:val="auto"/>
                <w:szCs w:val="21"/>
                <w:highlight w:val="none"/>
              </w:rPr>
            </w:pPr>
          </w:p>
        </w:tc>
      </w:tr>
      <w:tr w14:paraId="4C18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2F59B70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14:paraId="3760EBB6">
            <w:pPr>
              <w:jc w:val="center"/>
              <w:rPr>
                <w:rFonts w:ascii="仿宋" w:hAnsi="仿宋" w:eastAsia="仿宋" w:cs="仿宋"/>
                <w:color w:val="auto"/>
                <w:szCs w:val="21"/>
                <w:highlight w:val="none"/>
              </w:rPr>
            </w:pPr>
          </w:p>
        </w:tc>
      </w:tr>
    </w:tbl>
    <w:p w14:paraId="6A892DB9">
      <w:pPr>
        <w:adjustRightInd w:val="0"/>
        <w:snapToGrid w:val="0"/>
        <w:spacing w:line="360" w:lineRule="auto"/>
        <w:rPr>
          <w:rFonts w:ascii="仿宋" w:hAnsi="仿宋" w:eastAsia="仿宋" w:cs="仿宋"/>
          <w:color w:val="auto"/>
          <w:spacing w:val="-6"/>
          <w:szCs w:val="21"/>
          <w:highlight w:val="none"/>
        </w:rPr>
      </w:pPr>
    </w:p>
    <w:p w14:paraId="5D96FF52">
      <w:pPr>
        <w:adjustRightInd w:val="0"/>
        <w:snapToGrid w:val="0"/>
        <w:spacing w:line="360" w:lineRule="auto"/>
        <w:rPr>
          <w:rFonts w:ascii="仿宋" w:hAnsi="仿宋" w:eastAsia="仿宋" w:cs="仿宋"/>
          <w:color w:val="auto"/>
          <w:spacing w:val="-6"/>
          <w:szCs w:val="21"/>
          <w:highlight w:val="none"/>
        </w:rPr>
      </w:pPr>
    </w:p>
    <w:p w14:paraId="11E29CC1">
      <w:pPr>
        <w:adjustRightInd w:val="0"/>
        <w:snapToGrid w:val="0"/>
        <w:spacing w:line="360" w:lineRule="auto"/>
        <w:rPr>
          <w:rFonts w:ascii="仿宋" w:hAnsi="仿宋" w:eastAsia="仿宋" w:cs="仿宋"/>
          <w:b/>
          <w:bCs/>
          <w:color w:val="auto"/>
          <w:spacing w:val="-6"/>
          <w:szCs w:val="21"/>
          <w:highlight w:val="none"/>
        </w:rPr>
      </w:pPr>
    </w:p>
    <w:p w14:paraId="2137B2FB">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129AE198">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58779136">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41F47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14:paraId="648757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03F9575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3547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21B82804">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14:paraId="215CEB54">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14:paraId="535C30DB">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48C285B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授权委托书</w:t>
      </w:r>
    </w:p>
    <w:p w14:paraId="6B9C34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pacing w:val="-6"/>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699A87F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浙江省市场监督管理局</w:t>
      </w:r>
      <w:r>
        <w:rPr>
          <w:rFonts w:hint="eastAsia" w:ascii="仿宋" w:hAnsi="仿宋" w:eastAsia="仿宋" w:cs="仿宋"/>
          <w:b/>
          <w:color w:val="auto"/>
          <w:spacing w:val="-6"/>
          <w:szCs w:val="21"/>
          <w:highlight w:val="none"/>
        </w:rPr>
        <w:t>、浙江求是招标代理有限公司</w:t>
      </w:r>
    </w:p>
    <w:p w14:paraId="5D8CF17A">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2025年度浙江省助力产品质量提升重点攻坚（二）产品质量监督抽查抽样检验机构技术服务采购项目</w:t>
      </w:r>
      <w:r>
        <w:rPr>
          <w:rFonts w:hint="eastAsia" w:ascii="仿宋" w:hAnsi="仿宋" w:eastAsia="仿宋" w:cs="仿宋"/>
          <w:bCs/>
          <w:color w:val="auto"/>
          <w:spacing w:val="-6"/>
          <w:szCs w:val="21"/>
          <w:highlight w:val="none"/>
          <w:lang w:val="en-US" w:eastAsia="zh-CN"/>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QSZB-Z(F)-H25102(GK)]</w:t>
      </w:r>
      <w:r>
        <w:rPr>
          <w:rFonts w:hint="eastAsia" w:ascii="仿宋" w:hAnsi="仿宋" w:eastAsia="仿宋" w:cs="仿宋"/>
          <w:bCs/>
          <w:color w:val="auto"/>
          <w:spacing w:val="-6"/>
          <w:szCs w:val="21"/>
          <w:highlight w:val="none"/>
          <w:lang w:val="en-US" w:eastAsia="zh-CN"/>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14:paraId="1C741294">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14:paraId="44B34DCC">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14:paraId="06A2B008">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14:paraId="0ABB05C5">
      <w:pPr>
        <w:adjustRightInd w:val="0"/>
        <w:snapToGrid w:val="0"/>
        <w:spacing w:line="360" w:lineRule="auto"/>
        <w:rPr>
          <w:rFonts w:ascii="仿宋" w:hAnsi="仿宋" w:eastAsia="仿宋" w:cs="仿宋"/>
          <w:color w:val="auto"/>
          <w:szCs w:val="21"/>
          <w:highlight w:val="none"/>
        </w:rPr>
      </w:pPr>
    </w:p>
    <w:p w14:paraId="53BDE5CD">
      <w:pPr>
        <w:adjustRightInd w:val="0"/>
        <w:snapToGrid w:val="0"/>
        <w:spacing w:line="360" w:lineRule="auto"/>
        <w:rPr>
          <w:rFonts w:ascii="仿宋" w:hAnsi="仿宋" w:eastAsia="仿宋" w:cs="仿宋"/>
          <w:b/>
          <w:bCs/>
          <w:color w:val="auto"/>
          <w:spacing w:val="-6"/>
          <w:szCs w:val="21"/>
          <w:highlight w:val="none"/>
        </w:rPr>
      </w:pPr>
    </w:p>
    <w:p w14:paraId="1AAE9022">
      <w:pPr>
        <w:adjustRightInd w:val="0"/>
        <w:snapToGrid w:val="0"/>
        <w:spacing w:line="360" w:lineRule="auto"/>
        <w:rPr>
          <w:rFonts w:ascii="仿宋" w:hAnsi="仿宋" w:eastAsia="仿宋" w:cs="仿宋"/>
          <w:b/>
          <w:bCs/>
          <w:color w:val="auto"/>
          <w:spacing w:val="-6"/>
          <w:szCs w:val="21"/>
          <w:highlight w:val="none"/>
        </w:rPr>
      </w:pPr>
    </w:p>
    <w:p w14:paraId="34C5E1E9">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1FF005EC">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0482E292">
      <w:pPr>
        <w:ind w:left="0" w:leftChars="0" w:right="0" w:rightChars="0" w:firstLine="0" w:firstLineChars="0"/>
        <w:jc w:val="both"/>
        <w:rPr>
          <w:rFonts w:hint="eastAsia" w:ascii="仿宋" w:hAnsi="仿宋" w:eastAsia="仿宋" w:cs="仿宋"/>
          <w:b/>
          <w:bCs/>
          <w:color w:val="auto"/>
          <w:sz w:val="24"/>
          <w:szCs w:val="24"/>
          <w:highlight w:val="none"/>
        </w:rPr>
      </w:pPr>
    </w:p>
    <w:p w14:paraId="05BE372F">
      <w:pPr>
        <w:ind w:left="0" w:leftChars="0" w:right="0" w:rightChars="0" w:firstLine="0" w:firstLineChars="0"/>
        <w:jc w:val="both"/>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：投标人是联合体的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14:paraId="53522BCF">
      <w:pPr>
        <w:ind w:left="0" w:leftChars="0" w:right="0" w:righ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75F5A17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lang w:eastAsia="zh-CN"/>
        </w:rPr>
        <w:t>2025年1月（含）至今任意一月</w:t>
      </w:r>
      <w:r>
        <w:rPr>
          <w:rFonts w:hint="eastAsia" w:ascii="仿宋" w:hAnsi="仿宋" w:eastAsia="仿宋" w:cs="仿宋"/>
          <w:b/>
          <w:bCs/>
          <w:color w:val="auto"/>
          <w:sz w:val="24"/>
          <w:szCs w:val="24"/>
          <w:highlight w:val="none"/>
        </w:rPr>
        <w:t>投标授权代表社保缴纳证明</w:t>
      </w:r>
    </w:p>
    <w:p w14:paraId="69F26EE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Cs w:val="21"/>
          <w:highlight w:val="none"/>
        </w:rPr>
      </w:pPr>
    </w:p>
    <w:p w14:paraId="4C0F0A48">
      <w:pPr>
        <w:adjustRightInd w:val="0"/>
        <w:snapToGrid w:val="0"/>
        <w:spacing w:line="360" w:lineRule="auto"/>
        <w:jc w:val="both"/>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lang w:val="en-US" w:eastAsia="zh-CN"/>
        </w:rPr>
        <w:t>说明：投标人委派不在本单位缴纳社保的人员作为授权代表的，在投标文件中说明具体原因、授权代表缴纳社保单位并附列该授权代表缴纳社保清单。</w:t>
      </w:r>
    </w:p>
    <w:p w14:paraId="59104450">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F62FF74">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14:paraId="05F6DE7C">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浙江省市场监督管理局</w:t>
      </w:r>
    </w:p>
    <w:p w14:paraId="70834E07">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2025年度浙江省助力产品质量提升重点攻坚（二）产品质量监督抽查抽样检验机构技术服务采购项目</w:t>
      </w:r>
    </w:p>
    <w:p w14:paraId="30B3B02E">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QSZB-Z(F)-H25102(GK)</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14:paraId="4648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B61AE3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480" w:type="dxa"/>
            <w:vAlign w:val="center"/>
          </w:tcPr>
          <w:p w14:paraId="6053107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招标文件要求</w:t>
            </w:r>
          </w:p>
        </w:tc>
        <w:tc>
          <w:tcPr>
            <w:tcW w:w="2911" w:type="dxa"/>
            <w:vAlign w:val="center"/>
          </w:tcPr>
          <w:p w14:paraId="02F81B1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响应规格</w:t>
            </w:r>
          </w:p>
        </w:tc>
        <w:tc>
          <w:tcPr>
            <w:tcW w:w="2407" w:type="dxa"/>
            <w:vAlign w:val="center"/>
          </w:tcPr>
          <w:p w14:paraId="0E08475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是否偏离（提供说明）</w:t>
            </w:r>
          </w:p>
        </w:tc>
      </w:tr>
      <w:tr w14:paraId="05E9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B0EC21A">
            <w:pPr>
              <w:rPr>
                <w:rFonts w:ascii="仿宋" w:hAnsi="仿宋" w:eastAsia="仿宋" w:cs="仿宋"/>
                <w:color w:val="auto"/>
                <w:szCs w:val="21"/>
                <w:highlight w:val="none"/>
              </w:rPr>
            </w:pPr>
            <w:r>
              <w:rPr>
                <w:rFonts w:hint="eastAsia" w:ascii="仿宋" w:hAnsi="仿宋" w:eastAsia="仿宋" w:cs="仿宋"/>
                <w:b/>
                <w:bCs/>
                <w:color w:val="auto"/>
                <w:szCs w:val="21"/>
                <w:highlight w:val="none"/>
              </w:rPr>
              <w:t>采购资金的支付方式、时间、条件（具体条款详见“第二章  采购需求”中相关内容）</w:t>
            </w:r>
          </w:p>
        </w:tc>
      </w:tr>
      <w:tr w14:paraId="1C57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993798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6DF45D17">
            <w:pPr>
              <w:keepNext w:val="0"/>
              <w:keepLines w:val="0"/>
              <w:pageBreakBefore w:val="0"/>
              <w:widowControl w:val="0"/>
              <w:kinsoku/>
              <w:wordWrap/>
              <w:overflowPunct/>
              <w:topLinePunct w:val="0"/>
              <w:autoSpaceDE/>
              <w:autoSpaceDN/>
              <w:bidi w:val="0"/>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支付方式</w:t>
            </w:r>
          </w:p>
        </w:tc>
        <w:tc>
          <w:tcPr>
            <w:tcW w:w="2911" w:type="dxa"/>
            <w:vAlign w:val="center"/>
          </w:tcPr>
          <w:p w14:paraId="51394D65">
            <w:pPr>
              <w:rPr>
                <w:rFonts w:ascii="仿宋" w:hAnsi="仿宋" w:eastAsia="仿宋" w:cs="仿宋"/>
                <w:color w:val="auto"/>
                <w:szCs w:val="21"/>
                <w:highlight w:val="none"/>
              </w:rPr>
            </w:pPr>
          </w:p>
        </w:tc>
        <w:tc>
          <w:tcPr>
            <w:tcW w:w="2407" w:type="dxa"/>
            <w:vAlign w:val="center"/>
          </w:tcPr>
          <w:p w14:paraId="7FA2D3C4">
            <w:pPr>
              <w:rPr>
                <w:rFonts w:ascii="仿宋" w:hAnsi="仿宋" w:eastAsia="仿宋" w:cs="仿宋"/>
                <w:color w:val="auto"/>
                <w:szCs w:val="21"/>
                <w:highlight w:val="none"/>
              </w:rPr>
            </w:pPr>
          </w:p>
        </w:tc>
      </w:tr>
      <w:tr w14:paraId="1A4F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3ED3B52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6495ED74">
            <w:pPr>
              <w:jc w:val="center"/>
              <w:rPr>
                <w:rFonts w:ascii="仿宋" w:hAnsi="仿宋" w:eastAsia="仿宋" w:cs="仿宋"/>
                <w:color w:val="auto"/>
                <w:szCs w:val="21"/>
                <w:highlight w:val="none"/>
              </w:rPr>
            </w:pPr>
            <w:r>
              <w:rPr>
                <w:rFonts w:hint="eastAsia" w:ascii="仿宋" w:hAnsi="仿宋" w:eastAsia="仿宋" w:cs="仿宋"/>
                <w:b/>
                <w:bCs/>
                <w:szCs w:val="21"/>
                <w:highlight w:val="none"/>
              </w:rPr>
              <w:t>支付时间及条件</w:t>
            </w:r>
          </w:p>
        </w:tc>
        <w:tc>
          <w:tcPr>
            <w:tcW w:w="2911" w:type="dxa"/>
            <w:vAlign w:val="center"/>
          </w:tcPr>
          <w:p w14:paraId="47800512">
            <w:pPr>
              <w:rPr>
                <w:rFonts w:ascii="仿宋" w:hAnsi="仿宋" w:eastAsia="仿宋" w:cs="仿宋"/>
                <w:color w:val="auto"/>
                <w:szCs w:val="21"/>
                <w:highlight w:val="none"/>
              </w:rPr>
            </w:pPr>
          </w:p>
        </w:tc>
        <w:tc>
          <w:tcPr>
            <w:tcW w:w="2407" w:type="dxa"/>
            <w:vAlign w:val="center"/>
          </w:tcPr>
          <w:p w14:paraId="7A3EE202">
            <w:pPr>
              <w:rPr>
                <w:rFonts w:ascii="仿宋" w:hAnsi="仿宋" w:eastAsia="仿宋" w:cs="仿宋"/>
                <w:color w:val="auto"/>
                <w:szCs w:val="21"/>
                <w:highlight w:val="none"/>
              </w:rPr>
            </w:pPr>
          </w:p>
        </w:tc>
      </w:tr>
      <w:tr w14:paraId="3807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7C1376D">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3480" w:type="dxa"/>
            <w:vAlign w:val="center"/>
          </w:tcPr>
          <w:p w14:paraId="4537B664">
            <w:pPr>
              <w:jc w:val="center"/>
              <w:rPr>
                <w:rFonts w:ascii="仿宋" w:hAnsi="仿宋" w:eastAsia="仿宋" w:cs="仿宋"/>
                <w:color w:val="auto"/>
                <w:szCs w:val="21"/>
                <w:highlight w:val="none"/>
              </w:rPr>
            </w:pPr>
            <w:r>
              <w:rPr>
                <w:rFonts w:hint="eastAsia" w:ascii="仿宋" w:hAnsi="仿宋" w:eastAsia="仿宋" w:cs="仿宋"/>
                <w:b/>
                <w:bCs/>
                <w:szCs w:val="21"/>
                <w:highlight w:val="none"/>
              </w:rPr>
              <w:t>履约保证金</w:t>
            </w:r>
          </w:p>
        </w:tc>
        <w:tc>
          <w:tcPr>
            <w:tcW w:w="2911" w:type="dxa"/>
            <w:vAlign w:val="center"/>
          </w:tcPr>
          <w:p w14:paraId="56A1D85B">
            <w:pPr>
              <w:rPr>
                <w:rFonts w:ascii="仿宋" w:hAnsi="仿宋" w:eastAsia="仿宋" w:cs="仿宋"/>
                <w:color w:val="auto"/>
                <w:szCs w:val="21"/>
                <w:highlight w:val="none"/>
              </w:rPr>
            </w:pPr>
          </w:p>
        </w:tc>
        <w:tc>
          <w:tcPr>
            <w:tcW w:w="2407" w:type="dxa"/>
            <w:vAlign w:val="center"/>
          </w:tcPr>
          <w:p w14:paraId="55C6875F">
            <w:pPr>
              <w:rPr>
                <w:rFonts w:ascii="仿宋" w:hAnsi="仿宋" w:eastAsia="仿宋" w:cs="仿宋"/>
                <w:color w:val="auto"/>
                <w:szCs w:val="21"/>
                <w:highlight w:val="none"/>
              </w:rPr>
            </w:pPr>
          </w:p>
        </w:tc>
      </w:tr>
      <w:tr w14:paraId="212A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71CE01A">
            <w:pPr>
              <w:rPr>
                <w:rFonts w:ascii="仿宋" w:hAnsi="仿宋" w:eastAsia="仿宋" w:cs="仿宋"/>
                <w:color w:val="auto"/>
                <w:szCs w:val="21"/>
                <w:highlight w:val="none"/>
              </w:rPr>
            </w:pPr>
            <w:r>
              <w:rPr>
                <w:rFonts w:hint="eastAsia" w:ascii="仿宋" w:hAnsi="仿宋" w:eastAsia="仿宋" w:cs="仿宋"/>
                <w:b/>
                <w:bCs/>
                <w:color w:val="auto"/>
                <w:szCs w:val="21"/>
                <w:highlight w:val="none"/>
              </w:rPr>
              <w:t>服务要求（具体条款详见“第二章  采购需求”中相关内容）</w:t>
            </w:r>
          </w:p>
        </w:tc>
      </w:tr>
      <w:tr w14:paraId="57C9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0F5501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0A4EB4C2">
            <w:pPr>
              <w:jc w:val="center"/>
              <w:rPr>
                <w:rFonts w:ascii="仿宋" w:hAnsi="仿宋" w:eastAsia="仿宋" w:cs="仿宋"/>
                <w:color w:val="auto"/>
                <w:szCs w:val="21"/>
                <w:highlight w:val="none"/>
              </w:rPr>
            </w:pPr>
            <w:r>
              <w:rPr>
                <w:rFonts w:hint="eastAsia" w:ascii="仿宋" w:hAnsi="仿宋" w:eastAsia="仿宋" w:cs="仿宋"/>
                <w:b/>
                <w:bCs/>
                <w:szCs w:val="21"/>
                <w:highlight w:val="none"/>
              </w:rPr>
              <w:t>需实现的功能或者目标</w:t>
            </w:r>
          </w:p>
        </w:tc>
        <w:tc>
          <w:tcPr>
            <w:tcW w:w="2911" w:type="dxa"/>
            <w:vAlign w:val="center"/>
          </w:tcPr>
          <w:p w14:paraId="5623E96B">
            <w:pPr>
              <w:rPr>
                <w:rFonts w:ascii="仿宋" w:hAnsi="仿宋" w:eastAsia="仿宋" w:cs="仿宋"/>
                <w:color w:val="auto"/>
                <w:szCs w:val="21"/>
                <w:highlight w:val="none"/>
              </w:rPr>
            </w:pPr>
          </w:p>
        </w:tc>
        <w:tc>
          <w:tcPr>
            <w:tcW w:w="2407" w:type="dxa"/>
            <w:vAlign w:val="center"/>
          </w:tcPr>
          <w:p w14:paraId="26253480">
            <w:pPr>
              <w:rPr>
                <w:rFonts w:ascii="仿宋" w:hAnsi="仿宋" w:eastAsia="仿宋" w:cs="仿宋"/>
                <w:color w:val="auto"/>
                <w:szCs w:val="21"/>
                <w:highlight w:val="none"/>
              </w:rPr>
            </w:pPr>
          </w:p>
        </w:tc>
      </w:tr>
      <w:tr w14:paraId="5EEF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1E4B214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374A97DF">
            <w:pPr>
              <w:jc w:val="center"/>
              <w:rPr>
                <w:rFonts w:ascii="仿宋" w:hAnsi="仿宋" w:eastAsia="仿宋" w:cs="仿宋"/>
                <w:color w:val="auto"/>
                <w:szCs w:val="21"/>
                <w:highlight w:val="none"/>
              </w:rPr>
            </w:pPr>
            <w:r>
              <w:rPr>
                <w:rFonts w:hint="eastAsia" w:ascii="仿宋" w:hAnsi="仿宋" w:eastAsia="仿宋" w:cs="仿宋"/>
                <w:b/>
                <w:bCs/>
                <w:color w:val="auto"/>
                <w:sz w:val="21"/>
                <w:szCs w:val="21"/>
                <w:highlight w:val="none"/>
              </w:rPr>
              <w:t>需满足的服务要求</w:t>
            </w:r>
          </w:p>
        </w:tc>
        <w:tc>
          <w:tcPr>
            <w:tcW w:w="2911" w:type="dxa"/>
            <w:vAlign w:val="center"/>
          </w:tcPr>
          <w:p w14:paraId="055905DD">
            <w:pPr>
              <w:rPr>
                <w:rFonts w:ascii="仿宋" w:hAnsi="仿宋" w:eastAsia="仿宋" w:cs="仿宋"/>
                <w:color w:val="auto"/>
                <w:szCs w:val="21"/>
                <w:highlight w:val="none"/>
              </w:rPr>
            </w:pPr>
          </w:p>
        </w:tc>
        <w:tc>
          <w:tcPr>
            <w:tcW w:w="2407" w:type="dxa"/>
            <w:vAlign w:val="center"/>
          </w:tcPr>
          <w:p w14:paraId="5945B61E">
            <w:pPr>
              <w:rPr>
                <w:rFonts w:ascii="仿宋" w:hAnsi="仿宋" w:eastAsia="仿宋" w:cs="仿宋"/>
                <w:color w:val="auto"/>
                <w:szCs w:val="21"/>
                <w:highlight w:val="none"/>
              </w:rPr>
            </w:pPr>
          </w:p>
        </w:tc>
      </w:tr>
      <w:tr w14:paraId="373B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2C33B1F">
            <w:pPr>
              <w:rPr>
                <w:rFonts w:ascii="仿宋" w:hAnsi="仿宋" w:eastAsia="仿宋" w:cs="仿宋"/>
                <w:color w:val="auto"/>
                <w:szCs w:val="21"/>
                <w:highlight w:val="none"/>
              </w:rPr>
            </w:pPr>
            <w:r>
              <w:rPr>
                <w:rFonts w:hint="eastAsia" w:ascii="仿宋" w:hAnsi="仿宋" w:eastAsia="仿宋" w:cs="仿宋"/>
                <w:b/>
                <w:bCs/>
                <w:color w:val="auto"/>
                <w:szCs w:val="21"/>
                <w:highlight w:val="none"/>
              </w:rPr>
              <w:t>合同条款（具体条款详见“第五章  拟签订的合同文本”中相关内容）</w:t>
            </w:r>
          </w:p>
        </w:tc>
      </w:tr>
      <w:tr w14:paraId="73F8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2861710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31D93C31">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拟签订的合同文本中所有内容</w:t>
            </w:r>
          </w:p>
        </w:tc>
        <w:tc>
          <w:tcPr>
            <w:tcW w:w="2911" w:type="dxa"/>
            <w:vAlign w:val="center"/>
          </w:tcPr>
          <w:p w14:paraId="7ED0DEF0">
            <w:pPr>
              <w:rPr>
                <w:rFonts w:ascii="仿宋" w:hAnsi="仿宋" w:eastAsia="仿宋" w:cs="仿宋"/>
                <w:color w:val="auto"/>
                <w:szCs w:val="21"/>
                <w:highlight w:val="none"/>
              </w:rPr>
            </w:pPr>
          </w:p>
        </w:tc>
        <w:tc>
          <w:tcPr>
            <w:tcW w:w="2407" w:type="dxa"/>
            <w:vAlign w:val="center"/>
          </w:tcPr>
          <w:p w14:paraId="6F4FDF94">
            <w:pPr>
              <w:rPr>
                <w:rFonts w:ascii="仿宋" w:hAnsi="仿宋" w:eastAsia="仿宋" w:cs="仿宋"/>
                <w:color w:val="auto"/>
                <w:szCs w:val="21"/>
                <w:highlight w:val="none"/>
              </w:rPr>
            </w:pPr>
          </w:p>
        </w:tc>
      </w:tr>
    </w:tbl>
    <w:p w14:paraId="78169E48">
      <w:pPr>
        <w:adjustRightInd w:val="0"/>
        <w:snapToGrid w:val="0"/>
        <w:spacing w:line="360" w:lineRule="auto"/>
        <w:rPr>
          <w:rFonts w:ascii="仿宋" w:hAnsi="仿宋" w:eastAsia="仿宋" w:cs="仿宋"/>
          <w:color w:val="auto"/>
          <w:szCs w:val="21"/>
          <w:highlight w:val="none"/>
        </w:rPr>
      </w:pPr>
    </w:p>
    <w:p w14:paraId="0575B552">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4FD501D7">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14:paraId="45A46583">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正偏离（高于采购需求）、负偏离（低于采购需求）、无偏离（满足采购需求）；</w:t>
      </w:r>
    </w:p>
    <w:p w14:paraId="4AF20BF8">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14:paraId="0DF91FEE">
      <w:pPr>
        <w:adjustRightInd w:val="0"/>
        <w:snapToGrid w:val="0"/>
        <w:spacing w:line="360" w:lineRule="auto"/>
        <w:rPr>
          <w:rFonts w:ascii="仿宋" w:hAnsi="仿宋" w:eastAsia="仿宋" w:cs="仿宋"/>
          <w:color w:val="auto"/>
          <w:szCs w:val="21"/>
          <w:highlight w:val="none"/>
        </w:rPr>
      </w:pPr>
    </w:p>
    <w:p w14:paraId="625B2C6F">
      <w:pPr>
        <w:adjustRightInd w:val="0"/>
        <w:snapToGrid w:val="0"/>
        <w:spacing w:line="360" w:lineRule="auto"/>
        <w:rPr>
          <w:rFonts w:ascii="仿宋" w:hAnsi="仿宋" w:eastAsia="仿宋" w:cs="仿宋"/>
          <w:color w:val="auto"/>
          <w:szCs w:val="21"/>
          <w:highlight w:val="none"/>
        </w:rPr>
      </w:pPr>
    </w:p>
    <w:p w14:paraId="70441CEC">
      <w:pPr>
        <w:adjustRightInd w:val="0"/>
        <w:snapToGrid w:val="0"/>
        <w:spacing w:line="360" w:lineRule="auto"/>
        <w:rPr>
          <w:rFonts w:ascii="仿宋" w:hAnsi="仿宋" w:eastAsia="仿宋" w:cs="仿宋"/>
          <w:color w:val="auto"/>
          <w:szCs w:val="21"/>
          <w:highlight w:val="none"/>
        </w:rPr>
      </w:pPr>
    </w:p>
    <w:p w14:paraId="47A7197F">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C4E6EEF">
      <w:pPr>
        <w:pStyle w:val="2"/>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3E3796DC">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10B92BCD">
      <w:pPr>
        <w:adjustRightInd w:val="0"/>
        <w:snapToGrid w:val="0"/>
        <w:spacing w:line="360" w:lineRule="auto"/>
        <w:jc w:val="center"/>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投标人同类合同实施情况一览表</w:t>
      </w:r>
    </w:p>
    <w:tbl>
      <w:tblPr>
        <w:tblStyle w:val="2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795FE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17DC6A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01AE13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35C583B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48A8E90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3E7813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629282E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C8789A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47EB2D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4B96A5C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14:paraId="73FACA6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7951C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0D6F180F">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5C13451">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CD26F50">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10391C1">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4EAEBAE">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2CE87DA">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7D9000B">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4BCD020">
            <w:pPr>
              <w:jc w:val="center"/>
              <w:rPr>
                <w:rFonts w:ascii="仿宋" w:hAnsi="仿宋" w:eastAsia="仿宋" w:cs="仿宋"/>
                <w:b/>
                <w:bCs/>
                <w:color w:val="auto"/>
                <w:szCs w:val="21"/>
                <w:highlight w:val="none"/>
              </w:rPr>
            </w:pPr>
          </w:p>
        </w:tc>
      </w:tr>
      <w:tr w14:paraId="32BF8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4F14502D">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0FC2DDC">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4022E0C">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CD8546A">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6AF1CEB">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D7EAD24">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57FA0FA">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84B67E2">
            <w:pPr>
              <w:jc w:val="center"/>
              <w:rPr>
                <w:rFonts w:ascii="仿宋" w:hAnsi="仿宋" w:eastAsia="仿宋" w:cs="仿宋"/>
                <w:b/>
                <w:bCs/>
                <w:color w:val="auto"/>
                <w:szCs w:val="21"/>
                <w:highlight w:val="none"/>
              </w:rPr>
            </w:pPr>
          </w:p>
        </w:tc>
      </w:tr>
      <w:tr w14:paraId="6BB2D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4E15B373">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BFB480">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7281277">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D1012FA">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661BDED">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F434D30">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E353E5E">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BC89662">
            <w:pPr>
              <w:jc w:val="center"/>
              <w:rPr>
                <w:rFonts w:ascii="仿宋" w:hAnsi="仿宋" w:eastAsia="仿宋" w:cs="仿宋"/>
                <w:b/>
                <w:bCs/>
                <w:color w:val="auto"/>
                <w:szCs w:val="21"/>
                <w:highlight w:val="none"/>
              </w:rPr>
            </w:pPr>
          </w:p>
        </w:tc>
      </w:tr>
      <w:tr w14:paraId="32620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6B3D9941">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E99CD80">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7429684">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A8A6ECB">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659E3F0">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58316C8">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86FB7F0">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3E5F226">
            <w:pPr>
              <w:jc w:val="center"/>
              <w:rPr>
                <w:rFonts w:ascii="仿宋" w:hAnsi="仿宋" w:eastAsia="仿宋" w:cs="仿宋"/>
                <w:b/>
                <w:bCs/>
                <w:color w:val="auto"/>
                <w:szCs w:val="21"/>
                <w:highlight w:val="none"/>
              </w:rPr>
            </w:pPr>
          </w:p>
        </w:tc>
      </w:tr>
      <w:tr w14:paraId="55D05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340B79A">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45E0603">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C59CA5D">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BF98A1A">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9356354">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CFC48C4">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64983D9">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35521E36">
            <w:pPr>
              <w:jc w:val="center"/>
              <w:rPr>
                <w:rFonts w:ascii="仿宋" w:hAnsi="仿宋" w:eastAsia="仿宋" w:cs="仿宋"/>
                <w:b/>
                <w:bCs/>
                <w:color w:val="auto"/>
                <w:szCs w:val="21"/>
                <w:highlight w:val="none"/>
              </w:rPr>
            </w:pPr>
          </w:p>
        </w:tc>
      </w:tr>
    </w:tbl>
    <w:p w14:paraId="21D5D379">
      <w:pPr>
        <w:pStyle w:val="23"/>
        <w:spacing w:line="360" w:lineRule="auto"/>
        <w:ind w:left="420" w:hanging="420"/>
        <w:rPr>
          <w:rFonts w:ascii="仿宋" w:hAnsi="仿宋" w:eastAsia="仿宋" w:cs="仿宋"/>
          <w:color w:val="auto"/>
          <w:sz w:val="21"/>
          <w:szCs w:val="21"/>
          <w:highlight w:val="none"/>
        </w:rPr>
      </w:pPr>
    </w:p>
    <w:p w14:paraId="7EB947BB">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14:paraId="7B2BB06E">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1.投标人须提供上述业绩相应文件或委托合同；</w:t>
      </w:r>
    </w:p>
    <w:p w14:paraId="5232916C">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14:paraId="54F3FC8A">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14:paraId="1C5D9D4B">
      <w:pPr>
        <w:adjustRightInd w:val="0"/>
        <w:snapToGrid w:val="0"/>
        <w:spacing w:line="360" w:lineRule="auto"/>
        <w:rPr>
          <w:rFonts w:ascii="仿宋" w:hAnsi="仿宋" w:eastAsia="仿宋" w:cs="仿宋"/>
          <w:color w:val="auto"/>
          <w:szCs w:val="21"/>
          <w:highlight w:val="none"/>
        </w:rPr>
      </w:pPr>
    </w:p>
    <w:p w14:paraId="6F04C0AE">
      <w:pPr>
        <w:adjustRightInd w:val="0"/>
        <w:snapToGrid w:val="0"/>
        <w:spacing w:line="360" w:lineRule="auto"/>
        <w:rPr>
          <w:rFonts w:ascii="仿宋" w:hAnsi="仿宋" w:eastAsia="仿宋" w:cs="仿宋"/>
          <w:color w:val="auto"/>
          <w:szCs w:val="21"/>
          <w:highlight w:val="none"/>
        </w:rPr>
      </w:pPr>
    </w:p>
    <w:p w14:paraId="414AFEE9">
      <w:pPr>
        <w:adjustRightInd w:val="0"/>
        <w:snapToGrid w:val="0"/>
        <w:spacing w:line="360" w:lineRule="auto"/>
        <w:rPr>
          <w:rFonts w:ascii="仿宋" w:hAnsi="仿宋" w:eastAsia="仿宋" w:cs="仿宋"/>
          <w:b/>
          <w:bCs/>
          <w:color w:val="auto"/>
          <w:spacing w:val="-6"/>
          <w:szCs w:val="21"/>
          <w:highlight w:val="none"/>
        </w:rPr>
      </w:pPr>
    </w:p>
    <w:p w14:paraId="2A048B10">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32FA458A">
      <w:pPr>
        <w:pStyle w:val="2"/>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3F4EA348">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6BE4C5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商务分评审相关证明材料</w:t>
      </w:r>
    </w:p>
    <w:p w14:paraId="2FB83F86">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说明：投标人可根据自身情况提供，</w:t>
      </w:r>
      <w:r>
        <w:rPr>
          <w:rFonts w:ascii="仿宋" w:hAnsi="仿宋" w:eastAsia="仿宋" w:cs="仿宋"/>
          <w:b/>
          <w:bCs/>
          <w:spacing w:val="-6"/>
          <w:sz w:val="18"/>
          <w:szCs w:val="18"/>
          <w:highlight w:val="none"/>
        </w:rPr>
        <w:t>包括但不限于履约信用的承诺函或说明等相关证明材料</w:t>
      </w:r>
      <w:r>
        <w:rPr>
          <w:rFonts w:hint="eastAsia" w:ascii="仿宋" w:hAnsi="仿宋" w:eastAsia="仿宋" w:cs="仿宋"/>
          <w:b/>
          <w:color w:val="auto"/>
          <w:spacing w:val="-6"/>
          <w:sz w:val="18"/>
          <w:szCs w:val="18"/>
          <w:highlight w:val="none"/>
          <w:lang w:val="en-US" w:eastAsia="zh-CN"/>
        </w:rPr>
        <w:t>。</w:t>
      </w:r>
    </w:p>
    <w:p w14:paraId="6BCDF090">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7487D0CB">
      <w:pPr>
        <w:keepNext w:val="0"/>
        <w:keepLines w:val="0"/>
        <w:pageBreakBefore w:val="0"/>
        <w:kinsoku/>
        <w:wordWrap/>
        <w:overflowPunct/>
        <w:topLinePunct w:val="0"/>
        <w:autoSpaceDE/>
        <w:autoSpaceDN/>
        <w:bidi w:val="0"/>
        <w:spacing w:line="360" w:lineRule="auto"/>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lang w:val="en-US" w:eastAsia="zh-CN"/>
        </w:rPr>
        <w:t>服务</w:t>
      </w:r>
      <w:r>
        <w:rPr>
          <w:rFonts w:hint="eastAsia" w:ascii="仿宋" w:hAnsi="仿宋" w:eastAsia="仿宋" w:cs="仿宋"/>
          <w:b/>
          <w:color w:val="auto"/>
          <w:spacing w:val="-6"/>
          <w:sz w:val="24"/>
          <w:highlight w:val="none"/>
        </w:rPr>
        <w:t>方案</w:t>
      </w:r>
    </w:p>
    <w:p w14:paraId="4CE15E0B">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根据评分细则提供和编写（格式自拟），包括但不仅限于：</w:t>
      </w:r>
    </w:p>
    <w:p w14:paraId="41A62411">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1.所投项目相关产品国内产业、行业现状介绍、省内企业数量、产业模式的报告</w:t>
      </w:r>
    </w:p>
    <w:p w14:paraId="5B3B7DE8">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2.管理制度及质量管理体系</w:t>
      </w:r>
    </w:p>
    <w:p w14:paraId="616146CB">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2.1 管理制度健全程度</w:t>
      </w:r>
    </w:p>
    <w:p w14:paraId="574DAC5A">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2.2 质量管理体系完善程度</w:t>
      </w:r>
    </w:p>
    <w:p w14:paraId="687CB1B4">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 xml:space="preserve">3.具体实施方案 </w:t>
      </w:r>
    </w:p>
    <w:p w14:paraId="2357520C">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3.1 抽查时间进度计划及安排</w:t>
      </w:r>
    </w:p>
    <w:p w14:paraId="51D372CA">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3.2 抽样安排</w:t>
      </w:r>
    </w:p>
    <w:p w14:paraId="501C5957">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3.3 样品物流安排</w:t>
      </w:r>
    </w:p>
    <w:p w14:paraId="727A6EE6">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3.4 检验工作安排</w:t>
      </w:r>
    </w:p>
    <w:p w14:paraId="0B65955D">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3.5 检验结果报送</w:t>
      </w:r>
    </w:p>
    <w:p w14:paraId="7453789B">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3.6 异议复检安排</w:t>
      </w:r>
    </w:p>
    <w:p w14:paraId="31D1F1F8">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3.7 样品保存、处置具体方案</w:t>
      </w:r>
    </w:p>
    <w:p w14:paraId="5C7E2DCE">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4.场地、设备配置</w:t>
      </w:r>
    </w:p>
    <w:p w14:paraId="6A41C345">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4.1 配备检测设备的设备清单、照片、购置合同或购置发票、校准报告、检定证书等相关证明材料，在计量检定（校准）有效期内</w:t>
      </w:r>
    </w:p>
    <w:p w14:paraId="36416B44">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4.2 配备抽样现场信息记录仪器的设备清单、照片、购置合同或购置发票等相关证明材料</w:t>
      </w:r>
    </w:p>
    <w:p w14:paraId="18F0C567">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4.3 拟投入项目专用采样车的车辆信息及照片、租赁证明或行驶证、保险复印件等相关证明材料</w:t>
      </w:r>
    </w:p>
    <w:p w14:paraId="35AE91FB">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4.4 独立、固定的检测及仓储场所场所产权证明或有效租赁合同等相关证明材料</w:t>
      </w:r>
    </w:p>
    <w:p w14:paraId="4D59CF59">
      <w:pPr>
        <w:widowControl/>
        <w:adjustRightInd w:val="0"/>
        <w:snapToGrid w:val="0"/>
        <w:spacing w:line="360" w:lineRule="auto"/>
        <w:ind w:firstLine="169" w:firstLineChars="100"/>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4.5 检测及仓储场所布置</w:t>
      </w:r>
    </w:p>
    <w:p w14:paraId="65DB51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spacing w:val="-6"/>
          <w:sz w:val="18"/>
          <w:szCs w:val="18"/>
          <w:highlight w:val="none"/>
        </w:rPr>
        <w:t>5.突发及应急服务方案（包括但不仅限于产品质量突发性、应急性等事件）</w:t>
      </w:r>
    </w:p>
    <w:p w14:paraId="652B764F">
      <w:pPr>
        <w:rPr>
          <w:rFonts w:hint="eastAsia" w:ascii="仿宋" w:hAnsi="仿宋" w:eastAsia="仿宋" w:cs="仿宋"/>
          <w:b/>
          <w:color w:val="auto"/>
          <w:spacing w:val="-6"/>
          <w:sz w:val="18"/>
          <w:szCs w:val="18"/>
          <w:highlight w:val="none"/>
          <w:lang w:eastAsia="zh-CN"/>
        </w:rPr>
      </w:pPr>
      <w:r>
        <w:rPr>
          <w:rFonts w:hint="eastAsia" w:ascii="仿宋" w:hAnsi="仿宋" w:eastAsia="仿宋" w:cs="仿宋"/>
          <w:b/>
          <w:color w:val="auto"/>
          <w:spacing w:val="-6"/>
          <w:sz w:val="18"/>
          <w:szCs w:val="18"/>
          <w:highlight w:val="none"/>
          <w:lang w:eastAsia="zh-CN"/>
        </w:rPr>
        <w:br w:type="page"/>
      </w:r>
    </w:p>
    <w:p w14:paraId="462C741B">
      <w:pPr>
        <w:spacing w:line="360" w:lineRule="auto"/>
        <w:jc w:val="center"/>
        <w:outlineLvl w:val="2"/>
        <w:rPr>
          <w:rFonts w:ascii="仿宋" w:hAnsi="仿宋" w:eastAsia="仿宋" w:cs="仿宋"/>
          <w:b/>
          <w:bCs/>
          <w:iCs/>
          <w:color w:val="auto"/>
          <w:spacing w:val="-6"/>
          <w:sz w:val="24"/>
          <w:highlight w:val="none"/>
        </w:rPr>
      </w:pPr>
      <w:r>
        <w:rPr>
          <w:rFonts w:hint="eastAsia" w:ascii="仿宋" w:hAnsi="仿宋" w:eastAsia="仿宋" w:cs="仿宋"/>
          <w:b/>
          <w:bCs/>
          <w:iCs/>
          <w:color w:val="auto"/>
          <w:spacing w:val="-6"/>
          <w:sz w:val="24"/>
          <w:highlight w:val="none"/>
        </w:rPr>
        <w:t>服务团队人员一览表</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23"/>
        <w:gridCol w:w="1991"/>
        <w:gridCol w:w="872"/>
        <w:gridCol w:w="873"/>
        <w:gridCol w:w="1186"/>
        <w:gridCol w:w="819"/>
        <w:gridCol w:w="2160"/>
      </w:tblGrid>
      <w:tr w14:paraId="247D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635262A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023" w:type="dxa"/>
            <w:vAlign w:val="center"/>
          </w:tcPr>
          <w:p w14:paraId="0240DDA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姓名</w:t>
            </w:r>
          </w:p>
        </w:tc>
        <w:tc>
          <w:tcPr>
            <w:tcW w:w="1991" w:type="dxa"/>
            <w:vAlign w:val="center"/>
          </w:tcPr>
          <w:p w14:paraId="3B8E348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本项目拟任岗位</w:t>
            </w:r>
          </w:p>
        </w:tc>
        <w:tc>
          <w:tcPr>
            <w:tcW w:w="872" w:type="dxa"/>
            <w:vAlign w:val="center"/>
          </w:tcPr>
          <w:p w14:paraId="0F64AD6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性别</w:t>
            </w:r>
          </w:p>
        </w:tc>
        <w:tc>
          <w:tcPr>
            <w:tcW w:w="873" w:type="dxa"/>
            <w:vAlign w:val="center"/>
          </w:tcPr>
          <w:p w14:paraId="048C25B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年龄</w:t>
            </w:r>
          </w:p>
        </w:tc>
        <w:tc>
          <w:tcPr>
            <w:tcW w:w="1186" w:type="dxa"/>
            <w:vAlign w:val="center"/>
          </w:tcPr>
          <w:p w14:paraId="7059B56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本岗年龄</w:t>
            </w:r>
          </w:p>
        </w:tc>
        <w:tc>
          <w:tcPr>
            <w:tcW w:w="819" w:type="dxa"/>
            <w:vAlign w:val="center"/>
          </w:tcPr>
          <w:p w14:paraId="76E19B4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专业</w:t>
            </w:r>
          </w:p>
        </w:tc>
        <w:tc>
          <w:tcPr>
            <w:tcW w:w="2160" w:type="dxa"/>
            <w:vAlign w:val="center"/>
          </w:tcPr>
          <w:p w14:paraId="0CF1D46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具有的资质证书</w:t>
            </w:r>
          </w:p>
        </w:tc>
      </w:tr>
      <w:tr w14:paraId="0AB4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271EF0B0">
            <w:pPr>
              <w:jc w:val="center"/>
              <w:rPr>
                <w:rFonts w:ascii="仿宋" w:hAnsi="仿宋" w:eastAsia="仿宋" w:cs="仿宋"/>
                <w:color w:val="auto"/>
                <w:szCs w:val="21"/>
                <w:highlight w:val="none"/>
              </w:rPr>
            </w:pPr>
          </w:p>
        </w:tc>
        <w:tc>
          <w:tcPr>
            <w:tcW w:w="1023" w:type="dxa"/>
            <w:vAlign w:val="center"/>
          </w:tcPr>
          <w:p w14:paraId="2319D362">
            <w:pPr>
              <w:jc w:val="center"/>
              <w:rPr>
                <w:rFonts w:ascii="仿宋" w:hAnsi="仿宋" w:eastAsia="仿宋" w:cs="仿宋"/>
                <w:color w:val="auto"/>
                <w:szCs w:val="21"/>
                <w:highlight w:val="none"/>
              </w:rPr>
            </w:pPr>
          </w:p>
        </w:tc>
        <w:tc>
          <w:tcPr>
            <w:tcW w:w="1991" w:type="dxa"/>
            <w:vAlign w:val="center"/>
          </w:tcPr>
          <w:p w14:paraId="4CE9C46E">
            <w:pPr>
              <w:jc w:val="center"/>
              <w:rPr>
                <w:rFonts w:ascii="仿宋" w:hAnsi="仿宋" w:eastAsia="仿宋" w:cs="仿宋"/>
                <w:color w:val="auto"/>
                <w:szCs w:val="21"/>
                <w:highlight w:val="none"/>
              </w:rPr>
            </w:pPr>
          </w:p>
        </w:tc>
        <w:tc>
          <w:tcPr>
            <w:tcW w:w="872" w:type="dxa"/>
            <w:vAlign w:val="center"/>
          </w:tcPr>
          <w:p w14:paraId="6DF6BC63">
            <w:pPr>
              <w:jc w:val="center"/>
              <w:rPr>
                <w:rFonts w:ascii="仿宋" w:hAnsi="仿宋" w:eastAsia="仿宋" w:cs="仿宋"/>
                <w:color w:val="auto"/>
                <w:szCs w:val="21"/>
                <w:highlight w:val="none"/>
              </w:rPr>
            </w:pPr>
          </w:p>
        </w:tc>
        <w:tc>
          <w:tcPr>
            <w:tcW w:w="873" w:type="dxa"/>
            <w:vAlign w:val="center"/>
          </w:tcPr>
          <w:p w14:paraId="7D1B1EF6">
            <w:pPr>
              <w:jc w:val="center"/>
              <w:rPr>
                <w:rFonts w:ascii="仿宋" w:hAnsi="仿宋" w:eastAsia="仿宋" w:cs="仿宋"/>
                <w:color w:val="auto"/>
                <w:szCs w:val="21"/>
                <w:highlight w:val="none"/>
              </w:rPr>
            </w:pPr>
          </w:p>
        </w:tc>
        <w:tc>
          <w:tcPr>
            <w:tcW w:w="1186" w:type="dxa"/>
            <w:vAlign w:val="center"/>
          </w:tcPr>
          <w:p w14:paraId="6A7CA1C4">
            <w:pPr>
              <w:jc w:val="center"/>
              <w:rPr>
                <w:rFonts w:ascii="仿宋" w:hAnsi="仿宋" w:eastAsia="仿宋" w:cs="仿宋"/>
                <w:color w:val="auto"/>
                <w:szCs w:val="21"/>
                <w:highlight w:val="none"/>
              </w:rPr>
            </w:pPr>
          </w:p>
        </w:tc>
        <w:tc>
          <w:tcPr>
            <w:tcW w:w="819" w:type="dxa"/>
            <w:vAlign w:val="center"/>
          </w:tcPr>
          <w:p w14:paraId="43CC60E6">
            <w:pPr>
              <w:jc w:val="center"/>
              <w:rPr>
                <w:rFonts w:ascii="仿宋" w:hAnsi="仿宋" w:eastAsia="仿宋" w:cs="仿宋"/>
                <w:color w:val="auto"/>
                <w:szCs w:val="21"/>
                <w:highlight w:val="none"/>
              </w:rPr>
            </w:pPr>
          </w:p>
        </w:tc>
        <w:tc>
          <w:tcPr>
            <w:tcW w:w="2160" w:type="dxa"/>
            <w:vAlign w:val="center"/>
          </w:tcPr>
          <w:p w14:paraId="660B5EC3">
            <w:pPr>
              <w:jc w:val="center"/>
              <w:rPr>
                <w:rFonts w:ascii="仿宋" w:hAnsi="仿宋" w:eastAsia="仿宋" w:cs="仿宋"/>
                <w:color w:val="auto"/>
                <w:szCs w:val="21"/>
                <w:highlight w:val="none"/>
              </w:rPr>
            </w:pPr>
          </w:p>
        </w:tc>
      </w:tr>
      <w:tr w14:paraId="02A3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25E27214">
            <w:pPr>
              <w:jc w:val="center"/>
              <w:rPr>
                <w:rFonts w:ascii="仿宋" w:hAnsi="仿宋" w:eastAsia="仿宋" w:cs="仿宋"/>
                <w:color w:val="auto"/>
                <w:szCs w:val="21"/>
                <w:highlight w:val="none"/>
              </w:rPr>
            </w:pPr>
          </w:p>
        </w:tc>
        <w:tc>
          <w:tcPr>
            <w:tcW w:w="1023" w:type="dxa"/>
            <w:vAlign w:val="center"/>
          </w:tcPr>
          <w:p w14:paraId="736BC8FC">
            <w:pPr>
              <w:jc w:val="center"/>
              <w:rPr>
                <w:rFonts w:ascii="仿宋" w:hAnsi="仿宋" w:eastAsia="仿宋" w:cs="仿宋"/>
                <w:color w:val="auto"/>
                <w:szCs w:val="21"/>
                <w:highlight w:val="none"/>
              </w:rPr>
            </w:pPr>
          </w:p>
        </w:tc>
        <w:tc>
          <w:tcPr>
            <w:tcW w:w="1991" w:type="dxa"/>
            <w:vAlign w:val="center"/>
          </w:tcPr>
          <w:p w14:paraId="362B4F10">
            <w:pPr>
              <w:jc w:val="center"/>
              <w:rPr>
                <w:rFonts w:ascii="仿宋" w:hAnsi="仿宋" w:eastAsia="仿宋" w:cs="仿宋"/>
                <w:color w:val="auto"/>
                <w:szCs w:val="21"/>
                <w:highlight w:val="none"/>
              </w:rPr>
            </w:pPr>
          </w:p>
        </w:tc>
        <w:tc>
          <w:tcPr>
            <w:tcW w:w="872" w:type="dxa"/>
            <w:vAlign w:val="center"/>
          </w:tcPr>
          <w:p w14:paraId="09771B6A">
            <w:pPr>
              <w:jc w:val="center"/>
              <w:rPr>
                <w:rFonts w:ascii="仿宋" w:hAnsi="仿宋" w:eastAsia="仿宋" w:cs="仿宋"/>
                <w:color w:val="auto"/>
                <w:szCs w:val="21"/>
                <w:highlight w:val="none"/>
              </w:rPr>
            </w:pPr>
          </w:p>
        </w:tc>
        <w:tc>
          <w:tcPr>
            <w:tcW w:w="873" w:type="dxa"/>
            <w:vAlign w:val="center"/>
          </w:tcPr>
          <w:p w14:paraId="065E87FC">
            <w:pPr>
              <w:jc w:val="center"/>
              <w:rPr>
                <w:rFonts w:ascii="仿宋" w:hAnsi="仿宋" w:eastAsia="仿宋" w:cs="仿宋"/>
                <w:color w:val="auto"/>
                <w:szCs w:val="21"/>
                <w:highlight w:val="none"/>
              </w:rPr>
            </w:pPr>
          </w:p>
        </w:tc>
        <w:tc>
          <w:tcPr>
            <w:tcW w:w="1186" w:type="dxa"/>
            <w:vAlign w:val="center"/>
          </w:tcPr>
          <w:p w14:paraId="0E406A8B">
            <w:pPr>
              <w:jc w:val="center"/>
              <w:rPr>
                <w:rFonts w:ascii="仿宋" w:hAnsi="仿宋" w:eastAsia="仿宋" w:cs="仿宋"/>
                <w:color w:val="auto"/>
                <w:szCs w:val="21"/>
                <w:highlight w:val="none"/>
              </w:rPr>
            </w:pPr>
          </w:p>
        </w:tc>
        <w:tc>
          <w:tcPr>
            <w:tcW w:w="819" w:type="dxa"/>
            <w:vAlign w:val="center"/>
          </w:tcPr>
          <w:p w14:paraId="052F8C98">
            <w:pPr>
              <w:jc w:val="center"/>
              <w:rPr>
                <w:rFonts w:ascii="仿宋" w:hAnsi="仿宋" w:eastAsia="仿宋" w:cs="仿宋"/>
                <w:color w:val="auto"/>
                <w:szCs w:val="21"/>
                <w:highlight w:val="none"/>
              </w:rPr>
            </w:pPr>
          </w:p>
        </w:tc>
        <w:tc>
          <w:tcPr>
            <w:tcW w:w="2160" w:type="dxa"/>
            <w:vAlign w:val="center"/>
          </w:tcPr>
          <w:p w14:paraId="2CE7F45C">
            <w:pPr>
              <w:jc w:val="center"/>
              <w:rPr>
                <w:rFonts w:ascii="仿宋" w:hAnsi="仿宋" w:eastAsia="仿宋" w:cs="仿宋"/>
                <w:color w:val="auto"/>
                <w:szCs w:val="21"/>
                <w:highlight w:val="none"/>
              </w:rPr>
            </w:pPr>
          </w:p>
        </w:tc>
      </w:tr>
      <w:tr w14:paraId="7D34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79497910">
            <w:pPr>
              <w:jc w:val="center"/>
              <w:rPr>
                <w:rFonts w:ascii="仿宋" w:hAnsi="仿宋" w:eastAsia="仿宋" w:cs="仿宋"/>
                <w:color w:val="auto"/>
                <w:szCs w:val="21"/>
                <w:highlight w:val="none"/>
              </w:rPr>
            </w:pPr>
          </w:p>
        </w:tc>
        <w:tc>
          <w:tcPr>
            <w:tcW w:w="1023" w:type="dxa"/>
            <w:vAlign w:val="center"/>
          </w:tcPr>
          <w:p w14:paraId="37269010">
            <w:pPr>
              <w:jc w:val="center"/>
              <w:rPr>
                <w:rFonts w:ascii="仿宋" w:hAnsi="仿宋" w:eastAsia="仿宋" w:cs="仿宋"/>
                <w:color w:val="auto"/>
                <w:szCs w:val="21"/>
                <w:highlight w:val="none"/>
              </w:rPr>
            </w:pPr>
          </w:p>
        </w:tc>
        <w:tc>
          <w:tcPr>
            <w:tcW w:w="1991" w:type="dxa"/>
            <w:vAlign w:val="center"/>
          </w:tcPr>
          <w:p w14:paraId="5BC7E7CF">
            <w:pPr>
              <w:jc w:val="center"/>
              <w:rPr>
                <w:rFonts w:ascii="仿宋" w:hAnsi="仿宋" w:eastAsia="仿宋" w:cs="仿宋"/>
                <w:color w:val="auto"/>
                <w:szCs w:val="21"/>
                <w:highlight w:val="none"/>
              </w:rPr>
            </w:pPr>
          </w:p>
        </w:tc>
        <w:tc>
          <w:tcPr>
            <w:tcW w:w="872" w:type="dxa"/>
            <w:vAlign w:val="center"/>
          </w:tcPr>
          <w:p w14:paraId="617E0D6E">
            <w:pPr>
              <w:jc w:val="center"/>
              <w:rPr>
                <w:rFonts w:ascii="仿宋" w:hAnsi="仿宋" w:eastAsia="仿宋" w:cs="仿宋"/>
                <w:color w:val="auto"/>
                <w:szCs w:val="21"/>
                <w:highlight w:val="none"/>
              </w:rPr>
            </w:pPr>
          </w:p>
        </w:tc>
        <w:tc>
          <w:tcPr>
            <w:tcW w:w="873" w:type="dxa"/>
            <w:vAlign w:val="center"/>
          </w:tcPr>
          <w:p w14:paraId="627E821D">
            <w:pPr>
              <w:jc w:val="center"/>
              <w:rPr>
                <w:rFonts w:ascii="仿宋" w:hAnsi="仿宋" w:eastAsia="仿宋" w:cs="仿宋"/>
                <w:color w:val="auto"/>
                <w:szCs w:val="21"/>
                <w:highlight w:val="none"/>
              </w:rPr>
            </w:pPr>
          </w:p>
        </w:tc>
        <w:tc>
          <w:tcPr>
            <w:tcW w:w="1186" w:type="dxa"/>
            <w:vAlign w:val="center"/>
          </w:tcPr>
          <w:p w14:paraId="1126FC6E">
            <w:pPr>
              <w:jc w:val="center"/>
              <w:rPr>
                <w:rFonts w:ascii="仿宋" w:hAnsi="仿宋" w:eastAsia="仿宋" w:cs="仿宋"/>
                <w:color w:val="auto"/>
                <w:szCs w:val="21"/>
                <w:highlight w:val="none"/>
              </w:rPr>
            </w:pPr>
          </w:p>
        </w:tc>
        <w:tc>
          <w:tcPr>
            <w:tcW w:w="819" w:type="dxa"/>
            <w:vAlign w:val="center"/>
          </w:tcPr>
          <w:p w14:paraId="25A579DB">
            <w:pPr>
              <w:jc w:val="center"/>
              <w:rPr>
                <w:rFonts w:ascii="仿宋" w:hAnsi="仿宋" w:eastAsia="仿宋" w:cs="仿宋"/>
                <w:color w:val="auto"/>
                <w:szCs w:val="21"/>
                <w:highlight w:val="none"/>
              </w:rPr>
            </w:pPr>
          </w:p>
        </w:tc>
        <w:tc>
          <w:tcPr>
            <w:tcW w:w="2160" w:type="dxa"/>
            <w:vAlign w:val="center"/>
          </w:tcPr>
          <w:p w14:paraId="5D2B8588">
            <w:pPr>
              <w:jc w:val="center"/>
              <w:rPr>
                <w:rFonts w:ascii="仿宋" w:hAnsi="仿宋" w:eastAsia="仿宋" w:cs="仿宋"/>
                <w:color w:val="auto"/>
                <w:szCs w:val="21"/>
                <w:highlight w:val="none"/>
              </w:rPr>
            </w:pPr>
          </w:p>
        </w:tc>
      </w:tr>
      <w:tr w14:paraId="6CCE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3A7B8142">
            <w:pPr>
              <w:jc w:val="center"/>
              <w:rPr>
                <w:rFonts w:ascii="仿宋" w:hAnsi="仿宋" w:eastAsia="仿宋" w:cs="仿宋"/>
                <w:color w:val="auto"/>
                <w:szCs w:val="21"/>
                <w:highlight w:val="none"/>
              </w:rPr>
            </w:pPr>
          </w:p>
        </w:tc>
        <w:tc>
          <w:tcPr>
            <w:tcW w:w="1023" w:type="dxa"/>
            <w:vAlign w:val="center"/>
          </w:tcPr>
          <w:p w14:paraId="1594A870">
            <w:pPr>
              <w:jc w:val="center"/>
              <w:rPr>
                <w:rFonts w:ascii="仿宋" w:hAnsi="仿宋" w:eastAsia="仿宋" w:cs="仿宋"/>
                <w:color w:val="auto"/>
                <w:szCs w:val="21"/>
                <w:highlight w:val="none"/>
              </w:rPr>
            </w:pPr>
          </w:p>
        </w:tc>
        <w:tc>
          <w:tcPr>
            <w:tcW w:w="1991" w:type="dxa"/>
            <w:vAlign w:val="center"/>
          </w:tcPr>
          <w:p w14:paraId="541F879C">
            <w:pPr>
              <w:jc w:val="center"/>
              <w:rPr>
                <w:rFonts w:ascii="仿宋" w:hAnsi="仿宋" w:eastAsia="仿宋" w:cs="仿宋"/>
                <w:color w:val="auto"/>
                <w:szCs w:val="21"/>
                <w:highlight w:val="none"/>
              </w:rPr>
            </w:pPr>
          </w:p>
        </w:tc>
        <w:tc>
          <w:tcPr>
            <w:tcW w:w="872" w:type="dxa"/>
            <w:vAlign w:val="center"/>
          </w:tcPr>
          <w:p w14:paraId="49B6742B">
            <w:pPr>
              <w:jc w:val="center"/>
              <w:rPr>
                <w:rFonts w:ascii="仿宋" w:hAnsi="仿宋" w:eastAsia="仿宋" w:cs="仿宋"/>
                <w:color w:val="auto"/>
                <w:szCs w:val="21"/>
                <w:highlight w:val="none"/>
              </w:rPr>
            </w:pPr>
          </w:p>
        </w:tc>
        <w:tc>
          <w:tcPr>
            <w:tcW w:w="873" w:type="dxa"/>
            <w:vAlign w:val="center"/>
          </w:tcPr>
          <w:p w14:paraId="634AF486">
            <w:pPr>
              <w:jc w:val="center"/>
              <w:rPr>
                <w:rFonts w:ascii="仿宋" w:hAnsi="仿宋" w:eastAsia="仿宋" w:cs="仿宋"/>
                <w:color w:val="auto"/>
                <w:szCs w:val="21"/>
                <w:highlight w:val="none"/>
              </w:rPr>
            </w:pPr>
          </w:p>
        </w:tc>
        <w:tc>
          <w:tcPr>
            <w:tcW w:w="1186" w:type="dxa"/>
            <w:vAlign w:val="center"/>
          </w:tcPr>
          <w:p w14:paraId="652C89DC">
            <w:pPr>
              <w:jc w:val="center"/>
              <w:rPr>
                <w:rFonts w:ascii="仿宋" w:hAnsi="仿宋" w:eastAsia="仿宋" w:cs="仿宋"/>
                <w:color w:val="auto"/>
                <w:szCs w:val="21"/>
                <w:highlight w:val="none"/>
              </w:rPr>
            </w:pPr>
          </w:p>
        </w:tc>
        <w:tc>
          <w:tcPr>
            <w:tcW w:w="819" w:type="dxa"/>
            <w:vAlign w:val="center"/>
          </w:tcPr>
          <w:p w14:paraId="117E4026">
            <w:pPr>
              <w:jc w:val="center"/>
              <w:rPr>
                <w:rFonts w:ascii="仿宋" w:hAnsi="仿宋" w:eastAsia="仿宋" w:cs="仿宋"/>
                <w:color w:val="auto"/>
                <w:szCs w:val="21"/>
                <w:highlight w:val="none"/>
              </w:rPr>
            </w:pPr>
          </w:p>
        </w:tc>
        <w:tc>
          <w:tcPr>
            <w:tcW w:w="2160" w:type="dxa"/>
            <w:vAlign w:val="center"/>
          </w:tcPr>
          <w:p w14:paraId="78577B12">
            <w:pPr>
              <w:jc w:val="center"/>
              <w:rPr>
                <w:rFonts w:ascii="仿宋" w:hAnsi="仿宋" w:eastAsia="仿宋" w:cs="仿宋"/>
                <w:color w:val="auto"/>
                <w:szCs w:val="21"/>
                <w:highlight w:val="none"/>
              </w:rPr>
            </w:pPr>
          </w:p>
        </w:tc>
      </w:tr>
      <w:tr w14:paraId="0CC9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7193E93C">
            <w:pPr>
              <w:jc w:val="center"/>
              <w:rPr>
                <w:rFonts w:ascii="仿宋" w:hAnsi="仿宋" w:eastAsia="仿宋" w:cs="仿宋"/>
                <w:color w:val="auto"/>
                <w:szCs w:val="21"/>
                <w:highlight w:val="none"/>
              </w:rPr>
            </w:pPr>
          </w:p>
        </w:tc>
        <w:tc>
          <w:tcPr>
            <w:tcW w:w="1023" w:type="dxa"/>
            <w:vAlign w:val="center"/>
          </w:tcPr>
          <w:p w14:paraId="5159E233">
            <w:pPr>
              <w:jc w:val="center"/>
              <w:rPr>
                <w:rFonts w:ascii="仿宋" w:hAnsi="仿宋" w:eastAsia="仿宋" w:cs="仿宋"/>
                <w:color w:val="auto"/>
                <w:szCs w:val="21"/>
                <w:highlight w:val="none"/>
              </w:rPr>
            </w:pPr>
          </w:p>
        </w:tc>
        <w:tc>
          <w:tcPr>
            <w:tcW w:w="1991" w:type="dxa"/>
            <w:vAlign w:val="center"/>
          </w:tcPr>
          <w:p w14:paraId="4A571695">
            <w:pPr>
              <w:jc w:val="center"/>
              <w:rPr>
                <w:rFonts w:ascii="仿宋" w:hAnsi="仿宋" w:eastAsia="仿宋" w:cs="仿宋"/>
                <w:color w:val="auto"/>
                <w:szCs w:val="21"/>
                <w:highlight w:val="none"/>
              </w:rPr>
            </w:pPr>
          </w:p>
        </w:tc>
        <w:tc>
          <w:tcPr>
            <w:tcW w:w="872" w:type="dxa"/>
            <w:vAlign w:val="center"/>
          </w:tcPr>
          <w:p w14:paraId="12F34B7A">
            <w:pPr>
              <w:jc w:val="center"/>
              <w:rPr>
                <w:rFonts w:ascii="仿宋" w:hAnsi="仿宋" w:eastAsia="仿宋" w:cs="仿宋"/>
                <w:color w:val="auto"/>
                <w:szCs w:val="21"/>
                <w:highlight w:val="none"/>
              </w:rPr>
            </w:pPr>
          </w:p>
        </w:tc>
        <w:tc>
          <w:tcPr>
            <w:tcW w:w="873" w:type="dxa"/>
            <w:vAlign w:val="center"/>
          </w:tcPr>
          <w:p w14:paraId="1BD07D60">
            <w:pPr>
              <w:jc w:val="center"/>
              <w:rPr>
                <w:rFonts w:ascii="仿宋" w:hAnsi="仿宋" w:eastAsia="仿宋" w:cs="仿宋"/>
                <w:color w:val="auto"/>
                <w:szCs w:val="21"/>
                <w:highlight w:val="none"/>
              </w:rPr>
            </w:pPr>
          </w:p>
        </w:tc>
        <w:tc>
          <w:tcPr>
            <w:tcW w:w="1186" w:type="dxa"/>
            <w:vAlign w:val="center"/>
          </w:tcPr>
          <w:p w14:paraId="4EA16002">
            <w:pPr>
              <w:jc w:val="center"/>
              <w:rPr>
                <w:rFonts w:ascii="仿宋" w:hAnsi="仿宋" w:eastAsia="仿宋" w:cs="仿宋"/>
                <w:color w:val="auto"/>
                <w:szCs w:val="21"/>
                <w:highlight w:val="none"/>
              </w:rPr>
            </w:pPr>
          </w:p>
        </w:tc>
        <w:tc>
          <w:tcPr>
            <w:tcW w:w="819" w:type="dxa"/>
            <w:vAlign w:val="center"/>
          </w:tcPr>
          <w:p w14:paraId="44FAB45C">
            <w:pPr>
              <w:jc w:val="center"/>
              <w:rPr>
                <w:rFonts w:ascii="仿宋" w:hAnsi="仿宋" w:eastAsia="仿宋" w:cs="仿宋"/>
                <w:color w:val="auto"/>
                <w:szCs w:val="21"/>
                <w:highlight w:val="none"/>
              </w:rPr>
            </w:pPr>
          </w:p>
        </w:tc>
        <w:tc>
          <w:tcPr>
            <w:tcW w:w="2160" w:type="dxa"/>
            <w:vAlign w:val="center"/>
          </w:tcPr>
          <w:p w14:paraId="2D607A32">
            <w:pPr>
              <w:jc w:val="center"/>
              <w:rPr>
                <w:rFonts w:ascii="仿宋" w:hAnsi="仿宋" w:eastAsia="仿宋" w:cs="仿宋"/>
                <w:color w:val="auto"/>
                <w:szCs w:val="21"/>
                <w:highlight w:val="none"/>
              </w:rPr>
            </w:pPr>
          </w:p>
        </w:tc>
      </w:tr>
      <w:tr w14:paraId="1083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360DF99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023" w:type="dxa"/>
            <w:vAlign w:val="center"/>
          </w:tcPr>
          <w:p w14:paraId="1A73EBDB">
            <w:pPr>
              <w:jc w:val="center"/>
              <w:rPr>
                <w:rFonts w:ascii="仿宋" w:hAnsi="仿宋" w:eastAsia="仿宋" w:cs="仿宋"/>
                <w:color w:val="auto"/>
                <w:szCs w:val="21"/>
                <w:highlight w:val="none"/>
              </w:rPr>
            </w:pPr>
          </w:p>
        </w:tc>
        <w:tc>
          <w:tcPr>
            <w:tcW w:w="1991" w:type="dxa"/>
            <w:vAlign w:val="center"/>
          </w:tcPr>
          <w:p w14:paraId="791C9732">
            <w:pPr>
              <w:jc w:val="center"/>
              <w:rPr>
                <w:rFonts w:ascii="仿宋" w:hAnsi="仿宋" w:eastAsia="仿宋" w:cs="仿宋"/>
                <w:color w:val="auto"/>
                <w:szCs w:val="21"/>
                <w:highlight w:val="none"/>
              </w:rPr>
            </w:pPr>
          </w:p>
        </w:tc>
        <w:tc>
          <w:tcPr>
            <w:tcW w:w="872" w:type="dxa"/>
            <w:vAlign w:val="center"/>
          </w:tcPr>
          <w:p w14:paraId="51129001">
            <w:pPr>
              <w:jc w:val="center"/>
              <w:rPr>
                <w:rFonts w:ascii="仿宋" w:hAnsi="仿宋" w:eastAsia="仿宋" w:cs="仿宋"/>
                <w:color w:val="auto"/>
                <w:szCs w:val="21"/>
                <w:highlight w:val="none"/>
              </w:rPr>
            </w:pPr>
          </w:p>
        </w:tc>
        <w:tc>
          <w:tcPr>
            <w:tcW w:w="873" w:type="dxa"/>
            <w:vAlign w:val="center"/>
          </w:tcPr>
          <w:p w14:paraId="4C4A4BEA">
            <w:pPr>
              <w:jc w:val="center"/>
              <w:rPr>
                <w:rFonts w:ascii="仿宋" w:hAnsi="仿宋" w:eastAsia="仿宋" w:cs="仿宋"/>
                <w:color w:val="auto"/>
                <w:szCs w:val="21"/>
                <w:highlight w:val="none"/>
              </w:rPr>
            </w:pPr>
          </w:p>
        </w:tc>
        <w:tc>
          <w:tcPr>
            <w:tcW w:w="1186" w:type="dxa"/>
            <w:vAlign w:val="center"/>
          </w:tcPr>
          <w:p w14:paraId="087D3447">
            <w:pPr>
              <w:jc w:val="center"/>
              <w:rPr>
                <w:rFonts w:ascii="仿宋" w:hAnsi="仿宋" w:eastAsia="仿宋" w:cs="仿宋"/>
                <w:color w:val="auto"/>
                <w:szCs w:val="21"/>
                <w:highlight w:val="none"/>
              </w:rPr>
            </w:pPr>
          </w:p>
        </w:tc>
        <w:tc>
          <w:tcPr>
            <w:tcW w:w="819" w:type="dxa"/>
            <w:vAlign w:val="center"/>
          </w:tcPr>
          <w:p w14:paraId="74FF2326">
            <w:pPr>
              <w:jc w:val="center"/>
              <w:rPr>
                <w:rFonts w:ascii="仿宋" w:hAnsi="仿宋" w:eastAsia="仿宋" w:cs="仿宋"/>
                <w:color w:val="auto"/>
                <w:szCs w:val="21"/>
                <w:highlight w:val="none"/>
              </w:rPr>
            </w:pPr>
          </w:p>
        </w:tc>
        <w:tc>
          <w:tcPr>
            <w:tcW w:w="2160" w:type="dxa"/>
            <w:vAlign w:val="center"/>
          </w:tcPr>
          <w:p w14:paraId="331E2F80">
            <w:pPr>
              <w:jc w:val="center"/>
              <w:rPr>
                <w:rFonts w:ascii="仿宋" w:hAnsi="仿宋" w:eastAsia="仿宋" w:cs="仿宋"/>
                <w:color w:val="auto"/>
                <w:szCs w:val="21"/>
                <w:highlight w:val="none"/>
              </w:rPr>
            </w:pPr>
          </w:p>
        </w:tc>
      </w:tr>
    </w:tbl>
    <w:p w14:paraId="2A160BE4">
      <w:pPr>
        <w:widowControl/>
        <w:adjustRightInd w:val="0"/>
        <w:snapToGrid w:val="0"/>
        <w:spacing w:line="288" w:lineRule="auto"/>
        <w:jc w:val="left"/>
        <w:rPr>
          <w:rFonts w:ascii="仿宋" w:hAnsi="仿宋" w:eastAsia="仿宋" w:cs="仿宋"/>
          <w:b/>
          <w:color w:val="auto"/>
          <w:spacing w:val="-6"/>
          <w:szCs w:val="21"/>
          <w:highlight w:val="none"/>
        </w:rPr>
      </w:pPr>
    </w:p>
    <w:p w14:paraId="308D353A">
      <w:pPr>
        <w:pStyle w:val="2"/>
        <w:ind w:left="0" w:leftChars="0" w:firstLine="0" w:firstLineChars="0"/>
        <w:rPr>
          <w:rFonts w:hint="eastAsia"/>
          <w:color w:val="auto"/>
          <w:highlight w:val="none"/>
          <w:lang w:eastAsia="zh-CN"/>
        </w:rPr>
      </w:pPr>
      <w:r>
        <w:rPr>
          <w:rFonts w:hint="eastAsia" w:ascii="仿宋" w:hAnsi="仿宋" w:eastAsia="仿宋" w:cs="仿宋"/>
          <w:b/>
          <w:color w:val="auto"/>
          <w:spacing w:val="-6"/>
          <w:sz w:val="18"/>
          <w:szCs w:val="18"/>
          <w:highlight w:val="none"/>
        </w:rPr>
        <w:t>注：</w:t>
      </w:r>
      <w:r>
        <w:rPr>
          <w:rFonts w:hint="eastAsia" w:ascii="仿宋" w:hAnsi="仿宋" w:eastAsia="仿宋" w:cs="仿宋"/>
          <w:b/>
          <w:color w:val="auto"/>
          <w:spacing w:val="-6"/>
          <w:sz w:val="18"/>
          <w:szCs w:val="18"/>
          <w:highlight w:val="none"/>
          <w:lang w:val="en-US" w:eastAsia="zh-CN"/>
        </w:rPr>
        <w:t>评分标准中相关证明材料</w:t>
      </w:r>
      <w:r>
        <w:rPr>
          <w:rFonts w:hint="eastAsia" w:ascii="仿宋" w:hAnsi="仿宋" w:eastAsia="仿宋" w:cs="仿宋"/>
          <w:b/>
          <w:color w:val="auto"/>
          <w:spacing w:val="-6"/>
          <w:sz w:val="18"/>
          <w:szCs w:val="18"/>
          <w:highlight w:val="none"/>
        </w:rPr>
        <w:t>随表格一并提供</w:t>
      </w:r>
    </w:p>
    <w:p w14:paraId="6E7A3EDC">
      <w:pPr>
        <w:spacing w:line="360" w:lineRule="auto"/>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5BEF6DCE">
      <w:pPr>
        <w:adjustRightInd w:val="0"/>
        <w:snapToGrid w:val="0"/>
        <w:spacing w:line="288" w:lineRule="auto"/>
        <w:jc w:val="center"/>
        <w:rPr>
          <w:rFonts w:ascii="仿宋" w:hAnsi="仿宋" w:eastAsia="仿宋" w:cs="仿宋"/>
          <w:b/>
          <w:bCs/>
          <w:color w:val="auto"/>
          <w:sz w:val="84"/>
          <w:szCs w:val="84"/>
          <w:highlight w:val="none"/>
        </w:rPr>
      </w:pPr>
    </w:p>
    <w:p w14:paraId="2048B06B">
      <w:pPr>
        <w:adjustRightInd w:val="0"/>
        <w:snapToGrid w:val="0"/>
        <w:spacing w:line="288" w:lineRule="auto"/>
        <w:jc w:val="center"/>
        <w:rPr>
          <w:rFonts w:ascii="仿宋" w:hAnsi="仿宋" w:eastAsia="仿宋" w:cs="仿宋"/>
          <w:b/>
          <w:bCs/>
          <w:color w:val="auto"/>
          <w:sz w:val="84"/>
          <w:szCs w:val="84"/>
          <w:highlight w:val="none"/>
        </w:rPr>
      </w:pPr>
    </w:p>
    <w:p w14:paraId="1A75C29A">
      <w:pPr>
        <w:adjustRightInd w:val="0"/>
        <w:snapToGrid w:val="0"/>
        <w:spacing w:line="288" w:lineRule="auto"/>
        <w:jc w:val="center"/>
        <w:rPr>
          <w:rFonts w:ascii="仿宋" w:hAnsi="仿宋" w:eastAsia="仿宋" w:cs="仿宋"/>
          <w:b/>
          <w:bCs/>
          <w:color w:val="auto"/>
          <w:sz w:val="84"/>
          <w:szCs w:val="84"/>
          <w:highlight w:val="none"/>
        </w:rPr>
      </w:pPr>
    </w:p>
    <w:p w14:paraId="68C0161F">
      <w:pPr>
        <w:adjustRightInd w:val="0"/>
        <w:snapToGrid w:val="0"/>
        <w:spacing w:line="288" w:lineRule="auto"/>
        <w:jc w:val="center"/>
        <w:rPr>
          <w:rFonts w:ascii="仿宋" w:hAnsi="仿宋" w:eastAsia="仿宋" w:cs="仿宋"/>
          <w:b/>
          <w:bCs/>
          <w:color w:val="auto"/>
          <w:sz w:val="84"/>
          <w:szCs w:val="84"/>
          <w:highlight w:val="none"/>
        </w:rPr>
      </w:pPr>
    </w:p>
    <w:p w14:paraId="77B95079">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14:paraId="178B7BD0">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21B6521">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14:paraId="7AB75CEA">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浙江省市场监督管理局</w:t>
      </w:r>
    </w:p>
    <w:p w14:paraId="042769B8">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2025年度浙江省助力产品质量提升重点攻坚（二）产品质量监督抽查抽样检验机构技术服务采购项目</w:t>
      </w:r>
    </w:p>
    <w:p w14:paraId="087CC315">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QSZB-Z(F)-H25102(GK)</w:t>
      </w:r>
    </w:p>
    <w:p w14:paraId="7448E652">
      <w:pPr>
        <w:adjustRightInd w:val="0"/>
        <w:snapToGrid w:val="0"/>
        <w:spacing w:line="360" w:lineRule="auto"/>
        <w:rPr>
          <w:rFonts w:ascii="仿宋" w:hAnsi="仿宋" w:eastAsia="仿宋" w:cs="仿宋"/>
          <w:bCs/>
          <w:spacing w:val="-6"/>
          <w:szCs w:val="21"/>
          <w:highlight w:val="none"/>
        </w:rPr>
      </w:pPr>
      <w:r>
        <w:rPr>
          <w:rFonts w:hint="eastAsia" w:ascii="仿宋" w:hAnsi="仿宋" w:eastAsia="仿宋" w:cs="仿宋"/>
          <w:bCs/>
          <w:spacing w:val="-6"/>
          <w:szCs w:val="21"/>
          <w:highlight w:val="none"/>
        </w:rPr>
        <w:t xml:space="preserve">标    项： </w:t>
      </w:r>
    </w:p>
    <w:tbl>
      <w:tblPr>
        <w:tblStyle w:val="27"/>
        <w:tblW w:w="9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1918"/>
        <w:gridCol w:w="4625"/>
        <w:gridCol w:w="2390"/>
      </w:tblGrid>
      <w:tr w14:paraId="35182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1D05F3C4">
            <w:pPr>
              <w:jc w:val="center"/>
              <w:rPr>
                <w:rFonts w:ascii="仿宋" w:hAnsi="仿宋" w:eastAsia="仿宋" w:cs="仿宋"/>
                <w:b/>
                <w:bCs/>
                <w:highlight w:val="none"/>
              </w:rPr>
            </w:pPr>
            <w:r>
              <w:rPr>
                <w:rFonts w:hint="eastAsia" w:ascii="仿宋" w:hAnsi="仿宋" w:eastAsia="仿宋" w:cs="仿宋"/>
                <w:b/>
                <w:bCs/>
                <w:highlight w:val="none"/>
              </w:rPr>
              <w:t>序号</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764449B9">
            <w:pPr>
              <w:jc w:val="center"/>
              <w:rPr>
                <w:rFonts w:ascii="仿宋" w:hAnsi="仿宋" w:eastAsia="仿宋" w:cs="仿宋"/>
                <w:b/>
                <w:bCs/>
                <w:highlight w:val="none"/>
              </w:rPr>
            </w:pPr>
            <w:r>
              <w:rPr>
                <w:rFonts w:hint="eastAsia" w:ascii="仿宋" w:hAnsi="仿宋" w:eastAsia="仿宋" w:cs="仿宋"/>
                <w:b/>
                <w:bCs/>
                <w:highlight w:val="none"/>
              </w:rPr>
              <w:t>标项名称</w:t>
            </w:r>
          </w:p>
        </w:tc>
        <w:tc>
          <w:tcPr>
            <w:tcW w:w="4625" w:type="dxa"/>
            <w:tcBorders>
              <w:top w:val="single" w:color="auto" w:sz="4" w:space="0"/>
              <w:left w:val="single" w:color="auto" w:sz="4" w:space="0"/>
              <w:bottom w:val="single" w:color="auto" w:sz="4" w:space="0"/>
              <w:right w:val="single" w:color="auto" w:sz="4" w:space="0"/>
            </w:tcBorders>
            <w:shd w:val="clear" w:color="auto" w:fill="FFFFFF"/>
            <w:vAlign w:val="center"/>
          </w:tcPr>
          <w:p w14:paraId="419D5097">
            <w:pPr>
              <w:adjustRightInd w:val="0"/>
              <w:snapToGrid w:val="0"/>
              <w:spacing w:line="288" w:lineRule="auto"/>
              <w:jc w:val="center"/>
              <w:rPr>
                <w:rFonts w:ascii="仿宋" w:hAnsi="仿宋" w:eastAsia="仿宋" w:cs="仿宋"/>
                <w:b/>
                <w:bCs/>
                <w:highlight w:val="none"/>
              </w:rPr>
            </w:pPr>
            <w:r>
              <w:rPr>
                <w:rFonts w:hint="eastAsia" w:ascii="仿宋" w:hAnsi="仿宋" w:eastAsia="仿宋" w:cs="仿宋"/>
                <w:b/>
                <w:bCs/>
                <w:szCs w:val="21"/>
                <w:highlight w:val="none"/>
              </w:rPr>
              <w:t>综合单价报价（元/批次）</w:t>
            </w:r>
          </w:p>
        </w:tc>
        <w:tc>
          <w:tcPr>
            <w:tcW w:w="2390" w:type="dxa"/>
            <w:tcBorders>
              <w:top w:val="single" w:color="auto" w:sz="4" w:space="0"/>
              <w:left w:val="single" w:color="auto" w:sz="4" w:space="0"/>
              <w:bottom w:val="single" w:color="auto" w:sz="4" w:space="0"/>
              <w:right w:val="single" w:color="auto" w:sz="4" w:space="0"/>
            </w:tcBorders>
            <w:vAlign w:val="center"/>
          </w:tcPr>
          <w:p w14:paraId="7C2B8151">
            <w:pPr>
              <w:jc w:val="center"/>
              <w:rPr>
                <w:rFonts w:ascii="仿宋" w:hAnsi="仿宋" w:eastAsia="仿宋" w:cs="仿宋"/>
                <w:b/>
                <w:bCs/>
                <w:highlight w:val="none"/>
              </w:rPr>
            </w:pPr>
            <w:r>
              <w:rPr>
                <w:rFonts w:hint="eastAsia" w:ascii="仿宋" w:hAnsi="仿宋" w:eastAsia="仿宋" w:cs="仿宋"/>
                <w:b/>
                <w:bCs/>
                <w:highlight w:val="none"/>
              </w:rPr>
              <w:t>备注</w:t>
            </w:r>
          </w:p>
        </w:tc>
      </w:tr>
      <w:tr w14:paraId="100D6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0" w:hRule="atLeast"/>
          <w:jc w:val="center"/>
        </w:trPr>
        <w:tc>
          <w:tcPr>
            <w:tcW w:w="687" w:type="dxa"/>
            <w:tcBorders>
              <w:top w:val="single" w:color="auto" w:sz="4" w:space="0"/>
              <w:left w:val="single" w:color="auto" w:sz="4" w:space="0"/>
              <w:right w:val="single" w:color="auto" w:sz="4" w:space="0"/>
            </w:tcBorders>
            <w:shd w:val="clear" w:color="auto" w:fill="auto"/>
            <w:vAlign w:val="center"/>
          </w:tcPr>
          <w:p w14:paraId="6108256E">
            <w:pPr>
              <w:jc w:val="center"/>
              <w:rPr>
                <w:rFonts w:ascii="仿宋" w:hAnsi="仿宋" w:eastAsia="仿宋" w:cs="仿宋"/>
                <w:b/>
                <w:bCs/>
                <w:highlight w:val="none"/>
              </w:rPr>
            </w:pPr>
            <w:r>
              <w:rPr>
                <w:rFonts w:hint="eastAsia" w:ascii="仿宋" w:hAnsi="仿宋" w:eastAsia="仿宋" w:cs="仿宋"/>
                <w:b/>
                <w:bCs/>
                <w:highlight w:val="none"/>
              </w:rPr>
              <w:t>1</w:t>
            </w:r>
          </w:p>
        </w:tc>
        <w:tc>
          <w:tcPr>
            <w:tcW w:w="1918" w:type="dxa"/>
            <w:tcBorders>
              <w:top w:val="single" w:color="auto" w:sz="4" w:space="0"/>
              <w:left w:val="single" w:color="auto" w:sz="4" w:space="0"/>
              <w:right w:val="single" w:color="auto" w:sz="4" w:space="0"/>
            </w:tcBorders>
            <w:shd w:val="clear" w:color="auto" w:fill="auto"/>
            <w:vAlign w:val="center"/>
          </w:tcPr>
          <w:p w14:paraId="545479CA">
            <w:pPr>
              <w:jc w:val="center"/>
              <w:rPr>
                <w:rFonts w:ascii="仿宋" w:hAnsi="仿宋" w:eastAsia="仿宋" w:cs="仿宋"/>
                <w:b/>
                <w:bCs/>
                <w:highlight w:val="none"/>
              </w:rPr>
            </w:pPr>
          </w:p>
        </w:tc>
        <w:tc>
          <w:tcPr>
            <w:tcW w:w="4625" w:type="dxa"/>
            <w:tcBorders>
              <w:top w:val="single" w:color="auto" w:sz="4" w:space="0"/>
              <w:left w:val="single" w:color="auto" w:sz="4" w:space="0"/>
              <w:right w:val="single" w:color="auto" w:sz="4" w:space="0"/>
            </w:tcBorders>
            <w:shd w:val="clear" w:color="auto" w:fill="FFFFFF"/>
            <w:vAlign w:val="center"/>
          </w:tcPr>
          <w:p w14:paraId="50FC11EC">
            <w:pPr>
              <w:adjustRightInd w:val="0"/>
              <w:snapToGrid w:val="0"/>
              <w:spacing w:line="288" w:lineRule="auto"/>
              <w:rPr>
                <w:rFonts w:ascii="仿宋" w:hAnsi="仿宋" w:eastAsia="仿宋" w:cs="仿宋"/>
                <w:b/>
                <w:bCs/>
                <w:szCs w:val="21"/>
                <w:highlight w:val="none"/>
              </w:rPr>
            </w:pPr>
          </w:p>
          <w:p w14:paraId="3468C077">
            <w:pPr>
              <w:adjustRightInd w:val="0"/>
              <w:snapToGrid w:val="0"/>
              <w:spacing w:line="288" w:lineRule="auto"/>
              <w:rPr>
                <w:rFonts w:ascii="仿宋" w:hAnsi="仿宋" w:eastAsia="仿宋" w:cs="仿宋"/>
                <w:b/>
                <w:bCs/>
                <w:szCs w:val="21"/>
                <w:highlight w:val="none"/>
              </w:rPr>
            </w:pPr>
            <w:r>
              <w:rPr>
                <w:rFonts w:hint="eastAsia" w:ascii="仿宋" w:hAnsi="仿宋" w:eastAsia="仿宋" w:cs="仿宋"/>
                <w:b/>
                <w:bCs/>
                <w:szCs w:val="21"/>
                <w:highlight w:val="none"/>
              </w:rPr>
              <w:t>小写：________________________</w:t>
            </w:r>
          </w:p>
          <w:p w14:paraId="2B363C65">
            <w:pPr>
              <w:adjustRightInd w:val="0"/>
              <w:snapToGrid w:val="0"/>
              <w:spacing w:line="288" w:lineRule="auto"/>
              <w:rPr>
                <w:rFonts w:ascii="仿宋" w:hAnsi="仿宋" w:eastAsia="仿宋" w:cs="仿宋"/>
                <w:b/>
                <w:bCs/>
                <w:szCs w:val="21"/>
                <w:highlight w:val="none"/>
              </w:rPr>
            </w:pPr>
          </w:p>
          <w:p w14:paraId="4C27CB6B">
            <w:pPr>
              <w:pStyle w:val="2"/>
              <w:ind w:firstLine="0"/>
              <w:rPr>
                <w:highlight w:val="none"/>
              </w:rPr>
            </w:pPr>
          </w:p>
          <w:p w14:paraId="04C18BF6">
            <w:pPr>
              <w:adjustRightInd w:val="0"/>
              <w:snapToGrid w:val="0"/>
              <w:spacing w:line="288" w:lineRule="auto"/>
              <w:rPr>
                <w:rFonts w:ascii="仿宋" w:hAnsi="仿宋" w:eastAsia="仿宋" w:cs="仿宋"/>
                <w:b/>
                <w:bCs/>
                <w:highlight w:val="none"/>
              </w:rPr>
            </w:pPr>
            <w:r>
              <w:rPr>
                <w:rFonts w:hint="eastAsia" w:ascii="仿宋" w:hAnsi="仿宋" w:eastAsia="仿宋" w:cs="仿宋"/>
                <w:b/>
                <w:bCs/>
                <w:szCs w:val="21"/>
                <w:highlight w:val="none"/>
              </w:rPr>
              <w:t>大写：________________________</w:t>
            </w:r>
          </w:p>
        </w:tc>
        <w:tc>
          <w:tcPr>
            <w:tcW w:w="2390" w:type="dxa"/>
            <w:tcBorders>
              <w:top w:val="single" w:color="auto" w:sz="4" w:space="0"/>
              <w:left w:val="single" w:color="auto" w:sz="4" w:space="0"/>
              <w:bottom w:val="single" w:color="auto" w:sz="4" w:space="0"/>
              <w:right w:val="single" w:color="auto" w:sz="4" w:space="0"/>
            </w:tcBorders>
            <w:vAlign w:val="center"/>
          </w:tcPr>
          <w:p w14:paraId="5EC7C12F">
            <w:pPr>
              <w:jc w:val="center"/>
              <w:rPr>
                <w:rFonts w:ascii="仿宋" w:hAnsi="仿宋" w:eastAsia="仿宋" w:cs="仿宋"/>
                <w:b/>
                <w:bCs/>
                <w:highlight w:val="none"/>
              </w:rPr>
            </w:pPr>
          </w:p>
        </w:tc>
      </w:tr>
      <w:tr w14:paraId="57807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0" w:type="dxa"/>
            <w:gridSpan w:val="4"/>
            <w:tcBorders>
              <w:top w:val="single" w:color="auto" w:sz="4" w:space="0"/>
              <w:left w:val="single" w:color="auto" w:sz="4" w:space="0"/>
              <w:bottom w:val="single" w:color="auto" w:sz="4" w:space="0"/>
              <w:right w:val="single" w:color="auto" w:sz="4" w:space="0"/>
            </w:tcBorders>
            <w:vAlign w:val="center"/>
          </w:tcPr>
          <w:p w14:paraId="768B5E23">
            <w:pPr>
              <w:adjustRightInd w:val="0"/>
              <w:snapToGrid w:val="0"/>
              <w:spacing w:line="288" w:lineRule="auto"/>
              <w:jc w:val="left"/>
              <w:rPr>
                <w:rFonts w:ascii="仿宋" w:hAnsi="仿宋" w:eastAsia="仿宋" w:cs="仿宋"/>
                <w:b/>
                <w:bCs/>
                <w:szCs w:val="21"/>
                <w:highlight w:val="none"/>
              </w:rPr>
            </w:pPr>
            <w:r>
              <w:rPr>
                <w:rFonts w:hint="eastAsia" w:ascii="仿宋" w:hAnsi="仿宋" w:eastAsia="仿宋" w:cs="仿宋"/>
                <w:b/>
                <w:spacing w:val="-6"/>
                <w:szCs w:val="21"/>
                <w:highlight w:val="none"/>
              </w:rPr>
              <w:t>▲说明：采购人将以合同形式有偿取得服务，不接受投标人给予的赠品、回扣或者与采购无关的其他商品、服务。</w:t>
            </w:r>
          </w:p>
        </w:tc>
      </w:tr>
    </w:tbl>
    <w:p w14:paraId="695D13C3">
      <w:pPr>
        <w:adjustRightInd w:val="0"/>
        <w:snapToGrid w:val="0"/>
        <w:spacing w:line="360" w:lineRule="auto"/>
        <w:rPr>
          <w:rFonts w:ascii="仿宋" w:hAnsi="仿宋" w:eastAsia="仿宋" w:cs="仿宋"/>
          <w:spacing w:val="-6"/>
          <w:szCs w:val="21"/>
          <w:highlight w:val="none"/>
        </w:rPr>
      </w:pPr>
    </w:p>
    <w:p w14:paraId="58F4B06B">
      <w:pPr>
        <w:adjustRightInd w:val="0"/>
        <w:snapToGrid w:val="0"/>
        <w:spacing w:line="360" w:lineRule="auto"/>
        <w:rPr>
          <w:rFonts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说明：</w:t>
      </w:r>
    </w:p>
    <w:p w14:paraId="171F65AE">
      <w:pPr>
        <w:adjustRightInd w:val="0"/>
        <w:snapToGrid w:val="0"/>
        <w:spacing w:line="360" w:lineRule="auto"/>
        <w:jc w:val="left"/>
        <w:rPr>
          <w:rFonts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lang w:val="en-US" w:eastAsia="zh-CN"/>
        </w:rPr>
        <w:t>1</w:t>
      </w:r>
      <w:r>
        <w:rPr>
          <w:rFonts w:hint="eastAsia" w:ascii="仿宋" w:hAnsi="仿宋" w:eastAsia="仿宋" w:cs="仿宋"/>
          <w:b/>
          <w:bCs/>
          <w:spacing w:val="-6"/>
          <w:sz w:val="18"/>
          <w:szCs w:val="18"/>
          <w:highlight w:val="none"/>
        </w:rPr>
        <w:t>.涉及多个“抽检项目产品名称”，此综合单价报价（元/批次）为各个“抽检项目产品名称”报价的加权平均报价，即评审综合单价（作为价格评审的依据）。</w:t>
      </w:r>
    </w:p>
    <w:p w14:paraId="0DBE2F9A">
      <w:pPr>
        <w:adjustRightInd w:val="0"/>
        <w:snapToGrid w:val="0"/>
        <w:spacing w:line="360" w:lineRule="auto"/>
        <w:jc w:val="left"/>
        <w:rPr>
          <w:rFonts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lang w:val="en-US" w:eastAsia="zh-CN"/>
        </w:rPr>
        <w:t>2</w:t>
      </w:r>
      <w:r>
        <w:rPr>
          <w:rFonts w:hint="eastAsia" w:ascii="仿宋" w:hAnsi="仿宋" w:eastAsia="仿宋" w:cs="仿宋"/>
          <w:b/>
          <w:bCs/>
          <w:spacing w:val="-6"/>
          <w:sz w:val="18"/>
          <w:szCs w:val="18"/>
          <w:highlight w:val="none"/>
        </w:rPr>
        <w:t>.如标项Y包含A、B、C三种“抽检项目产品名称”，招标最低任务批次数依次分别为X1、X2、X3，</w:t>
      </w:r>
      <w:r>
        <w:rPr>
          <w:rFonts w:hint="eastAsia" w:ascii="仿宋" w:hAnsi="仿宋" w:eastAsia="仿宋" w:cs="仿宋"/>
          <w:b/>
          <w:bCs/>
          <w:spacing w:val="-6"/>
          <w:sz w:val="18"/>
          <w:szCs w:val="18"/>
          <w:highlight w:val="none"/>
          <w:lang w:val="en-US" w:eastAsia="zh-CN"/>
        </w:rPr>
        <w:t>批次</w:t>
      </w:r>
      <w:r>
        <w:rPr>
          <w:rFonts w:hint="eastAsia" w:ascii="仿宋" w:hAnsi="仿宋" w:eastAsia="仿宋" w:cs="仿宋"/>
          <w:b/>
          <w:bCs/>
          <w:spacing w:val="-6"/>
          <w:sz w:val="18"/>
          <w:szCs w:val="18"/>
          <w:highlight w:val="none"/>
        </w:rPr>
        <w:t>单价依次分别为N1、N2、N3，则此综合单价为(X1*N1+X2*N2+X3*N3)/(X1+X2+X3)</w:t>
      </w:r>
    </w:p>
    <w:p w14:paraId="044D8165">
      <w:pPr>
        <w:adjustRightInd w:val="0"/>
        <w:snapToGrid w:val="0"/>
        <w:spacing w:line="360" w:lineRule="auto"/>
        <w:rPr>
          <w:rFonts w:ascii="仿宋" w:hAnsi="仿宋" w:eastAsia="仿宋" w:cs="仿宋"/>
          <w:szCs w:val="21"/>
          <w:highlight w:val="none"/>
        </w:rPr>
      </w:pPr>
    </w:p>
    <w:p w14:paraId="740C14AA">
      <w:pPr>
        <w:adjustRightInd w:val="0"/>
        <w:snapToGrid w:val="0"/>
        <w:spacing w:line="360" w:lineRule="auto"/>
        <w:rPr>
          <w:rFonts w:ascii="仿宋" w:hAnsi="仿宋" w:eastAsia="仿宋" w:cs="仿宋"/>
          <w:b/>
          <w:bCs/>
          <w:spacing w:val="-6"/>
          <w:szCs w:val="21"/>
          <w:highlight w:val="none"/>
        </w:rPr>
      </w:pPr>
    </w:p>
    <w:p w14:paraId="0FD742BC">
      <w:pPr>
        <w:adjustRightInd w:val="0"/>
        <w:snapToGrid w:val="0"/>
        <w:spacing w:line="360" w:lineRule="auto"/>
        <w:rPr>
          <w:rFonts w:ascii="仿宋" w:hAnsi="仿宋" w:eastAsia="仿宋" w:cs="仿宋"/>
          <w:b/>
          <w:bCs/>
          <w:spacing w:val="-6"/>
          <w:szCs w:val="21"/>
          <w:highlight w:val="none"/>
        </w:rPr>
      </w:pPr>
    </w:p>
    <w:p w14:paraId="47CD4309">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投标人名称（电子签名/公章）：</w:t>
      </w:r>
    </w:p>
    <w:p w14:paraId="05C8AB6F">
      <w:pPr>
        <w:adjustRightInd w:val="0"/>
        <w:snapToGrid w:val="0"/>
        <w:spacing w:line="360" w:lineRule="auto"/>
        <w:rPr>
          <w:rFonts w:hint="eastAsia" w:ascii="仿宋" w:hAnsi="仿宋" w:eastAsia="仿宋" w:cs="仿宋"/>
          <w:b/>
          <w:bCs/>
          <w:spacing w:val="-6"/>
          <w:szCs w:val="21"/>
          <w:highlight w:val="none"/>
        </w:rPr>
      </w:pPr>
      <w:r>
        <w:rPr>
          <w:rFonts w:hint="eastAsia" w:ascii="仿宋" w:hAnsi="仿宋" w:eastAsia="仿宋" w:cs="仿宋"/>
          <w:b/>
          <w:bCs/>
          <w:spacing w:val="-6"/>
          <w:szCs w:val="21"/>
          <w:highlight w:val="none"/>
        </w:rPr>
        <w:t>日期：     年   月   日</w:t>
      </w:r>
    </w:p>
    <w:p w14:paraId="2D9911F4">
      <w:pPr>
        <w:rPr>
          <w:rFonts w:hint="eastAsia" w:ascii="仿宋" w:hAnsi="仿宋" w:eastAsia="仿宋" w:cs="仿宋"/>
          <w:b/>
          <w:bCs/>
          <w:spacing w:val="-6"/>
          <w:szCs w:val="21"/>
          <w:highlight w:val="none"/>
        </w:rPr>
      </w:pPr>
      <w:r>
        <w:rPr>
          <w:rFonts w:hint="eastAsia" w:ascii="仿宋" w:hAnsi="仿宋" w:eastAsia="仿宋" w:cs="仿宋"/>
          <w:b/>
          <w:bCs/>
          <w:spacing w:val="-6"/>
          <w:szCs w:val="21"/>
          <w:highlight w:val="none"/>
        </w:rPr>
        <w:br w:type="page"/>
      </w:r>
    </w:p>
    <w:p w14:paraId="39FFFC50">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投标报价明细表</w:t>
      </w:r>
    </w:p>
    <w:p w14:paraId="0CE1247F">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浙江省市场监督管理局</w:t>
      </w:r>
    </w:p>
    <w:p w14:paraId="3DB67482">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2025年度浙江省助力产品质量提升重点攻坚（二）产品质量监督抽查抽样检验机构技术服务采购项目</w:t>
      </w:r>
    </w:p>
    <w:p w14:paraId="37FD23AD">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QSZB-Z(F)-H25102(GK)</w:t>
      </w:r>
    </w:p>
    <w:p w14:paraId="3A1611E7">
      <w:pPr>
        <w:adjustRightInd w:val="0"/>
        <w:snapToGrid w:val="0"/>
        <w:spacing w:line="360" w:lineRule="auto"/>
        <w:rPr>
          <w:highlight w:val="none"/>
        </w:rPr>
      </w:pPr>
      <w:r>
        <w:rPr>
          <w:rFonts w:hint="eastAsia" w:ascii="仿宋" w:hAnsi="仿宋" w:eastAsia="仿宋" w:cs="仿宋"/>
          <w:bCs/>
          <w:spacing w:val="-6"/>
          <w:szCs w:val="21"/>
          <w:highlight w:val="none"/>
        </w:rPr>
        <w:t xml:space="preserve">标    项： </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6"/>
        <w:gridCol w:w="1800"/>
        <w:gridCol w:w="1757"/>
        <w:gridCol w:w="2295"/>
      </w:tblGrid>
      <w:tr w14:paraId="5311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776" w:type="dxa"/>
            <w:vAlign w:val="center"/>
          </w:tcPr>
          <w:p w14:paraId="777873F1">
            <w:pPr>
              <w:pStyle w:val="21"/>
              <w:spacing w:line="360" w:lineRule="auto"/>
              <w:jc w:val="center"/>
              <w:rPr>
                <w:rFonts w:ascii="仿宋" w:hAnsi="仿宋" w:eastAsia="仿宋" w:cs="仿宋"/>
                <w:b/>
                <w:bCs/>
                <w:szCs w:val="21"/>
                <w:highlight w:val="none"/>
              </w:rPr>
            </w:pPr>
            <w:r>
              <w:rPr>
                <w:rFonts w:hint="eastAsia" w:ascii="仿宋" w:hAnsi="仿宋" w:eastAsia="仿宋" w:cs="仿宋"/>
                <w:b/>
                <w:bCs/>
                <w:szCs w:val="21"/>
                <w:highlight w:val="none"/>
              </w:rPr>
              <w:t>产品名称</w:t>
            </w:r>
          </w:p>
        </w:tc>
        <w:tc>
          <w:tcPr>
            <w:tcW w:w="1800" w:type="dxa"/>
            <w:vAlign w:val="center"/>
          </w:tcPr>
          <w:p w14:paraId="5749F2C3">
            <w:pPr>
              <w:pStyle w:val="21"/>
              <w:spacing w:line="360" w:lineRule="auto"/>
              <w:jc w:val="center"/>
              <w:rPr>
                <w:rFonts w:ascii="仿宋" w:hAnsi="仿宋" w:eastAsia="仿宋" w:cs="仿宋"/>
                <w:b/>
                <w:bCs/>
                <w:szCs w:val="21"/>
                <w:highlight w:val="none"/>
              </w:rPr>
            </w:pPr>
            <w:r>
              <w:rPr>
                <w:rFonts w:hint="eastAsia" w:ascii="仿宋" w:hAnsi="仿宋" w:eastAsia="仿宋" w:cs="仿宋"/>
                <w:b/>
                <w:bCs/>
                <w:szCs w:val="21"/>
                <w:highlight w:val="none"/>
              </w:rPr>
              <w:t>批次单价</w:t>
            </w:r>
          </w:p>
        </w:tc>
        <w:tc>
          <w:tcPr>
            <w:tcW w:w="1757" w:type="dxa"/>
            <w:vAlign w:val="center"/>
          </w:tcPr>
          <w:p w14:paraId="03DE5F81">
            <w:pPr>
              <w:pStyle w:val="21"/>
              <w:spacing w:line="360" w:lineRule="auto"/>
              <w:jc w:val="center"/>
              <w:rPr>
                <w:rFonts w:ascii="仿宋" w:hAnsi="仿宋" w:eastAsia="仿宋" w:cs="仿宋"/>
                <w:b/>
                <w:bCs/>
                <w:szCs w:val="21"/>
                <w:highlight w:val="none"/>
              </w:rPr>
            </w:pPr>
            <w:r>
              <w:rPr>
                <w:rFonts w:hint="eastAsia" w:ascii="仿宋" w:hAnsi="仿宋" w:eastAsia="仿宋" w:cs="仿宋"/>
                <w:b/>
                <w:bCs/>
                <w:szCs w:val="21"/>
                <w:highlight w:val="none"/>
              </w:rPr>
              <w:t>批次数</w:t>
            </w:r>
          </w:p>
        </w:tc>
        <w:tc>
          <w:tcPr>
            <w:tcW w:w="2295" w:type="dxa"/>
            <w:vAlign w:val="center"/>
          </w:tcPr>
          <w:p w14:paraId="17BD3C28">
            <w:pPr>
              <w:pStyle w:val="21"/>
              <w:spacing w:line="360" w:lineRule="auto"/>
              <w:jc w:val="center"/>
              <w:rPr>
                <w:rFonts w:ascii="仿宋" w:hAnsi="仿宋" w:eastAsia="仿宋" w:cs="仿宋"/>
                <w:b/>
                <w:bCs/>
                <w:szCs w:val="21"/>
                <w:highlight w:val="none"/>
              </w:rPr>
            </w:pPr>
            <w:r>
              <w:rPr>
                <w:rFonts w:hint="eastAsia" w:ascii="仿宋" w:hAnsi="仿宋" w:eastAsia="仿宋" w:cs="仿宋"/>
                <w:b/>
                <w:bCs/>
                <w:szCs w:val="21"/>
                <w:highlight w:val="none"/>
                <w:lang w:val="en-US" w:eastAsia="zh-CN"/>
              </w:rPr>
              <w:t>分项</w:t>
            </w:r>
            <w:r>
              <w:rPr>
                <w:rFonts w:hint="eastAsia" w:ascii="仿宋" w:hAnsi="仿宋" w:eastAsia="仿宋" w:cs="仿宋"/>
                <w:b/>
                <w:bCs/>
                <w:szCs w:val="21"/>
                <w:highlight w:val="none"/>
              </w:rPr>
              <w:t>总价</w:t>
            </w:r>
          </w:p>
        </w:tc>
      </w:tr>
      <w:tr w14:paraId="10AD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6" w:type="dxa"/>
            <w:vAlign w:val="center"/>
          </w:tcPr>
          <w:p w14:paraId="486D9CC7">
            <w:pPr>
              <w:pStyle w:val="21"/>
              <w:spacing w:line="360" w:lineRule="auto"/>
              <w:jc w:val="center"/>
              <w:rPr>
                <w:rFonts w:ascii="仿宋" w:hAnsi="仿宋" w:eastAsia="仿宋" w:cs="仿宋"/>
                <w:b/>
                <w:bCs/>
                <w:szCs w:val="21"/>
                <w:highlight w:val="none"/>
              </w:rPr>
            </w:pPr>
          </w:p>
        </w:tc>
        <w:tc>
          <w:tcPr>
            <w:tcW w:w="1800" w:type="dxa"/>
            <w:vAlign w:val="center"/>
          </w:tcPr>
          <w:p w14:paraId="023CD87D">
            <w:pPr>
              <w:pStyle w:val="21"/>
              <w:spacing w:line="360" w:lineRule="auto"/>
              <w:jc w:val="center"/>
              <w:rPr>
                <w:rFonts w:ascii="仿宋" w:hAnsi="仿宋" w:eastAsia="仿宋" w:cs="仿宋"/>
                <w:b/>
                <w:bCs/>
                <w:szCs w:val="21"/>
                <w:highlight w:val="none"/>
              </w:rPr>
            </w:pPr>
          </w:p>
        </w:tc>
        <w:tc>
          <w:tcPr>
            <w:tcW w:w="1757" w:type="dxa"/>
            <w:vAlign w:val="center"/>
          </w:tcPr>
          <w:p w14:paraId="0AF451FB">
            <w:pPr>
              <w:pStyle w:val="21"/>
              <w:spacing w:line="360" w:lineRule="auto"/>
              <w:jc w:val="center"/>
              <w:rPr>
                <w:rFonts w:ascii="仿宋" w:hAnsi="仿宋" w:eastAsia="仿宋" w:cs="仿宋"/>
                <w:b/>
                <w:bCs/>
                <w:szCs w:val="21"/>
                <w:highlight w:val="none"/>
              </w:rPr>
            </w:pPr>
          </w:p>
        </w:tc>
        <w:tc>
          <w:tcPr>
            <w:tcW w:w="2295" w:type="dxa"/>
            <w:vAlign w:val="center"/>
          </w:tcPr>
          <w:p w14:paraId="6C493B0E">
            <w:pPr>
              <w:pStyle w:val="21"/>
              <w:spacing w:line="360" w:lineRule="auto"/>
              <w:jc w:val="center"/>
              <w:rPr>
                <w:rFonts w:ascii="仿宋" w:hAnsi="仿宋" w:eastAsia="仿宋" w:cs="仿宋"/>
                <w:b/>
                <w:bCs/>
                <w:szCs w:val="21"/>
                <w:highlight w:val="none"/>
              </w:rPr>
            </w:pPr>
          </w:p>
        </w:tc>
      </w:tr>
      <w:tr w14:paraId="777D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6" w:type="dxa"/>
            <w:vAlign w:val="center"/>
          </w:tcPr>
          <w:p w14:paraId="227A4FA6">
            <w:pPr>
              <w:pStyle w:val="21"/>
              <w:spacing w:line="360" w:lineRule="auto"/>
              <w:jc w:val="center"/>
              <w:rPr>
                <w:rFonts w:ascii="仿宋" w:hAnsi="仿宋" w:eastAsia="仿宋" w:cs="仿宋"/>
                <w:b/>
                <w:bCs/>
                <w:szCs w:val="21"/>
                <w:highlight w:val="none"/>
              </w:rPr>
            </w:pPr>
          </w:p>
        </w:tc>
        <w:tc>
          <w:tcPr>
            <w:tcW w:w="1800" w:type="dxa"/>
            <w:vAlign w:val="center"/>
          </w:tcPr>
          <w:p w14:paraId="152B45B0">
            <w:pPr>
              <w:pStyle w:val="21"/>
              <w:spacing w:line="360" w:lineRule="auto"/>
              <w:jc w:val="center"/>
              <w:rPr>
                <w:rFonts w:ascii="仿宋" w:hAnsi="仿宋" w:eastAsia="仿宋" w:cs="仿宋"/>
                <w:b/>
                <w:bCs/>
                <w:szCs w:val="21"/>
                <w:highlight w:val="none"/>
              </w:rPr>
            </w:pPr>
          </w:p>
        </w:tc>
        <w:tc>
          <w:tcPr>
            <w:tcW w:w="1757" w:type="dxa"/>
            <w:vAlign w:val="center"/>
          </w:tcPr>
          <w:p w14:paraId="5119B800">
            <w:pPr>
              <w:pStyle w:val="21"/>
              <w:spacing w:line="360" w:lineRule="auto"/>
              <w:jc w:val="center"/>
              <w:rPr>
                <w:rFonts w:ascii="仿宋" w:hAnsi="仿宋" w:eastAsia="仿宋" w:cs="仿宋"/>
                <w:b/>
                <w:bCs/>
                <w:szCs w:val="21"/>
                <w:highlight w:val="none"/>
              </w:rPr>
            </w:pPr>
          </w:p>
        </w:tc>
        <w:tc>
          <w:tcPr>
            <w:tcW w:w="2295" w:type="dxa"/>
            <w:vAlign w:val="center"/>
          </w:tcPr>
          <w:p w14:paraId="2D32CF6F">
            <w:pPr>
              <w:pStyle w:val="21"/>
              <w:spacing w:line="360" w:lineRule="auto"/>
              <w:jc w:val="center"/>
              <w:rPr>
                <w:rFonts w:ascii="仿宋" w:hAnsi="仿宋" w:eastAsia="仿宋" w:cs="仿宋"/>
                <w:b/>
                <w:bCs/>
                <w:szCs w:val="21"/>
                <w:highlight w:val="none"/>
              </w:rPr>
            </w:pPr>
          </w:p>
        </w:tc>
      </w:tr>
      <w:tr w14:paraId="4D19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3" w:type="dxa"/>
            <w:gridSpan w:val="3"/>
            <w:vAlign w:val="center"/>
          </w:tcPr>
          <w:p w14:paraId="55E50E7D">
            <w:pPr>
              <w:pStyle w:val="21"/>
              <w:spacing w:line="360" w:lineRule="auto"/>
              <w:jc w:val="center"/>
              <w:rPr>
                <w:rFonts w:ascii="仿宋" w:hAnsi="仿宋" w:eastAsia="仿宋" w:cs="仿宋"/>
                <w:b/>
                <w:bCs/>
                <w:szCs w:val="21"/>
                <w:highlight w:val="none"/>
              </w:rPr>
            </w:pPr>
            <w:r>
              <w:rPr>
                <w:rFonts w:hint="eastAsia" w:ascii="仿宋" w:hAnsi="仿宋" w:eastAsia="仿宋" w:cs="仿宋"/>
                <w:b/>
                <w:bCs/>
                <w:szCs w:val="21"/>
                <w:highlight w:val="none"/>
              </w:rPr>
              <w:t>总价</w:t>
            </w:r>
          </w:p>
        </w:tc>
        <w:tc>
          <w:tcPr>
            <w:tcW w:w="2295" w:type="dxa"/>
            <w:vAlign w:val="center"/>
          </w:tcPr>
          <w:p w14:paraId="6FCD3B9E">
            <w:pPr>
              <w:pStyle w:val="21"/>
              <w:spacing w:line="360" w:lineRule="auto"/>
              <w:jc w:val="center"/>
              <w:rPr>
                <w:rFonts w:ascii="仿宋" w:hAnsi="仿宋" w:eastAsia="仿宋" w:cs="仿宋"/>
                <w:b/>
                <w:bCs/>
                <w:szCs w:val="21"/>
                <w:highlight w:val="none"/>
              </w:rPr>
            </w:pPr>
          </w:p>
        </w:tc>
      </w:tr>
    </w:tbl>
    <w:p w14:paraId="7D57CEAD">
      <w:pPr>
        <w:adjustRightInd w:val="0"/>
        <w:snapToGrid w:val="0"/>
        <w:spacing w:line="360" w:lineRule="auto"/>
        <w:jc w:val="left"/>
        <w:rPr>
          <w:rFonts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注：批次数为招标需求表中明确的最低任务批次数（含网抽）。</w:t>
      </w:r>
    </w:p>
    <w:p w14:paraId="2B6F88AB">
      <w:pPr>
        <w:adjustRightInd w:val="0"/>
        <w:snapToGrid w:val="0"/>
        <w:spacing w:line="360" w:lineRule="auto"/>
        <w:jc w:val="left"/>
        <w:rPr>
          <w:rFonts w:ascii="仿宋" w:hAnsi="仿宋" w:eastAsia="仿宋" w:cs="仿宋"/>
          <w:b/>
          <w:bCs/>
          <w:spacing w:val="-6"/>
          <w:sz w:val="18"/>
          <w:szCs w:val="18"/>
          <w:highlight w:val="none"/>
        </w:rPr>
      </w:pPr>
    </w:p>
    <w:p w14:paraId="44678855">
      <w:pPr>
        <w:adjustRightInd w:val="0"/>
        <w:snapToGrid w:val="0"/>
        <w:spacing w:line="360" w:lineRule="auto"/>
        <w:rPr>
          <w:rFonts w:ascii="仿宋" w:hAnsi="仿宋" w:eastAsia="仿宋" w:cs="仿宋"/>
          <w:szCs w:val="21"/>
          <w:highlight w:val="none"/>
        </w:rPr>
      </w:pPr>
    </w:p>
    <w:p w14:paraId="7145DF4D">
      <w:pPr>
        <w:adjustRightInd w:val="0"/>
        <w:snapToGrid w:val="0"/>
        <w:spacing w:line="360" w:lineRule="auto"/>
        <w:rPr>
          <w:rFonts w:ascii="仿宋" w:hAnsi="仿宋" w:eastAsia="仿宋" w:cs="仿宋"/>
          <w:b/>
          <w:bCs/>
          <w:spacing w:val="-6"/>
          <w:szCs w:val="21"/>
          <w:highlight w:val="none"/>
        </w:rPr>
      </w:pPr>
    </w:p>
    <w:p w14:paraId="3A85D0E6">
      <w:pPr>
        <w:adjustRightInd w:val="0"/>
        <w:snapToGrid w:val="0"/>
        <w:spacing w:line="360" w:lineRule="auto"/>
        <w:rPr>
          <w:rFonts w:ascii="仿宋" w:hAnsi="仿宋" w:eastAsia="仿宋" w:cs="仿宋"/>
          <w:b/>
          <w:bCs/>
          <w:spacing w:val="-6"/>
          <w:szCs w:val="21"/>
          <w:highlight w:val="none"/>
        </w:rPr>
      </w:pPr>
    </w:p>
    <w:p w14:paraId="43C55F05">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投标人名称（电子签名/公章）：</w:t>
      </w:r>
    </w:p>
    <w:p w14:paraId="0B712089">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日期：     年   月   日</w:t>
      </w:r>
    </w:p>
    <w:p w14:paraId="1D8AEEFB">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bCs/>
          <w:color w:val="auto"/>
          <w:spacing w:val="-6"/>
          <w:szCs w:val="21"/>
          <w:highlight w:val="none"/>
        </w:rPr>
        <w:br w:type="page"/>
      </w:r>
      <w:r>
        <w:rPr>
          <w:rFonts w:hint="eastAsia" w:ascii="仿宋" w:hAnsi="仿宋" w:eastAsia="仿宋" w:cs="仿宋"/>
          <w:b/>
          <w:color w:val="auto"/>
          <w:spacing w:val="-6"/>
          <w:sz w:val="24"/>
          <w:highlight w:val="none"/>
        </w:rPr>
        <w:t>中小企业声明函</w:t>
      </w:r>
    </w:p>
    <w:p w14:paraId="1D6183C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（若属于中小企业）</w:t>
      </w:r>
    </w:p>
    <w:p w14:paraId="41A42F63">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郑重声明，根据《政府采购促进中小企业发展管理办法》（财库[2020]46号）的规定，本公司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参加</w:t>
      </w:r>
      <w:r>
        <w:rPr>
          <w:rFonts w:hint="eastAsia" w:ascii="仿宋" w:hAnsi="仿宋" w:eastAsia="仿宋" w:cs="仿宋"/>
          <w:bCs/>
          <w:color w:val="auto"/>
          <w:spacing w:val="-6"/>
          <w:szCs w:val="21"/>
          <w:highlight w:val="none"/>
          <w:lang w:eastAsia="zh-CN"/>
        </w:rPr>
        <w:t>浙江省市场监督管理局</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2025年度浙江省助力产品质量提升重点攻坚（二）产品质量监督抽查抽样检验机构技术服务采购项目</w:t>
      </w:r>
      <w:r>
        <w:rPr>
          <w:rFonts w:hint="eastAsia" w:ascii="仿宋" w:hAnsi="仿宋" w:eastAsia="仿宋" w:cs="仿宋"/>
          <w:bCs/>
          <w:color w:val="auto"/>
          <w:spacing w:val="-6"/>
          <w:szCs w:val="21"/>
          <w:highlight w:val="none"/>
          <w:lang w:val="en-US" w:eastAsia="zh-CN"/>
        </w:rPr>
        <w:t>采购</w:t>
      </w:r>
      <w:r>
        <w:rPr>
          <w:rFonts w:hint="eastAsia" w:ascii="仿宋" w:hAnsi="仿宋" w:eastAsia="仿宋" w:cs="仿宋"/>
          <w:color w:val="auto"/>
          <w:szCs w:val="21"/>
          <w:highlight w:val="none"/>
        </w:rPr>
        <w:t>活动，服务全部由符合政策要求的中小企业承接。相关企业（含联合体中的中小企业）的具体情况如下：</w:t>
      </w:r>
    </w:p>
    <w:p w14:paraId="7E6995CB">
      <w:pPr>
        <w:adjustRightInd w:val="0"/>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2025年度浙江省助力产品质量提升重点攻坚（二）产品质量监督抽查抽样检验机构技术服务采购项目</w:t>
      </w:r>
      <w:r>
        <w:rPr>
          <w:rFonts w:hint="eastAsia" w:ascii="仿宋" w:hAnsi="仿宋" w:eastAsia="仿宋" w:cs="仿宋"/>
          <w:color w:val="auto"/>
          <w:szCs w:val="21"/>
          <w:highlight w:val="none"/>
        </w:rPr>
        <w:t>，属于其他未列明行业；承接企业为</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MS Gothic" w:hAnsi="MS Gothic"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b/>
          <w:bCs/>
          <w:iCs/>
          <w:color w:val="auto"/>
          <w:szCs w:val="21"/>
          <w:highlight w:val="none"/>
        </w:rPr>
        <w:t>（如实勾选）</w:t>
      </w:r>
      <w:r>
        <w:rPr>
          <w:rFonts w:hint="eastAsia" w:ascii="仿宋" w:hAnsi="仿宋" w:eastAsia="仿宋" w:cs="仿宋"/>
          <w:b/>
          <w:bCs/>
          <w:iCs/>
          <w:color w:val="auto"/>
          <w:szCs w:val="21"/>
          <w:highlight w:val="none"/>
          <w:lang w:eastAsia="zh-CN"/>
        </w:rPr>
        <w:t>。</w:t>
      </w:r>
    </w:p>
    <w:p w14:paraId="3F23A9BA">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03305F82">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4894C6C9">
      <w:pPr>
        <w:adjustRightInd w:val="0"/>
        <w:snapToGrid w:val="0"/>
        <w:spacing w:line="360" w:lineRule="auto"/>
        <w:ind w:firstLine="420" w:firstLineChars="200"/>
        <w:rPr>
          <w:rFonts w:ascii="仿宋" w:hAnsi="仿宋" w:eastAsia="仿宋" w:cs="仿宋"/>
          <w:color w:val="auto"/>
          <w:szCs w:val="21"/>
          <w:highlight w:val="none"/>
        </w:rPr>
      </w:pPr>
    </w:p>
    <w:p w14:paraId="65D74428">
      <w:pPr>
        <w:adjustRightInd w:val="0"/>
        <w:snapToGrid w:val="0"/>
        <w:spacing w:line="360" w:lineRule="auto"/>
        <w:ind w:firstLine="420" w:firstLineChars="200"/>
        <w:rPr>
          <w:rFonts w:ascii="仿宋" w:hAnsi="仿宋" w:eastAsia="仿宋" w:cs="仿宋"/>
          <w:color w:val="auto"/>
          <w:szCs w:val="21"/>
          <w:highlight w:val="none"/>
        </w:rPr>
      </w:pPr>
    </w:p>
    <w:p w14:paraId="65160CC1">
      <w:pPr>
        <w:adjustRightInd w:val="0"/>
        <w:snapToGrid w:val="0"/>
        <w:spacing w:line="360" w:lineRule="auto"/>
        <w:ind w:firstLine="420" w:firstLineChars="200"/>
        <w:rPr>
          <w:rFonts w:ascii="仿宋" w:hAnsi="仿宋" w:eastAsia="仿宋" w:cs="仿宋"/>
          <w:color w:val="auto"/>
          <w:szCs w:val="21"/>
          <w:highlight w:val="none"/>
        </w:rPr>
      </w:pPr>
    </w:p>
    <w:p w14:paraId="602124E3">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67A55FB7">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14:paraId="3BC38762">
      <w:pPr>
        <w:adjustRightInd w:val="0"/>
        <w:snapToGrid w:val="0"/>
        <w:spacing w:line="360" w:lineRule="auto"/>
        <w:ind w:firstLine="420" w:firstLineChars="200"/>
        <w:rPr>
          <w:rFonts w:ascii="仿宋" w:hAnsi="仿宋" w:eastAsia="仿宋" w:cs="仿宋"/>
          <w:color w:val="auto"/>
          <w:szCs w:val="21"/>
          <w:highlight w:val="none"/>
        </w:rPr>
      </w:pPr>
    </w:p>
    <w:p w14:paraId="51FF57F9">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14:paraId="538F61BC">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1.标的名称，按照招标文件中明确的标的填写；</w:t>
      </w:r>
    </w:p>
    <w:p w14:paraId="24C40E77">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2.所属行业，按照招标文件中明确的标的“所属行业”填写；</w:t>
      </w:r>
    </w:p>
    <w:p w14:paraId="1FF8AF41">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3.承接企业，服务由中小企业承接，即提供服务的人员为中小企业依照《中华人民共和国劳动合同法》订立劳动合同的从业人员；</w:t>
      </w:r>
    </w:p>
    <w:p w14:paraId="143783EE">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4.从业人员、营业收入、资产总额填报上一年度数据，无上一年度数据的新成立企业可不填报</w:t>
      </w:r>
      <w:r>
        <w:rPr>
          <w:rFonts w:hint="eastAsia" w:ascii="仿宋" w:hAnsi="仿宋" w:eastAsia="仿宋" w:cs="仿宋"/>
          <w:b/>
          <w:bCs/>
          <w:color w:val="auto"/>
          <w:sz w:val="18"/>
          <w:szCs w:val="18"/>
          <w:highlight w:val="none"/>
          <w:lang w:eastAsia="zh-CN"/>
        </w:rPr>
        <w:t>；</w:t>
      </w:r>
    </w:p>
    <w:p w14:paraId="01C9143D">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5.企业类型（包括新成立企业），按照《中小企业划型标准规定》（工信部联企业〔2011〕300号）规定和招标文件中明确的标的“所属行业”，选择“中型企业、小型企业、微型企业”其中之一</w:t>
      </w:r>
      <w:r>
        <w:rPr>
          <w:rFonts w:hint="eastAsia" w:ascii="仿宋" w:hAnsi="仿宋" w:eastAsia="仿宋" w:cs="仿宋"/>
          <w:b/>
          <w:bCs/>
          <w:color w:val="auto"/>
          <w:sz w:val="18"/>
          <w:szCs w:val="18"/>
          <w:highlight w:val="none"/>
          <w:lang w:eastAsia="zh-CN"/>
        </w:rPr>
        <w:t>。</w:t>
      </w:r>
    </w:p>
    <w:p w14:paraId="31CDB838">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14:paraId="1387DDB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49F4FAB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（若属于监狱企业）</w:t>
      </w:r>
    </w:p>
    <w:p w14:paraId="55A89729">
      <w:pPr>
        <w:adjustRightInd w:val="0"/>
        <w:snapToGrid w:val="0"/>
        <w:spacing w:line="360" w:lineRule="auto"/>
        <w:rPr>
          <w:rFonts w:ascii="仿宋" w:hAnsi="仿宋" w:eastAsia="仿宋" w:cs="仿宋"/>
          <w:color w:val="auto"/>
          <w:szCs w:val="21"/>
          <w:highlight w:val="none"/>
        </w:rPr>
      </w:pPr>
    </w:p>
    <w:p w14:paraId="3A98D80B">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37C058DA">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E0D87C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29668F1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（若属于残疾人福利性单位）</w:t>
      </w:r>
    </w:p>
    <w:p w14:paraId="56ACB703">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浙江省市场监督管理局</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2025年浙江省市场监督管理局全民艺术普及品牌活动（全民艺术普及系列活动）</w:t>
      </w:r>
      <w:r>
        <w:rPr>
          <w:rFonts w:hint="eastAsia" w:ascii="仿宋" w:hAnsi="仿宋" w:eastAsia="仿宋" w:cs="仿宋"/>
          <w:color w:val="auto"/>
          <w:spacing w:val="6"/>
          <w:szCs w:val="21"/>
          <w:highlight w:val="none"/>
          <w:lang w:val="en-US" w:eastAsia="zh-CN"/>
        </w:rPr>
        <w:t>项目采购</w:t>
      </w:r>
      <w:r>
        <w:rPr>
          <w:rFonts w:hint="eastAsia" w:ascii="仿宋" w:hAnsi="仿宋" w:eastAsia="仿宋" w:cs="仿宋"/>
          <w:color w:val="auto"/>
          <w:spacing w:val="6"/>
          <w:szCs w:val="21"/>
          <w:highlight w:val="none"/>
        </w:rPr>
        <w:t>活动由本单位提供服务。</w:t>
      </w:r>
    </w:p>
    <w:p w14:paraId="3677C34D">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1104FCA0">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5523ECCE">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06E4811B">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555524E0">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1C6E2601">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14:paraId="15618A42">
      <w:pPr>
        <w:adjustRightInd w:val="0"/>
        <w:snapToGrid w:val="0"/>
        <w:spacing w:line="360" w:lineRule="auto"/>
        <w:ind w:firstLine="420" w:firstLineChars="200"/>
        <w:rPr>
          <w:rFonts w:ascii="仿宋" w:hAnsi="仿宋" w:eastAsia="仿宋" w:cs="仿宋"/>
          <w:color w:val="auto"/>
          <w:szCs w:val="21"/>
          <w:highlight w:val="none"/>
        </w:rPr>
      </w:pPr>
    </w:p>
    <w:p w14:paraId="567F3D15">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2727C9E8">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14:paraId="08262A97">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14:paraId="66409F65">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14:paraId="375C0D67">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14:paraId="2A9EE0F6">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14:paraId="68AF7492">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7BF24D3C">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951BAB9">
      <w:pPr>
        <w:pStyle w:val="25"/>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18"/>
          <w:szCs w:val="18"/>
          <w:highlight w:val="none"/>
          <w:lang w:eastAsia="zh-CN"/>
        </w:rPr>
        <w:t>；</w:t>
      </w:r>
    </w:p>
    <w:p w14:paraId="1A7C7DB2">
      <w:pPr>
        <w:pStyle w:val="25"/>
        <w:shd w:val="clear" w:color="auto" w:fill="FFFFFF"/>
        <w:adjustRightInd w:val="0"/>
        <w:snapToGrid w:val="0"/>
        <w:spacing w:before="0" w:beforeAutospacing="0" w:after="0" w:afterAutospacing="0" w:line="360" w:lineRule="auto"/>
        <w:ind w:firstLine="361" w:firstLineChars="200"/>
        <w:rPr>
          <w:rFonts w:hint="eastAsia"/>
          <w:color w:val="auto"/>
          <w:highlight w:val="none"/>
        </w:rPr>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0B2C91ED">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607ACFFC">
      <w:pPr>
        <w:keepNext w:val="0"/>
        <w:keepLines w:val="0"/>
        <w:pageBreakBefore w:val="0"/>
        <w:widowControl w:val="0"/>
        <w:kinsoku/>
        <w:wordWrap/>
        <w:overflowPunct/>
        <w:topLinePunct w:val="0"/>
        <w:autoSpaceDE/>
        <w:autoSpaceDN/>
        <w:bidi w:val="0"/>
        <w:spacing w:line="360" w:lineRule="auto"/>
        <w:textAlignment w:val="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0AF380F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14:paraId="0E39F8AF">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lang w:eastAsia="zh-CN"/>
        </w:rPr>
        <w:t>浙江省市场监督管理局</w:t>
      </w:r>
      <w:r>
        <w:rPr>
          <w:rFonts w:hint="eastAsia" w:ascii="仿宋" w:hAnsi="仿宋" w:eastAsia="仿宋" w:cs="仿宋"/>
          <w:b/>
          <w:bCs/>
          <w:color w:val="auto"/>
          <w:spacing w:val="-6"/>
          <w:szCs w:val="21"/>
          <w:highlight w:val="none"/>
        </w:rPr>
        <w:t>、浙江求是招标代理有限公司</w:t>
      </w:r>
    </w:p>
    <w:p w14:paraId="2365A207">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2025年度浙江省助力产品质量提升重点攻坚（二）产品质量监督抽查抽样检验机构技术服务采购项目</w:t>
      </w:r>
      <w:r>
        <w:rPr>
          <w:rFonts w:hint="eastAsia" w:ascii="仿宋" w:hAnsi="仿宋" w:eastAsia="仿宋" w:cs="仿宋"/>
          <w:color w:val="auto"/>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QSZB-Z(F)-H25102(GK)]</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14:paraId="2FD54CD3">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01E85070">
      <w:pPr>
        <w:snapToGrid w:val="0"/>
        <w:spacing w:line="360" w:lineRule="auto"/>
        <w:ind w:firstLine="424" w:firstLineChars="202"/>
        <w:rPr>
          <w:rFonts w:ascii="仿宋" w:hAnsi="仿宋" w:eastAsia="仿宋" w:cs="仿宋"/>
          <w:color w:val="auto"/>
          <w:szCs w:val="21"/>
          <w:highlight w:val="none"/>
        </w:rPr>
      </w:pPr>
    </w:p>
    <w:p w14:paraId="5FA8E411">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14:paraId="37C958E4">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14:paraId="4D6FFD28">
      <w:pPr>
        <w:snapToGrid w:val="0"/>
        <w:spacing w:line="360" w:lineRule="auto"/>
        <w:rPr>
          <w:rFonts w:ascii="仿宋" w:hAnsi="仿宋" w:eastAsia="仿宋" w:cs="仿宋"/>
          <w:b/>
          <w:bCs/>
          <w:color w:val="auto"/>
          <w:szCs w:val="21"/>
          <w:highlight w:val="none"/>
        </w:rPr>
      </w:pPr>
    </w:p>
    <w:p w14:paraId="4D327A69">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14:paraId="2BC4208E">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p w14:paraId="380AD059">
      <w:pPr>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62B5AE9">
      <w:pPr>
        <w:ind w:left="0" w:leftChars="0" w:right="0" w:rightChars="0"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7FB9ADA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14:paraId="4D77371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14:paraId="0C675FEC">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w:t>
      </w:r>
      <w:r>
        <w:rPr>
          <w:rFonts w:hint="eastAsia" w:ascii="仿宋" w:hAnsi="仿宋" w:eastAsia="仿宋" w:cs="仿宋"/>
          <w:b/>
          <w:color w:val="auto"/>
          <w:sz w:val="18"/>
          <w:szCs w:val="18"/>
          <w:highlight w:val="none"/>
          <w:lang w:eastAsia="zh-CN"/>
        </w:rPr>
        <w:t>，</w:t>
      </w:r>
      <w:r>
        <w:rPr>
          <w:rFonts w:hint="eastAsia" w:ascii="仿宋" w:hAnsi="仿宋" w:eastAsia="仿宋" w:cs="仿宋"/>
          <w:b/>
          <w:color w:val="auto"/>
          <w:sz w:val="18"/>
          <w:szCs w:val="18"/>
          <w:highlight w:val="none"/>
        </w:rPr>
        <w:t>项目不接受联合体投标或投标人不以联合体形式投标的则不需要提供）</w:t>
      </w:r>
    </w:p>
    <w:p w14:paraId="34921294">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2025年度浙江省助力产品质量提升重点攻坚（二）产品质量监督抽查抽样检验机构技术服务采购项目</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QSZB-Z(F)-H25102(GK)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投标。</w:t>
      </w:r>
    </w:p>
    <w:p w14:paraId="19E47C90">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61D400C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14:paraId="4B33A347">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48CE4AB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提供的服务由小微企业承接，其合同份额占到合同总金额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14:paraId="532C837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3E2841B7">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4D9E9ECE">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p>
    <w:p w14:paraId="15B9FBDC">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p>
    <w:p w14:paraId="1529971C">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4DA39A9F">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019F550F">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62FD3673">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49CDA990">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14:paraId="34B9635D">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4C5F3AC3">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0C6FFE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eastAsia="zh-CN"/>
        </w:rPr>
      </w:pPr>
      <w:r>
        <w:rPr>
          <w:rFonts w:hint="eastAsia" w:ascii="仿宋" w:hAnsi="仿宋" w:eastAsia="仿宋" w:cs="仿宋"/>
          <w:b/>
          <w:color w:val="auto"/>
          <w:spacing w:val="-6"/>
          <w:sz w:val="24"/>
          <w:highlight w:val="none"/>
          <w:lang w:val="zh-CN"/>
        </w:rPr>
        <w:t>附件</w:t>
      </w:r>
      <w:r>
        <w:rPr>
          <w:rFonts w:hint="eastAsia" w:ascii="仿宋" w:hAnsi="仿宋" w:eastAsia="仿宋" w:cs="仿宋"/>
          <w:b/>
          <w:color w:val="auto"/>
          <w:spacing w:val="-6"/>
          <w:sz w:val="24"/>
          <w:highlight w:val="none"/>
          <w:lang w:val="en-US" w:eastAsia="zh-CN"/>
        </w:rPr>
        <w:t>3</w:t>
      </w:r>
    </w:p>
    <w:p w14:paraId="6A181C3A">
      <w:pPr>
        <w:adjustRightInd w:val="0"/>
        <w:snapToGrid w:val="0"/>
        <w:spacing w:line="360" w:lineRule="auto"/>
        <w:jc w:val="center"/>
        <w:outlineLvl w:val="2"/>
        <w:rPr>
          <w:rFonts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分包意向协议</w:t>
      </w:r>
    </w:p>
    <w:p w14:paraId="218C67DA">
      <w:pPr>
        <w:widowControl/>
        <w:snapToGrid w:val="0"/>
        <w:spacing w:line="360" w:lineRule="auto"/>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（中标后以分包方式履行合同的提供分包意向协议，采购人不同意分包或中标后不以分包方式履行合同的则不需要提供）</w:t>
      </w:r>
    </w:p>
    <w:p w14:paraId="778157E9">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u w:val="single"/>
        </w:rPr>
        <w:t>（投标人名称）</w:t>
      </w:r>
      <w:r>
        <w:rPr>
          <w:rFonts w:hint="eastAsia" w:ascii="仿宋" w:hAnsi="仿宋" w:eastAsia="仿宋" w:cs="仿宋"/>
          <w:kern w:val="0"/>
          <w:szCs w:val="21"/>
          <w:highlight w:val="none"/>
          <w:lang w:val="zh-CN"/>
        </w:rPr>
        <w:t>若成为</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2025年度浙江省助力产品质量提升重点攻坚（二）产品质量监督抽查抽样检验机构技术服务采购项目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QSZB-Z(F)-H25102(GK)</w:t>
      </w:r>
      <w:r>
        <w:rPr>
          <w:rFonts w:hint="eastAsia" w:ascii="仿宋" w:hAnsi="仿宋" w:eastAsia="仿宋" w:cs="仿宋"/>
          <w:color w:val="auto"/>
          <w:szCs w:val="21"/>
          <w:highlight w:val="none"/>
          <w:lang w:eastAsia="zh-CN"/>
        </w:rPr>
        <w:t>]</w:t>
      </w:r>
      <w:r>
        <w:rPr>
          <w:rFonts w:hint="eastAsia" w:ascii="仿宋" w:hAnsi="仿宋" w:eastAsia="仿宋" w:cs="仿宋"/>
          <w:kern w:val="0"/>
          <w:szCs w:val="21"/>
          <w:highlight w:val="none"/>
          <w:lang w:val="zh-CN"/>
        </w:rPr>
        <w:t>的中标</w:t>
      </w:r>
      <w:r>
        <w:rPr>
          <w:rFonts w:hint="eastAsia" w:ascii="仿宋" w:hAnsi="仿宋" w:eastAsia="仿宋" w:cs="仿宋"/>
          <w:kern w:val="0"/>
          <w:szCs w:val="21"/>
          <w:highlight w:val="none"/>
        </w:rPr>
        <w:t>人</w:t>
      </w:r>
      <w:r>
        <w:rPr>
          <w:rFonts w:hint="eastAsia" w:ascii="仿宋" w:hAnsi="仿宋" w:eastAsia="仿宋" w:cs="仿宋"/>
          <w:kern w:val="0"/>
          <w:szCs w:val="21"/>
          <w:highlight w:val="none"/>
          <w:lang w:val="zh-CN"/>
        </w:rPr>
        <w:t>，将依法采取分包方式履行合同。</w:t>
      </w:r>
      <w:r>
        <w:rPr>
          <w:rFonts w:hint="eastAsia" w:ascii="仿宋" w:hAnsi="仿宋" w:eastAsia="仿宋" w:cs="仿宋"/>
          <w:kern w:val="0"/>
          <w:szCs w:val="21"/>
          <w:highlight w:val="none"/>
          <w:u w:val="single"/>
        </w:rPr>
        <w:t>（投标人名称）</w:t>
      </w:r>
      <w:r>
        <w:rPr>
          <w:rFonts w:hint="eastAsia" w:ascii="仿宋" w:hAnsi="仿宋" w:eastAsia="仿宋" w:cs="仿宋"/>
          <w:kern w:val="0"/>
          <w:szCs w:val="21"/>
          <w:highlight w:val="none"/>
        </w:rPr>
        <w:t>与</w:t>
      </w:r>
      <w:r>
        <w:rPr>
          <w:rFonts w:hint="eastAsia" w:ascii="仿宋" w:hAnsi="仿宋" w:eastAsia="仿宋" w:cs="仿宋"/>
          <w:kern w:val="0"/>
          <w:szCs w:val="21"/>
          <w:highlight w:val="none"/>
          <w:u w:val="single"/>
        </w:rPr>
        <w:t>（所有分包供应商名称）</w:t>
      </w:r>
      <w:r>
        <w:rPr>
          <w:rFonts w:hint="eastAsia" w:ascii="仿宋" w:hAnsi="仿宋" w:eastAsia="仿宋" w:cs="仿宋"/>
          <w:kern w:val="0"/>
          <w:szCs w:val="21"/>
          <w:highlight w:val="none"/>
        </w:rPr>
        <w:t>达成分包意向协议</w:t>
      </w:r>
      <w:r>
        <w:rPr>
          <w:rFonts w:hint="eastAsia" w:ascii="仿宋" w:hAnsi="仿宋" w:eastAsia="仿宋" w:cs="仿宋"/>
          <w:kern w:val="0"/>
          <w:szCs w:val="21"/>
          <w:highlight w:val="none"/>
          <w:lang w:val="zh-CN"/>
        </w:rPr>
        <w:t>。</w:t>
      </w:r>
    </w:p>
    <w:p w14:paraId="1CCD7EF9">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一、分包标的及数量</w:t>
      </w:r>
    </w:p>
    <w:p w14:paraId="40CA888C">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u w:val="single"/>
        </w:rPr>
        <w:t>（投标人名称）</w:t>
      </w:r>
      <w:r>
        <w:rPr>
          <w:rFonts w:hint="eastAsia" w:ascii="仿宋" w:hAnsi="仿宋" w:eastAsia="仿宋" w:cs="仿宋"/>
          <w:kern w:val="0"/>
          <w:szCs w:val="21"/>
          <w:highlight w:val="none"/>
          <w:lang w:val="zh-CN"/>
        </w:rPr>
        <w:t>将</w:t>
      </w:r>
      <w:r>
        <w:rPr>
          <w:rFonts w:hint="eastAsia" w:ascii="仿宋" w:hAnsi="仿宋" w:eastAsia="仿宋" w:cs="仿宋"/>
          <w:szCs w:val="21"/>
          <w:highlight w:val="none"/>
          <w:u w:val="single"/>
        </w:rPr>
        <w:t>XX工作内容</w:t>
      </w:r>
      <w:r>
        <w:rPr>
          <w:rFonts w:hint="eastAsia" w:ascii="仿宋" w:hAnsi="仿宋" w:eastAsia="仿宋" w:cs="仿宋"/>
          <w:szCs w:val="21"/>
          <w:highlight w:val="none"/>
        </w:rPr>
        <w:t>分包给</w:t>
      </w:r>
      <w:r>
        <w:rPr>
          <w:rFonts w:hint="eastAsia" w:ascii="仿宋" w:hAnsi="仿宋" w:eastAsia="仿宋" w:cs="仿宋"/>
          <w:kern w:val="0"/>
          <w:szCs w:val="21"/>
          <w:highlight w:val="none"/>
          <w:u w:val="single"/>
        </w:rPr>
        <w:t>（某分包供应商名称）</w:t>
      </w:r>
      <w:r>
        <w:rPr>
          <w:rFonts w:hint="eastAsia" w:ascii="仿宋" w:hAnsi="仿宋" w:eastAsia="仿宋" w:cs="仿宋"/>
          <w:kern w:val="0"/>
          <w:szCs w:val="21"/>
          <w:highlight w:val="none"/>
          <w:lang w:val="zh-CN"/>
        </w:rPr>
        <w:t>，</w:t>
      </w:r>
      <w:r>
        <w:rPr>
          <w:rFonts w:hint="eastAsia" w:ascii="仿宋" w:hAnsi="仿宋" w:eastAsia="仿宋" w:cs="仿宋"/>
          <w:kern w:val="0"/>
          <w:szCs w:val="21"/>
          <w:highlight w:val="none"/>
          <w:u w:val="single"/>
        </w:rPr>
        <w:t>（某分包供应商名称）</w:t>
      </w:r>
      <w:r>
        <w:rPr>
          <w:rFonts w:hint="eastAsia" w:ascii="仿宋" w:hAnsi="仿宋" w:eastAsia="仿宋" w:cs="仿宋"/>
          <w:kern w:val="0"/>
          <w:szCs w:val="21"/>
          <w:highlight w:val="none"/>
          <w:lang w:val="zh-CN"/>
        </w:rPr>
        <w:t>具备承</w:t>
      </w:r>
      <w:r>
        <w:rPr>
          <w:rFonts w:hint="eastAsia" w:ascii="仿宋" w:hAnsi="仿宋" w:eastAsia="仿宋" w:cs="仿宋"/>
          <w:kern w:val="0"/>
          <w:szCs w:val="21"/>
          <w:highlight w:val="none"/>
        </w:rPr>
        <w:t>担</w:t>
      </w:r>
      <w:r>
        <w:rPr>
          <w:rFonts w:hint="eastAsia" w:ascii="仿宋" w:hAnsi="仿宋" w:eastAsia="仿宋" w:cs="仿宋"/>
          <w:szCs w:val="21"/>
          <w:highlight w:val="none"/>
          <w:u w:val="single"/>
        </w:rPr>
        <w:t>XX工作内容</w:t>
      </w:r>
      <w:r>
        <w:rPr>
          <w:rFonts w:hint="eastAsia" w:ascii="仿宋" w:hAnsi="仿宋" w:eastAsia="仿宋" w:cs="仿宋"/>
          <w:kern w:val="0"/>
          <w:szCs w:val="21"/>
          <w:highlight w:val="none"/>
          <w:lang w:val="zh-CN"/>
        </w:rPr>
        <w:t>相应资质条件且不得再次分包；</w:t>
      </w:r>
    </w:p>
    <w:p w14:paraId="5B5B392E">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w:t>
      </w:r>
    </w:p>
    <w:p w14:paraId="4552C6C9">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二、分包工作履行期限、地点、方式：</w:t>
      </w:r>
    </w:p>
    <w:p w14:paraId="1D73F6B0">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三、质量：</w:t>
      </w:r>
    </w:p>
    <w:p w14:paraId="34C2B59C">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四、价款或者报酬：</w:t>
      </w:r>
    </w:p>
    <w:p w14:paraId="09CF85FF">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五、违约责任：</w:t>
      </w:r>
    </w:p>
    <w:p w14:paraId="2DC98BFF">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六、争议解决的办法：</w:t>
      </w:r>
    </w:p>
    <w:p w14:paraId="52A8BCB6">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七、其他：</w:t>
      </w:r>
    </w:p>
    <w:p w14:paraId="6D5B1C05">
      <w:pPr>
        <w:snapToGrid w:val="0"/>
        <w:spacing w:line="360" w:lineRule="auto"/>
        <w:ind w:firstLine="420" w:firstLineChars="200"/>
        <w:rPr>
          <w:rFonts w:ascii="仿宋" w:hAnsi="仿宋" w:eastAsia="仿宋" w:cs="仿宋"/>
          <w:b/>
          <w:kern w:val="0"/>
          <w:sz w:val="18"/>
          <w:szCs w:val="18"/>
          <w:highlight w:val="none"/>
          <w:lang w:val="zh-CN"/>
        </w:rPr>
      </w:pPr>
      <w:r>
        <w:rPr>
          <w:rFonts w:hint="eastAsia" w:ascii="仿宋" w:hAnsi="仿宋" w:eastAsia="仿宋" w:cs="仿宋"/>
          <w:kern w:val="0"/>
          <w:szCs w:val="21"/>
          <w:highlight w:val="none"/>
          <w:u w:val="single"/>
        </w:rPr>
        <w:t>（某分包供应商名称）</w:t>
      </w:r>
      <w:r>
        <w:rPr>
          <w:rFonts w:hint="eastAsia" w:ascii="仿宋" w:hAnsi="仿宋" w:eastAsia="仿宋" w:cs="仿宋"/>
          <w:kern w:val="0"/>
          <w:szCs w:val="21"/>
          <w:highlight w:val="none"/>
        </w:rPr>
        <w:t>提供的服务由小微企业承接，其合同份额占到合同总金额</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%以上</w:t>
      </w:r>
      <w:r>
        <w:rPr>
          <w:rFonts w:hint="eastAsia" w:ascii="仿宋" w:hAnsi="仿宋" w:eastAsia="仿宋" w:cs="仿宋"/>
          <w:szCs w:val="21"/>
          <w:highlight w:val="none"/>
        </w:rPr>
        <w:t>。</w:t>
      </w:r>
    </w:p>
    <w:p w14:paraId="4C318F1F">
      <w:pPr>
        <w:snapToGrid w:val="0"/>
        <w:spacing w:line="360" w:lineRule="auto"/>
        <w:ind w:firstLine="420" w:firstLineChars="200"/>
        <w:rPr>
          <w:rFonts w:ascii="仿宋" w:hAnsi="仿宋" w:eastAsia="仿宋" w:cs="仿宋"/>
          <w:kern w:val="0"/>
          <w:szCs w:val="21"/>
          <w:highlight w:val="none"/>
          <w:lang w:val="zh-CN"/>
        </w:rPr>
      </w:pPr>
    </w:p>
    <w:p w14:paraId="554855D6">
      <w:pPr>
        <w:snapToGrid w:val="0"/>
        <w:spacing w:line="360" w:lineRule="auto"/>
        <w:ind w:firstLine="422" w:firstLineChars="200"/>
        <w:rPr>
          <w:rFonts w:ascii="仿宋" w:hAnsi="仿宋" w:eastAsia="仿宋" w:cs="仿宋"/>
          <w:b/>
          <w:bCs/>
          <w:kern w:val="0"/>
          <w:szCs w:val="21"/>
          <w:highlight w:val="none"/>
          <w:lang w:val="zh-CN"/>
        </w:rPr>
      </w:pPr>
    </w:p>
    <w:p w14:paraId="20D26784">
      <w:pPr>
        <w:snapToGrid w:val="0"/>
        <w:spacing w:line="360" w:lineRule="auto"/>
        <w:ind w:firstLine="422" w:firstLineChars="200"/>
        <w:rPr>
          <w:rFonts w:ascii="仿宋" w:hAnsi="仿宋" w:eastAsia="仿宋" w:cs="仿宋"/>
          <w:b/>
          <w:bCs/>
          <w:kern w:val="0"/>
          <w:szCs w:val="21"/>
          <w:highlight w:val="none"/>
          <w:lang w:val="zh-CN"/>
        </w:rPr>
      </w:pPr>
    </w:p>
    <w:p w14:paraId="5E156DAB">
      <w:pPr>
        <w:snapToGrid w:val="0"/>
        <w:spacing w:line="360" w:lineRule="auto"/>
        <w:rPr>
          <w:rFonts w:ascii="仿宋" w:hAnsi="仿宋" w:eastAsia="仿宋" w:cs="仿宋"/>
          <w:b/>
          <w:bCs/>
          <w:kern w:val="0"/>
          <w:szCs w:val="21"/>
          <w:highlight w:val="none"/>
          <w:lang w:val="zh-CN"/>
        </w:rPr>
      </w:pPr>
      <w:r>
        <w:rPr>
          <w:rFonts w:hint="eastAsia" w:ascii="仿宋" w:hAnsi="仿宋" w:eastAsia="仿宋" w:cs="仿宋"/>
          <w:b/>
          <w:bCs/>
          <w:kern w:val="0"/>
          <w:szCs w:val="21"/>
          <w:highlight w:val="none"/>
          <w:lang w:val="zh-CN"/>
        </w:rPr>
        <w:t>投标人名称（电子签名/公章）：</w:t>
      </w:r>
    </w:p>
    <w:p w14:paraId="0D574371">
      <w:pPr>
        <w:snapToGrid w:val="0"/>
        <w:spacing w:line="360" w:lineRule="auto"/>
        <w:rPr>
          <w:rFonts w:hint="eastAsia" w:ascii="仿宋" w:hAnsi="仿宋" w:eastAsia="仿宋" w:cs="仿宋"/>
          <w:b/>
          <w:bCs/>
          <w:kern w:val="0"/>
          <w:szCs w:val="21"/>
          <w:highlight w:val="none"/>
          <w:lang w:val="zh-CN"/>
        </w:rPr>
      </w:pPr>
      <w:r>
        <w:rPr>
          <w:rFonts w:hint="eastAsia" w:ascii="仿宋" w:hAnsi="仿宋" w:eastAsia="仿宋" w:cs="仿宋"/>
          <w:b/>
          <w:bCs/>
          <w:kern w:val="0"/>
          <w:szCs w:val="21"/>
          <w:highlight w:val="none"/>
          <w:lang w:val="zh-CN"/>
        </w:rPr>
        <w:t>分包供应商名称：</w:t>
      </w:r>
    </w:p>
    <w:p w14:paraId="4D1D8988">
      <w:pPr>
        <w:snapToGrid w:val="0"/>
        <w:spacing w:line="360" w:lineRule="auto"/>
        <w:rPr>
          <w:rFonts w:hint="eastAsia" w:ascii="仿宋" w:hAnsi="仿宋" w:eastAsia="仿宋" w:cs="仿宋"/>
          <w:b/>
          <w:bCs/>
          <w:kern w:val="0"/>
          <w:szCs w:val="21"/>
          <w:highlight w:val="none"/>
          <w:lang w:val="zh-CN"/>
        </w:rPr>
      </w:pPr>
      <w:r>
        <w:rPr>
          <w:rFonts w:hint="eastAsia" w:ascii="仿宋" w:hAnsi="仿宋" w:eastAsia="仿宋" w:cs="仿宋"/>
          <w:b/>
          <w:bCs/>
          <w:kern w:val="0"/>
          <w:szCs w:val="21"/>
          <w:highlight w:val="none"/>
          <w:lang w:val="zh-CN"/>
        </w:rPr>
        <w:t>日期：     年   月   日</w:t>
      </w:r>
    </w:p>
    <w:p w14:paraId="4A8508E9">
      <w:pPr>
        <w:rPr>
          <w:rFonts w:ascii="仿宋" w:hAnsi="仿宋" w:eastAsia="仿宋" w:cs="仿宋"/>
          <w:b/>
          <w:bCs/>
          <w:spacing w:val="-6"/>
          <w:szCs w:val="21"/>
          <w:highlight w:val="none"/>
        </w:rPr>
      </w:pPr>
    </w:p>
    <w:sectPr>
      <w:footerReference r:id="rId6" w:type="default"/>
      <w:pgSz w:w="11906" w:h="16838"/>
      <w:pgMar w:top="1440" w:right="1247" w:bottom="1440" w:left="1247" w:header="340" w:footer="850" w:gutter="0"/>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Noto Serif SC"/>
    <w:panose1 w:val="00000000000000000000"/>
    <w:charset w:val="00"/>
    <w:family w:val="auto"/>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Segoe Print">
    <w:panose1 w:val="02000600000000000000"/>
    <w:charset w:val="00"/>
    <w:family w:val="auto"/>
    <w:pitch w:val="default"/>
    <w:sig w:usb0="0000028F" w:usb1="00000000" w:usb2="00000000" w:usb3="00000000" w:csb0="2000009F" w:csb1="4701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5392D">
    <w:pPr>
      <w:pStyle w:val="20"/>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2CD34">
    <w:pPr>
      <w:pStyle w:val="20"/>
      <w:tabs>
        <w:tab w:val="left" w:pos="6212"/>
        <w:tab w:val="clear" w:pos="4153"/>
      </w:tabs>
      <w:jc w:val="both"/>
      <w:rPr>
        <w:rFonts w:ascii="宋体" w:hAnsi="宋体" w:eastAsia="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C474A">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09C474A">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r>
      <w:rPr>
        <w:rFonts w:hint="eastAsia" w:ascii="宋体" w:hAnsi="宋体" w:eastAsia="宋体"/>
        <w:sz w:val="21"/>
        <w:szCs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62A38">
    <w:pPr>
      <w:pStyle w:val="20"/>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C2DBD">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2C2DBD">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FAC41">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172A27"/>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39CB"/>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1793"/>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D62F4"/>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521B"/>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2CC3"/>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C1267"/>
    <w:rsid w:val="01E81FFF"/>
    <w:rsid w:val="01F81427"/>
    <w:rsid w:val="02012A20"/>
    <w:rsid w:val="02410BBD"/>
    <w:rsid w:val="0255631B"/>
    <w:rsid w:val="025A1D16"/>
    <w:rsid w:val="02675FA2"/>
    <w:rsid w:val="029858A5"/>
    <w:rsid w:val="02B01928"/>
    <w:rsid w:val="02DB66DE"/>
    <w:rsid w:val="02ED7EC0"/>
    <w:rsid w:val="0367195A"/>
    <w:rsid w:val="03E17F2F"/>
    <w:rsid w:val="03F93561"/>
    <w:rsid w:val="041C048B"/>
    <w:rsid w:val="04455AED"/>
    <w:rsid w:val="04543A7E"/>
    <w:rsid w:val="046B3463"/>
    <w:rsid w:val="048B7990"/>
    <w:rsid w:val="04932572"/>
    <w:rsid w:val="04933C53"/>
    <w:rsid w:val="05156760"/>
    <w:rsid w:val="052E5413"/>
    <w:rsid w:val="05362D79"/>
    <w:rsid w:val="055F2BCB"/>
    <w:rsid w:val="05702602"/>
    <w:rsid w:val="059E7BA9"/>
    <w:rsid w:val="05D34727"/>
    <w:rsid w:val="05D66602"/>
    <w:rsid w:val="05F3515E"/>
    <w:rsid w:val="0619721E"/>
    <w:rsid w:val="06495BAA"/>
    <w:rsid w:val="067A5D0F"/>
    <w:rsid w:val="06887ED4"/>
    <w:rsid w:val="068E57D3"/>
    <w:rsid w:val="06D0191A"/>
    <w:rsid w:val="06FD269B"/>
    <w:rsid w:val="07023E90"/>
    <w:rsid w:val="0790317A"/>
    <w:rsid w:val="07EB3C67"/>
    <w:rsid w:val="07FD4090"/>
    <w:rsid w:val="08931933"/>
    <w:rsid w:val="08A42702"/>
    <w:rsid w:val="08CC43CE"/>
    <w:rsid w:val="08E550FE"/>
    <w:rsid w:val="096609CC"/>
    <w:rsid w:val="09F27F75"/>
    <w:rsid w:val="0A270D93"/>
    <w:rsid w:val="0A3C3380"/>
    <w:rsid w:val="0A6F7309"/>
    <w:rsid w:val="0A754277"/>
    <w:rsid w:val="0A7F2E26"/>
    <w:rsid w:val="0A9926DB"/>
    <w:rsid w:val="0B1110DC"/>
    <w:rsid w:val="0B335263"/>
    <w:rsid w:val="0B4A1776"/>
    <w:rsid w:val="0B71123C"/>
    <w:rsid w:val="0B966D19"/>
    <w:rsid w:val="0BB735A2"/>
    <w:rsid w:val="0C1214DA"/>
    <w:rsid w:val="0C256A5D"/>
    <w:rsid w:val="0C525A8C"/>
    <w:rsid w:val="0C786503"/>
    <w:rsid w:val="0CE265BB"/>
    <w:rsid w:val="0CE9115E"/>
    <w:rsid w:val="0D1A04C9"/>
    <w:rsid w:val="0D3C08AB"/>
    <w:rsid w:val="0D3E3F80"/>
    <w:rsid w:val="0D455837"/>
    <w:rsid w:val="0D60217F"/>
    <w:rsid w:val="0D90780B"/>
    <w:rsid w:val="0DB72A31"/>
    <w:rsid w:val="0E0272E3"/>
    <w:rsid w:val="0E3A13A6"/>
    <w:rsid w:val="0E5126E9"/>
    <w:rsid w:val="0F3516D1"/>
    <w:rsid w:val="0F583081"/>
    <w:rsid w:val="0F7F1916"/>
    <w:rsid w:val="0F8D254C"/>
    <w:rsid w:val="103E7503"/>
    <w:rsid w:val="10757130"/>
    <w:rsid w:val="10790FE5"/>
    <w:rsid w:val="10951221"/>
    <w:rsid w:val="109B71AD"/>
    <w:rsid w:val="10C446C9"/>
    <w:rsid w:val="11116365"/>
    <w:rsid w:val="112A7CC0"/>
    <w:rsid w:val="112B34AD"/>
    <w:rsid w:val="11FF5827"/>
    <w:rsid w:val="12425AC4"/>
    <w:rsid w:val="12532F3F"/>
    <w:rsid w:val="127F1A55"/>
    <w:rsid w:val="13220891"/>
    <w:rsid w:val="134C3E48"/>
    <w:rsid w:val="13C67CD0"/>
    <w:rsid w:val="13CC23F4"/>
    <w:rsid w:val="140A4210"/>
    <w:rsid w:val="141F7503"/>
    <w:rsid w:val="142E0338"/>
    <w:rsid w:val="14832432"/>
    <w:rsid w:val="148B57E4"/>
    <w:rsid w:val="14DF4CF8"/>
    <w:rsid w:val="14E34758"/>
    <w:rsid w:val="156C32AB"/>
    <w:rsid w:val="157E0164"/>
    <w:rsid w:val="15D06A51"/>
    <w:rsid w:val="15E05F5F"/>
    <w:rsid w:val="15E74DD8"/>
    <w:rsid w:val="165068A2"/>
    <w:rsid w:val="166F0578"/>
    <w:rsid w:val="16E64EFA"/>
    <w:rsid w:val="17176AAE"/>
    <w:rsid w:val="17255A22"/>
    <w:rsid w:val="177A7EAB"/>
    <w:rsid w:val="179F160C"/>
    <w:rsid w:val="17A11E41"/>
    <w:rsid w:val="17CC40F0"/>
    <w:rsid w:val="17CD6721"/>
    <w:rsid w:val="17CF1B78"/>
    <w:rsid w:val="18070575"/>
    <w:rsid w:val="18090C43"/>
    <w:rsid w:val="180F13CC"/>
    <w:rsid w:val="18185587"/>
    <w:rsid w:val="188F1B48"/>
    <w:rsid w:val="1897527F"/>
    <w:rsid w:val="18AA031B"/>
    <w:rsid w:val="18C354F3"/>
    <w:rsid w:val="18FB5F15"/>
    <w:rsid w:val="192047DE"/>
    <w:rsid w:val="19477B5C"/>
    <w:rsid w:val="19770184"/>
    <w:rsid w:val="19777C04"/>
    <w:rsid w:val="1A027439"/>
    <w:rsid w:val="1A676352"/>
    <w:rsid w:val="1A683FA4"/>
    <w:rsid w:val="1A7148DF"/>
    <w:rsid w:val="1A996F8F"/>
    <w:rsid w:val="1AA411C1"/>
    <w:rsid w:val="1AB31597"/>
    <w:rsid w:val="1AEA6109"/>
    <w:rsid w:val="1B066372"/>
    <w:rsid w:val="1B321622"/>
    <w:rsid w:val="1B4B3B1C"/>
    <w:rsid w:val="1BCA6B98"/>
    <w:rsid w:val="1BF73705"/>
    <w:rsid w:val="1CD221A8"/>
    <w:rsid w:val="1CFE5E04"/>
    <w:rsid w:val="1D102580"/>
    <w:rsid w:val="1D4A6188"/>
    <w:rsid w:val="1D805F2A"/>
    <w:rsid w:val="1DAA2193"/>
    <w:rsid w:val="1DAC61B7"/>
    <w:rsid w:val="1DC72953"/>
    <w:rsid w:val="1DEA06D7"/>
    <w:rsid w:val="1E0A551C"/>
    <w:rsid w:val="1E511B62"/>
    <w:rsid w:val="1E7E6E04"/>
    <w:rsid w:val="1EA9678E"/>
    <w:rsid w:val="1EBA3927"/>
    <w:rsid w:val="1EEB1B44"/>
    <w:rsid w:val="1F3E36B9"/>
    <w:rsid w:val="1F8B2622"/>
    <w:rsid w:val="1F9C38D3"/>
    <w:rsid w:val="1FBC2C9C"/>
    <w:rsid w:val="1FCA02F8"/>
    <w:rsid w:val="20767551"/>
    <w:rsid w:val="20B803BF"/>
    <w:rsid w:val="214A57C8"/>
    <w:rsid w:val="215A3673"/>
    <w:rsid w:val="217575A6"/>
    <w:rsid w:val="21DB64E2"/>
    <w:rsid w:val="221C4C30"/>
    <w:rsid w:val="22A173A8"/>
    <w:rsid w:val="22A70B6C"/>
    <w:rsid w:val="22AA7E30"/>
    <w:rsid w:val="22C648B8"/>
    <w:rsid w:val="22D67746"/>
    <w:rsid w:val="23034503"/>
    <w:rsid w:val="23C14303"/>
    <w:rsid w:val="23CB4DD1"/>
    <w:rsid w:val="23FF4622"/>
    <w:rsid w:val="24086AFE"/>
    <w:rsid w:val="243F320D"/>
    <w:rsid w:val="2489326F"/>
    <w:rsid w:val="24CD7D3C"/>
    <w:rsid w:val="250138AE"/>
    <w:rsid w:val="256A1A81"/>
    <w:rsid w:val="257C56A5"/>
    <w:rsid w:val="25CE54D7"/>
    <w:rsid w:val="26096519"/>
    <w:rsid w:val="26612121"/>
    <w:rsid w:val="26A71D48"/>
    <w:rsid w:val="26B15F84"/>
    <w:rsid w:val="270A231C"/>
    <w:rsid w:val="27432BC1"/>
    <w:rsid w:val="27791A74"/>
    <w:rsid w:val="27F0275A"/>
    <w:rsid w:val="281A02BE"/>
    <w:rsid w:val="28580092"/>
    <w:rsid w:val="28757D97"/>
    <w:rsid w:val="28BC23D4"/>
    <w:rsid w:val="28D03787"/>
    <w:rsid w:val="28F563E3"/>
    <w:rsid w:val="290578B9"/>
    <w:rsid w:val="292673D8"/>
    <w:rsid w:val="29293308"/>
    <w:rsid w:val="29506137"/>
    <w:rsid w:val="29822826"/>
    <w:rsid w:val="29930F11"/>
    <w:rsid w:val="29D9700E"/>
    <w:rsid w:val="2A407C2A"/>
    <w:rsid w:val="2AA10ED5"/>
    <w:rsid w:val="2ADA0518"/>
    <w:rsid w:val="2AF05838"/>
    <w:rsid w:val="2B087B04"/>
    <w:rsid w:val="2B1A17A1"/>
    <w:rsid w:val="2B4A2EDD"/>
    <w:rsid w:val="2B7F08E4"/>
    <w:rsid w:val="2B8D1B43"/>
    <w:rsid w:val="2C293EE8"/>
    <w:rsid w:val="2C921974"/>
    <w:rsid w:val="2CCA5064"/>
    <w:rsid w:val="2CCF7D4F"/>
    <w:rsid w:val="2D212596"/>
    <w:rsid w:val="2D242B88"/>
    <w:rsid w:val="2D4D13D7"/>
    <w:rsid w:val="2D4F21F6"/>
    <w:rsid w:val="2D4F2439"/>
    <w:rsid w:val="2D7B2469"/>
    <w:rsid w:val="2DAE7AA9"/>
    <w:rsid w:val="2DBE14C9"/>
    <w:rsid w:val="2DC23B73"/>
    <w:rsid w:val="2E084AD9"/>
    <w:rsid w:val="2E251D02"/>
    <w:rsid w:val="2E50003C"/>
    <w:rsid w:val="2EB035A9"/>
    <w:rsid w:val="2ECE0839"/>
    <w:rsid w:val="2F1B5E2A"/>
    <w:rsid w:val="2F6A64D8"/>
    <w:rsid w:val="2FA10B9C"/>
    <w:rsid w:val="30362265"/>
    <w:rsid w:val="30393F2D"/>
    <w:rsid w:val="30616EA9"/>
    <w:rsid w:val="30777C65"/>
    <w:rsid w:val="30CA6C5F"/>
    <w:rsid w:val="30EC0F07"/>
    <w:rsid w:val="30F2130F"/>
    <w:rsid w:val="31085620"/>
    <w:rsid w:val="314C115E"/>
    <w:rsid w:val="31A44D82"/>
    <w:rsid w:val="31E66E9E"/>
    <w:rsid w:val="31F950A2"/>
    <w:rsid w:val="320609C3"/>
    <w:rsid w:val="32560D2E"/>
    <w:rsid w:val="326F5337"/>
    <w:rsid w:val="32B70A61"/>
    <w:rsid w:val="32BA12BD"/>
    <w:rsid w:val="32BE120D"/>
    <w:rsid w:val="32D2015C"/>
    <w:rsid w:val="33027952"/>
    <w:rsid w:val="330C0EF9"/>
    <w:rsid w:val="33105381"/>
    <w:rsid w:val="33261E23"/>
    <w:rsid w:val="33291024"/>
    <w:rsid w:val="332A7AF8"/>
    <w:rsid w:val="33506DE6"/>
    <w:rsid w:val="33A273C0"/>
    <w:rsid w:val="33A9206B"/>
    <w:rsid w:val="33FA529D"/>
    <w:rsid w:val="341A4047"/>
    <w:rsid w:val="34336813"/>
    <w:rsid w:val="34727E34"/>
    <w:rsid w:val="3517359F"/>
    <w:rsid w:val="351F03F9"/>
    <w:rsid w:val="355F0FC1"/>
    <w:rsid w:val="359615AC"/>
    <w:rsid w:val="359A6216"/>
    <w:rsid w:val="35A54CED"/>
    <w:rsid w:val="35B05D3E"/>
    <w:rsid w:val="35D804D9"/>
    <w:rsid w:val="36717BDF"/>
    <w:rsid w:val="36F17277"/>
    <w:rsid w:val="371C0D8B"/>
    <w:rsid w:val="37203345"/>
    <w:rsid w:val="372B0E36"/>
    <w:rsid w:val="37534CA7"/>
    <w:rsid w:val="37571753"/>
    <w:rsid w:val="3790083E"/>
    <w:rsid w:val="379D6B2D"/>
    <w:rsid w:val="37A83DDA"/>
    <w:rsid w:val="37D824F1"/>
    <w:rsid w:val="388A0A03"/>
    <w:rsid w:val="38960FBF"/>
    <w:rsid w:val="38F0685B"/>
    <w:rsid w:val="3923276A"/>
    <w:rsid w:val="392B0ABF"/>
    <w:rsid w:val="392C1E69"/>
    <w:rsid w:val="39331197"/>
    <w:rsid w:val="39431E3F"/>
    <w:rsid w:val="396E5D7C"/>
    <w:rsid w:val="39D04FC4"/>
    <w:rsid w:val="39D1018B"/>
    <w:rsid w:val="39E42CC8"/>
    <w:rsid w:val="3A172FBE"/>
    <w:rsid w:val="3A29071D"/>
    <w:rsid w:val="3A3F6146"/>
    <w:rsid w:val="3A461688"/>
    <w:rsid w:val="3A4C0E33"/>
    <w:rsid w:val="3B0C4DFA"/>
    <w:rsid w:val="3B547968"/>
    <w:rsid w:val="3B664276"/>
    <w:rsid w:val="3B972F43"/>
    <w:rsid w:val="3BA93D77"/>
    <w:rsid w:val="3C022D13"/>
    <w:rsid w:val="3C1A2DCC"/>
    <w:rsid w:val="3C4D26C6"/>
    <w:rsid w:val="3D044EFC"/>
    <w:rsid w:val="3D476A8F"/>
    <w:rsid w:val="3D6C15E5"/>
    <w:rsid w:val="3E062677"/>
    <w:rsid w:val="3E3C3E33"/>
    <w:rsid w:val="3E633745"/>
    <w:rsid w:val="3E6946AD"/>
    <w:rsid w:val="3E9F2B2D"/>
    <w:rsid w:val="3EB60CB3"/>
    <w:rsid w:val="3EBE0D9B"/>
    <w:rsid w:val="3EC436F9"/>
    <w:rsid w:val="3EC47F7D"/>
    <w:rsid w:val="3EFB063C"/>
    <w:rsid w:val="3F740895"/>
    <w:rsid w:val="3F7F04F6"/>
    <w:rsid w:val="3FB93DC6"/>
    <w:rsid w:val="400A7A69"/>
    <w:rsid w:val="40253F4D"/>
    <w:rsid w:val="402A691C"/>
    <w:rsid w:val="40AF2ED8"/>
    <w:rsid w:val="40B956E1"/>
    <w:rsid w:val="40C31DD9"/>
    <w:rsid w:val="40D034BF"/>
    <w:rsid w:val="410D4941"/>
    <w:rsid w:val="41200E1E"/>
    <w:rsid w:val="416F0F72"/>
    <w:rsid w:val="417D6BDB"/>
    <w:rsid w:val="419104D9"/>
    <w:rsid w:val="41B05692"/>
    <w:rsid w:val="41C24ED2"/>
    <w:rsid w:val="41D90132"/>
    <w:rsid w:val="41ED5A96"/>
    <w:rsid w:val="41EF252B"/>
    <w:rsid w:val="420D0AD7"/>
    <w:rsid w:val="422E66F3"/>
    <w:rsid w:val="42395211"/>
    <w:rsid w:val="425D46BB"/>
    <w:rsid w:val="42664BB1"/>
    <w:rsid w:val="4275164D"/>
    <w:rsid w:val="430A3262"/>
    <w:rsid w:val="438A27C8"/>
    <w:rsid w:val="43E47456"/>
    <w:rsid w:val="441309F0"/>
    <w:rsid w:val="441A7E0D"/>
    <w:rsid w:val="44310C44"/>
    <w:rsid w:val="44644583"/>
    <w:rsid w:val="446B6F5D"/>
    <w:rsid w:val="447107A7"/>
    <w:rsid w:val="4484575B"/>
    <w:rsid w:val="44A722AA"/>
    <w:rsid w:val="44AF0CED"/>
    <w:rsid w:val="45572A56"/>
    <w:rsid w:val="45636883"/>
    <w:rsid w:val="45675BEC"/>
    <w:rsid w:val="457E42F3"/>
    <w:rsid w:val="460E768F"/>
    <w:rsid w:val="46101B39"/>
    <w:rsid w:val="46A824B9"/>
    <w:rsid w:val="46BB170B"/>
    <w:rsid w:val="46C0371F"/>
    <w:rsid w:val="46D15968"/>
    <w:rsid w:val="47105324"/>
    <w:rsid w:val="47510906"/>
    <w:rsid w:val="47567AEE"/>
    <w:rsid w:val="47882EEC"/>
    <w:rsid w:val="478C5485"/>
    <w:rsid w:val="4796785C"/>
    <w:rsid w:val="479E608B"/>
    <w:rsid w:val="47D94177"/>
    <w:rsid w:val="47E85B9B"/>
    <w:rsid w:val="48164F15"/>
    <w:rsid w:val="485A61E1"/>
    <w:rsid w:val="49380D36"/>
    <w:rsid w:val="49391580"/>
    <w:rsid w:val="495D70F7"/>
    <w:rsid w:val="4985062F"/>
    <w:rsid w:val="4A262AF4"/>
    <w:rsid w:val="4ADD244D"/>
    <w:rsid w:val="4B0A4380"/>
    <w:rsid w:val="4B414A2E"/>
    <w:rsid w:val="4B4C5A72"/>
    <w:rsid w:val="4B642F54"/>
    <w:rsid w:val="4B7074E5"/>
    <w:rsid w:val="4B716301"/>
    <w:rsid w:val="4B7D5F80"/>
    <w:rsid w:val="4BF3562C"/>
    <w:rsid w:val="4BF40741"/>
    <w:rsid w:val="4C224544"/>
    <w:rsid w:val="4C411429"/>
    <w:rsid w:val="4C5E019B"/>
    <w:rsid w:val="4C7A3E2A"/>
    <w:rsid w:val="4D5C3245"/>
    <w:rsid w:val="4E397895"/>
    <w:rsid w:val="4E475085"/>
    <w:rsid w:val="4E6179A5"/>
    <w:rsid w:val="4F54289B"/>
    <w:rsid w:val="4F64249F"/>
    <w:rsid w:val="4F6E1200"/>
    <w:rsid w:val="4FCF3A38"/>
    <w:rsid w:val="4FEE189E"/>
    <w:rsid w:val="4FF5727D"/>
    <w:rsid w:val="504B2FD5"/>
    <w:rsid w:val="50945995"/>
    <w:rsid w:val="509B17BC"/>
    <w:rsid w:val="50D27564"/>
    <w:rsid w:val="50E02600"/>
    <w:rsid w:val="50EB6E9C"/>
    <w:rsid w:val="50EE3925"/>
    <w:rsid w:val="510113CF"/>
    <w:rsid w:val="51070878"/>
    <w:rsid w:val="5148519A"/>
    <w:rsid w:val="51FB1FE6"/>
    <w:rsid w:val="520909A0"/>
    <w:rsid w:val="52121B0D"/>
    <w:rsid w:val="527D4949"/>
    <w:rsid w:val="52DA5B1C"/>
    <w:rsid w:val="53121571"/>
    <w:rsid w:val="532332A7"/>
    <w:rsid w:val="536C2F7E"/>
    <w:rsid w:val="539F2EE7"/>
    <w:rsid w:val="53F038EA"/>
    <w:rsid w:val="543F264E"/>
    <w:rsid w:val="54984779"/>
    <w:rsid w:val="54E160E1"/>
    <w:rsid w:val="54E23850"/>
    <w:rsid w:val="54E43457"/>
    <w:rsid w:val="55191463"/>
    <w:rsid w:val="55473849"/>
    <w:rsid w:val="554930D2"/>
    <w:rsid w:val="55A626C4"/>
    <w:rsid w:val="55C15F0B"/>
    <w:rsid w:val="55C43C6A"/>
    <w:rsid w:val="55E15287"/>
    <w:rsid w:val="565E037A"/>
    <w:rsid w:val="56724FD9"/>
    <w:rsid w:val="56AE54C4"/>
    <w:rsid w:val="56C65928"/>
    <w:rsid w:val="56C972A1"/>
    <w:rsid w:val="57045AA2"/>
    <w:rsid w:val="570F6E7F"/>
    <w:rsid w:val="572B7F1B"/>
    <w:rsid w:val="57793602"/>
    <w:rsid w:val="58055B79"/>
    <w:rsid w:val="585F4E34"/>
    <w:rsid w:val="58C023F9"/>
    <w:rsid w:val="58D41D8A"/>
    <w:rsid w:val="5948194C"/>
    <w:rsid w:val="595A333D"/>
    <w:rsid w:val="596A4D22"/>
    <w:rsid w:val="59BA69E3"/>
    <w:rsid w:val="5A063425"/>
    <w:rsid w:val="5A3B5D1E"/>
    <w:rsid w:val="5A417035"/>
    <w:rsid w:val="5A4B453D"/>
    <w:rsid w:val="5A522A93"/>
    <w:rsid w:val="5A661DF4"/>
    <w:rsid w:val="5A7F74DE"/>
    <w:rsid w:val="5A935F96"/>
    <w:rsid w:val="5ACF0178"/>
    <w:rsid w:val="5AF76C60"/>
    <w:rsid w:val="5B0C5D54"/>
    <w:rsid w:val="5B2402E4"/>
    <w:rsid w:val="5B763444"/>
    <w:rsid w:val="5B9D1978"/>
    <w:rsid w:val="5BA929FE"/>
    <w:rsid w:val="5BD73121"/>
    <w:rsid w:val="5C0F2617"/>
    <w:rsid w:val="5C3E17F9"/>
    <w:rsid w:val="5C4C7FFB"/>
    <w:rsid w:val="5C537D21"/>
    <w:rsid w:val="5CBD2153"/>
    <w:rsid w:val="5CFA53B0"/>
    <w:rsid w:val="5D3A6920"/>
    <w:rsid w:val="5D4A02A9"/>
    <w:rsid w:val="5D8135CC"/>
    <w:rsid w:val="5DA64C8A"/>
    <w:rsid w:val="5DE501AF"/>
    <w:rsid w:val="5DEB03AE"/>
    <w:rsid w:val="5E002DDD"/>
    <w:rsid w:val="5E071F26"/>
    <w:rsid w:val="5E23788C"/>
    <w:rsid w:val="5E551C67"/>
    <w:rsid w:val="5E566CF4"/>
    <w:rsid w:val="5E6C7908"/>
    <w:rsid w:val="5E812C6D"/>
    <w:rsid w:val="5EB86210"/>
    <w:rsid w:val="5EED05F3"/>
    <w:rsid w:val="5F064C35"/>
    <w:rsid w:val="5F41149C"/>
    <w:rsid w:val="5FD574B0"/>
    <w:rsid w:val="5FFB68ED"/>
    <w:rsid w:val="600446EC"/>
    <w:rsid w:val="600D2EE6"/>
    <w:rsid w:val="60194FC5"/>
    <w:rsid w:val="601E7EAA"/>
    <w:rsid w:val="6091207C"/>
    <w:rsid w:val="60F00A2A"/>
    <w:rsid w:val="60F2100A"/>
    <w:rsid w:val="61012548"/>
    <w:rsid w:val="61BE6360"/>
    <w:rsid w:val="61D0464C"/>
    <w:rsid w:val="61DB5D3A"/>
    <w:rsid w:val="61FD60DD"/>
    <w:rsid w:val="61FF23CB"/>
    <w:rsid w:val="621760F6"/>
    <w:rsid w:val="62246B60"/>
    <w:rsid w:val="62E36EC5"/>
    <w:rsid w:val="62E75EB4"/>
    <w:rsid w:val="62E81FE8"/>
    <w:rsid w:val="62E97B13"/>
    <w:rsid w:val="636F54EC"/>
    <w:rsid w:val="638E6E02"/>
    <w:rsid w:val="644F1ACD"/>
    <w:rsid w:val="64A8372F"/>
    <w:rsid w:val="64C035B4"/>
    <w:rsid w:val="64D76619"/>
    <w:rsid w:val="64FD6D44"/>
    <w:rsid w:val="65272AB2"/>
    <w:rsid w:val="653F3838"/>
    <w:rsid w:val="658D6058"/>
    <w:rsid w:val="65FC336D"/>
    <w:rsid w:val="66007761"/>
    <w:rsid w:val="662D19F1"/>
    <w:rsid w:val="66A53123"/>
    <w:rsid w:val="66F85BDC"/>
    <w:rsid w:val="66F97F7F"/>
    <w:rsid w:val="66FF2EE4"/>
    <w:rsid w:val="671F2FEE"/>
    <w:rsid w:val="67446448"/>
    <w:rsid w:val="675E1AFC"/>
    <w:rsid w:val="67861401"/>
    <w:rsid w:val="67897CFE"/>
    <w:rsid w:val="679F25C0"/>
    <w:rsid w:val="67A212D9"/>
    <w:rsid w:val="67D6545D"/>
    <w:rsid w:val="67EA44FC"/>
    <w:rsid w:val="67FF1998"/>
    <w:rsid w:val="680C374A"/>
    <w:rsid w:val="680D1D99"/>
    <w:rsid w:val="681A7759"/>
    <w:rsid w:val="6840613C"/>
    <w:rsid w:val="6876068B"/>
    <w:rsid w:val="68C97848"/>
    <w:rsid w:val="68E7433A"/>
    <w:rsid w:val="68E86ABE"/>
    <w:rsid w:val="69056BF9"/>
    <w:rsid w:val="691E67B1"/>
    <w:rsid w:val="69431270"/>
    <w:rsid w:val="69B8796C"/>
    <w:rsid w:val="69BA078D"/>
    <w:rsid w:val="69C37723"/>
    <w:rsid w:val="69E96834"/>
    <w:rsid w:val="6A0505C6"/>
    <w:rsid w:val="6A7F4F75"/>
    <w:rsid w:val="6ACA16F9"/>
    <w:rsid w:val="6AFF00CA"/>
    <w:rsid w:val="6B16774A"/>
    <w:rsid w:val="6B250CC2"/>
    <w:rsid w:val="6B494446"/>
    <w:rsid w:val="6BAB2FCD"/>
    <w:rsid w:val="6BFF5D3A"/>
    <w:rsid w:val="6C321536"/>
    <w:rsid w:val="6C492D55"/>
    <w:rsid w:val="6C7E3126"/>
    <w:rsid w:val="6C8178B4"/>
    <w:rsid w:val="6C84727C"/>
    <w:rsid w:val="6D272F27"/>
    <w:rsid w:val="6E2D30BE"/>
    <w:rsid w:val="6E2F78A7"/>
    <w:rsid w:val="6E3631E6"/>
    <w:rsid w:val="6E8509EA"/>
    <w:rsid w:val="6EB54E50"/>
    <w:rsid w:val="6EC12311"/>
    <w:rsid w:val="6ECE2681"/>
    <w:rsid w:val="6EF77006"/>
    <w:rsid w:val="6F48335E"/>
    <w:rsid w:val="6F656567"/>
    <w:rsid w:val="6F9441FC"/>
    <w:rsid w:val="6FB9715F"/>
    <w:rsid w:val="6FC96403"/>
    <w:rsid w:val="700D4ACD"/>
    <w:rsid w:val="705E30C9"/>
    <w:rsid w:val="708A3C8C"/>
    <w:rsid w:val="70A12054"/>
    <w:rsid w:val="71030383"/>
    <w:rsid w:val="71197B42"/>
    <w:rsid w:val="713D1393"/>
    <w:rsid w:val="71600CB0"/>
    <w:rsid w:val="7184609F"/>
    <w:rsid w:val="720811E2"/>
    <w:rsid w:val="72340F9C"/>
    <w:rsid w:val="72605D30"/>
    <w:rsid w:val="72686EF1"/>
    <w:rsid w:val="729965A8"/>
    <w:rsid w:val="72B65B08"/>
    <w:rsid w:val="72D52FCE"/>
    <w:rsid w:val="72F52C2C"/>
    <w:rsid w:val="72FA70AF"/>
    <w:rsid w:val="73087812"/>
    <w:rsid w:val="731E5707"/>
    <w:rsid w:val="737238D8"/>
    <w:rsid w:val="73A94EF7"/>
    <w:rsid w:val="73AB63BB"/>
    <w:rsid w:val="73C623CD"/>
    <w:rsid w:val="73D4787E"/>
    <w:rsid w:val="73F22348"/>
    <w:rsid w:val="746F4A04"/>
    <w:rsid w:val="7478277B"/>
    <w:rsid w:val="74BD630E"/>
    <w:rsid w:val="74CB259B"/>
    <w:rsid w:val="74FF2584"/>
    <w:rsid w:val="7599056E"/>
    <w:rsid w:val="75A849CA"/>
    <w:rsid w:val="75EF44CC"/>
    <w:rsid w:val="76056734"/>
    <w:rsid w:val="762D38BA"/>
    <w:rsid w:val="76363181"/>
    <w:rsid w:val="76741247"/>
    <w:rsid w:val="76F21D7B"/>
    <w:rsid w:val="771A36A5"/>
    <w:rsid w:val="774152C9"/>
    <w:rsid w:val="77751EE2"/>
    <w:rsid w:val="777759EB"/>
    <w:rsid w:val="77D2110D"/>
    <w:rsid w:val="78194B43"/>
    <w:rsid w:val="78C15396"/>
    <w:rsid w:val="78CF6711"/>
    <w:rsid w:val="7901687C"/>
    <w:rsid w:val="793070F8"/>
    <w:rsid w:val="79347CC6"/>
    <w:rsid w:val="79620D19"/>
    <w:rsid w:val="796F195D"/>
    <w:rsid w:val="797E1901"/>
    <w:rsid w:val="79A11E5C"/>
    <w:rsid w:val="79D825C1"/>
    <w:rsid w:val="7A3F6AB2"/>
    <w:rsid w:val="7A5D1027"/>
    <w:rsid w:val="7A8555FE"/>
    <w:rsid w:val="7A8F318B"/>
    <w:rsid w:val="7A971B46"/>
    <w:rsid w:val="7ADC408A"/>
    <w:rsid w:val="7AE606AF"/>
    <w:rsid w:val="7AE75F94"/>
    <w:rsid w:val="7AF409AB"/>
    <w:rsid w:val="7B133128"/>
    <w:rsid w:val="7B1959FC"/>
    <w:rsid w:val="7B1C502C"/>
    <w:rsid w:val="7B3202D1"/>
    <w:rsid w:val="7B52681B"/>
    <w:rsid w:val="7B5D131E"/>
    <w:rsid w:val="7B956EA2"/>
    <w:rsid w:val="7B963FFF"/>
    <w:rsid w:val="7BB34580"/>
    <w:rsid w:val="7BC44ABA"/>
    <w:rsid w:val="7BD26CFC"/>
    <w:rsid w:val="7BE91898"/>
    <w:rsid w:val="7BF60D85"/>
    <w:rsid w:val="7CFB3D35"/>
    <w:rsid w:val="7D6513F2"/>
    <w:rsid w:val="7D7C4AB4"/>
    <w:rsid w:val="7D7D75C8"/>
    <w:rsid w:val="7DB41B16"/>
    <w:rsid w:val="7DEB79E2"/>
    <w:rsid w:val="7DEF19CE"/>
    <w:rsid w:val="7DFC5027"/>
    <w:rsid w:val="7E002D54"/>
    <w:rsid w:val="7E1A04DD"/>
    <w:rsid w:val="7E74358B"/>
    <w:rsid w:val="7E7D318F"/>
    <w:rsid w:val="7E7F7F16"/>
    <w:rsid w:val="7F0F534D"/>
    <w:rsid w:val="7F1046BF"/>
    <w:rsid w:val="7F524FAC"/>
    <w:rsid w:val="7F600D62"/>
    <w:rsid w:val="7F7FD29C"/>
    <w:rsid w:val="7FB563F9"/>
    <w:rsid w:val="7FCA6045"/>
    <w:rsid w:val="7FE0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5"/>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6"/>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7"/>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8"/>
    <w:qFormat/>
    <w:uiPriority w:val="0"/>
    <w:pPr>
      <w:spacing w:line="200" w:lineRule="atLeast"/>
      <w:ind w:firstLine="301"/>
    </w:pPr>
    <w:rPr>
      <w:rFonts w:ascii="宋体" w:hAnsi="Courier New"/>
      <w:spacing w:val="-4"/>
      <w:sz w:val="18"/>
    </w:rPr>
  </w:style>
  <w:style w:type="paragraph" w:styleId="3">
    <w:name w:val="Body Text First Indent 2"/>
    <w:basedOn w:val="2"/>
    <w:link w:val="94"/>
    <w:unhideWhenUsed/>
    <w:qFormat/>
    <w:uiPriority w:val="99"/>
    <w:pPr>
      <w:ind w:firstLine="420"/>
    </w:pPr>
  </w:style>
  <w:style w:type="paragraph" w:styleId="8">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9">
    <w:name w:val="Normal Indent"/>
    <w:basedOn w:val="1"/>
    <w:next w:val="10"/>
    <w:link w:val="54"/>
    <w:qFormat/>
    <w:uiPriority w:val="0"/>
    <w:pPr>
      <w:ind w:firstLine="420"/>
    </w:pPr>
    <w:rPr>
      <w:rFonts w:eastAsia="宋体"/>
    </w:rPr>
  </w:style>
  <w:style w:type="paragraph" w:styleId="10">
    <w:name w:val="Plain Text"/>
    <w:basedOn w:val="1"/>
    <w:link w:val="63"/>
    <w:qFormat/>
    <w:uiPriority w:val="99"/>
    <w:pPr>
      <w:spacing w:before="156" w:beforeLines="50" w:after="156" w:afterLines="50" w:line="400" w:lineRule="atLeast"/>
    </w:pPr>
    <w:rPr>
      <w:rFonts w:ascii="宋体" w:hAnsi="Courier New"/>
      <w:sz w:val="24"/>
      <w:szCs w:val="24"/>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51"/>
    <w:unhideWhenUsed/>
    <w:qFormat/>
    <w:uiPriority w:val="99"/>
    <w:rPr>
      <w:rFonts w:ascii="宋体"/>
      <w:sz w:val="18"/>
      <w:szCs w:val="18"/>
    </w:rPr>
  </w:style>
  <w:style w:type="paragraph" w:styleId="13">
    <w:name w:val="annotation text"/>
    <w:basedOn w:val="1"/>
    <w:link w:val="86"/>
    <w:unhideWhenUsed/>
    <w:qFormat/>
    <w:uiPriority w:val="99"/>
    <w:pPr>
      <w:jc w:val="left"/>
    </w:pPr>
  </w:style>
  <w:style w:type="paragraph" w:styleId="14">
    <w:name w:val="Body Text"/>
    <w:basedOn w:val="1"/>
    <w:next w:val="15"/>
    <w:link w:val="89"/>
    <w:unhideWhenUsed/>
    <w:qFormat/>
    <w:uiPriority w:val="99"/>
    <w:pPr>
      <w:spacing w:after="120"/>
    </w:pPr>
    <w:rPr>
      <w:rFonts w:ascii="Times New Roman" w:hAnsi="Times New Roman" w:eastAsia="宋体" w:cs="Times New Roman"/>
      <w:sz w:val="28"/>
      <w:szCs w:val="24"/>
    </w:rPr>
  </w:style>
  <w:style w:type="paragraph" w:styleId="15">
    <w:name w:val="Body Text First Indent"/>
    <w:basedOn w:val="14"/>
    <w:next w:val="16"/>
    <w:qFormat/>
    <w:uiPriority w:val="99"/>
    <w:pPr>
      <w:adjustRightInd/>
      <w:spacing w:after="120" w:line="240" w:lineRule="auto"/>
      <w:ind w:firstLine="420" w:firstLineChars="100"/>
      <w:jc w:val="both"/>
      <w:textAlignment w:val="auto"/>
    </w:pPr>
    <w:rPr>
      <w:rFonts w:ascii="Times New Roman" w:eastAsia="宋体"/>
      <w:kern w:val="2"/>
      <w:sz w:val="21"/>
    </w:rPr>
  </w:style>
  <w:style w:type="paragraph" w:styleId="16">
    <w:name w:val="toc 6"/>
    <w:basedOn w:val="1"/>
    <w:next w:val="1"/>
    <w:semiHidden/>
    <w:qFormat/>
    <w:uiPriority w:val="0"/>
    <w:pPr>
      <w:ind w:left="2100" w:leftChars="1000"/>
    </w:pPr>
  </w:style>
  <w:style w:type="paragraph" w:styleId="17">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8">
    <w:name w:val="Date"/>
    <w:basedOn w:val="1"/>
    <w:next w:val="1"/>
    <w:link w:val="92"/>
    <w:qFormat/>
    <w:uiPriority w:val="0"/>
    <w:pPr>
      <w:ind w:left="2500" w:leftChars="2500"/>
    </w:pPr>
    <w:rPr>
      <w:rFonts w:ascii="Times New Roman" w:hAnsi="Times New Roman" w:eastAsia="楷体_GB2312" w:cs="Times New Roman"/>
      <w:sz w:val="32"/>
      <w:szCs w:val="20"/>
    </w:rPr>
  </w:style>
  <w:style w:type="paragraph" w:styleId="19">
    <w:name w:val="Balloon Text"/>
    <w:basedOn w:val="1"/>
    <w:link w:val="90"/>
    <w:qFormat/>
    <w:uiPriority w:val="0"/>
    <w:rPr>
      <w:rFonts w:ascii="Times New Roman" w:hAnsi="Times New Roman" w:eastAsia="宋体" w:cs="Times New Roman"/>
      <w:sz w:val="18"/>
      <w:szCs w:val="18"/>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envelope return"/>
    <w:basedOn w:val="1"/>
    <w:qFormat/>
    <w:uiPriority w:val="0"/>
    <w:pPr>
      <w:snapToGrid w:val="0"/>
    </w:pPr>
    <w:rPr>
      <w:rFonts w:ascii="Arial" w:hAnsi="Arial"/>
    </w:rPr>
  </w:style>
  <w:style w:type="paragraph" w:styleId="22">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List"/>
    <w:basedOn w:val="1"/>
    <w:qFormat/>
    <w:uiPriority w:val="0"/>
    <w:pPr>
      <w:ind w:left="200" w:hanging="200" w:hangingChars="200"/>
    </w:pPr>
    <w:rPr>
      <w:rFonts w:ascii="Times New Roman" w:hAnsi="Times New Roman" w:eastAsia="宋体" w:cs="Times New Roman"/>
      <w:sz w:val="28"/>
      <w:szCs w:val="24"/>
    </w:rPr>
  </w:style>
  <w:style w:type="paragraph" w:styleId="24">
    <w:name w:val="Body Text 2"/>
    <w:basedOn w:val="1"/>
    <w:link w:val="80"/>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5">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6">
    <w:name w:val="annotation subject"/>
    <w:basedOn w:val="13"/>
    <w:next w:val="13"/>
    <w:link w:val="64"/>
    <w:unhideWhenUsed/>
    <w:qFormat/>
    <w:uiPriority w:val="99"/>
    <w:rPr>
      <w:b/>
      <w:bCs/>
      <w:sz w:val="28"/>
      <w:szCs w:val="24"/>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unhideWhenUsed/>
    <w:qFormat/>
    <w:uiPriority w:val="99"/>
    <w:rPr>
      <w:color w:val="5579A7"/>
      <w:u w:val="none"/>
    </w:rPr>
  </w:style>
  <w:style w:type="character" w:styleId="33">
    <w:name w:val="Emphasis"/>
    <w:basedOn w:val="29"/>
    <w:qFormat/>
    <w:uiPriority w:val="20"/>
    <w:rPr>
      <w:i/>
    </w:rPr>
  </w:style>
  <w:style w:type="character" w:styleId="34">
    <w:name w:val="HTML Definition"/>
    <w:unhideWhenUsed/>
    <w:qFormat/>
    <w:uiPriority w:val="99"/>
    <w:rPr>
      <w:i/>
    </w:rPr>
  </w:style>
  <w:style w:type="character" w:styleId="35">
    <w:name w:val="Hyperlink"/>
    <w:qFormat/>
    <w:uiPriority w:val="0"/>
    <w:rPr>
      <w:color w:val="5579A7"/>
      <w:u w:val="none"/>
    </w:rPr>
  </w:style>
  <w:style w:type="character" w:styleId="36">
    <w:name w:val="HTML Code"/>
    <w:unhideWhenUsed/>
    <w:qFormat/>
    <w:uiPriority w:val="99"/>
    <w:rPr>
      <w:rFonts w:ascii="-apple-system" w:hAnsi="-apple-system" w:eastAsia="-apple-system" w:cs="-apple-system"/>
      <w:sz w:val="21"/>
      <w:szCs w:val="21"/>
    </w:rPr>
  </w:style>
  <w:style w:type="character" w:styleId="37">
    <w:name w:val="annotation reference"/>
    <w:unhideWhenUsed/>
    <w:qFormat/>
    <w:uiPriority w:val="99"/>
    <w:rPr>
      <w:sz w:val="21"/>
      <w:szCs w:val="21"/>
    </w:rPr>
  </w:style>
  <w:style w:type="character" w:styleId="38">
    <w:name w:val="HTML Keyboard"/>
    <w:unhideWhenUsed/>
    <w:qFormat/>
    <w:uiPriority w:val="99"/>
    <w:rPr>
      <w:rFonts w:hint="default" w:ascii="-apple-system" w:hAnsi="-apple-system" w:eastAsia="-apple-system" w:cs="-apple-system"/>
      <w:sz w:val="21"/>
      <w:szCs w:val="21"/>
    </w:rPr>
  </w:style>
  <w:style w:type="character" w:styleId="39">
    <w:name w:val="HTML Sample"/>
    <w:unhideWhenUsed/>
    <w:qFormat/>
    <w:uiPriority w:val="99"/>
    <w:rPr>
      <w:rFonts w:hint="default" w:ascii="-apple-system" w:hAnsi="-apple-system" w:eastAsia="-apple-system" w:cs="-apple-system"/>
      <w:sz w:val="21"/>
      <w:szCs w:val="21"/>
    </w:rPr>
  </w:style>
  <w:style w:type="paragraph" w:customStyle="1" w:styleId="40">
    <w:name w:val="Default"/>
    <w:next w:val="4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3">
    <w:name w:val="页眉 字符"/>
    <w:basedOn w:val="29"/>
    <w:link w:val="22"/>
    <w:qFormat/>
    <w:uiPriority w:val="99"/>
    <w:rPr>
      <w:sz w:val="18"/>
      <w:szCs w:val="18"/>
    </w:rPr>
  </w:style>
  <w:style w:type="character" w:customStyle="1" w:styleId="44">
    <w:name w:val="页脚 字符"/>
    <w:basedOn w:val="29"/>
    <w:link w:val="20"/>
    <w:qFormat/>
    <w:uiPriority w:val="99"/>
    <w:rPr>
      <w:sz w:val="18"/>
      <w:szCs w:val="18"/>
    </w:rPr>
  </w:style>
  <w:style w:type="character" w:customStyle="1" w:styleId="45">
    <w:name w:val="标题 1 字符"/>
    <w:basedOn w:val="29"/>
    <w:link w:val="4"/>
    <w:qFormat/>
    <w:uiPriority w:val="9"/>
    <w:rPr>
      <w:rFonts w:ascii="Times New Roman" w:hAnsi="Times New Roman" w:eastAsia="宋体" w:cs="Times New Roman"/>
      <w:b/>
      <w:bCs/>
      <w:kern w:val="44"/>
      <w:sz w:val="44"/>
      <w:szCs w:val="44"/>
    </w:rPr>
  </w:style>
  <w:style w:type="character" w:customStyle="1" w:styleId="46">
    <w:name w:val="标题 2 字符"/>
    <w:basedOn w:val="29"/>
    <w:link w:val="5"/>
    <w:qFormat/>
    <w:uiPriority w:val="9"/>
    <w:rPr>
      <w:rFonts w:ascii="Cambria" w:hAnsi="Cambria" w:eastAsia="宋体" w:cs="Times New Roman"/>
      <w:b/>
      <w:bCs/>
      <w:sz w:val="32"/>
      <w:szCs w:val="32"/>
    </w:rPr>
  </w:style>
  <w:style w:type="character" w:customStyle="1" w:styleId="47">
    <w:name w:val="标题 3 字符"/>
    <w:basedOn w:val="29"/>
    <w:link w:val="6"/>
    <w:qFormat/>
    <w:uiPriority w:val="9"/>
    <w:rPr>
      <w:rFonts w:ascii="Times New Roman" w:hAnsi="Times New Roman" w:eastAsia="宋体" w:cs="Times New Roman"/>
      <w:b/>
      <w:bCs/>
      <w:sz w:val="32"/>
      <w:szCs w:val="32"/>
    </w:rPr>
  </w:style>
  <w:style w:type="character" w:customStyle="1" w:styleId="48">
    <w:name w:val="jbox-icon-none"/>
    <w:qFormat/>
    <w:uiPriority w:val="0"/>
    <w:rPr>
      <w:vanish/>
    </w:rPr>
  </w:style>
  <w:style w:type="character" w:customStyle="1" w:styleId="49">
    <w:name w:val="z-窗体底端 字符"/>
    <w:link w:val="50"/>
    <w:qFormat/>
    <w:uiPriority w:val="99"/>
    <w:rPr>
      <w:rFonts w:ascii="Arial" w:hAnsi="Arial"/>
      <w:vanish/>
      <w:sz w:val="16"/>
      <w:szCs w:val="16"/>
    </w:rPr>
  </w:style>
  <w:style w:type="paragraph" w:customStyle="1" w:styleId="50">
    <w:name w:val="z-窗体底端1"/>
    <w:basedOn w:val="1"/>
    <w:next w:val="1"/>
    <w:link w:val="49"/>
    <w:unhideWhenUsed/>
    <w:qFormat/>
    <w:uiPriority w:val="99"/>
    <w:pPr>
      <w:widowControl/>
      <w:pBdr>
        <w:top w:val="single" w:color="auto" w:sz="6" w:space="1"/>
      </w:pBdr>
      <w:jc w:val="center"/>
    </w:pPr>
    <w:rPr>
      <w:rFonts w:ascii="Arial" w:hAnsi="Arial"/>
      <w:vanish/>
      <w:sz w:val="16"/>
      <w:szCs w:val="16"/>
    </w:rPr>
  </w:style>
  <w:style w:type="character" w:customStyle="1" w:styleId="51">
    <w:name w:val="文档结构图 字符"/>
    <w:link w:val="12"/>
    <w:qFormat/>
    <w:uiPriority w:val="99"/>
    <w:rPr>
      <w:rFonts w:ascii="宋体"/>
      <w:sz w:val="18"/>
      <w:szCs w:val="18"/>
    </w:rPr>
  </w:style>
  <w:style w:type="character" w:customStyle="1" w:styleId="52">
    <w:name w:val="black601"/>
    <w:qFormat/>
    <w:uiPriority w:val="0"/>
    <w:rPr>
      <w:color w:val="666666"/>
    </w:rPr>
  </w:style>
  <w:style w:type="character" w:customStyle="1" w:styleId="53">
    <w:name w:val="hour_pm"/>
    <w:basedOn w:val="29"/>
    <w:qFormat/>
    <w:uiPriority w:val="0"/>
  </w:style>
  <w:style w:type="character" w:customStyle="1" w:styleId="54">
    <w:name w:val="正文缩进 字符"/>
    <w:link w:val="9"/>
    <w:qFormat/>
    <w:uiPriority w:val="0"/>
    <w:rPr>
      <w:rFonts w:eastAsia="宋体"/>
    </w:rPr>
  </w:style>
  <w:style w:type="character" w:customStyle="1" w:styleId="55">
    <w:name w:val="标题 1 Char Char"/>
    <w:qFormat/>
    <w:uiPriority w:val="0"/>
    <w:rPr>
      <w:rFonts w:eastAsia="宋体"/>
      <w:b/>
      <w:spacing w:val="-2"/>
      <w:sz w:val="24"/>
      <w:lang w:val="en-US" w:eastAsia="zh-CN" w:bidi="ar-SA"/>
    </w:rPr>
  </w:style>
  <w:style w:type="character" w:customStyle="1" w:styleId="56">
    <w:name w:val="jbox-icon-info"/>
    <w:basedOn w:val="29"/>
    <w:qFormat/>
    <w:uiPriority w:val="0"/>
  </w:style>
  <w:style w:type="character" w:customStyle="1" w:styleId="57">
    <w:name w:val="hover9"/>
    <w:qFormat/>
    <w:uiPriority w:val="0"/>
    <w:rPr>
      <w:shd w:val="clear" w:color="auto" w:fill="EEEEEE"/>
    </w:rPr>
  </w:style>
  <w:style w:type="character" w:customStyle="1" w:styleId="58">
    <w:name w:val="maywed421"/>
    <w:qFormat/>
    <w:uiPriority w:val="0"/>
    <w:rPr>
      <w:color w:val="366FB6"/>
      <w:u w:val="none"/>
    </w:rPr>
  </w:style>
  <w:style w:type="character" w:customStyle="1" w:styleId="59">
    <w:name w:val="old"/>
    <w:qFormat/>
    <w:uiPriority w:val="0"/>
    <w:rPr>
      <w:color w:val="999999"/>
    </w:rPr>
  </w:style>
  <w:style w:type="character" w:customStyle="1" w:styleId="60">
    <w:name w:val="jbox-icon-warning"/>
    <w:basedOn w:val="29"/>
    <w:qFormat/>
    <w:uiPriority w:val="0"/>
  </w:style>
  <w:style w:type="character" w:customStyle="1" w:styleId="61">
    <w:name w:val="z-窗体顶端 字符"/>
    <w:link w:val="62"/>
    <w:qFormat/>
    <w:uiPriority w:val="99"/>
    <w:rPr>
      <w:rFonts w:ascii="Arial" w:hAnsi="Arial"/>
      <w:vanish/>
      <w:sz w:val="16"/>
      <w:szCs w:val="16"/>
    </w:rPr>
  </w:style>
  <w:style w:type="paragraph" w:customStyle="1" w:styleId="62">
    <w:name w:val="z-窗体顶端1"/>
    <w:basedOn w:val="1"/>
    <w:next w:val="1"/>
    <w:link w:val="61"/>
    <w:unhideWhenUsed/>
    <w:qFormat/>
    <w:uiPriority w:val="99"/>
    <w:pPr>
      <w:widowControl/>
      <w:pBdr>
        <w:bottom w:val="single" w:color="auto" w:sz="6" w:space="1"/>
      </w:pBdr>
      <w:jc w:val="center"/>
    </w:pPr>
    <w:rPr>
      <w:rFonts w:ascii="Arial" w:hAnsi="Arial"/>
      <w:vanish/>
      <w:sz w:val="16"/>
      <w:szCs w:val="16"/>
    </w:rPr>
  </w:style>
  <w:style w:type="character" w:customStyle="1" w:styleId="63">
    <w:name w:val="纯文本 字符1"/>
    <w:link w:val="10"/>
    <w:qFormat/>
    <w:uiPriority w:val="99"/>
    <w:rPr>
      <w:rFonts w:ascii="宋体" w:hAnsi="Courier New"/>
      <w:sz w:val="24"/>
      <w:szCs w:val="24"/>
    </w:rPr>
  </w:style>
  <w:style w:type="character" w:customStyle="1" w:styleId="64">
    <w:name w:val="批注主题 字符"/>
    <w:link w:val="26"/>
    <w:qFormat/>
    <w:uiPriority w:val="99"/>
    <w:rPr>
      <w:b/>
      <w:bCs/>
      <w:sz w:val="28"/>
      <w:szCs w:val="24"/>
    </w:rPr>
  </w:style>
  <w:style w:type="character" w:customStyle="1" w:styleId="65">
    <w:name w:val="jbox-icon-loading"/>
    <w:basedOn w:val="29"/>
    <w:qFormat/>
    <w:uiPriority w:val="0"/>
  </w:style>
  <w:style w:type="character" w:customStyle="1" w:styleId="66">
    <w:name w:val="正文文本缩进 字符"/>
    <w:qFormat/>
    <w:uiPriority w:val="0"/>
    <w:rPr>
      <w:rFonts w:ascii="宋体" w:hAnsi="Courier New"/>
      <w:spacing w:val="-4"/>
      <w:kern w:val="2"/>
      <w:sz w:val="18"/>
    </w:rPr>
  </w:style>
  <w:style w:type="character" w:customStyle="1" w:styleId="67">
    <w:name w:val="正文文本缩进 字符1"/>
    <w:qFormat/>
    <w:uiPriority w:val="0"/>
    <w:rPr>
      <w:rFonts w:ascii="宋体" w:hAnsi="Courier New"/>
      <w:spacing w:val="-4"/>
      <w:kern w:val="2"/>
      <w:sz w:val="18"/>
    </w:rPr>
  </w:style>
  <w:style w:type="character" w:customStyle="1" w:styleId="68">
    <w:name w:val="纯文本 字符"/>
    <w:qFormat/>
    <w:uiPriority w:val="99"/>
    <w:rPr>
      <w:rFonts w:ascii="宋体" w:hAnsi="Courier New"/>
      <w:kern w:val="2"/>
      <w:sz w:val="24"/>
      <w:szCs w:val="24"/>
    </w:rPr>
  </w:style>
  <w:style w:type="character" w:customStyle="1" w:styleId="69">
    <w:name w:val="jbox-icon-question"/>
    <w:basedOn w:val="29"/>
    <w:qFormat/>
    <w:uiPriority w:val="0"/>
  </w:style>
  <w:style w:type="character" w:customStyle="1" w:styleId="70">
    <w:name w:val="jbox-icon"/>
    <w:basedOn w:val="29"/>
    <w:qFormat/>
    <w:uiPriority w:val="0"/>
  </w:style>
  <w:style w:type="character" w:customStyle="1" w:styleId="71">
    <w:name w:val="纯文本 字符2"/>
    <w:qFormat/>
    <w:uiPriority w:val="99"/>
    <w:rPr>
      <w:rFonts w:ascii="宋体" w:hAnsi="Courier New"/>
      <w:kern w:val="2"/>
      <w:sz w:val="24"/>
      <w:szCs w:val="24"/>
    </w:rPr>
  </w:style>
  <w:style w:type="character" w:customStyle="1" w:styleId="72">
    <w:name w:val="hour_am"/>
    <w:basedOn w:val="29"/>
    <w:qFormat/>
    <w:uiPriority w:val="0"/>
  </w:style>
  <w:style w:type="character" w:customStyle="1" w:styleId="73">
    <w:name w:val="jbox-icon-success"/>
    <w:basedOn w:val="29"/>
    <w:qFormat/>
    <w:uiPriority w:val="0"/>
  </w:style>
  <w:style w:type="character" w:customStyle="1" w:styleId="74">
    <w:name w:val="批注文字 字符"/>
    <w:qFormat/>
    <w:uiPriority w:val="99"/>
    <w:rPr>
      <w:kern w:val="2"/>
      <w:sz w:val="28"/>
      <w:szCs w:val="24"/>
    </w:rPr>
  </w:style>
  <w:style w:type="character" w:customStyle="1" w:styleId="75">
    <w:name w:val="纯文本 Char1"/>
    <w:qFormat/>
    <w:uiPriority w:val="0"/>
    <w:rPr>
      <w:rFonts w:ascii="宋体" w:hAnsi="Courier New"/>
      <w:kern w:val="2"/>
      <w:sz w:val="21"/>
    </w:rPr>
  </w:style>
  <w:style w:type="character" w:customStyle="1" w:styleId="76">
    <w:name w:val="纯文本 Char"/>
    <w:qFormat/>
    <w:uiPriority w:val="99"/>
    <w:rPr>
      <w:rFonts w:ascii="宋体" w:hAnsi="Courier New"/>
      <w:kern w:val="2"/>
      <w:sz w:val="24"/>
      <w:szCs w:val="24"/>
    </w:rPr>
  </w:style>
  <w:style w:type="character" w:customStyle="1" w:styleId="77">
    <w:name w:val="sub_title s0"/>
    <w:basedOn w:val="29"/>
    <w:qFormat/>
    <w:uiPriority w:val="0"/>
  </w:style>
  <w:style w:type="character" w:customStyle="1" w:styleId="78">
    <w:name w:val="正文文本缩进 字符2"/>
    <w:link w:val="2"/>
    <w:qFormat/>
    <w:uiPriority w:val="0"/>
    <w:rPr>
      <w:rFonts w:ascii="宋体" w:hAnsi="Courier New"/>
      <w:spacing w:val="-4"/>
      <w:sz w:val="18"/>
    </w:rPr>
  </w:style>
  <w:style w:type="character" w:customStyle="1" w:styleId="79">
    <w:name w:val="jbox-icon-error"/>
    <w:basedOn w:val="29"/>
    <w:qFormat/>
    <w:uiPriority w:val="0"/>
  </w:style>
  <w:style w:type="character" w:customStyle="1" w:styleId="80">
    <w:name w:val="正文文本 2 字符"/>
    <w:basedOn w:val="29"/>
    <w:link w:val="24"/>
    <w:qFormat/>
    <w:uiPriority w:val="0"/>
    <w:rPr>
      <w:rFonts w:ascii="宋体" w:hAnsi="宋体" w:eastAsia="宋体" w:cs="Times New Roman"/>
      <w:color w:val="000000"/>
      <w:sz w:val="24"/>
      <w:szCs w:val="24"/>
    </w:rPr>
  </w:style>
  <w:style w:type="paragraph" w:customStyle="1" w:styleId="81">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2">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3">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4">
    <w:name w:val="z-窗体顶端 字符1"/>
    <w:basedOn w:val="29"/>
    <w:semiHidden/>
    <w:qFormat/>
    <w:uiPriority w:val="99"/>
    <w:rPr>
      <w:rFonts w:ascii="Arial" w:hAnsi="Arial" w:cs="Arial"/>
      <w:vanish/>
      <w:sz w:val="16"/>
      <w:szCs w:val="16"/>
    </w:rPr>
  </w:style>
  <w:style w:type="paragraph" w:customStyle="1" w:styleId="85">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6">
    <w:name w:val="批注文字 字符1"/>
    <w:basedOn w:val="29"/>
    <w:link w:val="13"/>
    <w:semiHidden/>
    <w:qFormat/>
    <w:uiPriority w:val="99"/>
  </w:style>
  <w:style w:type="character" w:customStyle="1" w:styleId="87">
    <w:name w:val="批注主题 字符1"/>
    <w:basedOn w:val="86"/>
    <w:semiHidden/>
    <w:qFormat/>
    <w:uiPriority w:val="99"/>
    <w:rPr>
      <w:b/>
      <w:bCs/>
    </w:rPr>
  </w:style>
  <w:style w:type="character" w:customStyle="1" w:styleId="88">
    <w:name w:val="文档结构图 字符1"/>
    <w:basedOn w:val="29"/>
    <w:semiHidden/>
    <w:qFormat/>
    <w:uiPriority w:val="99"/>
    <w:rPr>
      <w:rFonts w:ascii="Microsoft YaHei UI" w:eastAsia="Microsoft YaHei UI"/>
      <w:sz w:val="18"/>
      <w:szCs w:val="18"/>
    </w:rPr>
  </w:style>
  <w:style w:type="character" w:customStyle="1" w:styleId="89">
    <w:name w:val="正文文本 字符"/>
    <w:basedOn w:val="29"/>
    <w:link w:val="14"/>
    <w:qFormat/>
    <w:uiPriority w:val="99"/>
    <w:rPr>
      <w:rFonts w:ascii="Times New Roman" w:hAnsi="Times New Roman" w:eastAsia="宋体" w:cs="Times New Roman"/>
      <w:sz w:val="28"/>
      <w:szCs w:val="24"/>
    </w:rPr>
  </w:style>
  <w:style w:type="character" w:customStyle="1" w:styleId="90">
    <w:name w:val="批注框文本 字符"/>
    <w:basedOn w:val="29"/>
    <w:link w:val="19"/>
    <w:qFormat/>
    <w:uiPriority w:val="0"/>
    <w:rPr>
      <w:rFonts w:ascii="Times New Roman" w:hAnsi="Times New Roman" w:eastAsia="宋体" w:cs="Times New Roman"/>
      <w:sz w:val="18"/>
      <w:szCs w:val="18"/>
    </w:rPr>
  </w:style>
  <w:style w:type="character" w:customStyle="1" w:styleId="91">
    <w:name w:val="正文文本缩进 字符3"/>
    <w:basedOn w:val="29"/>
    <w:semiHidden/>
    <w:qFormat/>
    <w:uiPriority w:val="99"/>
  </w:style>
  <w:style w:type="character" w:customStyle="1" w:styleId="92">
    <w:name w:val="日期 字符"/>
    <w:basedOn w:val="29"/>
    <w:link w:val="18"/>
    <w:qFormat/>
    <w:uiPriority w:val="0"/>
    <w:rPr>
      <w:rFonts w:ascii="Times New Roman" w:hAnsi="Times New Roman" w:eastAsia="楷体_GB2312" w:cs="Times New Roman"/>
      <w:sz w:val="32"/>
      <w:szCs w:val="20"/>
    </w:rPr>
  </w:style>
  <w:style w:type="character" w:customStyle="1" w:styleId="93">
    <w:name w:val="纯文本 字符3"/>
    <w:basedOn w:val="29"/>
    <w:semiHidden/>
    <w:qFormat/>
    <w:uiPriority w:val="99"/>
    <w:rPr>
      <w:rFonts w:hAnsi="Courier New" w:cs="Courier New" w:asciiTheme="minorEastAsia"/>
    </w:rPr>
  </w:style>
  <w:style w:type="character" w:customStyle="1" w:styleId="94">
    <w:name w:val="正文文本首行缩进 2 字符"/>
    <w:basedOn w:val="91"/>
    <w:link w:val="3"/>
    <w:qFormat/>
    <w:uiPriority w:val="99"/>
    <w:rPr>
      <w:rFonts w:ascii="宋体" w:hAnsi="Courier New"/>
      <w:spacing w:val="-4"/>
      <w:sz w:val="18"/>
    </w:rPr>
  </w:style>
  <w:style w:type="character" w:customStyle="1" w:styleId="95">
    <w:name w:val="z-窗体底端 字符1"/>
    <w:basedOn w:val="29"/>
    <w:semiHidden/>
    <w:qFormat/>
    <w:uiPriority w:val="99"/>
    <w:rPr>
      <w:rFonts w:ascii="Arial" w:hAnsi="Arial" w:cs="Arial"/>
      <w:vanish/>
      <w:sz w:val="16"/>
      <w:szCs w:val="16"/>
    </w:rPr>
  </w:style>
  <w:style w:type="paragraph" w:customStyle="1" w:styleId="96">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7">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8">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9">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100">
    <w:name w:val="Char Char Char Char1"/>
    <w:basedOn w:val="1"/>
    <w:qFormat/>
    <w:uiPriority w:val="0"/>
    <w:rPr>
      <w:rFonts w:ascii="Tahoma" w:hAnsi="Tahoma" w:eastAsia="宋体" w:cs="Times New Roman"/>
      <w:sz w:val="24"/>
      <w:szCs w:val="20"/>
    </w:rPr>
  </w:style>
  <w:style w:type="paragraph" w:customStyle="1" w:styleId="101">
    <w:name w:val="彩色列表 - 强调文字颜色 11"/>
    <w:basedOn w:val="1"/>
    <w:qFormat/>
    <w:uiPriority w:val="34"/>
    <w:pPr>
      <w:ind w:firstLine="420" w:firstLineChars="200"/>
    </w:pPr>
    <w:rPr>
      <w:rFonts w:ascii="Calibri" w:hAnsi="Calibri" w:eastAsia="宋体" w:cs="Times New Roman"/>
    </w:rPr>
  </w:style>
  <w:style w:type="paragraph" w:customStyle="1" w:styleId="102">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3">
    <w:name w:val="正文2"/>
    <w:basedOn w:val="1"/>
    <w:link w:val="112"/>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5">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6">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7">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8">
    <w:name w:val="标题 10"/>
    <w:basedOn w:val="5"/>
    <w:qFormat/>
    <w:uiPriority w:val="0"/>
    <w:pPr>
      <w:jc w:val="center"/>
    </w:pPr>
    <w:rPr>
      <w:kern w:val="0"/>
    </w:rPr>
  </w:style>
  <w:style w:type="character" w:customStyle="1" w:styleId="109">
    <w:name w:val="未处理的提及1"/>
    <w:semiHidden/>
    <w:unhideWhenUsed/>
    <w:qFormat/>
    <w:uiPriority w:val="99"/>
    <w:rPr>
      <w:color w:val="605E5C"/>
      <w:shd w:val="clear" w:color="auto" w:fill="E1DFDD"/>
    </w:rPr>
  </w:style>
  <w:style w:type="character" w:customStyle="1" w:styleId="110">
    <w:name w:val="未处理的提及2"/>
    <w:basedOn w:val="29"/>
    <w:semiHidden/>
    <w:unhideWhenUsed/>
    <w:qFormat/>
    <w:uiPriority w:val="99"/>
    <w:rPr>
      <w:color w:val="605E5C"/>
      <w:shd w:val="clear" w:color="auto" w:fill="E1DFDD"/>
    </w:rPr>
  </w:style>
  <w:style w:type="character" w:customStyle="1" w:styleId="111">
    <w:name w:val="未处理的提及3"/>
    <w:basedOn w:val="29"/>
    <w:semiHidden/>
    <w:unhideWhenUsed/>
    <w:qFormat/>
    <w:uiPriority w:val="99"/>
    <w:rPr>
      <w:color w:val="605E5C"/>
      <w:shd w:val="clear" w:color="auto" w:fill="E1DFDD"/>
    </w:rPr>
  </w:style>
  <w:style w:type="character" w:customStyle="1" w:styleId="112">
    <w:name w:val="正文2 Char Char"/>
    <w:link w:val="103"/>
    <w:qFormat/>
    <w:uiPriority w:val="0"/>
    <w:rPr>
      <w:kern w:val="2"/>
      <w:sz w:val="24"/>
    </w:rPr>
  </w:style>
  <w:style w:type="paragraph" w:customStyle="1" w:styleId="113">
    <w:name w:val="TOC 72"/>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14">
    <w:name w:val="网格型1"/>
    <w:basedOn w:val="2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11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17">
    <w:name w:val="无间隔1"/>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18">
    <w:name w:val="无间隔4"/>
    <w:qFormat/>
    <w:uiPriority w:val="0"/>
    <w:rPr>
      <w:rFonts w:ascii="Calibri" w:hAnsi="Calibri" w:eastAsia="宋体" w:cs="Times New Roman"/>
      <w:sz w:val="22"/>
      <w:szCs w:val="22"/>
      <w:lang w:val="en-US" w:eastAsia="en-US" w:bidi="ar-SA"/>
    </w:rPr>
  </w:style>
  <w:style w:type="paragraph" w:customStyle="1" w:styleId="11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6901</Words>
  <Characters>7677</Characters>
  <Lines>32</Lines>
  <Paragraphs>64</Paragraphs>
  <TotalTime>78</TotalTime>
  <ScaleCrop>false</ScaleCrop>
  <LinksUpToDate>false</LinksUpToDate>
  <CharactersWithSpaces>7721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2021-05-13T13:24:00Z</dcterms:created>
  <dc:creator>hj j</dc:creator>
  <cp:lastModifiedBy>Young..</cp:lastModifiedBy>
  <dcterms:modified xsi:type="dcterms:W3CDTF">2025-06-12T06:57:13Z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6087D98A078542B38F4FFFD4094DCC3A_13</vt:lpwstr>
  </property>
  <property fmtid="{D5CDD505-2E9C-101B-9397-08002B2CF9AE}" pid="4" name="KSOTemplateDocerSaveRecord">
    <vt:lpwstr>eyJoZGlkIjoiYmQ3OWFmNTlmZWFjOTZiYjc4MDhkMDU3NjEwZjk4ZTMiLCJ1c2VySWQiOiI0NjQ2NDIzODAifQ==</vt:lpwstr>
  </property>
</Properties>
</file>