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杭州医学院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2025年杭州医学院解剖实验教学技术服务项目</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2025年杭州医学院解剖实验教学技术服务项目</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HMC20250623097</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杭州医学院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采购计划文号：临[2025]37347号</w:t>
      </w:r>
    </w:p>
    <w:p w14:paraId="6DF20D90">
      <w:pPr>
        <w:adjustRightInd w:val="0"/>
        <w:snapToGrid w:val="0"/>
        <w:spacing w:line="288" w:lineRule="auto"/>
        <w:rPr>
          <w:rFonts w:ascii="楷体" w:hAnsi="楷体" w:eastAsia="楷体" w:cs="Times New Roman"/>
          <w:b/>
          <w:szCs w:val="21"/>
          <w:highlight w:val="none"/>
        </w:rPr>
      </w:pPr>
    </w:p>
    <w:p w14:paraId="5742F435">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3AF4741D">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2025年杭州医学院解剖实验教</w:t>
      </w:r>
      <w:r>
        <w:rPr>
          <w:rFonts w:hint="eastAsia" w:ascii="宋体" w:hAnsi="宋体" w:eastAsia="宋体" w:cs="Times New Roman"/>
          <w:b/>
          <w:szCs w:val="21"/>
          <w:highlight w:val="none"/>
          <w:u w:val="single"/>
          <w:lang w:eastAsia="zh-CN"/>
        </w:rPr>
        <w:t>学技术服务项目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5</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val="en-US" w:eastAsia="zh-CN"/>
        </w:rPr>
        <w:t>7</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21</w:t>
      </w:r>
      <w:r>
        <w:rPr>
          <w:rFonts w:hint="eastAsia" w:ascii="宋体" w:hAnsi="宋体" w:eastAsia="宋体" w:cs="Times New Roman"/>
          <w:b/>
          <w:szCs w:val="21"/>
          <w:highlight w:val="none"/>
          <w:u w:val="single"/>
        </w:rPr>
        <w:t>日</w:t>
      </w:r>
      <w:r>
        <w:rPr>
          <w:rFonts w:hint="eastAsia" w:ascii="宋体" w:hAnsi="宋体" w:eastAsia="宋体" w:cs="Times New Roman"/>
          <w:b/>
          <w:szCs w:val="21"/>
          <w:highlight w:val="none"/>
          <w:u w:val="single"/>
          <w:lang w:val="en-US" w:eastAsia="zh-CN"/>
        </w:rPr>
        <w:t>9</w:t>
      </w:r>
      <w:r>
        <w:rPr>
          <w:rFonts w:hint="eastAsia" w:ascii="宋体" w:hAnsi="宋体" w:eastAsia="宋体" w:cs="Times New Roman"/>
          <w:b/>
          <w:szCs w:val="21"/>
          <w:highlight w:val="none"/>
          <w:u w:val="single"/>
        </w:rPr>
        <w:t>:00:00（北京时间）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28359079"/>
      <w:bookmarkStart w:id="1" w:name="_Toc28359002"/>
      <w:bookmarkStart w:id="2" w:name="_Toc35393621"/>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HMC20250623097</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2025年杭州医学院解剖实验教学技术服务项目</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.预算金额：36</w:t>
      </w:r>
      <w:r>
        <w:rPr>
          <w:rFonts w:hint="eastAsia" w:ascii="宋体" w:hAnsi="宋体" w:eastAsia="宋体" w:cs="Times New Roman"/>
          <w:szCs w:val="21"/>
          <w:highlight w:val="none"/>
          <w:lang w:val="en-US" w:eastAsia="zh-CN"/>
        </w:rPr>
        <w:t>0000元</w:t>
      </w:r>
    </w:p>
    <w:p w14:paraId="782F3A25">
      <w:pPr>
        <w:adjustRightInd w:val="0"/>
        <w:snapToGrid w:val="0"/>
        <w:spacing w:line="288" w:lineRule="auto"/>
        <w:ind w:firstLine="420" w:firstLineChars="200"/>
        <w:rPr>
          <w:rFonts w:hint="eastAsia" w:ascii="宋体" w:hAnsi="宋体" w:eastAsia="宋体" w:cs="Times New Roman"/>
          <w:szCs w:val="21"/>
          <w:highlight w:val="none"/>
          <w:lang w:val="en-US" w:eastAsia="zh-CN"/>
        </w:rPr>
      </w:pPr>
      <w:r>
        <w:rPr>
          <w:rFonts w:ascii="宋体" w:hAnsi="宋体" w:eastAsia="宋体" w:cs="Times New Roman"/>
          <w:szCs w:val="21"/>
          <w:highlight w:val="none"/>
        </w:rPr>
        <w:t>4</w:t>
      </w:r>
      <w:r>
        <w:rPr>
          <w:rFonts w:hint="eastAsia" w:ascii="宋体" w:hAnsi="宋体" w:eastAsia="宋体" w:cs="Times New Roman"/>
          <w:szCs w:val="21"/>
          <w:highlight w:val="none"/>
        </w:rPr>
        <w:t>.最高限价：36</w:t>
      </w:r>
      <w:r>
        <w:rPr>
          <w:rFonts w:hint="eastAsia" w:ascii="宋体" w:hAnsi="宋体" w:eastAsia="宋体" w:cs="Times New Roman"/>
          <w:szCs w:val="21"/>
          <w:highlight w:val="none"/>
          <w:lang w:val="en-US" w:eastAsia="zh-CN"/>
        </w:rPr>
        <w:t>0000元</w:t>
      </w:r>
    </w:p>
    <w:p w14:paraId="690FF593">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ascii="宋体" w:hAnsi="宋体" w:eastAsia="宋体" w:cs="宋体"/>
          <w:color w:val="000000"/>
          <w:sz w:val="21"/>
          <w:highlight w:val="none"/>
        </w:rPr>
        <w:t>自合同签订后，服务期3年</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2025年杭州医学院解剖实验教学技术服务项目</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详见采购文件</w:t>
            </w:r>
          </w:p>
        </w:tc>
      </w:tr>
    </w:tbl>
    <w:p w14:paraId="4C303774">
      <w:pPr>
        <w:adjustRightInd w:val="0"/>
        <w:snapToGrid w:val="0"/>
        <w:spacing w:line="288" w:lineRule="auto"/>
        <w:rPr>
          <w:rFonts w:ascii="宋体" w:hAnsi="宋体" w:eastAsia="宋体" w:cs="宋体"/>
          <w:b/>
          <w:szCs w:val="21"/>
          <w:highlight w:val="none"/>
        </w:rPr>
      </w:pPr>
      <w:bookmarkStart w:id="5" w:name="_Toc35393791"/>
      <w:bookmarkStart w:id="6" w:name="_Toc28359080"/>
      <w:bookmarkStart w:id="7" w:name="_Toc28359003"/>
      <w:bookmarkStart w:id="8" w:name="_Toc35393622"/>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7DB955C2">
      <w:pPr>
        <w:adjustRightInd w:val="0"/>
        <w:snapToGrid w:val="0"/>
        <w:spacing w:line="288" w:lineRule="auto"/>
        <w:ind w:firstLine="420" w:firstLineChars="200"/>
        <w:rPr>
          <w:rFonts w:hint="eastAsia" w:ascii="宋体" w:hAnsi="宋体" w:eastAsia="宋体" w:cs="Times New Roman"/>
          <w:b/>
          <w:bCs/>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w:t>
      </w:r>
      <w:r>
        <w:rPr>
          <w:rFonts w:hint="eastAsia" w:ascii="宋体" w:hAnsi="宋体" w:eastAsia="宋体" w:cs="Times New Roman"/>
          <w:b/>
          <w:bCs/>
          <w:szCs w:val="21"/>
          <w:highlight w:val="none"/>
        </w:rPr>
        <w:t>本项目整体专门面向中小企业采购。</w:t>
      </w:r>
    </w:p>
    <w:p w14:paraId="4A1BFDA5">
      <w:pPr>
        <w:adjustRightInd w:val="0"/>
        <w:snapToGrid w:val="0"/>
        <w:spacing w:line="288" w:lineRule="auto"/>
        <w:ind w:firstLine="422" w:firstLineChars="200"/>
        <w:rPr>
          <w:rFonts w:hint="eastAsia" w:ascii="宋体" w:hAnsi="宋体" w:eastAsia="宋体" w:cs="Times New Roman"/>
          <w:b/>
          <w:bCs/>
          <w:szCs w:val="21"/>
          <w:highlight w:val="none"/>
        </w:rPr>
      </w:pPr>
      <w:r>
        <w:rPr>
          <w:rFonts w:ascii="宋体" w:hAnsi="宋体" w:eastAsia="宋体" w:cs="Times New Roman"/>
          <w:b/>
          <w:bCs/>
          <w:szCs w:val="21"/>
          <w:highlight w:val="none"/>
        </w:rPr>
        <w:t>服务由中小企业承接，即提供服务的人员为中小企业依照《中华人民共和国劳动合同法》订立劳动合同的从业人员）</w:t>
      </w:r>
    </w:p>
    <w:p w14:paraId="2EDE91C3">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监狱企业、残疾人福利性单位视同小型、微型企业；</w:t>
      </w:r>
    </w:p>
    <w:p w14:paraId="2B8AB21E">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本项目属性为：</w:t>
      </w:r>
      <w:r>
        <w:rPr>
          <w:rFonts w:ascii="宋体" w:hAnsi="宋体" w:eastAsia="宋体" w:cs="Times New Roman"/>
          <w:b/>
          <w:bCs/>
          <w:szCs w:val="21"/>
          <w:highlight w:val="none"/>
        </w:rPr>
        <w:t>服务</w:t>
      </w:r>
    </w:p>
    <w:p w14:paraId="02DFFF4B">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采购标的对应的中小企业划分标准所属行业：</w:t>
      </w:r>
      <w:bookmarkStart w:id="11" w:name="OLE_LINK22"/>
      <w:r>
        <w:rPr>
          <w:rFonts w:hint="eastAsia" w:ascii="宋体" w:hAnsi="宋体" w:eastAsia="宋体" w:cs="Times New Roman"/>
          <w:b/>
          <w:bCs/>
          <w:szCs w:val="21"/>
          <w:highlight w:val="none"/>
        </w:rPr>
        <w:t>其他未列明行业</w:t>
      </w:r>
      <w:bookmarkEnd w:id="11"/>
      <w:r>
        <w:rPr>
          <w:rFonts w:hint="eastAsia" w:ascii="宋体" w:hAnsi="宋体" w:eastAsia="宋体" w:cs="Times New Roman"/>
          <w:b/>
          <w:bCs/>
          <w:szCs w:val="21"/>
          <w:highlight w:val="none"/>
        </w:rPr>
        <w:t>。</w:t>
      </w:r>
    </w:p>
    <w:p w14:paraId="6854F802">
      <w:pPr>
        <w:adjustRightInd w:val="0"/>
        <w:snapToGrid w:val="0"/>
        <w:spacing w:line="288" w:lineRule="auto"/>
        <w:ind w:firstLine="422" w:firstLineChars="200"/>
        <w:rPr>
          <w:rFonts w:ascii="宋体" w:hAnsi="宋体" w:eastAsia="宋体" w:cs="Times New Roman"/>
          <w:szCs w:val="21"/>
          <w:highlight w:val="none"/>
        </w:rPr>
      </w:pPr>
      <w:r>
        <w:rPr>
          <w:rFonts w:hint="eastAsia" w:ascii="宋体" w:hAnsi="宋体" w:eastAsia="宋体" w:cs="Times New Roman"/>
          <w:b/>
          <w:bCs/>
          <w:szCs w:val="21"/>
          <w:highlight w:val="none"/>
        </w:rPr>
        <w:t>中小企业划型标准：从业人员300人以下的为中小微型企业。其中，从业人员100人及以上的为中型企业；从业人员10人及以上的为小型企业；从业人员10人以下的为微型企业。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2" w:name="_Toc35393623"/>
      <w:bookmarkStart w:id="13" w:name="_Toc35393792"/>
      <w:r>
        <w:rPr>
          <w:rFonts w:hint="eastAsia" w:ascii="宋体" w:hAnsi="宋体" w:eastAsia="宋体" w:cs="宋体"/>
          <w:b/>
          <w:szCs w:val="21"/>
          <w:highlight w:val="none"/>
        </w:rPr>
        <w:t>三、获取招标文件</w:t>
      </w:r>
      <w:bookmarkEnd w:id="9"/>
      <w:bookmarkEnd w:id="10"/>
      <w:bookmarkEnd w:id="12"/>
      <w:bookmarkEnd w:id="13"/>
    </w:p>
    <w:p w14:paraId="679EA3E8">
      <w:pPr>
        <w:adjustRightInd w:val="0"/>
        <w:snapToGrid w:val="0"/>
        <w:spacing w:line="288" w:lineRule="auto"/>
        <w:ind w:firstLine="420" w:firstLineChars="200"/>
        <w:rPr>
          <w:rFonts w:ascii="宋体" w:hAnsi="宋体" w:eastAsia="宋体" w:cs="Times New Roman"/>
          <w:szCs w:val="21"/>
          <w:highlight w:val="none"/>
        </w:rPr>
      </w:pPr>
      <w:bookmarkStart w:id="14" w:name="_Toc28359082"/>
      <w:bookmarkStart w:id="15" w:name="_Toc28359005"/>
      <w:bookmarkStart w:id="16" w:name="_Toc35393793"/>
      <w:bookmarkStart w:id="17"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21</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4"/>
      <w:bookmarkEnd w:id="15"/>
      <w:r>
        <w:rPr>
          <w:rFonts w:hint="eastAsia" w:ascii="宋体" w:hAnsi="宋体" w:eastAsia="宋体" w:cs="宋体"/>
          <w:b/>
          <w:szCs w:val="21"/>
          <w:highlight w:val="none"/>
        </w:rPr>
        <w:t>截止时间、开标时间和地点</w:t>
      </w:r>
      <w:bookmarkEnd w:id="16"/>
      <w:bookmarkEnd w:id="17"/>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8"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7</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21</w:t>
      </w:r>
      <w:r>
        <w:rPr>
          <w:rFonts w:hint="eastAsia" w:ascii="宋体" w:hAnsi="宋体" w:eastAsia="宋体" w:cs="Times New Roman"/>
          <w:bCs/>
          <w:szCs w:val="21"/>
          <w:highlight w:val="none"/>
        </w:rPr>
        <w:t>日</w:t>
      </w:r>
      <w:r>
        <w:rPr>
          <w:rFonts w:hint="eastAsia" w:ascii="宋体" w:hAnsi="宋体" w:eastAsia="宋体" w:cs="Times New Roman"/>
          <w:bCs/>
          <w:szCs w:val="21"/>
          <w:highlight w:val="none"/>
          <w:lang w:val="en-US" w:eastAsia="zh-CN"/>
        </w:rPr>
        <w:t>9</w:t>
      </w:r>
      <w:r>
        <w:rPr>
          <w:rFonts w:hint="eastAsia" w:ascii="宋体" w:hAnsi="宋体" w:eastAsia="宋体" w:cs="Times New Roman"/>
          <w:bCs/>
          <w:szCs w:val="21"/>
          <w:highlight w:val="none"/>
        </w:rPr>
        <w:t>:00:00（北京时间）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w:t>
      </w:r>
      <w:bookmarkStart w:id="55" w:name="_GoBack"/>
      <w:bookmarkEnd w:id="55"/>
      <w:r>
        <w:rPr>
          <w:rFonts w:hint="eastAsia" w:ascii="宋体" w:hAnsi="宋体" w:eastAsia="宋体" w:cs="Times New Roman"/>
          <w:szCs w:val="21"/>
          <w:highlight w:val="none"/>
        </w:rPr>
        <w:t>.cn）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7</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21</w:t>
      </w:r>
      <w:r>
        <w:rPr>
          <w:rFonts w:hint="eastAsia" w:ascii="宋体" w:hAnsi="宋体" w:eastAsia="宋体" w:cs="Times New Roman"/>
          <w:bCs/>
          <w:szCs w:val="21"/>
          <w:highlight w:val="none"/>
        </w:rPr>
        <w:t>日</w:t>
      </w:r>
      <w:r>
        <w:rPr>
          <w:rFonts w:hint="eastAsia" w:ascii="宋体" w:hAnsi="宋体" w:eastAsia="宋体" w:cs="Times New Roman"/>
          <w:bCs/>
          <w:szCs w:val="21"/>
          <w:highlight w:val="none"/>
          <w:lang w:val="en-US" w:eastAsia="zh-CN"/>
        </w:rPr>
        <w:t>9</w:t>
      </w:r>
      <w:r>
        <w:rPr>
          <w:rFonts w:hint="eastAsia" w:ascii="宋体" w:hAnsi="宋体" w:eastAsia="宋体" w:cs="Times New Roman"/>
          <w:bCs/>
          <w:szCs w:val="21"/>
          <w:highlight w:val="none"/>
        </w:rPr>
        <w:t>:00:00（北京时间）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9"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9"/>
    </w:p>
    <w:bookmarkEnd w:id="18"/>
    <w:p w14:paraId="66F64AAF">
      <w:pPr>
        <w:adjustRightInd w:val="0"/>
        <w:snapToGrid w:val="0"/>
        <w:spacing w:line="288" w:lineRule="auto"/>
        <w:rPr>
          <w:rFonts w:ascii="宋体" w:hAnsi="宋体" w:eastAsia="宋体" w:cs="宋体"/>
          <w:b/>
          <w:szCs w:val="21"/>
        </w:rPr>
      </w:pPr>
      <w:bookmarkStart w:id="20" w:name="_Toc35393625"/>
      <w:bookmarkStart w:id="21" w:name="_Toc28359007"/>
      <w:bookmarkStart w:id="22" w:name="_Toc35393794"/>
      <w:bookmarkStart w:id="23" w:name="_Toc28359084"/>
      <w:r>
        <w:rPr>
          <w:rFonts w:hint="eastAsia" w:ascii="宋体" w:hAnsi="宋体" w:eastAsia="宋体" w:cs="宋体"/>
          <w:b/>
          <w:szCs w:val="21"/>
        </w:rPr>
        <w:t>五、公告期限</w:t>
      </w:r>
      <w:bookmarkEnd w:id="20"/>
      <w:bookmarkEnd w:id="21"/>
      <w:bookmarkEnd w:id="22"/>
      <w:bookmarkEnd w:id="23"/>
    </w:p>
    <w:p w14:paraId="30EEB98F">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46A7806E">
      <w:pPr>
        <w:adjustRightInd w:val="0"/>
        <w:snapToGrid w:val="0"/>
        <w:spacing w:line="288" w:lineRule="auto"/>
        <w:rPr>
          <w:rFonts w:ascii="宋体" w:hAnsi="宋体" w:eastAsia="宋体" w:cs="宋体"/>
          <w:b/>
          <w:szCs w:val="21"/>
        </w:rPr>
      </w:pPr>
      <w:bookmarkStart w:id="24" w:name="_Toc35393795"/>
      <w:bookmarkStart w:id="25" w:name="_Toc35393626"/>
      <w:r>
        <w:rPr>
          <w:rFonts w:hint="eastAsia" w:ascii="宋体" w:hAnsi="宋体" w:eastAsia="宋体" w:cs="宋体"/>
          <w:b/>
          <w:szCs w:val="21"/>
        </w:rPr>
        <w:t>六、其他补充事宜</w:t>
      </w:r>
      <w:bookmarkEnd w:id="24"/>
      <w:bookmarkEnd w:id="25"/>
    </w:p>
    <w:p w14:paraId="6448D1EC">
      <w:pPr>
        <w:adjustRightInd w:val="0"/>
        <w:snapToGrid w:val="0"/>
        <w:spacing w:line="288" w:lineRule="auto"/>
        <w:ind w:firstLine="420" w:firstLineChars="200"/>
        <w:rPr>
          <w:rFonts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7"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8" w:name="_Hlk106877787"/>
      <w:r>
        <w:rPr>
          <w:rFonts w:hint="eastAsia" w:ascii="宋体" w:hAnsi="宋体" w:eastAsia="宋体" w:cs="Times New Roman"/>
          <w:szCs w:val="21"/>
        </w:rPr>
        <w:t>支持科技创新、</w:t>
      </w:r>
      <w:bookmarkEnd w:id="28"/>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2AA07B8B">
      <w:pPr>
        <w:adjustRightInd w:val="0"/>
        <w:snapToGrid w:val="0"/>
        <w:spacing w:line="288" w:lineRule="auto"/>
        <w:rPr>
          <w:rFonts w:ascii="宋体" w:hAnsi="宋体" w:eastAsia="宋体" w:cs="Times New Roman"/>
          <w:b/>
          <w:szCs w:val="21"/>
        </w:rPr>
      </w:pPr>
      <w:bookmarkStart w:id="30" w:name="_Toc28359008"/>
      <w:bookmarkStart w:id="31" w:name="_Toc28359085"/>
      <w:bookmarkStart w:id="32" w:name="_Toc35393796"/>
      <w:bookmarkStart w:id="33"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0"/>
      <w:bookmarkEnd w:id="31"/>
      <w:bookmarkEnd w:id="32"/>
      <w:bookmarkEnd w:id="33"/>
    </w:p>
    <w:p w14:paraId="3F1386A9">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030F410C">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杭州医</w:t>
      </w:r>
      <w:r>
        <w:rPr>
          <w:rFonts w:hint="eastAsia" w:ascii="宋体" w:hAnsi="宋体" w:eastAsia="宋体" w:cs="Times New Roman"/>
          <w:szCs w:val="21"/>
          <w:highlight w:val="none"/>
          <w:lang w:eastAsia="zh-CN"/>
        </w:rPr>
        <w:t>学院</w:t>
      </w:r>
    </w:p>
    <w:p w14:paraId="4FA1A8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地址：杭州市临安区颐康街8号</w:t>
      </w:r>
    </w:p>
    <w:p w14:paraId="50B03549">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项目联系人（询问）：花老师</w:t>
      </w:r>
    </w:p>
    <w:p w14:paraId="52F63E9B">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项目联系方式（询问）：13516806462</w:t>
      </w:r>
    </w:p>
    <w:p w14:paraId="2EA3DE01">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质疑联系人：毛老师</w:t>
      </w:r>
    </w:p>
    <w:p w14:paraId="36F530A2">
      <w:pPr>
        <w:adjustRightInd w:val="0"/>
        <w:snapToGrid w:val="0"/>
        <w:spacing w:line="288" w:lineRule="auto"/>
        <w:ind w:firstLine="424" w:firstLineChars="202"/>
        <w:rPr>
          <w:rFonts w:ascii="宋体" w:hAnsi="宋体" w:eastAsia="宋体" w:cs="Times New Roman"/>
          <w:szCs w:val="21"/>
          <w:highlight w:val="yellow"/>
        </w:rPr>
      </w:pPr>
      <w:r>
        <w:rPr>
          <w:rFonts w:hint="eastAsia" w:ascii="宋体" w:hAnsi="宋体" w:eastAsia="宋体" w:cs="Times New Roman"/>
          <w:szCs w:val="21"/>
          <w:highlight w:val="none"/>
        </w:rPr>
        <w:t>质疑联系方式：0571-87692652</w:t>
      </w:r>
    </w:p>
    <w:p w14:paraId="00F43DF0">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val="en-US" w:eastAsia="zh-CN"/>
        </w:rPr>
        <w:t>王莹、王鑫涛</w:t>
      </w:r>
    </w:p>
    <w:p w14:paraId="2506E43F">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项目联系方式（询问）：0571-8766</w:t>
      </w:r>
      <w:r>
        <w:rPr>
          <w:rFonts w:hint="eastAsia" w:ascii="宋体" w:hAnsi="宋体" w:eastAsia="宋体" w:cs="Times New Roman"/>
          <w:szCs w:val="21"/>
          <w:highlight w:val="none"/>
          <w:lang w:val="en-US" w:eastAsia="zh-CN"/>
        </w:rPr>
        <w:t>6117</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ascii="宋体" w:hAnsi="宋体" w:eastAsia="宋体" w:cs="Times New Roman"/>
          <w:szCs w:val="21"/>
        </w:rPr>
      </w:pPr>
      <w:bookmarkStart w:id="34" w:name="_Hlk124147873"/>
    </w:p>
    <w:p w14:paraId="413F16A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FF0000"/>
          <w:spacing w:val="-6"/>
          <w:szCs w:val="21"/>
          <w:highlight w:val="none"/>
        </w:rPr>
      </w:pPr>
      <w:r>
        <w:rPr>
          <w:rFonts w:ascii="宋体" w:hAnsi="宋体" w:eastAsia="宋体" w:cs="Times New Roman"/>
          <w:spacing w:val="-6"/>
          <w:szCs w:val="21"/>
          <w:highlight w:val="none"/>
        </w:rPr>
        <w:t>地址：</w:t>
      </w:r>
      <w:r>
        <w:rPr>
          <w:rFonts w:hint="eastAsia" w:ascii="宋体" w:hAnsi="宋体" w:eastAsia="宋体" w:cs="Times New Roman"/>
          <w:color w:val="FF0000"/>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监督投诉电话：</w:t>
      </w:r>
      <w:r>
        <w:rPr>
          <w:rFonts w:hint="eastAsia" w:ascii="宋体" w:hAnsi="宋体" w:eastAsia="宋体" w:cs="Times New Roman"/>
          <w:color w:val="FF0000"/>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2AFE1B2F">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投诉联系人：唐老师/朱老师</w:t>
      </w:r>
    </w:p>
    <w:p w14:paraId="6EFA13DD">
      <w:pPr>
        <w:adjustRightInd w:val="0"/>
        <w:snapToGrid w:val="0"/>
        <w:spacing w:line="288" w:lineRule="auto"/>
        <w:ind w:firstLine="37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投诉联系方式：</w:t>
      </w:r>
      <w:r>
        <w:rPr>
          <w:rFonts w:ascii="宋体" w:hAnsi="宋体" w:eastAsia="宋体" w:cs="Times New Roman"/>
          <w:spacing w:val="-6"/>
          <w:szCs w:val="21"/>
          <w:highlight w:val="none"/>
        </w:rPr>
        <w:t>0571-</w:t>
      </w:r>
      <w:r>
        <w:rPr>
          <w:rFonts w:hint="eastAsia" w:ascii="宋体" w:hAnsi="宋体" w:eastAsia="宋体" w:cs="Times New Roman"/>
          <w:spacing w:val="-6"/>
          <w:szCs w:val="21"/>
          <w:highlight w:val="none"/>
        </w:rPr>
        <w:t>87695030</w:t>
      </w:r>
    </w:p>
    <w:p w14:paraId="1DD480E9">
      <w:pPr>
        <w:adjustRightInd w:val="0"/>
        <w:snapToGrid w:val="0"/>
        <w:spacing w:line="288" w:lineRule="auto"/>
        <w:ind w:firstLine="370"/>
        <w:rPr>
          <w:rFonts w:hint="eastAsia"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5"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4"/>
    <w:bookmarkEnd w:id="35"/>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6"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47502E9B">
            <w:pPr>
              <w:adjustRightInd w:val="0"/>
              <w:snapToGrid w:val="0"/>
              <w:spacing w:line="288" w:lineRule="auto"/>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采购标的对应的中小企业划分标准所属行业：其他未列明行业。</w:t>
            </w:r>
          </w:p>
          <w:p w14:paraId="02AA1C64">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szCs w:val="21"/>
                <w:highlight w:val="none"/>
              </w:rPr>
              <w:t>中小企业划型标准：从业人员300人以下的为中小微型企业。其中，从业人员100人及以上的为中型企业；从业人员10人及以上的为小型企业；从业人员10人以下的为微型企业。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6"/>
    </w:tbl>
    <w:p w14:paraId="54955D64">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7"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8976743">
            <w:pPr>
              <w:adjustRightInd w:val="0"/>
              <w:snapToGrid w:val="0"/>
              <w:spacing w:line="288" w:lineRule="auto"/>
              <w:ind w:firstLine="396" w:firstLineChars="200"/>
              <w:rPr>
                <w:rFonts w:hint="eastAsia" w:ascii="宋体" w:hAnsi="宋体" w:eastAsia="宋体" w:cs="宋体"/>
                <w:spacing w:val="-6"/>
                <w:kern w:val="0"/>
                <w:szCs w:val="21"/>
                <w:highlight w:val="none"/>
                <w:lang w:eastAsia="zh-CN"/>
              </w:rPr>
            </w:pPr>
            <w:r>
              <w:rPr>
                <w:rFonts w:hint="eastAsia" w:ascii="宋体" w:hAnsi="宋体" w:eastAsia="宋体" w:cs="宋体"/>
                <w:spacing w:val="-6"/>
                <w:kern w:val="0"/>
                <w:szCs w:val="21"/>
                <w:highlight w:val="none"/>
                <w:lang w:val="en-US" w:eastAsia="zh-CN"/>
              </w:rPr>
              <w:t>无</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3A6D74B">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预付款：</w:t>
            </w:r>
          </w:p>
          <w:p w14:paraId="1FB8371B">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本合同自双方签署生效且</w:t>
            </w:r>
            <w:r>
              <w:rPr>
                <w:rFonts w:hint="eastAsia" w:ascii="宋体" w:hAnsi="宋体" w:eastAsia="宋体" w:cs="宋体"/>
                <w:spacing w:val="-6"/>
                <w:kern w:val="0"/>
                <w:szCs w:val="21"/>
                <w:highlight w:val="none"/>
                <w:lang w:val="en-US" w:eastAsia="zh-CN"/>
              </w:rPr>
              <w:t>采购人</w:t>
            </w:r>
            <w:r>
              <w:rPr>
                <w:rFonts w:ascii="宋体" w:hAnsi="宋体" w:eastAsia="宋体" w:cs="宋体"/>
                <w:spacing w:val="-6"/>
                <w:kern w:val="0"/>
                <w:szCs w:val="21"/>
                <w:highlight w:val="none"/>
              </w:rPr>
              <w:t>书面确认</w:t>
            </w:r>
            <w:r>
              <w:rPr>
                <w:rFonts w:hint="eastAsia" w:ascii="宋体" w:hAnsi="宋体" w:eastAsia="宋体" w:cs="宋体"/>
                <w:spacing w:val="-6"/>
                <w:kern w:val="0"/>
                <w:szCs w:val="21"/>
                <w:highlight w:val="none"/>
                <w:lang w:val="en-US" w:eastAsia="zh-CN"/>
              </w:rPr>
              <w:t>中标人</w:t>
            </w:r>
            <w:r>
              <w:rPr>
                <w:rFonts w:ascii="宋体" w:hAnsi="宋体" w:eastAsia="宋体" w:cs="宋体"/>
                <w:spacing w:val="-6"/>
                <w:kern w:val="0"/>
                <w:szCs w:val="21"/>
                <w:highlight w:val="none"/>
              </w:rPr>
              <w:t>已具备合同履行所需实施条件之日起 7个工作日内，</w:t>
            </w:r>
            <w:r>
              <w:rPr>
                <w:rFonts w:hint="eastAsia" w:ascii="宋体" w:hAnsi="宋体" w:eastAsia="宋体" w:cs="宋体"/>
                <w:spacing w:val="-6"/>
                <w:kern w:val="0"/>
                <w:szCs w:val="21"/>
                <w:highlight w:val="none"/>
                <w:lang w:val="en-US" w:eastAsia="zh-CN"/>
              </w:rPr>
              <w:t>采购人</w:t>
            </w:r>
            <w:r>
              <w:rPr>
                <w:rFonts w:ascii="宋体" w:hAnsi="宋体" w:eastAsia="宋体" w:cs="宋体"/>
                <w:spacing w:val="-6"/>
                <w:kern w:val="0"/>
                <w:szCs w:val="21"/>
                <w:highlight w:val="none"/>
              </w:rPr>
              <w:t>向</w:t>
            </w:r>
            <w:r>
              <w:rPr>
                <w:rFonts w:hint="eastAsia" w:ascii="宋体" w:hAnsi="宋体" w:eastAsia="宋体" w:cs="宋体"/>
                <w:spacing w:val="-6"/>
                <w:kern w:val="0"/>
                <w:szCs w:val="21"/>
                <w:highlight w:val="none"/>
                <w:lang w:val="en-US" w:eastAsia="zh-CN"/>
              </w:rPr>
              <w:t>中标人</w:t>
            </w:r>
            <w:r>
              <w:rPr>
                <w:rFonts w:ascii="宋体" w:hAnsi="宋体" w:eastAsia="宋体" w:cs="宋体"/>
                <w:spacing w:val="-6"/>
                <w:kern w:val="0"/>
                <w:szCs w:val="21"/>
                <w:highlight w:val="none"/>
              </w:rPr>
              <w:t>支付合同总价的 30％ 作为预付款。</w:t>
            </w:r>
          </w:p>
          <w:p w14:paraId="38746399">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进度款：</w:t>
            </w:r>
          </w:p>
          <w:p w14:paraId="3BAA47D2">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lang w:val="en-US" w:eastAsia="zh-CN"/>
              </w:rPr>
              <w:t>中标人</w:t>
            </w:r>
            <w:r>
              <w:rPr>
                <w:rFonts w:ascii="宋体" w:hAnsi="宋体" w:eastAsia="宋体" w:cs="宋体"/>
                <w:spacing w:val="-6"/>
                <w:kern w:val="0"/>
                <w:szCs w:val="21"/>
                <w:highlight w:val="none"/>
              </w:rPr>
              <w:t>按合同约定完成服务后，</w:t>
            </w:r>
            <w:r>
              <w:rPr>
                <w:rFonts w:hint="eastAsia" w:ascii="宋体" w:hAnsi="宋体" w:eastAsia="宋体" w:cs="宋体"/>
                <w:spacing w:val="-6"/>
                <w:kern w:val="0"/>
                <w:szCs w:val="21"/>
                <w:highlight w:val="none"/>
                <w:lang w:val="en-US" w:eastAsia="zh-CN"/>
              </w:rPr>
              <w:t>采购人</w:t>
            </w:r>
            <w:r>
              <w:rPr>
                <w:rFonts w:ascii="宋体" w:hAnsi="宋体" w:eastAsia="宋体" w:cs="宋体"/>
                <w:spacing w:val="-6"/>
                <w:kern w:val="0"/>
                <w:szCs w:val="21"/>
                <w:highlight w:val="none"/>
              </w:rPr>
              <w:t>按经双方确认的合格出车次数支付进度款：</w:t>
            </w:r>
          </w:p>
          <w:p w14:paraId="6FBD3010">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支付节点：每累计完成 10次以上经</w:t>
            </w:r>
            <w:r>
              <w:rPr>
                <w:rFonts w:hint="eastAsia" w:ascii="宋体" w:hAnsi="宋体" w:eastAsia="宋体" w:cs="宋体"/>
                <w:spacing w:val="-6"/>
                <w:kern w:val="0"/>
                <w:szCs w:val="21"/>
                <w:highlight w:val="none"/>
                <w:lang w:val="en-US" w:eastAsia="zh-CN"/>
              </w:rPr>
              <w:t>采购人</w:t>
            </w:r>
            <w:r>
              <w:rPr>
                <w:rFonts w:ascii="宋体" w:hAnsi="宋体" w:eastAsia="宋体" w:cs="宋体"/>
                <w:spacing w:val="-6"/>
                <w:kern w:val="0"/>
                <w:szCs w:val="21"/>
                <w:highlight w:val="none"/>
              </w:rPr>
              <w:t>验收合格的服务出车；</w:t>
            </w:r>
          </w:p>
          <w:p w14:paraId="74F2E7D5">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支付比例：每次节点支付合同总价的30％，累计支付上限为合同总价的60％（即共支付2次）。（注：预付款30％+进度款60％=累计90％）</w:t>
            </w:r>
          </w:p>
          <w:p w14:paraId="2C1B8138">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尾款：</w:t>
            </w:r>
          </w:p>
          <w:p w14:paraId="63F9903E">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合同总价的10％作为尾款（质保性质），于服务期限届满之日起15个工作日内支付。</w:t>
            </w:r>
          </w:p>
          <w:p w14:paraId="217A4F7C">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ascii="宋体" w:hAnsi="宋体" w:eastAsia="宋体" w:cs="宋体"/>
                <w:spacing w:val="-6"/>
                <w:kern w:val="0"/>
                <w:szCs w:val="21"/>
                <w:highlight w:val="none"/>
              </w:rPr>
              <w:t>支付条件：</w:t>
            </w:r>
            <w:r>
              <w:rPr>
                <w:rFonts w:hint="eastAsia" w:ascii="宋体" w:hAnsi="宋体" w:eastAsia="宋体" w:cs="宋体"/>
                <w:spacing w:val="-6"/>
                <w:kern w:val="0"/>
                <w:szCs w:val="21"/>
                <w:highlight w:val="none"/>
                <w:lang w:val="en-US" w:eastAsia="zh-CN"/>
              </w:rPr>
              <w:t>中标人</w:t>
            </w:r>
            <w:r>
              <w:rPr>
                <w:rFonts w:ascii="宋体" w:hAnsi="宋体" w:eastAsia="宋体" w:cs="宋体"/>
                <w:spacing w:val="-6"/>
                <w:kern w:val="0"/>
                <w:szCs w:val="21"/>
                <w:highlight w:val="none"/>
              </w:rPr>
              <w:t>无未解决的合同违约责任，且服务期内无重大瑕疵。</w:t>
            </w:r>
          </w:p>
        </w:tc>
      </w:tr>
      <w:bookmarkEnd w:id="37"/>
    </w:tbl>
    <w:p w14:paraId="45E7F593">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szCs w:val="21"/>
                <w:highlight w:val="none"/>
              </w:rPr>
            </w:pPr>
            <w:r>
              <w:rPr>
                <w:rFonts w:ascii="宋体" w:hAnsi="宋体" w:eastAsia="宋体" w:cs="宋体"/>
                <w:color w:val="000000"/>
                <w:sz w:val="21"/>
                <w:highlight w:val="none"/>
              </w:rPr>
              <w:t>自合同签订后，服务期3年</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服务</w:t>
            </w:r>
            <w:r>
              <w:rPr>
                <w:rFonts w:hint="eastAsia" w:ascii="宋体" w:hAnsi="宋体" w:eastAsia="宋体" w:cs="宋体"/>
                <w:b/>
                <w:bCs/>
                <w:szCs w:val="21"/>
                <w:highlight w:val="none"/>
              </w:rPr>
              <w:t>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服务</w:t>
            </w:r>
            <w:r>
              <w:rPr>
                <w:rFonts w:hint="eastAsia" w:ascii="宋体" w:hAnsi="宋体" w:eastAsia="宋体" w:cs="宋体"/>
                <w:b/>
                <w:bCs/>
                <w:szCs w:val="21"/>
                <w:highlight w:val="none"/>
                <w:lang w:val="en-US" w:eastAsia="zh-CN"/>
              </w:rPr>
              <w:t>承诺</w:t>
            </w:r>
          </w:p>
        </w:tc>
        <w:tc>
          <w:tcPr>
            <w:tcW w:w="7655" w:type="dxa"/>
            <w:tcBorders>
              <w:top w:val="single" w:color="auto" w:sz="4" w:space="0"/>
              <w:left w:val="single" w:color="auto" w:sz="4" w:space="0"/>
              <w:bottom w:val="single" w:color="auto" w:sz="4" w:space="0"/>
              <w:right w:val="single" w:color="auto" w:sz="4" w:space="0"/>
            </w:tcBorders>
            <w:vAlign w:val="center"/>
          </w:tcPr>
          <w:p w14:paraId="2B577C99">
            <w:pPr>
              <w:adjustRightInd w:val="0"/>
              <w:snapToGrid w:val="0"/>
              <w:spacing w:line="288" w:lineRule="auto"/>
              <w:rPr>
                <w:rFonts w:hint="default" w:ascii="宋体" w:hAnsi="宋体" w:eastAsia="宋体" w:cs="宋体"/>
                <w:szCs w:val="21"/>
                <w:highlight w:val="none"/>
                <w:u w:val="none"/>
                <w:lang w:val="en-US" w:eastAsia="zh-CN"/>
              </w:rPr>
            </w:pPr>
            <w:r>
              <w:rPr>
                <w:rFonts w:hint="default" w:ascii="宋体" w:hAnsi="宋体" w:eastAsia="宋体" w:cs="宋体"/>
                <w:szCs w:val="21"/>
                <w:highlight w:val="none"/>
                <w:u w:val="none"/>
                <w:lang w:val="en-US" w:eastAsia="zh-CN"/>
              </w:rPr>
              <w:t>1.实体标本防霉，防变，防腐败，对腐败和霉变及时处理解决，1 小时内响应，一周内解决问题。</w:t>
            </w:r>
          </w:p>
          <w:p w14:paraId="29E4AA8B">
            <w:pPr>
              <w:adjustRightInd w:val="0"/>
              <w:snapToGrid w:val="0"/>
              <w:spacing w:line="288" w:lineRule="auto"/>
              <w:rPr>
                <w:rFonts w:hint="default" w:ascii="宋体" w:hAnsi="宋体" w:eastAsia="宋体" w:cs="宋体"/>
                <w:szCs w:val="21"/>
                <w:highlight w:val="none"/>
                <w:u w:val="single"/>
                <w:lang w:val="en-US" w:eastAsia="zh-CN"/>
              </w:rPr>
            </w:pPr>
            <w:r>
              <w:rPr>
                <w:rFonts w:hint="default" w:ascii="宋体" w:hAnsi="宋体" w:eastAsia="宋体" w:cs="宋体"/>
                <w:szCs w:val="21"/>
                <w:highlight w:val="none"/>
                <w:u w:val="none"/>
                <w:lang w:val="en-US" w:eastAsia="zh-CN"/>
              </w:rPr>
              <w:t>2.服务人员须遵守学校各类规章制度，服从学院管理，服务人员个人事务由</w:t>
            </w:r>
            <w:r>
              <w:rPr>
                <w:rFonts w:hint="eastAsia" w:ascii="宋体" w:hAnsi="宋体" w:eastAsia="宋体" w:cs="宋体"/>
                <w:szCs w:val="21"/>
                <w:highlight w:val="none"/>
                <w:u w:val="none"/>
                <w:lang w:val="en-US" w:eastAsia="zh-CN"/>
              </w:rPr>
              <w:t>投标人</w:t>
            </w:r>
            <w:r>
              <w:rPr>
                <w:rFonts w:hint="default" w:ascii="宋体" w:hAnsi="宋体" w:eastAsia="宋体" w:cs="宋体"/>
                <w:szCs w:val="21"/>
                <w:highlight w:val="none"/>
                <w:u w:val="none"/>
                <w:lang w:val="en-US" w:eastAsia="zh-CN"/>
              </w:rPr>
              <w:t>负责。</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79678C6C">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1.验收由采购人负责实施；</w:t>
            </w:r>
          </w:p>
          <w:p w14:paraId="63AC743B">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2.验收依据：</w:t>
            </w:r>
          </w:p>
          <w:p w14:paraId="2F55B45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2.1合同、招标文件、投标文件；</w:t>
            </w:r>
          </w:p>
          <w:p w14:paraId="0F39F0C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2.2供应商提供的技术规格、经采购人认可的合同货物的有效检验文件；</w:t>
            </w:r>
          </w:p>
          <w:p w14:paraId="5091724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2.3供应商投标文件中提供的经采购人认可的合同货物的验收标准（符合中国有关的国家、地方、行业标准）和检测办法及相应检测手段。</w:t>
            </w:r>
          </w:p>
          <w:p w14:paraId="010051BC">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7CEDB9B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4.验收合格的条件：</w:t>
            </w:r>
          </w:p>
          <w:p w14:paraId="55E2722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4.1所供货物符合产品标准和及合同的要求；</w:t>
            </w:r>
          </w:p>
          <w:p w14:paraId="071737BA">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4.2在进行测试和验收过程中发现的问题已被解决并得到采购人的认可；</w:t>
            </w:r>
          </w:p>
          <w:p w14:paraId="608A87C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4.3合同中规定的所有货物和材料均已交付；</w:t>
            </w:r>
          </w:p>
          <w:p w14:paraId="224E1CE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（配套服务、增值服务、维保服务等）</w:t>
            </w:r>
          </w:p>
          <w:p w14:paraId="167B78D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4.4所供货物已通过使用单位组织的验收；</w:t>
            </w:r>
          </w:p>
          <w:p w14:paraId="4239C71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4.5所有相关的技术文件及资料均已提交并得到接受</w:t>
            </w:r>
          </w:p>
        </w:tc>
      </w:tr>
    </w:tbl>
    <w:p w14:paraId="162F4628">
      <w:pPr>
        <w:adjustRightInd w:val="0"/>
        <w:snapToGrid w:val="0"/>
        <w:spacing w:line="288" w:lineRule="auto"/>
        <w:rPr>
          <w:rFonts w:ascii="宋体" w:hAnsi="宋体" w:eastAsia="宋体" w:cs="Times New Roman"/>
          <w:b/>
          <w:szCs w:val="21"/>
        </w:rPr>
      </w:pPr>
    </w:p>
    <w:p w14:paraId="74CDE17C">
      <w:pPr>
        <w:adjustRightInd w:val="0"/>
        <w:snapToGrid w:val="0"/>
        <w:spacing w:line="288" w:lineRule="auto"/>
        <w:outlineLvl w:val="1"/>
        <w:rPr>
          <w:rFonts w:hint="eastAsia" w:ascii="宋体" w:hAnsi="宋体" w:eastAsia="宋体" w:cs="Times New Roman"/>
          <w:b/>
          <w:szCs w:val="21"/>
          <w:lang w:eastAsia="zh-CN"/>
        </w:rPr>
      </w:pPr>
      <w:r>
        <w:rPr>
          <w:rFonts w:hint="eastAsia" w:ascii="宋体" w:hAnsi="宋体" w:eastAsia="宋体" w:cs="Times New Roman"/>
          <w:b/>
          <w:szCs w:val="21"/>
        </w:rPr>
        <w:t>四、</w:t>
      </w:r>
      <w:r>
        <w:rPr>
          <w:rFonts w:hint="eastAsia" w:ascii="宋体" w:hAnsi="宋体" w:eastAsia="宋体" w:cs="Times New Roman"/>
          <w:b/>
          <w:szCs w:val="21"/>
          <w:lang w:val="en-US" w:eastAsia="zh-CN"/>
        </w:rPr>
        <w:t>服务内容</w:t>
      </w:r>
    </w:p>
    <w:p w14:paraId="08DB95CF">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rPr>
        <w:t>1.遗体捐献接收服务</w:t>
      </w:r>
    </w:p>
    <w:p w14:paraId="5FC5EC6B">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lang w:val="en-US" w:eastAsia="zh-CN"/>
        </w:rPr>
        <w:t>1.1</w:t>
      </w:r>
      <w:r>
        <w:rPr>
          <w:rFonts w:hint="eastAsia" w:ascii="宋体" w:hAnsi="宋体" w:eastAsia="宋体" w:cs="宋体"/>
          <w:b/>
          <w:color w:val="000000"/>
          <w:sz w:val="21"/>
        </w:rPr>
        <w:t>接送车辆及人员：</w:t>
      </w:r>
      <w:r>
        <w:rPr>
          <w:rFonts w:hint="eastAsia" w:ascii="宋体" w:hAnsi="宋体" w:eastAsia="宋体" w:cs="宋体"/>
          <w:color w:val="000000"/>
          <w:sz w:val="21"/>
        </w:rPr>
        <w:t>配备1辆专业遗体接收车辆（含交强险和商业险、日常车辆维护费用，不含油费和过路费）具备运输资质，确保运输顺畅；配备解剖专业技术工作经验专职人员1名：辅助学校遗体接收捐献工作，扩大遗体捐献宣传和民间捐献组织沟通协调。</w:t>
      </w:r>
    </w:p>
    <w:p w14:paraId="5AEDAA90">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ascii="宋体" w:hAnsi="宋体" w:eastAsia="宋体" w:cs="宋体"/>
          <w:color w:val="000000"/>
          <w:sz w:val="21"/>
        </w:rPr>
      </w:pPr>
      <w:r>
        <w:rPr>
          <w:rFonts w:hint="eastAsia" w:ascii="宋体" w:hAnsi="宋体" w:eastAsia="宋体" w:cs="宋体"/>
          <w:b/>
          <w:color w:val="000000"/>
          <w:sz w:val="21"/>
          <w:lang w:val="en-US" w:eastAsia="zh-CN"/>
        </w:rPr>
        <w:t>1.2</w:t>
      </w:r>
      <w:r>
        <w:rPr>
          <w:rFonts w:hint="eastAsia" w:ascii="宋体" w:hAnsi="宋体" w:eastAsia="宋体" w:cs="宋体"/>
          <w:b/>
          <w:color w:val="000000"/>
          <w:sz w:val="21"/>
        </w:rPr>
        <w:t>技术服务</w:t>
      </w:r>
      <w:r>
        <w:rPr>
          <w:rFonts w:hint="eastAsia" w:ascii="宋体" w:hAnsi="宋体" w:eastAsia="宋体" w:cs="宋体"/>
          <w:color w:val="000000"/>
          <w:sz w:val="21"/>
        </w:rPr>
        <w:t>：</w:t>
      </w:r>
      <w:r>
        <w:rPr>
          <w:rFonts w:hint="default" w:ascii="微软雅黑" w:hAnsi="微软雅黑" w:eastAsia="微软雅黑" w:cs="微软雅黑"/>
          <w:color w:val="000000"/>
          <w:sz w:val="21"/>
        </w:rPr>
        <w:t>①</w:t>
      </w:r>
      <w:r>
        <w:rPr>
          <w:rFonts w:ascii="宋体" w:hAnsi="宋体" w:eastAsia="宋体" w:cs="宋体"/>
          <w:color w:val="000000"/>
          <w:sz w:val="21"/>
        </w:rPr>
        <w:t>对捐献接收的大体材料精细防腐需达到第二版《人体解剖技术》要求的方式方法进行灌注防腐固定（包含防腐剂），确保达标率100％；</w:t>
      </w:r>
      <w:r>
        <w:rPr>
          <w:rFonts w:hint="default" w:ascii="微软雅黑" w:hAnsi="微软雅黑" w:eastAsia="微软雅黑" w:cs="微软雅黑"/>
          <w:color w:val="000000"/>
          <w:sz w:val="21"/>
        </w:rPr>
        <w:t>②</w:t>
      </w:r>
      <w:r>
        <w:rPr>
          <w:rFonts w:ascii="宋体" w:hAnsi="宋体" w:eastAsia="宋体" w:cs="宋体"/>
          <w:color w:val="000000"/>
          <w:sz w:val="21"/>
        </w:rPr>
        <w:t>承担使用后的材料处理，包括实体回收灌装标本制作及3D数字化转换、遗体转运、初步处理及火化前准备（火化费另计）。</w:t>
      </w:r>
      <w:r>
        <w:rPr>
          <w:rFonts w:hint="default" w:ascii="微软雅黑" w:hAnsi="微软雅黑" w:eastAsia="微软雅黑" w:cs="微软雅黑"/>
          <w:color w:val="000000"/>
          <w:sz w:val="21"/>
        </w:rPr>
        <w:t>③</w:t>
      </w:r>
      <w:r>
        <w:rPr>
          <w:rFonts w:ascii="宋体" w:hAnsi="宋体" w:eastAsia="宋体" w:cs="宋体"/>
          <w:color w:val="000000"/>
          <w:sz w:val="21"/>
        </w:rPr>
        <w:t>除外出接收遗体外，驻点解剖实验室开展服务，工作日内协助实验技术人员和实验教师开展解剖学课程的实验材料准备辅助工作，包括定期维护教学标本（换液、保养、整理等）和人体科学馆标本、设备以及解剖课程前后服务等，具体参照采购人教学规范要求，确保解剖学实验教学的顺利进行；</w:t>
      </w:r>
      <w:r>
        <w:rPr>
          <w:rFonts w:hint="eastAsia" w:ascii="微软雅黑" w:hAnsi="微软雅黑" w:eastAsia="微软雅黑" w:cs="微软雅黑"/>
          <w:color w:val="000000"/>
          <w:sz w:val="21"/>
        </w:rPr>
        <w:t>④</w:t>
      </w:r>
      <w:r>
        <w:rPr>
          <w:rFonts w:ascii="宋体" w:hAnsi="宋体" w:eastAsia="宋体" w:cs="宋体"/>
          <w:color w:val="000000"/>
          <w:sz w:val="21"/>
        </w:rPr>
        <w:t>每季度开展服务满意度测评（见表1 需达到90分以上），连续3个季度低于85分采购人有权终止合同。</w:t>
      </w:r>
    </w:p>
    <w:p w14:paraId="79AD4379">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lang w:val="en-US" w:eastAsia="zh-CN"/>
        </w:rPr>
        <w:t>1.3</w:t>
      </w:r>
      <w:r>
        <w:rPr>
          <w:rFonts w:hint="eastAsia" w:ascii="宋体" w:hAnsi="宋体" w:eastAsia="宋体" w:cs="宋体"/>
          <w:b/>
          <w:color w:val="000000"/>
          <w:sz w:val="21"/>
        </w:rPr>
        <w:t>服务时间：</w:t>
      </w:r>
      <w:r>
        <w:rPr>
          <w:rFonts w:hint="eastAsia" w:ascii="宋体" w:hAnsi="宋体" w:eastAsia="宋体" w:cs="宋体"/>
          <w:color w:val="000000"/>
          <w:sz w:val="21"/>
        </w:rPr>
        <w:t>服务期三年，提供365天×24小时遗体接收应急响应（含法定节假日），接到通知后1小时内出车；派遣有经验的工作人员常驻校内指定办公点。</w:t>
      </w:r>
    </w:p>
    <w:p w14:paraId="66260441">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rPr>
        <w:t>2.解剖教学遗体保存处理技术培训服务</w:t>
      </w:r>
    </w:p>
    <w:p w14:paraId="3DBBC36A">
      <w:pPr>
        <w:keepNext w:val="0"/>
        <w:keepLines w:val="0"/>
        <w:pageBreakBefore w:val="0"/>
        <w:widowControl w:val="0"/>
        <w:kinsoku/>
        <w:wordWrap w:val="0"/>
        <w:overflowPunct/>
        <w:topLinePunct w:val="0"/>
        <w:autoSpaceDE/>
        <w:autoSpaceDN/>
        <w:bidi w:val="0"/>
        <w:spacing w:line="288" w:lineRule="auto"/>
        <w:ind w:firstLine="420" w:firstLineChars="200"/>
        <w:jc w:val="left"/>
        <w:textAlignment w:val="auto"/>
        <w:rPr>
          <w:rFonts w:hint="eastAsia" w:ascii="宋体" w:hAnsi="宋体" w:eastAsia="宋体" w:cs="宋体"/>
        </w:rPr>
      </w:pPr>
      <w:r>
        <w:rPr>
          <w:rFonts w:hint="eastAsia" w:ascii="宋体" w:hAnsi="宋体" w:eastAsia="宋体" w:cs="宋体"/>
          <w:color w:val="000000"/>
          <w:sz w:val="21"/>
        </w:rPr>
        <w:t>提供虚拟人体防腐操作系统（仿真动画演示），内容涵盖 防腐工具使用、防腐条件控制、防腐处理流程、防腐固定技术、材料保存及安全规范等多项内容，并配备解说配音及文字字幕。外派人员具备防腐专业技术，每年开展培训次数不低于2次。</w:t>
      </w:r>
    </w:p>
    <w:p w14:paraId="35C42110">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rPr>
        <w:t>3.遗体接收站缅怀园技术实施服务</w:t>
      </w:r>
    </w:p>
    <w:p w14:paraId="65798D59">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lang w:val="en-US" w:eastAsia="zh-CN"/>
        </w:rPr>
        <w:t>3.1</w:t>
      </w:r>
      <w:r>
        <w:rPr>
          <w:rFonts w:hint="eastAsia" w:ascii="宋体" w:hAnsi="宋体" w:eastAsia="宋体" w:cs="宋体"/>
          <w:b/>
          <w:color w:val="000000"/>
          <w:sz w:val="21"/>
        </w:rPr>
        <w:t>缅怀园工艺实施服务</w:t>
      </w:r>
      <w:r>
        <w:rPr>
          <w:rFonts w:hint="eastAsia" w:ascii="宋体" w:hAnsi="宋体" w:eastAsia="宋体" w:cs="宋体"/>
          <w:color w:val="000000"/>
          <w:sz w:val="21"/>
        </w:rPr>
        <w:t>：</w:t>
      </w:r>
      <w:r>
        <w:rPr>
          <w:rFonts w:ascii="宋体" w:hAnsi="宋体" w:eastAsia="宋体" w:cs="宋体"/>
          <w:color w:val="000000"/>
          <w:sz w:val="21"/>
        </w:rPr>
        <w:t>含主纪念载体（规格2500×2500×400mm）及辅纪念载体3组（规格2500×1600×400mm），工艺要求采用深浮雕工艺结合阴刻工艺（深度≥3cm），雕刻“无言良师”主题图案及医学生誓言，文字部分做防腐蚀抗氧化处理，确保15年以上使用寿命。</w:t>
      </w:r>
    </w:p>
    <w:p w14:paraId="3E7C9419">
      <w:pPr>
        <w:keepNext w:val="0"/>
        <w:keepLines w:val="0"/>
        <w:pageBreakBefore w:val="0"/>
        <w:widowControl w:val="0"/>
        <w:kinsoku/>
        <w:wordWrap w:val="0"/>
        <w:overflowPunct/>
        <w:topLinePunct w:val="0"/>
        <w:autoSpaceDE/>
        <w:autoSpaceDN/>
        <w:bidi w:val="0"/>
        <w:spacing w:line="288" w:lineRule="auto"/>
        <w:ind w:firstLine="422" w:firstLineChars="200"/>
        <w:jc w:val="left"/>
        <w:textAlignment w:val="auto"/>
        <w:rPr>
          <w:rFonts w:hint="eastAsia" w:ascii="宋体" w:hAnsi="宋体" w:eastAsia="宋体" w:cs="宋体"/>
        </w:rPr>
      </w:pPr>
      <w:r>
        <w:rPr>
          <w:rFonts w:hint="eastAsia" w:ascii="宋体" w:hAnsi="宋体" w:eastAsia="宋体" w:cs="宋体"/>
          <w:b/>
          <w:color w:val="000000"/>
          <w:sz w:val="21"/>
          <w:lang w:val="en-US" w:eastAsia="zh-CN"/>
        </w:rPr>
        <w:t>3.2</w:t>
      </w:r>
      <w:r>
        <w:rPr>
          <w:rFonts w:hint="eastAsia" w:ascii="宋体" w:hAnsi="宋体" w:eastAsia="宋体" w:cs="宋体"/>
          <w:b/>
          <w:color w:val="000000"/>
          <w:sz w:val="21"/>
        </w:rPr>
        <w:t>缅怀园周边文化建设</w:t>
      </w:r>
      <w:r>
        <w:rPr>
          <w:rFonts w:hint="eastAsia" w:ascii="宋体" w:hAnsi="宋体" w:eastAsia="宋体" w:cs="宋体"/>
          <w:color w:val="000000"/>
          <w:sz w:val="21"/>
        </w:rPr>
        <w:t>：铺设花岗岩步道（不低于10×1.5米），绿化面积不低于200平方米。</w:t>
      </w:r>
    </w:p>
    <w:p w14:paraId="43210050">
      <w:pPr>
        <w:keepNext w:val="0"/>
        <w:keepLines w:val="0"/>
        <w:pageBreakBefore w:val="0"/>
        <w:widowControl w:val="0"/>
        <w:kinsoku/>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color w:val="000000"/>
          <w:sz w:val="21"/>
        </w:rPr>
      </w:pPr>
      <w:r>
        <w:rPr>
          <w:rFonts w:hint="eastAsia" w:ascii="宋体" w:hAnsi="宋体" w:eastAsia="宋体" w:cs="宋体"/>
          <w:b/>
          <w:color w:val="000000"/>
          <w:sz w:val="21"/>
          <w:lang w:val="en-US" w:eastAsia="zh-CN"/>
        </w:rPr>
        <w:t>3.3</w:t>
      </w:r>
      <w:r>
        <w:rPr>
          <w:rFonts w:hint="eastAsia" w:ascii="宋体" w:hAnsi="宋体" w:eastAsia="宋体" w:cs="宋体"/>
          <w:b/>
          <w:color w:val="000000"/>
          <w:sz w:val="21"/>
        </w:rPr>
        <w:t>雕刻工艺服务</w:t>
      </w:r>
      <w:r>
        <w:rPr>
          <w:rFonts w:hint="eastAsia" w:ascii="宋体" w:hAnsi="宋体" w:eastAsia="宋体" w:cs="宋体"/>
          <w:color w:val="000000"/>
          <w:sz w:val="21"/>
        </w:rPr>
        <w:t>：每年清明节前7日完成新增捐献者姓名雕刻服务。所有材料及加工由</w:t>
      </w:r>
      <w:r>
        <w:rPr>
          <w:rFonts w:hint="eastAsia" w:ascii="宋体" w:hAnsi="宋体" w:eastAsia="宋体" w:cs="宋体"/>
          <w:color w:val="000000"/>
          <w:sz w:val="21"/>
          <w:lang w:val="en-US" w:eastAsia="zh-CN"/>
        </w:rPr>
        <w:t>投标人</w:t>
      </w:r>
      <w:r>
        <w:rPr>
          <w:rFonts w:hint="eastAsia" w:ascii="宋体" w:hAnsi="宋体" w:eastAsia="宋体" w:cs="宋体"/>
          <w:color w:val="000000"/>
          <w:sz w:val="21"/>
        </w:rPr>
        <w:t>自主完成，需提供正规检测报告，</w:t>
      </w:r>
      <w:r>
        <w:rPr>
          <w:rFonts w:hint="eastAsia" w:ascii="宋体" w:hAnsi="宋体" w:eastAsia="宋体" w:cs="宋体"/>
          <w:color w:val="000000"/>
          <w:sz w:val="21"/>
          <w:lang w:val="en-US" w:eastAsia="zh-CN"/>
        </w:rPr>
        <w:t>采购人</w:t>
      </w:r>
      <w:r>
        <w:rPr>
          <w:rFonts w:hint="eastAsia" w:ascii="宋体" w:hAnsi="宋体" w:eastAsia="宋体" w:cs="宋体"/>
          <w:color w:val="000000"/>
          <w:sz w:val="21"/>
        </w:rPr>
        <w:t>不涉及具体材料供给。切合主题，渲染文化园氛围。</w:t>
      </w:r>
    </w:p>
    <w:p w14:paraId="0BF737E7">
      <w:pPr>
        <w:keepNext w:val="0"/>
        <w:keepLines w:val="0"/>
        <w:pageBreakBefore w:val="0"/>
        <w:widowControl w:val="0"/>
        <w:kinsoku/>
        <w:overflowPunct/>
        <w:topLinePunct w:val="0"/>
        <w:autoSpaceDE/>
        <w:autoSpaceDN/>
        <w:bidi w:val="0"/>
        <w:adjustRightInd w:val="0"/>
        <w:snapToGrid w:val="0"/>
        <w:spacing w:line="288" w:lineRule="auto"/>
        <w:textAlignment w:val="auto"/>
        <w:rPr>
          <w:rFonts w:hint="eastAsia" w:ascii="宋体" w:hAnsi="宋体" w:eastAsia="宋体" w:cs="宋体"/>
          <w:color w:val="000000"/>
          <w:sz w:val="21"/>
          <w:lang w:eastAsia="zh-CN"/>
        </w:rPr>
      </w:pPr>
    </w:p>
    <w:p w14:paraId="1E915649">
      <w:pPr>
        <w:keepNext w:val="0"/>
        <w:keepLines w:val="0"/>
        <w:pageBreakBefore w:val="0"/>
        <w:widowControl w:val="0"/>
        <w:kinsoku/>
        <w:overflowPunct/>
        <w:topLinePunct w:val="0"/>
        <w:autoSpaceDE/>
        <w:autoSpaceDN/>
        <w:bidi w:val="0"/>
        <w:adjustRightInd w:val="0"/>
        <w:snapToGrid w:val="0"/>
        <w:spacing w:line="288" w:lineRule="auto"/>
        <w:textAlignment w:val="auto"/>
        <w:rPr>
          <w:rFonts w:hint="default" w:ascii="宋体" w:hAnsi="宋体" w:eastAsia="宋体" w:cs="宋体"/>
          <w:color w:val="000000"/>
          <w:sz w:val="21"/>
          <w:lang w:val="en-US" w:eastAsia="zh-CN"/>
        </w:rPr>
      </w:pPr>
      <w:r>
        <w:rPr>
          <w:rFonts w:hint="eastAsia" w:ascii="宋体" w:hAnsi="宋体" w:eastAsia="宋体" w:cs="宋体"/>
          <w:color w:val="000000"/>
          <w:sz w:val="21"/>
          <w:lang w:eastAsia="zh-CN"/>
        </w:rPr>
        <w:t>杭州医学院解剖实验教学技术</w:t>
      </w:r>
      <w:r>
        <w:rPr>
          <w:rFonts w:hint="eastAsia" w:ascii="宋体" w:hAnsi="宋体" w:eastAsia="宋体" w:cs="宋体"/>
          <w:color w:val="000000"/>
          <w:sz w:val="21"/>
        </w:rPr>
        <w:t>服务满意度测评</w:t>
      </w:r>
      <w:r>
        <w:rPr>
          <w:rFonts w:hint="eastAsia" w:ascii="宋体" w:hAnsi="宋体" w:eastAsia="宋体" w:cs="宋体"/>
          <w:color w:val="000000"/>
          <w:sz w:val="21"/>
          <w:lang w:val="en-US" w:eastAsia="zh-CN"/>
        </w:rPr>
        <w:t>标准如下：</w:t>
      </w:r>
    </w:p>
    <w:p w14:paraId="31D01F2E">
      <w:pPr>
        <w:wordWrap w:val="0"/>
        <w:spacing w:line="431" w:lineRule="exact"/>
        <w:jc w:val="center"/>
        <w:rPr>
          <w:rFonts w:hint="eastAsia" w:ascii="宋体" w:hAnsi="宋体" w:eastAsia="宋体" w:cs="宋体"/>
          <w:b/>
          <w:bCs/>
          <w:sz w:val="21"/>
          <w:szCs w:val="21"/>
        </w:rPr>
      </w:pPr>
      <w:r>
        <w:rPr>
          <w:rFonts w:hint="eastAsia" w:ascii="宋体" w:hAnsi="宋体" w:eastAsia="宋体" w:cs="宋体"/>
          <w:b/>
          <w:bCs/>
          <w:color w:val="000000"/>
          <w:sz w:val="21"/>
          <w:szCs w:val="21"/>
        </w:rPr>
        <w:t>表1 杭州医学院解剖实验室技术服务满意度测评</w:t>
      </w:r>
    </w:p>
    <w:p w14:paraId="35996E8B">
      <w:pPr>
        <w:wordWrap w:val="0"/>
        <w:spacing w:line="378" w:lineRule="exact"/>
        <w:ind w:firstLineChars="100"/>
        <w:jc w:val="center"/>
        <w:rPr>
          <w:rFonts w:hint="eastAsia" w:ascii="宋体" w:hAnsi="宋体" w:eastAsia="宋体" w:cs="宋体"/>
          <w:sz w:val="21"/>
          <w:szCs w:val="21"/>
        </w:rPr>
      </w:pPr>
    </w:p>
    <w:tbl>
      <w:tblPr>
        <w:tblStyle w:val="23"/>
        <w:tblW w:w="9585" w:type="dxa"/>
        <w:jc w:val="center"/>
        <w:tblBorders>
          <w:top w:val="none" w:color="auto" w:sz="0" w:space="0"/>
          <w:left w:val="none" w:color="auto" w:sz="0" w:space="0"/>
          <w:bottom w:val="none" w:color="auto" w:sz="0" w:space="0"/>
          <w:right w:val="non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2088"/>
        <w:gridCol w:w="6024"/>
        <w:gridCol w:w="1473"/>
      </w:tblGrid>
      <w:tr w14:paraId="3DD43490">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single" w:color="000000" w:sz="6" w:space="0"/>
              <w:left w:val="single" w:color="000000" w:sz="6" w:space="0"/>
              <w:bottom w:val="single" w:color="000000" w:sz="6" w:space="0"/>
              <w:right w:val="single" w:color="000000" w:sz="6" w:space="0"/>
            </w:tcBorders>
            <w:vAlign w:val="center"/>
          </w:tcPr>
          <w:p w14:paraId="7B08B8B6">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评分项目</w:t>
            </w:r>
          </w:p>
        </w:tc>
        <w:tc>
          <w:tcPr>
            <w:tcW w:w="6015" w:type="dxa"/>
            <w:tcBorders>
              <w:top w:val="single" w:color="000000" w:sz="6" w:space="0"/>
              <w:left w:val="nil"/>
              <w:bottom w:val="single" w:color="000000" w:sz="6" w:space="0"/>
              <w:right w:val="single" w:color="000000" w:sz="6" w:space="0"/>
            </w:tcBorders>
            <w:vAlign w:val="center"/>
          </w:tcPr>
          <w:p w14:paraId="6A92DCEA">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扣分情形</w:t>
            </w:r>
          </w:p>
        </w:tc>
        <w:tc>
          <w:tcPr>
            <w:tcW w:w="1470" w:type="dxa"/>
            <w:tcBorders>
              <w:top w:val="single" w:color="000000" w:sz="6" w:space="0"/>
              <w:left w:val="nil"/>
              <w:bottom w:val="single" w:color="000000" w:sz="6" w:space="0"/>
              <w:right w:val="single" w:color="000000" w:sz="6" w:space="0"/>
            </w:tcBorders>
            <w:vAlign w:val="center"/>
          </w:tcPr>
          <w:p w14:paraId="4ECC4620">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分值（/次）</w:t>
            </w:r>
          </w:p>
        </w:tc>
      </w:tr>
      <w:tr w14:paraId="4F0C2797">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nil"/>
              <w:left w:val="single" w:color="000000" w:sz="6" w:space="0"/>
              <w:bottom w:val="single" w:color="000000" w:sz="6" w:space="0"/>
              <w:right w:val="single" w:color="000000" w:sz="6" w:space="0"/>
            </w:tcBorders>
            <w:vAlign w:val="center"/>
          </w:tcPr>
          <w:p w14:paraId="7859FBF8">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遗体接收</w:t>
            </w:r>
          </w:p>
        </w:tc>
        <w:tc>
          <w:tcPr>
            <w:tcW w:w="6015" w:type="dxa"/>
            <w:tcBorders>
              <w:top w:val="nil"/>
              <w:left w:val="nil"/>
              <w:bottom w:val="single" w:color="000000" w:sz="6" w:space="0"/>
              <w:right w:val="single" w:color="000000" w:sz="6" w:space="0"/>
            </w:tcBorders>
            <w:vAlign w:val="center"/>
          </w:tcPr>
          <w:p w14:paraId="77BBE118">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不能提供全天24小时遗体接收应急响应，车辆状况不佳影响遗体接收工作，接收人员态度或处事方法影响遗体捐赠工作进展。</w:t>
            </w:r>
          </w:p>
        </w:tc>
        <w:tc>
          <w:tcPr>
            <w:tcW w:w="1470" w:type="dxa"/>
            <w:tcBorders>
              <w:top w:val="nil"/>
              <w:left w:val="nil"/>
              <w:bottom w:val="single" w:color="000000" w:sz="6" w:space="0"/>
              <w:right w:val="single" w:color="000000" w:sz="6" w:space="0"/>
            </w:tcBorders>
            <w:vAlign w:val="center"/>
          </w:tcPr>
          <w:p w14:paraId="1672DB7A">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50</w:t>
            </w:r>
          </w:p>
        </w:tc>
      </w:tr>
      <w:tr w14:paraId="0B84E20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nil"/>
              <w:left w:val="single" w:color="000000" w:sz="6" w:space="0"/>
              <w:bottom w:val="single" w:color="000000" w:sz="6" w:space="0"/>
              <w:right w:val="single" w:color="000000" w:sz="6" w:space="0"/>
            </w:tcBorders>
            <w:vAlign w:val="center"/>
          </w:tcPr>
          <w:p w14:paraId="19480CE4">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人员服务时效</w:t>
            </w:r>
          </w:p>
        </w:tc>
        <w:tc>
          <w:tcPr>
            <w:tcW w:w="6015" w:type="dxa"/>
            <w:tcBorders>
              <w:top w:val="nil"/>
              <w:left w:val="nil"/>
              <w:bottom w:val="single" w:color="000000" w:sz="6" w:space="0"/>
              <w:right w:val="single" w:color="000000" w:sz="6" w:space="0"/>
            </w:tcBorders>
            <w:vAlign w:val="center"/>
          </w:tcPr>
          <w:p w14:paraId="1296AF35">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人员不能按教学需求到岗，在有效时间内未能完成既定教学准备及课后任务。</w:t>
            </w:r>
          </w:p>
        </w:tc>
        <w:tc>
          <w:tcPr>
            <w:tcW w:w="1470" w:type="dxa"/>
            <w:tcBorders>
              <w:top w:val="nil"/>
              <w:left w:val="nil"/>
              <w:bottom w:val="single" w:color="000000" w:sz="6" w:space="0"/>
              <w:right w:val="single" w:color="000000" w:sz="6" w:space="0"/>
            </w:tcBorders>
            <w:vAlign w:val="center"/>
          </w:tcPr>
          <w:p w14:paraId="0C29AB01">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20</w:t>
            </w:r>
          </w:p>
        </w:tc>
      </w:tr>
      <w:tr w14:paraId="3CB0ED96">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nil"/>
              <w:left w:val="single" w:color="000000" w:sz="6" w:space="0"/>
              <w:bottom w:val="single" w:color="000000" w:sz="6" w:space="0"/>
              <w:right w:val="single" w:color="000000" w:sz="6" w:space="0"/>
            </w:tcBorders>
            <w:vAlign w:val="center"/>
          </w:tcPr>
          <w:p w14:paraId="275EECDF">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实验操作</w:t>
            </w:r>
          </w:p>
        </w:tc>
        <w:tc>
          <w:tcPr>
            <w:tcW w:w="6015" w:type="dxa"/>
            <w:tcBorders>
              <w:top w:val="nil"/>
              <w:left w:val="nil"/>
              <w:bottom w:val="single" w:color="000000" w:sz="6" w:space="0"/>
              <w:right w:val="single" w:color="000000" w:sz="6" w:space="0"/>
            </w:tcBorders>
            <w:vAlign w:val="center"/>
          </w:tcPr>
          <w:p w14:paraId="643F5FB0">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灌注技术不达标，制作标本不达标，有腐烂现象或，影响正常教学；未按实验中心要求内容进行协助实验操作。‌未经许可，擅自搬动实验器材和示教物品及操作与本次实验无关的实验，干扰影响学生或教师教学实验。‌</w:t>
            </w:r>
          </w:p>
        </w:tc>
        <w:tc>
          <w:tcPr>
            <w:tcW w:w="1470" w:type="dxa"/>
            <w:tcBorders>
              <w:top w:val="nil"/>
              <w:left w:val="nil"/>
              <w:bottom w:val="single" w:color="000000" w:sz="6" w:space="0"/>
              <w:right w:val="single" w:color="000000" w:sz="6" w:space="0"/>
            </w:tcBorders>
            <w:vAlign w:val="center"/>
          </w:tcPr>
          <w:p w14:paraId="3692ACC8">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10</w:t>
            </w:r>
          </w:p>
        </w:tc>
      </w:tr>
      <w:tr w14:paraId="70735938">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nil"/>
              <w:left w:val="single" w:color="000000" w:sz="6" w:space="0"/>
              <w:bottom w:val="single" w:color="000000" w:sz="6" w:space="0"/>
              <w:right w:val="single" w:color="000000" w:sz="6" w:space="0"/>
            </w:tcBorders>
            <w:vAlign w:val="center"/>
          </w:tcPr>
          <w:p w14:paraId="524D421D">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实验秩序</w:t>
            </w:r>
          </w:p>
        </w:tc>
        <w:tc>
          <w:tcPr>
            <w:tcW w:w="6015" w:type="dxa"/>
            <w:tcBorders>
              <w:top w:val="nil"/>
              <w:left w:val="nil"/>
              <w:bottom w:val="single" w:color="000000" w:sz="6" w:space="0"/>
              <w:right w:val="single" w:color="000000" w:sz="6" w:space="0"/>
            </w:tcBorders>
            <w:vAlign w:val="center"/>
          </w:tcPr>
          <w:p w14:paraId="38A3E4B2">
            <w:pPr>
              <w:wordWrap w:val="0"/>
              <w:spacing w:line="378" w:lineRule="exact"/>
              <w:jc w:val="left"/>
              <w:rPr>
                <w:rFonts w:hint="eastAsia" w:ascii="宋体" w:hAnsi="宋体" w:eastAsia="宋体" w:cs="宋体"/>
                <w:sz w:val="21"/>
                <w:szCs w:val="21"/>
              </w:rPr>
            </w:pPr>
            <w:r>
              <w:rPr>
                <w:rFonts w:hint="eastAsia" w:ascii="宋体" w:hAnsi="宋体" w:eastAsia="宋体" w:cs="宋体"/>
                <w:color w:val="000000"/>
                <w:sz w:val="21"/>
                <w:szCs w:val="21"/>
              </w:rPr>
              <w:t>服务人员不遵守学校、学院、实验室各类规章制度，不注重自我言行如着装不齐，未穿工作服，室内饮食、抽烟等，实验操作完毕后，未对仪器设备、耗材、标本整清理到位。‌</w:t>
            </w:r>
          </w:p>
        </w:tc>
        <w:tc>
          <w:tcPr>
            <w:tcW w:w="1470" w:type="dxa"/>
            <w:tcBorders>
              <w:top w:val="nil"/>
              <w:left w:val="nil"/>
              <w:bottom w:val="single" w:color="000000" w:sz="6" w:space="0"/>
              <w:right w:val="single" w:color="000000" w:sz="6" w:space="0"/>
            </w:tcBorders>
            <w:vAlign w:val="center"/>
          </w:tcPr>
          <w:p w14:paraId="38D797BA">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10</w:t>
            </w:r>
          </w:p>
        </w:tc>
      </w:tr>
      <w:tr w14:paraId="0B807239">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nil"/>
              <w:left w:val="single" w:color="000000" w:sz="6" w:space="0"/>
              <w:bottom w:val="single" w:color="000000" w:sz="6" w:space="0"/>
              <w:right w:val="single" w:color="000000" w:sz="6" w:space="0"/>
            </w:tcBorders>
            <w:vAlign w:val="center"/>
          </w:tcPr>
          <w:p w14:paraId="657D82E6">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损坏设备、耗材</w:t>
            </w:r>
          </w:p>
        </w:tc>
        <w:tc>
          <w:tcPr>
            <w:tcW w:w="6015" w:type="dxa"/>
            <w:tcBorders>
              <w:top w:val="nil"/>
              <w:left w:val="nil"/>
              <w:bottom w:val="single" w:color="000000" w:sz="6" w:space="0"/>
              <w:right w:val="single" w:color="000000" w:sz="6" w:space="0"/>
            </w:tcBorders>
            <w:vAlign w:val="center"/>
          </w:tcPr>
          <w:p w14:paraId="24BED82D">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发生损坏实验室内的仪器设备、耗材、标本等未经许可，将实验室内任何物品带出实验室。‌</w:t>
            </w:r>
          </w:p>
        </w:tc>
        <w:tc>
          <w:tcPr>
            <w:tcW w:w="1470" w:type="dxa"/>
            <w:tcBorders>
              <w:top w:val="nil"/>
              <w:left w:val="nil"/>
              <w:bottom w:val="single" w:color="000000" w:sz="6" w:space="0"/>
              <w:right w:val="single" w:color="000000" w:sz="6" w:space="0"/>
            </w:tcBorders>
            <w:vAlign w:val="center"/>
          </w:tcPr>
          <w:p w14:paraId="5A84DCFD">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10</w:t>
            </w:r>
          </w:p>
        </w:tc>
      </w:tr>
      <w:tr w14:paraId="3618BB2A">
        <w:tblPrEx>
          <w:tblBorders>
            <w:top w:val="none" w:color="auto" w:sz="0" w:space="0"/>
            <w:left w:val="none" w:color="auto" w:sz="0" w:space="0"/>
            <w:bottom w:val="none" w:color="auto" w:sz="0" w:space="0"/>
            <w:right w:val="none" w:color="auto" w:sz="0" w:space="0"/>
            <w:insideH w:val="single" w:color="auto" w:sz="0" w:space="0"/>
            <w:insideV w:val="single" w:color="auto" w:sz="0" w:space="0"/>
          </w:tblBorders>
          <w:tblCellMar>
            <w:top w:w="0" w:type="dxa"/>
            <w:left w:w="10" w:type="dxa"/>
            <w:bottom w:w="0" w:type="dxa"/>
            <w:right w:w="10" w:type="dxa"/>
          </w:tblCellMar>
        </w:tblPrEx>
        <w:trPr>
          <w:trHeight w:val="300" w:hRule="atLeast"/>
          <w:jc w:val="center"/>
        </w:trPr>
        <w:tc>
          <w:tcPr>
            <w:tcW w:w="2085" w:type="dxa"/>
            <w:tcBorders>
              <w:top w:val="nil"/>
              <w:left w:val="single" w:color="000000" w:sz="6" w:space="0"/>
              <w:bottom w:val="single" w:color="000000" w:sz="6" w:space="0"/>
              <w:right w:val="single" w:color="000000" w:sz="6" w:space="0"/>
            </w:tcBorders>
            <w:vAlign w:val="center"/>
          </w:tcPr>
          <w:p w14:paraId="734BE5DF">
            <w:pPr>
              <w:wordWrap w:val="0"/>
              <w:spacing w:line="378" w:lineRule="exact"/>
              <w:jc w:val="center"/>
              <w:rPr>
                <w:rFonts w:hint="eastAsia" w:ascii="宋体" w:hAnsi="宋体" w:eastAsia="宋体" w:cs="宋体"/>
                <w:sz w:val="21"/>
                <w:szCs w:val="21"/>
              </w:rPr>
            </w:pPr>
            <w:r>
              <w:rPr>
                <w:rFonts w:hint="eastAsia" w:ascii="宋体" w:hAnsi="宋体" w:eastAsia="宋体" w:cs="宋体"/>
                <w:b/>
                <w:color w:val="000000"/>
                <w:sz w:val="21"/>
                <w:szCs w:val="21"/>
              </w:rPr>
              <w:t>总分</w:t>
            </w:r>
          </w:p>
        </w:tc>
        <w:tc>
          <w:tcPr>
            <w:tcW w:w="6015" w:type="dxa"/>
            <w:tcBorders>
              <w:top w:val="nil"/>
              <w:left w:val="nil"/>
              <w:bottom w:val="single" w:color="000000" w:sz="6" w:space="0"/>
              <w:right w:val="single" w:color="000000" w:sz="6" w:space="0"/>
            </w:tcBorders>
            <w:vAlign w:val="center"/>
          </w:tcPr>
          <w:p w14:paraId="063D958B">
            <w:pPr>
              <w:wordWrap w:val="0"/>
              <w:spacing w:line="378" w:lineRule="exact"/>
              <w:ind w:firstLineChars="100"/>
              <w:jc w:val="center"/>
              <w:rPr>
                <w:rFonts w:hint="eastAsia" w:ascii="宋体" w:hAnsi="宋体" w:eastAsia="宋体" w:cs="宋体"/>
                <w:sz w:val="21"/>
                <w:szCs w:val="21"/>
              </w:rPr>
            </w:pPr>
          </w:p>
        </w:tc>
        <w:tc>
          <w:tcPr>
            <w:tcW w:w="1470" w:type="dxa"/>
            <w:tcBorders>
              <w:top w:val="nil"/>
              <w:left w:val="nil"/>
              <w:bottom w:val="single" w:color="000000" w:sz="6" w:space="0"/>
              <w:right w:val="single" w:color="000000" w:sz="6" w:space="0"/>
            </w:tcBorders>
            <w:vAlign w:val="center"/>
          </w:tcPr>
          <w:p w14:paraId="37680697">
            <w:pPr>
              <w:wordWrap w:val="0"/>
              <w:spacing w:line="378" w:lineRule="exact"/>
              <w:jc w:val="center"/>
              <w:rPr>
                <w:rFonts w:hint="eastAsia" w:ascii="宋体" w:hAnsi="宋体" w:eastAsia="宋体" w:cs="宋体"/>
                <w:sz w:val="21"/>
                <w:szCs w:val="21"/>
              </w:rPr>
            </w:pPr>
            <w:r>
              <w:rPr>
                <w:rFonts w:hint="eastAsia" w:ascii="宋体" w:hAnsi="宋体" w:eastAsia="宋体" w:cs="宋体"/>
                <w:color w:val="000000"/>
                <w:sz w:val="21"/>
                <w:szCs w:val="21"/>
              </w:rPr>
              <w:t>100</w:t>
            </w:r>
          </w:p>
        </w:tc>
      </w:tr>
    </w:tbl>
    <w:p w14:paraId="195A0786">
      <w:pPr>
        <w:keepNext w:val="0"/>
        <w:keepLines w:val="0"/>
        <w:pageBreakBefore w:val="0"/>
        <w:widowControl w:val="0"/>
        <w:kinsoku/>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000000"/>
          <w:sz w:val="21"/>
        </w:rPr>
      </w:pPr>
    </w:p>
    <w:p w14:paraId="32E05418">
      <w:pPr>
        <w:keepNext w:val="0"/>
        <w:keepLines w:val="0"/>
        <w:pageBreakBefore w:val="0"/>
        <w:widowControl w:val="0"/>
        <w:kinsoku/>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000000"/>
          <w:sz w:val="21"/>
          <w:lang w:val="en-US" w:eastAsia="zh-CN"/>
        </w:rPr>
      </w:pPr>
      <w:r>
        <w:rPr>
          <w:rFonts w:hint="eastAsia" w:ascii="宋体" w:hAnsi="宋体" w:eastAsia="宋体" w:cs="宋体"/>
          <w:b/>
          <w:bCs/>
          <w:color w:val="000000"/>
          <w:sz w:val="21"/>
          <w:lang w:val="en-US" w:eastAsia="zh-CN"/>
        </w:rPr>
        <w:t>4.演示要求</w:t>
      </w:r>
    </w:p>
    <w:p w14:paraId="434DA15F">
      <w:pPr>
        <w:spacing w:line="288" w:lineRule="auto"/>
        <w:ind w:firstLine="420" w:firstLineChars="200"/>
        <w:rPr>
          <w:rFonts w:hint="eastAsia"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w:t>
      </w:r>
      <w:r>
        <w:rPr>
          <w:rFonts w:hint="eastAsia" w:ascii="宋体" w:hAnsi="宋体" w:eastAsia="宋体"/>
          <w:szCs w:val="21"/>
        </w:rPr>
        <w:t>投标人需提供</w:t>
      </w:r>
      <w:r>
        <w:rPr>
          <w:rFonts w:ascii="宋体" w:hAnsi="宋体" w:eastAsia="宋体" w:cs="仿宋"/>
          <w:color w:val="000000"/>
          <w:szCs w:val="21"/>
        </w:rPr>
        <w:t>材料防腐处理动画演示</w:t>
      </w:r>
      <w:r>
        <w:rPr>
          <w:rFonts w:hint="eastAsia" w:ascii="宋体" w:hAnsi="宋体" w:eastAsia="宋体"/>
          <w:szCs w:val="21"/>
        </w:rPr>
        <w:t>视频。</w:t>
      </w:r>
    </w:p>
    <w:p w14:paraId="7AB996BF">
      <w:pPr>
        <w:keepNext w:val="0"/>
        <w:keepLines w:val="0"/>
        <w:pageBreakBefore w:val="0"/>
        <w:widowControl w:val="0"/>
        <w:kinsoku/>
        <w:overflowPunct/>
        <w:topLinePunct w:val="0"/>
        <w:autoSpaceDE/>
        <w:autoSpaceDN/>
        <w:bidi w:val="0"/>
        <w:adjustRightInd w:val="0"/>
        <w:snapToGrid w:val="0"/>
        <w:spacing w:line="288" w:lineRule="auto"/>
        <w:ind w:firstLine="420" w:firstLineChars="200"/>
        <w:textAlignment w:val="auto"/>
        <w:rPr>
          <w:rFonts w:hint="eastAsia" w:ascii="宋体" w:hAnsi="宋体" w:eastAsia="宋体"/>
          <w:szCs w:val="21"/>
        </w:rPr>
      </w:pPr>
      <w:r>
        <w:rPr>
          <w:rFonts w:hint="eastAsia" w:ascii="宋体" w:hAnsi="宋体" w:eastAsia="宋体"/>
          <w:szCs w:val="21"/>
        </w:rPr>
        <w:t>2</w:t>
      </w:r>
      <w:r>
        <w:rPr>
          <w:rFonts w:hint="eastAsia" w:ascii="宋体" w:hAnsi="宋体" w:eastAsia="宋体"/>
          <w:szCs w:val="21"/>
          <w:lang w:eastAsia="zh-CN"/>
        </w:rPr>
        <w:t>.</w:t>
      </w:r>
      <w:r>
        <w:rPr>
          <w:rFonts w:hint="eastAsia" w:ascii="宋体" w:hAnsi="宋体" w:eastAsia="宋体"/>
          <w:szCs w:val="21"/>
        </w:rPr>
        <w:t>演示以录制视频形式提供，投标人将演示的过程录制成视频，视频内须提供人员解说，内容应为真实操作过程的原始记录。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8761"/>
      </w:tblGrid>
      <w:tr w14:paraId="0BC3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450" w:type="pct"/>
            <w:vAlign w:val="center"/>
          </w:tcPr>
          <w:p w14:paraId="0A616288">
            <w:pPr>
              <w:adjustRightInd w:val="0"/>
              <w:snapToGrid w:val="0"/>
              <w:spacing w:after="120" w:line="288" w:lineRule="auto"/>
              <w:jc w:val="center"/>
              <w:rPr>
                <w:rFonts w:hint="eastAsia" w:ascii="宋体" w:hAnsi="宋体" w:eastAsia="宋体" w:cstheme="minorEastAsia"/>
                <w:b/>
                <w:bCs/>
                <w:szCs w:val="21"/>
              </w:rPr>
            </w:pPr>
            <w:r>
              <w:rPr>
                <w:rFonts w:hint="eastAsia" w:ascii="宋体" w:hAnsi="宋体" w:eastAsia="宋体" w:cstheme="minorEastAsia"/>
                <w:b/>
                <w:bCs/>
                <w:szCs w:val="21"/>
              </w:rPr>
              <w:t>序号</w:t>
            </w:r>
          </w:p>
        </w:tc>
        <w:tc>
          <w:tcPr>
            <w:tcW w:w="4550" w:type="pct"/>
            <w:vAlign w:val="center"/>
          </w:tcPr>
          <w:p w14:paraId="550DC177">
            <w:pPr>
              <w:adjustRightInd w:val="0"/>
              <w:snapToGrid w:val="0"/>
              <w:spacing w:after="120" w:line="288" w:lineRule="auto"/>
              <w:jc w:val="center"/>
              <w:rPr>
                <w:rFonts w:hint="eastAsia" w:ascii="宋体" w:hAnsi="宋体" w:eastAsia="宋体" w:cstheme="minorEastAsia"/>
                <w:b/>
                <w:bCs/>
                <w:szCs w:val="21"/>
              </w:rPr>
            </w:pPr>
            <w:r>
              <w:rPr>
                <w:rFonts w:hint="eastAsia" w:ascii="宋体" w:hAnsi="宋体" w:eastAsia="宋体" w:cstheme="minorEastAsia"/>
                <w:b/>
                <w:bCs/>
                <w:szCs w:val="21"/>
              </w:rPr>
              <w:t>演示内容</w:t>
            </w:r>
          </w:p>
        </w:tc>
      </w:tr>
      <w:tr w14:paraId="7AED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0" w:type="pct"/>
            <w:vAlign w:val="center"/>
          </w:tcPr>
          <w:p w14:paraId="70844B33">
            <w:pPr>
              <w:adjustRightInd w:val="0"/>
              <w:snapToGrid w:val="0"/>
              <w:spacing w:after="120" w:line="288" w:lineRule="auto"/>
              <w:jc w:val="center"/>
              <w:rPr>
                <w:rFonts w:hint="eastAsia" w:ascii="宋体" w:hAnsi="宋体" w:eastAsia="宋体" w:cstheme="minorEastAsia"/>
                <w:szCs w:val="21"/>
              </w:rPr>
            </w:pPr>
            <w:r>
              <w:rPr>
                <w:rFonts w:hint="eastAsia" w:ascii="宋体" w:hAnsi="宋体" w:eastAsia="宋体" w:cstheme="minorEastAsia"/>
                <w:szCs w:val="21"/>
              </w:rPr>
              <w:t>1</w:t>
            </w:r>
          </w:p>
        </w:tc>
        <w:tc>
          <w:tcPr>
            <w:tcW w:w="4550" w:type="pct"/>
          </w:tcPr>
          <w:p w14:paraId="1E45E84D">
            <w:pPr>
              <w:adjustRightInd w:val="0"/>
              <w:snapToGrid w:val="0"/>
              <w:spacing w:line="288" w:lineRule="auto"/>
              <w:jc w:val="left"/>
              <w:rPr>
                <w:rFonts w:hint="eastAsia" w:ascii="宋体" w:hAnsi="宋体" w:eastAsia="宋体" w:cs="宋体"/>
                <w:color w:val="000000"/>
                <w:szCs w:val="21"/>
              </w:rPr>
            </w:pPr>
            <w:r>
              <w:rPr>
                <w:rFonts w:hint="eastAsia" w:ascii="宋体" w:hAnsi="宋体" w:eastAsia="宋体" w:cs="宋体"/>
                <w:color w:val="000000"/>
                <w:szCs w:val="21"/>
              </w:rPr>
              <w:t>内容涵盖 防腐工具使用、防腐条件控制、防腐处理流程、防腐固定技术、材料保存及安全规范等多项内容，并配备解说配音及文字字幕。</w:t>
            </w:r>
          </w:p>
        </w:tc>
      </w:tr>
    </w:tbl>
    <w:p w14:paraId="47C4E2C5">
      <w:pPr>
        <w:spacing w:line="288" w:lineRule="auto"/>
        <w:ind w:firstLine="420" w:firstLineChars="200"/>
        <w:rPr>
          <w:rFonts w:hint="eastAsia" w:ascii="宋体" w:hAnsi="宋体" w:eastAsia="宋体"/>
          <w:szCs w:val="21"/>
        </w:rPr>
      </w:pPr>
      <w:r>
        <w:rPr>
          <w:rFonts w:hint="eastAsia" w:ascii="宋体" w:hAnsi="宋体" w:eastAsia="宋体"/>
          <w:szCs w:val="21"/>
          <w:lang w:val="en-US" w:eastAsia="zh-CN"/>
        </w:rPr>
        <w:t>3</w:t>
      </w:r>
      <w:r>
        <w:rPr>
          <w:rFonts w:ascii="宋体" w:hAnsi="宋体" w:eastAsia="宋体"/>
          <w:szCs w:val="21"/>
        </w:rPr>
        <w:t>.演示U盘：</w:t>
      </w:r>
    </w:p>
    <w:p w14:paraId="673C889D">
      <w:pPr>
        <w:spacing w:line="288" w:lineRule="auto"/>
        <w:ind w:firstLine="420" w:firstLineChars="200"/>
        <w:rPr>
          <w:rFonts w:hint="eastAsia" w:ascii="宋体" w:hAnsi="宋体" w:eastAsia="宋体"/>
          <w:szCs w:val="21"/>
        </w:rPr>
      </w:pPr>
      <w:r>
        <w:rPr>
          <w:rFonts w:hint="eastAsia" w:ascii="宋体" w:hAnsi="宋体" w:eastAsia="宋体"/>
          <w:szCs w:val="21"/>
          <w:lang w:val="en-US" w:eastAsia="zh-CN"/>
        </w:rPr>
        <w:t>3</w:t>
      </w:r>
      <w:r>
        <w:rPr>
          <w:rFonts w:ascii="宋体" w:hAnsi="宋体" w:eastAsia="宋体"/>
          <w:szCs w:val="21"/>
        </w:rPr>
        <w:t>.1 根据“电子交易/不见面开评标”原则，投标人需将以上演示及讲解过程录制视频，演示时长不超过15分钟以.mp4格式存储于</w:t>
      </w:r>
      <w:r>
        <w:rPr>
          <w:rFonts w:hint="eastAsia" w:ascii="宋体" w:hAnsi="宋体" w:eastAsia="宋体"/>
          <w:szCs w:val="21"/>
        </w:rPr>
        <w:t>D</w:t>
      </w:r>
      <w:r>
        <w:rPr>
          <w:rFonts w:ascii="宋体" w:hAnsi="宋体" w:eastAsia="宋体"/>
          <w:szCs w:val="21"/>
        </w:rPr>
        <w:t>VD</w:t>
      </w:r>
      <w:r>
        <w:rPr>
          <w:rFonts w:hint="eastAsia" w:ascii="宋体" w:hAnsi="宋体" w:eastAsia="宋体"/>
          <w:szCs w:val="21"/>
        </w:rPr>
        <w:t>或</w:t>
      </w:r>
      <w:r>
        <w:rPr>
          <w:rFonts w:ascii="宋体" w:hAnsi="宋体" w:eastAsia="宋体"/>
          <w:szCs w:val="21"/>
        </w:rPr>
        <w:t>U盘。投标人须自行核验</w:t>
      </w:r>
      <w:r>
        <w:rPr>
          <w:rFonts w:hint="eastAsia" w:ascii="宋体" w:hAnsi="宋体" w:eastAsia="宋体"/>
          <w:szCs w:val="21"/>
        </w:rPr>
        <w:t>D</w:t>
      </w:r>
      <w:r>
        <w:rPr>
          <w:rFonts w:ascii="宋体" w:hAnsi="宋体" w:eastAsia="宋体"/>
          <w:szCs w:val="21"/>
        </w:rPr>
        <w:t>VD</w:t>
      </w:r>
      <w:r>
        <w:rPr>
          <w:rFonts w:hint="eastAsia" w:ascii="宋体" w:hAnsi="宋体" w:eastAsia="宋体"/>
          <w:szCs w:val="21"/>
        </w:rPr>
        <w:t>或</w:t>
      </w:r>
      <w:r>
        <w:rPr>
          <w:rFonts w:ascii="宋体" w:hAnsi="宋体" w:eastAsia="宋体"/>
          <w:szCs w:val="21"/>
        </w:rPr>
        <w:t>U盘中的视频能正常播放，保证视频无需转码即可直接用主流播放器打开播放。</w:t>
      </w:r>
    </w:p>
    <w:p w14:paraId="1851E234">
      <w:pPr>
        <w:spacing w:line="288" w:lineRule="auto"/>
        <w:ind w:firstLine="420" w:firstLineChars="200"/>
        <w:rPr>
          <w:rFonts w:hint="eastAsia" w:ascii="宋体" w:hAnsi="宋体" w:eastAsia="宋体"/>
          <w:szCs w:val="21"/>
        </w:rPr>
      </w:pPr>
      <w:r>
        <w:rPr>
          <w:rFonts w:hint="eastAsia" w:ascii="宋体" w:hAnsi="宋体" w:eastAsia="宋体"/>
          <w:szCs w:val="21"/>
          <w:lang w:val="en-US" w:eastAsia="zh-CN"/>
        </w:rPr>
        <w:t>3</w:t>
      </w:r>
      <w:r>
        <w:rPr>
          <w:rFonts w:ascii="宋体" w:hAnsi="宋体" w:eastAsia="宋体"/>
          <w:szCs w:val="21"/>
        </w:rPr>
        <w:t>.2 演示U盘以邮寄形式在</w:t>
      </w:r>
      <w:r>
        <w:rPr>
          <w:rFonts w:hint="eastAsia" w:ascii="宋体" w:hAnsi="宋体" w:eastAsia="宋体"/>
          <w:szCs w:val="21"/>
          <w:lang w:val="en-US" w:eastAsia="zh-CN"/>
        </w:rPr>
        <w:t>投标</w:t>
      </w:r>
      <w:r>
        <w:rPr>
          <w:rFonts w:ascii="宋体" w:hAnsi="宋体" w:eastAsia="宋体"/>
          <w:szCs w:val="21"/>
        </w:rPr>
        <w:t>文件提交截止时间前递交，演示</w:t>
      </w:r>
      <w:r>
        <w:rPr>
          <w:rFonts w:hint="eastAsia" w:ascii="宋体" w:hAnsi="宋体" w:eastAsia="宋体"/>
          <w:szCs w:val="21"/>
        </w:rPr>
        <w:t>D</w:t>
      </w:r>
      <w:r>
        <w:rPr>
          <w:rFonts w:ascii="宋体" w:hAnsi="宋体" w:eastAsia="宋体"/>
          <w:szCs w:val="21"/>
        </w:rPr>
        <w:t>VD</w:t>
      </w:r>
      <w:r>
        <w:rPr>
          <w:rFonts w:hint="eastAsia" w:ascii="宋体" w:hAnsi="宋体" w:eastAsia="宋体"/>
          <w:szCs w:val="21"/>
        </w:rPr>
        <w:t>或</w:t>
      </w:r>
      <w:r>
        <w:rPr>
          <w:rFonts w:ascii="宋体" w:hAnsi="宋体" w:eastAsia="宋体"/>
          <w:szCs w:val="21"/>
        </w:rPr>
        <w:t>U盘应当密封包装并在包装上标注演示</w:t>
      </w:r>
      <w:r>
        <w:rPr>
          <w:rFonts w:hint="eastAsia" w:ascii="宋体" w:hAnsi="宋体" w:eastAsia="宋体"/>
          <w:szCs w:val="21"/>
        </w:rPr>
        <w:t>D</w:t>
      </w:r>
      <w:r>
        <w:rPr>
          <w:rFonts w:ascii="宋体" w:hAnsi="宋体" w:eastAsia="宋体"/>
          <w:szCs w:val="21"/>
        </w:rPr>
        <w:t>VD</w:t>
      </w:r>
      <w:r>
        <w:rPr>
          <w:rFonts w:hint="eastAsia" w:ascii="宋体" w:hAnsi="宋体" w:eastAsia="宋体"/>
          <w:szCs w:val="21"/>
        </w:rPr>
        <w:t>或</w:t>
      </w:r>
      <w:r>
        <w:rPr>
          <w:rFonts w:ascii="宋体" w:hAnsi="宋体" w:eastAsia="宋体"/>
          <w:szCs w:val="21"/>
        </w:rPr>
        <w:t>U盘、项目名称、投标人名称并加盖公章</w:t>
      </w:r>
      <w:r>
        <w:rPr>
          <w:rFonts w:hint="eastAsia" w:ascii="宋体" w:hAnsi="宋体" w:eastAsia="宋体"/>
          <w:b/>
          <w:bCs/>
        </w:rPr>
        <w:t>（投标人也可提供演示备份文件，一同放于</w:t>
      </w:r>
      <w:r>
        <w:rPr>
          <w:rFonts w:ascii="宋体" w:hAnsi="宋体" w:eastAsia="宋体"/>
          <w:b/>
          <w:bCs/>
        </w:rPr>
        <w:t>密封包装</w:t>
      </w:r>
      <w:r>
        <w:rPr>
          <w:rFonts w:hint="eastAsia" w:ascii="宋体" w:hAnsi="宋体" w:eastAsia="宋体"/>
          <w:b/>
          <w:bCs/>
        </w:rPr>
        <w:t>内，并且</w:t>
      </w:r>
      <w:r>
        <w:rPr>
          <w:rFonts w:ascii="宋体" w:hAnsi="宋体" w:eastAsia="宋体"/>
          <w:b/>
          <w:bCs/>
        </w:rPr>
        <w:t>标注</w:t>
      </w:r>
      <w:r>
        <w:rPr>
          <w:rFonts w:hint="eastAsia" w:ascii="宋体" w:hAnsi="宋体" w:eastAsia="宋体"/>
          <w:b/>
          <w:bCs/>
        </w:rPr>
        <w:t>“演示备份”。如原演示视频在打开过程中无法读取或者无法正常播放，可启用“演示备份”文件）</w:t>
      </w:r>
      <w:r>
        <w:rPr>
          <w:rFonts w:ascii="宋体" w:hAnsi="宋体" w:eastAsia="宋体"/>
        </w:rPr>
        <w:t>。</w:t>
      </w:r>
      <w:r>
        <w:rPr>
          <w:rFonts w:ascii="宋体" w:hAnsi="宋体" w:eastAsia="宋体"/>
          <w:szCs w:val="21"/>
        </w:rPr>
        <w:t>（邮寄地址：杭州市西湖区玉古路173号中田大厦21楼H室，浙江求是招标代理有限公司（</w:t>
      </w:r>
      <w:r>
        <w:rPr>
          <w:rFonts w:hint="eastAsia" w:ascii="宋体" w:hAnsi="宋体" w:eastAsia="宋体"/>
          <w:szCs w:val="21"/>
        </w:rPr>
        <w:t>王</w:t>
      </w:r>
      <w:r>
        <w:rPr>
          <w:rFonts w:hint="eastAsia" w:ascii="宋体" w:hAnsi="宋体" w:eastAsia="宋体"/>
          <w:szCs w:val="21"/>
          <w:lang w:val="en-US" w:eastAsia="zh-CN"/>
        </w:rPr>
        <w:t>莹</w:t>
      </w:r>
      <w:r>
        <w:rPr>
          <w:rFonts w:ascii="宋体" w:hAnsi="宋体" w:eastAsia="宋体"/>
          <w:szCs w:val="21"/>
        </w:rPr>
        <w:t>）收，电话：0571-87666117，寄出后将（快递单号、项目名称、公司名称、联系方式等相关信息）发至：zb05@qszb.net，以便查收）。</w:t>
      </w:r>
    </w:p>
    <w:p w14:paraId="185F9F56">
      <w:pPr>
        <w:spacing w:line="288" w:lineRule="auto"/>
        <w:ind w:firstLine="420" w:firstLineChars="200"/>
        <w:rPr>
          <w:rFonts w:hint="eastAsia" w:ascii="宋体" w:hAnsi="宋体" w:eastAsia="宋体"/>
          <w:szCs w:val="21"/>
        </w:rPr>
      </w:pPr>
      <w:r>
        <w:rPr>
          <w:rFonts w:hint="eastAsia" w:ascii="宋体" w:hAnsi="宋体" w:eastAsia="宋体"/>
          <w:szCs w:val="21"/>
          <w:lang w:val="en-US" w:eastAsia="zh-CN"/>
        </w:rPr>
        <w:t>3</w:t>
      </w:r>
      <w:r>
        <w:rPr>
          <w:rFonts w:ascii="宋体" w:hAnsi="宋体" w:eastAsia="宋体"/>
          <w:szCs w:val="21"/>
        </w:rPr>
        <w:t>.3 未按</w:t>
      </w:r>
      <w:r>
        <w:rPr>
          <w:rFonts w:hint="eastAsia" w:ascii="宋体" w:hAnsi="宋体" w:eastAsia="宋体"/>
          <w:szCs w:val="21"/>
        </w:rPr>
        <w:t>招标</w:t>
      </w:r>
      <w:r>
        <w:rPr>
          <w:rFonts w:ascii="宋体" w:hAnsi="宋体" w:eastAsia="宋体"/>
          <w:szCs w:val="21"/>
        </w:rPr>
        <w:t>文件要求提供演示</w:t>
      </w:r>
      <w:r>
        <w:rPr>
          <w:rFonts w:hint="eastAsia" w:ascii="宋体" w:hAnsi="宋体" w:eastAsia="宋体"/>
          <w:szCs w:val="21"/>
        </w:rPr>
        <w:t>D</w:t>
      </w:r>
      <w:r>
        <w:rPr>
          <w:rFonts w:ascii="宋体" w:hAnsi="宋体" w:eastAsia="宋体"/>
          <w:szCs w:val="21"/>
        </w:rPr>
        <w:t>VD</w:t>
      </w:r>
      <w:r>
        <w:rPr>
          <w:rFonts w:hint="eastAsia" w:ascii="宋体" w:hAnsi="宋体" w:eastAsia="宋体"/>
          <w:szCs w:val="21"/>
        </w:rPr>
        <w:t>或</w:t>
      </w:r>
      <w:r>
        <w:rPr>
          <w:rFonts w:ascii="宋体" w:hAnsi="宋体" w:eastAsia="宋体"/>
          <w:szCs w:val="21"/>
        </w:rPr>
        <w:t>U盘造成评审专家无法正常评审的风险由投标人自行承担。</w:t>
      </w:r>
      <w:r>
        <w:rPr>
          <w:rFonts w:hint="eastAsia" w:ascii="宋体" w:hAnsi="宋体" w:eastAsia="宋体"/>
          <w:szCs w:val="21"/>
        </w:rPr>
        <w:t>因投标人自身原因导致无法演示或者演示效果不理想的，责任自负。</w:t>
      </w:r>
    </w:p>
    <w:p w14:paraId="161BA2A7">
      <w:pPr>
        <w:keepNext w:val="0"/>
        <w:keepLines w:val="0"/>
        <w:pageBreakBefore w:val="0"/>
        <w:widowControl w:val="0"/>
        <w:kinsoku/>
        <w:overflowPunct/>
        <w:topLinePunct w:val="0"/>
        <w:autoSpaceDE/>
        <w:autoSpaceDN/>
        <w:bidi w:val="0"/>
        <w:adjustRightInd w:val="0"/>
        <w:snapToGrid w:val="0"/>
        <w:spacing w:line="288" w:lineRule="auto"/>
        <w:ind w:firstLine="420" w:firstLineChars="200"/>
        <w:textAlignment w:val="auto"/>
        <w:rPr>
          <w:rFonts w:hint="default" w:ascii="宋体" w:hAnsi="宋体" w:eastAsia="宋体"/>
          <w:szCs w:val="21"/>
          <w:lang w:val="en-US" w:eastAsia="zh-CN"/>
        </w:rPr>
      </w:pPr>
      <w:r>
        <w:rPr>
          <w:rFonts w:hint="eastAsia" w:ascii="宋体" w:hAnsi="宋体" w:eastAsia="宋体"/>
          <w:szCs w:val="21"/>
          <w:lang w:val="en-US" w:eastAsia="zh-CN"/>
        </w:rPr>
        <w:t>3</w:t>
      </w:r>
      <w:r>
        <w:rPr>
          <w:rFonts w:ascii="宋体" w:hAnsi="宋体" w:eastAsia="宋体"/>
          <w:szCs w:val="21"/>
        </w:rPr>
        <w:t>.4</w:t>
      </w:r>
      <w:r>
        <w:rPr>
          <w:rFonts w:hint="eastAsia" w:ascii="宋体" w:hAnsi="宋体" w:eastAsia="宋体"/>
          <w:szCs w:val="21"/>
        </w:rPr>
        <w:t xml:space="preserve"> </w:t>
      </w:r>
      <w:r>
        <w:rPr>
          <w:rFonts w:ascii="宋体" w:hAnsi="宋体" w:eastAsia="宋体"/>
          <w:szCs w:val="21"/>
        </w:rPr>
        <w:t>未提供演示的或提供ppt等其他形式演示的，演示分为0分。</w:t>
      </w:r>
    </w:p>
    <w:p w14:paraId="5B111A8A">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杭州医学院2025年杭州医学院解剖实验教学技术服务项目</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w:t>
            </w:r>
            <w:r>
              <w:rPr>
                <w:rFonts w:ascii="宋体" w:hAnsi="宋体" w:eastAsia="宋体"/>
                <w:szCs w:val="21"/>
                <w:highlight w:val="none"/>
              </w:rPr>
              <w:t>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2025年3月（含）以后任意一月</w:t>
            </w:r>
            <w:r>
              <w:rPr>
                <w:rFonts w:ascii="宋体" w:hAnsi="宋体" w:eastAsia="宋体"/>
                <w:szCs w:val="21"/>
                <w:highlight w:val="none"/>
              </w:rPr>
              <w:t>）</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w:t>
            </w:r>
            <w:r>
              <w:rPr>
                <w:rFonts w:hint="eastAsia" w:ascii="宋体" w:hAnsi="宋体" w:eastAsia="宋体"/>
                <w:szCs w:val="21"/>
              </w:rPr>
              <w:t>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w:t>
            </w:r>
            <w:r>
              <w:rPr>
                <w:rFonts w:hint="eastAsia" w:ascii="宋体" w:hAnsi="宋体" w:eastAsia="宋体"/>
                <w:szCs w:val="21"/>
                <w:highlight w:val="none"/>
              </w:rPr>
              <w:t>裁受理费和仲裁处理费）均由中标人承担。</w:t>
            </w:r>
          </w:p>
          <w:p w14:paraId="637CAF0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1.05</w:t>
                  </w:r>
                </w:p>
              </w:tc>
            </w:tr>
            <w:tr w14:paraId="75B6D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14:paraId="015EF731">
                  <w:pPr>
                    <w:adjustRightInd w:val="0"/>
                    <w:snapToGrid w:val="0"/>
                    <w:spacing w:line="288" w:lineRule="auto"/>
                    <w:jc w:val="center"/>
                    <w:rPr>
                      <w:rFonts w:ascii="宋体" w:hAnsi="宋体" w:eastAsia="宋体"/>
                      <w:szCs w:val="21"/>
                      <w:highlight w:val="yellow"/>
                    </w:rPr>
                  </w:pPr>
                  <w:r>
                    <w:rPr>
                      <w:rFonts w:hint="eastAsia" w:ascii="宋体" w:hAnsi="宋体" w:eastAsia="宋体"/>
                      <w:szCs w:val="21"/>
                      <w:highlight w:val="none"/>
                    </w:rPr>
                    <w:t>不足2000元的按照2000元收收取</w:t>
                  </w:r>
                </w:p>
              </w:tc>
            </w:tr>
          </w:tbl>
          <w:p w14:paraId="6B8FE93C">
            <w:pPr>
              <w:adjustRightInd w:val="0"/>
              <w:snapToGrid w:val="0"/>
              <w:spacing w:line="288" w:lineRule="auto"/>
              <w:rPr>
                <w:rFonts w:ascii="宋体" w:hAnsi="宋体" w:eastAsia="宋体"/>
                <w:szCs w:val="21"/>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1C74A213">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w:t>
            </w:r>
            <w:r>
              <w:rPr>
                <w:rFonts w:hint="eastAsia" w:ascii="宋体" w:hAnsi="宋体" w:eastAsia="宋体"/>
                <w:color w:val="auto"/>
                <w:szCs w:val="21"/>
              </w:rPr>
              <w:t>目不允许转包；</w:t>
            </w:r>
          </w:p>
          <w:p w14:paraId="31EDE031">
            <w:pPr>
              <w:adjustRightInd w:val="0"/>
              <w:snapToGrid w:val="0"/>
              <w:spacing w:line="288" w:lineRule="auto"/>
              <w:rPr>
                <w:rFonts w:hint="eastAsia" w:ascii="宋体" w:hAnsi="宋体" w:eastAsia="宋体"/>
                <w:color w:val="auto"/>
                <w:szCs w:val="21"/>
                <w:u w:val="single"/>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color w:val="auto"/>
                <w:szCs w:val="21"/>
                <w:u w:val="single"/>
              </w:rPr>
              <w:t>项目整体性和专业性要求：解剖实验教学技术服务项目可能涉及高度的专业性和技术复杂性，需要中标单位具备全面的专业能力和技术实力。如果允许分包，可能会破坏项目的整体性和专业性，导致服务质量和教学效果的下降。</w:t>
            </w:r>
          </w:p>
          <w:p w14:paraId="4D984B3E">
            <w:pPr>
              <w:adjustRightInd w:val="0"/>
              <w:snapToGrid w:val="0"/>
              <w:spacing w:line="288" w:lineRule="auto"/>
              <w:rPr>
                <w:rFonts w:ascii="宋体" w:hAnsi="宋体" w:eastAsia="宋体" w:cs="Times New Roman"/>
                <w:spacing w:val="-6"/>
                <w:szCs w:val="21"/>
              </w:rPr>
            </w:pPr>
            <w:r>
              <w:rPr>
                <w:rFonts w:hint="eastAsia" w:ascii="宋体" w:hAnsi="宋体" w:eastAsia="宋体"/>
                <w:color w:val="auto"/>
                <w:szCs w:val="21"/>
                <w:u w:val="single"/>
              </w:rPr>
              <w:t>服务质量和安全考虑：解剖实验教学技术服务直接关系到学生的安全和教学效果。如果允许分包，不同分包商之间的服务水平和质量标准可能存在差异，难以统一管理和控制，从而增加了服务质量和安全风险。</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7E17D071">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rPr>
              <w:t>（</w:t>
            </w:r>
            <w:r>
              <w:rPr>
                <w:rFonts w:hint="eastAsia" w:ascii="宋体" w:hAnsi="宋体" w:eastAsia="宋体"/>
                <w:bCs/>
                <w:szCs w:val="21"/>
              </w:rPr>
              <w:t>2）符</w:t>
            </w:r>
            <w:r>
              <w:rPr>
                <w:rFonts w:hint="eastAsia" w:ascii="宋体" w:hAnsi="宋体" w:eastAsia="宋体"/>
                <w:bCs/>
                <w:szCs w:val="21"/>
                <w:highlight w:val="none"/>
              </w:rPr>
              <w:t>合参加政府采购活动应当具备的一般条件的承诺函</w:t>
            </w:r>
          </w:p>
          <w:p w14:paraId="3A31756A">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29EA3D05">
            <w:pPr>
              <w:adjustRightInd w:val="0"/>
              <w:snapToGrid w:val="0"/>
              <w:spacing w:line="288" w:lineRule="auto"/>
              <w:rPr>
                <w:rFonts w:hint="eastAsia" w:ascii="宋体" w:hAnsi="宋体" w:eastAsia="宋体"/>
                <w:szCs w:val="21"/>
                <w:highlight w:val="none"/>
              </w:rPr>
            </w:pPr>
            <w:r>
              <w:rPr>
                <w:rFonts w:hint="eastAsia" w:ascii="宋体" w:hAnsi="宋体" w:eastAsia="宋体"/>
                <w:bCs/>
                <w:szCs w:val="21"/>
                <w:highlight w:val="none"/>
                <w:lang w:val="en-US" w:eastAsia="zh-CN"/>
              </w:rPr>
              <w:t>1）</w:t>
            </w:r>
            <w:r>
              <w:rPr>
                <w:rFonts w:ascii="宋体" w:hAnsi="宋体" w:eastAsia="宋体"/>
                <w:szCs w:val="21"/>
                <w:highlight w:val="none"/>
              </w:rPr>
              <w:t>中小企业声明函（若属于中小企业）</w:t>
            </w:r>
          </w:p>
          <w:p w14:paraId="1A33A4E9">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lang w:val="en-US" w:eastAsia="zh-CN"/>
              </w:rPr>
              <w:t>2）</w:t>
            </w:r>
            <w:r>
              <w:rPr>
                <w:rFonts w:ascii="宋体" w:hAnsi="宋体" w:eastAsia="宋体"/>
                <w:szCs w:val="21"/>
                <w:highlight w:val="none"/>
              </w:rPr>
              <w:t>属于监狱企业的证明文件（若属于监狱企业）</w:t>
            </w:r>
          </w:p>
          <w:p w14:paraId="602EBCE3">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lang w:val="en-US" w:eastAsia="zh-CN"/>
              </w:rPr>
              <w:t>3）</w:t>
            </w:r>
            <w:r>
              <w:rPr>
                <w:rFonts w:ascii="宋体" w:hAnsi="宋体" w:eastAsia="宋体"/>
                <w:szCs w:val="21"/>
                <w:highlight w:val="none"/>
              </w:rPr>
              <w:t>残疾人福利性单位声明函（若属于残疾人福利性单位）</w:t>
            </w:r>
          </w:p>
          <w:p w14:paraId="2B4E7EC7">
            <w:pPr>
              <w:adjustRightInd w:val="0"/>
              <w:snapToGrid w:val="0"/>
              <w:spacing w:line="288" w:lineRule="auto"/>
              <w:rPr>
                <w:rFonts w:ascii="宋体" w:hAnsi="宋体" w:eastAsia="宋体"/>
                <w:bCs/>
                <w:szCs w:val="21"/>
              </w:rPr>
            </w:pPr>
            <w:r>
              <w:rPr>
                <w:rFonts w:hint="eastAsia" w:ascii="宋体" w:hAnsi="宋体" w:eastAsia="宋体" w:cs="宋体"/>
                <w:sz w:val="21"/>
                <w:szCs w:val="21"/>
                <w:highlight w:val="none"/>
              </w:rPr>
              <w:t>▲联合体</w:t>
            </w:r>
            <w:r>
              <w:rPr>
                <w:rFonts w:hint="eastAsia" w:cs="宋体"/>
                <w:sz w:val="21"/>
                <w:szCs w:val="21"/>
                <w:highlight w:val="none"/>
                <w:lang w:val="en-US" w:eastAsia="zh-CN"/>
              </w:rPr>
              <w:t>响应</w:t>
            </w:r>
            <w:r>
              <w:rPr>
                <w:rFonts w:hint="eastAsia" w:ascii="宋体" w:hAnsi="宋体" w:eastAsia="宋体" w:cs="宋体"/>
                <w:sz w:val="21"/>
                <w:szCs w:val="21"/>
                <w:highlight w:val="none"/>
              </w:rPr>
              <w:t>的，联合体各方均应提供资格文件（1）、（2）、（3）材料。</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w:t>
            </w:r>
            <w:r>
              <w:rPr>
                <w:rFonts w:hint="eastAsia" w:ascii="宋体" w:hAnsi="宋体" w:eastAsia="宋体"/>
                <w:bCs/>
                <w:spacing w:val="-6"/>
                <w:szCs w:val="21"/>
                <w:highlight w:val="none"/>
              </w:rPr>
              <w:t>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val="en-US" w:eastAsia="zh-CN"/>
              </w:rPr>
              <w:t>王莹</w:t>
            </w:r>
            <w:r>
              <w:rPr>
                <w:rFonts w:hint="eastAsia" w:ascii="宋体" w:hAnsi="宋体" w:eastAsia="宋体" w:cs="宋体"/>
                <w:bCs/>
                <w:szCs w:val="21"/>
                <w:highlight w:val="none"/>
              </w:rPr>
              <w:t>）收，电话：0571-8766</w:t>
            </w:r>
            <w:r>
              <w:rPr>
                <w:rFonts w:hint="eastAsia" w:ascii="宋体" w:hAnsi="宋体" w:eastAsia="宋体" w:cs="宋体"/>
                <w:bCs/>
                <w:szCs w:val="21"/>
                <w:highlight w:val="none"/>
                <w:lang w:val="en-US" w:eastAsia="zh-CN"/>
              </w:rPr>
              <w:t>6117</w:t>
            </w:r>
            <w:r>
              <w:rPr>
                <w:rFonts w:hint="eastAsia" w:ascii="宋体" w:hAnsi="宋体" w:eastAsia="宋体" w:cs="宋体"/>
                <w:bCs/>
                <w:szCs w:val="21"/>
                <w:highlight w:val="none"/>
              </w:rPr>
              <w:t>，寄出后将（快递单号、项目名称、公司名称、联系方式等相关信息）发至：zb</w:t>
            </w:r>
            <w:r>
              <w:rPr>
                <w:rFonts w:hint="eastAsia" w:ascii="宋体" w:hAnsi="宋体" w:eastAsia="宋体" w:cs="宋体"/>
                <w:bCs/>
                <w:szCs w:val="21"/>
                <w:highlight w:val="none"/>
                <w:lang w:val="en-US" w:eastAsia="zh-CN"/>
              </w:rPr>
              <w:t>05</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A18A70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36646E4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012AD94C">
            <w:pPr>
              <w:pStyle w:val="14"/>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rPr>
            </w:pPr>
            <w:r>
              <w:rPr>
                <w:rFonts w:ascii="宋体" w:hAnsi="宋体" w:eastAsia="宋体"/>
                <w:color w:val="auto"/>
                <w:szCs w:val="21"/>
              </w:rPr>
              <w:t>详见“</w:t>
            </w:r>
            <w:r>
              <w:rPr>
                <w:rFonts w:hint="eastAsia" w:ascii="宋体" w:hAnsi="宋体" w:eastAsia="宋体"/>
                <w:color w:val="auto"/>
                <w:szCs w:val="21"/>
              </w:rPr>
              <w:t>第四章  评标方法和评标标准</w:t>
            </w:r>
            <w:r>
              <w:rPr>
                <w:rFonts w:ascii="宋体" w:hAnsi="宋体" w:eastAsia="宋体"/>
                <w:color w:val="auto"/>
                <w:szCs w:val="21"/>
              </w:rPr>
              <w:t>”</w:t>
            </w:r>
            <w:r>
              <w:rPr>
                <w:rFonts w:hint="eastAsia" w:ascii="宋体" w:hAnsi="宋体" w:eastAsia="宋体"/>
                <w:color w:val="auto"/>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中标通知书发出之日起30日内。</w:t>
            </w:r>
          </w:p>
        </w:tc>
      </w:tr>
    </w:tbl>
    <w:p w14:paraId="1C8E7640">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38"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8"/>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杭州医学院2025年杭州医学院解剖实验教学技术服务项目</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杭州医学院</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9"/>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1.05</w:t>
            </w:r>
          </w:p>
        </w:tc>
      </w:tr>
      <w:tr w14:paraId="04F2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384" w:type="dxa"/>
            <w:gridSpan w:val="2"/>
            <w:tcMar>
              <w:top w:w="0" w:type="dxa"/>
              <w:left w:w="108" w:type="dxa"/>
              <w:bottom w:w="0" w:type="dxa"/>
              <w:right w:w="108" w:type="dxa"/>
            </w:tcMar>
            <w:vAlign w:val="center"/>
          </w:tcPr>
          <w:p w14:paraId="72F04CC7">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不足2000元的按照2000元收收取</w:t>
            </w:r>
          </w:p>
        </w:tc>
      </w:tr>
    </w:tbl>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2025年3月（含）以后任意一月</w:t>
      </w:r>
      <w:r>
        <w:rPr>
          <w:rFonts w:ascii="宋体" w:hAnsi="宋体" w:eastAsia="宋体" w:cs="Times New Roman"/>
          <w:spacing w:val="-6"/>
          <w:szCs w:val="21"/>
          <w:highlight w:val="none"/>
        </w:rPr>
        <w:t>）；</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rPr>
        <w:t>（六）联合</w:t>
      </w:r>
      <w:r>
        <w:rPr>
          <w:rFonts w:hint="eastAsia" w:ascii="宋体" w:hAnsi="宋体" w:eastAsia="宋体" w:cs="宋体"/>
          <w:b/>
          <w:bCs/>
          <w:szCs w:val="21"/>
          <w:highlight w:val="none"/>
        </w:rPr>
        <w:t>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012D87DE">
      <w:pPr>
        <w:adjustRightInd w:val="0"/>
        <w:snapToGrid w:val="0"/>
        <w:spacing w:line="288" w:lineRule="auto"/>
        <w:ind w:firstLine="420" w:firstLineChars="200"/>
        <w:rPr>
          <w:rFonts w:hint="eastAsia" w:ascii="宋体" w:hAnsi="宋体" w:eastAsia="宋体"/>
          <w:color w:val="auto"/>
          <w:szCs w:val="21"/>
          <w:u w:val="single"/>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color w:val="auto"/>
          <w:szCs w:val="21"/>
          <w:u w:val="single"/>
        </w:rPr>
        <w:t>项目整体性和专业性要求：解剖实验教学技术服务项目可能涉及高度的专业性和技术复杂性，需要中标单位具备全面的专业能力和技术实力。如果允许分包，可能会破坏项目的整体性和专业性，导致服务质量和教学效果的下降。</w:t>
      </w:r>
    </w:p>
    <w:p w14:paraId="1A4D202B">
      <w:pPr>
        <w:adjustRightInd w:val="0"/>
        <w:snapToGrid w:val="0"/>
        <w:spacing w:line="288" w:lineRule="auto"/>
        <w:ind w:firstLine="424" w:firstLineChars="202"/>
        <w:jc w:val="left"/>
        <w:rPr>
          <w:rFonts w:ascii="宋体" w:hAnsi="宋体" w:eastAsia="宋体"/>
          <w:color w:val="FF0000"/>
          <w:szCs w:val="21"/>
        </w:rPr>
      </w:pPr>
      <w:r>
        <w:rPr>
          <w:rFonts w:hint="eastAsia" w:ascii="宋体" w:hAnsi="宋体" w:eastAsia="宋体"/>
          <w:color w:val="auto"/>
          <w:szCs w:val="21"/>
          <w:u w:val="single"/>
        </w:rPr>
        <w:t>服务质量和安全考虑：解剖实验教学技术服务直接关系到学生的安全和教学效果。如果允许分包，不同分包商之间的服务水平和质量标准可能存在差异，难以统一管理和控制，从而增加了服务质量和安全风险。</w:t>
      </w:r>
    </w:p>
    <w:p w14:paraId="1C383D1F">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0"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0"/>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49FA18CD">
      <w:pPr>
        <w:adjustRightInd w:val="0"/>
        <w:snapToGrid w:val="0"/>
        <w:spacing w:line="288" w:lineRule="auto"/>
        <w:outlineLvl w:val="2"/>
        <w:rPr>
          <w:rFonts w:hint="eastAsia" w:ascii="宋体" w:hAnsi="宋体" w:eastAsia="宋体" w:cs="宋体"/>
          <w:i w:val="0"/>
          <w:iCs w:val="0"/>
          <w:sz w:val="21"/>
          <w:szCs w:val="21"/>
        </w:rPr>
      </w:pPr>
      <w:bookmarkStart w:id="41" w:name="_Hlk94018492"/>
      <w:bookmarkStart w:id="42"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bookmarkEnd w:id="41"/>
      <w:bookmarkEnd w:id="42"/>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 xml:space="preserve">1.1 </w:t>
      </w:r>
      <w:r>
        <w:rPr>
          <w:rFonts w:hint="eastAsia" w:ascii="宋体" w:hAnsi="宋体" w:eastAsia="宋体" w:cs="宋体"/>
          <w:i w:val="0"/>
          <w:iCs w:val="0"/>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sz w:val="21"/>
          <w:szCs w:val="21"/>
          <w:lang w:val="en-US" w:eastAsia="zh-CN"/>
        </w:rPr>
        <w:t xml:space="preserve">1.2 </w:t>
      </w:r>
      <w:r>
        <w:rPr>
          <w:rFonts w:hint="eastAsia" w:ascii="宋体" w:hAnsi="宋体" w:eastAsia="宋体" w:cs="宋体"/>
          <w:i w:val="0"/>
          <w:iCs w:val="0"/>
          <w:sz w:val="21"/>
          <w:szCs w:val="21"/>
        </w:rPr>
        <w:t>在政府采购活动中，供应商提供的货物或者服务符合下列情形的，享受中小</w:t>
      </w:r>
      <w:r>
        <w:rPr>
          <w:rFonts w:hint="eastAsia" w:ascii="宋体" w:hAnsi="宋体" w:eastAsia="宋体" w:cs="宋体"/>
          <w:i w:val="0"/>
          <w:iCs w:val="0"/>
          <w:color w:val="auto"/>
          <w:sz w:val="21"/>
          <w:szCs w:val="21"/>
        </w:rPr>
        <w:t>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rPr>
        <w:t>在货物采购项目中，货物由中小企业制造，即货物由</w:t>
      </w:r>
      <w:r>
        <w:rPr>
          <w:rFonts w:hint="eastAsia" w:ascii="宋体" w:hAnsi="宋体" w:eastAsia="宋体" w:cs="宋体"/>
          <w:i w:val="0"/>
          <w:iCs w:val="0"/>
          <w:color w:val="auto"/>
          <w:sz w:val="21"/>
          <w:szCs w:val="21"/>
          <w:u w:val="single"/>
        </w:rPr>
        <w:t>中小企业生产且使用该中小企业商号或者注册商标</w:t>
      </w:r>
      <w:r>
        <w:rPr>
          <w:rFonts w:hint="eastAsia" w:ascii="宋体" w:hAnsi="宋体" w:eastAsia="宋体" w:cs="宋体"/>
          <w:i w:val="0"/>
          <w:iCs w:val="0"/>
          <w:color w:val="auto"/>
          <w:sz w:val="21"/>
          <w:szCs w:val="21"/>
        </w:rPr>
        <w:t>。如果一个采购项目或采购包含有多个采购标的的，则每个采购标的均应由中小企业制造。在</w:t>
      </w:r>
      <w:r>
        <w:rPr>
          <w:rFonts w:hint="eastAsia" w:ascii="宋体" w:hAnsi="宋体" w:eastAsia="宋体" w:cs="宋体"/>
          <w:i w:val="0"/>
          <w:iCs w:val="0"/>
          <w:sz w:val="21"/>
          <w:szCs w:val="21"/>
        </w:rPr>
        <w:t>服务采购项目中，服务由中小企业承接，即提供服务的人员为中小企业依照《中华人民共和国劳动合同法》订</w:t>
      </w:r>
      <w:r>
        <w:rPr>
          <w:rFonts w:hint="eastAsia" w:ascii="宋体" w:hAnsi="宋体" w:eastAsia="宋体" w:cs="宋体"/>
          <w:i w:val="0"/>
          <w:iCs w:val="0"/>
          <w:color w:val="auto"/>
          <w:sz w:val="21"/>
          <w:szCs w:val="21"/>
          <w:highlight w:val="none"/>
        </w:rPr>
        <w:t>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1.6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1.7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1.8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1.9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384D55B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4</w:t>
      </w:r>
      <w:r>
        <w:rPr>
          <w:rFonts w:hint="eastAsia" w:ascii="宋体" w:hAnsi="宋体" w:eastAsia="宋体" w:cs="宋体"/>
          <w:i w:val="0"/>
          <w:iCs w:val="0"/>
          <w:color w:val="auto"/>
          <w:sz w:val="21"/>
          <w:szCs w:val="21"/>
          <w:highlight w:val="none"/>
          <w:u w:val="single"/>
          <w:lang w:eastAsia="zh-CN"/>
        </w:rPr>
        <w:t>）《中小企业声明函》填写不全（从业人员、营业收入、资产总额在中小企业划型标准规定中不涉及的除外），或未按照《中小企业声明函》要求填写的，视为未提供《中小企业声明函》，不享受中小企业扶持政策。</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w:t>
      </w:r>
      <w:r>
        <w:rPr>
          <w:rFonts w:hint="eastAsia" w:ascii="宋体" w:hAnsi="宋体" w:eastAsia="宋体" w:cs="宋体"/>
          <w:i w:val="0"/>
          <w:iCs w:val="0"/>
          <w:sz w:val="21"/>
          <w:szCs w:val="21"/>
        </w:rPr>
        <w:t>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3.</w:t>
      </w:r>
      <w:r>
        <w:rPr>
          <w:rFonts w:hint="eastAsia" w:ascii="宋体" w:hAnsi="宋体" w:eastAsia="宋体" w:cs="宋体"/>
          <w:b/>
          <w:bCs/>
          <w:i w:val="0"/>
          <w:iCs w:val="0"/>
          <w:sz w:val="21"/>
          <w:szCs w:val="21"/>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3"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w:t>
      </w:r>
      <w:r>
        <w:rPr>
          <w:rFonts w:hint="eastAsia" w:ascii="宋体" w:hAnsi="宋体" w:eastAsia="宋体" w:cs="Times New Roman"/>
          <w:bCs/>
          <w:spacing w:val="-6"/>
          <w:szCs w:val="21"/>
          <w:highlight w:val="none"/>
        </w:rPr>
        <w:t>）。投标人应将投标文件各部分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3"/>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w:t>
      </w:r>
      <w:r>
        <w:rPr>
          <w:rFonts w:hint="eastAsia" w:ascii="宋体" w:hAnsi="宋体" w:eastAsia="宋体"/>
          <w:spacing w:val="-6"/>
          <w:szCs w:val="21"/>
        </w:rPr>
        <w:t>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4" w:name="_Hlk96329183"/>
      <w:r>
        <w:rPr>
          <w:rFonts w:hint="eastAsia" w:ascii="宋体" w:hAnsi="宋体" w:eastAsia="宋体"/>
          <w:spacing w:val="-6"/>
          <w:szCs w:val="21"/>
        </w:rPr>
        <w:t>加盖公章</w:t>
      </w:r>
      <w:bookmarkEnd w:id="44"/>
      <w:r>
        <w:rPr>
          <w:rFonts w:hint="eastAsia" w:ascii="宋体" w:hAnsi="宋体" w:eastAsia="宋体"/>
          <w:spacing w:val="-6"/>
          <w:szCs w:val="21"/>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rPr>
        <w:t>3.投标文件不得涂改，若有修改错漏处，须由投</w:t>
      </w:r>
      <w:r>
        <w:rPr>
          <w:rFonts w:ascii="宋体" w:hAnsi="宋体" w:eastAsia="宋体"/>
          <w:spacing w:val="-6"/>
          <w:szCs w:val="21"/>
          <w:highlight w:val="none"/>
        </w:rPr>
        <w:t>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val="en-US" w:eastAsia="zh-CN"/>
        </w:rPr>
        <w:t>王莹</w:t>
      </w:r>
      <w:r>
        <w:rPr>
          <w:rFonts w:hint="eastAsia" w:ascii="宋体" w:hAnsi="宋体" w:eastAsia="宋体" w:cs="宋体"/>
          <w:b/>
          <w:bCs/>
          <w:szCs w:val="21"/>
          <w:highlight w:val="none"/>
        </w:rPr>
        <w:t>）收，电话：0571-8766</w:t>
      </w:r>
      <w:r>
        <w:rPr>
          <w:rFonts w:hint="eastAsia" w:ascii="宋体" w:hAnsi="宋体" w:eastAsia="宋体" w:cs="宋体"/>
          <w:b/>
          <w:bCs/>
          <w:szCs w:val="21"/>
          <w:highlight w:val="none"/>
          <w:lang w:val="en-US" w:eastAsia="zh-CN"/>
        </w:rPr>
        <w:t>6117</w:t>
      </w:r>
      <w:r>
        <w:rPr>
          <w:rFonts w:hint="eastAsia" w:ascii="宋体" w:hAnsi="宋体" w:eastAsia="宋体" w:cs="宋体"/>
          <w:b/>
          <w:bCs/>
          <w:szCs w:val="21"/>
          <w:highlight w:val="none"/>
        </w:rPr>
        <w:t>，寄出后将（快递单号、项目名称、公司名称、联系方式等相关信息）发至：zb</w:t>
      </w:r>
      <w:r>
        <w:rPr>
          <w:rFonts w:hint="eastAsia" w:ascii="宋体" w:hAnsi="宋体" w:eastAsia="宋体" w:cs="宋体"/>
          <w:b/>
          <w:bCs/>
          <w:szCs w:val="21"/>
          <w:highlight w:val="none"/>
          <w:lang w:val="en-US" w:eastAsia="zh-CN"/>
        </w:rPr>
        <w:t>05</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5" w:name="_Hlk94018616"/>
      <w:r>
        <w:rPr>
          <w:rFonts w:hint="eastAsia" w:ascii="宋体" w:hAnsi="宋体" w:eastAsia="宋体"/>
          <w:spacing w:val="-6"/>
          <w:szCs w:val="21"/>
        </w:rPr>
        <w:t>▲d.投标人仅递交备份投标文件而未将电子加密投标文件成功上传至政府采购云平台的，投标无效。</w:t>
      </w:r>
    </w:p>
    <w:bookmarkEnd w:id="45"/>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szCs w:val="21"/>
        </w:rPr>
      </w:pPr>
      <w:bookmarkStart w:id="46" w:name="_Hlk94018664"/>
      <w:r>
        <w:rPr>
          <w:rFonts w:hint="eastAsia" w:ascii="宋体" w:hAnsi="宋体" w:eastAsia="宋体"/>
          <w:szCs w:val="21"/>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szCs w:val="21"/>
        </w:rPr>
      </w:pPr>
      <w:r>
        <w:rPr>
          <w:rFonts w:hint="eastAsia" w:ascii="宋体" w:hAnsi="宋体" w:eastAsia="宋体"/>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szCs w:val="21"/>
        </w:rPr>
        <w:t>3.投标报价是履行合</w:t>
      </w:r>
      <w:r>
        <w:rPr>
          <w:rFonts w:hint="eastAsia" w:ascii="宋体" w:hAnsi="宋体" w:eastAsia="宋体"/>
          <w:color w:val="auto"/>
          <w:szCs w:val="21"/>
        </w:rPr>
        <w:t>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4FE6AE9">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6"/>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4"/>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rPr>
      </w:pPr>
      <w:r>
        <w:rPr>
          <w:rFonts w:ascii="宋体" w:hAnsi="宋体" w:eastAsia="宋体" w:cs="Times New Roman"/>
          <w:b/>
          <w:color w:val="auto"/>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7" w:name="_Hlk94018682"/>
      <w:r>
        <w:rPr>
          <w:rFonts w:hint="eastAsia" w:ascii="宋体" w:hAnsi="宋体" w:eastAsia="宋体" w:cs="宋体"/>
          <w:szCs w:val="21"/>
        </w:rPr>
        <w:t>未响应招标文件“▲”标记条款要求的，投标无效。</w:t>
      </w:r>
    </w:p>
    <w:bookmarkEnd w:id="47"/>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w:t>
      </w:r>
      <w:r>
        <w:rPr>
          <w:rFonts w:ascii="宋体" w:hAnsi="宋体" w:eastAsia="宋体" w:cs="Times New Roman"/>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w:t>
      </w:r>
      <w:r>
        <w:rPr>
          <w:rFonts w:ascii="宋体" w:hAnsi="宋体" w:eastAsia="宋体" w:cs="Times New Roman"/>
          <w:b/>
          <w:spacing w:val="-6"/>
          <w:szCs w:val="21"/>
        </w:rPr>
        <w:t>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06DECB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028CB5E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68CDD10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5A480027">
      <w:pPr>
        <w:widowControl/>
        <w:adjustRightInd w:val="0"/>
        <w:snapToGrid w:val="0"/>
        <w:spacing w:line="288" w:lineRule="auto"/>
        <w:ind w:firstLine="396" w:firstLineChars="200"/>
        <w:jc w:val="left"/>
        <w:rPr>
          <w:rFonts w:ascii="宋体" w:hAnsi="宋体" w:eastAsia="宋体" w:cs="Times New Roman"/>
          <w:spacing w:val="-6"/>
          <w:szCs w:val="21"/>
        </w:rPr>
      </w:pPr>
      <w:bookmarkStart w:id="48"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17C2A7F4">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rPr>
      </w:pPr>
      <w:r>
        <w:rPr>
          <w:rFonts w:hint="eastAsia" w:ascii="宋体" w:hAnsi="宋体" w:eastAsia="宋体" w:cs="Times New Roman"/>
          <w:spacing w:val="-6"/>
          <w:szCs w:val="21"/>
        </w:rPr>
        <w:t>（5）不同投标</w:t>
      </w:r>
      <w:r>
        <w:rPr>
          <w:rFonts w:hint="eastAsia" w:ascii="宋体" w:hAnsi="宋体" w:eastAsia="宋体" w:cs="Times New Roman"/>
          <w:color w:val="auto"/>
          <w:spacing w:val="-6"/>
          <w:szCs w:val="21"/>
        </w:rPr>
        <w:t>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99"/>
        <w:snapToGrid w:val="0"/>
        <w:spacing w:before="0" w:line="288" w:lineRule="auto"/>
        <w:ind w:left="0" w:firstLine="424" w:firstLineChars="201"/>
        <w:rPr>
          <w:rFonts w:ascii="宋体" w:hAnsi="宋体"/>
          <w:szCs w:val="21"/>
        </w:rPr>
      </w:pPr>
      <w:bookmarkStart w:id="49" w:name="_Hlk94018775"/>
      <w:r>
        <w:rPr>
          <w:rFonts w:hint="eastAsia" w:ascii="宋体" w:hAnsi="宋体" w:cs="仿宋_GB2312"/>
          <w:b/>
          <w:szCs w:val="21"/>
        </w:rPr>
        <w:t>（一）</w:t>
      </w:r>
      <w:r>
        <w:rPr>
          <w:rFonts w:ascii="宋体" w:hAnsi="宋体" w:cs="仿宋_GB2312"/>
          <w:b/>
          <w:szCs w:val="21"/>
        </w:rPr>
        <w:t>开标</w:t>
      </w:r>
    </w:p>
    <w:p w14:paraId="2F065863">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9"/>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0"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0"/>
    <w:p w14:paraId="5D57FFF1">
      <w:pPr>
        <w:adjustRightInd w:val="0"/>
        <w:snapToGrid w:val="0"/>
        <w:spacing w:line="288" w:lineRule="auto"/>
        <w:ind w:firstLine="426" w:firstLineChars="202"/>
        <w:rPr>
          <w:rFonts w:ascii="宋体" w:hAnsi="宋体" w:eastAsia="宋体" w:cs="Arial"/>
          <w:b/>
          <w:kern w:val="0"/>
          <w:szCs w:val="21"/>
        </w:rPr>
      </w:pPr>
      <w:bookmarkStart w:id="51"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8"/>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kern w:val="0"/>
          <w:sz w:val="21"/>
          <w:szCs w:val="21"/>
          <w:highlight w:val="none"/>
        </w:rPr>
        <w:t>投标人收</w:t>
      </w:r>
      <w:r>
        <w:rPr>
          <w:rFonts w:hint="eastAsia" w:ascii="宋体" w:hAnsi="宋体" w:cs="仿宋"/>
          <w:color w:val="auto"/>
          <w:kern w:val="0"/>
          <w:sz w:val="21"/>
          <w:szCs w:val="21"/>
          <w:highlight w:val="none"/>
        </w:rPr>
        <w:t>到修正确认文件后，在规定时间内未做出回复的，视为不确认。</w:t>
      </w:r>
    </w:p>
    <w:p w14:paraId="72E78927">
      <w:pPr>
        <w:pStyle w:val="98"/>
        <w:adjustRightInd w:val="0"/>
        <w:snapToGrid w:val="0"/>
        <w:spacing w:before="0" w:line="288" w:lineRule="auto"/>
        <w:ind w:firstLine="424" w:firstLineChars="202"/>
        <w:rPr>
          <w:rFonts w:hint="eastAsia" w:ascii="宋体" w:hAnsi="宋体" w:cs="仿宋"/>
          <w:color w:val="auto"/>
          <w:kern w:val="0"/>
          <w:sz w:val="21"/>
          <w:szCs w:val="21"/>
          <w:highlight w:val="yellow"/>
        </w:rPr>
      </w:pP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618FEE99">
      <w:pPr>
        <w:pStyle w:val="98"/>
        <w:adjustRightInd w:val="0"/>
        <w:snapToGrid w:val="0"/>
        <w:spacing w:before="0" w:line="288" w:lineRule="auto"/>
        <w:ind w:firstLine="424" w:firstLineChars="202"/>
        <w:rPr>
          <w:rFonts w:hint="eastAsia" w:ascii="宋体" w:hAnsi="宋体" w:cs="仿宋"/>
          <w:color w:val="auto"/>
          <w:kern w:val="0"/>
          <w:sz w:val="21"/>
          <w:szCs w:val="21"/>
          <w:highlight w:val="yellow"/>
        </w:rPr>
      </w:pPr>
    </w:p>
    <w:p w14:paraId="73B51F58">
      <w:pPr>
        <w:adjustRightInd w:val="0"/>
        <w:snapToGrid w:val="0"/>
        <w:spacing w:line="288" w:lineRule="auto"/>
        <w:ind w:firstLine="426" w:firstLineChars="202"/>
        <w:rPr>
          <w:rFonts w:ascii="宋体" w:hAnsi="宋体" w:eastAsia="宋体" w:cs="Arial"/>
          <w:b/>
          <w:color w:val="auto"/>
          <w:kern w:val="0"/>
          <w:szCs w:val="21"/>
        </w:rPr>
      </w:pPr>
      <w:r>
        <w:rPr>
          <w:rFonts w:hint="eastAsia" w:ascii="宋体" w:hAnsi="宋体" w:eastAsia="宋体" w:cs="Arial"/>
          <w:b/>
          <w:color w:val="auto"/>
          <w:kern w:val="0"/>
          <w:szCs w:val="21"/>
        </w:rPr>
        <w:t>（五）投标人澄清、说明或者补正</w:t>
      </w:r>
    </w:p>
    <w:p w14:paraId="4DC6E1F4">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color w:val="auto"/>
          <w:kern w:val="0"/>
          <w:sz w:val="21"/>
          <w:szCs w:val="21"/>
        </w:rPr>
        <w:t>对于投标文件中含义不明确、同类问题表述不一致或者有明显文字和计算错误的</w:t>
      </w:r>
      <w:r>
        <w:rPr>
          <w:rFonts w:hint="eastAsia" w:ascii="宋体" w:hAnsi="宋体" w:cs="Arial"/>
          <w:kern w:val="0"/>
          <w:sz w:val="21"/>
          <w:szCs w:val="21"/>
        </w:rPr>
        <w:t>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zb**@qszb.net）或传真号码（0571-87666116）提交。</w:t>
      </w:r>
    </w:p>
    <w:p w14:paraId="177CC83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557EB9E5">
      <w:pPr>
        <w:adjustRightInd w:val="0"/>
        <w:snapToGrid w:val="0"/>
        <w:spacing w:line="288" w:lineRule="auto"/>
        <w:ind w:firstLine="424" w:firstLineChars="202"/>
        <w:rPr>
          <w:rFonts w:ascii="宋体" w:hAnsi="宋体" w:eastAsia="宋体" w:cs="Arial"/>
          <w:kern w:val="0"/>
          <w:szCs w:val="21"/>
        </w:rPr>
      </w:pPr>
    </w:p>
    <w:p w14:paraId="2B7CEC0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1"/>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w:t>
      </w:r>
      <w:r>
        <w:rPr>
          <w:rFonts w:ascii="宋体" w:hAnsi="宋体" w:eastAsia="宋体" w:cs="Times New Roman"/>
          <w:spacing w:val="-6"/>
          <w:szCs w:val="21"/>
          <w:highlight w:val="none"/>
        </w:rPr>
        <w:t>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w:t>
      </w:r>
      <w:r>
        <w:rPr>
          <w:rFonts w:hint="eastAsia" w:ascii="宋体" w:hAnsi="宋体" w:eastAsia="宋体" w:cs="Times New Roman"/>
          <w:szCs w:val="21"/>
        </w:rPr>
        <w:t>://zfcg.czt.zj.gov.cn）。</w:t>
      </w:r>
    </w:p>
    <w:p w14:paraId="59DD5AA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 xml:space="preserve">第四章 </w:t>
      </w:r>
      <w:r>
        <w:rPr>
          <w:rFonts w:hint="eastAsia" w:ascii="宋体" w:hAnsi="宋体" w:eastAsia="宋体" w:cs="Times New Roman"/>
          <w:b/>
          <w:sz w:val="32"/>
          <w:szCs w:val="32"/>
          <w:highlight w:val="none"/>
        </w:rPr>
        <w:t xml:space="preserve">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highlight w:val="none"/>
        </w:rPr>
        <w:t>本次评标采用综合评分法，总分为100分。评分过程中采用</w:t>
      </w:r>
      <w:r>
        <w:rPr>
          <w:rFonts w:hint="eastAsia" w:ascii="宋体" w:hAnsi="宋体" w:eastAsia="宋体" w:cs="Times New Roman"/>
          <w:bCs/>
          <w:spacing w:val="-6"/>
          <w:szCs w:val="21"/>
        </w:rPr>
        <w:t>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56B38FD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5AE3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FFB1986">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0F0F2BAF">
            <w:pPr>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540B91BE">
            <w:pPr>
              <w:adjustRightInd w:val="0"/>
              <w:snapToGrid w:val="0"/>
              <w:spacing w:line="288" w:lineRule="auto"/>
              <w:jc w:val="center"/>
              <w:rPr>
                <w:rFonts w:hint="eastAsia" w:ascii="宋体" w:hAnsi="宋体" w:eastAsia="宋体" w:cs="Times New Roman"/>
                <w:b/>
                <w:bCs/>
                <w:szCs w:val="21"/>
              </w:rPr>
            </w:pPr>
            <w:r>
              <w:rPr>
                <w:rFonts w:ascii="宋体" w:hAnsi="宋体" w:eastAsia="宋体" w:cs="Times New Roman"/>
                <w:b/>
                <w:bCs/>
                <w:szCs w:val="21"/>
              </w:rPr>
              <w:t>评分标准</w:t>
            </w:r>
          </w:p>
        </w:tc>
      </w:tr>
      <w:tr w14:paraId="052F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4E58BC5">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2</w:t>
            </w:r>
            <w:r>
              <w:rPr>
                <w:rFonts w:ascii="宋体" w:hAnsi="宋体" w:eastAsia="宋体" w:cs="Times New Roman"/>
                <w:b/>
                <w:bCs/>
                <w:szCs w:val="21"/>
              </w:rPr>
              <w:t>0</w:t>
            </w:r>
            <w:r>
              <w:rPr>
                <w:rFonts w:hint="eastAsia" w:ascii="宋体" w:hAnsi="宋体" w:eastAsia="宋体" w:cs="Times New Roman"/>
                <w:b/>
                <w:bCs/>
                <w:szCs w:val="21"/>
              </w:rPr>
              <w:t>）</w:t>
            </w:r>
          </w:p>
        </w:tc>
      </w:tr>
      <w:tr w14:paraId="0692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FAD05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231805E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0</w:t>
            </w:r>
          </w:p>
        </w:tc>
        <w:tc>
          <w:tcPr>
            <w:tcW w:w="7072" w:type="dxa"/>
            <w:tcBorders>
              <w:top w:val="single" w:color="auto" w:sz="4" w:space="0"/>
              <w:left w:val="single" w:color="auto" w:sz="4" w:space="0"/>
              <w:bottom w:val="single" w:color="auto" w:sz="4" w:space="0"/>
              <w:right w:val="single" w:color="auto" w:sz="4" w:space="0"/>
            </w:tcBorders>
            <w:vAlign w:val="center"/>
          </w:tcPr>
          <w:p w14:paraId="6BA8514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334203A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2</w:t>
            </w:r>
            <w:r>
              <w:rPr>
                <w:rFonts w:hint="eastAsia" w:ascii="宋体" w:hAnsi="宋体" w:eastAsia="宋体" w:cs="宋体"/>
                <w:szCs w:val="21"/>
              </w:rPr>
              <w:t>0%×100</w:t>
            </w:r>
          </w:p>
          <w:p w14:paraId="617407CC">
            <w:pPr>
              <w:adjustRightInd w:val="0"/>
              <w:snapToGrid w:val="0"/>
              <w:spacing w:line="288" w:lineRule="auto"/>
              <w:rPr>
                <w:rFonts w:hint="eastAsia" w:ascii="宋体" w:hAnsi="宋体" w:eastAsia="宋体" w:cs="宋体"/>
                <w:szCs w:val="21"/>
              </w:rPr>
            </w:pP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6146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B792328">
            <w:pPr>
              <w:adjustRightInd w:val="0"/>
              <w:snapToGrid w:val="0"/>
              <w:spacing w:line="288" w:lineRule="auto"/>
              <w:jc w:val="left"/>
              <w:rPr>
                <w:rFonts w:hint="eastAsia"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（2）</w:t>
            </w:r>
          </w:p>
        </w:tc>
      </w:tr>
      <w:tr w14:paraId="6AA7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89B5C5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2B32646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vAlign w:val="center"/>
          </w:tcPr>
          <w:p w14:paraId="474375E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020DE8C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投标人自202</w:t>
            </w:r>
            <w:r>
              <w:rPr>
                <w:rFonts w:hint="eastAsia" w:ascii="宋体" w:hAnsi="宋体" w:eastAsia="宋体" w:cs="宋体"/>
                <w:szCs w:val="21"/>
                <w:lang w:val="en-US" w:eastAsia="zh-CN"/>
              </w:rPr>
              <w:t>2</w:t>
            </w:r>
            <w:r>
              <w:rPr>
                <w:rFonts w:hint="eastAsia" w:ascii="宋体" w:hAnsi="宋体" w:eastAsia="宋体" w:cs="宋体"/>
                <w:szCs w:val="21"/>
              </w:rPr>
              <w:t>年1月1日以来（以合同签订时间为准）同类合同业绩（以提供的合同扫描件为准</w:t>
            </w:r>
            <w:r>
              <w:rPr>
                <w:rFonts w:hint="eastAsia" w:ascii="宋体" w:hAnsi="宋体" w:eastAsia="宋体" w:cs="宋体"/>
                <w:szCs w:val="21"/>
                <w:lang w:eastAsia="zh-CN"/>
              </w:rPr>
              <w:t>，</w:t>
            </w:r>
            <w:r>
              <w:rPr>
                <w:rFonts w:hint="eastAsia" w:ascii="宋体" w:hAnsi="宋体" w:eastAsia="宋体" w:cs="宋体"/>
                <w:szCs w:val="21"/>
                <w:lang w:val="en-US" w:eastAsia="zh-CN"/>
              </w:rPr>
              <w:t>原件备查</w:t>
            </w:r>
            <w:r>
              <w:rPr>
                <w:rFonts w:hint="eastAsia" w:ascii="宋体" w:hAnsi="宋体" w:eastAsia="宋体" w:cs="宋体"/>
                <w:szCs w:val="21"/>
              </w:rPr>
              <w:t>）：每提供1份合同业绩得</w:t>
            </w:r>
            <w:r>
              <w:rPr>
                <w:rFonts w:ascii="宋体" w:hAnsi="宋体" w:eastAsia="宋体" w:cs="宋体"/>
                <w:szCs w:val="21"/>
              </w:rPr>
              <w:t>1</w:t>
            </w:r>
            <w:r>
              <w:rPr>
                <w:rFonts w:hint="eastAsia" w:ascii="宋体" w:hAnsi="宋体" w:eastAsia="宋体" w:cs="宋体"/>
                <w:szCs w:val="21"/>
              </w:rPr>
              <w:t>分，最高得2分。</w:t>
            </w:r>
          </w:p>
        </w:tc>
      </w:tr>
      <w:tr w14:paraId="6E9C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9899817">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7</w:t>
            </w:r>
            <w:r>
              <w:rPr>
                <w:rFonts w:hint="eastAsia" w:ascii="宋体" w:hAnsi="宋体" w:eastAsia="宋体" w:cs="Times New Roman"/>
                <w:b/>
                <w:bCs/>
                <w:szCs w:val="21"/>
              </w:rPr>
              <w:t>8）</w:t>
            </w:r>
          </w:p>
        </w:tc>
      </w:tr>
      <w:tr w14:paraId="2518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4A80DED">
            <w:pPr>
              <w:adjustRightInd w:val="0"/>
              <w:snapToGrid w:val="0"/>
              <w:spacing w:line="288" w:lineRule="auto"/>
              <w:jc w:val="center"/>
              <w:rPr>
                <w:rFonts w:hint="eastAsia" w:ascii="宋体" w:hAnsi="宋体" w:eastAsia="宋体" w:cs="宋体"/>
                <w:b/>
                <w:bCs/>
                <w:szCs w:val="21"/>
              </w:rPr>
            </w:pPr>
            <w:bookmarkStart w:id="52" w:name="OLE_LINK6" w:colFirst="1" w:colLast="1"/>
            <w:r>
              <w:rPr>
                <w:rFonts w:hint="eastAsia" w:ascii="宋体" w:hAnsi="宋体" w:eastAsia="宋体" w:cs="宋体"/>
                <w:b/>
                <w:bCs/>
                <w:szCs w:val="21"/>
              </w:rPr>
              <w:t>响应程度</w:t>
            </w:r>
          </w:p>
        </w:tc>
        <w:tc>
          <w:tcPr>
            <w:tcW w:w="654" w:type="dxa"/>
            <w:vAlign w:val="center"/>
          </w:tcPr>
          <w:p w14:paraId="3E2AFEA9">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rPr>
              <w:t>2</w:t>
            </w:r>
            <w:r>
              <w:rPr>
                <w:rFonts w:hint="eastAsia" w:ascii="宋体" w:hAnsi="宋体" w:eastAsia="宋体" w:cs="宋体"/>
                <w:b/>
                <w:bCs/>
                <w:szCs w:val="21"/>
                <w:lang w:val="en-US" w:eastAsia="zh-CN"/>
              </w:rPr>
              <w:t>4</w:t>
            </w:r>
          </w:p>
        </w:tc>
        <w:tc>
          <w:tcPr>
            <w:tcW w:w="7072" w:type="dxa"/>
            <w:vAlign w:val="center"/>
          </w:tcPr>
          <w:p w14:paraId="127870C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318ABAB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不符合（负偏离）服务要求及服务内容要求中标注“▲”条款（不可偏离）的投标无效；</w:t>
            </w:r>
          </w:p>
          <w:p w14:paraId="322AAC9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满足招标文件明确的全部条款要求的</w:t>
            </w:r>
            <w:r>
              <w:rPr>
                <w:rFonts w:hint="eastAsia" w:ascii="宋体" w:hAnsi="宋体" w:eastAsia="宋体" w:cs="Times New Roman"/>
                <w:szCs w:val="21"/>
              </w:rPr>
              <w:t>该项得满分</w:t>
            </w:r>
            <w:r>
              <w:rPr>
                <w:rFonts w:hint="eastAsia" w:ascii="宋体" w:hAnsi="宋体" w:eastAsia="宋体" w:cs="宋体"/>
                <w:szCs w:val="21"/>
              </w:rPr>
              <w:t>；</w:t>
            </w:r>
          </w:p>
          <w:p w14:paraId="2A2C0515">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服务要求及服务内容条款低于服务要求及服务内容要求（负偏离）的每项扣4分；</w:t>
            </w:r>
          </w:p>
          <w:p w14:paraId="75CBC38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w:t>
            </w:r>
            <w:r>
              <w:rPr>
                <w:rFonts w:hint="eastAsia" w:ascii="宋体" w:hAnsi="宋体" w:eastAsia="宋体" w:cs="宋体"/>
                <w:szCs w:val="21"/>
                <w:lang w:val="en-US" w:eastAsia="zh-CN"/>
              </w:rPr>
              <w:t>6</w:t>
            </w:r>
            <w:r>
              <w:rPr>
                <w:rFonts w:ascii="宋体" w:hAnsi="宋体" w:eastAsia="宋体" w:cs="宋体"/>
                <w:szCs w:val="21"/>
              </w:rPr>
              <w:t>项及以上的，视为采购人不能接受的附加条件。</w:t>
            </w:r>
          </w:p>
        </w:tc>
      </w:tr>
      <w:tr w14:paraId="6BCB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27B6441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165EBABD">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4B2EA7B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7E52D7C">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投标人提供的遗体接收方案专业、可行（包括对遗体捐献的宣传和沟通方案）</w:t>
            </w:r>
            <w:r>
              <w:rPr>
                <w:rFonts w:hint="eastAsia" w:ascii="宋体" w:hAnsi="宋体" w:eastAsia="宋体" w:cs="宋体"/>
                <w:szCs w:val="21"/>
              </w:rPr>
              <w:t>。</w:t>
            </w:r>
          </w:p>
          <w:p w14:paraId="0E0EE09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w:t>
            </w:r>
            <w:r>
              <w:rPr>
                <w:rFonts w:hint="eastAsia" w:ascii="宋体" w:hAnsi="宋体" w:eastAsia="宋体" w:cs="宋体"/>
                <w:szCs w:val="21"/>
                <w:highlight w:val="none"/>
              </w:rPr>
              <w:t>5</w:t>
            </w:r>
            <w:r>
              <w:rPr>
                <w:rFonts w:hint="eastAsia" w:ascii="宋体" w:hAnsi="宋体" w:eastAsia="宋体" w:cs="宋体"/>
                <w:szCs w:val="21"/>
              </w:rPr>
              <w:t>,4,3,2,1,0）</w:t>
            </w:r>
          </w:p>
        </w:tc>
      </w:tr>
      <w:tr w14:paraId="3F6F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06BD012">
            <w:pPr>
              <w:adjustRightInd w:val="0"/>
              <w:snapToGrid w:val="0"/>
              <w:spacing w:line="288" w:lineRule="auto"/>
              <w:jc w:val="center"/>
              <w:rPr>
                <w:rFonts w:hint="eastAsia"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0C63865">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2F23B12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0D6513B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现场驻点服务工作内容（实验材料处理、协助教学、工作记录等）的完整性，以及</w:t>
            </w:r>
            <w:r>
              <w:rPr>
                <w:rFonts w:hint="eastAsia" w:ascii="宋体" w:hAnsi="宋体" w:eastAsia="宋体" w:cs="宋体"/>
                <w:szCs w:val="21"/>
                <w:highlight w:val="none"/>
                <w:lang w:val="en-US" w:eastAsia="zh-CN"/>
              </w:rPr>
              <w:t>对</w:t>
            </w:r>
            <w:r>
              <w:rPr>
                <w:rFonts w:hint="eastAsia" w:ascii="宋体" w:hAnsi="宋体" w:eastAsia="宋体" w:cs="宋体"/>
                <w:szCs w:val="21"/>
                <w:highlight w:val="none"/>
              </w:rPr>
              <w:t>现场工作的合理性建议可行性。</w:t>
            </w:r>
          </w:p>
          <w:p w14:paraId="443989B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（评分范围：5</w:t>
            </w:r>
            <w:r>
              <w:rPr>
                <w:rFonts w:hint="eastAsia" w:ascii="宋体" w:hAnsi="宋体" w:eastAsia="宋体" w:cs="宋体"/>
                <w:szCs w:val="21"/>
              </w:rPr>
              <w:t>,</w:t>
            </w:r>
            <w:r>
              <w:rPr>
                <w:rFonts w:hint="eastAsia" w:ascii="宋体" w:hAnsi="宋体" w:eastAsia="宋体" w:cs="宋体"/>
                <w:szCs w:val="21"/>
                <w:highlight w:val="none"/>
              </w:rPr>
              <w:t>4,3,2,1,0）</w:t>
            </w:r>
          </w:p>
        </w:tc>
      </w:tr>
      <w:tr w14:paraId="5E94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103D709">
            <w:pPr>
              <w:adjustRightInd w:val="0"/>
              <w:snapToGrid w:val="0"/>
              <w:spacing w:line="288" w:lineRule="auto"/>
              <w:jc w:val="center"/>
              <w:rPr>
                <w:rFonts w:hint="eastAsia"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248A939">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506E692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lang w:val="en-US" w:eastAsia="zh-CN"/>
              </w:rPr>
              <w:t>投标人提供的遗体</w:t>
            </w:r>
            <w:r>
              <w:rPr>
                <w:rFonts w:hint="eastAsia" w:ascii="宋体" w:hAnsi="宋体" w:eastAsia="宋体" w:cs="宋体"/>
                <w:szCs w:val="21"/>
                <w:highlight w:val="none"/>
              </w:rPr>
              <w:t>防腐处理方案</w:t>
            </w:r>
            <w:r>
              <w:rPr>
                <w:rFonts w:hint="eastAsia" w:ascii="宋体" w:hAnsi="宋体" w:eastAsia="宋体" w:cs="宋体"/>
                <w:szCs w:val="21"/>
                <w:highlight w:val="none"/>
                <w:lang w:eastAsia="zh-CN"/>
              </w:rPr>
              <w:t>（</w:t>
            </w:r>
            <w:r>
              <w:rPr>
                <w:rFonts w:ascii="宋体" w:hAnsi="宋体" w:eastAsia="宋体" w:cs="宋体"/>
                <w:color w:val="000000"/>
                <w:sz w:val="21"/>
                <w:highlight w:val="none"/>
              </w:rPr>
              <w:t>防霉，防变，防腐败</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专业、合理、可行，满足本项目采购需求。</w:t>
            </w:r>
          </w:p>
          <w:p w14:paraId="704D721D">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（评分范围：5</w:t>
            </w:r>
            <w:r>
              <w:rPr>
                <w:rFonts w:hint="eastAsia" w:ascii="宋体" w:hAnsi="宋体" w:eastAsia="宋体" w:cs="宋体"/>
                <w:szCs w:val="21"/>
              </w:rPr>
              <w:t>,</w:t>
            </w:r>
            <w:r>
              <w:rPr>
                <w:rFonts w:hint="eastAsia" w:ascii="宋体" w:hAnsi="宋体" w:eastAsia="宋体" w:cs="宋体"/>
                <w:szCs w:val="21"/>
                <w:highlight w:val="none"/>
              </w:rPr>
              <w:t>4,3,2,1,0）</w:t>
            </w:r>
          </w:p>
        </w:tc>
      </w:tr>
      <w:tr w14:paraId="0408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6426186">
            <w:pPr>
              <w:adjustRightInd w:val="0"/>
              <w:snapToGrid w:val="0"/>
              <w:spacing w:line="288" w:lineRule="auto"/>
              <w:jc w:val="center"/>
              <w:rPr>
                <w:rFonts w:hint="eastAsia"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010CD685">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4F46ACF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lang w:val="en-US" w:eastAsia="zh-CN"/>
              </w:rPr>
              <w:t>投标人提供的</w:t>
            </w:r>
            <w:r>
              <w:rPr>
                <w:rFonts w:hint="eastAsia" w:ascii="宋体" w:hAnsi="宋体" w:eastAsia="宋体" w:cs="宋体"/>
                <w:szCs w:val="21"/>
                <w:highlight w:val="none"/>
              </w:rPr>
              <w:t>缅怀园技术实施</w:t>
            </w:r>
            <w:r>
              <w:rPr>
                <w:rFonts w:hint="eastAsia" w:ascii="宋体" w:hAnsi="宋体" w:eastAsia="宋体" w:cs="宋体"/>
                <w:szCs w:val="21"/>
                <w:highlight w:val="none"/>
                <w:lang w:val="en-US" w:eastAsia="zh-CN"/>
              </w:rPr>
              <w:t>方案（包括雕刻方案、防腐蚀处理方案、周边文化渲染方案）专业、合理、可行，满足本项目采购需求。</w:t>
            </w:r>
          </w:p>
          <w:p w14:paraId="361740F9">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（评分范围：5</w:t>
            </w:r>
            <w:r>
              <w:rPr>
                <w:rFonts w:hint="eastAsia" w:ascii="宋体" w:hAnsi="宋体" w:eastAsia="宋体" w:cs="宋体"/>
                <w:szCs w:val="21"/>
              </w:rPr>
              <w:t>,</w:t>
            </w:r>
            <w:r>
              <w:rPr>
                <w:rFonts w:hint="eastAsia" w:ascii="宋体" w:hAnsi="宋体" w:eastAsia="宋体" w:cs="宋体"/>
                <w:szCs w:val="21"/>
                <w:highlight w:val="none"/>
              </w:rPr>
              <w:t>4,3,2,1,0）</w:t>
            </w:r>
          </w:p>
        </w:tc>
      </w:tr>
      <w:tr w14:paraId="0E40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01239507">
            <w:pPr>
              <w:adjustRightInd w:val="0"/>
              <w:snapToGrid w:val="0"/>
              <w:spacing w:line="288" w:lineRule="auto"/>
              <w:jc w:val="center"/>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拟派人员</w:t>
            </w:r>
          </w:p>
        </w:tc>
        <w:tc>
          <w:tcPr>
            <w:tcW w:w="654" w:type="dxa"/>
            <w:tcBorders>
              <w:top w:val="single" w:color="auto" w:sz="4" w:space="0"/>
              <w:left w:val="single" w:color="auto" w:sz="4" w:space="0"/>
              <w:bottom w:val="single" w:color="auto" w:sz="4" w:space="0"/>
              <w:right w:val="single" w:color="auto" w:sz="4" w:space="0"/>
            </w:tcBorders>
            <w:vAlign w:val="center"/>
          </w:tcPr>
          <w:p w14:paraId="4D18DE05">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4E0A53A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7D386AA2">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拟派</w:t>
            </w:r>
            <w:r>
              <w:rPr>
                <w:rFonts w:hint="eastAsia" w:ascii="宋体" w:hAnsi="宋体" w:eastAsia="宋体" w:cs="宋体"/>
                <w:szCs w:val="21"/>
                <w:highlight w:val="none"/>
                <w:lang w:eastAsia="zh-CN"/>
              </w:rPr>
              <w:t>专业技术人员</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除</w:t>
            </w:r>
            <w:r>
              <w:rPr>
                <w:rFonts w:hint="eastAsia" w:ascii="宋体" w:hAnsi="宋体" w:eastAsia="宋体" w:cs="宋体"/>
                <w:szCs w:val="21"/>
                <w:highlight w:val="none"/>
              </w:rPr>
              <w:t>驻点人员</w:t>
            </w:r>
            <w:r>
              <w:rPr>
                <w:rFonts w:hint="eastAsia" w:ascii="宋体" w:hAnsi="宋体" w:eastAsia="宋体" w:cs="宋体"/>
                <w:szCs w:val="21"/>
                <w:highlight w:val="none"/>
                <w:lang w:val="en-US" w:eastAsia="zh-CN"/>
              </w:rPr>
              <w:t>外</w:t>
            </w:r>
            <w:r>
              <w:rPr>
                <w:rFonts w:hint="eastAsia" w:ascii="宋体" w:hAnsi="宋体" w:eastAsia="宋体" w:cs="宋体"/>
                <w:szCs w:val="21"/>
                <w:highlight w:val="none"/>
              </w:rPr>
              <w:t>）</w:t>
            </w:r>
            <w:r>
              <w:rPr>
                <w:rFonts w:hint="eastAsia" w:ascii="宋体" w:hAnsi="宋体" w:eastAsia="宋体" w:cs="宋体"/>
                <w:szCs w:val="21"/>
                <w:highlight w:val="none"/>
                <w:lang w:eastAsia="zh-CN"/>
              </w:rPr>
              <w:t>经验、专业技术能力情况：经验丰富、专业技术能力强，</w:t>
            </w:r>
            <w:r>
              <w:rPr>
                <w:rFonts w:hint="eastAsia" w:ascii="宋体" w:hAnsi="宋体" w:eastAsia="宋体" w:cs="宋体"/>
                <w:szCs w:val="21"/>
                <w:highlight w:val="none"/>
                <w:lang w:val="en-US" w:eastAsia="zh-CN"/>
              </w:rPr>
              <w:t>技术服务人员具有相关</w:t>
            </w:r>
            <w:r>
              <w:rPr>
                <w:rFonts w:hint="eastAsia" w:ascii="宋体" w:hAnsi="宋体" w:eastAsia="宋体" w:cs="宋体"/>
                <w:szCs w:val="21"/>
                <w:highlight w:val="none"/>
              </w:rPr>
              <w:t>执业证书</w:t>
            </w:r>
            <w:r>
              <w:rPr>
                <w:rFonts w:hint="eastAsia" w:ascii="宋体" w:hAnsi="宋体" w:eastAsia="宋体" w:cs="宋体"/>
                <w:szCs w:val="21"/>
                <w:highlight w:val="none"/>
                <w:lang w:eastAsia="zh-CN"/>
              </w:rPr>
              <w:t>、人员配置满足项目实施需要，工作规范、工作流程</w:t>
            </w:r>
            <w:r>
              <w:rPr>
                <w:rFonts w:hint="eastAsia" w:ascii="宋体" w:hAnsi="宋体" w:eastAsia="宋体" w:cs="宋体"/>
                <w:szCs w:val="21"/>
                <w:highlight w:val="none"/>
                <w:lang w:val="en-US" w:eastAsia="zh-CN"/>
              </w:rPr>
              <w:t>及</w:t>
            </w:r>
            <w:r>
              <w:rPr>
                <w:rFonts w:hint="eastAsia" w:ascii="宋体" w:hAnsi="宋体" w:eastAsia="宋体" w:cs="宋体"/>
                <w:szCs w:val="21"/>
                <w:highlight w:val="none"/>
                <w:lang w:eastAsia="zh-CN"/>
              </w:rPr>
              <w:t>权责分工</w:t>
            </w:r>
            <w:r>
              <w:rPr>
                <w:rFonts w:hint="eastAsia" w:ascii="宋体" w:hAnsi="宋体" w:eastAsia="宋体" w:cs="宋体"/>
                <w:szCs w:val="21"/>
                <w:highlight w:val="none"/>
                <w:lang w:val="en-US" w:eastAsia="zh-CN"/>
              </w:rPr>
              <w:t>明确。</w:t>
            </w:r>
          </w:p>
          <w:p w14:paraId="785FCCCC">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（评分范围：3,2,1,0）</w:t>
            </w:r>
          </w:p>
        </w:tc>
      </w:tr>
      <w:tr w14:paraId="68A8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61AE4D58">
            <w:pPr>
              <w:adjustRightInd w:val="0"/>
              <w:snapToGrid w:val="0"/>
              <w:spacing w:line="288" w:lineRule="auto"/>
              <w:jc w:val="center"/>
              <w:rPr>
                <w:rFonts w:hint="eastAsia"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6DA0CC5">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14:paraId="2C323E4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客</w:t>
            </w:r>
            <w:r>
              <w:rPr>
                <w:rFonts w:hint="eastAsia" w:ascii="宋体" w:hAnsi="宋体" w:eastAsia="宋体" w:cs="宋体"/>
                <w:szCs w:val="21"/>
                <w:highlight w:val="none"/>
              </w:rPr>
              <w:t>观分】</w:t>
            </w:r>
          </w:p>
          <w:p w14:paraId="3AE40B8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投标人拟派驻点人员具有同类项目经验的得2分。（需提供合同复印件或以往上岗证明材料复印件并加盖公章，原件备查）</w:t>
            </w:r>
          </w:p>
        </w:tc>
      </w:tr>
      <w:tr w14:paraId="259F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5576ADA1">
            <w:pPr>
              <w:adjustRightInd w:val="0"/>
              <w:snapToGrid w:val="0"/>
              <w:spacing w:line="288" w:lineRule="auto"/>
              <w:jc w:val="center"/>
              <w:rPr>
                <w:rFonts w:hint="eastAsia" w:ascii="宋体" w:hAnsi="宋体" w:eastAsia="宋体" w:cs="Times New Roman"/>
                <w:b/>
                <w:bCs/>
                <w:szCs w:val="21"/>
                <w:highlight w:val="none"/>
              </w:rPr>
            </w:pPr>
            <w:r>
              <w:rPr>
                <w:rFonts w:hint="eastAsia" w:ascii="宋体" w:hAnsi="宋体" w:eastAsia="宋体" w:cs="宋体"/>
                <w:b/>
                <w:bCs/>
                <w:szCs w:val="21"/>
                <w:highlight w:val="none"/>
              </w:rPr>
              <w:t>实验材料配置</w:t>
            </w:r>
          </w:p>
        </w:tc>
        <w:tc>
          <w:tcPr>
            <w:tcW w:w="654" w:type="dxa"/>
            <w:tcBorders>
              <w:top w:val="single" w:color="auto" w:sz="4" w:space="0"/>
              <w:left w:val="single" w:color="auto" w:sz="4" w:space="0"/>
              <w:bottom w:val="single" w:color="auto" w:sz="4" w:space="0"/>
              <w:right w:val="single" w:color="auto" w:sz="4" w:space="0"/>
            </w:tcBorders>
            <w:vAlign w:val="center"/>
          </w:tcPr>
          <w:p w14:paraId="44EFD2BA">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3F74103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629F2EB3">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实验材料的装卸、存放、清洗、回收处理等方案合理可行。</w:t>
            </w:r>
          </w:p>
          <w:p w14:paraId="0FCF7A9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（评分范围：5</w:t>
            </w:r>
            <w:r>
              <w:rPr>
                <w:rFonts w:hint="eastAsia" w:ascii="宋体" w:hAnsi="宋体" w:eastAsia="宋体" w:cs="宋体"/>
                <w:szCs w:val="21"/>
              </w:rPr>
              <w:t>,</w:t>
            </w:r>
            <w:r>
              <w:rPr>
                <w:rFonts w:hint="eastAsia" w:ascii="宋体" w:hAnsi="宋体" w:eastAsia="宋体" w:cs="宋体"/>
                <w:szCs w:val="21"/>
                <w:highlight w:val="none"/>
              </w:rPr>
              <w:t>4,3,2,1,0）</w:t>
            </w:r>
          </w:p>
        </w:tc>
      </w:tr>
      <w:tr w14:paraId="534F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027A3286">
            <w:pPr>
              <w:adjustRightInd w:val="0"/>
              <w:snapToGrid w:val="0"/>
              <w:spacing w:line="288" w:lineRule="auto"/>
              <w:jc w:val="center"/>
              <w:rPr>
                <w:rFonts w:hint="eastAsia" w:ascii="宋体" w:hAnsi="宋体" w:eastAsia="宋体" w:cs="宋体"/>
                <w:b/>
                <w:bCs/>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24F0EA37">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14:paraId="495607EA">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047A74E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标本制作工艺，数据采集方式及上传方案，灌装、散装存储容器情况的合理性、先进性。</w:t>
            </w:r>
          </w:p>
          <w:p w14:paraId="68E2792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（评分范围：5</w:t>
            </w:r>
            <w:r>
              <w:rPr>
                <w:rFonts w:hint="eastAsia" w:ascii="宋体" w:hAnsi="宋体" w:eastAsia="宋体" w:cs="宋体"/>
                <w:szCs w:val="21"/>
              </w:rPr>
              <w:t>,</w:t>
            </w:r>
            <w:r>
              <w:rPr>
                <w:rFonts w:hint="eastAsia" w:ascii="宋体" w:hAnsi="宋体" w:eastAsia="宋体" w:cs="宋体"/>
                <w:szCs w:val="21"/>
                <w:highlight w:val="none"/>
              </w:rPr>
              <w:t>4</w:t>
            </w:r>
            <w:r>
              <w:rPr>
                <w:rFonts w:hint="eastAsia" w:ascii="宋体" w:hAnsi="宋体" w:eastAsia="宋体" w:cs="宋体"/>
                <w:szCs w:val="21"/>
              </w:rPr>
              <w:t>,</w:t>
            </w:r>
            <w:r>
              <w:rPr>
                <w:rFonts w:hint="eastAsia" w:ascii="宋体" w:hAnsi="宋体" w:eastAsia="宋体" w:cs="宋体"/>
                <w:szCs w:val="21"/>
                <w:highlight w:val="none"/>
              </w:rPr>
              <w:t>3,2,1,0）</w:t>
            </w:r>
          </w:p>
        </w:tc>
      </w:tr>
      <w:tr w14:paraId="3A66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vAlign w:val="center"/>
          </w:tcPr>
          <w:p w14:paraId="6537BBE1">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Times New Roman"/>
                <w:b/>
                <w:bCs/>
                <w:szCs w:val="21"/>
              </w:rPr>
              <w:t>运输</w:t>
            </w:r>
            <w:r>
              <w:rPr>
                <w:rFonts w:hint="eastAsia" w:ascii="宋体" w:hAnsi="宋体" w:eastAsia="宋体" w:cs="Times New Roman"/>
                <w:b/>
                <w:bCs/>
                <w:szCs w:val="21"/>
                <w:lang w:val="en-US" w:eastAsia="zh-CN"/>
              </w:rPr>
              <w:t>工具</w:t>
            </w:r>
          </w:p>
        </w:tc>
        <w:tc>
          <w:tcPr>
            <w:tcW w:w="654" w:type="dxa"/>
            <w:tcBorders>
              <w:top w:val="single" w:color="auto" w:sz="4" w:space="0"/>
              <w:left w:val="single" w:color="auto" w:sz="4" w:space="0"/>
              <w:bottom w:val="single" w:color="auto" w:sz="4" w:space="0"/>
              <w:right w:val="single" w:color="auto" w:sz="4" w:space="0"/>
            </w:tcBorders>
            <w:vAlign w:val="center"/>
          </w:tcPr>
          <w:p w14:paraId="4D382597">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14:paraId="03C4999B">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63A5E51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投标人自有（或租赁）的运输工具</w:t>
            </w:r>
            <w:r>
              <w:rPr>
                <w:rFonts w:hint="eastAsia" w:ascii="宋体" w:hAnsi="宋体" w:eastAsia="宋体" w:cs="宋体"/>
                <w:szCs w:val="21"/>
                <w:lang w:eastAsia="zh-CN"/>
              </w:rPr>
              <w:t>（</w:t>
            </w:r>
            <w:r>
              <w:rPr>
                <w:rFonts w:hint="eastAsia" w:ascii="宋体" w:hAnsi="宋体" w:eastAsia="宋体" w:cs="宋体"/>
                <w:szCs w:val="21"/>
                <w:lang w:val="en-US" w:eastAsia="zh-CN"/>
              </w:rPr>
              <w:t>包括遗体运输车辆、</w:t>
            </w:r>
            <w:r>
              <w:rPr>
                <w:rFonts w:hint="eastAsia" w:ascii="宋体" w:hAnsi="宋体" w:eastAsia="宋体" w:cs="宋体"/>
                <w:szCs w:val="21"/>
              </w:rPr>
              <w:t>实验材料运送工具</w:t>
            </w:r>
            <w:r>
              <w:rPr>
                <w:rFonts w:hint="eastAsia" w:ascii="宋体" w:hAnsi="宋体" w:eastAsia="宋体" w:cs="宋体"/>
                <w:szCs w:val="21"/>
                <w:lang w:val="en-US" w:eastAsia="zh-CN"/>
              </w:rPr>
              <w:t>等</w:t>
            </w:r>
            <w:r>
              <w:rPr>
                <w:rFonts w:hint="eastAsia" w:ascii="宋体" w:hAnsi="宋体" w:eastAsia="宋体" w:cs="宋体"/>
                <w:szCs w:val="21"/>
                <w:lang w:eastAsia="zh-CN"/>
              </w:rPr>
              <w:t>）</w:t>
            </w:r>
            <w:r>
              <w:rPr>
                <w:rFonts w:hint="eastAsia" w:ascii="宋体" w:hAnsi="宋体" w:eastAsia="宋体" w:cs="宋体"/>
                <w:szCs w:val="21"/>
              </w:rPr>
              <w:t>的先进性及数量情况。</w:t>
            </w:r>
          </w:p>
          <w:p w14:paraId="3BCD289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rPr>
              <w:t>（评分范围：2,1,0）</w:t>
            </w:r>
          </w:p>
        </w:tc>
      </w:tr>
      <w:tr w14:paraId="4494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5CC60E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保障措施</w:t>
            </w:r>
          </w:p>
        </w:tc>
        <w:tc>
          <w:tcPr>
            <w:tcW w:w="654" w:type="dxa"/>
            <w:tcBorders>
              <w:top w:val="single" w:color="auto" w:sz="4" w:space="0"/>
              <w:left w:val="single" w:color="auto" w:sz="4" w:space="0"/>
              <w:bottom w:val="single" w:color="auto" w:sz="4" w:space="0"/>
              <w:right w:val="single" w:color="auto" w:sz="4" w:space="0"/>
            </w:tcBorders>
            <w:vAlign w:val="center"/>
          </w:tcPr>
          <w:p w14:paraId="0CAEE2FA">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2C464ED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04C370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投标供应商针对本项目</w:t>
            </w:r>
            <w:r>
              <w:rPr>
                <w:rFonts w:hint="eastAsia" w:ascii="宋体" w:hAnsi="宋体" w:eastAsia="宋体" w:cs="宋体"/>
                <w:szCs w:val="21"/>
                <w:lang w:val="en-US" w:eastAsia="zh-CN"/>
              </w:rPr>
              <w:t>提供</w:t>
            </w:r>
            <w:r>
              <w:rPr>
                <w:rFonts w:hint="eastAsia" w:ascii="宋体" w:hAnsi="宋体" w:eastAsia="宋体" w:cs="宋体"/>
                <w:szCs w:val="21"/>
              </w:rPr>
              <w:t>服务质量保障措施及安全保障措施。</w:t>
            </w:r>
          </w:p>
          <w:p w14:paraId="26E89B2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（评分范围：4,3,2,1,0）</w:t>
            </w:r>
          </w:p>
        </w:tc>
      </w:tr>
      <w:tr w14:paraId="788B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14343C7">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培训计划</w:t>
            </w:r>
          </w:p>
        </w:tc>
        <w:tc>
          <w:tcPr>
            <w:tcW w:w="654" w:type="dxa"/>
            <w:tcBorders>
              <w:top w:val="single" w:color="auto" w:sz="4" w:space="0"/>
              <w:left w:val="single" w:color="auto" w:sz="4" w:space="0"/>
              <w:bottom w:val="single" w:color="auto" w:sz="4" w:space="0"/>
              <w:right w:val="single" w:color="auto" w:sz="4" w:space="0"/>
            </w:tcBorders>
            <w:vAlign w:val="center"/>
          </w:tcPr>
          <w:p w14:paraId="0C8BD92D">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6C17497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5469854C">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针对本项目定期为服务人员开展关于解剖</w:t>
            </w:r>
            <w:r>
              <w:rPr>
                <w:rFonts w:ascii="宋体" w:hAnsi="宋体" w:eastAsia="宋体" w:cs="宋体"/>
                <w:szCs w:val="21"/>
                <w:highlight w:val="none"/>
              </w:rPr>
              <w:t>操作</w:t>
            </w:r>
            <w:r>
              <w:rPr>
                <w:rFonts w:hint="eastAsia" w:ascii="宋体" w:hAnsi="宋体" w:eastAsia="宋体" w:cs="宋体"/>
                <w:szCs w:val="21"/>
                <w:highlight w:val="none"/>
              </w:rPr>
              <w:t>培训。培训计划满足采购需求，科学、合理且有针对性。</w:t>
            </w:r>
          </w:p>
          <w:p w14:paraId="6F2BA5F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（评分范围：4,3,2,1,0）</w:t>
            </w:r>
          </w:p>
        </w:tc>
      </w:tr>
      <w:tr w14:paraId="25D3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05D2DD7">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售后服务及</w:t>
            </w:r>
            <w:r>
              <w:rPr>
                <w:rFonts w:hint="eastAsia" w:ascii="宋体" w:hAnsi="宋体" w:eastAsia="宋体" w:cs="宋体"/>
                <w:b/>
                <w:bCs/>
                <w:szCs w:val="21"/>
                <w:highlight w:val="none"/>
              </w:rPr>
              <w:t>应急服务措施</w:t>
            </w:r>
          </w:p>
        </w:tc>
        <w:tc>
          <w:tcPr>
            <w:tcW w:w="654" w:type="dxa"/>
            <w:tcBorders>
              <w:top w:val="single" w:color="auto" w:sz="4" w:space="0"/>
              <w:left w:val="single" w:color="auto" w:sz="4" w:space="0"/>
              <w:bottom w:val="single" w:color="auto" w:sz="4" w:space="0"/>
              <w:right w:val="single" w:color="auto" w:sz="4" w:space="0"/>
            </w:tcBorders>
            <w:vAlign w:val="center"/>
          </w:tcPr>
          <w:p w14:paraId="61B43B97">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5A5EE95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7A50606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售后服务响应时间（如设备故障、材料问题处理）</w:t>
            </w:r>
          </w:p>
          <w:p w14:paraId="0629C3F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突发情况</w:t>
            </w:r>
            <w:r>
              <w:rPr>
                <w:rFonts w:hint="eastAsia" w:ascii="宋体" w:hAnsi="宋体" w:eastAsia="宋体" w:cs="宋体"/>
                <w:szCs w:val="21"/>
                <w:highlight w:val="none"/>
                <w:lang w:eastAsia="zh-CN"/>
              </w:rPr>
              <w:t>（</w:t>
            </w:r>
            <w:r>
              <w:rPr>
                <w:rFonts w:hint="eastAsia" w:ascii="宋体" w:hAnsi="宋体" w:eastAsia="宋体" w:cs="宋体"/>
                <w:szCs w:val="21"/>
                <w:highlight w:val="none"/>
              </w:rPr>
              <w:t>如遗体接收延误、</w:t>
            </w:r>
            <w:r>
              <w:rPr>
                <w:rFonts w:hint="eastAsia" w:ascii="宋体" w:hAnsi="宋体" w:eastAsia="宋体" w:cs="宋体"/>
                <w:szCs w:val="21"/>
                <w:highlight w:val="none"/>
                <w:lang w:val="en-US" w:eastAsia="zh-CN"/>
              </w:rPr>
              <w:t>遗体</w:t>
            </w:r>
            <w:r>
              <w:rPr>
                <w:rFonts w:ascii="宋体" w:hAnsi="宋体" w:eastAsia="宋体" w:cs="宋体"/>
                <w:color w:val="000000"/>
                <w:sz w:val="21"/>
                <w:highlight w:val="none"/>
              </w:rPr>
              <w:t>腐败和霉变</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14:paraId="0B50622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（评分范围：4,3,2,1,0）</w:t>
            </w:r>
          </w:p>
        </w:tc>
      </w:tr>
      <w:tr w14:paraId="2F5D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5F3822D">
            <w:pPr>
              <w:adjustRightInd w:val="0"/>
              <w:snapToGrid w:val="0"/>
              <w:spacing w:line="288" w:lineRule="auto"/>
              <w:jc w:val="center"/>
              <w:rPr>
                <w:rFonts w:hint="eastAsia" w:ascii="宋体" w:hAnsi="宋体" w:eastAsia="宋体" w:cs="宋体"/>
                <w:b/>
                <w:bCs/>
                <w:szCs w:val="21"/>
              </w:rPr>
            </w:pPr>
            <w:r>
              <w:rPr>
                <w:rFonts w:hint="eastAsia" w:ascii="宋体" w:hAnsi="宋体" w:eastAsia="宋体" w:cs="仿宋"/>
                <w:b/>
                <w:bCs/>
                <w:color w:val="000000"/>
                <w:szCs w:val="21"/>
              </w:rPr>
              <w:t>演示</w:t>
            </w:r>
          </w:p>
        </w:tc>
        <w:tc>
          <w:tcPr>
            <w:tcW w:w="654" w:type="dxa"/>
            <w:tcBorders>
              <w:top w:val="single" w:color="auto" w:sz="4" w:space="0"/>
              <w:left w:val="single" w:color="auto" w:sz="4" w:space="0"/>
              <w:bottom w:val="single" w:color="auto" w:sz="4" w:space="0"/>
              <w:right w:val="single" w:color="auto" w:sz="4" w:space="0"/>
            </w:tcBorders>
            <w:vAlign w:val="center"/>
          </w:tcPr>
          <w:p w14:paraId="59D5B84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770AB9D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7188E664">
            <w:pPr>
              <w:adjustRightInd w:val="0"/>
              <w:snapToGrid w:val="0"/>
              <w:spacing w:line="288" w:lineRule="auto"/>
              <w:rPr>
                <w:rFonts w:hint="eastAsia" w:ascii="宋体" w:hAnsi="宋体" w:eastAsia="宋体" w:cs="仿宋"/>
                <w:color w:val="000000"/>
                <w:szCs w:val="21"/>
              </w:rPr>
            </w:pPr>
            <w:r>
              <w:rPr>
                <w:rFonts w:hint="eastAsia" w:ascii="宋体" w:hAnsi="宋体" w:eastAsia="宋体" w:cs="宋体"/>
                <w:color w:val="000000"/>
                <w:szCs w:val="21"/>
              </w:rPr>
              <w:t>内容涵盖 防腐工具使用、防腐条件控制、防腐处理流程、防腐固定技术、材料保存及安全规范等多项内容，并配备解说配音及文字字幕。</w:t>
            </w:r>
          </w:p>
          <w:p w14:paraId="2BFB7075">
            <w:pPr>
              <w:adjustRightInd w:val="0"/>
              <w:snapToGrid w:val="0"/>
              <w:spacing w:line="288" w:lineRule="auto"/>
              <w:rPr>
                <w:rFonts w:hint="eastAsia" w:ascii="宋体" w:hAnsi="宋体" w:eastAsia="宋体" w:cs="仿宋"/>
                <w:b/>
                <w:bCs/>
                <w:color w:val="000000"/>
                <w:szCs w:val="21"/>
              </w:rPr>
            </w:pPr>
            <w:r>
              <w:rPr>
                <w:rFonts w:hint="eastAsia" w:ascii="宋体" w:hAnsi="宋体" w:eastAsia="宋体" w:cs="仿宋"/>
                <w:b/>
                <w:bCs/>
                <w:color w:val="000000"/>
                <w:szCs w:val="21"/>
              </w:rPr>
              <w:t>根据演示内容的完善</w:t>
            </w:r>
            <w:bookmarkStart w:id="53" w:name="OLE_LINK2"/>
            <w:r>
              <w:rPr>
                <w:rFonts w:hint="eastAsia" w:ascii="宋体" w:hAnsi="宋体" w:eastAsia="宋体" w:cs="仿宋"/>
                <w:b/>
                <w:bCs/>
                <w:color w:val="000000"/>
                <w:szCs w:val="21"/>
              </w:rPr>
              <w:t>程度，画面质量</w:t>
            </w:r>
            <w:bookmarkEnd w:id="53"/>
            <w:r>
              <w:rPr>
                <w:rFonts w:hint="eastAsia" w:ascii="宋体" w:hAnsi="宋体" w:eastAsia="宋体" w:cs="仿宋"/>
                <w:b/>
                <w:bCs/>
                <w:color w:val="000000"/>
                <w:szCs w:val="21"/>
              </w:rPr>
              <w:t>及流畅度，技术专业性等打分。</w:t>
            </w:r>
          </w:p>
          <w:p w14:paraId="68160228">
            <w:pPr>
              <w:adjustRightInd w:val="0"/>
              <w:snapToGrid w:val="0"/>
              <w:spacing w:line="288" w:lineRule="auto"/>
              <w:rPr>
                <w:rFonts w:hint="eastAsia" w:ascii="宋体" w:hAnsi="宋体" w:eastAsia="宋体" w:cs="仿宋"/>
                <w:b/>
                <w:bCs/>
                <w:color w:val="000000"/>
                <w:szCs w:val="21"/>
              </w:rPr>
            </w:pPr>
            <w:r>
              <w:rPr>
                <w:rFonts w:hint="eastAsia" w:ascii="宋体" w:hAnsi="宋体" w:eastAsia="宋体" w:cs="宋体"/>
                <w:szCs w:val="21"/>
              </w:rPr>
              <w:t>（评分范围：5</w:t>
            </w:r>
            <w:r>
              <w:rPr>
                <w:rFonts w:hint="eastAsia" w:ascii="宋体" w:hAnsi="宋体" w:eastAsia="宋体" w:cs="宋体"/>
                <w:szCs w:val="21"/>
                <w:highlight w:val="none"/>
              </w:rPr>
              <w:t>,</w:t>
            </w:r>
            <w:r>
              <w:rPr>
                <w:rFonts w:hint="eastAsia" w:ascii="宋体" w:hAnsi="宋体" w:eastAsia="宋体" w:cs="宋体"/>
                <w:szCs w:val="21"/>
              </w:rPr>
              <w:t>4</w:t>
            </w:r>
            <w:r>
              <w:rPr>
                <w:rFonts w:hint="eastAsia" w:ascii="宋体" w:hAnsi="宋体" w:eastAsia="宋体" w:cs="宋体"/>
                <w:szCs w:val="21"/>
                <w:highlight w:val="none"/>
              </w:rPr>
              <w:t>,</w:t>
            </w:r>
            <w:r>
              <w:rPr>
                <w:rFonts w:hint="eastAsia" w:ascii="宋体" w:hAnsi="宋体" w:eastAsia="宋体" w:cs="宋体"/>
                <w:szCs w:val="21"/>
              </w:rPr>
              <w:t>3,2,1,0）</w:t>
            </w:r>
          </w:p>
        </w:tc>
      </w:tr>
      <w:bookmarkEnd w:id="52"/>
    </w:tbl>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bCs w:val="0"/>
          <w:spacing w:val="-6"/>
          <w:szCs w:val="21"/>
        </w:rPr>
      </w:pPr>
    </w:p>
    <w:p w14:paraId="44E40843">
      <w:pPr>
        <w:adjustRightInd w:val="0"/>
        <w:snapToGrid w:val="0"/>
        <w:spacing w:line="288" w:lineRule="auto"/>
        <w:ind w:firstLine="398" w:firstLineChars="200"/>
        <w:jc w:val="center"/>
        <w:rPr>
          <w:rFonts w:ascii="宋体" w:hAnsi="宋体" w:eastAsia="宋体" w:cs="宋体"/>
          <w:b/>
          <w:bCs w:val="0"/>
          <w:spacing w:val="-6"/>
          <w:szCs w:val="21"/>
        </w:rPr>
      </w:pPr>
      <w:r>
        <w:rPr>
          <w:rFonts w:hint="eastAsia" w:ascii="宋体" w:hAnsi="宋体" w:eastAsia="宋体" w:cs="宋体"/>
          <w:b/>
          <w:bCs w:val="0"/>
          <w:spacing w:val="-6"/>
          <w:szCs w:val="21"/>
        </w:rPr>
        <w:t>杭州医学院采购合同（服务）</w:t>
      </w:r>
    </w:p>
    <w:p w14:paraId="6F8BC510">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项目名称：</w:t>
      </w:r>
    </w:p>
    <w:p w14:paraId="5F986A8A">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项目编号：</w:t>
      </w:r>
    </w:p>
    <w:p w14:paraId="1FB9366C">
      <w:pPr>
        <w:adjustRightInd w:val="0"/>
        <w:snapToGrid w:val="0"/>
        <w:spacing w:line="288" w:lineRule="auto"/>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合同编号：</w:t>
      </w:r>
    </w:p>
    <w:p w14:paraId="5970B5B5">
      <w:pPr>
        <w:spacing w:line="240" w:lineRule="auto"/>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采购计划文号（如有）：</w:t>
      </w:r>
    </w:p>
    <w:p w14:paraId="12EDC363">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甲方（需方）：杭州医学院</w:t>
      </w:r>
    </w:p>
    <w:p w14:paraId="426E33C3">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乙方（供方）：</w:t>
      </w:r>
    </w:p>
    <w:p w14:paraId="3E601422">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采购代理机构：浙江求是招标代理有限公司</w:t>
      </w:r>
    </w:p>
    <w:p w14:paraId="64FC9568">
      <w:pPr>
        <w:adjustRightInd w:val="0"/>
        <w:snapToGrid w:val="0"/>
        <w:spacing w:line="288" w:lineRule="auto"/>
        <w:rPr>
          <w:rFonts w:hint="eastAsia" w:ascii="宋体" w:hAnsi="宋体" w:eastAsia="宋体" w:cs="宋体"/>
          <w:spacing w:val="-6"/>
          <w:sz w:val="21"/>
          <w:szCs w:val="21"/>
        </w:rPr>
      </w:pPr>
    </w:p>
    <w:p w14:paraId="59C02C03">
      <w:pPr>
        <w:adjustRightInd w:val="0"/>
        <w:snapToGrid w:val="0"/>
        <w:spacing w:line="288" w:lineRule="auto"/>
        <w:ind w:firstLine="420"/>
        <w:rPr>
          <w:rFonts w:hint="eastAsia" w:ascii="宋体" w:hAnsi="宋体" w:eastAsia="宋体" w:cs="宋体"/>
          <w:sz w:val="21"/>
          <w:szCs w:val="21"/>
        </w:rPr>
      </w:pPr>
      <w:r>
        <w:rPr>
          <w:rFonts w:hint="eastAsia" w:ascii="宋体" w:hAnsi="宋体" w:eastAsia="宋体" w:cs="宋体"/>
          <w:sz w:val="21"/>
          <w:szCs w:val="21"/>
        </w:rPr>
        <w:t>甲、乙双方根据浙江求是招标代理有限公司关于___________________项目（项目编号：）________的结果，签署本合同。</w:t>
      </w:r>
    </w:p>
    <w:p w14:paraId="0E0A05A4">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第一条：</w:t>
      </w:r>
      <w:r>
        <w:rPr>
          <w:rFonts w:hint="eastAsia" w:ascii="宋体" w:hAnsi="宋体" w:eastAsia="宋体" w:cs="宋体"/>
          <w:b/>
          <w:spacing w:val="-6"/>
          <w:sz w:val="21"/>
          <w:szCs w:val="21"/>
        </w:rPr>
        <w:t>采购项目及合同价格</w:t>
      </w:r>
    </w:p>
    <w:tbl>
      <w:tblPr>
        <w:tblStyle w:val="2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39"/>
        <w:gridCol w:w="3208"/>
        <w:gridCol w:w="1465"/>
        <w:gridCol w:w="1708"/>
      </w:tblGrid>
      <w:tr w14:paraId="75D9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A74A279">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序号</w:t>
            </w:r>
          </w:p>
        </w:tc>
        <w:tc>
          <w:tcPr>
            <w:tcW w:w="2539" w:type="dxa"/>
            <w:tcBorders>
              <w:top w:val="single" w:color="auto" w:sz="4" w:space="0"/>
              <w:left w:val="single" w:color="auto" w:sz="4" w:space="0"/>
              <w:bottom w:val="single" w:color="auto" w:sz="4" w:space="0"/>
              <w:right w:val="single" w:color="auto" w:sz="4" w:space="0"/>
            </w:tcBorders>
            <w:vAlign w:val="center"/>
          </w:tcPr>
          <w:p w14:paraId="4F0FFE31">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名称</w:t>
            </w:r>
          </w:p>
        </w:tc>
        <w:tc>
          <w:tcPr>
            <w:tcW w:w="3208" w:type="dxa"/>
            <w:tcBorders>
              <w:top w:val="single" w:color="auto" w:sz="4" w:space="0"/>
              <w:left w:val="single" w:color="auto" w:sz="4" w:space="0"/>
              <w:bottom w:val="single" w:color="auto" w:sz="4" w:space="0"/>
              <w:right w:val="single" w:color="auto" w:sz="4" w:space="0"/>
            </w:tcBorders>
            <w:vAlign w:val="center"/>
          </w:tcPr>
          <w:p w14:paraId="27B7324D">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描述</w:t>
            </w:r>
          </w:p>
        </w:tc>
        <w:tc>
          <w:tcPr>
            <w:tcW w:w="1465" w:type="dxa"/>
            <w:tcBorders>
              <w:top w:val="single" w:color="auto" w:sz="4" w:space="0"/>
              <w:left w:val="single" w:color="auto" w:sz="4" w:space="0"/>
              <w:bottom w:val="single" w:color="auto" w:sz="4" w:space="0"/>
              <w:right w:val="single" w:color="auto" w:sz="4" w:space="0"/>
            </w:tcBorders>
            <w:vAlign w:val="center"/>
          </w:tcPr>
          <w:p w14:paraId="2046CAFD">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单价</w:t>
            </w:r>
          </w:p>
          <w:p w14:paraId="79D934A9">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14:paraId="276F564A">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合计</w:t>
            </w:r>
          </w:p>
          <w:p w14:paraId="740F02D2">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（人民币元）</w:t>
            </w:r>
          </w:p>
        </w:tc>
      </w:tr>
      <w:tr w14:paraId="4C6F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1099082">
            <w:pPr>
              <w:adjustRightInd w:val="0"/>
              <w:snapToGrid w:val="0"/>
              <w:spacing w:line="288"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2539" w:type="dxa"/>
            <w:tcBorders>
              <w:top w:val="single" w:color="auto" w:sz="4" w:space="0"/>
              <w:left w:val="single" w:color="auto" w:sz="4" w:space="0"/>
              <w:bottom w:val="single" w:color="auto" w:sz="4" w:space="0"/>
              <w:right w:val="single" w:color="auto" w:sz="4" w:space="0"/>
            </w:tcBorders>
            <w:vAlign w:val="center"/>
          </w:tcPr>
          <w:p w14:paraId="600591AA">
            <w:pPr>
              <w:adjustRightInd w:val="0"/>
              <w:snapToGrid w:val="0"/>
              <w:spacing w:line="288" w:lineRule="auto"/>
              <w:ind w:left="178" w:leftChars="85" w:firstLine="396"/>
              <w:jc w:val="center"/>
              <w:rPr>
                <w:rFonts w:hint="eastAsia" w:ascii="宋体" w:hAnsi="宋体" w:eastAsia="宋体" w:cs="宋体"/>
                <w:spacing w:val="-6"/>
                <w:sz w:val="21"/>
                <w:szCs w:val="21"/>
              </w:rPr>
            </w:pPr>
          </w:p>
        </w:tc>
        <w:tc>
          <w:tcPr>
            <w:tcW w:w="3208" w:type="dxa"/>
            <w:tcBorders>
              <w:top w:val="single" w:color="auto" w:sz="4" w:space="0"/>
              <w:left w:val="single" w:color="auto" w:sz="4" w:space="0"/>
              <w:bottom w:val="single" w:color="auto" w:sz="4" w:space="0"/>
              <w:right w:val="single" w:color="auto" w:sz="4" w:space="0"/>
            </w:tcBorders>
            <w:vAlign w:val="center"/>
          </w:tcPr>
          <w:p w14:paraId="3C47B79D">
            <w:pPr>
              <w:adjustRightInd w:val="0"/>
              <w:snapToGrid w:val="0"/>
              <w:spacing w:line="288" w:lineRule="auto"/>
              <w:ind w:firstLine="396"/>
              <w:jc w:val="center"/>
              <w:rPr>
                <w:rFonts w:hint="eastAsia" w:ascii="宋体" w:hAnsi="宋体" w:eastAsia="宋体" w:cs="宋体"/>
                <w:spacing w:val="-6"/>
                <w:sz w:val="21"/>
                <w:szCs w:val="21"/>
              </w:rPr>
            </w:pPr>
          </w:p>
        </w:tc>
        <w:tc>
          <w:tcPr>
            <w:tcW w:w="1465" w:type="dxa"/>
            <w:tcBorders>
              <w:top w:val="single" w:color="auto" w:sz="4" w:space="0"/>
              <w:left w:val="single" w:color="auto" w:sz="4" w:space="0"/>
              <w:bottom w:val="single" w:color="auto" w:sz="4" w:space="0"/>
              <w:right w:val="single" w:color="auto" w:sz="4" w:space="0"/>
            </w:tcBorders>
            <w:vAlign w:val="center"/>
          </w:tcPr>
          <w:p w14:paraId="36CC33AF">
            <w:pPr>
              <w:adjustRightInd w:val="0"/>
              <w:snapToGrid w:val="0"/>
              <w:spacing w:line="288" w:lineRule="auto"/>
              <w:ind w:firstLine="396"/>
              <w:jc w:val="center"/>
              <w:rPr>
                <w:rFonts w:hint="eastAsia" w:ascii="宋体" w:hAnsi="宋体" w:eastAsia="宋体" w:cs="宋体"/>
                <w:spacing w:val="-6"/>
                <w:sz w:val="21"/>
                <w:szCs w:val="21"/>
              </w:rPr>
            </w:pPr>
          </w:p>
        </w:tc>
        <w:tc>
          <w:tcPr>
            <w:tcW w:w="1708" w:type="dxa"/>
            <w:tcBorders>
              <w:top w:val="single" w:color="auto" w:sz="4" w:space="0"/>
              <w:left w:val="single" w:color="auto" w:sz="4" w:space="0"/>
              <w:bottom w:val="single" w:color="auto" w:sz="4" w:space="0"/>
              <w:right w:val="single" w:color="auto" w:sz="4" w:space="0"/>
            </w:tcBorders>
            <w:vAlign w:val="center"/>
          </w:tcPr>
          <w:p w14:paraId="04D73E5E">
            <w:pPr>
              <w:adjustRightInd w:val="0"/>
              <w:snapToGrid w:val="0"/>
              <w:spacing w:line="288" w:lineRule="auto"/>
              <w:ind w:firstLine="396"/>
              <w:jc w:val="center"/>
              <w:rPr>
                <w:rFonts w:hint="eastAsia" w:ascii="宋体" w:hAnsi="宋体" w:eastAsia="宋体" w:cs="宋体"/>
                <w:spacing w:val="-6"/>
                <w:sz w:val="21"/>
                <w:szCs w:val="21"/>
              </w:rPr>
            </w:pPr>
          </w:p>
        </w:tc>
      </w:tr>
      <w:tr w14:paraId="3D9E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14:paraId="2EFB2F0B">
            <w:pPr>
              <w:adjustRightInd w:val="0"/>
              <w:snapToGrid w:val="0"/>
              <w:spacing w:line="288" w:lineRule="auto"/>
              <w:jc w:val="both"/>
              <w:rPr>
                <w:rFonts w:hint="eastAsia" w:ascii="宋体" w:hAnsi="宋体" w:eastAsia="宋体" w:cs="宋体"/>
                <w:spacing w:val="-6"/>
                <w:sz w:val="21"/>
                <w:szCs w:val="21"/>
              </w:rPr>
            </w:pPr>
            <w:r>
              <w:rPr>
                <w:rFonts w:hint="eastAsia" w:ascii="宋体" w:hAnsi="宋体" w:eastAsia="宋体" w:cs="宋体"/>
                <w:spacing w:val="-6"/>
                <w:sz w:val="21"/>
                <w:szCs w:val="21"/>
              </w:rPr>
              <w:t>合同总价（人民币元）：</w:t>
            </w:r>
          </w:p>
          <w:p w14:paraId="1579B869">
            <w:pPr>
              <w:adjustRightInd w:val="0"/>
              <w:snapToGrid w:val="0"/>
              <w:spacing w:line="288" w:lineRule="auto"/>
              <w:jc w:val="both"/>
              <w:rPr>
                <w:rFonts w:hint="eastAsia" w:ascii="宋体" w:hAnsi="宋体" w:eastAsia="宋体" w:cs="宋体"/>
                <w:spacing w:val="-6"/>
                <w:sz w:val="21"/>
                <w:szCs w:val="21"/>
              </w:rPr>
            </w:pPr>
            <w:r>
              <w:rPr>
                <w:rFonts w:hint="eastAsia" w:ascii="宋体" w:hAnsi="宋体" w:eastAsia="宋体" w:cs="宋体"/>
                <w:spacing w:val="-6"/>
                <w:sz w:val="21"/>
                <w:szCs w:val="21"/>
              </w:rPr>
              <w:t>注：1.以上合同总价包括履行本项目服务所需的一切费用</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含税</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w:t>
            </w:r>
          </w:p>
        </w:tc>
      </w:tr>
    </w:tbl>
    <w:p w14:paraId="05F7CD39">
      <w:pPr>
        <w:adjustRightInd w:val="0"/>
        <w:snapToGrid w:val="0"/>
        <w:spacing w:line="288" w:lineRule="auto"/>
        <w:ind w:firstLine="420"/>
        <w:rPr>
          <w:rFonts w:hint="eastAsia" w:ascii="宋体" w:hAnsi="宋体" w:eastAsia="宋体" w:cs="宋体"/>
          <w:sz w:val="21"/>
          <w:szCs w:val="21"/>
        </w:rPr>
      </w:pPr>
    </w:p>
    <w:p w14:paraId="39090D6F">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第二条：服务时间</w:t>
      </w:r>
    </w:p>
    <w:p w14:paraId="1345D33F">
      <w:pPr>
        <w:adjustRightInd w:val="0"/>
        <w:snapToGrid w:val="0"/>
        <w:spacing w:line="288" w:lineRule="auto"/>
        <w:ind w:firstLine="420"/>
        <w:rPr>
          <w:rFonts w:hint="eastAsia" w:ascii="宋体" w:hAnsi="宋体" w:eastAsia="宋体" w:cs="宋体"/>
          <w:sz w:val="21"/>
          <w:szCs w:val="21"/>
        </w:rPr>
      </w:pPr>
      <w:r>
        <w:rPr>
          <w:rFonts w:hint="eastAsia" w:ascii="宋体" w:hAnsi="宋体" w:eastAsia="宋体" w:cs="宋体"/>
          <w:sz w:val="21"/>
          <w:szCs w:val="21"/>
        </w:rPr>
        <w:t>合同履行期限：</w:t>
      </w:r>
    </w:p>
    <w:p w14:paraId="18639FB5">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第三条：履约保证金和付款方式</w:t>
      </w:r>
    </w:p>
    <w:p w14:paraId="1D7639AF">
      <w:pPr>
        <w:numPr>
          <w:ilvl w:val="0"/>
          <w:numId w:val="0"/>
        </w:numPr>
        <w:adjustRightInd w:val="0"/>
        <w:snapToGrid w:val="0"/>
        <w:spacing w:line="288"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履约保证金：</w:t>
      </w:r>
      <w:r>
        <w:rPr>
          <w:rFonts w:hint="eastAsia" w:ascii="宋体" w:hAnsi="宋体" w:eastAsia="宋体" w:cs="宋体"/>
          <w:sz w:val="21"/>
          <w:szCs w:val="21"/>
          <w:lang w:val="en-US" w:eastAsia="zh-CN"/>
        </w:rPr>
        <w:t>无</w:t>
      </w:r>
      <w:r>
        <w:rPr>
          <w:rFonts w:hint="eastAsia" w:ascii="宋体" w:hAnsi="宋体" w:eastAsia="宋体" w:cs="宋体"/>
          <w:sz w:val="21"/>
          <w:szCs w:val="21"/>
        </w:rPr>
        <w:t>。</w:t>
      </w:r>
    </w:p>
    <w:p w14:paraId="243B8FD4">
      <w:pPr>
        <w:adjustRightInd w:val="0"/>
        <w:snapToGrid w:val="0"/>
        <w:spacing w:line="288" w:lineRule="auto"/>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付款方式：</w:t>
      </w:r>
    </w:p>
    <w:p w14:paraId="56707CE9">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预付款：</w:t>
      </w:r>
    </w:p>
    <w:p w14:paraId="38588AC2">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本合同自双方签署生效且甲方书面确认乙方已具备合同履行所需实施条件之日起 7个工作日内，甲方向乙方支付合同总价的 30％ 作为预付款。</w:t>
      </w:r>
    </w:p>
    <w:p w14:paraId="1B426B69">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进度款：</w:t>
      </w:r>
    </w:p>
    <w:p w14:paraId="5AD8B4E4">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乙方按合同约定完成服务后，甲方按经双方确认的合格出车次数支付进度款：</w:t>
      </w:r>
    </w:p>
    <w:p w14:paraId="3C3A2B3E">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支付节点：每累计完成 10次以上经甲方验收合格的服务出车；</w:t>
      </w:r>
    </w:p>
    <w:p w14:paraId="7F68E020">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支付比例：每次节点支付合同总价的30％，累计支付上限为合同总价的60％（即共支付2次）。（注：预付款30％+进度款60％=累计90％）</w:t>
      </w:r>
    </w:p>
    <w:p w14:paraId="01FECCDA">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尾款：</w:t>
      </w:r>
    </w:p>
    <w:p w14:paraId="1F1D4090">
      <w:pPr>
        <w:adjustRightInd w:val="0"/>
        <w:snapToGrid w:val="0"/>
        <w:spacing w:line="288" w:lineRule="auto"/>
        <w:ind w:firstLine="42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合同总价的10％作为尾款（质保性质），于服务期限届满之日起15个工作日内支付。</w:t>
      </w:r>
    </w:p>
    <w:p w14:paraId="772E5DB5">
      <w:pPr>
        <w:adjustRightInd w:val="0"/>
        <w:snapToGrid w:val="0"/>
        <w:spacing w:line="288" w:lineRule="auto"/>
        <w:ind w:firstLine="420"/>
        <w:rPr>
          <w:rFonts w:hint="eastAsia" w:ascii="宋体" w:hAnsi="宋体" w:eastAsia="宋体" w:cs="宋体"/>
          <w:sz w:val="21"/>
          <w:szCs w:val="21"/>
        </w:rPr>
      </w:pPr>
      <w:r>
        <w:rPr>
          <w:rFonts w:hint="eastAsia" w:ascii="宋体" w:hAnsi="宋体" w:eastAsia="宋体" w:cs="宋体"/>
          <w:b w:val="0"/>
          <w:bCs w:val="0"/>
          <w:sz w:val="21"/>
          <w:szCs w:val="21"/>
          <w:lang w:val="en-US" w:eastAsia="zh-CN"/>
        </w:rPr>
        <w:t>支付条件：乙方无未解决的合同违约责任，且服务期内无重大瑕疵</w:t>
      </w:r>
      <w:r>
        <w:rPr>
          <w:rFonts w:hint="eastAsia" w:ascii="宋体" w:hAnsi="宋体" w:eastAsia="宋体" w:cs="宋体"/>
          <w:b/>
          <w:bCs/>
          <w:sz w:val="21"/>
          <w:szCs w:val="21"/>
          <w:lang w:val="en-US" w:eastAsia="zh-CN"/>
        </w:rPr>
        <w:t>。</w:t>
      </w:r>
    </w:p>
    <w:p w14:paraId="3B411A64">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第四条：</w:t>
      </w:r>
      <w:r>
        <w:rPr>
          <w:rFonts w:hint="eastAsia" w:ascii="宋体" w:hAnsi="宋体" w:eastAsia="宋体" w:cs="宋体"/>
          <w:b/>
          <w:spacing w:val="-6"/>
          <w:sz w:val="21"/>
          <w:szCs w:val="21"/>
        </w:rPr>
        <w:t>服务内容（具体细则根据采购文件、响应文件编写）</w:t>
      </w:r>
    </w:p>
    <w:p w14:paraId="1146DE65">
      <w:pPr>
        <w:adjustRightInd w:val="0"/>
        <w:snapToGrid w:val="0"/>
        <w:spacing w:line="288" w:lineRule="auto"/>
        <w:ind w:firstLine="420"/>
        <w:rPr>
          <w:rFonts w:hint="eastAsia" w:ascii="宋体" w:hAnsi="宋体" w:eastAsia="宋体" w:cs="宋体"/>
          <w:sz w:val="21"/>
          <w:szCs w:val="21"/>
        </w:rPr>
      </w:pPr>
    </w:p>
    <w:p w14:paraId="3200071B">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第五条：</w:t>
      </w:r>
      <w:r>
        <w:rPr>
          <w:rFonts w:hint="eastAsia" w:ascii="宋体" w:hAnsi="宋体" w:eastAsia="宋体" w:cs="宋体"/>
          <w:b/>
          <w:spacing w:val="-6"/>
          <w:sz w:val="21"/>
          <w:szCs w:val="21"/>
        </w:rPr>
        <w:t>技术资料</w:t>
      </w:r>
    </w:p>
    <w:p w14:paraId="5E762D98">
      <w:pPr>
        <w:adjustRightInd w:val="0"/>
        <w:snapToGrid w:val="0"/>
        <w:spacing w:line="288" w:lineRule="auto"/>
        <w:ind w:firstLine="396"/>
        <w:rPr>
          <w:rFonts w:hint="eastAsia" w:ascii="宋体" w:hAnsi="宋体" w:eastAsia="宋体" w:cs="宋体"/>
          <w:spacing w:val="-6"/>
          <w:sz w:val="21"/>
          <w:szCs w:val="21"/>
        </w:rPr>
      </w:pPr>
      <w:r>
        <w:rPr>
          <w:rFonts w:hint="eastAsia" w:ascii="宋体" w:hAnsi="宋体" w:eastAsia="宋体" w:cs="宋体"/>
          <w:spacing w:val="-6"/>
          <w:sz w:val="21"/>
          <w:szCs w:val="21"/>
        </w:rPr>
        <w:t>1.乙方应按采购文件规定的时间向甲方提供有关技术资料。</w:t>
      </w:r>
    </w:p>
    <w:p w14:paraId="4A0C175D">
      <w:pPr>
        <w:adjustRightInd w:val="0"/>
        <w:snapToGrid w:val="0"/>
        <w:spacing w:line="288" w:lineRule="auto"/>
        <w:ind w:firstLine="396"/>
        <w:rPr>
          <w:rFonts w:hint="eastAsia" w:ascii="宋体" w:hAnsi="宋体" w:eastAsia="宋体" w:cs="宋体"/>
          <w:spacing w:val="-6"/>
          <w:sz w:val="21"/>
          <w:szCs w:val="21"/>
        </w:rPr>
      </w:pPr>
      <w:r>
        <w:rPr>
          <w:rFonts w:hint="eastAsia" w:ascii="宋体" w:hAnsi="宋体" w:eastAsia="宋体" w:cs="宋体"/>
          <w:spacing w:val="-6"/>
          <w:sz w:val="21"/>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3210CCB4">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第六条：</w:t>
      </w:r>
      <w:r>
        <w:rPr>
          <w:rFonts w:hint="eastAsia" w:ascii="宋体" w:hAnsi="宋体" w:eastAsia="宋体" w:cs="宋体"/>
          <w:b/>
          <w:spacing w:val="-6"/>
          <w:sz w:val="21"/>
          <w:szCs w:val="21"/>
        </w:rPr>
        <w:t>知识产权及第三方权利保障</w:t>
      </w:r>
    </w:p>
    <w:p w14:paraId="35B334A4">
      <w:pPr>
        <w:adjustRightInd w:val="0"/>
        <w:snapToGrid w:val="0"/>
        <w:spacing w:line="288" w:lineRule="auto"/>
        <w:ind w:firstLine="396"/>
        <w:rPr>
          <w:rFonts w:hint="eastAsia" w:ascii="宋体" w:hAnsi="宋体" w:eastAsia="宋体" w:cs="宋体"/>
          <w:spacing w:val="-6"/>
          <w:sz w:val="21"/>
          <w:szCs w:val="21"/>
        </w:rPr>
      </w:pPr>
      <w:r>
        <w:rPr>
          <w:rFonts w:hint="eastAsia" w:ascii="宋体" w:hAnsi="宋体" w:eastAsia="宋体" w:cs="宋体"/>
          <w:spacing w:val="-6"/>
          <w:sz w:val="21"/>
          <w:szCs w:val="21"/>
        </w:rPr>
        <w:t>乙方应保证乙方及乙方员工所提供的本协议之服务内容不会侵犯任何第三方的知识产权、肖像权及其他权利。</w:t>
      </w:r>
    </w:p>
    <w:p w14:paraId="3F621E07">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第七条：</w:t>
      </w:r>
      <w:r>
        <w:rPr>
          <w:rFonts w:hint="eastAsia" w:ascii="宋体" w:hAnsi="宋体" w:eastAsia="宋体" w:cs="宋体"/>
          <w:b/>
          <w:spacing w:val="-6"/>
          <w:sz w:val="21"/>
          <w:szCs w:val="21"/>
        </w:rPr>
        <w:t>验收</w:t>
      </w:r>
    </w:p>
    <w:p w14:paraId="12BC8E84">
      <w:pPr>
        <w:adjustRightInd w:val="0"/>
        <w:snapToGrid w:val="0"/>
        <w:spacing w:line="288" w:lineRule="auto"/>
        <w:ind w:right="23" w:rightChars="11" w:firstLine="396"/>
        <w:rPr>
          <w:rFonts w:hint="eastAsia" w:ascii="宋体" w:hAnsi="宋体" w:eastAsia="宋体" w:cs="宋体"/>
          <w:spacing w:val="-6"/>
          <w:sz w:val="21"/>
          <w:szCs w:val="21"/>
        </w:rPr>
      </w:pPr>
      <w:r>
        <w:rPr>
          <w:rFonts w:hint="eastAsia" w:ascii="宋体" w:hAnsi="宋体" w:eastAsia="宋体" w:cs="宋体"/>
          <w:spacing w:val="-6"/>
          <w:sz w:val="21"/>
          <w:szCs w:val="21"/>
        </w:rPr>
        <w:t>1.乙方服务期满后应对服务内容作出全面检查和对验收文件进行整理，并列出清单，作为甲方验收和使用的技术条件依据，检验的结果应交甲方。</w:t>
      </w:r>
    </w:p>
    <w:p w14:paraId="091B1A7E">
      <w:pPr>
        <w:adjustRightInd w:val="0"/>
        <w:snapToGrid w:val="0"/>
        <w:spacing w:line="288" w:lineRule="auto"/>
        <w:ind w:right="23" w:rightChars="11" w:firstLine="396"/>
        <w:rPr>
          <w:rFonts w:hint="eastAsia" w:ascii="宋体" w:hAnsi="宋体" w:eastAsia="宋体" w:cs="宋体"/>
          <w:spacing w:val="-6"/>
          <w:sz w:val="21"/>
          <w:szCs w:val="21"/>
        </w:rPr>
      </w:pPr>
      <w:r>
        <w:rPr>
          <w:rFonts w:hint="eastAsia" w:ascii="宋体" w:hAnsi="宋体" w:eastAsia="宋体" w:cs="宋体"/>
          <w:spacing w:val="-6"/>
          <w:sz w:val="21"/>
          <w:szCs w:val="21"/>
        </w:rPr>
        <w:t>2.甲方对乙方提交的服务依据采购文件上的技术要求进行验收，乙方需负责安排专门人员向甲方做服务项目总结和汇报，并协助甲方一起检验资料，直到符合技术要求，甲方做最终验收。</w:t>
      </w:r>
    </w:p>
    <w:p w14:paraId="469143FB">
      <w:pPr>
        <w:adjustRightInd w:val="0"/>
        <w:snapToGrid w:val="0"/>
        <w:spacing w:line="288" w:lineRule="auto"/>
        <w:ind w:right="23" w:rightChars="11" w:firstLine="396"/>
        <w:rPr>
          <w:rFonts w:hint="eastAsia" w:ascii="宋体" w:hAnsi="宋体" w:eastAsia="宋体" w:cs="宋体"/>
          <w:spacing w:val="-6"/>
          <w:sz w:val="21"/>
          <w:szCs w:val="21"/>
        </w:rPr>
      </w:pPr>
      <w:r>
        <w:rPr>
          <w:rFonts w:hint="eastAsia" w:ascii="宋体" w:hAnsi="宋体" w:eastAsia="宋体" w:cs="宋体"/>
          <w:spacing w:val="-6"/>
          <w:sz w:val="21"/>
          <w:szCs w:val="21"/>
        </w:rPr>
        <w:t>3.乙方负责对照采购文件、响应文件及本合同制作完整的验收报告，甲方负责组织专家验收。</w:t>
      </w:r>
    </w:p>
    <w:p w14:paraId="3F3FF5BE">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第八条：</w:t>
      </w:r>
      <w:r>
        <w:rPr>
          <w:rFonts w:hint="eastAsia" w:ascii="宋体" w:hAnsi="宋体" w:eastAsia="宋体" w:cs="宋体"/>
          <w:b/>
          <w:spacing w:val="-6"/>
          <w:sz w:val="21"/>
          <w:szCs w:val="21"/>
        </w:rPr>
        <w:t>违约责任</w:t>
      </w:r>
    </w:p>
    <w:p w14:paraId="0C41570C">
      <w:pPr>
        <w:adjustRightInd w:val="0"/>
        <w:snapToGrid w:val="0"/>
        <w:spacing w:line="288" w:lineRule="auto"/>
        <w:ind w:firstLine="422"/>
        <w:rPr>
          <w:rFonts w:hint="eastAsia" w:ascii="宋体" w:hAnsi="宋体" w:eastAsia="宋体" w:cs="宋体"/>
          <w:kern w:val="0"/>
          <w:sz w:val="21"/>
          <w:szCs w:val="21"/>
        </w:rPr>
      </w:pPr>
      <w:r>
        <w:rPr>
          <w:rFonts w:hint="eastAsia" w:ascii="宋体" w:hAnsi="宋体" w:eastAsia="宋体" w:cs="宋体"/>
          <w:kern w:val="0"/>
          <w:sz w:val="21"/>
          <w:szCs w:val="21"/>
        </w:rPr>
        <w:t>1..甲方无故逾期验收和办理合同款项支付手续的,甲方应按逾期付款总额每日千分之五向乙方支付违约金。</w:t>
      </w:r>
    </w:p>
    <w:p w14:paraId="4DA9019B">
      <w:pPr>
        <w:adjustRightInd w:val="0"/>
        <w:snapToGrid w:val="0"/>
        <w:spacing w:line="288" w:lineRule="auto"/>
        <w:ind w:firstLine="422"/>
        <w:rPr>
          <w:rFonts w:hint="eastAsia" w:ascii="宋体" w:hAnsi="宋体" w:eastAsia="宋体" w:cs="宋体"/>
          <w:kern w:val="0"/>
          <w:sz w:val="21"/>
          <w:szCs w:val="21"/>
        </w:rPr>
      </w:pPr>
      <w:r>
        <w:rPr>
          <w:rFonts w:hint="eastAsia" w:ascii="宋体" w:hAnsi="宋体" w:eastAsia="宋体" w:cs="宋体"/>
          <w:kern w:val="0"/>
          <w:sz w:val="21"/>
          <w:szCs w:val="21"/>
        </w:rPr>
        <w:t>2.乙方逾期履行合同的，自逾期之日起，向甲方每日偿付合同总价千分之五的违约金，由甲方从合同款项中扣除。逾期超过30个日历日的，甲方有权解除本合同，要求乙方退还全部已付款项并支付合同总货款20%的违约金，并不再退还履约保证金（如有）。</w:t>
      </w:r>
    </w:p>
    <w:p w14:paraId="55B30B3B">
      <w:pPr>
        <w:adjustRightInd w:val="0"/>
        <w:snapToGrid w:val="0"/>
        <w:spacing w:line="288" w:lineRule="auto"/>
        <w:ind w:firstLine="422"/>
        <w:rPr>
          <w:rFonts w:hint="eastAsia" w:ascii="宋体" w:hAnsi="宋体" w:eastAsia="宋体" w:cs="宋体"/>
          <w:kern w:val="0"/>
          <w:sz w:val="21"/>
          <w:szCs w:val="21"/>
        </w:rPr>
      </w:pPr>
      <w:r>
        <w:rPr>
          <w:rFonts w:hint="eastAsia" w:ascii="宋体" w:hAnsi="宋体" w:eastAsia="宋体" w:cs="宋体"/>
          <w:kern w:val="0"/>
          <w:sz w:val="21"/>
          <w:szCs w:val="21"/>
        </w:rPr>
        <w:t>3.甲方无正当理由拒收验收项目的，甲方向乙方偿付拒收合同总价的百分之五违约金</w:t>
      </w:r>
    </w:p>
    <w:p w14:paraId="0424FF17">
      <w:pPr>
        <w:adjustRightInd w:val="0"/>
        <w:snapToGrid w:val="0"/>
        <w:spacing w:line="288" w:lineRule="auto"/>
        <w:ind w:firstLine="422"/>
        <w:rPr>
          <w:rFonts w:hint="eastAsia" w:ascii="宋体" w:hAnsi="宋体" w:eastAsia="宋体" w:cs="宋体"/>
          <w:kern w:val="0"/>
          <w:sz w:val="21"/>
          <w:szCs w:val="21"/>
        </w:rPr>
      </w:pPr>
      <w:r>
        <w:rPr>
          <w:rFonts w:hint="eastAsia" w:ascii="宋体" w:hAnsi="宋体" w:eastAsia="宋体" w:cs="宋体"/>
          <w:kern w:val="0"/>
          <w:sz w:val="21"/>
          <w:szCs w:val="21"/>
        </w:rPr>
        <w:t>3.乙方应严格按照本合同提供服务并保证质量。因乙方违反“本合同”之任一内容的，甲方有权要求乙方立即予以整改，乙方存在不予整改、整改后不符合甲方要求、，甲方有权单方解除本合同，乙方应按本合同总额的20%向甲方支付违约金，并不再退还履约保证金（如有）。违约金不足以弥补损失的，乙方还应承担赔偿责任，除赔偿损失外甲方有权追究相关法律责任，并上报有关部门。</w:t>
      </w:r>
    </w:p>
    <w:p w14:paraId="2C4BDA55">
      <w:pPr>
        <w:adjustRightInd w:val="0"/>
        <w:snapToGrid w:val="0"/>
        <w:spacing w:line="288" w:lineRule="auto"/>
        <w:ind w:firstLine="422"/>
        <w:rPr>
          <w:rFonts w:hint="eastAsia" w:ascii="宋体" w:hAnsi="宋体" w:eastAsia="宋体" w:cs="宋体"/>
          <w:kern w:val="0"/>
          <w:sz w:val="21"/>
          <w:szCs w:val="21"/>
        </w:rPr>
      </w:pPr>
      <w:r>
        <w:rPr>
          <w:rFonts w:hint="eastAsia" w:ascii="宋体" w:hAnsi="宋体" w:eastAsia="宋体" w:cs="宋体"/>
          <w:kern w:val="0"/>
          <w:sz w:val="21"/>
          <w:szCs w:val="21"/>
        </w:rPr>
        <w:t>5.乙方违反本合同知识产权及第三方权利保障之规定的，乙方应消除影响并承担由此产生的一切法律责任，甲方有权视情况决定单方解除本合同，并要求乙方赔偿由此产生的损失。</w:t>
      </w:r>
    </w:p>
    <w:p w14:paraId="6D2FE002">
      <w:pPr>
        <w:adjustRightInd w:val="0"/>
        <w:snapToGrid w:val="0"/>
        <w:spacing w:line="288" w:lineRule="auto"/>
        <w:ind w:firstLine="422"/>
        <w:rPr>
          <w:rFonts w:hint="eastAsia" w:ascii="宋体" w:hAnsi="宋体" w:eastAsia="宋体" w:cs="宋体"/>
          <w:kern w:val="0"/>
          <w:sz w:val="21"/>
          <w:szCs w:val="21"/>
        </w:rPr>
      </w:pPr>
      <w:r>
        <w:rPr>
          <w:rFonts w:hint="eastAsia" w:ascii="宋体" w:hAnsi="宋体" w:eastAsia="宋体" w:cs="宋体"/>
          <w:kern w:val="0"/>
          <w:sz w:val="21"/>
          <w:szCs w:val="21"/>
        </w:rPr>
        <w:t>6.因乙方违约造成的甲方维权成本由乙方承担（包括但不限于公证费、律师费、保全费、诉讼费等）。</w:t>
      </w:r>
    </w:p>
    <w:p w14:paraId="7BFFCCC5">
      <w:pPr>
        <w:adjustRightInd w:val="0"/>
        <w:snapToGrid w:val="0"/>
        <w:spacing w:line="288" w:lineRule="auto"/>
        <w:ind w:firstLine="422"/>
        <w:rPr>
          <w:rFonts w:hint="eastAsia" w:ascii="宋体" w:hAnsi="宋体" w:eastAsia="宋体" w:cs="宋体"/>
          <w:b/>
          <w:spacing w:val="-6"/>
          <w:sz w:val="21"/>
          <w:szCs w:val="21"/>
        </w:rPr>
      </w:pPr>
      <w:r>
        <w:rPr>
          <w:rFonts w:hint="eastAsia" w:ascii="宋体" w:hAnsi="宋体" w:eastAsia="宋体" w:cs="宋体"/>
          <w:b/>
          <w:bCs/>
          <w:sz w:val="21"/>
          <w:szCs w:val="21"/>
        </w:rPr>
        <w:t>第九条：</w:t>
      </w:r>
      <w:r>
        <w:rPr>
          <w:rFonts w:hint="eastAsia" w:ascii="宋体" w:hAnsi="宋体" w:eastAsia="宋体" w:cs="宋体"/>
          <w:b/>
          <w:spacing w:val="-6"/>
          <w:sz w:val="21"/>
          <w:szCs w:val="21"/>
        </w:rPr>
        <w:t>不可抗力事件处理</w:t>
      </w:r>
    </w:p>
    <w:p w14:paraId="03BDAF82">
      <w:pPr>
        <w:adjustRightInd w:val="0"/>
        <w:snapToGrid w:val="0"/>
        <w:spacing w:line="288" w:lineRule="auto"/>
        <w:ind w:firstLine="396"/>
        <w:rPr>
          <w:rFonts w:hint="eastAsia" w:ascii="宋体" w:hAnsi="宋体" w:eastAsia="宋体" w:cs="宋体"/>
          <w:spacing w:val="-6"/>
          <w:sz w:val="21"/>
          <w:szCs w:val="21"/>
        </w:rPr>
      </w:pPr>
      <w:r>
        <w:rPr>
          <w:rFonts w:hint="eastAsia" w:ascii="宋体" w:hAnsi="宋体" w:eastAsia="宋体" w:cs="宋体"/>
          <w:spacing w:val="-6"/>
          <w:sz w:val="21"/>
          <w:szCs w:val="21"/>
        </w:rPr>
        <w:t>1.在合同有效期内，任何一方因不可抗力事件导致不能履行合同，则合同履行期可延长，其延长期与不可抗力影响期相同。</w:t>
      </w:r>
    </w:p>
    <w:p w14:paraId="2F5F7127">
      <w:pPr>
        <w:adjustRightInd w:val="0"/>
        <w:snapToGrid w:val="0"/>
        <w:spacing w:line="288" w:lineRule="auto"/>
        <w:ind w:firstLine="396"/>
        <w:rPr>
          <w:rFonts w:hint="eastAsia" w:ascii="宋体" w:hAnsi="宋体" w:eastAsia="宋体" w:cs="宋体"/>
          <w:spacing w:val="-6"/>
          <w:sz w:val="21"/>
          <w:szCs w:val="21"/>
        </w:rPr>
      </w:pPr>
      <w:r>
        <w:rPr>
          <w:rFonts w:hint="eastAsia" w:ascii="宋体" w:hAnsi="宋体" w:eastAsia="宋体" w:cs="宋体"/>
          <w:spacing w:val="-6"/>
          <w:sz w:val="21"/>
          <w:szCs w:val="21"/>
        </w:rPr>
        <w:t>2.不可抗力事件发生后，应立即通知对方，并寄送有关权威机构出具的证明。</w:t>
      </w:r>
    </w:p>
    <w:p w14:paraId="31352156">
      <w:pPr>
        <w:adjustRightInd w:val="0"/>
        <w:snapToGrid w:val="0"/>
        <w:spacing w:line="288" w:lineRule="auto"/>
        <w:ind w:firstLine="396"/>
        <w:rPr>
          <w:rFonts w:hint="eastAsia" w:ascii="宋体" w:hAnsi="宋体" w:eastAsia="宋体" w:cs="宋体"/>
          <w:sz w:val="21"/>
          <w:szCs w:val="21"/>
        </w:rPr>
      </w:pPr>
      <w:r>
        <w:rPr>
          <w:rFonts w:hint="eastAsia" w:ascii="宋体" w:hAnsi="宋体" w:eastAsia="宋体" w:cs="宋体"/>
          <w:spacing w:val="-6"/>
          <w:sz w:val="21"/>
          <w:szCs w:val="21"/>
        </w:rPr>
        <w:t>3.不可抗力事件延续120天以上，双方应通过友好协商，确定是否继续履行合同。</w:t>
      </w:r>
    </w:p>
    <w:p w14:paraId="22F92FCE">
      <w:pPr>
        <w:adjustRightInd w:val="0"/>
        <w:snapToGrid w:val="0"/>
        <w:spacing w:line="288" w:lineRule="auto"/>
        <w:ind w:right="-514" w:rightChars="-245" w:firstLine="422"/>
        <w:rPr>
          <w:rFonts w:hint="eastAsia" w:ascii="宋体" w:hAnsi="宋体" w:eastAsia="宋体" w:cs="宋体"/>
          <w:b/>
          <w:spacing w:val="-6"/>
          <w:sz w:val="21"/>
          <w:szCs w:val="21"/>
        </w:rPr>
      </w:pPr>
      <w:r>
        <w:rPr>
          <w:rFonts w:hint="eastAsia" w:ascii="宋体" w:hAnsi="宋体" w:eastAsia="宋体" w:cs="宋体"/>
          <w:b/>
          <w:bCs/>
          <w:sz w:val="21"/>
          <w:szCs w:val="21"/>
        </w:rPr>
        <w:t>第十条：</w:t>
      </w:r>
      <w:r>
        <w:rPr>
          <w:rFonts w:hint="eastAsia" w:ascii="宋体" w:hAnsi="宋体" w:eastAsia="宋体" w:cs="宋体"/>
          <w:b/>
          <w:spacing w:val="-6"/>
          <w:sz w:val="21"/>
          <w:szCs w:val="21"/>
        </w:rPr>
        <w:t>争议解决</w:t>
      </w:r>
    </w:p>
    <w:p w14:paraId="6FE278E8">
      <w:pPr>
        <w:adjustRightInd w:val="0"/>
        <w:snapToGrid w:val="0"/>
        <w:spacing w:line="288" w:lineRule="auto"/>
        <w:ind w:right="23" w:rightChars="11" w:firstLine="396"/>
        <w:rPr>
          <w:rFonts w:hint="eastAsia" w:ascii="宋体" w:hAnsi="宋体" w:eastAsia="宋体" w:cs="宋体"/>
          <w:spacing w:val="-6"/>
          <w:sz w:val="21"/>
          <w:szCs w:val="21"/>
        </w:rPr>
      </w:pPr>
      <w:r>
        <w:rPr>
          <w:rFonts w:hint="eastAsia" w:ascii="宋体" w:hAnsi="宋体" w:eastAsia="宋体" w:cs="宋体"/>
          <w:spacing w:val="-6"/>
          <w:sz w:val="21"/>
          <w:szCs w:val="21"/>
        </w:rPr>
        <w:t>本合同未尽事宜由双方协商解决，如协商不成，双方同意将本合同引起的争议提交甲方所在地人民法院诉讼解决。</w:t>
      </w:r>
    </w:p>
    <w:p w14:paraId="61883C12">
      <w:pPr>
        <w:adjustRightInd w:val="0"/>
        <w:snapToGrid w:val="0"/>
        <w:spacing w:line="288" w:lineRule="auto"/>
        <w:ind w:right="-514" w:rightChars="-245" w:firstLine="422"/>
        <w:rPr>
          <w:rFonts w:hint="eastAsia" w:ascii="宋体" w:hAnsi="宋体" w:eastAsia="宋体" w:cs="宋体"/>
          <w:b/>
          <w:spacing w:val="-6"/>
          <w:sz w:val="21"/>
          <w:szCs w:val="21"/>
        </w:rPr>
      </w:pPr>
      <w:r>
        <w:rPr>
          <w:rFonts w:hint="eastAsia" w:ascii="宋体" w:hAnsi="宋体" w:eastAsia="宋体" w:cs="宋体"/>
          <w:b/>
          <w:bCs/>
          <w:sz w:val="21"/>
          <w:szCs w:val="21"/>
        </w:rPr>
        <w:t>第十一条：</w:t>
      </w:r>
      <w:r>
        <w:rPr>
          <w:rFonts w:hint="eastAsia" w:ascii="宋体" w:hAnsi="宋体" w:eastAsia="宋体" w:cs="宋体"/>
          <w:b/>
          <w:spacing w:val="-6"/>
          <w:sz w:val="21"/>
          <w:szCs w:val="21"/>
        </w:rPr>
        <w:t>合同生效</w:t>
      </w:r>
    </w:p>
    <w:p w14:paraId="521B2CAD">
      <w:pPr>
        <w:adjustRightInd w:val="0"/>
        <w:snapToGrid w:val="0"/>
        <w:spacing w:line="288" w:lineRule="auto"/>
        <w:ind w:firstLine="396"/>
        <w:rPr>
          <w:rFonts w:hint="eastAsia" w:ascii="宋体" w:hAnsi="宋体" w:eastAsia="宋体" w:cs="宋体"/>
          <w:sz w:val="21"/>
          <w:szCs w:val="21"/>
        </w:rPr>
      </w:pPr>
      <w:r>
        <w:rPr>
          <w:rFonts w:hint="eastAsia" w:ascii="宋体" w:hAnsi="宋体" w:eastAsia="宋体" w:cs="宋体"/>
          <w:spacing w:val="-6"/>
          <w:sz w:val="21"/>
          <w:szCs w:val="21"/>
        </w:rPr>
        <w:t>合同经甲、乙双方法定代表人或授权代表签字并加盖单位公章</w:t>
      </w:r>
      <w:r>
        <w:rPr>
          <w:rFonts w:hint="eastAsia" w:ascii="宋体" w:hAnsi="宋体" w:eastAsia="宋体" w:cs="宋体"/>
          <w:spacing w:val="-6"/>
          <w:sz w:val="21"/>
          <w:szCs w:val="21"/>
          <w:lang w:val="en-US" w:eastAsia="zh-CN"/>
        </w:rPr>
        <w:t>或合同专用章</w:t>
      </w:r>
      <w:r>
        <w:rPr>
          <w:rFonts w:hint="eastAsia" w:ascii="宋体" w:hAnsi="宋体" w:eastAsia="宋体" w:cs="宋体"/>
          <w:spacing w:val="-6"/>
          <w:sz w:val="21"/>
          <w:szCs w:val="21"/>
        </w:rPr>
        <w:t>后生效。</w:t>
      </w:r>
    </w:p>
    <w:p w14:paraId="43991B24">
      <w:pPr>
        <w:adjustRightInd w:val="0"/>
        <w:snapToGrid w:val="0"/>
        <w:spacing w:line="288" w:lineRule="auto"/>
        <w:ind w:firstLine="422"/>
        <w:rPr>
          <w:rFonts w:hint="eastAsia" w:ascii="宋体" w:hAnsi="宋体" w:eastAsia="宋体" w:cs="宋体"/>
          <w:b/>
          <w:bCs/>
          <w:sz w:val="21"/>
          <w:szCs w:val="21"/>
        </w:rPr>
      </w:pPr>
      <w:r>
        <w:rPr>
          <w:rFonts w:hint="eastAsia" w:ascii="宋体" w:hAnsi="宋体" w:eastAsia="宋体" w:cs="宋体"/>
          <w:b/>
          <w:bCs/>
          <w:sz w:val="21"/>
          <w:szCs w:val="21"/>
        </w:rPr>
        <w:t>第十二条：其他</w:t>
      </w:r>
    </w:p>
    <w:p w14:paraId="3C827685">
      <w:pPr>
        <w:adjustRightInd w:val="0"/>
        <w:snapToGrid w:val="0"/>
        <w:spacing w:line="288" w:lineRule="auto"/>
        <w:ind w:firstLine="420"/>
        <w:rPr>
          <w:rFonts w:hint="eastAsia" w:ascii="宋体" w:hAnsi="宋体" w:eastAsia="宋体" w:cs="宋体"/>
          <w:sz w:val="21"/>
          <w:szCs w:val="21"/>
        </w:rPr>
      </w:pPr>
      <w:r>
        <w:rPr>
          <w:rFonts w:hint="eastAsia" w:ascii="宋体" w:hAnsi="宋体" w:eastAsia="宋体" w:cs="宋体"/>
          <w:sz w:val="21"/>
          <w:szCs w:val="21"/>
        </w:rPr>
        <w:t>1.合同执行中涉及采购资金和采购内容修改或补充的，须经财政部门审批，并签书面补充协议报政府采购监督管理部门备案，方可作为主合同不可分割的一部分。</w:t>
      </w:r>
    </w:p>
    <w:p w14:paraId="53C76CA4">
      <w:pPr>
        <w:adjustRightInd w:val="0"/>
        <w:snapToGrid w:val="0"/>
        <w:spacing w:line="288" w:lineRule="auto"/>
        <w:ind w:firstLine="396"/>
        <w:rPr>
          <w:rFonts w:hint="eastAsia" w:ascii="宋体" w:hAnsi="宋体" w:eastAsia="宋体" w:cs="宋体"/>
          <w:sz w:val="21"/>
          <w:szCs w:val="21"/>
        </w:rPr>
      </w:pPr>
      <w:r>
        <w:rPr>
          <w:rFonts w:hint="eastAsia" w:ascii="宋体" w:hAnsi="宋体" w:eastAsia="宋体" w:cs="宋体"/>
          <w:spacing w:val="-6"/>
          <w:sz w:val="21"/>
          <w:szCs w:val="21"/>
        </w:rPr>
        <w:t>2.招标文件、投标文件与本合同具有同等法律效力。</w:t>
      </w:r>
    </w:p>
    <w:p w14:paraId="2E001AF1">
      <w:pPr>
        <w:adjustRightInd w:val="0"/>
        <w:snapToGrid w:val="0"/>
        <w:spacing w:line="288" w:lineRule="auto"/>
        <w:ind w:firstLine="420"/>
        <w:rPr>
          <w:rFonts w:hint="eastAsia" w:ascii="宋体" w:hAnsi="宋体" w:eastAsia="宋体" w:cs="宋体"/>
          <w:sz w:val="21"/>
          <w:szCs w:val="21"/>
        </w:rPr>
      </w:pPr>
      <w:r>
        <w:rPr>
          <w:rFonts w:hint="eastAsia" w:ascii="宋体" w:hAnsi="宋体" w:eastAsia="宋体" w:cs="宋体"/>
          <w:sz w:val="21"/>
          <w:szCs w:val="21"/>
        </w:rPr>
        <w:t>3.本合同未尽事宜，乙方在响应文件中有承诺或保证对其仍具有约束力，其余遵照</w:t>
      </w:r>
      <w:r>
        <w:rPr>
          <w:rFonts w:hint="eastAsia" w:ascii="宋体" w:hAnsi="宋体" w:eastAsia="宋体" w:cs="宋体"/>
          <w:spacing w:val="-6"/>
          <w:sz w:val="21"/>
          <w:szCs w:val="21"/>
        </w:rPr>
        <w:t>《中华人民共和国民法典》</w:t>
      </w:r>
      <w:r>
        <w:rPr>
          <w:rFonts w:hint="eastAsia" w:ascii="宋体" w:hAnsi="宋体" w:eastAsia="宋体" w:cs="宋体"/>
          <w:sz w:val="21"/>
          <w:szCs w:val="21"/>
        </w:rPr>
        <w:t>有关条文执行。</w:t>
      </w:r>
    </w:p>
    <w:p w14:paraId="5C52B215">
      <w:pPr>
        <w:adjustRightInd w:val="0"/>
        <w:snapToGrid w:val="0"/>
        <w:spacing w:line="288" w:lineRule="auto"/>
        <w:ind w:firstLine="420"/>
        <w:rPr>
          <w:rFonts w:hint="eastAsia" w:ascii="宋体" w:hAnsi="宋体" w:eastAsia="宋体" w:cs="宋体"/>
          <w:sz w:val="21"/>
          <w:szCs w:val="21"/>
        </w:rPr>
      </w:pPr>
      <w:r>
        <w:rPr>
          <w:rFonts w:hint="eastAsia" w:ascii="宋体" w:hAnsi="宋体" w:eastAsia="宋体" w:cs="宋体"/>
          <w:sz w:val="21"/>
          <w:szCs w:val="21"/>
        </w:rPr>
        <w:t>4.本合同一式五份，甲方执三份，乙方执一份，采购代理机构执一份。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3E4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C28FDF">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甲方（需方）：</w:t>
            </w:r>
            <w:r>
              <w:rPr>
                <w:rFonts w:hint="eastAsia" w:ascii="宋体" w:hAnsi="宋体" w:eastAsia="宋体" w:cs="宋体"/>
                <w:sz w:val="21"/>
                <w:szCs w:val="21"/>
                <w:lang w:val="en-US" w:eastAsia="zh-CN"/>
              </w:rPr>
              <w:t>杭州医学院</w:t>
            </w:r>
            <w:r>
              <w:rPr>
                <w:rFonts w:hint="eastAsia" w:ascii="宋体" w:hAnsi="宋体" w:eastAsia="宋体" w:cs="宋体"/>
                <w:sz w:val="21"/>
                <w:szCs w:val="21"/>
              </w:rPr>
              <w:t>（公章/合同专用章）</w:t>
            </w:r>
          </w:p>
        </w:tc>
        <w:tc>
          <w:tcPr>
            <w:tcW w:w="4678" w:type="dxa"/>
            <w:vAlign w:val="center"/>
          </w:tcPr>
          <w:p w14:paraId="545905F0">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乙方（供方）：（公章/合同专用章）</w:t>
            </w:r>
          </w:p>
        </w:tc>
      </w:tr>
      <w:tr w14:paraId="4387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FE8C5D0">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甲方法定或授权代表：</w:t>
            </w:r>
          </w:p>
          <w:p w14:paraId="10509C97">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（签名）</w:t>
            </w:r>
          </w:p>
        </w:tc>
        <w:tc>
          <w:tcPr>
            <w:tcW w:w="4678" w:type="dxa"/>
            <w:vAlign w:val="center"/>
          </w:tcPr>
          <w:p w14:paraId="1AB8881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乙方法定或授权代表：</w:t>
            </w:r>
          </w:p>
          <w:p w14:paraId="6AAD4C06">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（签名）</w:t>
            </w:r>
          </w:p>
        </w:tc>
      </w:tr>
      <w:tr w14:paraId="548A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F7385C2">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统一社会信用代码：12330000470051857B</w:t>
            </w:r>
          </w:p>
        </w:tc>
        <w:tc>
          <w:tcPr>
            <w:tcW w:w="4678" w:type="dxa"/>
            <w:vAlign w:val="center"/>
          </w:tcPr>
          <w:p w14:paraId="5549879E">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统一社会信用代码：</w:t>
            </w:r>
          </w:p>
        </w:tc>
      </w:tr>
      <w:tr w14:paraId="2D43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60CF92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地址：浙江省杭州市临安区颐康街8号</w:t>
            </w:r>
          </w:p>
        </w:tc>
        <w:tc>
          <w:tcPr>
            <w:tcW w:w="4678" w:type="dxa"/>
            <w:vAlign w:val="center"/>
          </w:tcPr>
          <w:p w14:paraId="31C39F49">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地址：</w:t>
            </w:r>
          </w:p>
        </w:tc>
      </w:tr>
      <w:tr w14:paraId="7C51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E71027">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电话：0571-87692652</w:t>
            </w:r>
          </w:p>
        </w:tc>
        <w:tc>
          <w:tcPr>
            <w:tcW w:w="4678" w:type="dxa"/>
            <w:vAlign w:val="center"/>
          </w:tcPr>
          <w:p w14:paraId="2EF057AB">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电话：</w:t>
            </w:r>
          </w:p>
        </w:tc>
      </w:tr>
      <w:tr w14:paraId="4B35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2798B2">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开户银行：中国工商银行杭州城站支行</w:t>
            </w:r>
          </w:p>
        </w:tc>
        <w:tc>
          <w:tcPr>
            <w:tcW w:w="4678" w:type="dxa"/>
            <w:vAlign w:val="center"/>
          </w:tcPr>
          <w:p w14:paraId="2AB74F9A">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开户银行：</w:t>
            </w:r>
          </w:p>
        </w:tc>
      </w:tr>
      <w:tr w14:paraId="51FE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1D12AE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账号：1202027609014402263</w:t>
            </w:r>
          </w:p>
        </w:tc>
        <w:tc>
          <w:tcPr>
            <w:tcW w:w="4678" w:type="dxa"/>
            <w:vAlign w:val="center"/>
          </w:tcPr>
          <w:p w14:paraId="022601D7">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帐号：</w:t>
            </w:r>
          </w:p>
        </w:tc>
      </w:tr>
      <w:tr w14:paraId="1CE3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5F51831">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签名日期：      年    月    日</w:t>
            </w:r>
          </w:p>
        </w:tc>
        <w:tc>
          <w:tcPr>
            <w:tcW w:w="4678" w:type="dxa"/>
            <w:vAlign w:val="center"/>
          </w:tcPr>
          <w:p w14:paraId="3F71502D">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签名日期：      年    月    日</w:t>
            </w:r>
          </w:p>
        </w:tc>
      </w:tr>
      <w:tr w14:paraId="362F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72C3D71">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合同鉴证方：浙江求是招标代理有限公司（公章）</w:t>
            </w:r>
          </w:p>
        </w:tc>
      </w:tr>
      <w:tr w14:paraId="1CFB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2947208">
            <w:pPr>
              <w:tabs>
                <w:tab w:val="left" w:pos="2880"/>
              </w:tabs>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采购代理机构代表：</w:t>
            </w:r>
          </w:p>
          <w:p w14:paraId="64F8E6B6">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（签名）</w:t>
            </w:r>
          </w:p>
        </w:tc>
      </w:tr>
      <w:tr w14:paraId="24E6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49494E7">
            <w:pPr>
              <w:tabs>
                <w:tab w:val="left" w:pos="2880"/>
              </w:tabs>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地址：杭州市玉古路173号中田大厦21楼</w:t>
            </w:r>
          </w:p>
        </w:tc>
      </w:tr>
      <w:tr w14:paraId="55C8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CE9D2A1">
            <w:pPr>
              <w:tabs>
                <w:tab w:val="left" w:pos="2880"/>
              </w:tabs>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电话：0571-87666117</w:t>
            </w:r>
          </w:p>
        </w:tc>
      </w:tr>
      <w:tr w14:paraId="6111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3A484D8">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鉴证日期：      年    月    日</w:t>
            </w:r>
          </w:p>
        </w:tc>
      </w:tr>
    </w:tbl>
    <w:p w14:paraId="7094831F">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（1）有效的法人或者</w:t>
      </w:r>
      <w:r>
        <w:rPr>
          <w:rFonts w:hint="eastAsia" w:ascii="宋体" w:hAnsi="宋体" w:eastAsia="宋体" w:cs="宋体"/>
          <w:bCs/>
          <w:spacing w:val="-6"/>
          <w:szCs w:val="21"/>
          <w:highlight w:val="none"/>
        </w:rPr>
        <w:t>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4DC200A9">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p>
    <w:p w14:paraId="64343DFE">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lang w:val="en-US" w:eastAsia="zh-CN"/>
        </w:rPr>
        <w:t>1）</w:t>
      </w:r>
      <w:r>
        <w:rPr>
          <w:rFonts w:hint="eastAsia" w:ascii="宋体" w:hAnsi="宋体" w:eastAsia="宋体" w:cs="宋体"/>
          <w:bCs/>
          <w:spacing w:val="-6"/>
          <w:szCs w:val="21"/>
          <w:highlight w:val="none"/>
        </w:rPr>
        <w:t>中小企业声明函（若属于中小企业）</w:t>
      </w:r>
    </w:p>
    <w:p w14:paraId="5EA585E5">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lang w:val="en-US" w:eastAsia="zh-CN"/>
        </w:rPr>
        <w:t>2</w:t>
      </w:r>
      <w:r>
        <w:rPr>
          <w:rFonts w:hint="eastAsia" w:ascii="宋体" w:hAnsi="宋体" w:eastAsia="宋体" w:cs="宋体"/>
          <w:bCs/>
          <w:spacing w:val="-6"/>
          <w:szCs w:val="21"/>
          <w:highlight w:val="none"/>
        </w:rPr>
        <w:t>）属于监狱企业的证明文件（若属于监狱企业）</w:t>
      </w:r>
    </w:p>
    <w:p w14:paraId="1E0C02F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rPr>
        <w:t>）残疾人福利性单位声明函（若属于残疾人福利性单位）</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3）</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rPr>
      </w:pPr>
    </w:p>
    <w:p w14:paraId="338CB46C">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657095E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2025年3月（含）以后任意一月</w:t>
      </w:r>
      <w:r>
        <w:rPr>
          <w:rFonts w:ascii="宋体" w:hAnsi="宋体" w:eastAsia="宋体" w:cs="Times New Roman"/>
          <w:spacing w:val="-6"/>
          <w:szCs w:val="21"/>
        </w:rPr>
        <w:t>）</w:t>
      </w:r>
    </w:p>
    <w:p w14:paraId="0C37AC2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5</w:t>
      </w:r>
      <w:r>
        <w:rPr>
          <w:rFonts w:hint="eastAsia" w:ascii="宋体" w:hAnsi="宋体" w:eastAsia="宋体" w:cs="宋体"/>
          <w:spacing w:val="-6"/>
          <w:szCs w:val="21"/>
          <w:highlight w:val="none"/>
        </w:rPr>
        <w:t>）技术方案：</w:t>
      </w:r>
    </w:p>
    <w:p w14:paraId="564DDE50">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服务方案</w:t>
      </w:r>
    </w:p>
    <w:p w14:paraId="045AEB6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拟派人员</w:t>
      </w:r>
    </w:p>
    <w:p w14:paraId="0A038FED">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实验材料配置</w:t>
      </w:r>
    </w:p>
    <w:p w14:paraId="487A804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保障措施</w:t>
      </w:r>
    </w:p>
    <w:p w14:paraId="027CE82A">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培训计划</w:t>
      </w:r>
    </w:p>
    <w:p w14:paraId="7E756377">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售后服务及应急服务措施</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rPr>
      </w:pPr>
    </w:p>
    <w:p w14:paraId="4BF70312">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28760C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508882B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杭州医学院</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78F9285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7FDE82A1">
      <w:pPr>
        <w:adjustRightInd w:val="0"/>
        <w:snapToGrid w:val="0"/>
        <w:spacing w:line="288" w:lineRule="auto"/>
        <w:ind w:firstLine="498" w:firstLineChars="236"/>
        <w:rPr>
          <w:rFonts w:ascii="宋体" w:hAnsi="宋体" w:eastAsia="宋体" w:cs="Times New Roman"/>
          <w:b/>
          <w:szCs w:val="21"/>
        </w:rPr>
      </w:pPr>
    </w:p>
    <w:p w14:paraId="5782042D">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w:t>
      </w:r>
      <w:r>
        <w:rPr>
          <w:rFonts w:hint="eastAsia" w:ascii="宋体" w:hAnsi="宋体" w:eastAsia="宋体" w:cs="Times New Roman"/>
          <w:i/>
          <w:szCs w:val="21"/>
          <w:u w:val="single"/>
        </w:rPr>
        <w:t>杭州医学院</w:t>
      </w:r>
      <w:r>
        <w:rPr>
          <w:rFonts w:ascii="宋体" w:hAnsi="宋体" w:eastAsia="宋体" w:cs="Times New Roman"/>
          <w:i/>
          <w:szCs w:val="21"/>
          <w:u w:val="single"/>
        </w:rPr>
        <w:t>）</w:t>
      </w:r>
      <w:r>
        <w:rPr>
          <w:rFonts w:ascii="宋体" w:hAnsi="宋体" w:eastAsia="宋体" w:cs="Times New Roman"/>
          <w:szCs w:val="21"/>
        </w:rPr>
        <w:t>的</w:t>
      </w:r>
      <w:r>
        <w:rPr>
          <w:rFonts w:ascii="宋体" w:hAnsi="宋体" w:eastAsia="宋体" w:cs="Times New Roman"/>
          <w:i/>
          <w:szCs w:val="21"/>
          <w:u w:val="single"/>
        </w:rPr>
        <w:t>（</w:t>
      </w:r>
      <w:r>
        <w:rPr>
          <w:rFonts w:hint="eastAsia" w:ascii="宋体" w:hAnsi="宋体" w:eastAsia="宋体" w:cs="Times New Roman"/>
          <w:i/>
          <w:szCs w:val="21"/>
          <w:u w:val="single"/>
        </w:rPr>
        <w:t>2025年杭州医学院解剖实验教学技术服务项目</w:t>
      </w:r>
      <w:r>
        <w:rPr>
          <w:rFonts w:ascii="宋体" w:hAnsi="宋体" w:eastAsia="宋体" w:cs="Times New Roman"/>
          <w:i/>
          <w:szCs w:val="21"/>
          <w:u w:val="single"/>
        </w:rPr>
        <w:t>）</w:t>
      </w:r>
      <w:r>
        <w:rPr>
          <w:rFonts w:ascii="宋体" w:hAnsi="宋体" w:eastAsia="宋体" w:cs="Times New Roman"/>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65F68A74">
      <w:pPr>
        <w:adjustRightInd w:val="0"/>
        <w:snapToGrid w:val="0"/>
        <w:spacing w:line="288" w:lineRule="auto"/>
        <w:ind w:firstLine="495" w:firstLineChars="236"/>
        <w:rPr>
          <w:rFonts w:ascii="宋体" w:hAnsi="宋体" w:eastAsia="宋体" w:cs="Times New Roman"/>
          <w:i/>
          <w:szCs w:val="21"/>
          <w:highlight w:val="none"/>
          <w:u w:val="single"/>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szCs w:val="21"/>
          <w:u w:val="single"/>
        </w:rPr>
        <w:t>2025年杭州医学院解剖实验教学技术服务项目</w:t>
      </w:r>
      <w:r>
        <w:rPr>
          <w:rFonts w:ascii="宋体" w:hAnsi="宋体" w:eastAsia="宋体" w:cs="Times New Roman"/>
          <w:i/>
          <w:szCs w:val="21"/>
          <w:u w:val="single"/>
        </w:rPr>
        <w:t>），属于（</w:t>
      </w:r>
      <w:r>
        <w:rPr>
          <w:rFonts w:hint="eastAsia" w:ascii="宋体" w:hAnsi="宋体" w:eastAsia="宋体" w:cs="Times New Roman"/>
          <w:i/>
          <w:szCs w:val="21"/>
          <w:u w:val="single"/>
        </w:rPr>
        <w:t>其他未列明行业</w:t>
      </w:r>
      <w:r>
        <w:rPr>
          <w:rFonts w:ascii="宋体" w:hAnsi="宋体" w:eastAsia="宋体" w:cs="Times New Roman"/>
          <w:i/>
          <w:szCs w:val="21"/>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i/>
          <w:szCs w:val="21"/>
          <w:highlight w:val="none"/>
          <w:u w:val="single"/>
        </w:rPr>
        <w:t>）</w:t>
      </w:r>
      <w:r>
        <w:rPr>
          <w:rFonts w:ascii="宋体" w:hAnsi="宋体" w:eastAsia="宋体" w:cs="Times New Roman"/>
          <w:szCs w:val="21"/>
          <w:highlight w:val="none"/>
        </w:rPr>
        <w:t>；</w:t>
      </w:r>
    </w:p>
    <w:p w14:paraId="60DD0D87">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i/>
          <w:szCs w:val="21"/>
          <w:highlight w:val="none"/>
          <w:u w:val="single"/>
        </w:rPr>
        <w:t>2</w:t>
      </w:r>
      <w:r>
        <w:rPr>
          <w:rFonts w:ascii="宋体" w:hAnsi="宋体" w:eastAsia="宋体" w:cs="Times New Roman"/>
          <w:i/>
          <w:szCs w:val="21"/>
          <w:highlight w:val="none"/>
          <w:u w:val="single"/>
        </w:rPr>
        <w:t>.（标的名称）</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w:t>
      </w:r>
      <w:r>
        <w:rPr>
          <w:rFonts w:ascii="宋体" w:hAnsi="宋体" w:eastAsia="宋体" w:cs="Times New Roman"/>
          <w:szCs w:val="21"/>
          <w:highlight w:val="none"/>
        </w:rPr>
        <w:t>；承建（</w:t>
      </w:r>
      <w:r>
        <w:rPr>
          <w:rFonts w:ascii="宋体" w:hAnsi="宋体" w:eastAsia="宋体" w:cs="Times New Roman"/>
          <w:szCs w:val="21"/>
        </w:rPr>
        <w:t>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2FE1018A">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1634C4A0">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015340F3">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386A15AD">
      <w:pPr>
        <w:adjustRightInd w:val="0"/>
        <w:snapToGrid w:val="0"/>
        <w:spacing w:line="288" w:lineRule="auto"/>
        <w:ind w:firstLine="495" w:firstLineChars="236"/>
        <w:rPr>
          <w:rFonts w:ascii="宋体" w:hAnsi="宋体" w:eastAsia="宋体" w:cs="Times New Roman"/>
          <w:szCs w:val="21"/>
        </w:rPr>
      </w:pPr>
    </w:p>
    <w:p w14:paraId="1A3A4C35">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50D14150">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351996DC">
      <w:pPr>
        <w:adjustRightInd w:val="0"/>
        <w:snapToGrid w:val="0"/>
        <w:spacing w:line="288" w:lineRule="auto"/>
        <w:ind w:firstLine="495" w:firstLineChars="236"/>
        <w:rPr>
          <w:rFonts w:ascii="宋体" w:hAnsi="宋体" w:eastAsia="宋体" w:cs="Times New Roman"/>
          <w:szCs w:val="21"/>
        </w:rPr>
      </w:pPr>
    </w:p>
    <w:p w14:paraId="65882A2F">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736C856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lang w:val="en-US" w:eastAsia="zh-CN"/>
        </w:rPr>
      </w:pPr>
      <w:r>
        <w:rPr>
          <w:rFonts w:hint="eastAsia" w:ascii="宋体" w:hAnsi="宋体" w:eastAsia="宋体" w:cs="宋体"/>
          <w:i w:val="0"/>
          <w:iCs w:val="0"/>
          <w:color w:val="FF0000"/>
          <w:sz w:val="21"/>
          <w:szCs w:val="21"/>
          <w:lang w:val="en-US" w:eastAsia="zh-CN"/>
        </w:rPr>
        <w:t>1.标的名称，按照【招标文件】中明确的标的填写；</w:t>
      </w:r>
    </w:p>
    <w:p w14:paraId="62D12D9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lang w:val="en-US" w:eastAsia="zh-CN"/>
        </w:rPr>
      </w:pPr>
      <w:r>
        <w:rPr>
          <w:rFonts w:hint="eastAsia" w:ascii="宋体" w:hAnsi="宋体" w:eastAsia="宋体" w:cs="宋体"/>
          <w:i w:val="0"/>
          <w:iCs w:val="0"/>
          <w:color w:val="FF0000"/>
          <w:sz w:val="21"/>
          <w:szCs w:val="21"/>
          <w:lang w:val="en-US" w:eastAsia="zh-CN"/>
        </w:rPr>
        <w:t>2.所属行业，按照【招标文件】中明确的标的“所属行业”填写；</w:t>
      </w:r>
    </w:p>
    <w:p w14:paraId="464ED0F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highlight w:val="none"/>
          <w:lang w:val="en-US" w:eastAsia="zh-CN"/>
        </w:rPr>
      </w:pPr>
      <w:r>
        <w:rPr>
          <w:rFonts w:hint="eastAsia" w:ascii="宋体" w:hAnsi="宋体" w:eastAsia="宋体" w:cs="宋体"/>
          <w:i w:val="0"/>
          <w:iCs w:val="0"/>
          <w:color w:val="FF0000"/>
          <w:sz w:val="21"/>
          <w:szCs w:val="21"/>
          <w:highlight w:val="none"/>
          <w:lang w:val="en-US" w:eastAsia="zh-CN"/>
        </w:rPr>
        <w:t>3.</w:t>
      </w:r>
      <w:r>
        <w:rPr>
          <w:rFonts w:hint="eastAsia" w:ascii="宋体" w:hAnsi="宋体" w:eastAsia="宋体" w:cs="宋体"/>
          <w:i w:val="0"/>
          <w:iCs w:val="0"/>
          <w:color w:val="FF0000"/>
          <w:sz w:val="21"/>
          <w:szCs w:val="21"/>
          <w:highlight w:val="none"/>
        </w:rPr>
        <w:t>承建（承接）企业</w:t>
      </w:r>
      <w:r>
        <w:rPr>
          <w:rFonts w:hint="eastAsia" w:ascii="宋体" w:hAnsi="宋体" w:eastAsia="宋体" w:cs="宋体"/>
          <w:i w:val="0"/>
          <w:iCs w:val="0"/>
          <w:color w:val="FF0000"/>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FF0000"/>
          <w:sz w:val="21"/>
          <w:szCs w:val="21"/>
          <w:highlight w:val="none"/>
          <w:lang w:val="en-US" w:eastAsia="zh-CN"/>
        </w:rPr>
        <w:t>；</w:t>
      </w:r>
    </w:p>
    <w:p w14:paraId="0D119D7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4</w:t>
      </w:r>
      <w:r>
        <w:rPr>
          <w:rFonts w:hint="eastAsia" w:ascii="宋体" w:hAnsi="宋体" w:eastAsia="宋体" w:cs="宋体"/>
          <w:i w:val="0"/>
          <w:iCs w:val="0"/>
          <w:sz w:val="21"/>
          <w:szCs w:val="21"/>
        </w:rPr>
        <w:t>.从业人员、营业收入、资产总额填报上一年度数据，无上一年度数据的新成立企业可不填报。</w:t>
      </w:r>
    </w:p>
    <w:p w14:paraId="7A5AF8E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highlight w:val="none"/>
          <w:lang w:val="en-US" w:eastAsia="zh-CN"/>
        </w:rPr>
      </w:pPr>
      <w:r>
        <w:rPr>
          <w:rFonts w:hint="eastAsia" w:ascii="宋体" w:hAnsi="宋体" w:eastAsia="宋体" w:cs="宋体"/>
          <w:i w:val="0"/>
          <w:iCs w:val="0"/>
          <w:color w:val="FF0000"/>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FF0000"/>
          <w:sz w:val="21"/>
          <w:szCs w:val="21"/>
          <w:highlight w:val="none"/>
          <w:u w:val="single"/>
          <w:lang w:val="en-US" w:eastAsia="zh-CN"/>
        </w:rPr>
        <w:t>“中型企业、小型企业、微型企业”</w:t>
      </w:r>
      <w:r>
        <w:rPr>
          <w:rFonts w:hint="eastAsia" w:ascii="宋体" w:hAnsi="宋体" w:eastAsia="宋体" w:cs="宋体"/>
          <w:i w:val="0"/>
          <w:iCs w:val="0"/>
          <w:color w:val="FF0000"/>
          <w:sz w:val="21"/>
          <w:szCs w:val="21"/>
          <w:highlight w:val="none"/>
          <w:lang w:val="en-US" w:eastAsia="zh-CN"/>
        </w:rPr>
        <w:t>其中之一；</w:t>
      </w:r>
    </w:p>
    <w:p w14:paraId="08FAEAAA">
      <w:pPr>
        <w:adjustRightInd w:val="0"/>
        <w:snapToGrid w:val="0"/>
        <w:spacing w:line="288" w:lineRule="auto"/>
        <w:ind w:firstLine="495" w:firstLineChars="236"/>
        <w:rPr>
          <w:rFonts w:hint="eastAsia" w:ascii="宋体" w:hAnsi="宋体" w:eastAsia="宋体" w:cs="宋体"/>
          <w:i w:val="0"/>
          <w:iCs w:val="0"/>
          <w:color w:val="FF0000"/>
          <w:sz w:val="21"/>
          <w:szCs w:val="21"/>
          <w:highlight w:val="none"/>
        </w:rPr>
      </w:pPr>
      <w:r>
        <w:rPr>
          <w:rFonts w:hint="eastAsia" w:ascii="宋体" w:hAnsi="宋体" w:eastAsia="宋体" w:cs="宋体"/>
          <w:i w:val="0"/>
          <w:iCs w:val="0"/>
          <w:color w:val="FF0000"/>
          <w:sz w:val="21"/>
          <w:szCs w:val="21"/>
          <w:highlight w:val="none"/>
          <w:lang w:val="en-US" w:eastAsia="zh-CN"/>
        </w:rPr>
        <w:t>6.</w:t>
      </w:r>
      <w:r>
        <w:rPr>
          <w:rFonts w:hint="eastAsia" w:ascii="宋体" w:hAnsi="宋体" w:eastAsia="宋体" w:cs="宋体"/>
          <w:i w:val="0"/>
          <w:iCs w:val="0"/>
          <w:color w:val="FF0000"/>
          <w:sz w:val="21"/>
          <w:szCs w:val="21"/>
          <w:highlight w:val="none"/>
        </w:rPr>
        <w:t>招标文件中明确的标的是能够独立发挥功能的产品，配件、辅料不作为标的，不需要在《中小企业声明函》里填列。</w:t>
      </w:r>
    </w:p>
    <w:p w14:paraId="53C7361F">
      <w:pPr>
        <w:rPr>
          <w:rFonts w:hint="eastAsia" w:ascii="宋体" w:hAnsi="宋体" w:eastAsia="宋体" w:cs="宋体"/>
          <w:b/>
          <w:spacing w:val="-6"/>
          <w:szCs w:val="21"/>
        </w:rPr>
      </w:pPr>
      <w:r>
        <w:rPr>
          <w:rFonts w:hint="eastAsia" w:ascii="宋体" w:hAnsi="宋体" w:eastAsia="宋体" w:cs="宋体"/>
          <w:b/>
          <w:spacing w:val="-6"/>
          <w:szCs w:val="21"/>
        </w:rPr>
        <w:br w:type="page"/>
      </w:r>
    </w:p>
    <w:p w14:paraId="6C0D1423">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66DE9A6D">
      <w:pPr>
        <w:adjustRightInd w:val="0"/>
        <w:snapToGrid w:val="0"/>
        <w:spacing w:line="288" w:lineRule="auto"/>
        <w:rPr>
          <w:rFonts w:ascii="宋体" w:hAnsi="宋体" w:eastAsia="宋体" w:cs="宋体"/>
          <w:color w:val="000000"/>
          <w:kern w:val="0"/>
          <w:szCs w:val="21"/>
        </w:rPr>
      </w:pPr>
    </w:p>
    <w:p w14:paraId="10877F03">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675D0FB">
      <w:pPr>
        <w:adjustRightInd w:val="0"/>
        <w:snapToGrid w:val="0"/>
        <w:spacing w:line="288" w:lineRule="auto"/>
        <w:rPr>
          <w:rFonts w:ascii="宋体" w:hAnsi="宋体" w:eastAsia="宋体"/>
          <w:szCs w:val="21"/>
        </w:rPr>
      </w:pPr>
    </w:p>
    <w:p w14:paraId="659AF3CF">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7AD8ECFB">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4A18483">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318D6BFC">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2A7743E">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01090AEB">
      <w:pPr>
        <w:adjustRightInd w:val="0"/>
        <w:snapToGrid w:val="0"/>
        <w:spacing w:line="288" w:lineRule="auto"/>
        <w:rPr>
          <w:rFonts w:ascii="宋体" w:hAnsi="宋体" w:eastAsia="宋体" w:cs="Times New Roman"/>
          <w:b/>
          <w:spacing w:val="6"/>
          <w:szCs w:val="21"/>
        </w:rPr>
      </w:pPr>
    </w:p>
    <w:p w14:paraId="79C90EAB">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w:t>
      </w:r>
      <w:r>
        <w:rPr>
          <w:rFonts w:hint="eastAsia" w:ascii="宋体" w:hAnsi="宋体" w:eastAsia="宋体" w:cs="Times New Roman"/>
          <w:b/>
          <w:bCs/>
          <w:spacing w:val="6"/>
          <w:szCs w:val="21"/>
          <w:highlight w:val="none"/>
        </w:rPr>
        <w:t>利性单位</w:t>
      </w:r>
      <w:r>
        <w:rPr>
          <w:rFonts w:hint="eastAsia" w:ascii="宋体" w:hAnsi="宋体" w:eastAsia="宋体" w:cs="Times New Roman"/>
          <w:spacing w:val="6"/>
          <w:szCs w:val="21"/>
          <w:highlight w:val="none"/>
        </w:rPr>
        <w:t>，且本单位参加______（采购人）单位的______（项目名称）项目采购活动提供本单位服务）。</w:t>
      </w:r>
    </w:p>
    <w:p w14:paraId="51959B1F">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46A742B6">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6DAF3BE4">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22557CD7">
      <w:pPr>
        <w:adjustRightInd w:val="0"/>
        <w:snapToGrid w:val="0"/>
        <w:spacing w:line="288" w:lineRule="auto"/>
        <w:rPr>
          <w:rFonts w:ascii="宋体" w:hAnsi="宋体" w:eastAsia="宋体"/>
          <w:szCs w:val="21"/>
        </w:rPr>
      </w:pPr>
    </w:p>
    <w:p w14:paraId="7DF9A415">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66D340F0">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1CC430C1">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5DB67B76">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5B841A8B">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59AF3990">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6C8FDCA3">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74653751">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1DEB83">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1527BDB9">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509F8199">
      <w:pPr>
        <w:adjustRightInd w:val="0"/>
        <w:snapToGrid w:val="0"/>
        <w:spacing w:line="288" w:lineRule="auto"/>
        <w:rPr>
          <w:rFonts w:ascii="宋体" w:hAnsi="宋体" w:eastAsia="宋体" w:cs="Times New Roman"/>
          <w:b/>
          <w:spacing w:val="-6"/>
          <w:szCs w:val="21"/>
        </w:rPr>
      </w:pPr>
      <w:r>
        <w:rPr>
          <w:rFonts w:hint="eastAsia"/>
          <w:sz w:val="21"/>
          <w:szCs w:val="21"/>
        </w:rPr>
        <w:t>残疾人福利性单位属于小型、微型企业的，不重复享受政策。</w:t>
      </w: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杭州医学院</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杭州医学院2025年杭州医学院解剖实验教学技术服务项目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HMC20250623097</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杭州医学院</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杭州医学院2025年杭州医学院解剖实验教学技术服务项目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HMC20250623097</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2025年3月（含）以后任意一月</w:t>
      </w:r>
      <w:r>
        <w:rPr>
          <w:rFonts w:hint="eastAsia" w:ascii="宋体" w:hAnsi="宋体" w:eastAsia="宋体" w:cs="Times New Roman"/>
          <w:spacing w:val="-6"/>
          <w:szCs w:val="21"/>
          <w:u w:val="single"/>
        </w:rPr>
        <w:t>）。</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2025年3月（含）以后任意一月</w:t>
      </w:r>
      <w:r>
        <w:rPr>
          <w:rFonts w:hint="eastAsia" w:ascii="宋体" w:hAnsi="宋体" w:eastAsia="宋体" w:cs="Times New Roman"/>
          <w:b/>
          <w:bCs/>
          <w:szCs w:val="21"/>
        </w:rPr>
        <w:t>）</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杭州医学院</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2025年杭州医学院解剖实验教学技术服务项目</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HMC20250623097</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hint="eastAsia" w:ascii="宋体" w:hAnsi="宋体" w:eastAsia="宋体" w:cs="宋体"/>
                <w:b/>
                <w:bCs/>
                <w:szCs w:val="21"/>
                <w:lang w:eastAsia="zh-CN"/>
              </w:rPr>
            </w:pPr>
            <w:r>
              <w:rPr>
                <w:rFonts w:hint="eastAsia" w:ascii="宋体" w:hAnsi="宋体" w:eastAsia="宋体" w:cs="宋体"/>
                <w:b/>
                <w:bCs/>
                <w:szCs w:val="21"/>
                <w:lang w:val="en-US" w:eastAsia="zh-CN"/>
              </w:rPr>
              <w:t>服务内容</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Times New Roman"/>
          <w:spacing w:val="-6"/>
          <w:szCs w:val="21"/>
        </w:rPr>
        <w:br w:type="page"/>
      </w:r>
    </w:p>
    <w:p w14:paraId="1247915A">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5</w:t>
      </w:r>
      <w:r>
        <w:rPr>
          <w:rFonts w:hint="eastAsia" w:ascii="宋体" w:hAnsi="宋体" w:eastAsia="宋体" w:cs="宋体"/>
          <w:b/>
          <w:spacing w:val="-6"/>
          <w:szCs w:val="21"/>
        </w:rPr>
        <w:t>）技术方案</w:t>
      </w:r>
    </w:p>
    <w:p w14:paraId="6060A5FD">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服务方案</w:t>
      </w:r>
    </w:p>
    <w:p w14:paraId="1746D890">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拟派人员</w:t>
      </w:r>
    </w:p>
    <w:p w14:paraId="2C4E80B7">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实验材料配置</w:t>
      </w:r>
    </w:p>
    <w:p w14:paraId="418812F4">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保障措施</w:t>
      </w:r>
    </w:p>
    <w:p w14:paraId="445AAAAC">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培训计划</w:t>
      </w:r>
    </w:p>
    <w:p w14:paraId="563C4B01">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售后服务及应急服务措施</w:t>
      </w:r>
    </w:p>
    <w:p w14:paraId="015F905F">
      <w:pPr>
        <w:adjustRightInd w:val="0"/>
        <w:snapToGrid w:val="0"/>
        <w:spacing w:line="288" w:lineRule="auto"/>
        <w:rPr>
          <w:rFonts w:ascii="宋体" w:hAnsi="宋体" w:eastAsia="宋体" w:cs="宋体"/>
          <w:b/>
          <w:spacing w:val="-6"/>
          <w:szCs w:val="21"/>
        </w:rPr>
      </w:pP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杭州医学院</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2025年杭州医学院解剖实验教学技术服务项目</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HMC20250623097</w:t>
      </w:r>
    </w:p>
    <w:p w14:paraId="53A765F8">
      <w:pPr>
        <w:adjustRightInd w:val="0"/>
        <w:snapToGrid w:val="0"/>
        <w:spacing w:line="288" w:lineRule="auto"/>
        <w:rPr>
          <w:rFonts w:hint="eastAsia" w:ascii="宋体" w:hAnsi="宋体" w:eastAsia="宋体" w:cs="Times New Roman"/>
          <w:bCs/>
          <w:spacing w:val="-6"/>
          <w:szCs w:val="21"/>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4273"/>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54" w:name="_Hlk177717733"/>
            <w:r>
              <w:rPr>
                <w:rFonts w:hint="eastAsia" w:ascii="宋体" w:hAnsi="宋体" w:eastAsia="宋体" w:cs="宋体"/>
                <w:b/>
                <w:bCs/>
                <w:sz w:val="21"/>
                <w:szCs w:val="21"/>
              </w:rPr>
              <w:t>具体服务</w:t>
            </w:r>
            <w:bookmarkEnd w:id="54"/>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273"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default" w:ascii="宋体" w:hAnsi="宋体" w:eastAsia="宋体" w:cs="宋体"/>
                <w:b/>
                <w:bCs/>
                <w:sz w:val="21"/>
                <w:szCs w:val="21"/>
                <w:lang w:val="en-US" w:eastAsia="zh-CN"/>
              </w:rPr>
            </w:pPr>
          </w:p>
        </w:tc>
        <w:tc>
          <w:tcPr>
            <w:tcW w:w="4273" w:type="dxa"/>
            <w:tcBorders>
              <w:top w:val="single" w:color="auto" w:sz="4" w:space="0"/>
              <w:left w:val="single" w:color="auto" w:sz="4" w:space="0"/>
              <w:bottom w:val="single" w:color="auto" w:sz="4" w:space="0"/>
              <w:right w:val="single" w:color="auto" w:sz="4" w:space="0"/>
            </w:tcBorders>
            <w:shd w:val="clear" w:color="auto" w:fill="FFFFFF"/>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4273" w:type="dxa"/>
            <w:tcBorders>
              <w:top w:val="single" w:color="auto" w:sz="4" w:space="0"/>
              <w:left w:val="single" w:color="auto" w:sz="4" w:space="0"/>
              <w:bottom w:val="single" w:color="auto" w:sz="4" w:space="0"/>
              <w:right w:val="single" w:color="auto" w:sz="4" w:space="0"/>
            </w:tcBorders>
            <w:shd w:val="clear" w:color="auto" w:fill="FFFFFF"/>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4273" w:type="dxa"/>
            <w:tcBorders>
              <w:top w:val="single" w:color="auto" w:sz="4" w:space="0"/>
              <w:left w:val="single" w:color="auto" w:sz="4" w:space="0"/>
              <w:bottom w:val="single" w:color="auto" w:sz="4" w:space="0"/>
              <w:right w:val="single" w:color="auto" w:sz="4" w:space="0"/>
            </w:tcBorders>
            <w:shd w:val="clear" w:color="auto" w:fill="FFFFFF"/>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4273" w:type="dxa"/>
            <w:tcBorders>
              <w:top w:val="single" w:color="auto" w:sz="4" w:space="0"/>
              <w:left w:val="single" w:color="auto" w:sz="4" w:space="0"/>
              <w:bottom w:val="single" w:color="auto" w:sz="4" w:space="0"/>
              <w:right w:val="single" w:color="auto" w:sz="4" w:space="0"/>
            </w:tcBorders>
            <w:shd w:val="clear" w:color="auto" w:fill="FFFFFF"/>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联合体其他成员承担的部分的部分，应在表中列明。</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4843891A">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FF0000"/>
          <w:kern w:val="0"/>
          <w:szCs w:val="21"/>
          <w:lang w:val="en-US" w:eastAsia="zh-CN"/>
        </w:rPr>
        <w:t>响应</w:t>
      </w:r>
      <w:r>
        <w:rPr>
          <w:rFonts w:hint="eastAsia" w:ascii="宋体" w:hAnsi="宋体" w:eastAsia="宋体" w:cs="仿宋_GB2312"/>
          <w:kern w:val="0"/>
          <w:szCs w:val="21"/>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lang w:val="zh-CN"/>
        </w:rPr>
      </w:pPr>
    </w:p>
    <w:p w14:paraId="796ADF68">
      <w:pPr>
        <w:snapToGrid w:val="0"/>
        <w:spacing w:line="288" w:lineRule="auto"/>
        <w:ind w:firstLine="422" w:firstLineChars="201"/>
        <w:rPr>
          <w:rFonts w:ascii="宋体" w:hAnsi="宋体" w:eastAsia="宋体" w:cs="仿宋_GB2312"/>
          <w:kern w:val="0"/>
          <w:szCs w:val="21"/>
          <w:lang w:val="zh-CN"/>
        </w:rPr>
      </w:pPr>
    </w:p>
    <w:p w14:paraId="4BC3D04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ascii="宋体" w:hAnsi="宋体" w:eastAsia="宋体" w:cs="仿宋_GB2312"/>
          <w:b/>
          <w:bCs/>
          <w:kern w:val="0"/>
          <w:szCs w:val="21"/>
          <w:lang w:val="zh-CN"/>
        </w:rPr>
      </w:pPr>
    </w:p>
    <w:p w14:paraId="119F23CF">
      <w:pPr>
        <w:snapToGrid w:val="0"/>
        <w:spacing w:line="288" w:lineRule="auto"/>
        <w:ind w:firstLine="424" w:firstLineChars="201"/>
        <w:rPr>
          <w:rFonts w:ascii="宋体" w:hAnsi="宋体" w:eastAsia="宋体" w:cs="Times New Roman"/>
          <w:b/>
          <w:bCs/>
          <w:szCs w:val="21"/>
        </w:rPr>
      </w:pPr>
    </w:p>
    <w:p w14:paraId="6439EAB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08ABF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C26EFE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44E1A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25781EE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711DE49">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A5DF4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F320C7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15E5B6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D5D9C6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89BFB9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A4C030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B78028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7841A36D">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DFF298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BCE58D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0F10E94F">
      <w:pPr>
        <w:snapToGrid w:val="0"/>
        <w:spacing w:line="288" w:lineRule="auto"/>
        <w:rPr>
          <w:rFonts w:ascii="宋体" w:hAnsi="宋体" w:eastAsia="宋体" w:cs="仿宋_GB2312"/>
          <w:kern w:val="0"/>
          <w:szCs w:val="21"/>
          <w:lang w:val="zh-CN"/>
        </w:rPr>
      </w:pPr>
    </w:p>
    <w:p w14:paraId="2EF941BC">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2680908">
      <w:pPr>
        <w:snapToGrid w:val="0"/>
        <w:spacing w:line="288" w:lineRule="auto"/>
        <w:ind w:firstLine="424" w:firstLineChars="201"/>
        <w:rPr>
          <w:rFonts w:ascii="宋体" w:hAnsi="宋体" w:eastAsia="宋体" w:cs="仿宋_GB2312"/>
          <w:b/>
          <w:bCs/>
          <w:kern w:val="0"/>
          <w:szCs w:val="21"/>
          <w:lang w:val="zh-CN"/>
        </w:rPr>
      </w:pPr>
    </w:p>
    <w:p w14:paraId="5297DE1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864C9FD">
      <w:pPr>
        <w:snapToGrid w:val="0"/>
        <w:spacing w:line="288" w:lineRule="auto"/>
        <w:rPr>
          <w:rFonts w:ascii="宋体" w:hAnsi="宋体" w:eastAsia="宋体" w:cs="仿宋_GB2312"/>
          <w:b/>
          <w:bCs/>
          <w:kern w:val="0"/>
          <w:szCs w:val="21"/>
          <w:lang w:val="zh-CN"/>
        </w:rPr>
      </w:pPr>
    </w:p>
    <w:p w14:paraId="16DF9E6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ascii="等线" w:hAnsi="等线" w:eastAsia="等线" w:cs="Times New Roman"/>
        </w:rPr>
      </w:pPr>
    </w:p>
    <w:p w14:paraId="4D433FCD">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9D55FE"/>
    <w:rsid w:val="01F81427"/>
    <w:rsid w:val="0211370D"/>
    <w:rsid w:val="03F93561"/>
    <w:rsid w:val="04C840C5"/>
    <w:rsid w:val="05D34727"/>
    <w:rsid w:val="07750484"/>
    <w:rsid w:val="08931933"/>
    <w:rsid w:val="0A851326"/>
    <w:rsid w:val="0ABF3657"/>
    <w:rsid w:val="0B4A1776"/>
    <w:rsid w:val="0C786503"/>
    <w:rsid w:val="0D1A04C9"/>
    <w:rsid w:val="0E434661"/>
    <w:rsid w:val="0F55482C"/>
    <w:rsid w:val="0F7D2DA5"/>
    <w:rsid w:val="10757130"/>
    <w:rsid w:val="10BE6606"/>
    <w:rsid w:val="112B34AD"/>
    <w:rsid w:val="11DF3E08"/>
    <w:rsid w:val="11FF5827"/>
    <w:rsid w:val="12AD3208"/>
    <w:rsid w:val="153D72A5"/>
    <w:rsid w:val="16694FE2"/>
    <w:rsid w:val="169326D4"/>
    <w:rsid w:val="16AD2B5A"/>
    <w:rsid w:val="173D2504"/>
    <w:rsid w:val="18090C43"/>
    <w:rsid w:val="1820601B"/>
    <w:rsid w:val="18FB5F15"/>
    <w:rsid w:val="1B321622"/>
    <w:rsid w:val="1C8F3C79"/>
    <w:rsid w:val="1C9E2B33"/>
    <w:rsid w:val="1D38159F"/>
    <w:rsid w:val="1D886D0B"/>
    <w:rsid w:val="1ED61CF8"/>
    <w:rsid w:val="1F9C38D3"/>
    <w:rsid w:val="20175E92"/>
    <w:rsid w:val="20767551"/>
    <w:rsid w:val="208714FC"/>
    <w:rsid w:val="21110DC5"/>
    <w:rsid w:val="21380A0A"/>
    <w:rsid w:val="21DB64E2"/>
    <w:rsid w:val="221C4C30"/>
    <w:rsid w:val="22A70B6C"/>
    <w:rsid w:val="234B4988"/>
    <w:rsid w:val="23933C54"/>
    <w:rsid w:val="23C14303"/>
    <w:rsid w:val="23FF4622"/>
    <w:rsid w:val="24734848"/>
    <w:rsid w:val="2555021A"/>
    <w:rsid w:val="267267AA"/>
    <w:rsid w:val="271050C0"/>
    <w:rsid w:val="27432BC1"/>
    <w:rsid w:val="27BD1A2E"/>
    <w:rsid w:val="27D55A3A"/>
    <w:rsid w:val="27F0275A"/>
    <w:rsid w:val="28393638"/>
    <w:rsid w:val="28580092"/>
    <w:rsid w:val="28BC23D4"/>
    <w:rsid w:val="28C24418"/>
    <w:rsid w:val="2A8820F8"/>
    <w:rsid w:val="2AA10ED5"/>
    <w:rsid w:val="2ADA0518"/>
    <w:rsid w:val="2C403817"/>
    <w:rsid w:val="2C8965FC"/>
    <w:rsid w:val="2C921974"/>
    <w:rsid w:val="2D7574BA"/>
    <w:rsid w:val="2DA35CF6"/>
    <w:rsid w:val="2DBB27E5"/>
    <w:rsid w:val="2DBE14C9"/>
    <w:rsid w:val="2E533769"/>
    <w:rsid w:val="2F601896"/>
    <w:rsid w:val="2F6A64D8"/>
    <w:rsid w:val="2FDB2CCA"/>
    <w:rsid w:val="301765BD"/>
    <w:rsid w:val="30616EA9"/>
    <w:rsid w:val="30756A6C"/>
    <w:rsid w:val="313E5C07"/>
    <w:rsid w:val="3163566D"/>
    <w:rsid w:val="31A44D82"/>
    <w:rsid w:val="31EC174B"/>
    <w:rsid w:val="32BE120D"/>
    <w:rsid w:val="330C0EF9"/>
    <w:rsid w:val="33506DE6"/>
    <w:rsid w:val="344B5501"/>
    <w:rsid w:val="34B906F4"/>
    <w:rsid w:val="35A54CED"/>
    <w:rsid w:val="37534CA7"/>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6A824B9"/>
    <w:rsid w:val="46BB170B"/>
    <w:rsid w:val="47510906"/>
    <w:rsid w:val="47D66741"/>
    <w:rsid w:val="48F56268"/>
    <w:rsid w:val="495D70F7"/>
    <w:rsid w:val="4A4623A7"/>
    <w:rsid w:val="4A5E5147"/>
    <w:rsid w:val="4B0275FC"/>
    <w:rsid w:val="4B7D5F80"/>
    <w:rsid w:val="4BD458ED"/>
    <w:rsid w:val="4BF40741"/>
    <w:rsid w:val="4C1B2B12"/>
    <w:rsid w:val="4C547E73"/>
    <w:rsid w:val="4C5E019B"/>
    <w:rsid w:val="4E724CEA"/>
    <w:rsid w:val="4EA161E9"/>
    <w:rsid w:val="4F64249F"/>
    <w:rsid w:val="4F6E1200"/>
    <w:rsid w:val="4FEE189E"/>
    <w:rsid w:val="500735A9"/>
    <w:rsid w:val="50973FE8"/>
    <w:rsid w:val="50A1482A"/>
    <w:rsid w:val="50CD4459"/>
    <w:rsid w:val="53202F66"/>
    <w:rsid w:val="53F038EA"/>
    <w:rsid w:val="567F7FA4"/>
    <w:rsid w:val="596674B0"/>
    <w:rsid w:val="598F587E"/>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21760F6"/>
    <w:rsid w:val="62246B60"/>
    <w:rsid w:val="644041B0"/>
    <w:rsid w:val="644F1ACD"/>
    <w:rsid w:val="66990580"/>
    <w:rsid w:val="67FF1998"/>
    <w:rsid w:val="680D1D99"/>
    <w:rsid w:val="69085BD7"/>
    <w:rsid w:val="69431270"/>
    <w:rsid w:val="6A1A2066"/>
    <w:rsid w:val="6A7F4F75"/>
    <w:rsid w:val="6AA656A7"/>
    <w:rsid w:val="6ACA16F9"/>
    <w:rsid w:val="6ADF127C"/>
    <w:rsid w:val="6B0F32F3"/>
    <w:rsid w:val="6B16774A"/>
    <w:rsid w:val="6BAF47D7"/>
    <w:rsid w:val="6CE77AD2"/>
    <w:rsid w:val="6CE90920"/>
    <w:rsid w:val="6ECE2681"/>
    <w:rsid w:val="6ED07EFC"/>
    <w:rsid w:val="6EED251B"/>
    <w:rsid w:val="700B5C22"/>
    <w:rsid w:val="709D6190"/>
    <w:rsid w:val="715D7825"/>
    <w:rsid w:val="71D51074"/>
    <w:rsid w:val="72340F9C"/>
    <w:rsid w:val="728D7448"/>
    <w:rsid w:val="72A2709C"/>
    <w:rsid w:val="72F23AA2"/>
    <w:rsid w:val="74EB1DB0"/>
    <w:rsid w:val="75B93A51"/>
    <w:rsid w:val="75C12BF5"/>
    <w:rsid w:val="75E46B64"/>
    <w:rsid w:val="774152C9"/>
    <w:rsid w:val="775263A8"/>
    <w:rsid w:val="793070F8"/>
    <w:rsid w:val="79D825C1"/>
    <w:rsid w:val="7B5D131E"/>
    <w:rsid w:val="7DB41B16"/>
    <w:rsid w:val="7DEB5D9B"/>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8"/>
    <w:unhideWhenUsed/>
    <w:qFormat/>
    <w:uiPriority w:val="99"/>
    <w:pPr>
      <w:ind w:firstLine="420"/>
    </w:pPr>
  </w:style>
  <w:style w:type="paragraph" w:styleId="3">
    <w:name w:val="Body Text Indent"/>
    <w:basedOn w:val="1"/>
    <w:next w:val="4"/>
    <w:link w:val="70"/>
    <w:qFormat/>
    <w:uiPriority w:val="0"/>
    <w:pPr>
      <w:spacing w:line="200" w:lineRule="atLeast"/>
      <w:ind w:firstLine="301"/>
    </w:pPr>
    <w:rPr>
      <w:rFonts w:ascii="宋体" w:hAnsi="Courier New"/>
      <w:spacing w:val="-4"/>
      <w:sz w:val="18"/>
    </w:rPr>
  </w:style>
  <w:style w:type="paragraph" w:styleId="4">
    <w:name w:val="Normal Indent"/>
    <w:basedOn w:val="1"/>
    <w:next w:val="1"/>
    <w:link w:val="46"/>
    <w:qFormat/>
    <w:uiPriority w:val="0"/>
    <w:pPr>
      <w:ind w:firstLine="420"/>
    </w:pPr>
    <w:rPr>
      <w:rFonts w:eastAsia="宋体"/>
    </w:r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3"/>
    <w:unhideWhenUsed/>
    <w:qFormat/>
    <w:uiPriority w:val="99"/>
    <w:rPr>
      <w:rFonts w:ascii="宋体"/>
      <w:sz w:val="18"/>
      <w:szCs w:val="18"/>
    </w:rPr>
  </w:style>
  <w:style w:type="paragraph" w:styleId="11">
    <w:name w:val="annotation text"/>
    <w:basedOn w:val="1"/>
    <w:link w:val="80"/>
    <w:unhideWhenUsed/>
    <w:qFormat/>
    <w:uiPriority w:val="99"/>
    <w:pPr>
      <w:jc w:val="left"/>
    </w:pPr>
  </w:style>
  <w:style w:type="paragraph" w:styleId="12">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4"/>
    <w:qFormat/>
    <w:uiPriority w:val="0"/>
    <w:rPr>
      <w:rFonts w:ascii="Times New Roman" w:hAnsi="Times New Roman" w:eastAsia="宋体" w:cs="Times New Roman"/>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1"/>
    <w:next w:val="11"/>
    <w:link w:val="56"/>
    <w:unhideWhenUsed/>
    <w:qFormat/>
    <w:uiPriority w:val="99"/>
    <w:rPr>
      <w:b/>
      <w:bCs/>
      <w:sz w:val="28"/>
      <w:szCs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8"/>
    <w:qFormat/>
    <w:uiPriority w:val="99"/>
    <w:rPr>
      <w:sz w:val="18"/>
      <w:szCs w:val="18"/>
    </w:rPr>
  </w:style>
  <w:style w:type="character" w:customStyle="1" w:styleId="36">
    <w:name w:val="页脚 字符"/>
    <w:basedOn w:val="25"/>
    <w:link w:val="17"/>
    <w:qFormat/>
    <w:uiPriority w:val="99"/>
    <w:rPr>
      <w:sz w:val="18"/>
      <w:szCs w:val="18"/>
    </w:rPr>
  </w:style>
  <w:style w:type="character" w:customStyle="1" w:styleId="37">
    <w:name w:val="标题 1 字符"/>
    <w:basedOn w:val="25"/>
    <w:link w:val="5"/>
    <w:qFormat/>
    <w:uiPriority w:val="9"/>
    <w:rPr>
      <w:rFonts w:ascii="Times New Roman" w:hAnsi="Times New Roman" w:eastAsia="宋体" w:cs="Times New Roman"/>
      <w:b/>
      <w:bCs/>
      <w:kern w:val="44"/>
      <w:sz w:val="44"/>
      <w:szCs w:val="44"/>
    </w:rPr>
  </w:style>
  <w:style w:type="character" w:customStyle="1" w:styleId="38">
    <w:name w:val="标题 2 字符"/>
    <w:basedOn w:val="25"/>
    <w:link w:val="6"/>
    <w:qFormat/>
    <w:uiPriority w:val="9"/>
    <w:rPr>
      <w:rFonts w:ascii="Cambria" w:hAnsi="Cambria" w:eastAsia="宋体" w:cs="Times New Roman"/>
      <w:b/>
      <w:bCs/>
      <w:sz w:val="32"/>
      <w:szCs w:val="32"/>
    </w:rPr>
  </w:style>
  <w:style w:type="character" w:customStyle="1" w:styleId="39">
    <w:name w:val="标题 3 字符"/>
    <w:basedOn w:val="25"/>
    <w:link w:val="7"/>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10"/>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4"/>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4"/>
    <w:qFormat/>
    <w:uiPriority w:val="99"/>
    <w:rPr>
      <w:rFonts w:ascii="宋体" w:hAnsi="Courier New"/>
      <w:sz w:val="24"/>
      <w:szCs w:val="24"/>
    </w:rPr>
  </w:style>
  <w:style w:type="character" w:customStyle="1" w:styleId="56">
    <w:name w:val="批注主题 字符"/>
    <w:link w:val="22"/>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3"/>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20"/>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11"/>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2"/>
    <w:qFormat/>
    <w:uiPriority w:val="99"/>
    <w:rPr>
      <w:rFonts w:ascii="Times New Roman" w:hAnsi="Times New Roman" w:eastAsia="宋体" w:cs="Times New Roman"/>
      <w:sz w:val="28"/>
      <w:szCs w:val="24"/>
    </w:rPr>
  </w:style>
  <w:style w:type="character" w:customStyle="1" w:styleId="84">
    <w:name w:val="批注框文本 字符"/>
    <w:basedOn w:val="25"/>
    <w:link w:val="16"/>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5"/>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6"/>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20421</Words>
  <Characters>21648</Characters>
  <Lines>220</Lines>
  <Paragraphs>61</Paragraphs>
  <TotalTime>5</TotalTime>
  <ScaleCrop>false</ScaleCrop>
  <LinksUpToDate>false</LinksUpToDate>
  <CharactersWithSpaces>21723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王莹</cp:lastModifiedBy>
  <cp:lastPrinted>2022-10-31T00:58:00Z</cp:lastPrinted>
  <dcterms:modified xsi:type="dcterms:W3CDTF">2025-06-30T01:02:45Z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89FD3DC5CE3B494C924CB222B19423AA_13</vt:lpwstr>
  </property>
  <property fmtid="{D5CDD505-2E9C-101B-9397-08002B2CF9AE}" pid="4" name="KSOTemplateDocerSaveRecord">
    <vt:lpwstr>eyJoZGlkIjoiZGE3Y2I3OTRlNTA1NjUwZGY1NGI3NTM4NWZhMGI4N2IiLCJ1c2VySWQiOiIxNjEzMzI2NTI3In0=</vt:lpwstr>
  </property>
</Properties>
</file>