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3225B2">
      <w:pPr>
        <w:adjustRightInd w:val="0"/>
        <w:snapToGrid w:val="0"/>
        <w:spacing w:line="288" w:lineRule="auto"/>
        <w:rPr>
          <w:rFonts w:hint="eastAsia" w:ascii="楷体" w:hAnsi="楷体" w:eastAsia="楷体" w:cs="Times New Roman"/>
          <w:b/>
          <w:color w:val="auto"/>
          <w:spacing w:val="-6"/>
          <w:sz w:val="44"/>
          <w:szCs w:val="44"/>
          <w:highlight w:val="none"/>
        </w:rPr>
      </w:pPr>
    </w:p>
    <w:p w14:paraId="3B037FE7">
      <w:pPr>
        <w:adjustRightInd w:val="0"/>
        <w:snapToGrid w:val="0"/>
        <w:spacing w:line="288" w:lineRule="auto"/>
        <w:rPr>
          <w:rFonts w:hint="eastAsia" w:ascii="楷体" w:hAnsi="楷体" w:eastAsia="楷体" w:cs="Times New Roman"/>
          <w:b/>
          <w:color w:val="auto"/>
          <w:spacing w:val="-6"/>
          <w:sz w:val="44"/>
          <w:szCs w:val="44"/>
          <w:highlight w:val="none"/>
        </w:rPr>
      </w:pPr>
    </w:p>
    <w:p w14:paraId="11F59468">
      <w:pPr>
        <w:adjustRightInd w:val="0"/>
        <w:snapToGrid w:val="0"/>
        <w:spacing w:line="288" w:lineRule="auto"/>
        <w:rPr>
          <w:rFonts w:hint="eastAsia" w:ascii="楷体" w:hAnsi="楷体" w:eastAsia="楷体" w:cs="Times New Roman"/>
          <w:b/>
          <w:color w:val="auto"/>
          <w:spacing w:val="-6"/>
          <w:sz w:val="44"/>
          <w:szCs w:val="44"/>
          <w:highlight w:val="none"/>
        </w:rPr>
      </w:pPr>
    </w:p>
    <w:p w14:paraId="468FF83C">
      <w:pPr>
        <w:adjustRightInd w:val="0"/>
        <w:snapToGrid w:val="0"/>
        <w:spacing w:line="288" w:lineRule="auto"/>
        <w:jc w:val="center"/>
        <w:rPr>
          <w:rFonts w:hint="eastAsia" w:ascii="楷体" w:hAnsi="楷体" w:eastAsia="楷体" w:cs="Times New Roman"/>
          <w:b/>
          <w:color w:val="auto"/>
          <w:spacing w:val="-6"/>
          <w:sz w:val="48"/>
          <w:szCs w:val="48"/>
          <w:highlight w:val="none"/>
        </w:rPr>
      </w:pPr>
      <w:r>
        <w:rPr>
          <w:rFonts w:hint="eastAsia" w:ascii="楷体" w:hAnsi="楷体" w:eastAsia="楷体" w:cs="Times New Roman"/>
          <w:b/>
          <w:color w:val="auto"/>
          <w:spacing w:val="-6"/>
          <w:sz w:val="48"/>
          <w:szCs w:val="48"/>
          <w:highlight w:val="none"/>
        </w:rPr>
        <w:t>杭州电子科技大学</w:t>
      </w:r>
    </w:p>
    <w:p w14:paraId="1222FA6A">
      <w:pPr>
        <w:adjustRightInd w:val="0"/>
        <w:snapToGrid w:val="0"/>
        <w:spacing w:line="288" w:lineRule="auto"/>
        <w:jc w:val="center"/>
        <w:rPr>
          <w:rFonts w:hint="eastAsia" w:ascii="楷体" w:hAnsi="楷体" w:eastAsia="楷体" w:cs="Times New Roman"/>
          <w:b/>
          <w:color w:val="auto"/>
          <w:spacing w:val="-6"/>
          <w:sz w:val="48"/>
          <w:szCs w:val="48"/>
          <w:highlight w:val="none"/>
        </w:rPr>
      </w:pPr>
      <w:r>
        <w:rPr>
          <w:rFonts w:hint="eastAsia" w:ascii="楷体" w:hAnsi="楷体" w:eastAsia="楷体" w:cs="Times New Roman"/>
          <w:b/>
          <w:color w:val="auto"/>
          <w:spacing w:val="-6"/>
          <w:sz w:val="48"/>
          <w:szCs w:val="48"/>
          <w:highlight w:val="none"/>
        </w:rPr>
        <w:t>图书馆公共学习空间家具采购</w:t>
      </w:r>
    </w:p>
    <w:p w14:paraId="3D528ABB">
      <w:pPr>
        <w:adjustRightInd w:val="0"/>
        <w:snapToGrid w:val="0"/>
        <w:spacing w:line="288" w:lineRule="auto"/>
        <w:jc w:val="center"/>
        <w:rPr>
          <w:rFonts w:hint="eastAsia" w:ascii="楷体" w:hAnsi="楷体" w:eastAsia="楷体" w:cs="Times New Roman"/>
          <w:b/>
          <w:color w:val="auto"/>
          <w:spacing w:val="-6"/>
          <w:sz w:val="48"/>
          <w:szCs w:val="48"/>
          <w:highlight w:val="none"/>
        </w:rPr>
      </w:pPr>
    </w:p>
    <w:p w14:paraId="3942C169">
      <w:pPr>
        <w:adjustRightInd w:val="0"/>
        <w:snapToGrid w:val="0"/>
        <w:spacing w:line="288" w:lineRule="auto"/>
        <w:jc w:val="center"/>
        <w:rPr>
          <w:rFonts w:hint="eastAsia" w:ascii="楷体" w:hAnsi="楷体" w:eastAsia="楷体" w:cs="Times New Roman"/>
          <w:b/>
          <w:color w:val="auto"/>
          <w:spacing w:val="-6"/>
          <w:sz w:val="48"/>
          <w:szCs w:val="48"/>
          <w:highlight w:val="none"/>
        </w:rPr>
      </w:pPr>
    </w:p>
    <w:p w14:paraId="76F892AB">
      <w:pPr>
        <w:adjustRightInd w:val="0"/>
        <w:snapToGrid w:val="0"/>
        <w:spacing w:line="288" w:lineRule="auto"/>
        <w:jc w:val="center"/>
        <w:rPr>
          <w:rFonts w:hint="eastAsia" w:ascii="楷体" w:hAnsi="楷体" w:eastAsia="楷体" w:cs="Times New Roman"/>
          <w:b/>
          <w:color w:val="auto"/>
          <w:spacing w:val="-6"/>
          <w:sz w:val="72"/>
          <w:szCs w:val="72"/>
          <w:highlight w:val="none"/>
        </w:rPr>
      </w:pPr>
      <w:r>
        <w:rPr>
          <w:rFonts w:hint="eastAsia" w:ascii="楷体" w:hAnsi="楷体" w:eastAsia="楷体" w:cs="Times New Roman"/>
          <w:b/>
          <w:color w:val="auto"/>
          <w:spacing w:val="-6"/>
          <w:sz w:val="72"/>
          <w:szCs w:val="72"/>
          <w:highlight w:val="none"/>
        </w:rPr>
        <w:t>招 标 文 件</w:t>
      </w:r>
    </w:p>
    <w:p w14:paraId="1F445B8C">
      <w:pPr>
        <w:widowControl/>
        <w:adjustRightInd w:val="0"/>
        <w:snapToGrid w:val="0"/>
        <w:spacing w:line="288" w:lineRule="auto"/>
        <w:ind w:right="-2"/>
        <w:jc w:val="center"/>
        <w:rPr>
          <w:rFonts w:hint="eastAsia" w:ascii="楷体" w:hAnsi="楷体" w:eastAsia="楷体" w:cs="Times New Roman"/>
          <w:b/>
          <w:color w:val="auto"/>
          <w:sz w:val="36"/>
          <w:szCs w:val="24"/>
          <w:highlight w:val="none"/>
        </w:rPr>
      </w:pPr>
      <w:r>
        <w:rPr>
          <w:rFonts w:hint="eastAsia" w:ascii="楷体" w:hAnsi="楷体" w:eastAsia="楷体" w:cs="Times New Roman"/>
          <w:b/>
          <w:color w:val="auto"/>
          <w:sz w:val="36"/>
          <w:szCs w:val="24"/>
          <w:highlight w:val="none"/>
        </w:rPr>
        <w:t>（线上电子招投标）</w:t>
      </w:r>
    </w:p>
    <w:p w14:paraId="574C01F2">
      <w:pPr>
        <w:adjustRightInd w:val="0"/>
        <w:snapToGrid w:val="0"/>
        <w:spacing w:line="288" w:lineRule="auto"/>
        <w:jc w:val="center"/>
        <w:rPr>
          <w:rFonts w:hint="eastAsia" w:ascii="楷体" w:hAnsi="楷体" w:eastAsia="楷体" w:cs="Times New Roman"/>
          <w:color w:val="auto"/>
          <w:sz w:val="44"/>
          <w:szCs w:val="44"/>
          <w:highlight w:val="none"/>
        </w:rPr>
      </w:pPr>
    </w:p>
    <w:p w14:paraId="3B6505C4">
      <w:pPr>
        <w:adjustRightInd w:val="0"/>
        <w:snapToGrid w:val="0"/>
        <w:spacing w:line="288" w:lineRule="auto"/>
        <w:jc w:val="center"/>
        <w:rPr>
          <w:rFonts w:hint="eastAsia" w:ascii="楷体" w:hAnsi="楷体" w:eastAsia="楷体" w:cs="Times New Roman"/>
          <w:color w:val="auto"/>
          <w:sz w:val="44"/>
          <w:szCs w:val="44"/>
          <w:highlight w:val="none"/>
        </w:rPr>
      </w:pPr>
    </w:p>
    <w:p w14:paraId="16FAB8C3">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项目名称：图书馆公共学习空间家具采购</w:t>
      </w:r>
    </w:p>
    <w:p w14:paraId="74032A0C">
      <w:pPr>
        <w:adjustRightInd w:val="0"/>
        <w:snapToGrid w:val="0"/>
        <w:spacing w:line="288" w:lineRule="auto"/>
        <w:rPr>
          <w:rFonts w:hint="eastAsia" w:ascii="楷体" w:hAnsi="楷体" w:eastAsia="楷体" w:cs="Times New Roman"/>
          <w:b/>
          <w:color w:val="auto"/>
          <w:spacing w:val="-6"/>
          <w:sz w:val="30"/>
          <w:szCs w:val="30"/>
          <w:highlight w:val="none"/>
          <w:lang w:eastAsia="zh-CN"/>
        </w:rPr>
      </w:pPr>
      <w:r>
        <w:rPr>
          <w:rFonts w:hint="eastAsia" w:ascii="楷体" w:hAnsi="楷体" w:eastAsia="楷体" w:cs="Times New Roman"/>
          <w:b/>
          <w:color w:val="auto"/>
          <w:spacing w:val="-6"/>
          <w:sz w:val="30"/>
          <w:szCs w:val="30"/>
          <w:highlight w:val="none"/>
        </w:rPr>
        <w:t>项目编号：</w:t>
      </w:r>
      <w:r>
        <w:rPr>
          <w:rFonts w:hint="eastAsia" w:ascii="楷体" w:hAnsi="楷体" w:eastAsia="楷体" w:cs="Times New Roman"/>
          <w:b/>
          <w:color w:val="auto"/>
          <w:spacing w:val="-6"/>
          <w:sz w:val="30"/>
          <w:szCs w:val="30"/>
          <w:highlight w:val="none"/>
          <w:lang w:eastAsia="zh-CN"/>
        </w:rPr>
        <w:t>QSZBB250046ZHGK</w:t>
      </w:r>
    </w:p>
    <w:p w14:paraId="5ACAB285">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采 购 人：杭州电子科技大学</w:t>
      </w:r>
    </w:p>
    <w:p w14:paraId="641C9789">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采购代理机构：浙江求是招标代理有限公司</w:t>
      </w:r>
    </w:p>
    <w:p w14:paraId="7952C207">
      <w:pPr>
        <w:adjustRightInd w:val="0"/>
        <w:snapToGrid w:val="0"/>
        <w:spacing w:line="288" w:lineRule="auto"/>
        <w:rPr>
          <w:rFonts w:hint="eastAsia" w:ascii="楷体" w:hAnsi="楷体" w:eastAsia="楷体" w:cs="Times New Roman"/>
          <w:b/>
          <w:color w:val="auto"/>
          <w:spacing w:val="-6"/>
          <w:sz w:val="30"/>
          <w:szCs w:val="30"/>
          <w:highlight w:val="none"/>
          <w:lang w:eastAsia="zh-CN"/>
        </w:rPr>
      </w:pPr>
      <w:r>
        <w:rPr>
          <w:rFonts w:ascii="楷体" w:hAnsi="楷体" w:eastAsia="楷体" w:cs="Times New Roman"/>
          <w:b/>
          <w:color w:val="auto"/>
          <w:spacing w:val="-6"/>
          <w:sz w:val="30"/>
          <w:szCs w:val="30"/>
          <w:highlight w:val="none"/>
        </w:rPr>
        <w:t>采购计划文号：</w:t>
      </w:r>
      <w:r>
        <w:rPr>
          <w:rFonts w:hint="eastAsia" w:ascii="楷体" w:hAnsi="楷体" w:eastAsia="楷体" w:cs="Times New Roman"/>
          <w:b/>
          <w:color w:val="auto"/>
          <w:spacing w:val="-6"/>
          <w:sz w:val="30"/>
          <w:szCs w:val="30"/>
          <w:highlight w:val="none"/>
          <w:lang w:eastAsia="zh-CN"/>
        </w:rPr>
        <w:t>[2025]36559号、[2025]36948号、[2025]36949号</w:t>
      </w:r>
    </w:p>
    <w:p w14:paraId="43139F7B">
      <w:pPr>
        <w:adjustRightInd w:val="0"/>
        <w:snapToGrid w:val="0"/>
        <w:spacing w:line="288" w:lineRule="auto"/>
        <w:rPr>
          <w:rFonts w:hint="eastAsia" w:ascii="楷体" w:hAnsi="楷体" w:eastAsia="楷体" w:cs="Times New Roman"/>
          <w:b/>
          <w:color w:val="auto"/>
          <w:szCs w:val="21"/>
          <w:highlight w:val="none"/>
        </w:rPr>
      </w:pPr>
    </w:p>
    <w:p w14:paraId="561CA082">
      <w:pPr>
        <w:adjustRightInd w:val="0"/>
        <w:snapToGrid w:val="0"/>
        <w:spacing w:line="288" w:lineRule="auto"/>
        <w:rPr>
          <w:rFonts w:hint="eastAsia" w:ascii="楷体" w:hAnsi="楷体" w:eastAsia="楷体" w:cs="Times New Roman"/>
          <w:b/>
          <w:color w:val="auto"/>
          <w:szCs w:val="21"/>
          <w:highlight w:val="none"/>
        </w:rPr>
        <w:sectPr>
          <w:headerReference r:id="rId3" w:type="default"/>
          <w:footerReference r:id="rId4" w:type="default"/>
          <w:pgSz w:w="11906" w:h="16838"/>
          <w:pgMar w:top="1247" w:right="1247" w:bottom="1247" w:left="1247" w:header="0" w:footer="694" w:gutter="0"/>
          <w:pgNumType w:start="1"/>
          <w:cols w:space="720" w:num="1"/>
          <w:docGrid w:linePitch="381" w:charSpace="0"/>
        </w:sectPr>
      </w:pPr>
    </w:p>
    <w:p w14:paraId="28CD11E4">
      <w:pPr>
        <w:adjustRightInd w:val="0"/>
        <w:snapToGrid w:val="0"/>
        <w:spacing w:line="288" w:lineRule="auto"/>
        <w:rPr>
          <w:rFonts w:hint="eastAsia" w:ascii="楷体" w:hAnsi="楷体" w:eastAsia="楷体" w:cs="Times New Roman"/>
          <w:b/>
          <w:color w:val="auto"/>
          <w:sz w:val="30"/>
          <w:szCs w:val="30"/>
          <w:highlight w:val="none"/>
        </w:rPr>
      </w:pPr>
    </w:p>
    <w:p w14:paraId="3B4D4683">
      <w:pPr>
        <w:adjustRightInd w:val="0"/>
        <w:snapToGrid w:val="0"/>
        <w:spacing w:line="288" w:lineRule="auto"/>
        <w:jc w:val="center"/>
        <w:outlineLvl w:val="0"/>
        <w:rPr>
          <w:rFonts w:hint="eastAsia" w:ascii="楷体" w:hAnsi="楷体" w:eastAsia="楷体" w:cs="Times New Roman"/>
          <w:b/>
          <w:color w:val="auto"/>
          <w:sz w:val="30"/>
          <w:szCs w:val="30"/>
          <w:highlight w:val="none"/>
        </w:rPr>
      </w:pPr>
      <w:r>
        <w:rPr>
          <w:rFonts w:ascii="楷体" w:hAnsi="楷体" w:eastAsia="楷体" w:cs="Times New Roman"/>
          <w:b/>
          <w:color w:val="auto"/>
          <w:sz w:val="30"/>
          <w:szCs w:val="30"/>
          <w:highlight w:val="none"/>
        </w:rPr>
        <w:t>目</w:t>
      </w:r>
      <w:r>
        <w:rPr>
          <w:rFonts w:hint="eastAsia" w:ascii="楷体" w:hAnsi="楷体" w:eastAsia="楷体" w:cs="Times New Roman"/>
          <w:b/>
          <w:color w:val="auto"/>
          <w:sz w:val="30"/>
          <w:szCs w:val="30"/>
          <w:highlight w:val="none"/>
        </w:rPr>
        <w:t xml:space="preserve">    </w:t>
      </w:r>
      <w:r>
        <w:rPr>
          <w:rFonts w:ascii="楷体" w:hAnsi="楷体" w:eastAsia="楷体" w:cs="Times New Roman"/>
          <w:b/>
          <w:color w:val="auto"/>
          <w:sz w:val="30"/>
          <w:szCs w:val="30"/>
          <w:highlight w:val="none"/>
        </w:rPr>
        <w:t>录</w:t>
      </w:r>
    </w:p>
    <w:p w14:paraId="3B82376F">
      <w:pPr>
        <w:adjustRightInd w:val="0"/>
        <w:snapToGrid w:val="0"/>
        <w:spacing w:line="288" w:lineRule="auto"/>
        <w:rPr>
          <w:rFonts w:hint="eastAsia" w:ascii="楷体" w:hAnsi="楷体" w:eastAsia="楷体" w:cs="Times New Roman"/>
          <w:b/>
          <w:color w:val="auto"/>
          <w:sz w:val="30"/>
          <w:szCs w:val="30"/>
          <w:highlight w:val="none"/>
        </w:rPr>
      </w:pPr>
    </w:p>
    <w:p w14:paraId="4679BDD0">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第一章  投标邀请</w:t>
      </w:r>
    </w:p>
    <w:p w14:paraId="1C263CAE">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第二章  采购需求</w:t>
      </w:r>
    </w:p>
    <w:p w14:paraId="47AD0146">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第三章  投标人须知</w:t>
      </w:r>
    </w:p>
    <w:p w14:paraId="5E328458">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第四章  评标方法和评标标准</w:t>
      </w:r>
    </w:p>
    <w:p w14:paraId="5889154B">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第五章  拟签订的合同文本</w:t>
      </w:r>
    </w:p>
    <w:p w14:paraId="7BE53F97">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第六章  投标文件格式</w:t>
      </w:r>
    </w:p>
    <w:p w14:paraId="314E6E6F">
      <w:pPr>
        <w:widowControl/>
        <w:adjustRightInd w:val="0"/>
        <w:snapToGrid w:val="0"/>
        <w:spacing w:line="288" w:lineRule="auto"/>
        <w:jc w:val="left"/>
        <w:rPr>
          <w:rFonts w:hint="eastAsia" w:ascii="宋体" w:hAnsi="宋体" w:eastAsia="宋体" w:cs="Times New Roman"/>
          <w:color w:val="auto"/>
          <w:szCs w:val="21"/>
          <w:highlight w:val="none"/>
        </w:rPr>
      </w:pPr>
    </w:p>
    <w:p w14:paraId="625CD130">
      <w:pPr>
        <w:widowControl/>
        <w:adjustRightInd w:val="0"/>
        <w:snapToGrid w:val="0"/>
        <w:spacing w:line="288" w:lineRule="auto"/>
        <w:jc w:val="left"/>
        <w:rPr>
          <w:rFonts w:hint="eastAsia" w:ascii="宋体" w:hAnsi="宋体" w:eastAsia="宋体" w:cs="Times New Roman"/>
          <w:color w:val="auto"/>
          <w:szCs w:val="21"/>
          <w:highlight w:val="none"/>
        </w:rPr>
        <w:sectPr>
          <w:footerReference r:id="rId5" w:type="default"/>
          <w:pgSz w:w="11906" w:h="16838"/>
          <w:pgMar w:top="1247" w:right="1247" w:bottom="1247" w:left="1247" w:header="0" w:footer="694" w:gutter="0"/>
          <w:cols w:space="720" w:num="1"/>
          <w:docGrid w:linePitch="381" w:charSpace="0"/>
        </w:sectPr>
      </w:pPr>
    </w:p>
    <w:p w14:paraId="1A93FF2D">
      <w:pPr>
        <w:adjustRightInd w:val="0"/>
        <w:snapToGrid w:val="0"/>
        <w:spacing w:line="288" w:lineRule="auto"/>
        <w:jc w:val="center"/>
        <w:outlineLvl w:val="0"/>
        <w:rPr>
          <w:rFonts w:hint="eastAsia" w:ascii="宋体" w:hAnsi="宋体" w:eastAsia="宋体" w:cs="Times New Roman"/>
          <w:b/>
          <w:color w:val="auto"/>
          <w:spacing w:val="-6"/>
          <w:sz w:val="32"/>
          <w:szCs w:val="32"/>
          <w:highlight w:val="none"/>
        </w:rPr>
      </w:pPr>
      <w:r>
        <w:rPr>
          <w:rFonts w:ascii="宋体" w:hAnsi="宋体" w:eastAsia="宋体" w:cs="Times New Roman"/>
          <w:b/>
          <w:color w:val="auto"/>
          <w:spacing w:val="-6"/>
          <w:sz w:val="32"/>
          <w:szCs w:val="32"/>
          <w:highlight w:val="none"/>
        </w:rPr>
        <w:t>第一章  投标邀请</w:t>
      </w:r>
    </w:p>
    <w:p w14:paraId="4A9EF2E2">
      <w:pPr>
        <w:pBdr>
          <w:top w:val="single" w:color="auto" w:sz="4" w:space="1"/>
          <w:left w:val="single" w:color="auto" w:sz="4" w:space="4"/>
          <w:bottom w:val="single" w:color="auto" w:sz="4" w:space="1"/>
          <w:right w:val="single" w:color="auto" w:sz="4" w:space="4"/>
        </w:pBdr>
        <w:adjustRightInd w:val="0"/>
        <w:snapToGrid w:val="0"/>
        <w:spacing w:line="288" w:lineRule="auto"/>
        <w:ind w:firstLine="422" w:firstLineChars="200"/>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项目概况</w:t>
      </w:r>
    </w:p>
    <w:p w14:paraId="520E07AE">
      <w:pPr>
        <w:pBdr>
          <w:top w:val="single" w:color="auto" w:sz="4" w:space="1"/>
          <w:left w:val="single" w:color="auto" w:sz="4" w:space="4"/>
          <w:bottom w:val="single" w:color="auto" w:sz="4" w:space="1"/>
          <w:right w:val="single" w:color="auto" w:sz="4" w:space="4"/>
        </w:pBdr>
        <w:adjustRightInd w:val="0"/>
        <w:snapToGrid w:val="0"/>
        <w:spacing w:line="288" w:lineRule="auto"/>
        <w:ind w:firstLine="422" w:firstLineChars="200"/>
        <w:jc w:val="left"/>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u w:val="single"/>
        </w:rPr>
        <w:t xml:space="preserve"> 图书馆公共学习空间家具采购 </w:t>
      </w:r>
      <w:r>
        <w:rPr>
          <w:rFonts w:hint="eastAsia" w:ascii="宋体" w:hAnsi="宋体" w:eastAsia="宋体" w:cs="Times New Roman"/>
          <w:b/>
          <w:color w:val="auto"/>
          <w:szCs w:val="21"/>
          <w:highlight w:val="none"/>
        </w:rPr>
        <w:t>招标项目的潜在投标人应在</w:t>
      </w:r>
      <w:r>
        <w:rPr>
          <w:rFonts w:hint="eastAsia" w:ascii="宋体" w:hAnsi="宋体" w:eastAsia="宋体" w:cs="Times New Roman"/>
          <w:b/>
          <w:color w:val="auto"/>
          <w:szCs w:val="21"/>
          <w:highlight w:val="none"/>
          <w:u w:val="single"/>
        </w:rPr>
        <w:t xml:space="preserve"> 政府采购云平台（https://www.zcygov.cn）</w:t>
      </w:r>
      <w:r>
        <w:rPr>
          <w:rFonts w:hint="eastAsia" w:ascii="宋体" w:hAnsi="宋体" w:eastAsia="宋体" w:cs="Times New Roman"/>
          <w:b/>
          <w:color w:val="auto"/>
          <w:szCs w:val="21"/>
          <w:highlight w:val="none"/>
        </w:rPr>
        <w:t>获取（下载）招标文件，并于</w:t>
      </w:r>
      <w:r>
        <w:rPr>
          <w:rFonts w:hint="eastAsia" w:ascii="宋体" w:hAnsi="宋体" w:eastAsia="宋体" w:cs="Times New Roman"/>
          <w:b/>
          <w:color w:val="auto"/>
          <w:szCs w:val="21"/>
          <w:highlight w:val="none"/>
          <w:u w:val="single"/>
        </w:rPr>
        <w:t>2025年</w:t>
      </w:r>
      <w:r>
        <w:rPr>
          <w:rFonts w:hint="eastAsia" w:ascii="宋体" w:hAnsi="宋体" w:eastAsia="宋体" w:cs="Times New Roman"/>
          <w:b/>
          <w:color w:val="auto"/>
          <w:szCs w:val="21"/>
          <w:highlight w:val="none"/>
          <w:u w:val="single"/>
          <w:lang w:eastAsia="zh-CN"/>
        </w:rPr>
        <w:t>7月15日</w:t>
      </w:r>
      <w:r>
        <w:rPr>
          <w:rFonts w:hint="eastAsia" w:ascii="宋体" w:hAnsi="宋体" w:eastAsia="宋体" w:cs="Times New Roman"/>
          <w:b/>
          <w:color w:val="auto"/>
          <w:szCs w:val="21"/>
          <w:highlight w:val="none"/>
          <w:u w:val="single"/>
          <w:lang w:val="en-US" w:eastAsia="zh-CN"/>
        </w:rPr>
        <w:t>13:00:00</w:t>
      </w:r>
      <w:r>
        <w:rPr>
          <w:rFonts w:hint="eastAsia" w:ascii="宋体" w:hAnsi="宋体" w:eastAsia="宋体" w:cs="Times New Roman"/>
          <w:b/>
          <w:color w:val="auto"/>
          <w:szCs w:val="21"/>
          <w:highlight w:val="none"/>
          <w:u w:val="single"/>
        </w:rPr>
        <w:t>（北京时间）</w:t>
      </w:r>
      <w:r>
        <w:rPr>
          <w:rFonts w:hint="eastAsia" w:ascii="宋体" w:hAnsi="宋体" w:eastAsia="宋体" w:cs="Times New Roman"/>
          <w:b/>
          <w:bCs/>
          <w:color w:val="auto"/>
          <w:szCs w:val="21"/>
          <w:highlight w:val="none"/>
        </w:rPr>
        <w:t>前递交（上传）投标</w:t>
      </w:r>
      <w:r>
        <w:rPr>
          <w:rFonts w:ascii="宋体" w:hAnsi="宋体" w:eastAsia="宋体" w:cs="Times New Roman"/>
          <w:b/>
          <w:bCs/>
          <w:color w:val="auto"/>
          <w:szCs w:val="21"/>
          <w:highlight w:val="none"/>
        </w:rPr>
        <w:t>文件</w:t>
      </w:r>
      <w:r>
        <w:rPr>
          <w:rFonts w:hint="eastAsia" w:ascii="宋体" w:hAnsi="宋体" w:eastAsia="宋体" w:cs="Times New Roman"/>
          <w:b/>
          <w:color w:val="auto"/>
          <w:szCs w:val="21"/>
          <w:highlight w:val="none"/>
        </w:rPr>
        <w:t>。</w:t>
      </w:r>
    </w:p>
    <w:p w14:paraId="6A95FA21">
      <w:pPr>
        <w:adjustRightInd w:val="0"/>
        <w:snapToGrid w:val="0"/>
        <w:spacing w:line="288" w:lineRule="auto"/>
        <w:rPr>
          <w:rFonts w:hint="eastAsia" w:ascii="宋体" w:hAnsi="宋体" w:eastAsia="宋体" w:cs="宋体"/>
          <w:b/>
          <w:color w:val="auto"/>
          <w:szCs w:val="21"/>
          <w:highlight w:val="none"/>
        </w:rPr>
      </w:pPr>
      <w:bookmarkStart w:id="0" w:name="_Toc35393790"/>
      <w:bookmarkStart w:id="1" w:name="_Toc35393621"/>
      <w:bookmarkStart w:id="2" w:name="_Toc28359002"/>
      <w:bookmarkStart w:id="3" w:name="_Toc28359079"/>
      <w:bookmarkStart w:id="4" w:name="_Hlk24379207"/>
      <w:r>
        <w:rPr>
          <w:rFonts w:hint="eastAsia" w:ascii="宋体" w:hAnsi="宋体" w:eastAsia="宋体" w:cs="宋体"/>
          <w:b/>
          <w:color w:val="auto"/>
          <w:szCs w:val="21"/>
          <w:highlight w:val="none"/>
        </w:rPr>
        <w:t>一、项目基本情况</w:t>
      </w:r>
      <w:bookmarkEnd w:id="0"/>
      <w:bookmarkEnd w:id="1"/>
      <w:bookmarkEnd w:id="2"/>
      <w:bookmarkEnd w:id="3"/>
    </w:p>
    <w:p w14:paraId="31B5092D">
      <w:pPr>
        <w:adjustRightInd w:val="0"/>
        <w:snapToGrid w:val="0"/>
        <w:spacing w:line="288" w:lineRule="auto"/>
        <w:ind w:firstLine="420" w:firstLineChars="200"/>
        <w:rPr>
          <w:rFonts w:hint="eastAsia" w:ascii="宋体" w:hAnsi="宋体" w:eastAsia="宋体" w:cs="Times New Roman"/>
          <w:color w:val="auto"/>
          <w:szCs w:val="21"/>
          <w:highlight w:val="none"/>
          <w:lang w:eastAsia="zh-CN"/>
        </w:rPr>
      </w:pPr>
      <w:r>
        <w:rPr>
          <w:rFonts w:hint="eastAsia" w:ascii="宋体" w:hAnsi="宋体" w:eastAsia="宋体" w:cs="Times New Roman"/>
          <w:color w:val="auto"/>
          <w:szCs w:val="21"/>
          <w:highlight w:val="none"/>
        </w:rPr>
        <w:t>1.项目编号：</w:t>
      </w:r>
      <w:r>
        <w:rPr>
          <w:rFonts w:hint="eastAsia" w:ascii="宋体" w:hAnsi="宋体" w:eastAsia="宋体" w:cs="Times New Roman"/>
          <w:color w:val="auto"/>
          <w:szCs w:val="21"/>
          <w:highlight w:val="none"/>
          <w:lang w:eastAsia="zh-CN"/>
        </w:rPr>
        <w:t>QSZBB250046ZHGK</w:t>
      </w:r>
    </w:p>
    <w:p w14:paraId="34C987C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2</w:t>
      </w:r>
      <w:r>
        <w:rPr>
          <w:rFonts w:hint="eastAsia" w:ascii="宋体" w:hAnsi="宋体" w:eastAsia="宋体" w:cs="Times New Roman"/>
          <w:color w:val="auto"/>
          <w:szCs w:val="21"/>
          <w:highlight w:val="none"/>
        </w:rPr>
        <w:t>.项目名称：图书馆公共学习空间家具采购</w:t>
      </w:r>
    </w:p>
    <w:bookmarkEnd w:id="4"/>
    <w:p w14:paraId="2AB1BB05">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3</w:t>
      </w:r>
      <w:r>
        <w:rPr>
          <w:rFonts w:hint="eastAsia" w:ascii="宋体" w:hAnsi="宋体" w:eastAsia="宋体" w:cs="Times New Roman"/>
          <w:color w:val="auto"/>
          <w:szCs w:val="21"/>
          <w:highlight w:val="none"/>
        </w:rPr>
        <w:t>.预算金额：2399390元</w:t>
      </w:r>
    </w:p>
    <w:p w14:paraId="11D1D498">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4</w:t>
      </w:r>
      <w:r>
        <w:rPr>
          <w:rFonts w:hint="eastAsia" w:ascii="宋体" w:hAnsi="宋体" w:eastAsia="宋体" w:cs="Times New Roman"/>
          <w:color w:val="auto"/>
          <w:szCs w:val="21"/>
          <w:highlight w:val="none"/>
        </w:rPr>
        <w:t>.最高限价：标项一：921200元；标项二：1478190元</w:t>
      </w:r>
    </w:p>
    <w:p w14:paraId="4BF7EF97">
      <w:pPr>
        <w:adjustRightInd w:val="0"/>
        <w:snapToGrid w:val="0"/>
        <w:spacing w:line="288" w:lineRule="auto"/>
        <w:ind w:firstLine="420" w:firstLineChars="200"/>
        <w:rPr>
          <w:rFonts w:hint="eastAsia" w:ascii="宋体" w:hAnsi="宋体" w:eastAsia="宋体" w:cs="Times New Roman"/>
          <w:color w:val="auto"/>
          <w:szCs w:val="21"/>
          <w:highlight w:val="none"/>
          <w:u w:val="single"/>
        </w:rPr>
      </w:pPr>
      <w:r>
        <w:rPr>
          <w:rFonts w:ascii="宋体" w:hAnsi="宋体" w:eastAsia="宋体" w:cs="Times New Roman"/>
          <w:color w:val="auto"/>
          <w:szCs w:val="21"/>
          <w:highlight w:val="none"/>
        </w:rPr>
        <w:t>5</w:t>
      </w:r>
      <w:r>
        <w:rPr>
          <w:rFonts w:hint="eastAsia" w:ascii="宋体" w:hAnsi="宋体" w:eastAsia="宋体" w:cs="Times New Roman"/>
          <w:color w:val="auto"/>
          <w:szCs w:val="21"/>
          <w:highlight w:val="none"/>
        </w:rPr>
        <w:t>.合同履约期限：自合同签订之日起45日内交付。</w:t>
      </w:r>
    </w:p>
    <w:p w14:paraId="48CBA4CF">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6</w:t>
      </w:r>
      <w:r>
        <w:rPr>
          <w:rFonts w:hint="eastAsia" w:ascii="宋体" w:hAnsi="宋体" w:eastAsia="宋体" w:cs="Times New Roman"/>
          <w:bCs/>
          <w:color w:val="auto"/>
          <w:szCs w:val="21"/>
          <w:highlight w:val="none"/>
        </w:rPr>
        <w:t>.本项目（是）接受联合体投标。</w:t>
      </w:r>
    </w:p>
    <w:p w14:paraId="75005BF6">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7</w:t>
      </w:r>
      <w:r>
        <w:rPr>
          <w:rFonts w:hint="eastAsia" w:ascii="宋体" w:hAnsi="宋体" w:eastAsia="宋体" w:cs="Times New Roman"/>
          <w:color w:val="auto"/>
          <w:szCs w:val="21"/>
          <w:highlight w:val="none"/>
        </w:rPr>
        <w:t>.采购需求：</w:t>
      </w:r>
    </w:p>
    <w:tbl>
      <w:tblPr>
        <w:tblStyle w:val="24"/>
        <w:tblW w:w="94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3302"/>
        <w:gridCol w:w="694"/>
        <w:gridCol w:w="669"/>
        <w:gridCol w:w="2877"/>
        <w:gridCol w:w="1276"/>
      </w:tblGrid>
      <w:tr w14:paraId="2561E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25" w:hRule="atLeast"/>
        </w:trPr>
        <w:tc>
          <w:tcPr>
            <w:tcW w:w="675" w:type="dxa"/>
            <w:tcBorders>
              <w:tl2br w:val="nil"/>
              <w:tr2bl w:val="nil"/>
            </w:tcBorders>
            <w:vAlign w:val="center"/>
          </w:tcPr>
          <w:p w14:paraId="618B534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标项</w:t>
            </w:r>
          </w:p>
        </w:tc>
        <w:tc>
          <w:tcPr>
            <w:tcW w:w="3302" w:type="dxa"/>
            <w:tcBorders>
              <w:right w:val="single" w:color="auto" w:sz="4" w:space="0"/>
              <w:tl2br w:val="nil"/>
              <w:tr2bl w:val="nil"/>
            </w:tcBorders>
            <w:vAlign w:val="center"/>
          </w:tcPr>
          <w:p w14:paraId="621B590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94" w:type="dxa"/>
            <w:tcBorders>
              <w:tl2br w:val="nil"/>
              <w:tr2bl w:val="nil"/>
            </w:tcBorders>
            <w:vAlign w:val="center"/>
          </w:tcPr>
          <w:p w14:paraId="4274516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9" w:type="dxa"/>
            <w:tcBorders>
              <w:tl2br w:val="nil"/>
              <w:tr2bl w:val="nil"/>
            </w:tcBorders>
            <w:vAlign w:val="center"/>
          </w:tcPr>
          <w:p w14:paraId="3F41730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2877" w:type="dxa"/>
            <w:tcBorders>
              <w:right w:val="single" w:color="auto" w:sz="4" w:space="0"/>
              <w:tl2br w:val="nil"/>
              <w:tr2bl w:val="nil"/>
            </w:tcBorders>
            <w:vAlign w:val="center"/>
          </w:tcPr>
          <w:p w14:paraId="777CB7B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简要技术需求或服务要求</w:t>
            </w:r>
          </w:p>
        </w:tc>
        <w:tc>
          <w:tcPr>
            <w:tcW w:w="1276" w:type="dxa"/>
            <w:tcBorders>
              <w:right w:val="single" w:color="auto" w:sz="4" w:space="0"/>
              <w:tl2br w:val="nil"/>
              <w:tr2bl w:val="nil"/>
            </w:tcBorders>
            <w:vAlign w:val="center"/>
          </w:tcPr>
          <w:p w14:paraId="309FA19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是否允许采购进口产品</w:t>
            </w:r>
          </w:p>
        </w:tc>
      </w:tr>
      <w:tr w14:paraId="1277F0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016F43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一</w:t>
            </w:r>
          </w:p>
        </w:tc>
        <w:tc>
          <w:tcPr>
            <w:tcW w:w="3302" w:type="dxa"/>
            <w:tcBorders>
              <w:right w:val="single" w:color="auto" w:sz="4" w:space="0"/>
              <w:tl2br w:val="nil"/>
              <w:tr2bl w:val="nil"/>
            </w:tcBorders>
            <w:vAlign w:val="center"/>
          </w:tcPr>
          <w:p w14:paraId="3EF00FF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图书馆4层公共学习空间室内家具采购</w:t>
            </w:r>
          </w:p>
        </w:tc>
        <w:tc>
          <w:tcPr>
            <w:tcW w:w="694" w:type="dxa"/>
            <w:tcBorders>
              <w:tl2br w:val="nil"/>
              <w:tr2bl w:val="nil"/>
            </w:tcBorders>
            <w:vAlign w:val="center"/>
          </w:tcPr>
          <w:p w14:paraId="11BD2E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1</w:t>
            </w:r>
          </w:p>
        </w:tc>
        <w:tc>
          <w:tcPr>
            <w:tcW w:w="669" w:type="dxa"/>
            <w:tcBorders>
              <w:tl2br w:val="nil"/>
              <w:tr2bl w:val="nil"/>
            </w:tcBorders>
            <w:vAlign w:val="center"/>
          </w:tcPr>
          <w:p w14:paraId="294F0C6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批</w:t>
            </w:r>
          </w:p>
        </w:tc>
        <w:tc>
          <w:tcPr>
            <w:tcW w:w="2877" w:type="dxa"/>
            <w:tcBorders>
              <w:right w:val="single" w:color="auto" w:sz="4" w:space="0"/>
              <w:tl2br w:val="nil"/>
              <w:tr2bl w:val="nil"/>
            </w:tcBorders>
            <w:vAlign w:val="center"/>
          </w:tcPr>
          <w:p w14:paraId="494058C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详见第二章 采购需求</w:t>
            </w:r>
          </w:p>
        </w:tc>
        <w:tc>
          <w:tcPr>
            <w:tcW w:w="1276" w:type="dxa"/>
            <w:tcBorders>
              <w:right w:val="single" w:color="auto" w:sz="4" w:space="0"/>
              <w:tl2br w:val="nil"/>
              <w:tr2bl w:val="nil"/>
            </w:tcBorders>
            <w:vAlign w:val="center"/>
          </w:tcPr>
          <w:p w14:paraId="0FAC6A8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否</w:t>
            </w:r>
          </w:p>
        </w:tc>
      </w:tr>
      <w:tr w14:paraId="48CB9A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1587BDE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bookmarkStart w:id="5" w:name="_Toc28359080"/>
            <w:bookmarkStart w:id="6" w:name="_Toc35393791"/>
            <w:bookmarkStart w:id="7" w:name="_Toc28359003"/>
            <w:bookmarkStart w:id="8" w:name="_Toc35393622"/>
            <w:r>
              <w:rPr>
                <w:rFonts w:hint="eastAsia" w:ascii="宋体" w:hAnsi="宋体" w:eastAsia="宋体" w:cs="宋体"/>
                <w:bCs/>
                <w:color w:val="auto"/>
                <w:szCs w:val="21"/>
                <w:highlight w:val="none"/>
              </w:rPr>
              <w:t>二</w:t>
            </w:r>
          </w:p>
        </w:tc>
        <w:tc>
          <w:tcPr>
            <w:tcW w:w="3302" w:type="dxa"/>
            <w:tcBorders>
              <w:right w:val="single" w:color="auto" w:sz="4" w:space="0"/>
              <w:tl2br w:val="nil"/>
              <w:tr2bl w:val="nil"/>
            </w:tcBorders>
            <w:vAlign w:val="center"/>
          </w:tcPr>
          <w:p w14:paraId="324FD4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图书馆2、3、6层公共学习空间室内家具及4层室外家具采购</w:t>
            </w:r>
          </w:p>
        </w:tc>
        <w:tc>
          <w:tcPr>
            <w:tcW w:w="694" w:type="dxa"/>
            <w:tcBorders>
              <w:tl2br w:val="nil"/>
              <w:tr2bl w:val="nil"/>
            </w:tcBorders>
            <w:shd w:val="clear" w:color="auto" w:fill="auto"/>
            <w:vAlign w:val="center"/>
          </w:tcPr>
          <w:p w14:paraId="4698E1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1</w:t>
            </w:r>
          </w:p>
        </w:tc>
        <w:tc>
          <w:tcPr>
            <w:tcW w:w="669" w:type="dxa"/>
            <w:tcBorders>
              <w:tl2br w:val="nil"/>
              <w:tr2bl w:val="nil"/>
            </w:tcBorders>
            <w:shd w:val="clear" w:color="auto" w:fill="auto"/>
            <w:vAlign w:val="center"/>
          </w:tcPr>
          <w:p w14:paraId="729C7D8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批</w:t>
            </w:r>
          </w:p>
        </w:tc>
        <w:tc>
          <w:tcPr>
            <w:tcW w:w="2877" w:type="dxa"/>
            <w:tcBorders>
              <w:right w:val="single" w:color="auto" w:sz="4" w:space="0"/>
              <w:tl2br w:val="nil"/>
              <w:tr2bl w:val="nil"/>
            </w:tcBorders>
            <w:shd w:val="clear" w:color="auto" w:fill="auto"/>
            <w:vAlign w:val="center"/>
          </w:tcPr>
          <w:p w14:paraId="6F8BF22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详见第二章 采购需求</w:t>
            </w:r>
          </w:p>
        </w:tc>
        <w:tc>
          <w:tcPr>
            <w:tcW w:w="1276" w:type="dxa"/>
            <w:tcBorders>
              <w:right w:val="single" w:color="auto" w:sz="4" w:space="0"/>
              <w:tl2br w:val="nil"/>
              <w:tr2bl w:val="nil"/>
            </w:tcBorders>
            <w:shd w:val="clear" w:color="auto" w:fill="auto"/>
            <w:vAlign w:val="center"/>
          </w:tcPr>
          <w:p w14:paraId="62992D7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否</w:t>
            </w:r>
          </w:p>
        </w:tc>
      </w:tr>
    </w:tbl>
    <w:p w14:paraId="0D505C25">
      <w:pPr>
        <w:adjustRightInd w:val="0"/>
        <w:snapToGrid w:val="0"/>
        <w:spacing w:line="288"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二、申请人的资格要求</w:t>
      </w:r>
      <w:bookmarkEnd w:id="5"/>
      <w:bookmarkEnd w:id="6"/>
      <w:bookmarkEnd w:id="7"/>
      <w:bookmarkEnd w:id="8"/>
    </w:p>
    <w:p w14:paraId="437CA2F3">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Times New Roman"/>
          <w:bCs/>
          <w:color w:val="auto"/>
          <w:szCs w:val="21"/>
          <w:highlight w:val="none"/>
        </w:rPr>
        <w:t>1.满足《中华人民共和国政府采购法》第二十二条规定，未被“信用中国”（www.creditchina.gov.cn）</w:t>
      </w:r>
      <w:r>
        <w:rPr>
          <w:rFonts w:ascii="宋体" w:hAnsi="宋体" w:eastAsia="宋体" w:cs="Times New Roman"/>
          <w:bCs/>
          <w:color w:val="auto"/>
          <w:szCs w:val="21"/>
          <w:highlight w:val="none"/>
        </w:rPr>
        <w:t>、中国政府采购网（www.ccgp.gov.cn）列入失信被执行人、重大税收违法案件当事人名单、政府采购严重违法失信行为记录名单</w:t>
      </w:r>
      <w:r>
        <w:rPr>
          <w:rFonts w:hint="eastAsia" w:ascii="宋体" w:hAnsi="宋体" w:eastAsia="宋体" w:cs="Times New Roman"/>
          <w:bCs/>
          <w:color w:val="auto"/>
          <w:szCs w:val="21"/>
          <w:highlight w:val="none"/>
        </w:rPr>
        <w:t>；</w:t>
      </w:r>
    </w:p>
    <w:p w14:paraId="7A4CCCFF">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9" w:name="_Toc28359004"/>
      <w:bookmarkStart w:id="10" w:name="_Toc28359081"/>
      <w:r>
        <w:rPr>
          <w:rFonts w:hint="eastAsia" w:ascii="宋体" w:hAnsi="宋体" w:eastAsia="宋体" w:cs="Times New Roman"/>
          <w:color w:val="auto"/>
          <w:szCs w:val="21"/>
          <w:highlight w:val="none"/>
        </w:rPr>
        <w:t>2.落实政府采购政策需满足的资格要求：本项目专门面向中小企业采购，需按要求提交《中小企业声明函》。提供货物全部由中小企业制造，即货物由中小企业生产且使用该中小企业商号或者注册商标；供应商提供的货物既有中小企业制造货物，也有大型企业制造货物的，不符合本项目资格要求。监狱企业、残疾人福利性单位视同小型、微型企业；</w:t>
      </w:r>
    </w:p>
    <w:p w14:paraId="662586CD">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3.本项目的特定资格要求：无</w:t>
      </w:r>
    </w:p>
    <w:p w14:paraId="45E95296">
      <w:pPr>
        <w:adjustRightInd w:val="0"/>
        <w:snapToGrid w:val="0"/>
        <w:spacing w:line="288" w:lineRule="auto"/>
        <w:rPr>
          <w:rFonts w:hint="eastAsia" w:ascii="宋体" w:hAnsi="宋体" w:eastAsia="宋体" w:cs="宋体"/>
          <w:b/>
          <w:color w:val="auto"/>
          <w:szCs w:val="21"/>
          <w:highlight w:val="none"/>
        </w:rPr>
      </w:pPr>
      <w:bookmarkStart w:id="11" w:name="_Toc35393623"/>
      <w:bookmarkStart w:id="12" w:name="_Toc35393792"/>
      <w:r>
        <w:rPr>
          <w:rFonts w:hint="eastAsia" w:ascii="宋体" w:hAnsi="宋体" w:eastAsia="宋体" w:cs="宋体"/>
          <w:b/>
          <w:color w:val="auto"/>
          <w:szCs w:val="21"/>
          <w:highlight w:val="none"/>
        </w:rPr>
        <w:t>三、获取招标文件</w:t>
      </w:r>
      <w:bookmarkEnd w:id="9"/>
      <w:bookmarkEnd w:id="10"/>
      <w:bookmarkEnd w:id="11"/>
      <w:bookmarkEnd w:id="12"/>
    </w:p>
    <w:p w14:paraId="2EE27056">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13" w:name="_Toc28359082"/>
      <w:bookmarkStart w:id="14" w:name="_Toc28359005"/>
      <w:bookmarkStart w:id="15" w:name="_Toc35393624"/>
      <w:bookmarkStart w:id="16" w:name="_Toc35393793"/>
      <w:r>
        <w:rPr>
          <w:rFonts w:hint="eastAsia" w:ascii="宋体" w:hAnsi="宋体" w:eastAsia="宋体" w:cs="Times New Roman"/>
          <w:color w:val="auto"/>
          <w:szCs w:val="21"/>
          <w:highlight w:val="none"/>
        </w:rPr>
        <w:t>1</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时间：2025年</w:t>
      </w:r>
      <w:r>
        <w:rPr>
          <w:rFonts w:hint="eastAsia" w:ascii="宋体" w:hAnsi="宋体" w:eastAsia="宋体" w:cs="Times New Roman"/>
          <w:color w:val="auto"/>
          <w:szCs w:val="21"/>
          <w:highlight w:val="none"/>
          <w:lang w:val="en-US" w:eastAsia="zh-CN"/>
        </w:rPr>
        <w:t>6</w:t>
      </w:r>
      <w:r>
        <w:rPr>
          <w:rFonts w:hint="eastAsia" w:ascii="宋体" w:hAnsi="宋体" w:eastAsia="宋体" w:cs="Times New Roman"/>
          <w:color w:val="auto"/>
          <w:szCs w:val="21"/>
          <w:highlight w:val="none"/>
        </w:rPr>
        <w:t>月</w:t>
      </w:r>
      <w:r>
        <w:rPr>
          <w:rFonts w:hint="eastAsia" w:ascii="宋体" w:hAnsi="宋体" w:eastAsia="宋体" w:cs="Times New Roman"/>
          <w:color w:val="auto"/>
          <w:szCs w:val="21"/>
          <w:highlight w:val="none"/>
          <w:lang w:val="en-US" w:eastAsia="zh-CN"/>
        </w:rPr>
        <w:t>24</w:t>
      </w:r>
      <w:r>
        <w:rPr>
          <w:rFonts w:hint="eastAsia" w:ascii="宋体" w:hAnsi="宋体" w:eastAsia="宋体" w:cs="Times New Roman"/>
          <w:color w:val="auto"/>
          <w:szCs w:val="21"/>
          <w:highlight w:val="none"/>
        </w:rPr>
        <w:t>日至2025年</w:t>
      </w:r>
      <w:r>
        <w:rPr>
          <w:rFonts w:hint="eastAsia" w:ascii="宋体" w:hAnsi="宋体" w:eastAsia="宋体" w:cs="Times New Roman"/>
          <w:color w:val="auto"/>
          <w:szCs w:val="21"/>
          <w:highlight w:val="none"/>
          <w:lang w:eastAsia="zh-CN"/>
        </w:rPr>
        <w:t>7月15日</w:t>
      </w:r>
      <w:r>
        <w:rPr>
          <w:rFonts w:hint="eastAsia" w:ascii="宋体" w:hAnsi="宋体" w:eastAsia="宋体" w:cs="Times New Roman"/>
          <w:color w:val="auto"/>
          <w:szCs w:val="21"/>
          <w:highlight w:val="none"/>
        </w:rPr>
        <w:t>，上午</w:t>
      </w:r>
      <w:r>
        <w:rPr>
          <w:rFonts w:hint="eastAsia" w:ascii="宋体" w:hAnsi="宋体" w:eastAsia="宋体" w:cs="Times New Roman"/>
          <w:bCs/>
          <w:color w:val="auto"/>
          <w:szCs w:val="21"/>
          <w:highlight w:val="none"/>
        </w:rPr>
        <w:t>00:00至12:00，下午12:00至23:59（北京时间，线上获取法定节假日均可，线下获取文件法定节假日除外）</w:t>
      </w:r>
    </w:p>
    <w:p w14:paraId="42B6CFD0">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地点（网址）：政府采购云平台（https://www.zcygov.cn）</w:t>
      </w:r>
    </w:p>
    <w:p w14:paraId="326FF62E">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3</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方式：供应商登录政采云平台（https://www.zcygov.cn）</w:t>
      </w:r>
      <w:r>
        <w:rPr>
          <w:rFonts w:ascii="宋体" w:hAnsi="宋体" w:eastAsia="宋体" w:cs="Times New Roman"/>
          <w:color w:val="auto"/>
          <w:szCs w:val="21"/>
          <w:highlight w:val="none"/>
        </w:rPr>
        <w:t>在线申请获取采购文件（进入“项目采购”应用，在获取采购文件菜单中选择项目，申请获取采购文件）。</w:t>
      </w:r>
    </w:p>
    <w:p w14:paraId="1388F69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4</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售价（元）：0</w:t>
      </w:r>
    </w:p>
    <w:p w14:paraId="734BFEDE">
      <w:pPr>
        <w:adjustRightInd w:val="0"/>
        <w:snapToGrid w:val="0"/>
        <w:spacing w:line="288"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四、提交（上传）投标文件</w:t>
      </w:r>
      <w:bookmarkEnd w:id="13"/>
      <w:bookmarkEnd w:id="14"/>
      <w:r>
        <w:rPr>
          <w:rFonts w:hint="eastAsia" w:ascii="宋体" w:hAnsi="宋体" w:eastAsia="宋体" w:cs="宋体"/>
          <w:b/>
          <w:color w:val="auto"/>
          <w:szCs w:val="21"/>
          <w:highlight w:val="none"/>
        </w:rPr>
        <w:t>截止时间、开标时间和地点</w:t>
      </w:r>
      <w:bookmarkEnd w:id="15"/>
      <w:bookmarkEnd w:id="16"/>
    </w:p>
    <w:p w14:paraId="7FA5E5E2">
      <w:pPr>
        <w:adjustRightInd w:val="0"/>
        <w:snapToGrid w:val="0"/>
        <w:spacing w:line="288" w:lineRule="auto"/>
        <w:ind w:firstLine="420" w:firstLineChars="200"/>
        <w:rPr>
          <w:rFonts w:hint="eastAsia" w:ascii="宋体" w:hAnsi="宋体" w:eastAsia="宋体" w:cs="Times New Roman"/>
          <w:bCs/>
          <w:color w:val="auto"/>
          <w:szCs w:val="21"/>
          <w:highlight w:val="none"/>
        </w:rPr>
      </w:pPr>
      <w:bookmarkStart w:id="17" w:name="_Hlk81212057"/>
      <w:r>
        <w:rPr>
          <w:rFonts w:hint="eastAsia" w:ascii="宋体" w:hAnsi="宋体" w:eastAsia="宋体" w:cs="Times New Roman"/>
          <w:bCs/>
          <w:color w:val="auto"/>
          <w:szCs w:val="21"/>
          <w:highlight w:val="none"/>
        </w:rPr>
        <w:t>提交投标文件截止时间：2025年</w:t>
      </w:r>
      <w:r>
        <w:rPr>
          <w:rFonts w:hint="eastAsia" w:ascii="宋体" w:hAnsi="宋体" w:eastAsia="宋体" w:cs="Times New Roman"/>
          <w:bCs/>
          <w:color w:val="auto"/>
          <w:szCs w:val="21"/>
          <w:highlight w:val="none"/>
          <w:lang w:eastAsia="zh-CN"/>
        </w:rPr>
        <w:t>7月15日</w:t>
      </w:r>
      <w:r>
        <w:rPr>
          <w:rFonts w:hint="eastAsia" w:ascii="宋体" w:hAnsi="宋体" w:eastAsia="宋体" w:cs="Times New Roman"/>
          <w:bCs/>
          <w:color w:val="auto"/>
          <w:szCs w:val="21"/>
          <w:highlight w:val="none"/>
          <w:lang w:val="en-US" w:eastAsia="zh-CN"/>
        </w:rPr>
        <w:t>13:00:00</w:t>
      </w:r>
      <w:r>
        <w:rPr>
          <w:rFonts w:hint="eastAsia" w:ascii="宋体" w:hAnsi="宋体" w:eastAsia="宋体" w:cs="Times New Roman"/>
          <w:bCs/>
          <w:color w:val="auto"/>
          <w:szCs w:val="21"/>
          <w:highlight w:val="none"/>
        </w:rPr>
        <w:t>（北京时间）</w:t>
      </w:r>
    </w:p>
    <w:p w14:paraId="556DA842">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投标地点（网址）：</w:t>
      </w:r>
      <w:r>
        <w:rPr>
          <w:rFonts w:hint="eastAsia" w:ascii="宋体" w:hAnsi="宋体" w:eastAsia="宋体" w:cs="Times New Roman"/>
          <w:color w:val="auto"/>
          <w:szCs w:val="21"/>
          <w:highlight w:val="none"/>
        </w:rPr>
        <w:t>政府采购云平台（https://www.zcygov.cn）</w:t>
      </w:r>
    </w:p>
    <w:p w14:paraId="5386B560">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开标时间：</w:t>
      </w:r>
      <w:r>
        <w:rPr>
          <w:rFonts w:hint="eastAsia" w:ascii="宋体" w:hAnsi="宋体" w:eastAsia="宋体" w:cs="Times New Roman"/>
          <w:bCs/>
          <w:color w:val="auto"/>
          <w:szCs w:val="21"/>
          <w:highlight w:val="none"/>
        </w:rPr>
        <w:t>2025年</w:t>
      </w:r>
      <w:r>
        <w:rPr>
          <w:rFonts w:hint="eastAsia" w:ascii="宋体" w:hAnsi="宋体" w:eastAsia="宋体" w:cs="Times New Roman"/>
          <w:bCs/>
          <w:color w:val="auto"/>
          <w:szCs w:val="21"/>
          <w:highlight w:val="none"/>
          <w:lang w:eastAsia="zh-CN"/>
        </w:rPr>
        <w:t>7月15日</w:t>
      </w:r>
      <w:r>
        <w:rPr>
          <w:rFonts w:hint="eastAsia" w:ascii="宋体" w:hAnsi="宋体" w:eastAsia="宋体" w:cs="Times New Roman"/>
          <w:bCs/>
          <w:color w:val="auto"/>
          <w:szCs w:val="21"/>
          <w:highlight w:val="none"/>
          <w:lang w:val="en-US" w:eastAsia="zh-CN"/>
        </w:rPr>
        <w:t>13:00:00</w:t>
      </w:r>
      <w:r>
        <w:rPr>
          <w:rFonts w:hint="eastAsia" w:ascii="宋体" w:hAnsi="宋体" w:eastAsia="宋体" w:cs="Times New Roman"/>
          <w:bCs/>
          <w:color w:val="auto"/>
          <w:szCs w:val="21"/>
          <w:highlight w:val="none"/>
        </w:rPr>
        <w:t>（北京时间）</w:t>
      </w:r>
    </w:p>
    <w:p w14:paraId="13CDD20E">
      <w:pPr>
        <w:adjustRightInd w:val="0"/>
        <w:snapToGrid w:val="0"/>
        <w:spacing w:line="288" w:lineRule="auto"/>
        <w:ind w:firstLine="420" w:firstLineChars="200"/>
        <w:rPr>
          <w:rFonts w:hint="eastAsia" w:ascii="宋体" w:hAnsi="宋体" w:cs="Times New Roman"/>
          <w:bCs/>
          <w:color w:val="auto"/>
          <w:szCs w:val="21"/>
          <w:highlight w:val="none"/>
        </w:rPr>
      </w:pPr>
      <w:r>
        <w:rPr>
          <w:rFonts w:ascii="宋体" w:hAnsi="宋体" w:eastAsia="宋体" w:cs="Times New Roman"/>
          <w:bCs/>
          <w:color w:val="auto"/>
          <w:szCs w:val="21"/>
          <w:highlight w:val="none"/>
        </w:rPr>
        <w:t>开标地点（网址）：</w:t>
      </w:r>
      <w:r>
        <w:rPr>
          <w:rFonts w:hint="eastAsia" w:ascii="宋体" w:hAnsi="宋体" w:eastAsia="宋体" w:cs="Times New Roman"/>
          <w:color w:val="auto"/>
          <w:szCs w:val="21"/>
          <w:highlight w:val="none"/>
        </w:rPr>
        <w:t>政府采购云平台（https://www.zcygov.cn）</w:t>
      </w:r>
      <w:bookmarkStart w:id="18" w:name="_Hlk81212131"/>
      <w:r>
        <w:rPr>
          <w:rFonts w:hint="eastAsia" w:ascii="宋体" w:hAnsi="宋体" w:eastAsia="宋体" w:cs="Times New Roman"/>
          <w:color w:val="auto"/>
          <w:szCs w:val="21"/>
          <w:highlight w:val="none"/>
        </w:rPr>
        <w:t>/</w:t>
      </w:r>
      <w:bookmarkEnd w:id="18"/>
      <w:r>
        <w:rPr>
          <w:rFonts w:hint="eastAsia" w:ascii="宋体" w:hAnsi="宋体" w:eastAsia="宋体" w:cs="Times New Roman"/>
          <w:color w:val="auto"/>
          <w:szCs w:val="21"/>
          <w:highlight w:val="none"/>
        </w:rPr>
        <w:t>杭州市西湖区天目山路419号西溪金谷14号楼1单元3楼会议室</w:t>
      </w:r>
    </w:p>
    <w:bookmarkEnd w:id="17"/>
    <w:p w14:paraId="15287A77">
      <w:pPr>
        <w:adjustRightInd w:val="0"/>
        <w:snapToGrid w:val="0"/>
        <w:spacing w:line="288" w:lineRule="auto"/>
        <w:rPr>
          <w:rFonts w:hint="eastAsia" w:ascii="宋体" w:hAnsi="宋体" w:eastAsia="宋体" w:cs="宋体"/>
          <w:b/>
          <w:color w:val="auto"/>
          <w:szCs w:val="21"/>
          <w:highlight w:val="none"/>
        </w:rPr>
      </w:pPr>
      <w:bookmarkStart w:id="19" w:name="_Toc35393625"/>
      <w:bookmarkStart w:id="20" w:name="_Toc28359007"/>
      <w:bookmarkStart w:id="21" w:name="_Toc35393794"/>
      <w:bookmarkStart w:id="22" w:name="_Toc28359084"/>
      <w:r>
        <w:rPr>
          <w:rFonts w:hint="eastAsia" w:ascii="宋体" w:hAnsi="宋体" w:eastAsia="宋体" w:cs="宋体"/>
          <w:b/>
          <w:color w:val="auto"/>
          <w:szCs w:val="21"/>
          <w:highlight w:val="none"/>
        </w:rPr>
        <w:t>五、公告期限</w:t>
      </w:r>
      <w:bookmarkEnd w:id="19"/>
      <w:bookmarkEnd w:id="20"/>
      <w:bookmarkEnd w:id="21"/>
      <w:bookmarkEnd w:id="22"/>
    </w:p>
    <w:p w14:paraId="4340D7C4">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自本公告发布之日起5个工作日。</w:t>
      </w:r>
    </w:p>
    <w:p w14:paraId="231D91DC">
      <w:pPr>
        <w:adjustRightInd w:val="0"/>
        <w:snapToGrid w:val="0"/>
        <w:spacing w:line="288" w:lineRule="auto"/>
        <w:rPr>
          <w:rFonts w:hint="eastAsia" w:ascii="宋体" w:hAnsi="宋体" w:eastAsia="宋体" w:cs="宋体"/>
          <w:b/>
          <w:color w:val="auto"/>
          <w:szCs w:val="21"/>
          <w:highlight w:val="none"/>
        </w:rPr>
      </w:pPr>
      <w:bookmarkStart w:id="23" w:name="_Toc35393626"/>
      <w:bookmarkStart w:id="24" w:name="_Toc35393795"/>
      <w:r>
        <w:rPr>
          <w:rFonts w:hint="eastAsia" w:ascii="宋体" w:hAnsi="宋体" w:eastAsia="宋体" w:cs="宋体"/>
          <w:b/>
          <w:color w:val="auto"/>
          <w:szCs w:val="21"/>
          <w:highlight w:val="none"/>
        </w:rPr>
        <w:t>六、其他补充事宜</w:t>
      </w:r>
      <w:bookmarkEnd w:id="23"/>
      <w:bookmarkEnd w:id="24"/>
    </w:p>
    <w:p w14:paraId="171F1C78">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25" w:name="_Hlk92271231"/>
      <w:r>
        <w:rPr>
          <w:rFonts w:hint="eastAsia" w:ascii="宋体" w:hAnsi="宋体" w:eastAsia="宋体" w:cs="Times New Roman"/>
          <w:color w:val="auto"/>
          <w:szCs w:val="21"/>
          <w:highlight w:val="none"/>
        </w:rPr>
        <w:t>1.《浙江省财政厅关于进一步发挥政府采购政策功能全力推动经济稳进提质的通知》（浙财采监（2022）3号）、《浙江省财政厅关于进一步促进政府采购公平竞争打造最优营商环境的通知》（浙财采监（2021）22号）、《浙江省财政厅关于进一步加大政府采购支持中小企业力度助力扎实稳住经济的通知》（浙财采监（2022）8号）已分别于2022年1月29日、2022年2月1日和2022年7月1日开始实施，此前有关规定与上述文件内容不一致的，按上述文件要求执行。</w:t>
      </w:r>
    </w:p>
    <w:p w14:paraId="7334AAA4">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443E355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6EBB191B">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4.其他事项：</w:t>
      </w:r>
      <w:bookmarkStart w:id="26" w:name="_Hlk92271331"/>
    </w:p>
    <w:p w14:paraId="61997436">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w:t>
      </w:r>
      <w:r>
        <w:rPr>
          <w:rFonts w:ascii="宋体" w:hAnsi="宋体" w:eastAsia="宋体" w:cs="Times New Roman"/>
          <w:color w:val="auto"/>
          <w:szCs w:val="21"/>
          <w:highlight w:val="none"/>
        </w:rPr>
        <w:t>需要落实的政府采购政策：包括节约资源、保护环境、</w:t>
      </w:r>
      <w:bookmarkStart w:id="27" w:name="_Hlk106877787"/>
      <w:r>
        <w:rPr>
          <w:rFonts w:hint="eastAsia" w:ascii="宋体" w:hAnsi="宋体" w:eastAsia="宋体" w:cs="Times New Roman"/>
          <w:color w:val="auto"/>
          <w:szCs w:val="21"/>
          <w:highlight w:val="none"/>
        </w:rPr>
        <w:t>支持科技创新、</w:t>
      </w:r>
      <w:bookmarkEnd w:id="27"/>
      <w:r>
        <w:rPr>
          <w:rFonts w:ascii="宋体" w:hAnsi="宋体" w:eastAsia="宋体" w:cs="Times New Roman"/>
          <w:color w:val="auto"/>
          <w:szCs w:val="21"/>
          <w:highlight w:val="none"/>
        </w:rPr>
        <w:t>促进中小企业发展等。详见招标文件的第</w:t>
      </w:r>
      <w:r>
        <w:rPr>
          <w:rFonts w:hint="eastAsia" w:ascii="宋体" w:hAnsi="宋体" w:eastAsia="宋体" w:cs="Times New Roman"/>
          <w:color w:val="auto"/>
          <w:szCs w:val="21"/>
          <w:highlight w:val="none"/>
        </w:rPr>
        <w:t>三章-采购项目需要落实的政府采购政策</w:t>
      </w:r>
      <w:r>
        <w:rPr>
          <w:rFonts w:ascii="宋体" w:hAnsi="宋体" w:eastAsia="宋体" w:cs="Times New Roman"/>
          <w:color w:val="auto"/>
          <w:szCs w:val="21"/>
          <w:highlight w:val="none"/>
        </w:rPr>
        <w:t>。</w:t>
      </w:r>
    </w:p>
    <w:p w14:paraId="20A68B8A">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w:t>
      </w:r>
      <w:bookmarkStart w:id="28" w:name="_Hlk92271072"/>
      <w:r>
        <w:rPr>
          <w:rFonts w:hint="eastAsia" w:ascii="宋体" w:hAnsi="宋体" w:eastAsia="宋体" w:cs="Times New Roman"/>
          <w:color w:val="auto"/>
          <w:szCs w:val="21"/>
          <w:highlight w:val="none"/>
        </w:rPr>
        <w:t>（2）</w:t>
      </w:r>
      <w:r>
        <w:rPr>
          <w:rFonts w:ascii="宋体" w:hAnsi="宋体" w:eastAsia="宋体" w:cs="Times New Roman"/>
          <w:color w:val="auto"/>
          <w:szCs w:val="21"/>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bookmarkEnd w:id="28"/>
    </w:p>
    <w:bookmarkEnd w:id="25"/>
    <w:bookmarkEnd w:id="26"/>
    <w:p w14:paraId="2F6FA5AD">
      <w:pPr>
        <w:adjustRightInd w:val="0"/>
        <w:snapToGrid w:val="0"/>
        <w:spacing w:line="288" w:lineRule="auto"/>
        <w:rPr>
          <w:rFonts w:hint="eastAsia" w:ascii="宋体" w:hAnsi="宋体" w:eastAsia="宋体" w:cs="Times New Roman"/>
          <w:b/>
          <w:color w:val="auto"/>
          <w:szCs w:val="21"/>
          <w:highlight w:val="none"/>
        </w:rPr>
      </w:pPr>
      <w:bookmarkStart w:id="29" w:name="_Toc28359008"/>
      <w:bookmarkStart w:id="30" w:name="_Toc28359085"/>
      <w:bookmarkStart w:id="31" w:name="_Toc35393627"/>
      <w:bookmarkStart w:id="32" w:name="_Toc35393796"/>
      <w:r>
        <w:rPr>
          <w:rFonts w:hint="eastAsia" w:ascii="宋体" w:hAnsi="宋体" w:eastAsia="宋体" w:cs="宋体"/>
          <w:b/>
          <w:color w:val="auto"/>
          <w:szCs w:val="21"/>
          <w:highlight w:val="none"/>
        </w:rPr>
        <w:t>七、对本次招标提出询问、质疑、投诉请按</w:t>
      </w:r>
      <w:r>
        <w:rPr>
          <w:rFonts w:ascii="宋体" w:hAnsi="宋体" w:eastAsia="宋体" w:cs="宋体"/>
          <w:b/>
          <w:color w:val="auto"/>
          <w:szCs w:val="21"/>
          <w:highlight w:val="none"/>
        </w:rPr>
        <w:t>以下方式</w:t>
      </w:r>
      <w:r>
        <w:rPr>
          <w:rFonts w:hint="eastAsia" w:ascii="宋体" w:hAnsi="宋体" w:eastAsia="宋体" w:cs="宋体"/>
          <w:b/>
          <w:color w:val="auto"/>
          <w:szCs w:val="21"/>
          <w:highlight w:val="none"/>
        </w:rPr>
        <w:t>联系</w:t>
      </w:r>
      <w:bookmarkEnd w:id="29"/>
      <w:bookmarkEnd w:id="30"/>
      <w:bookmarkEnd w:id="31"/>
      <w:bookmarkEnd w:id="32"/>
    </w:p>
    <w:p w14:paraId="6B2DA28F">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1.采购人信息</w:t>
      </w:r>
    </w:p>
    <w:p w14:paraId="7C72062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名称：杭州电子科技大学</w:t>
      </w:r>
    </w:p>
    <w:p w14:paraId="6C172A8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地址：杭州市钱塘区白杨街道2号大街1158号</w:t>
      </w:r>
    </w:p>
    <w:p w14:paraId="22287C8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传真：/</w:t>
      </w:r>
    </w:p>
    <w:p w14:paraId="5FF22983">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项目联系人（询问）：于老师</w:t>
      </w:r>
    </w:p>
    <w:p w14:paraId="3B5F3B82">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项目联系方式（询问）：0</w:t>
      </w:r>
      <w:r>
        <w:rPr>
          <w:rFonts w:ascii="宋体" w:hAnsi="宋体" w:eastAsia="宋体" w:cs="宋体"/>
          <w:color w:val="auto"/>
          <w:szCs w:val="21"/>
          <w:highlight w:val="none"/>
        </w:rPr>
        <w:t>571</w:t>
      </w:r>
      <w:r>
        <w:rPr>
          <w:rFonts w:hint="eastAsia" w:ascii="宋体" w:hAnsi="宋体" w:eastAsia="宋体" w:cs="宋体"/>
          <w:color w:val="auto"/>
          <w:szCs w:val="21"/>
          <w:highlight w:val="none"/>
        </w:rPr>
        <w:t>-</w:t>
      </w:r>
      <w:r>
        <w:rPr>
          <w:rFonts w:ascii="宋体" w:hAnsi="宋体" w:eastAsia="宋体" w:cs="宋体"/>
          <w:color w:val="auto"/>
          <w:szCs w:val="21"/>
          <w:highlight w:val="none"/>
        </w:rPr>
        <w:t>86915080</w:t>
      </w:r>
    </w:p>
    <w:p w14:paraId="6883FF16">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质疑联系人：李老师</w:t>
      </w:r>
    </w:p>
    <w:p w14:paraId="1637E152">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质疑联系方式：0571-86878697</w:t>
      </w:r>
    </w:p>
    <w:p w14:paraId="66334857">
      <w:pPr>
        <w:adjustRightInd w:val="0"/>
        <w:snapToGrid w:val="0"/>
        <w:spacing w:line="288" w:lineRule="auto"/>
        <w:ind w:firstLine="424" w:firstLineChars="202"/>
        <w:rPr>
          <w:rFonts w:hint="eastAsia" w:ascii="宋体" w:hAnsi="宋体" w:eastAsia="宋体" w:cs="Times New Roman"/>
          <w:color w:val="auto"/>
          <w:szCs w:val="21"/>
          <w:highlight w:val="none"/>
        </w:rPr>
      </w:pPr>
    </w:p>
    <w:p w14:paraId="3C32CE7B">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2.采购代理机构信息</w:t>
      </w:r>
    </w:p>
    <w:p w14:paraId="18158C9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名称：浙江求是招标代理有限公司</w:t>
      </w:r>
    </w:p>
    <w:p w14:paraId="506ACEC4">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地址：杭州市西湖区玉古路173号中田大厦21楼</w:t>
      </w:r>
    </w:p>
    <w:p w14:paraId="282610F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传真：/</w:t>
      </w:r>
    </w:p>
    <w:p w14:paraId="6DA73D7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项目联系人（询问）：</w:t>
      </w:r>
      <w:r>
        <w:rPr>
          <w:rFonts w:hint="eastAsia" w:ascii="宋体" w:hAnsi="宋体" w:eastAsia="宋体" w:cs="Times New Roman"/>
          <w:bCs/>
          <w:color w:val="auto"/>
          <w:spacing w:val="-6"/>
          <w:szCs w:val="21"/>
          <w:highlight w:val="none"/>
        </w:rPr>
        <w:t>陈应俭、俞炳、朱建飞</w:t>
      </w:r>
    </w:p>
    <w:p w14:paraId="070B094C">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项目联系方式（询问）：0571-87670302</w:t>
      </w:r>
    </w:p>
    <w:p w14:paraId="4E57AE33">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质疑联系人：周安琪</w:t>
      </w:r>
    </w:p>
    <w:p w14:paraId="7066E04D">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质疑联系方式：0571-81110356</w:t>
      </w:r>
    </w:p>
    <w:p w14:paraId="4CDE9237">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质疑邮箱：</w:t>
      </w:r>
      <w:r>
        <w:rPr>
          <w:rFonts w:ascii="宋体" w:hAnsi="宋体" w:eastAsia="宋体" w:cs="Times New Roman"/>
          <w:color w:val="auto"/>
          <w:szCs w:val="21"/>
          <w:highlight w:val="none"/>
        </w:rPr>
        <w:t>jdkh@qszb.net</w:t>
      </w:r>
    </w:p>
    <w:p w14:paraId="454A45EB">
      <w:pPr>
        <w:adjustRightInd w:val="0"/>
        <w:snapToGrid w:val="0"/>
        <w:spacing w:line="288" w:lineRule="auto"/>
        <w:ind w:firstLine="424" w:firstLineChars="202"/>
        <w:rPr>
          <w:rFonts w:hint="eastAsia" w:ascii="宋体" w:hAnsi="宋体" w:eastAsia="宋体" w:cs="Times New Roman"/>
          <w:color w:val="auto"/>
          <w:szCs w:val="21"/>
          <w:highlight w:val="none"/>
        </w:rPr>
      </w:pPr>
      <w:bookmarkStart w:id="33" w:name="_Hlk124147873"/>
    </w:p>
    <w:p w14:paraId="01C5F21E">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3.同级政府采购监督管理部门</w:t>
      </w:r>
    </w:p>
    <w:p w14:paraId="2BDFC675">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名称：浙江省财政厅政府采购监管处、浙江省政府采购行政裁决服务中心（杭州）</w:t>
      </w:r>
    </w:p>
    <w:p w14:paraId="47B51A48">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地址：</w:t>
      </w:r>
      <w:r>
        <w:rPr>
          <w:rFonts w:hint="eastAsia" w:ascii="宋体" w:hAnsi="宋体" w:eastAsia="宋体" w:cs="Times New Roman"/>
          <w:color w:val="auto"/>
          <w:spacing w:val="-6"/>
          <w:szCs w:val="21"/>
          <w:highlight w:val="none"/>
        </w:rPr>
        <w:t>杭州市上城区清泰街549号城建综合大楼11楼（快递仅限ems或顺丰）</w:t>
      </w:r>
    </w:p>
    <w:p w14:paraId="14810268">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传真：/</w:t>
      </w:r>
    </w:p>
    <w:p w14:paraId="31067E27">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联系人：朱老师、王老师、匡老师</w:t>
      </w:r>
    </w:p>
    <w:p w14:paraId="4D7CAC43">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监督投诉电话：0571-87800218，0571-87227671</w:t>
      </w:r>
    </w:p>
    <w:p w14:paraId="6555F44C">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政策咨询：何一平、冯华，0571-87058424、87055741</w:t>
      </w:r>
    </w:p>
    <w:p w14:paraId="0D8E9AD9">
      <w:pPr>
        <w:adjustRightInd w:val="0"/>
        <w:snapToGrid w:val="0"/>
        <w:spacing w:line="288" w:lineRule="auto"/>
        <w:ind w:firstLine="370"/>
        <w:rPr>
          <w:rFonts w:hint="eastAsia" w:ascii="宋体" w:hAnsi="宋体" w:eastAsia="宋体" w:cs="Times New Roman"/>
          <w:color w:val="auto"/>
          <w:spacing w:val="-6"/>
          <w:szCs w:val="21"/>
          <w:highlight w:val="none"/>
        </w:rPr>
      </w:pPr>
    </w:p>
    <w:p w14:paraId="091E1A9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若对项目采购电子交易系统操作有疑问，可登录政采云（</w:t>
      </w:r>
      <w:r>
        <w:rPr>
          <w:rFonts w:ascii="宋体" w:hAnsi="宋体" w:eastAsia="宋体" w:cs="Times New Roman"/>
          <w:color w:val="auto"/>
          <w:spacing w:val="-6"/>
          <w:szCs w:val="21"/>
          <w:highlight w:val="none"/>
        </w:rPr>
        <w:t>https://www.zcygov.cn/），点击右侧咨询小采，获取采小蜜智能服务管家帮助，或拨打政采云服务热线</w:t>
      </w:r>
      <w:r>
        <w:rPr>
          <w:rFonts w:hint="eastAsia" w:ascii="宋体" w:hAnsi="宋体" w:eastAsia="宋体" w:cs="Times New Roman"/>
          <w:color w:val="auto"/>
          <w:spacing w:val="-6"/>
          <w:szCs w:val="21"/>
          <w:highlight w:val="none"/>
        </w:rPr>
        <w:t>95763</w:t>
      </w:r>
      <w:r>
        <w:rPr>
          <w:rFonts w:ascii="宋体" w:hAnsi="宋体" w:eastAsia="宋体" w:cs="Times New Roman"/>
          <w:color w:val="auto"/>
          <w:spacing w:val="-6"/>
          <w:szCs w:val="21"/>
          <w:highlight w:val="none"/>
        </w:rPr>
        <w:t>获取热线服务帮助。</w:t>
      </w:r>
    </w:p>
    <w:p w14:paraId="19A6368A">
      <w:pPr>
        <w:adjustRightInd w:val="0"/>
        <w:snapToGrid w:val="0"/>
        <w:spacing w:line="288" w:lineRule="auto"/>
        <w:ind w:firstLine="396" w:firstLineChars="200"/>
        <w:rPr>
          <w:rFonts w:hint="eastAsia" w:ascii="宋体" w:hAnsi="宋体" w:eastAsia="宋体" w:cs="Times New Roman"/>
          <w:color w:val="auto"/>
          <w:szCs w:val="21"/>
          <w:highlight w:val="none"/>
        </w:rPr>
      </w:pPr>
      <w:r>
        <w:rPr>
          <w:rFonts w:ascii="宋体" w:hAnsi="宋体" w:eastAsia="宋体" w:cs="Times New Roman"/>
          <w:color w:val="auto"/>
          <w:spacing w:val="-6"/>
          <w:szCs w:val="21"/>
          <w:highlight w:val="none"/>
        </w:rPr>
        <w:t>CA问题联系电话（人工）：汇信CA400-888-4636；天谷CA400-087-8198。</w:t>
      </w:r>
    </w:p>
    <w:bookmarkEnd w:id="33"/>
    <w:p w14:paraId="779BFE9E">
      <w:pPr>
        <w:adjustRightInd w:val="0"/>
        <w:snapToGrid w:val="0"/>
        <w:spacing w:line="288" w:lineRule="auto"/>
        <w:ind w:left="238"/>
        <w:jc w:val="center"/>
        <w:outlineLvl w:val="0"/>
        <w:rPr>
          <w:rFonts w:hint="eastAsia" w:ascii="宋体" w:hAnsi="宋体" w:eastAsia="宋体" w:cs="Times New Roman"/>
          <w:b/>
          <w:bCs/>
          <w:color w:val="auto"/>
          <w:sz w:val="32"/>
          <w:szCs w:val="32"/>
          <w:highlight w:val="none"/>
        </w:rPr>
      </w:pPr>
      <w:r>
        <w:rPr>
          <w:rFonts w:hint="eastAsia" w:ascii="宋体" w:hAnsi="宋体" w:eastAsia="宋体" w:cs="Times New Roman"/>
          <w:color w:val="auto"/>
          <w:szCs w:val="21"/>
          <w:highlight w:val="none"/>
        </w:rPr>
        <w:br w:type="page"/>
      </w:r>
      <w:r>
        <w:rPr>
          <w:rFonts w:hint="eastAsia" w:ascii="宋体" w:hAnsi="宋体" w:eastAsia="宋体" w:cs="Times New Roman"/>
          <w:b/>
          <w:color w:val="auto"/>
          <w:sz w:val="32"/>
          <w:szCs w:val="32"/>
          <w:highlight w:val="none"/>
        </w:rPr>
        <w:t xml:space="preserve">第二章  </w:t>
      </w:r>
      <w:r>
        <w:rPr>
          <w:rFonts w:hint="eastAsia" w:ascii="宋体" w:hAnsi="宋体" w:eastAsia="宋体" w:cs="Times New Roman"/>
          <w:b/>
          <w:bCs/>
          <w:color w:val="auto"/>
          <w:sz w:val="32"/>
          <w:szCs w:val="32"/>
          <w:highlight w:val="none"/>
        </w:rPr>
        <w:t>采购需求</w:t>
      </w:r>
    </w:p>
    <w:p w14:paraId="647ED319">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一、为落实政府采购政策需满足的要求</w:t>
      </w:r>
    </w:p>
    <w:tbl>
      <w:tblPr>
        <w:tblStyle w:val="24"/>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3256"/>
        <w:gridCol w:w="5529"/>
      </w:tblGrid>
      <w:tr w14:paraId="35AE3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77AF6A5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bookmarkStart w:id="34" w:name="_Hlk45005599"/>
            <w:r>
              <w:rPr>
                <w:rFonts w:hint="eastAsia" w:ascii="宋体" w:hAnsi="宋体" w:eastAsia="宋体" w:cs="宋体"/>
                <w:b/>
                <w:bCs/>
                <w:color w:val="auto"/>
                <w:szCs w:val="21"/>
                <w:highlight w:val="none"/>
              </w:rPr>
              <w:t>序号</w:t>
            </w:r>
          </w:p>
        </w:tc>
        <w:tc>
          <w:tcPr>
            <w:tcW w:w="3256" w:type="dxa"/>
            <w:vAlign w:val="center"/>
          </w:tcPr>
          <w:p w14:paraId="4A10FB7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政策名称</w:t>
            </w:r>
          </w:p>
        </w:tc>
        <w:tc>
          <w:tcPr>
            <w:tcW w:w="5529" w:type="dxa"/>
            <w:vAlign w:val="center"/>
          </w:tcPr>
          <w:p w14:paraId="5DFD78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内容</w:t>
            </w:r>
          </w:p>
        </w:tc>
      </w:tr>
      <w:tr w14:paraId="76D73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1FC5DAF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1</w:t>
            </w:r>
          </w:p>
        </w:tc>
        <w:tc>
          <w:tcPr>
            <w:tcW w:w="3256" w:type="dxa"/>
            <w:vAlign w:val="center"/>
          </w:tcPr>
          <w:p w14:paraId="7A198D3E">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政府采购进口产品</w:t>
            </w:r>
          </w:p>
        </w:tc>
        <w:tc>
          <w:tcPr>
            <w:tcW w:w="5529" w:type="dxa"/>
            <w:vAlign w:val="center"/>
          </w:tcPr>
          <w:p w14:paraId="23E9A8A9">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不允许采购进口产品</w:t>
            </w:r>
          </w:p>
        </w:tc>
      </w:tr>
      <w:tr w14:paraId="40148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1B94EBC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2</w:t>
            </w:r>
          </w:p>
        </w:tc>
        <w:tc>
          <w:tcPr>
            <w:tcW w:w="3256" w:type="dxa"/>
            <w:vAlign w:val="center"/>
          </w:tcPr>
          <w:p w14:paraId="5DB57D5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政府强制采购节能产品</w:t>
            </w:r>
          </w:p>
        </w:tc>
        <w:tc>
          <w:tcPr>
            <w:tcW w:w="5529" w:type="dxa"/>
            <w:vAlign w:val="center"/>
          </w:tcPr>
          <w:p w14:paraId="20D00EBF">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不适用</w:t>
            </w:r>
          </w:p>
        </w:tc>
      </w:tr>
      <w:tr w14:paraId="7362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71423D2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3</w:t>
            </w:r>
          </w:p>
        </w:tc>
        <w:tc>
          <w:tcPr>
            <w:tcW w:w="3256" w:type="dxa"/>
            <w:vAlign w:val="center"/>
          </w:tcPr>
          <w:p w14:paraId="22C2499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政府优先采购节能、环保产品</w:t>
            </w:r>
          </w:p>
        </w:tc>
        <w:tc>
          <w:tcPr>
            <w:tcW w:w="5529" w:type="dxa"/>
            <w:vAlign w:val="center"/>
          </w:tcPr>
          <w:p w14:paraId="020485F9">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提供材料详见招标文件第六章“商务和技术文件”</w:t>
            </w:r>
          </w:p>
        </w:tc>
      </w:tr>
      <w:tr w14:paraId="6184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3784B98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4</w:t>
            </w:r>
          </w:p>
        </w:tc>
        <w:tc>
          <w:tcPr>
            <w:tcW w:w="3256" w:type="dxa"/>
            <w:vAlign w:val="center"/>
          </w:tcPr>
          <w:p w14:paraId="092085F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政府采购支持科技创新</w:t>
            </w:r>
          </w:p>
        </w:tc>
        <w:tc>
          <w:tcPr>
            <w:tcW w:w="5529" w:type="dxa"/>
            <w:vAlign w:val="center"/>
          </w:tcPr>
          <w:p w14:paraId="0A5565D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提供材料详见招标文件第六章“商务和技术文件”</w:t>
            </w:r>
          </w:p>
        </w:tc>
      </w:tr>
      <w:tr w14:paraId="3F649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099AD06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5</w:t>
            </w:r>
          </w:p>
        </w:tc>
        <w:tc>
          <w:tcPr>
            <w:tcW w:w="3256" w:type="dxa"/>
            <w:vAlign w:val="center"/>
          </w:tcPr>
          <w:p w14:paraId="7BB804B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政府采购促进中小企业发展</w:t>
            </w:r>
          </w:p>
        </w:tc>
        <w:tc>
          <w:tcPr>
            <w:tcW w:w="5529" w:type="dxa"/>
            <w:vAlign w:val="center"/>
          </w:tcPr>
          <w:p w14:paraId="0E3B064A">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提供材料详见招标文件第六章“资格文件”</w:t>
            </w:r>
          </w:p>
          <w:p w14:paraId="6FB9FA8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本项目属性为：货物</w:t>
            </w:r>
          </w:p>
          <w:p w14:paraId="1DF73453">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采购标的对应的中小企业划分标准所属行业：工业</w:t>
            </w:r>
          </w:p>
          <w:p w14:paraId="2EAB4A2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Times New Roman"/>
                <w:b/>
                <w:bCs/>
                <w:color w:val="auto"/>
                <w:szCs w:val="21"/>
                <w:highlight w:val="none"/>
              </w:rPr>
              <w:t>中小企业划型标准：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tc>
      </w:tr>
      <w:tr w14:paraId="526C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536FFF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6</w:t>
            </w:r>
          </w:p>
        </w:tc>
        <w:tc>
          <w:tcPr>
            <w:tcW w:w="3256" w:type="dxa"/>
            <w:vAlign w:val="center"/>
          </w:tcPr>
          <w:p w14:paraId="749510F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政府采购支持监狱企业发展</w:t>
            </w:r>
          </w:p>
        </w:tc>
        <w:tc>
          <w:tcPr>
            <w:tcW w:w="5529" w:type="dxa"/>
            <w:vAlign w:val="center"/>
          </w:tcPr>
          <w:p w14:paraId="0DF543B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宋体"/>
                <w:color w:val="auto"/>
                <w:szCs w:val="21"/>
                <w:highlight w:val="none"/>
              </w:rPr>
              <w:t>提供材料详见招标文件第六章“资格文件”</w:t>
            </w:r>
          </w:p>
        </w:tc>
      </w:tr>
      <w:tr w14:paraId="65DD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708" w:type="dxa"/>
            <w:vAlign w:val="center"/>
          </w:tcPr>
          <w:p w14:paraId="7F8D2FD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7</w:t>
            </w:r>
          </w:p>
        </w:tc>
        <w:tc>
          <w:tcPr>
            <w:tcW w:w="3256" w:type="dxa"/>
            <w:vAlign w:val="center"/>
          </w:tcPr>
          <w:p w14:paraId="337CDBDA">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政府采购促进残疾人就业</w:t>
            </w:r>
          </w:p>
        </w:tc>
        <w:tc>
          <w:tcPr>
            <w:tcW w:w="5529" w:type="dxa"/>
            <w:vAlign w:val="center"/>
          </w:tcPr>
          <w:p w14:paraId="153CE66F">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提供材料详见招标文件第六章“资格文件”</w:t>
            </w:r>
          </w:p>
        </w:tc>
      </w:tr>
      <w:bookmarkEnd w:id="34"/>
    </w:tbl>
    <w:p w14:paraId="76B3C0EC">
      <w:pPr>
        <w:adjustRightInd w:val="0"/>
        <w:snapToGrid w:val="0"/>
        <w:spacing w:line="288" w:lineRule="auto"/>
        <w:rPr>
          <w:rFonts w:hint="eastAsia" w:ascii="宋体" w:hAnsi="宋体" w:eastAsia="宋体" w:cs="Times New Roman"/>
          <w:b/>
          <w:color w:val="auto"/>
          <w:spacing w:val="-4"/>
          <w:szCs w:val="21"/>
          <w:highlight w:val="none"/>
        </w:rPr>
      </w:pPr>
    </w:p>
    <w:p w14:paraId="47046090">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二、采购资金的支付方式、时间、条件</w:t>
      </w:r>
    </w:p>
    <w:tbl>
      <w:tblPr>
        <w:tblStyle w:val="24"/>
        <w:tblW w:w="962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69"/>
        <w:gridCol w:w="7759"/>
      </w:tblGrid>
      <w:tr w14:paraId="465328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869" w:type="dxa"/>
            <w:tcBorders>
              <w:top w:val="single" w:color="auto" w:sz="4" w:space="0"/>
              <w:left w:val="single" w:color="auto" w:sz="4" w:space="0"/>
              <w:bottom w:val="single" w:color="auto" w:sz="4" w:space="0"/>
              <w:right w:val="single" w:color="auto" w:sz="4" w:space="0"/>
            </w:tcBorders>
            <w:vAlign w:val="center"/>
          </w:tcPr>
          <w:p w14:paraId="25283F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lang w:bidi="ar"/>
              </w:rPr>
              <w:t>▲履约保证金</w:t>
            </w:r>
          </w:p>
        </w:tc>
        <w:tc>
          <w:tcPr>
            <w:tcW w:w="7759" w:type="dxa"/>
            <w:tcBorders>
              <w:top w:val="single" w:color="auto" w:sz="4" w:space="0"/>
              <w:left w:val="single" w:color="auto" w:sz="4" w:space="0"/>
              <w:bottom w:val="single" w:color="auto" w:sz="4" w:space="0"/>
              <w:right w:val="single" w:color="auto" w:sz="4" w:space="0"/>
            </w:tcBorders>
            <w:vAlign w:val="center"/>
          </w:tcPr>
          <w:p w14:paraId="54885A2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1.合同签订后5个工作日内，中标人向采购人提交合同总价1%的履约保证金，履约保证金在合同履约期间无违约情形的，项目验收结束后，于7个工作日内退还（不计息）；</w:t>
            </w:r>
          </w:p>
          <w:p w14:paraId="35A347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2.提交方式：支票、汇票、本票或金融机构、担保机构出具的保函等非现金形式。</w:t>
            </w:r>
          </w:p>
          <w:p w14:paraId="75BA932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注：履约保证金如采用银行转账方式提交，具体转账信息如下：</w:t>
            </w:r>
          </w:p>
          <w:p w14:paraId="497F3B5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收款单位（户名）：杭州电子科技大学</w:t>
            </w:r>
          </w:p>
          <w:p w14:paraId="253779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开户银行：工行高新支行</w:t>
            </w:r>
          </w:p>
          <w:p w14:paraId="1CA3562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银行账号：1202026209008806216</w:t>
            </w:r>
          </w:p>
        </w:tc>
      </w:tr>
      <w:tr w14:paraId="0A1DC5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8" w:hRule="atLeast"/>
        </w:trPr>
        <w:tc>
          <w:tcPr>
            <w:tcW w:w="1869" w:type="dxa"/>
            <w:tcBorders>
              <w:top w:val="single" w:color="auto" w:sz="4" w:space="0"/>
              <w:left w:val="single" w:color="auto" w:sz="4" w:space="0"/>
              <w:bottom w:val="single" w:color="auto" w:sz="4" w:space="0"/>
              <w:right w:val="single" w:color="auto" w:sz="4" w:space="0"/>
            </w:tcBorders>
            <w:vAlign w:val="center"/>
          </w:tcPr>
          <w:p w14:paraId="2A18854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bookmarkStart w:id="35" w:name="_Hlk45005608"/>
            <w:r>
              <w:rPr>
                <w:rFonts w:hint="eastAsia" w:ascii="宋体" w:hAnsi="宋体" w:eastAsia="宋体" w:cs="Times New Roman"/>
                <w:b/>
                <w:color w:val="auto"/>
                <w:spacing w:val="-6"/>
                <w:szCs w:val="21"/>
                <w:highlight w:val="none"/>
              </w:rPr>
              <w:t>▲付款方式</w:t>
            </w:r>
          </w:p>
        </w:tc>
        <w:tc>
          <w:tcPr>
            <w:tcW w:w="7759" w:type="dxa"/>
            <w:tcBorders>
              <w:top w:val="single" w:color="auto" w:sz="4" w:space="0"/>
              <w:left w:val="single" w:color="auto" w:sz="4" w:space="0"/>
              <w:bottom w:val="single" w:color="auto" w:sz="4" w:space="0"/>
              <w:right w:val="single" w:color="auto" w:sz="4" w:space="0"/>
            </w:tcBorders>
            <w:vAlign w:val="center"/>
          </w:tcPr>
          <w:p w14:paraId="06AB0956">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1.供应商为中小企业的，合同生效以及具备实施条件后7个工作日内，且中标人已向采购人提交银行、保险公司等金融机构出具的预付款保函的，采购人向中标人支付合同总价的40%；货物在中标人安装调试完毕并经采购人验收合格后，采购人在收到发票后7个工作日内，向中标人支付合同总价的60%。</w:t>
            </w:r>
          </w:p>
          <w:p w14:paraId="0389EB71">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2.中标人为大型企业的，合同生效以及具备实施条件后7个工作日内，且中标人已向采购人提交银行、保险公司等金融机构出具的预付款保函的，采购人向中标人支付合同总价的30%；货物在中标人安装调试完毕并经采购人验收合格后，采购人在收到发票后7个工作日内，向中标人支付合同总价的70%。</w:t>
            </w:r>
          </w:p>
          <w:p w14:paraId="3C0E3889">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3.在签订合同时，中标人明确表示无需预付款或者主动要求降低预付款比例的，可降低预付款比例（预付款保函同步调整）。</w:t>
            </w:r>
          </w:p>
          <w:p w14:paraId="3120B2AB">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4.签订合同时中标人明确表示无需预付款的，可以采用以下付款方式：</w:t>
            </w:r>
          </w:p>
          <w:p w14:paraId="009F8E10">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①货到分期付款：货物送达并经采购人初步验收并收到发票后10个工作日内，采购人向中标人支付合同总价的70%；货物由中标人安装调试完毕并经采购人验收合格后，收到发票后10个工作日内，采购人向中标人支付合同总价的30%。</w:t>
            </w:r>
          </w:p>
          <w:p w14:paraId="2E30FF21">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②货到一次性支付：全部货物送达安装调试完毕，经采购人验收合格，收到发票后10个工作日内，采购人向中标人支付全部合同价款。</w:t>
            </w:r>
          </w:p>
          <w:p w14:paraId="30AB151E">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注：付款前，中标人须交纳合同约定的履约保证金（如有）并提供采购人财务处开具的履约保证金收据，中标人向采购人开具等额有效的合格增值税专用发票。采购人开票信息如下：</w:t>
            </w:r>
          </w:p>
          <w:p w14:paraId="77F59AD2">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单位名称：杭州电子科技大学。税号：12330000470009026T</w:t>
            </w:r>
          </w:p>
          <w:p w14:paraId="7A50C3C2">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开户银行：工行杭州高新支行。账号：1202026209008806216</w:t>
            </w:r>
          </w:p>
        </w:tc>
      </w:tr>
      <w:bookmarkEnd w:id="35"/>
    </w:tbl>
    <w:p w14:paraId="5321BF74">
      <w:pPr>
        <w:adjustRightInd w:val="0"/>
        <w:snapToGrid w:val="0"/>
        <w:spacing w:line="288" w:lineRule="auto"/>
        <w:rPr>
          <w:rFonts w:hint="eastAsia" w:ascii="宋体" w:hAnsi="宋体" w:eastAsia="宋体" w:cs="Times New Roman"/>
          <w:color w:val="auto"/>
          <w:spacing w:val="-4"/>
          <w:szCs w:val="21"/>
          <w:highlight w:val="none"/>
        </w:rPr>
      </w:pPr>
    </w:p>
    <w:p w14:paraId="1EC90AF6">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三、服务要求（技术要求里另有注明的以技术要求为准）</w:t>
      </w:r>
    </w:p>
    <w:tbl>
      <w:tblPr>
        <w:tblStyle w:val="24"/>
        <w:tblW w:w="9498" w:type="dxa"/>
        <w:tblInd w:w="-5"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43"/>
        <w:gridCol w:w="7655"/>
      </w:tblGrid>
      <w:tr w14:paraId="5C5B82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50AA147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交付时间</w:t>
            </w:r>
          </w:p>
        </w:tc>
        <w:tc>
          <w:tcPr>
            <w:tcW w:w="7655" w:type="dxa"/>
            <w:tcBorders>
              <w:top w:val="single" w:color="auto" w:sz="4" w:space="0"/>
              <w:left w:val="single" w:color="auto" w:sz="4" w:space="0"/>
              <w:bottom w:val="single" w:color="auto" w:sz="4" w:space="0"/>
              <w:right w:val="single" w:color="auto" w:sz="4" w:space="0"/>
            </w:tcBorders>
            <w:vAlign w:val="center"/>
          </w:tcPr>
          <w:p w14:paraId="4EF4978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自合同签订之日起45日内交付。</w:t>
            </w:r>
          </w:p>
        </w:tc>
      </w:tr>
      <w:tr w14:paraId="3C6C61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71CBFA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交付地点</w:t>
            </w:r>
          </w:p>
        </w:tc>
        <w:tc>
          <w:tcPr>
            <w:tcW w:w="7655" w:type="dxa"/>
            <w:tcBorders>
              <w:top w:val="single" w:color="auto" w:sz="4" w:space="0"/>
              <w:left w:val="single" w:color="auto" w:sz="4" w:space="0"/>
              <w:bottom w:val="single" w:color="auto" w:sz="4" w:space="0"/>
              <w:right w:val="single" w:color="auto" w:sz="4" w:space="0"/>
            </w:tcBorders>
            <w:vAlign w:val="center"/>
          </w:tcPr>
          <w:p w14:paraId="7D8414C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采购人指定地点</w:t>
            </w:r>
          </w:p>
        </w:tc>
      </w:tr>
      <w:tr w14:paraId="315746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0075D7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w:t>
            </w:r>
            <w:r>
              <w:rPr>
                <w:rFonts w:hint="eastAsia" w:ascii="宋体" w:hAnsi="宋体" w:eastAsia="宋体" w:cs="宋体"/>
                <w:b/>
                <w:bCs/>
                <w:color w:val="auto"/>
                <w:szCs w:val="21"/>
                <w:highlight w:val="none"/>
              </w:rPr>
              <w:t>质保期</w:t>
            </w:r>
          </w:p>
        </w:tc>
        <w:tc>
          <w:tcPr>
            <w:tcW w:w="7655" w:type="dxa"/>
            <w:tcBorders>
              <w:top w:val="single" w:color="auto" w:sz="4" w:space="0"/>
              <w:left w:val="single" w:color="auto" w:sz="4" w:space="0"/>
              <w:bottom w:val="single" w:color="auto" w:sz="4" w:space="0"/>
              <w:right w:val="single" w:color="auto" w:sz="4" w:space="0"/>
            </w:tcBorders>
            <w:vAlign w:val="center"/>
          </w:tcPr>
          <w:p w14:paraId="5E33477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灯具、插座2年，其余产品</w:t>
            </w:r>
            <w:r>
              <w:rPr>
                <w:rFonts w:hint="eastAsia" w:ascii="宋体" w:hAnsi="宋体" w:eastAsia="宋体" w:cs="宋体"/>
                <w:color w:val="auto"/>
                <w:szCs w:val="21"/>
                <w:highlight w:val="none"/>
              </w:rPr>
              <w:t>10年，项目验收合格后开始计算。</w:t>
            </w:r>
          </w:p>
        </w:tc>
      </w:tr>
      <w:tr w14:paraId="14998D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529994B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服务标准、期限、效率</w:t>
            </w:r>
          </w:p>
        </w:tc>
        <w:tc>
          <w:tcPr>
            <w:tcW w:w="7655" w:type="dxa"/>
            <w:tcBorders>
              <w:top w:val="single" w:color="auto" w:sz="4" w:space="0"/>
              <w:left w:val="single" w:color="auto" w:sz="4" w:space="0"/>
              <w:bottom w:val="single" w:color="auto" w:sz="4" w:space="0"/>
              <w:right w:val="single" w:color="auto" w:sz="4" w:space="0"/>
            </w:tcBorders>
            <w:vAlign w:val="center"/>
          </w:tcPr>
          <w:p w14:paraId="00A38E4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1</w:t>
            </w:r>
            <w:r>
              <w:rPr>
                <w:rFonts w:hint="eastAsia" w:ascii="宋体" w:hAnsi="宋体" w:eastAsia="宋体" w:cs="宋体"/>
                <w:color w:val="auto"/>
                <w:szCs w:val="21"/>
                <w:highlight w:val="none"/>
              </w:rPr>
              <w:t>.在质保期内，供应商应对货物出现的质量及安全问题负责处理解决并承担一切费用。</w:t>
            </w:r>
          </w:p>
          <w:p w14:paraId="70A0F26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2.</w:t>
            </w:r>
            <w:r>
              <w:rPr>
                <w:rFonts w:hint="eastAsia" w:ascii="宋体" w:hAnsi="宋体" w:eastAsia="宋体" w:cs="宋体"/>
                <w:color w:val="auto"/>
                <w:szCs w:val="21"/>
                <w:highlight w:val="none"/>
              </w:rPr>
              <w:t>质保期内出现无法排除的故障，供应商需无条件更换同型号产品。</w:t>
            </w:r>
          </w:p>
          <w:p w14:paraId="2911E55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质保期满后，供应商继续为采购人服务，仅收取零配件成本费。</w:t>
            </w:r>
          </w:p>
          <w:p w14:paraId="5FB3323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4.</w:t>
            </w:r>
            <w:r>
              <w:rPr>
                <w:rFonts w:hint="eastAsia" w:ascii="宋体" w:hAnsi="宋体" w:eastAsia="宋体" w:cs="宋体"/>
                <w:color w:val="auto"/>
                <w:szCs w:val="21"/>
                <w:highlight w:val="none"/>
              </w:rPr>
              <w:t>因人为因素出现的故障不在免费保修范围内。</w:t>
            </w:r>
          </w:p>
          <w:p w14:paraId="69B5257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lang w:bidi="ar"/>
              </w:rPr>
              <w:t>5.</w:t>
            </w:r>
            <w:r>
              <w:rPr>
                <w:rFonts w:hint="eastAsia" w:ascii="宋体" w:hAnsi="宋体" w:eastAsia="宋体" w:cs="宋体"/>
                <w:color w:val="auto"/>
                <w:szCs w:val="21"/>
                <w:highlight w:val="none"/>
                <w:u w:val="single"/>
                <w:lang w:bidi="ar"/>
              </w:rPr>
              <w:t>如在使用过程中发生质量问题，供应商维修响应时间：1小时以内；</w:t>
            </w:r>
          </w:p>
          <w:p w14:paraId="02E376A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lang w:bidi="ar"/>
              </w:rPr>
              <w:t>电话技术支持时间：2小时以内；</w:t>
            </w:r>
          </w:p>
          <w:p w14:paraId="32FF0DB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lang w:bidi="ar"/>
              </w:rPr>
              <w:t>对于通过电话、邮件等远程技术支持不能解决的问题，供应商应在12小时内派遣相关人员赶赴现场，48小时内维修完毕；发生紧急抢修事故的，供应商应在接到采购人通知后2小时内到达现场抢修，并于到达现场6小时之内排除故障。供应商未在约定时间内修复的或同一货物经2次维修后仍不能稳定、可靠使用的，采购人有权要求供应商免费更换</w:t>
            </w:r>
            <w:r>
              <w:rPr>
                <w:rFonts w:hint="eastAsia" w:ascii="宋体" w:hAnsi="宋体" w:eastAsia="宋体" w:cs="宋体"/>
                <w:color w:val="auto"/>
                <w:szCs w:val="21"/>
                <w:highlight w:val="none"/>
                <w:u w:val="single"/>
              </w:rPr>
              <w:t>；</w:t>
            </w:r>
          </w:p>
          <w:p w14:paraId="1A22C35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6.供应商应提供详细的售后服务方案、售后服务承诺、售后服务保障措施。</w:t>
            </w:r>
          </w:p>
        </w:tc>
      </w:tr>
      <w:tr w14:paraId="261284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0EBF3D5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其他技术、服务要求</w:t>
            </w:r>
          </w:p>
        </w:tc>
        <w:tc>
          <w:tcPr>
            <w:tcW w:w="7655" w:type="dxa"/>
            <w:tcBorders>
              <w:top w:val="single" w:color="auto" w:sz="4" w:space="0"/>
              <w:left w:val="single" w:color="auto" w:sz="4" w:space="0"/>
              <w:bottom w:val="single" w:color="auto" w:sz="4" w:space="0"/>
              <w:right w:val="single" w:color="auto" w:sz="4" w:space="0"/>
            </w:tcBorders>
            <w:vAlign w:val="center"/>
          </w:tcPr>
          <w:p w14:paraId="1161096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▲1</w:t>
            </w:r>
            <w:r>
              <w:rPr>
                <w:rFonts w:hint="default" w:ascii="宋体" w:hAnsi="宋体" w:eastAsia="宋体" w:cs="宋体"/>
                <w:color w:val="auto"/>
                <w:szCs w:val="21"/>
                <w:highlight w:val="none"/>
              </w:rPr>
              <w:t>.</w:t>
            </w:r>
            <w:r>
              <w:rPr>
                <w:rFonts w:hint="eastAsia" w:ascii="宋体" w:hAnsi="宋体" w:eastAsia="宋体" w:cs="宋体"/>
                <w:color w:val="auto"/>
                <w:szCs w:val="21"/>
                <w:highlight w:val="none"/>
              </w:rPr>
              <w:t>供应商应按招标文件规定向采购人提供全新的原装合格产品，产品应符合国家法律法规规定。</w:t>
            </w:r>
            <w:r>
              <w:rPr>
                <w:rFonts w:hint="eastAsia" w:ascii="宋体" w:hAnsi="宋体" w:eastAsia="宋体" w:cs="Times New Roman"/>
                <w:color w:val="auto"/>
                <w:spacing w:val="-6"/>
                <w:szCs w:val="21"/>
                <w:highlight w:val="none"/>
              </w:rPr>
              <w:t>供应商应保证所提供的货物或其中任何一部分均不会侵犯第三方的知识产权。</w:t>
            </w:r>
          </w:p>
          <w:p w14:paraId="68BDE84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2.供应商应提供有关的全套技术文件。</w:t>
            </w:r>
          </w:p>
          <w:p w14:paraId="4DA5F53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.安装调试：</w:t>
            </w:r>
          </w:p>
          <w:p w14:paraId="07F9DA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.1安装地点：采购人指定地点；</w:t>
            </w:r>
          </w:p>
          <w:p w14:paraId="4C9E9A9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.2安装完成时间：接到采购人通知后在规定时间内完成安装和调试，如在规定的时间内由于供应商的原因不能完成安装和调试，供应商应承担由此给采购人造成的损失；</w:t>
            </w:r>
          </w:p>
          <w:p w14:paraId="395A3C8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.3如供应商委托国内代理（或其他机构）负责安装或配合安装应在签约时指明，但供应商仍要对合同货物及其安装质量负全部责任；</w:t>
            </w:r>
          </w:p>
          <w:p w14:paraId="7153D76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.4安装标准：符合我国国家有关技术规范要求和技术标准；</w:t>
            </w:r>
          </w:p>
          <w:p w14:paraId="2505828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.5供应商免费提供合同货物的安装服务；</w:t>
            </w:r>
          </w:p>
          <w:p w14:paraId="4CD7A2B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.6供应商在投标文件中应提供安装调试计划和安装调试方案。</w:t>
            </w:r>
          </w:p>
          <w:p w14:paraId="5D01ECF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4.供应商应提供质保期满后主要零部件报价单、质保期满后维护费及其相关服务内容；提供产品相关配件、附件、备品备件及耗材的准备和保障措施、消耗水平和成本方案。</w:t>
            </w:r>
          </w:p>
        </w:tc>
      </w:tr>
      <w:tr w14:paraId="15E9E6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77D0E6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验收标准</w:t>
            </w:r>
          </w:p>
        </w:tc>
        <w:tc>
          <w:tcPr>
            <w:tcW w:w="7655" w:type="dxa"/>
            <w:tcBorders>
              <w:top w:val="single" w:color="auto" w:sz="4" w:space="0"/>
              <w:left w:val="single" w:color="auto" w:sz="4" w:space="0"/>
              <w:bottom w:val="single" w:color="auto" w:sz="4" w:space="0"/>
              <w:right w:val="single" w:color="auto" w:sz="4" w:space="0"/>
            </w:tcBorders>
            <w:vAlign w:val="center"/>
          </w:tcPr>
          <w:p w14:paraId="25EE394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1.验收由采购人负责实施；</w:t>
            </w:r>
          </w:p>
          <w:p w14:paraId="101FDB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2.验收依据：</w:t>
            </w:r>
          </w:p>
          <w:p w14:paraId="1FE17CB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2.1合同、招标文件、投标文件；</w:t>
            </w:r>
          </w:p>
          <w:p w14:paraId="7ADED1A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2.2供应商提供的技术规格、经采购人认可的合同货物的有效检验文件；</w:t>
            </w:r>
          </w:p>
          <w:p w14:paraId="30A03B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2.3供应商投标文件中提供的经采购人认可的合同货物的验收标准（符合中国有关的国家、地方、行业标准）和检测办法及相应检测手段。</w:t>
            </w:r>
          </w:p>
          <w:p w14:paraId="3412CE3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3.供应商应派员在所供货物到采购人处时进行到货验收，有需要时能联系产品制造商到场共同验收，若发现任何损坏及质量问题，供应商负责妥善处理直至采购人满意，由此产生的费用由供应商承担。</w:t>
            </w:r>
          </w:p>
          <w:p w14:paraId="73DE404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4.验收合格的条件：</w:t>
            </w:r>
          </w:p>
          <w:p w14:paraId="24C6D5F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4.1所供货物符合产品标准和合同的要求；</w:t>
            </w:r>
          </w:p>
          <w:p w14:paraId="1D8DC3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4.2在进行测试和验收过程中发现的问题已被解决并得到采购人的认可；</w:t>
            </w:r>
          </w:p>
          <w:p w14:paraId="22CAAA0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4.3合同中规定的所有货物和材料均已交付；</w:t>
            </w:r>
          </w:p>
          <w:p w14:paraId="1A88E72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4.4</w:t>
            </w:r>
            <w:r>
              <w:rPr>
                <w:rFonts w:hint="default" w:ascii="宋体" w:hAnsi="宋体" w:eastAsia="宋体" w:cs="宋体"/>
                <w:color w:val="auto"/>
                <w:szCs w:val="21"/>
                <w:highlight w:val="none"/>
              </w:rPr>
              <w:t>第三方检测机构提供的本批货物的抽样检测报告，和安装完成后的室内空气检测报告。</w:t>
            </w:r>
          </w:p>
          <w:p w14:paraId="44A7645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4.5所有相关的技术文件及资料均已提交并得到接受。</w:t>
            </w:r>
          </w:p>
        </w:tc>
      </w:tr>
    </w:tbl>
    <w:p w14:paraId="4FD82428">
      <w:pPr>
        <w:adjustRightInd w:val="0"/>
        <w:snapToGrid w:val="0"/>
        <w:spacing w:line="288" w:lineRule="auto"/>
        <w:rPr>
          <w:rFonts w:hint="eastAsia" w:ascii="宋体" w:hAnsi="宋体" w:eastAsia="宋体" w:cs="Times New Roman"/>
          <w:b/>
          <w:color w:val="auto"/>
          <w:szCs w:val="21"/>
          <w:highlight w:val="none"/>
        </w:rPr>
      </w:pPr>
    </w:p>
    <w:p w14:paraId="155758D7">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四、技术要求</w:t>
      </w:r>
    </w:p>
    <w:p w14:paraId="549893B5">
      <w:pPr>
        <w:adjustRightInd w:val="0"/>
        <w:snapToGrid w:val="0"/>
        <w:spacing w:line="288" w:lineRule="auto"/>
        <w:rPr>
          <w:rFonts w:hint="eastAsia" w:ascii="宋体" w:hAnsi="宋体" w:eastAsia="宋体" w:cs="宋体"/>
          <w:b/>
          <w:bCs/>
          <w:color w:val="auto"/>
          <w:szCs w:val="21"/>
          <w:highlight w:val="none"/>
        </w:rPr>
      </w:pPr>
      <w:bookmarkStart w:id="36" w:name="_Hlk92271413"/>
      <w:r>
        <w:rPr>
          <w:rFonts w:hint="eastAsia" w:ascii="宋体" w:hAnsi="宋体" w:eastAsia="宋体" w:cs="宋体"/>
          <w:b/>
          <w:bCs/>
          <w:color w:val="auto"/>
          <w:szCs w:val="21"/>
          <w:highlight w:val="none"/>
        </w:rPr>
        <w:t>1</w:t>
      </w:r>
      <w:r>
        <w:rPr>
          <w:rFonts w:ascii="宋体" w:hAnsi="宋体" w:eastAsia="宋体" w:cs="宋体"/>
          <w:b/>
          <w:bCs/>
          <w:color w:val="auto"/>
          <w:szCs w:val="21"/>
          <w:highlight w:val="none"/>
        </w:rPr>
        <w:t>.</w:t>
      </w:r>
      <w:r>
        <w:rPr>
          <w:rFonts w:hint="eastAsia" w:ascii="宋体" w:hAnsi="宋体" w:eastAsia="宋体" w:cs="宋体"/>
          <w:b/>
          <w:bCs/>
          <w:color w:val="auto"/>
          <w:szCs w:val="21"/>
          <w:highlight w:val="none"/>
        </w:rPr>
        <w:t>需执行的国家相关标准、行业标准、地方标准或者其他标准、规范：</w:t>
      </w:r>
      <w:bookmarkStart w:id="37" w:name="_Hlk94018176"/>
      <w:r>
        <w:rPr>
          <w:rFonts w:hint="eastAsia" w:ascii="宋体" w:hAnsi="宋体" w:eastAsia="宋体" w:cs="宋体"/>
          <w:color w:val="auto"/>
          <w:szCs w:val="21"/>
          <w:highlight w:val="none"/>
        </w:rPr>
        <w:t>如技术要求中未注明需执行的国家相关标准、行业标准、地方标准或者其他标准、规范的，执行最新标准、规范。</w:t>
      </w:r>
      <w:bookmarkEnd w:id="37"/>
    </w:p>
    <w:bookmarkEnd w:id="36"/>
    <w:p w14:paraId="07B60EBC">
      <w:pPr>
        <w:adjustRightInd w:val="0"/>
        <w:snapToGrid w:val="0"/>
        <w:spacing w:line="288" w:lineRule="auto"/>
        <w:rPr>
          <w:rFonts w:hint="eastAsia" w:ascii="宋体" w:hAnsi="宋体" w:eastAsia="宋体" w:cs="宋体"/>
          <w:b/>
          <w:bCs/>
          <w:color w:val="auto"/>
          <w:szCs w:val="21"/>
          <w:highlight w:val="none"/>
        </w:rPr>
      </w:pPr>
      <w:r>
        <w:rPr>
          <w:rFonts w:ascii="宋体" w:hAnsi="宋体" w:eastAsia="宋体" w:cs="宋体"/>
          <w:b/>
          <w:bCs/>
          <w:color w:val="auto"/>
          <w:szCs w:val="21"/>
          <w:highlight w:val="none"/>
        </w:rPr>
        <w:t>2</w:t>
      </w:r>
      <w:r>
        <w:rPr>
          <w:rFonts w:hint="eastAsia" w:ascii="宋体" w:hAnsi="宋体" w:eastAsia="宋体" w:cs="宋体"/>
          <w:b/>
          <w:bCs/>
          <w:color w:val="auto"/>
          <w:szCs w:val="21"/>
          <w:highlight w:val="none"/>
        </w:rPr>
        <w:t>.需实现的功能或者目标：满足图书馆公共学习空间家具的使用需求。</w:t>
      </w:r>
    </w:p>
    <w:p w14:paraId="16E33510">
      <w:pPr>
        <w:adjustRightInd w:val="0"/>
        <w:snapToGrid w:val="0"/>
        <w:spacing w:line="288" w:lineRule="auto"/>
        <w:rPr>
          <w:rFonts w:hint="eastAsia" w:ascii="宋体" w:hAnsi="宋体" w:eastAsia="宋体" w:cs="Times New Roman"/>
          <w:b/>
          <w:bCs/>
          <w:color w:val="auto"/>
          <w:spacing w:val="-4"/>
          <w:szCs w:val="21"/>
          <w:highlight w:val="none"/>
        </w:rPr>
      </w:pPr>
      <w:r>
        <w:rPr>
          <w:rFonts w:ascii="宋体" w:hAnsi="宋体" w:eastAsia="宋体" w:cs="Times New Roman"/>
          <w:b/>
          <w:bCs/>
          <w:color w:val="auto"/>
          <w:spacing w:val="-4"/>
          <w:szCs w:val="21"/>
          <w:highlight w:val="none"/>
        </w:rPr>
        <w:t>3.</w:t>
      </w:r>
      <w:r>
        <w:rPr>
          <w:rFonts w:hint="eastAsia" w:ascii="宋体" w:hAnsi="宋体" w:eastAsia="宋体" w:cs="Times New Roman"/>
          <w:b/>
          <w:bCs/>
          <w:color w:val="auto"/>
          <w:spacing w:val="-4"/>
          <w:szCs w:val="21"/>
          <w:highlight w:val="none"/>
        </w:rPr>
        <w:t>需满足的质量、安全、技术规格、物理特性等要求：</w:t>
      </w:r>
    </w:p>
    <w:p w14:paraId="052E21C8">
      <w:pPr>
        <w:adjustRightInd w:val="0"/>
        <w:snapToGrid w:val="0"/>
        <w:spacing w:line="288" w:lineRule="auto"/>
        <w:rPr>
          <w:rFonts w:hint="eastAsia" w:ascii="宋体" w:hAnsi="宋体" w:eastAsia="宋体" w:cs="Times New Roman"/>
          <w:b/>
          <w:bCs/>
          <w:color w:val="auto"/>
          <w:spacing w:val="-4"/>
          <w:szCs w:val="21"/>
          <w:highlight w:val="none"/>
        </w:rPr>
      </w:pPr>
      <w:r>
        <w:rPr>
          <w:rFonts w:hint="eastAsia" w:ascii="宋体" w:hAnsi="宋体" w:eastAsia="宋体" w:cs="Times New Roman"/>
          <w:b/>
          <w:bCs/>
          <w:color w:val="auto"/>
          <w:spacing w:val="-4"/>
          <w:szCs w:val="21"/>
          <w:highlight w:val="none"/>
        </w:rPr>
        <w:t>标项一：</w:t>
      </w:r>
    </w:p>
    <w:tbl>
      <w:tblPr>
        <w:tblStyle w:val="24"/>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10"/>
        <w:gridCol w:w="661"/>
        <w:gridCol w:w="661"/>
        <w:gridCol w:w="6269"/>
      </w:tblGrid>
      <w:tr w14:paraId="3702A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526269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10" w:type="dxa"/>
            <w:vAlign w:val="center"/>
          </w:tcPr>
          <w:p w14:paraId="3B9DB4B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61" w:type="dxa"/>
            <w:vAlign w:val="center"/>
          </w:tcPr>
          <w:p w14:paraId="601BB26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1" w:type="dxa"/>
            <w:vAlign w:val="center"/>
          </w:tcPr>
          <w:p w14:paraId="302F457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6269" w:type="dxa"/>
            <w:vAlign w:val="center"/>
          </w:tcPr>
          <w:p w14:paraId="7F7ED66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（功能或者目标）、质量、安全、技术规格、物理特性等要求</w:t>
            </w:r>
          </w:p>
        </w:tc>
      </w:tr>
      <w:tr w14:paraId="0A84E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A3B415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1810" w:type="dxa"/>
            <w:vAlign w:val="center"/>
          </w:tcPr>
          <w:p w14:paraId="2F9DD2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kern w:val="0"/>
                <w:szCs w:val="21"/>
                <w:highlight w:val="none"/>
                <w:lang w:eastAsia="zh-CN" w:bidi="ar"/>
              </w:rPr>
              <w:t>阅览桌</w:t>
            </w:r>
          </w:p>
        </w:tc>
        <w:tc>
          <w:tcPr>
            <w:tcW w:w="661" w:type="dxa"/>
            <w:vAlign w:val="center"/>
          </w:tcPr>
          <w:p w14:paraId="77DC8D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66</w:t>
            </w:r>
          </w:p>
        </w:tc>
        <w:tc>
          <w:tcPr>
            <w:tcW w:w="661" w:type="dxa"/>
            <w:vAlign w:val="center"/>
          </w:tcPr>
          <w:p w14:paraId="66A5AD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val="en-US" w:eastAsia="zh-CN"/>
              </w:rPr>
              <w:t>张</w:t>
            </w:r>
          </w:p>
        </w:tc>
        <w:tc>
          <w:tcPr>
            <w:tcW w:w="6269" w:type="dxa"/>
            <w:vAlign w:val="center"/>
          </w:tcPr>
          <w:p w14:paraId="57606F1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：1600*1000*750mm；</w:t>
            </w:r>
          </w:p>
          <w:p w14:paraId="6B3CC2E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2.桌子材质：优质实木多层板</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bidi="ar"/>
              </w:rPr>
              <w:t>白蜡木贴皮本色，白蜡木封边及实木脚，环保水性漆；</w:t>
            </w:r>
          </w:p>
          <w:p w14:paraId="4820E78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5DF111B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2人一灯，一桌两灯；</w:t>
            </w:r>
          </w:p>
          <w:p w14:paraId="48D8BD3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484C477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w:t>
            </w:r>
          </w:p>
          <w:p w14:paraId="7C151AB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w:t>
            </w:r>
            <w:r>
              <w:rPr>
                <w:rFonts w:hint="eastAsia" w:ascii="宋体" w:hAnsi="宋体" w:eastAsia="宋体" w:cs="宋体"/>
                <w:color w:val="auto"/>
                <w:kern w:val="0"/>
                <w:szCs w:val="21"/>
                <w:highlight w:val="none"/>
                <w:lang w:val="en-US" w:eastAsia="zh-CN" w:bidi="ar"/>
              </w:rPr>
              <w:t>6.5</w:t>
            </w:r>
            <w:r>
              <w:rPr>
                <w:rFonts w:hint="eastAsia" w:ascii="宋体" w:hAnsi="宋体" w:eastAsia="宋体" w:cs="宋体"/>
                <w:color w:val="auto"/>
                <w:kern w:val="0"/>
                <w:szCs w:val="21"/>
                <w:highlight w:val="none"/>
                <w:lang w:bidi="ar"/>
              </w:rPr>
              <w:t>W照明LED暖光灯泡*</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w:t>
            </w:r>
          </w:p>
          <w:p w14:paraId="0E33E9A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w:t>
            </w:r>
            <w:r>
              <w:rPr>
                <w:rFonts w:hint="eastAsia" w:ascii="宋体" w:hAnsi="宋体" w:eastAsia="宋体" w:cs="宋体"/>
                <w:color w:val="auto"/>
                <w:kern w:val="0"/>
                <w:szCs w:val="21"/>
                <w:highlight w:val="none"/>
                <w:lang w:val="en-US" w:eastAsia="zh-CN" w:bidi="ar"/>
              </w:rPr>
              <w:t>触摸</w:t>
            </w:r>
            <w:r>
              <w:rPr>
                <w:rFonts w:hint="eastAsia" w:ascii="宋体" w:hAnsi="宋体" w:eastAsia="宋体" w:cs="宋体"/>
                <w:color w:val="auto"/>
                <w:kern w:val="0"/>
                <w:szCs w:val="21"/>
                <w:highlight w:val="none"/>
                <w:lang w:bidi="ar"/>
              </w:rPr>
              <w:t>开关；</w:t>
            </w:r>
          </w:p>
          <w:p w14:paraId="0B823CB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6EF0D98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6143636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w:t>
            </w:r>
            <w:r>
              <w:rPr>
                <w:rFonts w:hint="eastAsia" w:ascii="宋体" w:hAnsi="宋体" w:eastAsia="宋体" w:cs="宋体"/>
                <w:color w:val="auto"/>
                <w:szCs w:val="21"/>
                <w:highlight w:val="none"/>
              </w:rPr>
              <w:t>内置嵌入2组集成插座，每组含两个五孔+USB：1A1C；</w:t>
            </w:r>
          </w:p>
          <w:p w14:paraId="24373A5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5.参考图片：</w:t>
            </w:r>
          </w:p>
          <w:p w14:paraId="3E12E3F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2115185" cy="159004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8"/>
                          <a:stretch>
                            <a:fillRect/>
                          </a:stretch>
                        </pic:blipFill>
                        <pic:spPr>
                          <a:xfrm>
                            <a:off x="0" y="0"/>
                            <a:ext cx="2151113" cy="1617637"/>
                          </a:xfrm>
                          <a:prstGeom prst="rect">
                            <a:avLst/>
                          </a:prstGeom>
                          <a:noFill/>
                          <a:ln w="9525">
                            <a:noFill/>
                          </a:ln>
                        </pic:spPr>
                      </pic:pic>
                    </a:graphicData>
                  </a:graphic>
                </wp:inline>
              </w:drawing>
            </w:r>
          </w:p>
        </w:tc>
      </w:tr>
      <w:tr w14:paraId="553DF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F006D6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1810" w:type="dxa"/>
            <w:vAlign w:val="center"/>
          </w:tcPr>
          <w:p w14:paraId="38CC1B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阅览椅</w:t>
            </w:r>
          </w:p>
        </w:tc>
        <w:tc>
          <w:tcPr>
            <w:tcW w:w="661" w:type="dxa"/>
            <w:vAlign w:val="center"/>
          </w:tcPr>
          <w:p w14:paraId="14E34F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332</w:t>
            </w:r>
          </w:p>
        </w:tc>
        <w:tc>
          <w:tcPr>
            <w:tcW w:w="661" w:type="dxa"/>
            <w:vAlign w:val="center"/>
          </w:tcPr>
          <w:p w14:paraId="3D057C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把</w:t>
            </w:r>
          </w:p>
        </w:tc>
        <w:tc>
          <w:tcPr>
            <w:tcW w:w="6269" w:type="dxa"/>
            <w:vAlign w:val="center"/>
          </w:tcPr>
          <w:p w14:paraId="780A843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：W650*D640*H830mm；</w:t>
            </w:r>
          </w:p>
          <w:p w14:paraId="2E3B45A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2.木材：白蜡木，无节材，含水率8~10%；</w:t>
            </w:r>
          </w:p>
          <w:p w14:paraId="71E09F1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3.榫卯结构，实木弯曲无拼接，采用环保硝基漆，三底两面打磨喷涂，软包面采用40密度高回弹海绵，高级西皮面料；</w:t>
            </w:r>
          </w:p>
          <w:p w14:paraId="16D0748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4.颜色可选，可与</w:t>
            </w:r>
            <w:r>
              <w:rPr>
                <w:rFonts w:hint="eastAsia" w:ascii="宋体" w:hAnsi="宋体" w:eastAsia="宋体" w:cs="宋体"/>
                <w:color w:val="auto"/>
                <w:szCs w:val="21"/>
                <w:highlight w:val="none"/>
                <w:lang w:eastAsia="zh-CN"/>
              </w:rPr>
              <w:t>阅览桌</w:t>
            </w:r>
            <w:r>
              <w:rPr>
                <w:rFonts w:hint="eastAsia" w:ascii="宋体" w:hAnsi="宋体" w:eastAsia="宋体" w:cs="宋体"/>
                <w:color w:val="auto"/>
                <w:szCs w:val="21"/>
                <w:highlight w:val="none"/>
              </w:rPr>
              <w:t>配套；</w:t>
            </w:r>
          </w:p>
          <w:p w14:paraId="60DC95D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0D93434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drawing>
                <wp:inline distT="0" distB="0" distL="114300" distR="114300">
                  <wp:extent cx="1134745" cy="1324610"/>
                  <wp:effectExtent l="0" t="0" r="8255" b="889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9"/>
                          <a:stretch>
                            <a:fillRect/>
                          </a:stretch>
                        </pic:blipFill>
                        <pic:spPr>
                          <a:xfrm>
                            <a:off x="0" y="0"/>
                            <a:ext cx="1134745" cy="1324610"/>
                          </a:xfrm>
                          <a:prstGeom prst="rect">
                            <a:avLst/>
                          </a:prstGeom>
                          <a:noFill/>
                          <a:ln w="9525">
                            <a:noFill/>
                          </a:ln>
                        </pic:spPr>
                      </pic:pic>
                    </a:graphicData>
                  </a:graphic>
                </wp:inline>
              </w:drawing>
            </w:r>
          </w:p>
        </w:tc>
      </w:tr>
      <w:tr w14:paraId="278D5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7029D8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1810" w:type="dxa"/>
            <w:vAlign w:val="center"/>
          </w:tcPr>
          <w:p w14:paraId="340E25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双面空格柜</w:t>
            </w:r>
          </w:p>
        </w:tc>
        <w:tc>
          <w:tcPr>
            <w:tcW w:w="661" w:type="dxa"/>
            <w:vAlign w:val="center"/>
          </w:tcPr>
          <w:p w14:paraId="784C71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30</w:t>
            </w:r>
          </w:p>
        </w:tc>
        <w:tc>
          <w:tcPr>
            <w:tcW w:w="661" w:type="dxa"/>
            <w:vAlign w:val="center"/>
          </w:tcPr>
          <w:p w14:paraId="35D5DB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个</w:t>
            </w:r>
          </w:p>
        </w:tc>
        <w:tc>
          <w:tcPr>
            <w:tcW w:w="6269" w:type="dxa"/>
            <w:vAlign w:val="center"/>
          </w:tcPr>
          <w:p w14:paraId="0BB6FC8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：1200*600*1200mm；</w:t>
            </w:r>
          </w:p>
          <w:p w14:paraId="64C9AC8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w:t>
            </w:r>
            <w:r>
              <w:rPr>
                <w:rFonts w:hint="eastAsia" w:ascii="宋体" w:hAnsi="宋体" w:eastAsia="宋体" w:cs="宋体"/>
                <w:color w:val="auto"/>
                <w:kern w:val="0"/>
                <w:szCs w:val="21"/>
                <w:highlight w:val="none"/>
                <w:lang w:val="en-US" w:eastAsia="zh-CN" w:bidi="ar"/>
              </w:rPr>
              <w:t>≥</w:t>
            </w:r>
            <w:r>
              <w:rPr>
                <w:rFonts w:hint="eastAsia" w:ascii="宋体" w:hAnsi="宋体" w:eastAsia="宋体" w:cs="宋体"/>
                <w:color w:val="auto"/>
                <w:kern w:val="0"/>
                <w:szCs w:val="21"/>
                <w:highlight w:val="none"/>
                <w:lang w:bidi="ar"/>
              </w:rPr>
              <w:t>18mm；</w:t>
            </w:r>
          </w:p>
          <w:p w14:paraId="73578E5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3.参考图片：</w:t>
            </w:r>
          </w:p>
          <w:p w14:paraId="23E133E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1166495" cy="1308100"/>
                  <wp:effectExtent l="0" t="0" r="5080" b="635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10"/>
                          <a:stretch>
                            <a:fillRect/>
                          </a:stretch>
                        </pic:blipFill>
                        <pic:spPr>
                          <a:xfrm>
                            <a:off x="0" y="0"/>
                            <a:ext cx="1166495" cy="1308100"/>
                          </a:xfrm>
                          <a:prstGeom prst="rect">
                            <a:avLst/>
                          </a:prstGeom>
                          <a:noFill/>
                          <a:ln w="9525">
                            <a:noFill/>
                          </a:ln>
                        </pic:spPr>
                      </pic:pic>
                    </a:graphicData>
                  </a:graphic>
                </wp:inline>
              </w:drawing>
            </w:r>
          </w:p>
        </w:tc>
      </w:tr>
      <w:tr w14:paraId="58287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558900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1810" w:type="dxa"/>
            <w:vAlign w:val="center"/>
          </w:tcPr>
          <w:p w14:paraId="61A085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0"/>
                <w:szCs w:val="21"/>
                <w:highlight w:val="none"/>
                <w:lang w:bidi="ar"/>
              </w:rPr>
            </w:pPr>
            <w:r>
              <w:rPr>
                <w:rFonts w:hint="eastAsia" w:ascii="宋体" w:hAnsi="宋体" w:eastAsia="宋体" w:cs="宋体"/>
                <w:b/>
                <w:bCs/>
                <w:color w:val="auto"/>
                <w:kern w:val="0"/>
                <w:szCs w:val="21"/>
                <w:highlight w:val="none"/>
                <w:lang w:bidi="ar"/>
              </w:rPr>
              <w:t>靠窗单边桌</w:t>
            </w:r>
          </w:p>
          <w:p w14:paraId="1E3BA6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（核心产品）</w:t>
            </w:r>
          </w:p>
        </w:tc>
        <w:tc>
          <w:tcPr>
            <w:tcW w:w="661" w:type="dxa"/>
            <w:vAlign w:val="center"/>
          </w:tcPr>
          <w:p w14:paraId="71B0D5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2</w:t>
            </w:r>
          </w:p>
        </w:tc>
        <w:tc>
          <w:tcPr>
            <w:tcW w:w="661" w:type="dxa"/>
            <w:vAlign w:val="center"/>
          </w:tcPr>
          <w:p w14:paraId="07D4C0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08066D3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：15530*600*750mm；桌面厚度≥40mm；</w:t>
            </w:r>
          </w:p>
          <w:p w14:paraId="2A7D6D6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2455844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727CF60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每组含台灯13盏</w:t>
            </w:r>
            <w:r>
              <w:rPr>
                <w:rFonts w:hint="eastAsia" w:ascii="宋体" w:hAnsi="宋体" w:eastAsia="宋体" w:cs="宋体"/>
                <w:b/>
                <w:bCs/>
                <w:color w:val="auto"/>
                <w:kern w:val="0"/>
                <w:szCs w:val="21"/>
                <w:highlight w:val="none"/>
                <w:lang w:bidi="ar"/>
              </w:rPr>
              <w:t>；</w:t>
            </w:r>
          </w:p>
          <w:p w14:paraId="0A4A950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24E3EFE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147E245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98935A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4B7D498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1321576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16A893D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val="en-US" w:eastAsia="zh-CN" w:bidi="ar"/>
              </w:rPr>
              <w:t>共13个位置</w:t>
            </w:r>
            <w:r>
              <w:rPr>
                <w:rFonts w:hint="eastAsia" w:ascii="宋体" w:hAnsi="宋体" w:eastAsia="宋体" w:cs="宋体"/>
                <w:color w:val="auto"/>
                <w:kern w:val="0"/>
                <w:szCs w:val="21"/>
                <w:highlight w:val="none"/>
                <w:lang w:eastAsia="zh-CN" w:bidi="ar"/>
              </w:rPr>
              <w:t>）；</w:t>
            </w:r>
          </w:p>
          <w:p w14:paraId="490EC7CB">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lang w:bidi="ar"/>
              </w:rPr>
            </w:pPr>
            <w:r>
              <w:rPr>
                <w:rFonts w:hint="eastAsia" w:ascii="宋体" w:hAnsi="宋体" w:eastAsia="宋体" w:cs="宋体"/>
                <w:b w:val="0"/>
                <w:bCs w:val="0"/>
                <w:color w:val="auto"/>
                <w:kern w:val="0"/>
                <w:szCs w:val="21"/>
                <w:highlight w:val="none"/>
                <w:lang w:bidi="ar"/>
              </w:rPr>
              <w:t>5.参考图片：</w:t>
            </w:r>
          </w:p>
          <w:p w14:paraId="121FE1B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drawing>
                <wp:inline distT="0" distB="0" distL="114300" distR="114300">
                  <wp:extent cx="1280795" cy="1245870"/>
                  <wp:effectExtent l="0" t="0" r="5080" b="190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11"/>
                          <a:stretch>
                            <a:fillRect/>
                          </a:stretch>
                        </pic:blipFill>
                        <pic:spPr>
                          <a:xfrm>
                            <a:off x="0" y="0"/>
                            <a:ext cx="1280795" cy="1245870"/>
                          </a:xfrm>
                          <a:prstGeom prst="rect">
                            <a:avLst/>
                          </a:prstGeom>
                          <a:noFill/>
                          <a:ln w="9525">
                            <a:noFill/>
                          </a:ln>
                        </pic:spPr>
                      </pic:pic>
                    </a:graphicData>
                  </a:graphic>
                </wp:inline>
              </w:drawing>
            </w:r>
            <w:r>
              <w:rPr>
                <w:rFonts w:hint="eastAsia" w:ascii="宋体" w:hAnsi="宋体" w:eastAsia="宋体" w:cs="宋体"/>
                <w:color w:val="auto"/>
                <w:szCs w:val="21"/>
                <w:highlight w:val="none"/>
              </w:rPr>
              <w:drawing>
                <wp:inline distT="0" distB="0" distL="114300" distR="114300">
                  <wp:extent cx="713740" cy="1282065"/>
                  <wp:effectExtent l="0" t="0" r="635" b="3810"/>
                  <wp:docPr id="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
                          <pic:cNvPicPr>
                            <a:picLocks noChangeAspect="1"/>
                          </pic:cNvPicPr>
                        </pic:nvPicPr>
                        <pic:blipFill>
                          <a:blip r:embed="rId12"/>
                          <a:stretch>
                            <a:fillRect/>
                          </a:stretch>
                        </pic:blipFill>
                        <pic:spPr>
                          <a:xfrm>
                            <a:off x="0" y="0"/>
                            <a:ext cx="713740" cy="1282065"/>
                          </a:xfrm>
                          <a:prstGeom prst="rect">
                            <a:avLst/>
                          </a:prstGeom>
                          <a:noFill/>
                          <a:ln w="9525">
                            <a:noFill/>
                          </a:ln>
                        </pic:spPr>
                      </pic:pic>
                    </a:graphicData>
                  </a:graphic>
                </wp:inline>
              </w:drawing>
            </w:r>
          </w:p>
        </w:tc>
      </w:tr>
      <w:tr w14:paraId="3132F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A3F0CC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1810" w:type="dxa"/>
            <w:vAlign w:val="center"/>
          </w:tcPr>
          <w:p w14:paraId="21E127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Style w:val="110"/>
                <w:rFonts w:hint="default"/>
                <w:b/>
                <w:bCs/>
                <w:color w:val="auto"/>
                <w:sz w:val="21"/>
                <w:szCs w:val="21"/>
                <w:highlight w:val="none"/>
                <w:lang w:bidi="ar"/>
              </w:rPr>
              <w:t>六人组合思考桌</w:t>
            </w:r>
          </w:p>
        </w:tc>
        <w:tc>
          <w:tcPr>
            <w:tcW w:w="661" w:type="dxa"/>
            <w:vAlign w:val="center"/>
          </w:tcPr>
          <w:p w14:paraId="04A017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7</w:t>
            </w:r>
          </w:p>
        </w:tc>
        <w:tc>
          <w:tcPr>
            <w:tcW w:w="661" w:type="dxa"/>
            <w:vAlign w:val="center"/>
          </w:tcPr>
          <w:p w14:paraId="370BD3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1D1DA33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：桌面1200*600*25mm；屏风厚度≥36mm，高度1200mm；</w:t>
            </w:r>
          </w:p>
          <w:p w14:paraId="4275B82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2.台面</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bidi="ar"/>
              </w:rPr>
              <w:t>屏风</w:t>
            </w:r>
            <w:r>
              <w:rPr>
                <w:rFonts w:hint="eastAsia" w:ascii="宋体" w:hAnsi="宋体" w:eastAsia="宋体" w:cs="宋体"/>
                <w:color w:val="auto"/>
                <w:kern w:val="0"/>
                <w:szCs w:val="21"/>
                <w:highlight w:val="none"/>
                <w:lang w:val="en-US" w:eastAsia="zh-CN" w:bidi="ar"/>
              </w:rPr>
              <w:t>材质</w:t>
            </w:r>
            <w:r>
              <w:rPr>
                <w:rFonts w:hint="eastAsia" w:ascii="宋体" w:hAnsi="宋体" w:eastAsia="宋体" w:cs="宋体"/>
                <w:color w:val="auto"/>
                <w:kern w:val="0"/>
                <w:szCs w:val="21"/>
                <w:highlight w:val="none"/>
                <w:lang w:bidi="ar"/>
              </w:rPr>
              <w:t>：多层板白蜡木皮贴面，环保水性漆；</w:t>
            </w:r>
          </w:p>
          <w:p w14:paraId="2D0B826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val="en-US" w:eastAsia="zh-CN" w:bidi="ar"/>
              </w:rPr>
              <w:t>3</w:t>
            </w:r>
            <w:r>
              <w:rPr>
                <w:rFonts w:hint="eastAsia" w:ascii="宋体" w:hAnsi="宋体" w:eastAsia="宋体" w:cs="宋体"/>
                <w:color w:val="auto"/>
                <w:kern w:val="0"/>
                <w:szCs w:val="21"/>
                <w:highlight w:val="none"/>
                <w:lang w:bidi="ar"/>
              </w:rPr>
              <w:t>.台灯：</w:t>
            </w:r>
          </w:p>
          <w:p w14:paraId="06CAD26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每组含台灯6盏；</w:t>
            </w:r>
          </w:p>
          <w:p w14:paraId="62AE035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5699587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546F1E0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35D8DC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16A3A30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17440717">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006F619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val="en-US" w:eastAsia="zh-CN" w:bidi="ar"/>
              </w:rPr>
              <w:t>每组6个位置</w:t>
            </w:r>
            <w:r>
              <w:rPr>
                <w:rFonts w:hint="eastAsia" w:ascii="宋体" w:hAnsi="宋体" w:eastAsia="宋体" w:cs="宋体"/>
                <w:color w:val="auto"/>
                <w:kern w:val="0"/>
                <w:szCs w:val="21"/>
                <w:highlight w:val="none"/>
                <w:lang w:eastAsia="zh-CN" w:bidi="ar"/>
              </w:rPr>
              <w:t>）；</w:t>
            </w:r>
          </w:p>
          <w:p w14:paraId="3489860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5.参考图片：</w:t>
            </w:r>
          </w:p>
          <w:p w14:paraId="4DE4B5D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drawing>
                <wp:inline distT="0" distB="0" distL="114300" distR="114300">
                  <wp:extent cx="1235075" cy="1164590"/>
                  <wp:effectExtent l="0" t="0" r="3175" b="6985"/>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pic:cNvPicPr>
                            <a:picLocks noChangeAspect="1"/>
                          </pic:cNvPicPr>
                        </pic:nvPicPr>
                        <pic:blipFill>
                          <a:blip r:embed="rId13"/>
                          <a:stretch>
                            <a:fillRect/>
                          </a:stretch>
                        </pic:blipFill>
                        <pic:spPr>
                          <a:xfrm>
                            <a:off x="0" y="0"/>
                            <a:ext cx="1235075" cy="1164590"/>
                          </a:xfrm>
                          <a:prstGeom prst="rect">
                            <a:avLst/>
                          </a:prstGeom>
                          <a:noFill/>
                          <a:ln w="9525">
                            <a:noFill/>
                          </a:ln>
                        </pic:spPr>
                      </pic:pic>
                    </a:graphicData>
                  </a:graphic>
                </wp:inline>
              </w:drawing>
            </w:r>
            <w:r>
              <w:rPr>
                <w:rFonts w:hint="eastAsia" w:ascii="宋体" w:hAnsi="宋体" w:eastAsia="宋体" w:cs="宋体"/>
                <w:color w:val="auto"/>
                <w:kern w:val="0"/>
                <w:szCs w:val="21"/>
                <w:highlight w:val="none"/>
                <w:lang w:bidi="ar"/>
              </w:rPr>
              <w:drawing>
                <wp:inline distT="0" distB="0" distL="114300" distR="114300">
                  <wp:extent cx="502285" cy="1143635"/>
                  <wp:effectExtent l="0" t="0" r="2540" b="889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12"/>
                          <a:stretch>
                            <a:fillRect/>
                          </a:stretch>
                        </pic:blipFill>
                        <pic:spPr>
                          <a:xfrm>
                            <a:off x="0" y="0"/>
                            <a:ext cx="502285" cy="1143635"/>
                          </a:xfrm>
                          <a:prstGeom prst="rect">
                            <a:avLst/>
                          </a:prstGeom>
                          <a:noFill/>
                          <a:ln w="9525">
                            <a:noFill/>
                          </a:ln>
                        </pic:spPr>
                      </pic:pic>
                    </a:graphicData>
                  </a:graphic>
                </wp:inline>
              </w:drawing>
            </w:r>
            <w:r>
              <w:rPr>
                <w:rFonts w:hint="default" w:ascii="宋体" w:hAnsi="宋体" w:eastAsia="宋体" w:cs="宋体"/>
                <w:color w:val="auto"/>
                <w:kern w:val="0"/>
                <w:szCs w:val="21"/>
                <w:highlight w:val="none"/>
                <w:lang w:bidi="ar"/>
              </w:rPr>
              <w:drawing>
                <wp:inline distT="0" distB="0" distL="114300" distR="114300">
                  <wp:extent cx="1482090" cy="1122045"/>
                  <wp:effectExtent l="0" t="0" r="3810" b="190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4"/>
                          <a:stretch>
                            <a:fillRect/>
                          </a:stretch>
                        </pic:blipFill>
                        <pic:spPr>
                          <a:xfrm>
                            <a:off x="0" y="0"/>
                            <a:ext cx="1482090" cy="1122045"/>
                          </a:xfrm>
                          <a:prstGeom prst="rect">
                            <a:avLst/>
                          </a:prstGeom>
                          <a:noFill/>
                          <a:ln>
                            <a:noFill/>
                          </a:ln>
                        </pic:spPr>
                      </pic:pic>
                    </a:graphicData>
                  </a:graphic>
                </wp:inline>
              </w:drawing>
            </w:r>
          </w:p>
        </w:tc>
      </w:tr>
      <w:tr w14:paraId="2DD14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5FFAD0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w:t>
            </w:r>
          </w:p>
        </w:tc>
        <w:tc>
          <w:tcPr>
            <w:tcW w:w="1810" w:type="dxa"/>
            <w:vAlign w:val="center"/>
          </w:tcPr>
          <w:p w14:paraId="046A69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木饰面包柱</w:t>
            </w:r>
          </w:p>
        </w:tc>
        <w:tc>
          <w:tcPr>
            <w:tcW w:w="661" w:type="dxa"/>
            <w:vAlign w:val="center"/>
          </w:tcPr>
          <w:p w14:paraId="2DF384F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auto"/>
                <w:szCs w:val="21"/>
                <w:highlight w:val="none"/>
                <w:lang w:val="en-US" w:eastAsia="zh-CN"/>
              </w:rPr>
            </w:pPr>
            <w:r>
              <w:rPr>
                <w:rFonts w:hint="eastAsia" w:ascii="宋体" w:hAnsi="宋体" w:eastAsia="宋体" w:cs="宋体"/>
                <w:b/>
                <w:bCs/>
                <w:color w:val="auto"/>
                <w:kern w:val="0"/>
                <w:szCs w:val="21"/>
                <w:highlight w:val="none"/>
                <w:lang w:val="en-US" w:eastAsia="zh-CN" w:bidi="ar"/>
              </w:rPr>
              <w:t>15</w:t>
            </w:r>
          </w:p>
        </w:tc>
        <w:tc>
          <w:tcPr>
            <w:tcW w:w="661" w:type="dxa"/>
            <w:vAlign w:val="center"/>
          </w:tcPr>
          <w:p w14:paraId="04982B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根</w:t>
            </w:r>
          </w:p>
        </w:tc>
        <w:tc>
          <w:tcPr>
            <w:tcW w:w="6269" w:type="dxa"/>
            <w:vAlign w:val="center"/>
          </w:tcPr>
          <w:p w14:paraId="102FD43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：800*800*3200mm；</w:t>
            </w:r>
          </w:p>
          <w:p w14:paraId="480D9EF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2.E0级实木多层板基层，白蜡木木皮，环保水性开放漆工艺，超长板45度对角工艺，表面开新中式工艺线；</w:t>
            </w:r>
          </w:p>
          <w:p w14:paraId="05F9FC3D">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3.参考图片：</w:t>
            </w:r>
          </w:p>
          <w:p w14:paraId="145ECA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800735" cy="1638300"/>
                  <wp:effectExtent l="0" t="0" r="8890" b="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15"/>
                          <a:stretch>
                            <a:fillRect/>
                          </a:stretch>
                        </pic:blipFill>
                        <pic:spPr>
                          <a:xfrm>
                            <a:off x="0" y="0"/>
                            <a:ext cx="800735" cy="1638300"/>
                          </a:xfrm>
                          <a:prstGeom prst="rect">
                            <a:avLst/>
                          </a:prstGeom>
                          <a:noFill/>
                          <a:ln w="9525">
                            <a:noFill/>
                          </a:ln>
                        </pic:spPr>
                      </pic:pic>
                    </a:graphicData>
                  </a:graphic>
                </wp:inline>
              </w:drawing>
            </w:r>
          </w:p>
        </w:tc>
      </w:tr>
      <w:tr w14:paraId="4E774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5AFAA30B">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图书馆4层公共学习空间大致布局图：</w:t>
            </w:r>
          </w:p>
          <w:p w14:paraId="2C13B6A4">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rPr>
              <w:drawing>
                <wp:inline distT="0" distB="0" distL="114300" distR="114300">
                  <wp:extent cx="1989455" cy="1319530"/>
                  <wp:effectExtent l="0" t="0" r="4445" b="12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6"/>
                          <a:stretch>
                            <a:fillRect/>
                          </a:stretch>
                        </pic:blipFill>
                        <pic:spPr>
                          <a:xfrm>
                            <a:off x="0" y="0"/>
                            <a:ext cx="1989455" cy="1319530"/>
                          </a:xfrm>
                          <a:prstGeom prst="rect">
                            <a:avLst/>
                          </a:prstGeom>
                          <a:noFill/>
                          <a:ln>
                            <a:noFill/>
                          </a:ln>
                        </pic:spPr>
                      </pic:pic>
                    </a:graphicData>
                  </a:graphic>
                </wp:inline>
              </w:drawing>
            </w:r>
          </w:p>
        </w:tc>
      </w:tr>
    </w:tbl>
    <w:p w14:paraId="0681E1A0">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w:t>
      </w:r>
    </w:p>
    <w:p w14:paraId="375C3116">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1.本项目采购清单中板材未标注环保标准的，均须采用E0级。</w:t>
      </w:r>
    </w:p>
    <w:p w14:paraId="0E190C49">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本项目采购清单中所有货物统一的制造工艺要求：表面光洁，无裂缝，无毛刺，无锐边，连接牢固、安全。边缘抛圆处理，外表面和内表面以及手指可触及的隐蔽处，均不得有锐利的棱角、毛刺以及小五金部件露出的锐利尖锐。</w:t>
      </w:r>
    </w:p>
    <w:p w14:paraId="3DD86326">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由于产品的功能、外观结构无法准确描述，因此对产品提供了参考图片，参考图片仅仅是为了让投标人更好的理解本次采购的需求，并非对投标产品进行指定或指明，我们欢迎投标人选择其他同等档次或更优的产品参加本次投标。</w:t>
      </w:r>
    </w:p>
    <w:p w14:paraId="71EBC555">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本章节技术要求中所列的货物参考尺寸是由采购人根据自身情况测算，投标供应商应选择符合采购人要求参考尺寸的货物参加投标。在不影响安全、美观度以及实际使用功能的前提下，允许存在合理的参考尺寸偏差（偏差控制在±5mm（含）以内）。同时，投标供应商应无条件接受采购人提出的部分货物参考尺寸的细微调整，产生的费用请各投标供应商在报价时综合评估，并计入投标总价。</w:t>
      </w:r>
    </w:p>
    <w:p w14:paraId="1198A91C">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5.所有产品的颜色在项目履约时由需求学校根据实际需求指定，投标供应商应无条件接受采购人提出的颜色需求。</w:t>
      </w:r>
    </w:p>
    <w:p w14:paraId="7F914197">
      <w:pPr>
        <w:keepNext w:val="0"/>
        <w:keepLines w:val="0"/>
        <w:pageBreakBefore w:val="0"/>
        <w:kinsoku/>
        <w:wordWrap/>
        <w:overflowPunct/>
        <w:topLinePunct w:val="0"/>
        <w:autoSpaceDE w:val="0"/>
        <w:autoSpaceDN w:val="0"/>
        <w:bidi w:val="0"/>
        <w:adjustRightInd w:val="0"/>
        <w:snapToGrid/>
        <w:spacing w:line="288" w:lineRule="auto"/>
        <w:ind w:firstLine="422" w:firstLineChars="200"/>
        <w:textAlignment w:val="auto"/>
        <w:rPr>
          <w:rFonts w:hint="default" w:ascii="宋体" w:hAnsi="宋体" w:eastAsia="华文楷体" w:cs="宋体"/>
          <w:b/>
          <w:bCs/>
          <w:color w:val="auto"/>
          <w:sz w:val="24"/>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SA"/>
        </w:rPr>
        <w:t>▲6.采购清单中涉及灯具、插座的，应在投标文件中提供灯具(或关键部件LED控制装置)、插座模块的有效的3C认证证书扫描件，并在3C认证证书处注明用于具体哪款产品（采购清单中涉及灯具、插座的产品：阅览桌、靠窗单边桌、六人组合思考桌）。</w:t>
      </w:r>
    </w:p>
    <w:p w14:paraId="2A83C00D">
      <w:pPr>
        <w:widowControl/>
        <w:adjustRightInd w:val="0"/>
        <w:snapToGrid w:val="0"/>
        <w:spacing w:line="288" w:lineRule="auto"/>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7EFCC019">
      <w:pPr>
        <w:adjustRightInd w:val="0"/>
        <w:snapToGrid w:val="0"/>
        <w:spacing w:line="288" w:lineRule="auto"/>
        <w:rPr>
          <w:rFonts w:hint="eastAsia" w:ascii="宋体" w:hAnsi="宋体" w:eastAsia="宋体" w:cs="Times New Roman"/>
          <w:b/>
          <w:bCs/>
          <w:color w:val="auto"/>
          <w:spacing w:val="-4"/>
          <w:szCs w:val="21"/>
          <w:highlight w:val="none"/>
        </w:rPr>
      </w:pPr>
      <w:r>
        <w:rPr>
          <w:rFonts w:hint="eastAsia" w:ascii="宋体" w:hAnsi="宋体" w:eastAsia="宋体" w:cs="Times New Roman"/>
          <w:b/>
          <w:bCs/>
          <w:color w:val="auto"/>
          <w:spacing w:val="-4"/>
          <w:szCs w:val="21"/>
          <w:highlight w:val="none"/>
        </w:rPr>
        <w:t>标项二：</w:t>
      </w:r>
    </w:p>
    <w:tbl>
      <w:tblPr>
        <w:tblStyle w:val="24"/>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10"/>
        <w:gridCol w:w="661"/>
        <w:gridCol w:w="661"/>
        <w:gridCol w:w="6269"/>
      </w:tblGrid>
      <w:tr w14:paraId="45A2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55A661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10" w:type="dxa"/>
            <w:vAlign w:val="center"/>
          </w:tcPr>
          <w:p w14:paraId="3B096AC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61" w:type="dxa"/>
            <w:vAlign w:val="center"/>
          </w:tcPr>
          <w:p w14:paraId="6A2C9D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1" w:type="dxa"/>
            <w:vAlign w:val="center"/>
          </w:tcPr>
          <w:p w14:paraId="0A0478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6269" w:type="dxa"/>
            <w:vAlign w:val="center"/>
          </w:tcPr>
          <w:p w14:paraId="2789C92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（功能或者目标）、质量、安全、技术规格、物理特性等要求</w:t>
            </w:r>
          </w:p>
        </w:tc>
      </w:tr>
      <w:tr w14:paraId="7D730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12FBD4E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2层</w:t>
            </w:r>
          </w:p>
        </w:tc>
      </w:tr>
      <w:tr w14:paraId="2FECF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38A483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1810" w:type="dxa"/>
            <w:vAlign w:val="center"/>
          </w:tcPr>
          <w:p w14:paraId="3BB6BD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阅览桌</w:t>
            </w:r>
          </w:p>
        </w:tc>
        <w:tc>
          <w:tcPr>
            <w:tcW w:w="661" w:type="dxa"/>
            <w:vAlign w:val="center"/>
          </w:tcPr>
          <w:p w14:paraId="34127FA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106</w:t>
            </w:r>
          </w:p>
        </w:tc>
        <w:tc>
          <w:tcPr>
            <w:tcW w:w="661" w:type="dxa"/>
            <w:vAlign w:val="center"/>
          </w:tcPr>
          <w:p w14:paraId="635EF81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BDBFC34">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灯架</w:t>
            </w:r>
            <w:r>
              <w:rPr>
                <w:rFonts w:hint="eastAsia" w:ascii="宋体" w:hAnsi="宋体" w:eastAsia="宋体" w:cs="宋体"/>
                <w:color w:val="auto"/>
                <w:szCs w:val="21"/>
                <w:highlight w:val="none"/>
                <w:lang w:eastAsia="zh-CN"/>
              </w:rPr>
              <w:t>：</w:t>
            </w:r>
          </w:p>
          <w:p w14:paraId="4041A84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：1300</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150</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450mm</w:t>
            </w:r>
            <w:r>
              <w:rPr>
                <w:rFonts w:hint="eastAsia" w:ascii="宋体" w:hAnsi="宋体" w:eastAsia="宋体" w:cs="宋体"/>
                <w:color w:val="auto"/>
                <w:szCs w:val="21"/>
                <w:highlight w:val="none"/>
                <w:lang w:eastAsia="zh-CN"/>
              </w:rPr>
              <w:t>；</w:t>
            </w:r>
          </w:p>
          <w:p w14:paraId="28623161">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灯体采用≥150*30*1.2mm异形铝合金管制作，符合力学性能：抗拉强度不小于175，规定非比例延申长度不小于130，氧化膜平均膜厚不小于10，最小局部膜厚不小于8，</w:t>
            </w:r>
            <w:r>
              <w:rPr>
                <w:rFonts w:hint="eastAsia" w:ascii="宋体" w:hAnsi="宋体" w:eastAsia="宋体" w:cs="宋体"/>
                <w:color w:val="FF0000"/>
                <w:szCs w:val="21"/>
                <w:highlight w:val="none"/>
              </w:rPr>
              <w:t>符合GB/T 6892-20</w:t>
            </w:r>
            <w:r>
              <w:rPr>
                <w:rFonts w:hint="eastAsia" w:ascii="宋体" w:hAnsi="宋体" w:eastAsia="宋体" w:cs="宋体"/>
                <w:color w:val="FF0000"/>
                <w:szCs w:val="21"/>
                <w:highlight w:val="none"/>
                <w:lang w:val="en-US" w:eastAsia="zh-CN"/>
              </w:rPr>
              <w:t>23</w:t>
            </w:r>
            <w:r>
              <w:rPr>
                <w:rFonts w:hint="eastAsia" w:ascii="宋体" w:hAnsi="宋体" w:eastAsia="宋体" w:cs="宋体"/>
                <w:color w:val="FF0000"/>
                <w:szCs w:val="21"/>
                <w:highlight w:val="none"/>
              </w:rPr>
              <w:t>标准要求</w:t>
            </w:r>
            <w:r>
              <w:rPr>
                <w:rFonts w:hint="eastAsia" w:ascii="宋体" w:hAnsi="宋体" w:eastAsia="宋体" w:cs="宋体"/>
                <w:color w:val="auto"/>
                <w:szCs w:val="21"/>
                <w:highlight w:val="none"/>
              </w:rPr>
              <w:t>，经焊接打磨抛光成型，表面处理经高温静电喷涂处理，符合GB/T 5237.4-2017标准要求；</w:t>
            </w:r>
          </w:p>
          <w:p w14:paraId="52225DF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灯罩选用蝴蝶翼扩散膜,使工作区域光更多，防眩抑制，两端配黑色注塑件堵头；</w:t>
            </w:r>
          </w:p>
          <w:p w14:paraId="359B35E8">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光源采用优质节能LED光源，三安芯片，色温4000K,显色指数≥90，色容差SDCM</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3.高转换率电源，具有过载，短路，过压保护，可实现按键调光。总瓦数50瓦，利用弧面扩散技术，光线分布比100%，</w:t>
            </w:r>
            <w:r>
              <w:rPr>
                <w:rFonts w:hint="eastAsia" w:ascii="宋体" w:hAnsi="宋体" w:eastAsia="宋体" w:cs="宋体"/>
                <w:color w:val="auto"/>
                <w:szCs w:val="21"/>
                <w:highlight w:val="none"/>
                <w:lang w:val="en-US" w:eastAsia="zh-CN"/>
              </w:rPr>
              <w:t>可</w:t>
            </w:r>
            <w:r>
              <w:rPr>
                <w:rFonts w:hint="eastAsia" w:ascii="宋体" w:hAnsi="宋体" w:eastAsia="宋体" w:cs="宋体"/>
                <w:color w:val="auto"/>
                <w:szCs w:val="21"/>
                <w:highlight w:val="none"/>
              </w:rPr>
              <w:t>削减手部及头部阴影。整灯安全低压无触电风险，含复位开关，短按开启/关闭灯光，长按调节灯光亮度，含自锁开关，短按开启/关闭灯光；</w:t>
            </w:r>
          </w:p>
          <w:p w14:paraId="15E33333">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1.5</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灯柱采用≥50*50*1.8</w:t>
            </w:r>
            <w:r>
              <w:rPr>
                <w:rFonts w:hint="eastAsia" w:ascii="宋体" w:hAnsi="宋体" w:eastAsia="宋体" w:cs="宋体"/>
                <w:color w:val="auto"/>
                <w:szCs w:val="21"/>
                <w:highlight w:val="none"/>
                <w:lang w:val="en-US" w:eastAsia="zh-CN"/>
              </w:rPr>
              <w:t>mm</w:t>
            </w:r>
            <w:r>
              <w:rPr>
                <w:rFonts w:hint="eastAsia" w:ascii="宋体" w:hAnsi="宋体" w:eastAsia="宋体" w:cs="宋体"/>
                <w:color w:val="auto"/>
                <w:szCs w:val="21"/>
                <w:highlight w:val="none"/>
              </w:rPr>
              <w:t>钢制管经焊接打磨抛光成型，表面经高温静电喷涂工艺处理；内置嵌入式智能调光开关1</w:t>
            </w:r>
            <w:r>
              <w:rPr>
                <w:rFonts w:hint="eastAsia" w:ascii="宋体" w:hAnsi="宋体" w:eastAsia="宋体" w:cs="宋体"/>
                <w:color w:val="auto"/>
                <w:szCs w:val="21"/>
                <w:highlight w:val="none"/>
                <w:lang w:val="en-US" w:eastAsia="zh-CN"/>
              </w:rPr>
              <w:t>个</w:t>
            </w:r>
            <w:r>
              <w:rPr>
                <w:rFonts w:hint="eastAsia" w:ascii="宋体" w:hAnsi="宋体" w:eastAsia="宋体" w:cs="宋体"/>
                <w:color w:val="auto"/>
                <w:szCs w:val="21"/>
                <w:highlight w:val="none"/>
              </w:rPr>
              <w:t>，三档调光，两根灯柱，每根灯柱内侧均内置嵌入2个五孔+USB</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1A1C，4个五孔+USB：2A2C</w:t>
            </w:r>
            <w:r>
              <w:rPr>
                <w:rFonts w:hint="eastAsia" w:ascii="宋体" w:hAnsi="宋体" w:eastAsia="宋体" w:cs="宋体"/>
                <w:color w:val="auto"/>
                <w:szCs w:val="21"/>
                <w:highlight w:val="none"/>
                <w:lang w:eastAsia="zh-CN"/>
              </w:rPr>
              <w:t>；</w:t>
            </w:r>
          </w:p>
          <w:p w14:paraId="09DB44BB">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桌</w:t>
            </w:r>
            <w:r>
              <w:rPr>
                <w:rFonts w:hint="eastAsia" w:ascii="宋体" w:hAnsi="宋体" w:eastAsia="宋体" w:cs="宋体"/>
                <w:color w:val="auto"/>
                <w:szCs w:val="21"/>
                <w:highlight w:val="none"/>
                <w:lang w:val="en-US" w:eastAsia="zh-CN"/>
              </w:rPr>
              <w:t>体</w:t>
            </w:r>
            <w:r>
              <w:rPr>
                <w:rFonts w:hint="eastAsia" w:ascii="宋体" w:hAnsi="宋体" w:eastAsia="宋体" w:cs="宋体"/>
                <w:color w:val="auto"/>
                <w:szCs w:val="21"/>
                <w:highlight w:val="none"/>
              </w:rPr>
              <w:t>：</w:t>
            </w:r>
          </w:p>
          <w:p w14:paraId="13EC4C9A">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val="en-US" w:eastAsia="zh-CN" w:bidi="ar"/>
              </w:rPr>
              <w:t xml:space="preserve">2.1 </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w:t>
            </w:r>
            <w:r>
              <w:rPr>
                <w:rFonts w:hint="eastAsia" w:ascii="宋体" w:hAnsi="宋体" w:eastAsia="宋体" w:cs="宋体"/>
                <w:color w:val="FF0000"/>
                <w:kern w:val="0"/>
                <w:szCs w:val="21"/>
                <w:highlight w:val="none"/>
                <w:lang w:eastAsia="zh-CN" w:bidi="ar"/>
              </w:rPr>
              <w:t>1600*1200*750mm</w:t>
            </w:r>
            <w:r>
              <w:rPr>
                <w:rFonts w:hint="eastAsia" w:ascii="宋体" w:hAnsi="宋体" w:eastAsia="宋体" w:cs="宋体"/>
                <w:color w:val="auto"/>
                <w:kern w:val="0"/>
                <w:szCs w:val="21"/>
                <w:highlight w:val="none"/>
                <w:lang w:bidi="ar"/>
              </w:rPr>
              <w:t>；</w:t>
            </w:r>
          </w:p>
          <w:p w14:paraId="6965DC65">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val="en-US" w:eastAsia="zh-CN" w:bidi="ar"/>
              </w:rPr>
              <w:t xml:space="preserve">2.2 </w:t>
            </w:r>
            <w:r>
              <w:rPr>
                <w:rFonts w:hint="eastAsia" w:ascii="宋体" w:hAnsi="宋体" w:eastAsia="宋体" w:cs="宋体"/>
                <w:color w:val="auto"/>
                <w:szCs w:val="21"/>
                <w:highlight w:val="none"/>
              </w:rPr>
              <w:t>≥25mm厚E0级三聚氰胺浸渍纸饰面刨花板，封边厚度≥2mm；</w:t>
            </w:r>
          </w:p>
          <w:p w14:paraId="37B2228B">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3.钢制桌架</w:t>
            </w:r>
            <w:r>
              <w:rPr>
                <w:rFonts w:hint="eastAsia" w:ascii="宋体" w:hAnsi="宋体" w:eastAsia="宋体" w:cs="宋体"/>
                <w:color w:val="auto"/>
                <w:szCs w:val="21"/>
                <w:highlight w:val="none"/>
                <w:lang w:eastAsia="zh-CN"/>
              </w:rPr>
              <w:t>：</w:t>
            </w:r>
          </w:p>
          <w:p w14:paraId="05C090D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钢脚：截面≥50*50mm，壁厚≥1.8mm；</w:t>
            </w:r>
          </w:p>
          <w:p w14:paraId="3EA1CE3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脚上梁：截面≥50*50mm,壁厚≥1.8mm</w:t>
            </w:r>
            <w:r>
              <w:rPr>
                <w:rFonts w:hint="eastAsia" w:ascii="宋体" w:hAnsi="宋体" w:eastAsia="宋体" w:cs="宋体"/>
                <w:color w:val="auto"/>
                <w:szCs w:val="21"/>
                <w:highlight w:val="none"/>
                <w:lang w:eastAsia="zh-CN"/>
              </w:rPr>
              <w:t>；</w:t>
            </w:r>
          </w:p>
          <w:p w14:paraId="72F677E8">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横梁：截面≥25*</w:t>
            </w: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0mm，壁厚≥1.2mm</w:t>
            </w:r>
            <w:r>
              <w:rPr>
                <w:rFonts w:hint="eastAsia" w:ascii="宋体" w:hAnsi="宋体" w:eastAsia="宋体" w:cs="宋体"/>
                <w:color w:val="auto"/>
                <w:szCs w:val="21"/>
                <w:highlight w:val="none"/>
                <w:lang w:eastAsia="zh-CN"/>
              </w:rPr>
              <w:t>；</w:t>
            </w:r>
          </w:p>
          <w:p w14:paraId="2A0C08B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接头：脚与横梁用U型连接件，三孔连接</w:t>
            </w:r>
            <w:r>
              <w:rPr>
                <w:rFonts w:hint="eastAsia" w:ascii="宋体" w:hAnsi="宋体" w:eastAsia="宋体" w:cs="宋体"/>
                <w:color w:val="auto"/>
                <w:szCs w:val="21"/>
                <w:highlight w:val="none"/>
                <w:lang w:eastAsia="zh-CN"/>
              </w:rPr>
              <w:t>；</w:t>
            </w:r>
          </w:p>
          <w:p w14:paraId="6CE016E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3.5</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脚塞：采用ABS一体压铸成型，抗冲击，充分保护地面，当地面有斜度时，调整水平调节螺丝，保持桌面水平</w:t>
            </w:r>
            <w:r>
              <w:rPr>
                <w:rFonts w:hint="eastAsia" w:ascii="宋体" w:hAnsi="宋体" w:eastAsia="宋体" w:cs="宋体"/>
                <w:color w:val="auto"/>
                <w:szCs w:val="21"/>
                <w:highlight w:val="none"/>
                <w:lang w:eastAsia="zh-CN"/>
              </w:rPr>
              <w:t>；</w:t>
            </w:r>
          </w:p>
          <w:p w14:paraId="2B014DE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3.6</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桌架钢构件表面经酸洗、磷化处理，后采用混合型热固性粉沫静电喷涂，耐高温，防静电。全部静电喷涂，颜色持久，表面硬度≥2H</w:t>
            </w:r>
            <w:r>
              <w:rPr>
                <w:rFonts w:hint="eastAsia" w:ascii="宋体" w:hAnsi="宋体" w:eastAsia="宋体" w:cs="宋体"/>
                <w:color w:val="auto"/>
                <w:szCs w:val="21"/>
                <w:highlight w:val="none"/>
                <w:lang w:eastAsia="zh-CN"/>
              </w:rPr>
              <w:t>；</w:t>
            </w:r>
          </w:p>
          <w:p w14:paraId="48AF8CD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4.桌面灯架下布置桌面屏风：</w:t>
            </w:r>
          </w:p>
          <w:p w14:paraId="6FA7365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 xml:space="preserve">4.1 </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850mm*300mm</w:t>
            </w:r>
            <w:r>
              <w:rPr>
                <w:rFonts w:hint="eastAsia" w:ascii="宋体" w:hAnsi="宋体" w:eastAsia="宋体" w:cs="宋体"/>
                <w:color w:val="auto"/>
                <w:szCs w:val="21"/>
                <w:highlight w:val="none"/>
                <w:lang w:eastAsia="zh-CN"/>
              </w:rPr>
              <w:t>；</w:t>
            </w:r>
          </w:p>
          <w:p w14:paraId="05D13E2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 xml:space="preserve">4.2 </w:t>
            </w:r>
            <w:r>
              <w:rPr>
                <w:rFonts w:hint="eastAsia" w:ascii="宋体" w:hAnsi="宋体" w:eastAsia="宋体" w:cs="宋体"/>
                <w:color w:val="auto"/>
                <w:szCs w:val="21"/>
                <w:highlight w:val="none"/>
              </w:rPr>
              <w:t>吸音棉材质</w:t>
            </w:r>
            <w:r>
              <w:rPr>
                <w:rFonts w:hint="eastAsia" w:ascii="宋体" w:hAnsi="宋体" w:eastAsia="宋体" w:cs="宋体"/>
                <w:color w:val="auto"/>
                <w:kern w:val="0"/>
                <w:szCs w:val="21"/>
                <w:highlight w:val="none"/>
                <w:lang w:bidi="ar"/>
              </w:rPr>
              <w:t>，厚度≥9mm,铝合金桌面屏风夹固定；</w:t>
            </w:r>
          </w:p>
          <w:p w14:paraId="6021E6B3">
            <w:pPr>
              <w:keepNext w:val="0"/>
              <w:keepLines w:val="0"/>
              <w:suppressLineNumbers w:val="0"/>
              <w:spacing w:before="0" w:beforeAutospacing="0" w:after="0" w:afterAutospacing="0" w:line="288" w:lineRule="auto"/>
              <w:ind w:left="0" w:right="0"/>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5.参考图片：</w:t>
            </w:r>
          </w:p>
          <w:p w14:paraId="7127558A">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1671320" cy="1293495"/>
                  <wp:effectExtent l="0" t="0" r="5080" b="190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7"/>
                          <a:stretch>
                            <a:fillRect/>
                          </a:stretch>
                        </pic:blipFill>
                        <pic:spPr>
                          <a:xfrm>
                            <a:off x="0" y="0"/>
                            <a:ext cx="1671320" cy="1293495"/>
                          </a:xfrm>
                          <a:prstGeom prst="rect">
                            <a:avLst/>
                          </a:prstGeom>
                          <a:noFill/>
                          <a:ln w="9525">
                            <a:noFill/>
                          </a:ln>
                        </pic:spPr>
                      </pic:pic>
                    </a:graphicData>
                  </a:graphic>
                </wp:inline>
              </w:drawing>
            </w:r>
            <w:r>
              <w:rPr>
                <w:rFonts w:hint="default"/>
              </w:rPr>
              <w:drawing>
                <wp:inline distT="0" distB="0" distL="114300" distR="114300">
                  <wp:extent cx="2137410" cy="1092200"/>
                  <wp:effectExtent l="0" t="0" r="5715"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8"/>
                          <a:stretch>
                            <a:fillRect/>
                          </a:stretch>
                        </pic:blipFill>
                        <pic:spPr>
                          <a:xfrm>
                            <a:off x="0" y="0"/>
                            <a:ext cx="2137410" cy="1092200"/>
                          </a:xfrm>
                          <a:prstGeom prst="rect">
                            <a:avLst/>
                          </a:prstGeom>
                          <a:noFill/>
                          <a:ln>
                            <a:noFill/>
                          </a:ln>
                        </pic:spPr>
                      </pic:pic>
                    </a:graphicData>
                  </a:graphic>
                </wp:inline>
              </w:drawing>
            </w:r>
          </w:p>
        </w:tc>
      </w:tr>
      <w:tr w14:paraId="4F53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57D068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1810" w:type="dxa"/>
            <w:vAlign w:val="center"/>
          </w:tcPr>
          <w:p w14:paraId="3CBD39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阅览椅</w:t>
            </w:r>
          </w:p>
        </w:tc>
        <w:tc>
          <w:tcPr>
            <w:tcW w:w="661" w:type="dxa"/>
            <w:vAlign w:val="center"/>
          </w:tcPr>
          <w:p w14:paraId="2D58FA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424</w:t>
            </w:r>
          </w:p>
        </w:tc>
        <w:tc>
          <w:tcPr>
            <w:tcW w:w="661" w:type="dxa"/>
            <w:vAlign w:val="center"/>
          </w:tcPr>
          <w:p w14:paraId="4678B9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把</w:t>
            </w:r>
          </w:p>
        </w:tc>
        <w:tc>
          <w:tcPr>
            <w:tcW w:w="6269" w:type="dxa"/>
            <w:vAlign w:val="center"/>
          </w:tcPr>
          <w:p w14:paraId="4A17CFD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：520*515*810mm；</w:t>
            </w:r>
          </w:p>
          <w:p w14:paraId="00C01E1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2.椅身：全新聚丙烯加玻璃纤维,一体成型，厚度≥6mm。背宽≥380mm，椅宽≥420mm；结构稳定，可承重≥130KG，胶背通过34KG 12万次循环推背测试；</w:t>
            </w:r>
          </w:p>
          <w:p w14:paraId="55BC16EA">
            <w:pPr>
              <w:keepNext w:val="0"/>
              <w:keepLines w:val="0"/>
              <w:suppressLineNumbers w:val="0"/>
              <w:spacing w:before="0" w:beforeAutospacing="0" w:after="0" w:afterAutospacing="0" w:line="288" w:lineRule="auto"/>
              <w:ind w:left="0" w:right="0"/>
              <w:rPr>
                <w:rFonts w:hint="eastAsia" w:ascii="宋体" w:hAnsi="宋体" w:eastAsia="宋体" w:cs="宋体"/>
                <w:color w:val="FF0000"/>
                <w:szCs w:val="21"/>
                <w:highlight w:val="none"/>
                <w:lang w:eastAsia="zh-CN"/>
              </w:rPr>
            </w:pPr>
            <w:r>
              <w:rPr>
                <w:rFonts w:hint="eastAsia" w:ascii="宋体" w:hAnsi="宋体" w:eastAsia="宋体" w:cs="宋体"/>
                <w:color w:val="FF0000"/>
                <w:szCs w:val="21"/>
                <w:highlight w:val="none"/>
              </w:rPr>
              <w:t>3.椅背：腰部镂空，方便拿取，形状类似笑口设计</w:t>
            </w:r>
            <w:r>
              <w:rPr>
                <w:rFonts w:hint="eastAsia" w:ascii="宋体" w:hAnsi="宋体" w:eastAsia="宋体" w:cs="宋体"/>
                <w:color w:val="FF0000"/>
                <w:szCs w:val="21"/>
                <w:highlight w:val="none"/>
                <w:lang w:eastAsia="zh-CN"/>
              </w:rPr>
              <w:t>。</w:t>
            </w:r>
            <w:r>
              <w:rPr>
                <w:rFonts w:hint="eastAsia" w:ascii="宋体" w:hAnsi="宋体" w:eastAsia="宋体" w:cs="宋体"/>
                <w:color w:val="FF0000"/>
                <w:szCs w:val="21"/>
                <w:highlight w:val="none"/>
              </w:rPr>
              <w:t>背部线条设计，一定程度增加背部支撑力</w:t>
            </w:r>
            <w:r>
              <w:rPr>
                <w:rFonts w:hint="eastAsia" w:ascii="宋体" w:hAnsi="宋体" w:eastAsia="宋体" w:cs="宋体"/>
                <w:color w:val="FF0000"/>
                <w:szCs w:val="21"/>
                <w:highlight w:val="none"/>
                <w:lang w:eastAsia="zh-CN"/>
              </w:rPr>
              <w:t>；</w:t>
            </w:r>
          </w:p>
          <w:p w14:paraId="249F515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4.椅脚：由直径≥16mm</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壁厚≥1.5mm优质冷轧钢管制成，表面经酸洗、磷化等防锈处理，流水线静电喷涂，具有耐磨，防腐，抗老化等性能；</w:t>
            </w:r>
          </w:p>
          <w:p w14:paraId="752C27A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3994DEB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932815" cy="965835"/>
                  <wp:effectExtent l="0" t="0" r="635" b="571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9"/>
                          <a:stretch>
                            <a:fillRect/>
                          </a:stretch>
                        </pic:blipFill>
                        <pic:spPr>
                          <a:xfrm>
                            <a:off x="0" y="0"/>
                            <a:ext cx="932815" cy="965835"/>
                          </a:xfrm>
                          <a:prstGeom prst="rect">
                            <a:avLst/>
                          </a:prstGeom>
                          <a:noFill/>
                          <a:ln>
                            <a:noFill/>
                          </a:ln>
                        </pic:spPr>
                      </pic:pic>
                    </a:graphicData>
                  </a:graphic>
                </wp:inline>
              </w:drawing>
            </w:r>
            <w:r>
              <w:rPr>
                <w:rFonts w:hint="default"/>
                <w:color w:val="auto"/>
                <w:highlight w:val="none"/>
              </w:rPr>
              <w:drawing>
                <wp:inline distT="0" distB="0" distL="114300" distR="114300">
                  <wp:extent cx="836295" cy="1016000"/>
                  <wp:effectExtent l="0" t="0" r="1905" b="317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0"/>
                          <a:stretch>
                            <a:fillRect/>
                          </a:stretch>
                        </pic:blipFill>
                        <pic:spPr>
                          <a:xfrm>
                            <a:off x="0" y="0"/>
                            <a:ext cx="836295" cy="1016000"/>
                          </a:xfrm>
                          <a:prstGeom prst="rect">
                            <a:avLst/>
                          </a:prstGeom>
                          <a:noFill/>
                          <a:ln>
                            <a:noFill/>
                          </a:ln>
                        </pic:spPr>
                      </pic:pic>
                    </a:graphicData>
                  </a:graphic>
                </wp:inline>
              </w:drawing>
            </w:r>
          </w:p>
        </w:tc>
      </w:tr>
      <w:tr w14:paraId="1AE61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256333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1810" w:type="dxa"/>
            <w:vAlign w:val="center"/>
          </w:tcPr>
          <w:p w14:paraId="3696560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双面空格柜</w:t>
            </w:r>
          </w:p>
        </w:tc>
        <w:tc>
          <w:tcPr>
            <w:tcW w:w="661" w:type="dxa"/>
            <w:vAlign w:val="center"/>
          </w:tcPr>
          <w:p w14:paraId="45AB1B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30</w:t>
            </w:r>
          </w:p>
        </w:tc>
        <w:tc>
          <w:tcPr>
            <w:tcW w:w="661" w:type="dxa"/>
            <w:vAlign w:val="center"/>
          </w:tcPr>
          <w:p w14:paraId="232694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个</w:t>
            </w:r>
          </w:p>
        </w:tc>
        <w:tc>
          <w:tcPr>
            <w:tcW w:w="6269" w:type="dxa"/>
            <w:vAlign w:val="center"/>
          </w:tcPr>
          <w:p w14:paraId="2AC2072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：1500*600*1200mm；</w:t>
            </w:r>
          </w:p>
          <w:p w14:paraId="4743255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2.板材：选用E0级三聚氰胺浸渍纸饰面刨花板，厚度≥18mm；</w:t>
            </w:r>
          </w:p>
          <w:p w14:paraId="413E863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w:t>
            </w:r>
            <w:r>
              <w:rPr>
                <w:rFonts w:hint="eastAsia" w:ascii="宋体" w:hAnsi="宋体" w:eastAsia="宋体" w:cs="宋体"/>
                <w:color w:val="auto"/>
                <w:szCs w:val="21"/>
                <w:highlight w:val="none"/>
              </w:rPr>
              <w:t>参考图片：</w:t>
            </w:r>
          </w:p>
          <w:p w14:paraId="450F321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default"/>
                <w:color w:val="auto"/>
                <w:highlight w:val="none"/>
              </w:rPr>
              <w:drawing>
                <wp:inline distT="0" distB="0" distL="114300" distR="114300">
                  <wp:extent cx="1235075" cy="1104900"/>
                  <wp:effectExtent l="0" t="0" r="3175"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10"/>
                          <a:stretch>
                            <a:fillRect/>
                          </a:stretch>
                        </pic:blipFill>
                        <pic:spPr>
                          <a:xfrm>
                            <a:off x="0" y="0"/>
                            <a:ext cx="1235075" cy="1104900"/>
                          </a:xfrm>
                          <a:prstGeom prst="rect">
                            <a:avLst/>
                          </a:prstGeom>
                          <a:noFill/>
                          <a:ln w="9525">
                            <a:noFill/>
                          </a:ln>
                        </pic:spPr>
                      </pic:pic>
                    </a:graphicData>
                  </a:graphic>
                </wp:inline>
              </w:drawing>
            </w:r>
          </w:p>
        </w:tc>
      </w:tr>
      <w:tr w14:paraId="18062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2415A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1810" w:type="dxa"/>
            <w:vAlign w:val="center"/>
          </w:tcPr>
          <w:p w14:paraId="067A8B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咨询台</w:t>
            </w:r>
          </w:p>
        </w:tc>
        <w:tc>
          <w:tcPr>
            <w:tcW w:w="661" w:type="dxa"/>
            <w:vAlign w:val="center"/>
          </w:tcPr>
          <w:p w14:paraId="036C4B1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55BEC5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7A2A33F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：3200*800*1100mm；</w:t>
            </w:r>
          </w:p>
          <w:p w14:paraId="3BBCAFF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2.主体全采用环保密度板喷环保钢琴漆，抽屉及柜子全采用白色亮漆板，色泽美观，不变色，光滑耐磨，手感好；</w:t>
            </w:r>
          </w:p>
          <w:p w14:paraId="003B9705">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3.参考图片：</w:t>
            </w:r>
          </w:p>
          <w:p w14:paraId="71236AE1">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1513205" cy="1008380"/>
                  <wp:effectExtent l="0" t="0" r="1270" b="127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1"/>
                          <a:stretch>
                            <a:fillRect/>
                          </a:stretch>
                        </pic:blipFill>
                        <pic:spPr>
                          <a:xfrm>
                            <a:off x="0" y="0"/>
                            <a:ext cx="1513205" cy="1008380"/>
                          </a:xfrm>
                          <a:prstGeom prst="rect">
                            <a:avLst/>
                          </a:prstGeom>
                          <a:noFill/>
                          <a:ln w="9525">
                            <a:noFill/>
                          </a:ln>
                        </pic:spPr>
                      </pic:pic>
                    </a:graphicData>
                  </a:graphic>
                </wp:inline>
              </w:drawing>
            </w:r>
          </w:p>
        </w:tc>
      </w:tr>
      <w:tr w14:paraId="1D1EA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726F7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1810" w:type="dxa"/>
            <w:vAlign w:val="center"/>
          </w:tcPr>
          <w:p w14:paraId="23EFE14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导台椅子</w:t>
            </w:r>
          </w:p>
        </w:tc>
        <w:tc>
          <w:tcPr>
            <w:tcW w:w="661" w:type="dxa"/>
            <w:vAlign w:val="center"/>
          </w:tcPr>
          <w:p w14:paraId="278A919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1</w:t>
            </w:r>
          </w:p>
        </w:tc>
        <w:tc>
          <w:tcPr>
            <w:tcW w:w="661" w:type="dxa"/>
            <w:vAlign w:val="center"/>
          </w:tcPr>
          <w:p w14:paraId="485DA59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张</w:t>
            </w:r>
          </w:p>
        </w:tc>
        <w:tc>
          <w:tcPr>
            <w:tcW w:w="6269" w:type="dxa"/>
            <w:vAlign w:val="center"/>
          </w:tcPr>
          <w:p w14:paraId="7AD6FE57">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：660*690*1050-1150mm；</w:t>
            </w:r>
          </w:p>
          <w:p w14:paraId="622CF90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2.白色高韧性PP加纤背框；</w:t>
            </w:r>
          </w:p>
          <w:p w14:paraId="03A4C35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3.白色PP固定扶手，双截分段靠背，符合人体工学顶腰设计；</w:t>
            </w:r>
          </w:p>
          <w:p w14:paraId="4A88D39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4.弹力加厚特网背网，弹力座布；</w:t>
            </w:r>
          </w:p>
          <w:p w14:paraId="3B09290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5.高密度定型棉，≥12mm厚板材；</w:t>
            </w:r>
          </w:p>
          <w:p w14:paraId="33585D3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6.原位锁定倾仰底盘，≥3mm加厚钢板，耐久性测试30万次，机构运动无干涉，无噪音；</w:t>
            </w:r>
          </w:p>
          <w:p w14:paraId="04614B0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7.优质三级气压棒，采用≥2.0mm优质无缝钢管制作；</w:t>
            </w:r>
          </w:p>
          <w:p w14:paraId="74F4272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8.高强度电镀脚，静压测试1200KG以上，6寸PU静音轮；</w:t>
            </w:r>
          </w:p>
          <w:p w14:paraId="51AB29B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9.参考图片：</w:t>
            </w:r>
          </w:p>
          <w:p w14:paraId="3D5713DD">
            <w:pPr>
              <w:keepNext w:val="0"/>
              <w:keepLines w:val="0"/>
              <w:suppressLineNumbers w:val="0"/>
              <w:spacing w:before="0" w:beforeAutospacing="0" w:after="0" w:afterAutospacing="0" w:line="288" w:lineRule="auto"/>
              <w:ind w:left="0" w:right="0"/>
              <w:rPr>
                <w:rFonts w:hint="eastAsia" w:eastAsia="宋体"/>
                <w:color w:val="auto"/>
                <w:highlight w:val="none"/>
              </w:rPr>
            </w:pPr>
            <w:r>
              <w:rPr>
                <w:rFonts w:hint="default"/>
                <w:color w:val="auto"/>
                <w:highlight w:val="none"/>
              </w:rPr>
              <w:drawing>
                <wp:inline distT="0" distB="0" distL="114300" distR="114300">
                  <wp:extent cx="697865" cy="956310"/>
                  <wp:effectExtent l="0" t="0" r="6985"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2"/>
                          <a:stretch>
                            <a:fillRect/>
                          </a:stretch>
                        </pic:blipFill>
                        <pic:spPr>
                          <a:xfrm>
                            <a:off x="0" y="0"/>
                            <a:ext cx="697865" cy="956310"/>
                          </a:xfrm>
                          <a:prstGeom prst="rect">
                            <a:avLst/>
                          </a:prstGeom>
                          <a:noFill/>
                          <a:ln w="9525">
                            <a:noFill/>
                          </a:ln>
                        </pic:spPr>
                      </pic:pic>
                    </a:graphicData>
                  </a:graphic>
                </wp:inline>
              </w:drawing>
            </w:r>
          </w:p>
        </w:tc>
      </w:tr>
      <w:tr w14:paraId="52FB7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659" w:type="dxa"/>
            <w:vAlign w:val="center"/>
          </w:tcPr>
          <w:p w14:paraId="11C2D8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w:t>
            </w:r>
          </w:p>
        </w:tc>
        <w:tc>
          <w:tcPr>
            <w:tcW w:w="1810" w:type="dxa"/>
            <w:vAlign w:val="center"/>
          </w:tcPr>
          <w:p w14:paraId="32DFCDD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保安桌</w:t>
            </w:r>
          </w:p>
        </w:tc>
        <w:tc>
          <w:tcPr>
            <w:tcW w:w="661" w:type="dxa"/>
            <w:vAlign w:val="center"/>
          </w:tcPr>
          <w:p w14:paraId="6BD637C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3F383D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7F582F3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：1200*680*750mm；</w:t>
            </w:r>
          </w:p>
          <w:p w14:paraId="4E04E19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面材：选用优质三聚氰胺板贴面</w:t>
            </w:r>
            <w:r>
              <w:rPr>
                <w:rFonts w:hint="eastAsia" w:ascii="宋体" w:hAnsi="宋体" w:eastAsia="宋体" w:cs="宋体"/>
                <w:color w:val="auto"/>
                <w:highlight w:val="none"/>
              </w:rPr>
              <w:t>；</w:t>
            </w:r>
          </w:p>
          <w:p w14:paraId="745E123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基材：采用</w:t>
            </w:r>
            <w:r>
              <w:rPr>
                <w:rFonts w:hint="eastAsia" w:ascii="宋体" w:hAnsi="宋体" w:eastAsia="宋体" w:cs="宋体"/>
                <w:color w:val="auto"/>
                <w:highlight w:val="none"/>
              </w:rPr>
              <w:t>≥25mm厚</w:t>
            </w:r>
            <w:r>
              <w:rPr>
                <w:rFonts w:hint="default" w:ascii="宋体" w:hAnsi="宋体" w:eastAsia="宋体" w:cs="宋体"/>
                <w:color w:val="auto"/>
                <w:highlight w:val="none"/>
              </w:rPr>
              <w:t>优质刨花板，甲醛释放量≤0.05mg/m³</w:t>
            </w:r>
            <w:r>
              <w:rPr>
                <w:rFonts w:hint="eastAsia" w:ascii="宋体" w:hAnsi="宋体" w:eastAsia="宋体" w:cs="宋体"/>
                <w:color w:val="auto"/>
                <w:highlight w:val="none"/>
              </w:rPr>
              <w:t>；</w:t>
            </w:r>
          </w:p>
          <w:p w14:paraId="5313AEF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621C809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828800" cy="1167765"/>
                  <wp:effectExtent l="0" t="0" r="0" b="0"/>
                  <wp:docPr id="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2"/>
                          <pic:cNvPicPr>
                            <a:picLocks noChangeAspect="1"/>
                          </pic:cNvPicPr>
                        </pic:nvPicPr>
                        <pic:blipFill>
                          <a:blip r:embed="rId23"/>
                          <a:srcRect l="32354" t="52157" r="9086"/>
                          <a:stretch>
                            <a:fillRect/>
                          </a:stretch>
                        </pic:blipFill>
                        <pic:spPr>
                          <a:xfrm>
                            <a:off x="0" y="0"/>
                            <a:ext cx="1860778" cy="1188676"/>
                          </a:xfrm>
                          <a:prstGeom prst="rect">
                            <a:avLst/>
                          </a:prstGeom>
                          <a:noFill/>
                          <a:ln w="9525">
                            <a:noFill/>
                          </a:ln>
                        </pic:spPr>
                      </pic:pic>
                    </a:graphicData>
                  </a:graphic>
                </wp:inline>
              </w:drawing>
            </w:r>
          </w:p>
        </w:tc>
      </w:tr>
      <w:tr w14:paraId="2CAF4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74B951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w:t>
            </w:r>
          </w:p>
        </w:tc>
        <w:tc>
          <w:tcPr>
            <w:tcW w:w="1810" w:type="dxa"/>
            <w:vAlign w:val="center"/>
          </w:tcPr>
          <w:p w14:paraId="450C031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保安椅</w:t>
            </w:r>
          </w:p>
        </w:tc>
        <w:tc>
          <w:tcPr>
            <w:tcW w:w="661" w:type="dxa"/>
            <w:vAlign w:val="center"/>
          </w:tcPr>
          <w:p w14:paraId="1F81105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2B0716D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41E2362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：610*650*920mm；</w:t>
            </w:r>
          </w:p>
          <w:p w14:paraId="57BD28F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2.椅背：全新灰色加纤塑胶，悬空式护腰支撑设计；</w:t>
            </w:r>
          </w:p>
          <w:p w14:paraId="1A4C6ED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3.腰枕：悬空式支撑腰枕；</w:t>
            </w:r>
          </w:p>
          <w:p w14:paraId="7D78EE8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4.座垫：高密度海绵，伸缩弹性布面料；</w:t>
            </w:r>
          </w:p>
          <w:p w14:paraId="15CB268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5.扶手：全新黑色加纤塑胶，高强度连体固定扶手；</w:t>
            </w:r>
          </w:p>
          <w:p w14:paraId="108C492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6.架子：钢质电镀弓型架，厚度≥2mm；</w:t>
            </w:r>
          </w:p>
          <w:p w14:paraId="0F8843C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39C9EDF2">
            <w:pPr>
              <w:keepNext w:val="0"/>
              <w:keepLines w:val="0"/>
              <w:suppressLineNumbers w:val="0"/>
              <w:spacing w:before="0" w:beforeAutospacing="0" w:after="0" w:afterAutospacing="0" w:line="288" w:lineRule="auto"/>
              <w:ind w:left="0" w:right="0"/>
              <w:rPr>
                <w:rFonts w:hint="eastAsia" w:eastAsia="宋体"/>
                <w:color w:val="auto"/>
                <w:highlight w:val="none"/>
              </w:rPr>
            </w:pPr>
            <w:r>
              <w:rPr>
                <w:rFonts w:hint="default"/>
                <w:color w:val="auto"/>
                <w:highlight w:val="none"/>
              </w:rPr>
              <w:drawing>
                <wp:inline distT="0" distB="0" distL="114300" distR="114300">
                  <wp:extent cx="846455" cy="944880"/>
                  <wp:effectExtent l="0" t="0" r="1270" b="762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4"/>
                          <a:stretch>
                            <a:fillRect/>
                          </a:stretch>
                        </pic:blipFill>
                        <pic:spPr>
                          <a:xfrm>
                            <a:off x="0" y="0"/>
                            <a:ext cx="846455" cy="944880"/>
                          </a:xfrm>
                          <a:prstGeom prst="rect">
                            <a:avLst/>
                          </a:prstGeom>
                          <a:noFill/>
                          <a:ln w="9525">
                            <a:noFill/>
                          </a:ln>
                        </pic:spPr>
                      </pic:pic>
                    </a:graphicData>
                  </a:graphic>
                </wp:inline>
              </w:drawing>
            </w:r>
          </w:p>
        </w:tc>
      </w:tr>
      <w:tr w14:paraId="5A7A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EBCA1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8</w:t>
            </w:r>
          </w:p>
        </w:tc>
        <w:tc>
          <w:tcPr>
            <w:tcW w:w="1810" w:type="dxa"/>
            <w:vAlign w:val="center"/>
          </w:tcPr>
          <w:p w14:paraId="3850B7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沙龙贵宾椅</w:t>
            </w:r>
          </w:p>
        </w:tc>
        <w:tc>
          <w:tcPr>
            <w:tcW w:w="661" w:type="dxa"/>
            <w:vAlign w:val="center"/>
          </w:tcPr>
          <w:p w14:paraId="332C67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661" w:type="dxa"/>
            <w:vAlign w:val="center"/>
          </w:tcPr>
          <w:p w14:paraId="719ADF2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0038BF5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：625*560*855mm；</w:t>
            </w:r>
          </w:p>
          <w:p w14:paraId="6254933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2.椅身：采用全新聚丙烯加玻璃纤维，由椅身、装饰壳两部分组成，两部件具有独立可拆卸功能。结合腰位、颈椎位置设计的3D立面的椅背；</w:t>
            </w:r>
          </w:p>
          <w:p w14:paraId="65BA570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2.椅背顶部：为弧形设计，宽度≥35mm，抓握功能好，方便单手搬运，方便不同人群移动椅子；</w:t>
            </w:r>
          </w:p>
          <w:p w14:paraId="5884418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3.顶腰和包覆性明显，座椅可以堆叠收纳并带有椅面保护装置，防止堆叠时磨损座板。结构稳定，拉力承重≥130KG，椅背通过34KG 12万次循环推背测试；</w:t>
            </w:r>
          </w:p>
          <w:p w14:paraId="65AA62E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097287A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986155" cy="817245"/>
                  <wp:effectExtent l="0" t="0" r="4445" b="190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5"/>
                          <a:stretch>
                            <a:fillRect/>
                          </a:stretch>
                        </pic:blipFill>
                        <pic:spPr>
                          <a:xfrm>
                            <a:off x="0" y="0"/>
                            <a:ext cx="986155" cy="817245"/>
                          </a:xfrm>
                          <a:prstGeom prst="rect">
                            <a:avLst/>
                          </a:prstGeom>
                          <a:noFill/>
                          <a:ln>
                            <a:noFill/>
                          </a:ln>
                        </pic:spPr>
                      </pic:pic>
                    </a:graphicData>
                  </a:graphic>
                </wp:inline>
              </w:drawing>
            </w:r>
          </w:p>
        </w:tc>
      </w:tr>
      <w:tr w14:paraId="189C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9A4B3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9</w:t>
            </w:r>
          </w:p>
        </w:tc>
        <w:tc>
          <w:tcPr>
            <w:tcW w:w="1810" w:type="dxa"/>
            <w:vAlign w:val="center"/>
          </w:tcPr>
          <w:p w14:paraId="2ACBC7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沙龙椅</w:t>
            </w:r>
          </w:p>
        </w:tc>
        <w:tc>
          <w:tcPr>
            <w:tcW w:w="661" w:type="dxa"/>
            <w:vAlign w:val="center"/>
          </w:tcPr>
          <w:p w14:paraId="551FAA8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48</w:t>
            </w:r>
          </w:p>
        </w:tc>
        <w:tc>
          <w:tcPr>
            <w:tcW w:w="661" w:type="dxa"/>
            <w:vAlign w:val="center"/>
          </w:tcPr>
          <w:p w14:paraId="4576888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把</w:t>
            </w:r>
          </w:p>
        </w:tc>
        <w:tc>
          <w:tcPr>
            <w:tcW w:w="6269" w:type="dxa"/>
            <w:vAlign w:val="center"/>
          </w:tcPr>
          <w:p w14:paraId="005398EF">
            <w:pPr>
              <w:keepNext w:val="0"/>
              <w:keepLines w:val="0"/>
              <w:numPr>
                <w:ilvl w:val="0"/>
                <w:numId w:val="2"/>
              </w:numPr>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：520*530*830mm；</w:t>
            </w:r>
          </w:p>
          <w:p w14:paraId="61D0C30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2.采用全新工程聚丙烯一体注塑成型；</w:t>
            </w:r>
          </w:p>
          <w:p w14:paraId="00E8FFE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3.一体成型扶手连接倾仰机构：座与扶手采用一体化设计；靠背同步运动可实现10-20度的角度变化；符合人体工学，提高整椅的舒适度；</w:t>
            </w:r>
          </w:p>
          <w:p w14:paraId="363F838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C7EECB4">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861060" cy="1052830"/>
                  <wp:effectExtent l="0" t="0" r="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26"/>
                          <a:srcRect l="24077" r="19044" b="13915"/>
                          <a:stretch>
                            <a:fillRect/>
                          </a:stretch>
                        </pic:blipFill>
                        <pic:spPr>
                          <a:xfrm>
                            <a:off x="0" y="0"/>
                            <a:ext cx="861060" cy="1052830"/>
                          </a:xfrm>
                          <a:prstGeom prst="rect">
                            <a:avLst/>
                          </a:prstGeom>
                          <a:noFill/>
                          <a:ln w="9525">
                            <a:noFill/>
                          </a:ln>
                        </pic:spPr>
                      </pic:pic>
                    </a:graphicData>
                  </a:graphic>
                </wp:inline>
              </w:drawing>
            </w:r>
          </w:p>
        </w:tc>
      </w:tr>
      <w:tr w14:paraId="5FBC4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8DA154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1810" w:type="dxa"/>
            <w:vAlign w:val="center"/>
          </w:tcPr>
          <w:p w14:paraId="3BE28B2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沙龙圆桌</w:t>
            </w:r>
          </w:p>
        </w:tc>
        <w:tc>
          <w:tcPr>
            <w:tcW w:w="661" w:type="dxa"/>
            <w:vAlign w:val="center"/>
          </w:tcPr>
          <w:p w14:paraId="736AED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661" w:type="dxa"/>
            <w:vAlign w:val="center"/>
          </w:tcPr>
          <w:p w14:paraId="0CDADCE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4238523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：直径900*750mm；</w:t>
            </w:r>
          </w:p>
          <w:p w14:paraId="41C6D9F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2.桌面：E0级三聚氰胺浸渍纸饰面板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厚</w:t>
            </w:r>
            <w:r>
              <w:rPr>
                <w:rFonts w:hint="eastAsia" w:ascii="宋体" w:hAnsi="宋体" w:eastAsia="宋体" w:cs="宋体"/>
                <w:color w:val="auto"/>
                <w:highlight w:val="none"/>
                <w:lang w:val="en-US" w:eastAsia="zh-CN"/>
              </w:rPr>
              <w:t>度≥</w:t>
            </w:r>
            <w:r>
              <w:rPr>
                <w:rFonts w:hint="eastAsia" w:ascii="宋体" w:hAnsi="宋体" w:eastAsia="宋体" w:cs="宋体"/>
                <w:color w:val="auto"/>
                <w:highlight w:val="none"/>
              </w:rPr>
              <w:t>25mm，圆周倒斜边；</w:t>
            </w:r>
          </w:p>
          <w:p w14:paraId="0729063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3.桌脚：白蜡木实木脚；</w:t>
            </w:r>
          </w:p>
          <w:p w14:paraId="5CE9C2C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007866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790575" cy="676910"/>
                  <wp:effectExtent l="0" t="0" r="0" b="889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7"/>
                          <a:stretch>
                            <a:fillRect/>
                          </a:stretch>
                        </pic:blipFill>
                        <pic:spPr>
                          <a:xfrm>
                            <a:off x="0" y="0"/>
                            <a:ext cx="790575" cy="676910"/>
                          </a:xfrm>
                          <a:prstGeom prst="rect">
                            <a:avLst/>
                          </a:prstGeom>
                          <a:noFill/>
                          <a:ln w="9525">
                            <a:noFill/>
                          </a:ln>
                        </pic:spPr>
                      </pic:pic>
                    </a:graphicData>
                  </a:graphic>
                </wp:inline>
              </w:drawing>
            </w:r>
          </w:p>
        </w:tc>
      </w:tr>
      <w:tr w14:paraId="42D79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1DA674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11</w:t>
            </w:r>
          </w:p>
        </w:tc>
        <w:tc>
          <w:tcPr>
            <w:tcW w:w="1810" w:type="dxa"/>
            <w:vAlign w:val="center"/>
          </w:tcPr>
          <w:p w14:paraId="67F12DB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移动演讲台</w:t>
            </w:r>
          </w:p>
        </w:tc>
        <w:tc>
          <w:tcPr>
            <w:tcW w:w="661" w:type="dxa"/>
            <w:vAlign w:val="center"/>
          </w:tcPr>
          <w:p w14:paraId="368679D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3ACBDD6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61EF393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：500*700*1100mm；</w:t>
            </w:r>
          </w:p>
          <w:p w14:paraId="740E287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2.优质钢架+气动升降+木质面板+万向轮；</w:t>
            </w:r>
          </w:p>
          <w:p w14:paraId="3271E173">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3.参考图片：</w:t>
            </w:r>
          </w:p>
          <w:p w14:paraId="4C70F9F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869315" cy="1359535"/>
                  <wp:effectExtent l="0" t="0" r="6985" b="254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8"/>
                          <a:srcRect l="8578" t="4255" r="24017"/>
                          <a:stretch>
                            <a:fillRect/>
                          </a:stretch>
                        </pic:blipFill>
                        <pic:spPr>
                          <a:xfrm>
                            <a:off x="0" y="0"/>
                            <a:ext cx="869315" cy="1359535"/>
                          </a:xfrm>
                          <a:prstGeom prst="rect">
                            <a:avLst/>
                          </a:prstGeom>
                          <a:noFill/>
                          <a:ln w="9525">
                            <a:noFill/>
                          </a:ln>
                        </pic:spPr>
                      </pic:pic>
                    </a:graphicData>
                  </a:graphic>
                </wp:inline>
              </w:drawing>
            </w:r>
          </w:p>
        </w:tc>
      </w:tr>
      <w:tr w14:paraId="066E8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7062445C">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3层</w:t>
            </w:r>
          </w:p>
        </w:tc>
      </w:tr>
      <w:tr w14:paraId="61BC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9627FC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12</w:t>
            </w:r>
          </w:p>
        </w:tc>
        <w:tc>
          <w:tcPr>
            <w:tcW w:w="1810" w:type="dxa"/>
            <w:vAlign w:val="center"/>
          </w:tcPr>
          <w:p w14:paraId="0386F6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四人卡座</w:t>
            </w:r>
          </w:p>
        </w:tc>
        <w:tc>
          <w:tcPr>
            <w:tcW w:w="661" w:type="dxa"/>
            <w:vAlign w:val="center"/>
          </w:tcPr>
          <w:p w14:paraId="1B45E11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8</w:t>
            </w:r>
          </w:p>
        </w:tc>
        <w:tc>
          <w:tcPr>
            <w:tcW w:w="661" w:type="dxa"/>
            <w:vAlign w:val="center"/>
          </w:tcPr>
          <w:p w14:paraId="259ECF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262668F">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1.两张沙发+一个茶几为一组</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沙发</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：1300*650*680mm；茶几</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：1200*600*450mm</w:t>
            </w:r>
            <w:r>
              <w:rPr>
                <w:rFonts w:hint="eastAsia" w:ascii="宋体" w:hAnsi="宋体" w:eastAsia="宋体" w:cs="宋体"/>
                <w:color w:val="auto"/>
                <w:highlight w:val="none"/>
                <w:lang w:eastAsia="zh-CN"/>
              </w:rPr>
              <w:t>；</w:t>
            </w:r>
          </w:p>
          <w:p w14:paraId="3C35B92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2.沙发：麻绒布面料，实木框架，靠背及座垫为35密度高回弹切割新棉，坐垫为45密度高回弹切割新棉；沙发为整体钢制底架，脚及横梁均为≥30*30mm方形钢管，壁厚≥1.8mm，</w:t>
            </w:r>
            <w:r>
              <w:rPr>
                <w:rFonts w:hint="eastAsia" w:ascii="宋体" w:hAnsi="宋体" w:eastAsia="宋体" w:cs="宋体"/>
                <w:color w:val="auto"/>
                <w:szCs w:val="21"/>
                <w:highlight w:val="none"/>
              </w:rPr>
              <w:t>表面经酸洗、磷化等防锈处理，流水线静电喷涂，具有耐磨，防腐，抗老化等性能；</w:t>
            </w:r>
          </w:p>
          <w:p w14:paraId="57CA77E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3.茶几：面板为E0级中密度纤维板，白色环保水性漆喷涂；钢制茶几脚，</w:t>
            </w:r>
            <w:r>
              <w:rPr>
                <w:rFonts w:hint="eastAsia" w:ascii="宋体" w:hAnsi="宋体" w:eastAsia="宋体" w:cs="宋体"/>
                <w:color w:val="auto"/>
                <w:szCs w:val="21"/>
                <w:highlight w:val="none"/>
              </w:rPr>
              <w:t>表面经酸洗、磷化等防锈处理，流水线静电喷涂，具有耐磨，防腐，抗老化等性能；</w:t>
            </w:r>
          </w:p>
          <w:p w14:paraId="031B0B0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3D4D55C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default"/>
                <w:color w:val="auto"/>
                <w:highlight w:val="none"/>
              </w:rPr>
              <w:drawing>
                <wp:inline distT="0" distB="0" distL="114300" distR="114300">
                  <wp:extent cx="1621790" cy="918210"/>
                  <wp:effectExtent l="0" t="0" r="6985" b="571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9"/>
                          <a:stretch>
                            <a:fillRect/>
                          </a:stretch>
                        </pic:blipFill>
                        <pic:spPr>
                          <a:xfrm>
                            <a:off x="0" y="0"/>
                            <a:ext cx="1621790" cy="918210"/>
                          </a:xfrm>
                          <a:prstGeom prst="rect">
                            <a:avLst/>
                          </a:prstGeom>
                          <a:noFill/>
                          <a:ln>
                            <a:noFill/>
                          </a:ln>
                        </pic:spPr>
                      </pic:pic>
                    </a:graphicData>
                  </a:graphic>
                </wp:inline>
              </w:drawing>
            </w:r>
          </w:p>
        </w:tc>
      </w:tr>
      <w:tr w14:paraId="013A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5FBDD9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13</w:t>
            </w:r>
          </w:p>
        </w:tc>
        <w:tc>
          <w:tcPr>
            <w:tcW w:w="1810" w:type="dxa"/>
            <w:vAlign w:val="center"/>
          </w:tcPr>
          <w:p w14:paraId="05C4282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书柜</w:t>
            </w:r>
          </w:p>
        </w:tc>
        <w:tc>
          <w:tcPr>
            <w:tcW w:w="661" w:type="dxa"/>
            <w:vAlign w:val="center"/>
          </w:tcPr>
          <w:p w14:paraId="22076F7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661" w:type="dxa"/>
            <w:vAlign w:val="center"/>
          </w:tcPr>
          <w:p w14:paraId="3BDFC86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24E050B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：单个柜子1200*400*1200mm,3个为一组；</w:t>
            </w:r>
          </w:p>
          <w:p w14:paraId="2148B2B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2.板材：E0级三聚氰胺浸渍纸饰面板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厚</w:t>
            </w:r>
            <w:r>
              <w:rPr>
                <w:rFonts w:hint="eastAsia" w:ascii="宋体" w:hAnsi="宋体" w:eastAsia="宋体" w:cs="宋体"/>
                <w:color w:val="auto"/>
                <w:highlight w:val="none"/>
                <w:lang w:val="en-US" w:eastAsia="zh-CN"/>
              </w:rPr>
              <w:t>度≥</w:t>
            </w:r>
            <w:r>
              <w:rPr>
                <w:rFonts w:hint="eastAsia" w:ascii="宋体" w:hAnsi="宋体" w:eastAsia="宋体" w:cs="宋体"/>
                <w:color w:val="auto"/>
                <w:highlight w:val="none"/>
              </w:rPr>
              <w:t>18mm；</w:t>
            </w:r>
          </w:p>
          <w:p w14:paraId="0CABF65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3.封边：封边厚度≥2mm；</w:t>
            </w:r>
          </w:p>
          <w:p w14:paraId="46B8E58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0F3080D3">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373505" cy="1358900"/>
                  <wp:effectExtent l="0" t="0" r="7620" b="3175"/>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30"/>
                          <a:stretch>
                            <a:fillRect/>
                          </a:stretch>
                        </pic:blipFill>
                        <pic:spPr>
                          <a:xfrm>
                            <a:off x="0" y="0"/>
                            <a:ext cx="1373505" cy="1358900"/>
                          </a:xfrm>
                          <a:prstGeom prst="rect">
                            <a:avLst/>
                          </a:prstGeom>
                          <a:noFill/>
                          <a:ln w="9525">
                            <a:noFill/>
                          </a:ln>
                        </pic:spPr>
                      </pic:pic>
                    </a:graphicData>
                  </a:graphic>
                </wp:inline>
              </w:drawing>
            </w:r>
          </w:p>
        </w:tc>
      </w:tr>
      <w:tr w14:paraId="10E1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A236D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14</w:t>
            </w:r>
          </w:p>
        </w:tc>
        <w:tc>
          <w:tcPr>
            <w:tcW w:w="1810" w:type="dxa"/>
            <w:vAlign w:val="center"/>
          </w:tcPr>
          <w:p w14:paraId="3B0D70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休闲桌、休闲凳</w:t>
            </w:r>
          </w:p>
        </w:tc>
        <w:tc>
          <w:tcPr>
            <w:tcW w:w="661" w:type="dxa"/>
            <w:vAlign w:val="center"/>
          </w:tcPr>
          <w:p w14:paraId="218D12E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661" w:type="dxa"/>
            <w:vAlign w:val="center"/>
          </w:tcPr>
          <w:p w14:paraId="58D4B6E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1AA14BF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1.一张休闲桌+五个休闲凳为一组，休闲桌</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：φ1200*900mm，休闲凳</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：φ360*680mm；</w:t>
            </w:r>
          </w:p>
          <w:p w14:paraId="4F13723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2.休闲桌桌面为斜边烤漆板，座底扪布绒，带三插+二插插座，防滑塑料脚垫；</w:t>
            </w:r>
          </w:p>
          <w:p w14:paraId="2F492CFC">
            <w:pPr>
              <w:keepNext w:val="0"/>
              <w:keepLines w:val="0"/>
              <w:suppressLineNumbers w:val="0"/>
              <w:spacing w:before="0" w:beforeAutospacing="0" w:after="0" w:afterAutospacing="0" w:line="288" w:lineRule="auto"/>
              <w:ind w:left="0" w:right="0"/>
              <w:rPr>
                <w:rFonts w:hint="eastAsia" w:ascii="宋体" w:hAnsi="宋体" w:cs="宋体"/>
                <w:color w:val="auto"/>
                <w:highlight w:val="none"/>
              </w:rPr>
            </w:pPr>
            <w:r>
              <w:rPr>
                <w:rFonts w:hint="eastAsia" w:ascii="宋体" w:hAnsi="宋体" w:eastAsia="宋体" w:cs="宋体"/>
                <w:color w:val="auto"/>
                <w:highlight w:val="none"/>
              </w:rPr>
              <w:t>3.不含绿植；</w:t>
            </w:r>
          </w:p>
          <w:p w14:paraId="4A96532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521122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039495" cy="1184275"/>
                  <wp:effectExtent l="0" t="0" r="8255" b="6350"/>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31"/>
                          <a:stretch>
                            <a:fillRect/>
                          </a:stretch>
                        </pic:blipFill>
                        <pic:spPr>
                          <a:xfrm>
                            <a:off x="0" y="0"/>
                            <a:ext cx="1039495" cy="1184275"/>
                          </a:xfrm>
                          <a:prstGeom prst="rect">
                            <a:avLst/>
                          </a:prstGeom>
                          <a:noFill/>
                          <a:ln w="9525">
                            <a:noFill/>
                          </a:ln>
                        </pic:spPr>
                      </pic:pic>
                    </a:graphicData>
                  </a:graphic>
                </wp:inline>
              </w:drawing>
            </w:r>
            <w:r>
              <w:rPr>
                <w:rFonts w:hint="default"/>
                <w:color w:val="auto"/>
                <w:highlight w:val="none"/>
              </w:rPr>
              <w:drawing>
                <wp:inline distT="0" distB="0" distL="114300" distR="114300">
                  <wp:extent cx="647065" cy="1206500"/>
                  <wp:effectExtent l="0" t="0" r="635" b="0"/>
                  <wp:docPr id="61" name="图片 60" descr="3-1卡尔-吧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3-1卡尔-吧椅"/>
                          <pic:cNvPicPr>
                            <a:picLocks noChangeAspect="1"/>
                          </pic:cNvPicPr>
                        </pic:nvPicPr>
                        <pic:blipFill>
                          <a:blip r:embed="rId32">
                            <a:lum contrast="12000"/>
                          </a:blip>
                          <a:srcRect l="34279" t="14003" r="38085" b="9555"/>
                          <a:stretch>
                            <a:fillRect/>
                          </a:stretch>
                        </pic:blipFill>
                        <pic:spPr>
                          <a:xfrm>
                            <a:off x="0" y="0"/>
                            <a:ext cx="647065" cy="1206500"/>
                          </a:xfrm>
                          <a:prstGeom prst="rect">
                            <a:avLst/>
                          </a:prstGeom>
                        </pic:spPr>
                      </pic:pic>
                    </a:graphicData>
                  </a:graphic>
                </wp:inline>
              </w:drawing>
            </w:r>
          </w:p>
        </w:tc>
      </w:tr>
      <w:tr w14:paraId="568FC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7E0D6E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15</w:t>
            </w:r>
          </w:p>
        </w:tc>
        <w:tc>
          <w:tcPr>
            <w:tcW w:w="1810" w:type="dxa"/>
            <w:vAlign w:val="center"/>
          </w:tcPr>
          <w:p w14:paraId="1A01333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组合沙龙沙发</w:t>
            </w:r>
          </w:p>
        </w:tc>
        <w:tc>
          <w:tcPr>
            <w:tcW w:w="661" w:type="dxa"/>
            <w:vAlign w:val="center"/>
          </w:tcPr>
          <w:p w14:paraId="5079D8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0EC8CF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E2C8FA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：3010*2600*780mm；</w:t>
            </w:r>
          </w:p>
          <w:p w14:paraId="142531C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内框架：实木框架配多层夹板+木方装钉而成；</w:t>
            </w:r>
          </w:p>
          <w:p w14:paraId="70816494">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海绵：靠背为35密度高回弹切割新棉，坐垫为45密度高回弹切割新棉；</w:t>
            </w:r>
          </w:p>
          <w:p w14:paraId="02B5887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w:t>
            </w:r>
            <w:r>
              <w:rPr>
                <w:rFonts w:hint="default" w:ascii="宋体" w:hAnsi="宋体" w:eastAsia="宋体" w:cs="宋体"/>
                <w:color w:val="auto"/>
                <w:highlight w:val="none"/>
              </w:rPr>
              <w:t>承重弹力结构：靠背装钉多条橡筋，坐垫为标准间距蛇形簧+平衡橡筋+面布；</w:t>
            </w:r>
          </w:p>
          <w:p w14:paraId="62F7011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w:t>
            </w:r>
            <w:r>
              <w:rPr>
                <w:rFonts w:hint="default" w:ascii="宋体" w:hAnsi="宋体" w:eastAsia="宋体" w:cs="宋体"/>
                <w:color w:val="auto"/>
                <w:highlight w:val="none"/>
              </w:rPr>
              <w:t>面料：布绒；</w:t>
            </w:r>
          </w:p>
          <w:p w14:paraId="11E01BC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w:t>
            </w:r>
            <w:r>
              <w:rPr>
                <w:rFonts w:hint="default" w:ascii="宋体" w:hAnsi="宋体" w:eastAsia="宋体" w:cs="宋体"/>
                <w:color w:val="auto"/>
                <w:highlight w:val="none"/>
              </w:rPr>
              <w:t>脚垫：防滑塑料脚垫</w:t>
            </w:r>
            <w:r>
              <w:rPr>
                <w:rFonts w:hint="eastAsia" w:ascii="宋体" w:hAnsi="宋体" w:eastAsia="宋体" w:cs="宋体"/>
                <w:color w:val="auto"/>
                <w:highlight w:val="none"/>
              </w:rPr>
              <w:t>；</w:t>
            </w:r>
          </w:p>
          <w:p w14:paraId="10DEEA1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1848F1A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042035" cy="1132205"/>
                  <wp:effectExtent l="0" t="0" r="5715" b="1270"/>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33"/>
                          <a:srcRect l="16034" t="7338" b="10355"/>
                          <a:stretch>
                            <a:fillRect/>
                          </a:stretch>
                        </pic:blipFill>
                        <pic:spPr>
                          <a:xfrm>
                            <a:off x="0" y="0"/>
                            <a:ext cx="1042035" cy="1132205"/>
                          </a:xfrm>
                          <a:prstGeom prst="rect">
                            <a:avLst/>
                          </a:prstGeom>
                          <a:noFill/>
                          <a:ln w="9525">
                            <a:noFill/>
                          </a:ln>
                        </pic:spPr>
                      </pic:pic>
                    </a:graphicData>
                  </a:graphic>
                </wp:inline>
              </w:drawing>
            </w:r>
          </w:p>
        </w:tc>
      </w:tr>
      <w:tr w14:paraId="4B6C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AF55A2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16</w:t>
            </w:r>
          </w:p>
        </w:tc>
        <w:tc>
          <w:tcPr>
            <w:tcW w:w="1810" w:type="dxa"/>
            <w:vAlign w:val="center"/>
          </w:tcPr>
          <w:p w14:paraId="22728E5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组合沙发</w:t>
            </w:r>
          </w:p>
        </w:tc>
        <w:tc>
          <w:tcPr>
            <w:tcW w:w="661" w:type="dxa"/>
            <w:vAlign w:val="center"/>
          </w:tcPr>
          <w:p w14:paraId="721B4E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4FE078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ADE42C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：4670*5585*780mm；</w:t>
            </w:r>
          </w:p>
          <w:p w14:paraId="3108180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内框架：实木框架配多层夹板+木方装钉而成；</w:t>
            </w:r>
          </w:p>
          <w:p w14:paraId="3E3F6DB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海绵：靠背为35密度高回弹切割新棉，坐垫为45密度高回弹切割新棉；</w:t>
            </w:r>
          </w:p>
          <w:p w14:paraId="4915CED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w:t>
            </w:r>
            <w:r>
              <w:rPr>
                <w:rFonts w:hint="default" w:ascii="宋体" w:hAnsi="宋体" w:eastAsia="宋体" w:cs="宋体"/>
                <w:color w:val="auto"/>
                <w:highlight w:val="none"/>
              </w:rPr>
              <w:t>承重弹力结构：靠背装钉多条橡筋，坐垫为标准间距蛇形簧+平衡橡筋+面布；</w:t>
            </w:r>
          </w:p>
          <w:p w14:paraId="62EF088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w:t>
            </w:r>
            <w:r>
              <w:rPr>
                <w:rFonts w:hint="default" w:ascii="宋体" w:hAnsi="宋体" w:eastAsia="宋体" w:cs="宋体"/>
                <w:color w:val="auto"/>
                <w:highlight w:val="none"/>
              </w:rPr>
              <w:t>面料：布绒；</w:t>
            </w:r>
          </w:p>
          <w:p w14:paraId="4F0121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w:t>
            </w:r>
            <w:r>
              <w:rPr>
                <w:rFonts w:hint="default" w:ascii="宋体" w:hAnsi="宋体" w:eastAsia="宋体" w:cs="宋体"/>
                <w:color w:val="auto"/>
                <w:highlight w:val="none"/>
              </w:rPr>
              <w:t>脚垫：防滑塑料脚垫</w:t>
            </w:r>
            <w:r>
              <w:rPr>
                <w:rFonts w:hint="eastAsia" w:ascii="宋体" w:hAnsi="宋体" w:eastAsia="宋体" w:cs="宋体"/>
                <w:color w:val="auto"/>
                <w:highlight w:val="none"/>
              </w:rPr>
              <w:t>；</w:t>
            </w:r>
          </w:p>
          <w:p w14:paraId="78BA424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1F4AE92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91945" cy="883920"/>
                  <wp:effectExtent l="0" t="0" r="8255" b="1905"/>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34"/>
                          <a:srcRect t="20115" r="16457" b="9810"/>
                          <a:stretch>
                            <a:fillRect/>
                          </a:stretch>
                        </pic:blipFill>
                        <pic:spPr>
                          <a:xfrm>
                            <a:off x="0" y="0"/>
                            <a:ext cx="1591945" cy="883920"/>
                          </a:xfrm>
                          <a:prstGeom prst="rect">
                            <a:avLst/>
                          </a:prstGeom>
                          <a:noFill/>
                          <a:ln w="9525">
                            <a:noFill/>
                          </a:ln>
                        </pic:spPr>
                      </pic:pic>
                    </a:graphicData>
                  </a:graphic>
                </wp:inline>
              </w:drawing>
            </w:r>
          </w:p>
        </w:tc>
      </w:tr>
      <w:tr w14:paraId="70517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22E91733">
            <w:pPr>
              <w:keepNext w:val="0"/>
              <w:keepLines w:val="0"/>
              <w:suppressLineNumbers w:val="0"/>
              <w:spacing w:before="0" w:beforeAutospacing="0" w:after="0" w:afterAutospacing="0" w:line="288" w:lineRule="auto"/>
              <w:ind w:left="0" w:right="0"/>
              <w:rPr>
                <w:rFonts w:hint="eastAsia" w:ascii="宋体" w:hAnsi="宋体" w:eastAsia="宋体" w:cs="宋体"/>
                <w:b/>
                <w:bCs/>
                <w:color w:val="auto"/>
                <w:highlight w:val="none"/>
              </w:rPr>
            </w:pPr>
            <w:r>
              <w:rPr>
                <w:rFonts w:hint="eastAsia" w:ascii="宋体" w:hAnsi="宋体" w:eastAsia="宋体" w:cs="宋体"/>
                <w:b/>
                <w:bCs/>
                <w:color w:val="auto"/>
                <w:highlight w:val="none"/>
              </w:rPr>
              <w:t>3层布局图：</w:t>
            </w:r>
          </w:p>
          <w:p w14:paraId="55EFBBB0">
            <w:pPr>
              <w:keepNext w:val="0"/>
              <w:keepLines w:val="0"/>
              <w:suppressLineNumbers w:val="0"/>
              <w:spacing w:before="0" w:beforeAutospacing="0" w:after="0" w:afterAutospacing="0" w:line="288" w:lineRule="auto"/>
              <w:ind w:left="0" w:right="0"/>
              <w:rPr>
                <w:rFonts w:hint="eastAsia"/>
                <w:color w:val="auto"/>
                <w:highlight w:val="none"/>
              </w:rPr>
            </w:pPr>
            <w:r>
              <w:rPr>
                <w:rFonts w:hint="default"/>
                <w:color w:val="auto"/>
                <w:highlight w:val="none"/>
              </w:rPr>
              <w:drawing>
                <wp:inline distT="0" distB="0" distL="114300" distR="114300">
                  <wp:extent cx="2226310" cy="1047750"/>
                  <wp:effectExtent l="0" t="0" r="2540" b="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35"/>
                          <a:srcRect t="434" b="-434"/>
                          <a:stretch>
                            <a:fillRect/>
                          </a:stretch>
                        </pic:blipFill>
                        <pic:spPr>
                          <a:xfrm>
                            <a:off x="0" y="0"/>
                            <a:ext cx="2226310" cy="1047750"/>
                          </a:xfrm>
                          <a:prstGeom prst="rect">
                            <a:avLst/>
                          </a:prstGeom>
                          <a:noFill/>
                          <a:ln w="9525">
                            <a:noFill/>
                          </a:ln>
                        </pic:spPr>
                      </pic:pic>
                    </a:graphicData>
                  </a:graphic>
                </wp:inline>
              </w:drawing>
            </w:r>
          </w:p>
        </w:tc>
      </w:tr>
      <w:tr w14:paraId="0D7BA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0198D77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4层户外桌椅</w:t>
            </w:r>
          </w:p>
        </w:tc>
      </w:tr>
      <w:tr w14:paraId="362A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659" w:type="dxa"/>
            <w:vAlign w:val="center"/>
          </w:tcPr>
          <w:p w14:paraId="7993F2B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17</w:t>
            </w:r>
          </w:p>
        </w:tc>
        <w:tc>
          <w:tcPr>
            <w:tcW w:w="1810" w:type="dxa"/>
            <w:vAlign w:val="center"/>
          </w:tcPr>
          <w:p w14:paraId="240BE7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户外套装（一桌二椅）</w:t>
            </w:r>
          </w:p>
        </w:tc>
        <w:tc>
          <w:tcPr>
            <w:tcW w:w="661" w:type="dxa"/>
            <w:vAlign w:val="center"/>
          </w:tcPr>
          <w:p w14:paraId="0DEF450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16</w:t>
            </w:r>
          </w:p>
        </w:tc>
        <w:tc>
          <w:tcPr>
            <w:tcW w:w="661" w:type="dxa"/>
            <w:vAlign w:val="center"/>
          </w:tcPr>
          <w:p w14:paraId="32392C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套</w:t>
            </w:r>
          </w:p>
        </w:tc>
        <w:tc>
          <w:tcPr>
            <w:tcW w:w="6269" w:type="dxa"/>
            <w:vAlign w:val="center"/>
          </w:tcPr>
          <w:p w14:paraId="0BB389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参考尺寸：</w:t>
            </w:r>
            <w:r>
              <w:rPr>
                <w:rFonts w:hint="eastAsia" w:ascii="宋体" w:hAnsi="宋体" w:eastAsia="宋体" w:cs="宋体"/>
                <w:color w:val="auto"/>
                <w:highlight w:val="none"/>
              </w:rPr>
              <w:t>圆桌650*725mm，椅子常规；</w:t>
            </w:r>
          </w:p>
          <w:p w14:paraId="2AFAA91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2.材质：UV+铁艺防锈；</w:t>
            </w:r>
          </w:p>
          <w:p w14:paraId="5CE613C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3.参考图片：</w:t>
            </w:r>
          </w:p>
          <w:p w14:paraId="2B4470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600835" cy="1218565"/>
                  <wp:effectExtent l="0" t="0" r="8890" b="635"/>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6"/>
                          <a:stretch>
                            <a:fillRect/>
                          </a:stretch>
                        </pic:blipFill>
                        <pic:spPr>
                          <a:xfrm>
                            <a:off x="0" y="0"/>
                            <a:ext cx="1600835" cy="1218565"/>
                          </a:xfrm>
                          <a:prstGeom prst="rect">
                            <a:avLst/>
                          </a:prstGeom>
                          <a:noFill/>
                          <a:ln w="9525">
                            <a:noFill/>
                          </a:ln>
                        </pic:spPr>
                      </pic:pic>
                    </a:graphicData>
                  </a:graphic>
                </wp:inline>
              </w:drawing>
            </w:r>
          </w:p>
        </w:tc>
      </w:tr>
      <w:tr w14:paraId="41687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567411B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6层</w:t>
            </w:r>
          </w:p>
        </w:tc>
      </w:tr>
      <w:tr w14:paraId="56B4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50F4FB7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18</w:t>
            </w:r>
          </w:p>
        </w:tc>
        <w:tc>
          <w:tcPr>
            <w:tcW w:w="1810" w:type="dxa"/>
            <w:vAlign w:val="center"/>
          </w:tcPr>
          <w:p w14:paraId="487FE5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阅览桌</w:t>
            </w:r>
          </w:p>
        </w:tc>
        <w:tc>
          <w:tcPr>
            <w:tcW w:w="661" w:type="dxa"/>
            <w:vAlign w:val="center"/>
          </w:tcPr>
          <w:p w14:paraId="48568A4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44</w:t>
            </w:r>
          </w:p>
        </w:tc>
        <w:tc>
          <w:tcPr>
            <w:tcW w:w="661" w:type="dxa"/>
            <w:vAlign w:val="center"/>
          </w:tcPr>
          <w:p w14:paraId="4133643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FE3C821">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1.灯架：</w:t>
            </w:r>
          </w:p>
          <w:p w14:paraId="33A228F9">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 参考尺寸：1300*150*450mm；</w:t>
            </w:r>
          </w:p>
          <w:p w14:paraId="268B217B">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 灯体采用≥150*30*1.2mm异形铝合金管制作，符合力学性能：抗拉强度不小于175，规定非比例延申长度不小于130，氧化膜平均膜厚不小于10，最小局部膜厚不小于8，</w:t>
            </w:r>
            <w:r>
              <w:rPr>
                <w:rFonts w:hint="eastAsia" w:ascii="宋体" w:hAnsi="宋体" w:eastAsia="宋体" w:cs="宋体"/>
                <w:color w:val="FF0000"/>
                <w:kern w:val="2"/>
                <w:sz w:val="21"/>
                <w:szCs w:val="21"/>
                <w:highlight w:val="none"/>
                <w:lang w:val="en-US" w:eastAsia="zh-CN" w:bidi="ar"/>
              </w:rPr>
              <w:t>符合</w:t>
            </w:r>
            <w:bookmarkStart w:id="69" w:name="_GoBack"/>
            <w:bookmarkEnd w:id="69"/>
            <w:r>
              <w:rPr>
                <w:rFonts w:hint="eastAsia" w:ascii="宋体" w:hAnsi="宋体" w:eastAsia="宋体" w:cs="宋体"/>
                <w:color w:val="FF0000"/>
                <w:kern w:val="2"/>
                <w:sz w:val="21"/>
                <w:szCs w:val="21"/>
                <w:highlight w:val="none"/>
                <w:lang w:val="en-US" w:eastAsia="zh-CN" w:bidi="ar"/>
              </w:rPr>
              <w:t>GB/T 6892-2023标准要求</w:t>
            </w:r>
            <w:r>
              <w:rPr>
                <w:rFonts w:hint="eastAsia" w:ascii="宋体" w:hAnsi="宋体" w:eastAsia="宋体" w:cs="宋体"/>
                <w:color w:val="auto"/>
                <w:kern w:val="2"/>
                <w:sz w:val="21"/>
                <w:szCs w:val="21"/>
                <w:highlight w:val="none"/>
                <w:lang w:val="en-US" w:eastAsia="zh-CN" w:bidi="ar"/>
              </w:rPr>
              <w:t>，经焊接打磨抛光成型，表面处理经高温静电喷涂处理，符合GB/T 5237.4-2017标准要求；</w:t>
            </w:r>
          </w:p>
          <w:p w14:paraId="6F116252">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1.3 灯罩选用蝴蝶翼扩散膜,使工作区域光更多，防眩抑制，两端配黑色注塑件堵头；</w:t>
            </w:r>
          </w:p>
          <w:p w14:paraId="01B0006D">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1.4 光源采用优质节能LED光源，三安芯片，色温4000K,显色指数≥90，色容差SDCM＜3.高转换率电源，具有过载，短路，过压保护，可实现按键调光。总瓦数50瓦，利用弧面扩散技术，光线分布比100%，可削减手部及头部阴影。整灯安全低压无触电风险，含复位开关，短按开启/关闭灯光，长按调节灯光亮度，含自锁开关，短按开启/关闭灯光；</w:t>
            </w:r>
          </w:p>
          <w:p w14:paraId="0D3619DA">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 灯柱采用≥50*50*1.8mm钢制管经焊接打磨抛光成型，表面经高温静电喷涂工艺处理；内置嵌入式智能调光开关1个，三档调光，两根灯柱，每根灯柱内侧均内置嵌入2个五孔+USB：1A1C，共4个五孔+USB：2A2C；</w:t>
            </w:r>
          </w:p>
          <w:p w14:paraId="1D92AE75">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2.桌体：</w:t>
            </w:r>
          </w:p>
          <w:p w14:paraId="0C958736">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bidi="ar"/>
              </w:rPr>
              <w:t>2.1 参考尺寸：</w:t>
            </w:r>
            <w:r>
              <w:rPr>
                <w:rFonts w:hint="eastAsia" w:ascii="宋体" w:hAnsi="宋体" w:eastAsia="宋体" w:cs="宋体"/>
                <w:color w:val="FF0000"/>
                <w:kern w:val="0"/>
                <w:sz w:val="21"/>
                <w:szCs w:val="21"/>
                <w:highlight w:val="none"/>
                <w:lang w:val="en-US" w:eastAsia="zh-CN" w:bidi="ar"/>
              </w:rPr>
              <w:t>1600*1200*750mm</w:t>
            </w:r>
            <w:r>
              <w:rPr>
                <w:rFonts w:hint="eastAsia" w:ascii="宋体" w:hAnsi="宋体" w:eastAsia="宋体" w:cs="宋体"/>
                <w:color w:val="auto"/>
                <w:kern w:val="0"/>
                <w:sz w:val="21"/>
                <w:szCs w:val="21"/>
                <w:highlight w:val="none"/>
                <w:lang w:val="en-US" w:eastAsia="zh-CN" w:bidi="ar"/>
              </w:rPr>
              <w:t>；</w:t>
            </w:r>
          </w:p>
          <w:p w14:paraId="2956ECCF">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0"/>
                <w:sz w:val="21"/>
                <w:szCs w:val="21"/>
                <w:highlight w:val="none"/>
                <w:lang w:val="en-US" w:eastAsia="zh-CN" w:bidi="ar"/>
              </w:rPr>
              <w:t xml:space="preserve">2.2 </w:t>
            </w:r>
            <w:r>
              <w:rPr>
                <w:rFonts w:hint="eastAsia" w:ascii="宋体" w:hAnsi="宋体" w:eastAsia="宋体" w:cs="宋体"/>
                <w:color w:val="auto"/>
                <w:kern w:val="2"/>
                <w:sz w:val="21"/>
                <w:szCs w:val="21"/>
                <w:highlight w:val="none"/>
                <w:lang w:val="en-US" w:eastAsia="zh-CN" w:bidi="ar"/>
              </w:rPr>
              <w:t>E0级三聚氰胺浸渍纸饰面刨花板，厚度≥25mm，封边厚度≥2mm；</w:t>
            </w:r>
          </w:p>
          <w:p w14:paraId="76A4E367">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3.钢制桌架：</w:t>
            </w:r>
          </w:p>
          <w:p w14:paraId="69857CC8">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3.1 钢脚：截面≥50*50mm，壁厚≥1.8mm；</w:t>
            </w:r>
          </w:p>
          <w:p w14:paraId="0F234953">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3.2 脚上梁：截面≥50*50mm,壁厚≥1.8mm；</w:t>
            </w:r>
          </w:p>
          <w:p w14:paraId="74B6F260">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3.3 横梁：截面≥25*50mm，壁厚≥1.2mm；</w:t>
            </w:r>
          </w:p>
          <w:p w14:paraId="1C340862">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3.4 接头：脚与横梁用U型连接件，三孔连接；</w:t>
            </w:r>
          </w:p>
          <w:p w14:paraId="53543ECB">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3.5 脚塞：采用ABS一体压铸成型，抗冲击，充分保护地面，当地面有斜度时，调整水平调节螺丝，保持桌面水平；</w:t>
            </w:r>
          </w:p>
          <w:p w14:paraId="05AED741">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3.6 桌架钢构件表面经酸洗、磷化处理，后采用混合型热固性粉沫静电喷涂，耐高温，防静电。全部静电喷涂，颜色持久，表面硬度≥2H；</w:t>
            </w:r>
          </w:p>
          <w:p w14:paraId="1A8A7AD1">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4.桌面灯架下布置桌面屏风：</w:t>
            </w:r>
          </w:p>
          <w:p w14:paraId="0BDEDBF2">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4.1 参考尺寸：850mm*300mm；</w:t>
            </w:r>
          </w:p>
          <w:p w14:paraId="5C3E7253">
            <w:pPr>
              <w:keepNext w:val="0"/>
              <w:keepLines w:val="0"/>
              <w:widowControl w:val="0"/>
              <w:suppressLineNumbers w:val="0"/>
              <w:spacing w:before="0" w:beforeAutospacing="0" w:after="0" w:afterAutospacing="0"/>
              <w:ind w:left="0" w:right="0"/>
              <w:jc w:val="both"/>
              <w:rPr>
                <w:rFonts w:hint="default"/>
                <w:color w:val="auto"/>
                <w:highlight w:val="none"/>
              </w:rPr>
            </w:pPr>
            <w:r>
              <w:rPr>
                <w:rFonts w:hint="eastAsia" w:ascii="宋体" w:hAnsi="宋体" w:eastAsia="宋体" w:cs="宋体"/>
                <w:color w:val="auto"/>
                <w:kern w:val="2"/>
                <w:sz w:val="21"/>
                <w:szCs w:val="21"/>
                <w:highlight w:val="none"/>
                <w:lang w:val="en-US" w:eastAsia="zh-CN" w:bidi="ar"/>
              </w:rPr>
              <w:t>4.2 吸音棉材质</w:t>
            </w:r>
            <w:r>
              <w:rPr>
                <w:rFonts w:hint="eastAsia" w:ascii="宋体" w:hAnsi="宋体" w:eastAsia="宋体" w:cs="宋体"/>
                <w:color w:val="auto"/>
                <w:kern w:val="0"/>
                <w:sz w:val="21"/>
                <w:szCs w:val="21"/>
                <w:highlight w:val="none"/>
                <w:lang w:val="en-US" w:eastAsia="zh-CN" w:bidi="ar"/>
              </w:rPr>
              <w:t>，厚度≥9mm,铝合金桌面屏风夹固定；</w:t>
            </w:r>
          </w:p>
          <w:p w14:paraId="351777FB">
            <w:pPr>
              <w:keepNext w:val="0"/>
              <w:keepLines w:val="0"/>
              <w:suppressLineNumbers w:val="0"/>
              <w:spacing w:before="0" w:beforeAutospacing="0" w:after="0" w:afterAutospacing="0" w:line="288" w:lineRule="auto"/>
              <w:ind w:left="0" w:right="0"/>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5.参考图片：</w:t>
            </w:r>
          </w:p>
          <w:p w14:paraId="03644DD9">
            <w:pPr>
              <w:keepNext w:val="0"/>
              <w:keepLines w:val="0"/>
              <w:suppressLineNumbers w:val="0"/>
              <w:spacing w:before="0" w:beforeAutospacing="0" w:after="0" w:afterAutospacing="0" w:line="288" w:lineRule="auto"/>
              <w:ind w:left="0" w:right="0"/>
              <w:rPr>
                <w:rFonts w:hint="eastAsia"/>
                <w:color w:val="auto"/>
                <w:highlight w:val="none"/>
              </w:rPr>
            </w:pPr>
            <w:r>
              <w:rPr>
                <w:rFonts w:hint="default"/>
                <w:color w:val="auto"/>
                <w:highlight w:val="none"/>
              </w:rPr>
              <w:drawing>
                <wp:inline distT="0" distB="0" distL="114300" distR="114300">
                  <wp:extent cx="1390015" cy="1076325"/>
                  <wp:effectExtent l="0" t="0" r="63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7"/>
                          <a:stretch>
                            <a:fillRect/>
                          </a:stretch>
                        </pic:blipFill>
                        <pic:spPr>
                          <a:xfrm>
                            <a:off x="0" y="0"/>
                            <a:ext cx="1390015" cy="1076325"/>
                          </a:xfrm>
                          <a:prstGeom prst="rect">
                            <a:avLst/>
                          </a:prstGeom>
                          <a:noFill/>
                          <a:ln w="9525">
                            <a:noFill/>
                          </a:ln>
                        </pic:spPr>
                      </pic:pic>
                    </a:graphicData>
                  </a:graphic>
                </wp:inline>
              </w:drawing>
            </w:r>
            <w:ins w:id="0" w:author="cnf" w:date="2025-06-24T15:07:41Z">
              <w:r>
                <w:rPr>
                  <w:rFonts w:hint="default"/>
                </w:rPr>
                <w:drawing>
                  <wp:inline distT="0" distB="0" distL="114300" distR="114300">
                    <wp:extent cx="1951355" cy="997585"/>
                    <wp:effectExtent l="0" t="0" r="1270" b="254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8"/>
                            <a:stretch>
                              <a:fillRect/>
                            </a:stretch>
                          </pic:blipFill>
                          <pic:spPr>
                            <a:xfrm>
                              <a:off x="0" y="0"/>
                              <a:ext cx="1951355" cy="997585"/>
                            </a:xfrm>
                            <a:prstGeom prst="rect">
                              <a:avLst/>
                            </a:prstGeom>
                            <a:noFill/>
                            <a:ln>
                              <a:noFill/>
                            </a:ln>
                          </pic:spPr>
                        </pic:pic>
                      </a:graphicData>
                    </a:graphic>
                  </wp:inline>
                </w:drawing>
              </w:r>
            </w:ins>
          </w:p>
        </w:tc>
      </w:tr>
      <w:tr w14:paraId="464A5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246EB06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19</w:t>
            </w:r>
          </w:p>
        </w:tc>
        <w:tc>
          <w:tcPr>
            <w:tcW w:w="1810" w:type="dxa"/>
            <w:vAlign w:val="center"/>
          </w:tcPr>
          <w:p w14:paraId="1ADAB9C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阅览椅</w:t>
            </w:r>
          </w:p>
        </w:tc>
        <w:tc>
          <w:tcPr>
            <w:tcW w:w="661" w:type="dxa"/>
            <w:vAlign w:val="center"/>
          </w:tcPr>
          <w:p w14:paraId="0800CEA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222</w:t>
            </w:r>
          </w:p>
        </w:tc>
        <w:tc>
          <w:tcPr>
            <w:tcW w:w="661" w:type="dxa"/>
            <w:vAlign w:val="center"/>
          </w:tcPr>
          <w:p w14:paraId="218407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62C9762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2.</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：520*515*810mm；</w:t>
            </w:r>
          </w:p>
          <w:p w14:paraId="2FF03D37">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2.椅身：全新聚丙烯加玻璃纤维,一体成型，厚度≥6mm。背宽≥380mm，椅宽≥420mm；结构稳定，可承重≥130KG，胶背通过34KG 12万次循环推背测试；</w:t>
            </w:r>
          </w:p>
          <w:p w14:paraId="3F0FFF73">
            <w:pPr>
              <w:keepNext w:val="0"/>
              <w:keepLines w:val="0"/>
              <w:suppressLineNumbers w:val="0"/>
              <w:spacing w:before="0" w:beforeAutospacing="0" w:after="0" w:afterAutospacing="0" w:line="288" w:lineRule="auto"/>
              <w:ind w:left="0" w:right="0"/>
              <w:rPr>
                <w:rFonts w:hint="eastAsia" w:ascii="宋体" w:hAnsi="宋体" w:eastAsia="宋体" w:cs="宋体"/>
                <w:color w:val="FF0000"/>
                <w:szCs w:val="21"/>
                <w:highlight w:val="none"/>
                <w:lang w:eastAsia="zh-CN"/>
              </w:rPr>
            </w:pPr>
            <w:r>
              <w:rPr>
                <w:rFonts w:hint="eastAsia" w:ascii="宋体" w:hAnsi="宋体" w:eastAsia="宋体" w:cs="宋体"/>
                <w:color w:val="FF0000"/>
                <w:szCs w:val="21"/>
                <w:highlight w:val="none"/>
              </w:rPr>
              <w:t>3.椅背：腰部镂空，方便拿取，形状类似笑口设计。背部线条设计，一定程度增加背部支撑力；</w:t>
            </w:r>
          </w:p>
          <w:p w14:paraId="2CE99B7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4.椅脚：由直径≥16mm，壁厚≥1.5mm优质冷轧钢管制成，表面经酸洗、磷化等防锈处理，流水线静电喷涂，具有耐磨，防腐，抗老化等性能；</w:t>
            </w:r>
          </w:p>
          <w:p w14:paraId="27CE8D0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295C12EA">
            <w:pPr>
              <w:keepNext w:val="0"/>
              <w:keepLines w:val="0"/>
              <w:suppressLineNumbers w:val="0"/>
              <w:spacing w:before="0" w:beforeAutospacing="0" w:after="0" w:afterAutospacing="0"/>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932815" cy="965835"/>
                  <wp:effectExtent l="0" t="0" r="635" b="5715"/>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19"/>
                          <a:stretch>
                            <a:fillRect/>
                          </a:stretch>
                        </pic:blipFill>
                        <pic:spPr>
                          <a:xfrm>
                            <a:off x="0" y="0"/>
                            <a:ext cx="932815" cy="965835"/>
                          </a:xfrm>
                          <a:prstGeom prst="rect">
                            <a:avLst/>
                          </a:prstGeom>
                          <a:noFill/>
                          <a:ln>
                            <a:noFill/>
                          </a:ln>
                        </pic:spPr>
                      </pic:pic>
                    </a:graphicData>
                  </a:graphic>
                </wp:inline>
              </w:drawing>
            </w:r>
            <w:r>
              <w:rPr>
                <w:rFonts w:hint="default"/>
                <w:color w:val="auto"/>
                <w:highlight w:val="none"/>
              </w:rPr>
              <w:drawing>
                <wp:inline distT="0" distB="0" distL="114300" distR="114300">
                  <wp:extent cx="836295" cy="1016000"/>
                  <wp:effectExtent l="0" t="0" r="1905" b="3175"/>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20"/>
                          <a:stretch>
                            <a:fillRect/>
                          </a:stretch>
                        </pic:blipFill>
                        <pic:spPr>
                          <a:xfrm>
                            <a:off x="0" y="0"/>
                            <a:ext cx="836295" cy="1016000"/>
                          </a:xfrm>
                          <a:prstGeom prst="rect">
                            <a:avLst/>
                          </a:prstGeom>
                          <a:noFill/>
                          <a:ln>
                            <a:noFill/>
                          </a:ln>
                        </pic:spPr>
                      </pic:pic>
                    </a:graphicData>
                  </a:graphic>
                </wp:inline>
              </w:drawing>
            </w:r>
          </w:p>
        </w:tc>
      </w:tr>
      <w:tr w14:paraId="2E844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5092B3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20</w:t>
            </w:r>
          </w:p>
        </w:tc>
        <w:tc>
          <w:tcPr>
            <w:tcW w:w="1810" w:type="dxa"/>
            <w:vAlign w:val="center"/>
          </w:tcPr>
          <w:p w14:paraId="10930F6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双面空格柜</w:t>
            </w:r>
          </w:p>
        </w:tc>
        <w:tc>
          <w:tcPr>
            <w:tcW w:w="661" w:type="dxa"/>
            <w:vAlign w:val="center"/>
          </w:tcPr>
          <w:p w14:paraId="5514A2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30</w:t>
            </w:r>
          </w:p>
        </w:tc>
        <w:tc>
          <w:tcPr>
            <w:tcW w:w="661" w:type="dxa"/>
            <w:vAlign w:val="center"/>
          </w:tcPr>
          <w:p w14:paraId="399AD8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个</w:t>
            </w:r>
          </w:p>
        </w:tc>
        <w:tc>
          <w:tcPr>
            <w:tcW w:w="6269" w:type="dxa"/>
            <w:vAlign w:val="center"/>
          </w:tcPr>
          <w:p w14:paraId="79A9B05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1.</w:t>
            </w:r>
            <w:r>
              <w:rPr>
                <w:rFonts w:hint="eastAsia" w:ascii="宋体" w:hAnsi="宋体" w:eastAsia="宋体" w:cs="宋体"/>
                <w:color w:val="auto"/>
                <w:szCs w:val="21"/>
                <w:highlight w:val="none"/>
                <w:lang w:eastAsia="zh-CN" w:bidi="ar"/>
              </w:rPr>
              <w:t>参考尺寸</w:t>
            </w:r>
            <w:r>
              <w:rPr>
                <w:rFonts w:hint="eastAsia" w:ascii="宋体" w:hAnsi="宋体" w:eastAsia="宋体" w:cs="宋体"/>
                <w:color w:val="auto"/>
                <w:szCs w:val="21"/>
                <w:highlight w:val="none"/>
                <w:lang w:bidi="ar"/>
              </w:rPr>
              <w:t>：1500*600*1200mm；</w:t>
            </w:r>
          </w:p>
          <w:p w14:paraId="635B47A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2.板材：选用E0级三聚氰胺浸渍纸饰面刨花板，厚度≥18mm；</w:t>
            </w:r>
          </w:p>
          <w:p w14:paraId="7745F01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w:t>
            </w:r>
            <w:r>
              <w:rPr>
                <w:rFonts w:hint="eastAsia" w:ascii="宋体" w:hAnsi="宋体" w:eastAsia="宋体" w:cs="宋体"/>
                <w:color w:val="auto"/>
                <w:szCs w:val="21"/>
                <w:highlight w:val="none"/>
              </w:rPr>
              <w:t>参考图片：</w:t>
            </w:r>
          </w:p>
          <w:p w14:paraId="0CFB0988">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等线" w:hAnsi="等线" w:eastAsia="等线" w:cs="Times New Roman"/>
                <w:color w:val="auto"/>
                <w:szCs w:val="21"/>
                <w:highlight w:val="none"/>
                <w:lang w:bidi="ar"/>
              </w:rPr>
              <w:drawing>
                <wp:inline distT="0" distB="0" distL="114300" distR="114300">
                  <wp:extent cx="1238250" cy="1104900"/>
                  <wp:effectExtent l="0" t="0" r="0" b="0"/>
                  <wp:docPr id="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IMG_256"/>
                          <pic:cNvPicPr>
                            <a:picLocks noChangeAspect="1"/>
                          </pic:cNvPicPr>
                        </pic:nvPicPr>
                        <pic:blipFill>
                          <a:blip r:embed="rId37"/>
                          <a:stretch>
                            <a:fillRect/>
                          </a:stretch>
                        </pic:blipFill>
                        <pic:spPr>
                          <a:xfrm>
                            <a:off x="0" y="0"/>
                            <a:ext cx="1238250" cy="1104900"/>
                          </a:xfrm>
                          <a:prstGeom prst="rect">
                            <a:avLst/>
                          </a:prstGeom>
                          <a:noFill/>
                          <a:ln w="9525">
                            <a:noFill/>
                          </a:ln>
                        </pic:spPr>
                      </pic:pic>
                    </a:graphicData>
                  </a:graphic>
                </wp:inline>
              </w:drawing>
            </w:r>
          </w:p>
        </w:tc>
      </w:tr>
      <w:tr w14:paraId="007A5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784208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21</w:t>
            </w:r>
          </w:p>
        </w:tc>
        <w:tc>
          <w:tcPr>
            <w:tcW w:w="1810" w:type="dxa"/>
            <w:vAlign w:val="center"/>
          </w:tcPr>
          <w:p w14:paraId="442986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lang w:bidi="ar"/>
              </w:rPr>
              <w:t>靠窗单边桌</w:t>
            </w:r>
          </w:p>
          <w:p w14:paraId="0A428F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（核心产品）</w:t>
            </w:r>
          </w:p>
        </w:tc>
        <w:tc>
          <w:tcPr>
            <w:tcW w:w="661" w:type="dxa"/>
            <w:vAlign w:val="center"/>
          </w:tcPr>
          <w:p w14:paraId="253C36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2</w:t>
            </w:r>
          </w:p>
        </w:tc>
        <w:tc>
          <w:tcPr>
            <w:tcW w:w="661" w:type="dxa"/>
            <w:vAlign w:val="center"/>
          </w:tcPr>
          <w:p w14:paraId="5454EF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079C8D5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：15530*600*750mm；桌面厚度≥40mm；</w:t>
            </w:r>
          </w:p>
          <w:p w14:paraId="1BE7AA70">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21823E0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1C91E33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每组含台灯13盏</w:t>
            </w:r>
            <w:r>
              <w:rPr>
                <w:rFonts w:hint="eastAsia" w:ascii="宋体" w:hAnsi="宋体" w:eastAsia="宋体" w:cs="宋体"/>
                <w:b/>
                <w:bCs/>
                <w:color w:val="auto"/>
                <w:kern w:val="0"/>
                <w:szCs w:val="21"/>
                <w:highlight w:val="none"/>
                <w:lang w:bidi="ar"/>
              </w:rPr>
              <w:t>；</w:t>
            </w:r>
          </w:p>
          <w:p w14:paraId="23C58A1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6C4EA20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1FAA4640">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1CE8E17">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0207B62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45443C5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3.7 出线方式：底部出线（需桌面开孔）</w:t>
            </w:r>
          </w:p>
          <w:p w14:paraId="6255D42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val="en-US" w:eastAsia="zh-CN" w:bidi="ar"/>
              </w:rPr>
              <w:t>共</w:t>
            </w:r>
            <w:r>
              <w:rPr>
                <w:rFonts w:hint="eastAsia" w:ascii="宋体" w:hAnsi="宋体" w:eastAsia="宋体" w:cs="宋体"/>
                <w:color w:val="auto"/>
                <w:kern w:val="0"/>
                <w:szCs w:val="21"/>
                <w:highlight w:val="none"/>
                <w:lang w:bidi="ar"/>
              </w:rPr>
              <w:t>13个位置）；</w:t>
            </w:r>
          </w:p>
          <w:p w14:paraId="71F54CE5">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lang w:bidi="ar"/>
              </w:rPr>
            </w:pPr>
            <w:r>
              <w:rPr>
                <w:rFonts w:hint="eastAsia" w:ascii="宋体" w:hAnsi="宋体" w:eastAsia="宋体" w:cs="宋体"/>
                <w:b w:val="0"/>
                <w:bCs w:val="0"/>
                <w:color w:val="auto"/>
                <w:kern w:val="0"/>
                <w:szCs w:val="21"/>
                <w:highlight w:val="none"/>
                <w:lang w:bidi="ar"/>
              </w:rPr>
              <w:t>5.参考图片：</w:t>
            </w:r>
          </w:p>
          <w:p w14:paraId="4ABF605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highlight w:val="none"/>
              </w:rPr>
            </w:pPr>
            <w:r>
              <w:rPr>
                <w:rFonts w:hint="eastAsia" w:ascii="宋体" w:hAnsi="宋体" w:eastAsia="宋体" w:cs="宋体"/>
                <w:color w:val="auto"/>
                <w:szCs w:val="21"/>
                <w:highlight w:val="none"/>
                <w:lang w:bidi="ar"/>
              </w:rPr>
              <w:drawing>
                <wp:inline distT="0" distB="0" distL="114300" distR="114300">
                  <wp:extent cx="1276350" cy="1247775"/>
                  <wp:effectExtent l="0" t="0" r="0" b="0"/>
                  <wp:docPr id="3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IMG_256"/>
                          <pic:cNvPicPr>
                            <a:picLocks noChangeAspect="1"/>
                          </pic:cNvPicPr>
                        </pic:nvPicPr>
                        <pic:blipFill>
                          <a:blip r:embed="rId38"/>
                          <a:stretch>
                            <a:fillRect/>
                          </a:stretch>
                        </pic:blipFill>
                        <pic:spPr>
                          <a:xfrm>
                            <a:off x="0" y="0"/>
                            <a:ext cx="1276350" cy="1247775"/>
                          </a:xfrm>
                          <a:prstGeom prst="rect">
                            <a:avLst/>
                          </a:prstGeom>
                          <a:noFill/>
                          <a:ln w="9525">
                            <a:noFill/>
                          </a:ln>
                        </pic:spPr>
                      </pic:pic>
                    </a:graphicData>
                  </a:graphic>
                </wp:inline>
              </w:drawing>
            </w:r>
            <w:r>
              <w:rPr>
                <w:rFonts w:hint="eastAsia" w:ascii="宋体" w:hAnsi="宋体" w:eastAsia="宋体" w:cs="宋体"/>
                <w:color w:val="auto"/>
                <w:szCs w:val="21"/>
                <w:highlight w:val="none"/>
                <w:lang w:bidi="ar"/>
              </w:rPr>
              <w:drawing>
                <wp:inline distT="0" distB="0" distL="114300" distR="114300">
                  <wp:extent cx="714375" cy="1285875"/>
                  <wp:effectExtent l="0" t="0" r="0" b="0"/>
                  <wp:docPr id="37"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IMG_257"/>
                          <pic:cNvPicPr>
                            <a:picLocks noChangeAspect="1"/>
                          </pic:cNvPicPr>
                        </pic:nvPicPr>
                        <pic:blipFill>
                          <a:blip r:embed="rId39"/>
                          <a:stretch>
                            <a:fillRect/>
                          </a:stretch>
                        </pic:blipFill>
                        <pic:spPr>
                          <a:xfrm>
                            <a:off x="0" y="0"/>
                            <a:ext cx="714375" cy="1285875"/>
                          </a:xfrm>
                          <a:prstGeom prst="rect">
                            <a:avLst/>
                          </a:prstGeom>
                          <a:noFill/>
                          <a:ln w="9525">
                            <a:noFill/>
                          </a:ln>
                        </pic:spPr>
                      </pic:pic>
                    </a:graphicData>
                  </a:graphic>
                </wp:inline>
              </w:drawing>
            </w:r>
          </w:p>
        </w:tc>
      </w:tr>
      <w:tr w14:paraId="7029E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F113B3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22</w:t>
            </w:r>
          </w:p>
        </w:tc>
        <w:tc>
          <w:tcPr>
            <w:tcW w:w="1810" w:type="dxa"/>
            <w:vAlign w:val="center"/>
          </w:tcPr>
          <w:p w14:paraId="789F235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含灯单桌</w:t>
            </w:r>
          </w:p>
        </w:tc>
        <w:tc>
          <w:tcPr>
            <w:tcW w:w="661" w:type="dxa"/>
            <w:vAlign w:val="center"/>
          </w:tcPr>
          <w:p w14:paraId="12BD89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18</w:t>
            </w:r>
          </w:p>
        </w:tc>
        <w:tc>
          <w:tcPr>
            <w:tcW w:w="661" w:type="dxa"/>
            <w:vAlign w:val="center"/>
          </w:tcPr>
          <w:p w14:paraId="040B208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018C916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：1200*600*750mm；桌面厚度≥40mm；</w:t>
            </w:r>
          </w:p>
          <w:p w14:paraId="3761859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7E17094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425C95F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w:t>
            </w:r>
            <w:r>
              <w:rPr>
                <w:rFonts w:hint="eastAsia" w:ascii="宋体" w:hAnsi="宋体" w:eastAsia="宋体" w:cs="宋体"/>
                <w:color w:val="auto"/>
                <w:kern w:val="0"/>
                <w:szCs w:val="21"/>
                <w:highlight w:val="none"/>
                <w:lang w:val="en-US" w:eastAsia="zh-CN" w:bidi="ar"/>
              </w:rPr>
              <w:t>张</w:t>
            </w:r>
            <w:r>
              <w:rPr>
                <w:rFonts w:hint="eastAsia" w:ascii="宋体" w:hAnsi="宋体" w:eastAsia="宋体" w:cs="宋体"/>
                <w:color w:val="auto"/>
                <w:kern w:val="0"/>
                <w:szCs w:val="21"/>
                <w:highlight w:val="none"/>
                <w:lang w:bidi="ar"/>
              </w:rPr>
              <w:t>含台灯</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盏</w:t>
            </w:r>
            <w:r>
              <w:rPr>
                <w:rFonts w:hint="eastAsia" w:ascii="宋体" w:hAnsi="宋体" w:eastAsia="宋体" w:cs="宋体"/>
                <w:b/>
                <w:bCs/>
                <w:color w:val="auto"/>
                <w:kern w:val="0"/>
                <w:szCs w:val="21"/>
                <w:highlight w:val="none"/>
                <w:lang w:bidi="ar"/>
              </w:rPr>
              <w:t>；</w:t>
            </w:r>
          </w:p>
          <w:p w14:paraId="5228FC5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4499877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7FB9A09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448076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756645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75208BE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492AB506">
            <w:pPr>
              <w:keepNext w:val="0"/>
              <w:keepLines w:val="0"/>
              <w:widowControl/>
              <w:suppressLineNumbers w:val="0"/>
              <w:spacing w:before="0" w:beforeAutospacing="0" w:after="0" w:afterAutospacing="0"/>
              <w:ind w:left="0" w:right="0"/>
              <w:textAlignment w:val="center"/>
              <w:rPr>
                <w:rFonts w:hint="eastAsia" w:ascii="宋体" w:hAnsi="宋体" w:eastAsia="宋体" w:cs="宋体"/>
                <w:b/>
                <w:bCs/>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p>
          <w:p w14:paraId="0DF26C72">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lang w:bidi="ar"/>
              </w:rPr>
              <w:t>5.参考图片：</w:t>
            </w:r>
          </w:p>
          <w:p w14:paraId="005F9861">
            <w:pPr>
              <w:keepNext w:val="0"/>
              <w:keepLines w:val="0"/>
              <w:suppressLineNumbers w:val="0"/>
              <w:spacing w:before="0" w:beforeAutospacing="0" w:after="0" w:afterAutospacing="0"/>
              <w:ind w:left="0" w:right="0"/>
              <w:rPr>
                <w:rFonts w:hint="eastAsia" w:ascii="宋体" w:hAnsi="宋体" w:eastAsia="宋体" w:cs="宋体"/>
                <w:color w:val="auto"/>
                <w:highlight w:val="none"/>
              </w:rPr>
            </w:pPr>
            <w:r>
              <w:rPr>
                <w:rFonts w:hint="eastAsia" w:ascii="等线" w:hAnsi="等线" w:eastAsia="等线" w:cs="Times New Roman"/>
                <w:color w:val="auto"/>
                <w:szCs w:val="21"/>
                <w:highlight w:val="none"/>
                <w:lang w:bidi="ar"/>
              </w:rPr>
              <w:drawing>
                <wp:inline distT="0" distB="0" distL="114300" distR="114300">
                  <wp:extent cx="1156970" cy="1131570"/>
                  <wp:effectExtent l="0" t="0" r="11430" b="11430"/>
                  <wp:docPr id="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56"/>
                          <pic:cNvPicPr>
                            <a:picLocks noChangeAspect="1"/>
                          </pic:cNvPicPr>
                        </pic:nvPicPr>
                        <pic:blipFill>
                          <a:blip r:embed="rId40"/>
                          <a:stretch>
                            <a:fillRect/>
                          </a:stretch>
                        </pic:blipFill>
                        <pic:spPr>
                          <a:xfrm>
                            <a:off x="0" y="0"/>
                            <a:ext cx="1156970" cy="1131570"/>
                          </a:xfrm>
                          <a:prstGeom prst="rect">
                            <a:avLst/>
                          </a:prstGeom>
                          <a:noFill/>
                          <a:ln w="9525">
                            <a:noFill/>
                          </a:ln>
                        </pic:spPr>
                      </pic:pic>
                    </a:graphicData>
                  </a:graphic>
                </wp:inline>
              </w:drawing>
            </w:r>
            <w:r>
              <w:rPr>
                <w:rFonts w:hint="eastAsia" w:ascii="等线" w:hAnsi="等线" w:eastAsia="等线" w:cs="Times New Roman"/>
                <w:color w:val="auto"/>
                <w:szCs w:val="21"/>
                <w:highlight w:val="none"/>
                <w:lang w:bidi="ar"/>
              </w:rPr>
              <w:drawing>
                <wp:inline distT="0" distB="0" distL="114300" distR="114300">
                  <wp:extent cx="635000" cy="1143635"/>
                  <wp:effectExtent l="0" t="0" r="0" b="12065"/>
                  <wp:docPr id="39" name="图片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descr="IMG_257"/>
                          <pic:cNvPicPr>
                            <a:picLocks noChangeAspect="1"/>
                          </pic:cNvPicPr>
                        </pic:nvPicPr>
                        <pic:blipFill>
                          <a:blip r:embed="rId41"/>
                          <a:stretch>
                            <a:fillRect/>
                          </a:stretch>
                        </pic:blipFill>
                        <pic:spPr>
                          <a:xfrm>
                            <a:off x="0" y="0"/>
                            <a:ext cx="635000" cy="1143635"/>
                          </a:xfrm>
                          <a:prstGeom prst="rect">
                            <a:avLst/>
                          </a:prstGeom>
                          <a:noFill/>
                          <a:ln w="9525">
                            <a:noFill/>
                          </a:ln>
                        </pic:spPr>
                      </pic:pic>
                    </a:graphicData>
                  </a:graphic>
                </wp:inline>
              </w:drawing>
            </w:r>
          </w:p>
        </w:tc>
      </w:tr>
      <w:tr w14:paraId="17FEE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2" w:hRule="atLeast"/>
          <w:jc w:val="center"/>
        </w:trPr>
        <w:tc>
          <w:tcPr>
            <w:tcW w:w="659" w:type="dxa"/>
            <w:vAlign w:val="center"/>
          </w:tcPr>
          <w:p w14:paraId="024B216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23</w:t>
            </w:r>
          </w:p>
        </w:tc>
        <w:tc>
          <w:tcPr>
            <w:tcW w:w="1810" w:type="dxa"/>
            <w:vAlign w:val="center"/>
          </w:tcPr>
          <w:p w14:paraId="1E368E6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研讨室讨论桌（大）</w:t>
            </w:r>
          </w:p>
        </w:tc>
        <w:tc>
          <w:tcPr>
            <w:tcW w:w="661" w:type="dxa"/>
            <w:vAlign w:val="center"/>
          </w:tcPr>
          <w:p w14:paraId="38ACDF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07EEA2B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269746A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：3000*1200*750mm；</w:t>
            </w:r>
          </w:p>
          <w:p w14:paraId="7A57EE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1B835BC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3.桌脚：整体钢架，</w:t>
            </w:r>
            <w:r>
              <w:rPr>
                <w:rFonts w:hint="eastAsia" w:ascii="宋体" w:hAnsi="宋体" w:eastAsia="宋体" w:cs="宋体"/>
                <w:color w:val="auto"/>
                <w:szCs w:val="21"/>
                <w:highlight w:val="none"/>
              </w:rPr>
              <w:t>表面经酸洗、磷化等防锈处理，流水线静电喷涂，具有耐磨，防腐，抗老化等性能</w:t>
            </w:r>
            <w:r>
              <w:rPr>
                <w:rFonts w:hint="eastAsia" w:ascii="宋体" w:hAnsi="宋体" w:eastAsia="宋体" w:cs="宋体"/>
                <w:color w:val="auto"/>
                <w:highlight w:val="none"/>
              </w:rPr>
              <w:t>；</w:t>
            </w:r>
          </w:p>
          <w:p w14:paraId="04F6ABBD">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highlight w:val="none"/>
              </w:rPr>
              <w:t>4.桌面</w:t>
            </w:r>
            <w:r>
              <w:rPr>
                <w:rFonts w:hint="eastAsia" w:ascii="宋体" w:hAnsi="宋体" w:eastAsia="宋体" w:cs="宋体"/>
                <w:color w:val="auto"/>
                <w:szCs w:val="21"/>
                <w:highlight w:val="none"/>
              </w:rPr>
              <w:t>配电力导轨+三个可插拔插座；</w:t>
            </w:r>
          </w:p>
          <w:p w14:paraId="5ED59A1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53C6894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67815" cy="908685"/>
                  <wp:effectExtent l="0" t="0" r="3810" b="5715"/>
                  <wp:docPr id="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pic:cNvPicPr>
                            <a:picLocks noChangeAspect="1"/>
                          </pic:cNvPicPr>
                        </pic:nvPicPr>
                        <pic:blipFill>
                          <a:blip r:embed="rId42"/>
                          <a:stretch>
                            <a:fillRect/>
                          </a:stretch>
                        </pic:blipFill>
                        <pic:spPr>
                          <a:xfrm>
                            <a:off x="0" y="0"/>
                            <a:ext cx="1567815" cy="908685"/>
                          </a:xfrm>
                          <a:prstGeom prst="rect">
                            <a:avLst/>
                          </a:prstGeom>
                          <a:noFill/>
                          <a:ln w="9525">
                            <a:noFill/>
                          </a:ln>
                        </pic:spPr>
                      </pic:pic>
                    </a:graphicData>
                  </a:graphic>
                </wp:inline>
              </w:drawing>
            </w:r>
          </w:p>
        </w:tc>
      </w:tr>
      <w:tr w14:paraId="589FB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40D76A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24</w:t>
            </w:r>
          </w:p>
        </w:tc>
        <w:tc>
          <w:tcPr>
            <w:tcW w:w="1810" w:type="dxa"/>
            <w:vAlign w:val="center"/>
          </w:tcPr>
          <w:p w14:paraId="23B4868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研讨室讨论桌（小）</w:t>
            </w:r>
          </w:p>
        </w:tc>
        <w:tc>
          <w:tcPr>
            <w:tcW w:w="661" w:type="dxa"/>
            <w:vAlign w:val="center"/>
          </w:tcPr>
          <w:p w14:paraId="1F1D7AC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661" w:type="dxa"/>
            <w:vAlign w:val="center"/>
          </w:tcPr>
          <w:p w14:paraId="0CC98D3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824080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：1500*1200*750mm；</w:t>
            </w:r>
          </w:p>
          <w:p w14:paraId="13A9A18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60CEE9E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3.桌脚：整体钢架，</w:t>
            </w:r>
            <w:r>
              <w:rPr>
                <w:rFonts w:hint="eastAsia" w:ascii="宋体" w:hAnsi="宋体" w:eastAsia="宋体" w:cs="宋体"/>
                <w:color w:val="auto"/>
                <w:szCs w:val="21"/>
                <w:highlight w:val="none"/>
              </w:rPr>
              <w:t>表面经酸洗、磷化等防锈处理，流水线静电喷涂，具有耐磨，防腐，抗老化等性能</w:t>
            </w:r>
            <w:r>
              <w:rPr>
                <w:rFonts w:hint="eastAsia" w:ascii="宋体" w:hAnsi="宋体" w:eastAsia="宋体" w:cs="宋体"/>
                <w:color w:val="auto"/>
                <w:highlight w:val="none"/>
              </w:rPr>
              <w:t>；</w:t>
            </w:r>
          </w:p>
          <w:p w14:paraId="58199DC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4.桌面配PVC翻盖线盒+</w:t>
            </w:r>
            <w:r>
              <w:rPr>
                <w:rFonts w:hint="eastAsia" w:ascii="宋体" w:hAnsi="宋体" w:eastAsia="宋体" w:cs="宋体"/>
                <w:color w:val="auto"/>
                <w:szCs w:val="21"/>
                <w:highlight w:val="none"/>
              </w:rPr>
              <w:t>三个可插拔插座；</w:t>
            </w:r>
          </w:p>
          <w:p w14:paraId="76A3746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5.参考图片：</w:t>
            </w:r>
          </w:p>
          <w:p w14:paraId="305566F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62735" cy="1066165"/>
                  <wp:effectExtent l="0" t="0" r="8890" b="63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43"/>
                          <a:srcRect l="26036" t="39056" r="6870"/>
                          <a:stretch>
                            <a:fillRect/>
                          </a:stretch>
                        </pic:blipFill>
                        <pic:spPr>
                          <a:xfrm>
                            <a:off x="0" y="0"/>
                            <a:ext cx="1562735" cy="1066165"/>
                          </a:xfrm>
                          <a:prstGeom prst="rect">
                            <a:avLst/>
                          </a:prstGeom>
                          <a:noFill/>
                          <a:ln w="9525">
                            <a:noFill/>
                          </a:ln>
                        </pic:spPr>
                      </pic:pic>
                    </a:graphicData>
                  </a:graphic>
                </wp:inline>
              </w:drawing>
            </w:r>
          </w:p>
        </w:tc>
      </w:tr>
      <w:tr w14:paraId="66940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8423D5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25</w:t>
            </w:r>
          </w:p>
        </w:tc>
        <w:tc>
          <w:tcPr>
            <w:tcW w:w="1810" w:type="dxa"/>
            <w:vAlign w:val="center"/>
          </w:tcPr>
          <w:p w14:paraId="00376F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eastAsia="zh-CN"/>
              </w:rPr>
              <w:t>讨论椅</w:t>
            </w:r>
          </w:p>
        </w:tc>
        <w:tc>
          <w:tcPr>
            <w:tcW w:w="661" w:type="dxa"/>
            <w:vAlign w:val="center"/>
          </w:tcPr>
          <w:p w14:paraId="7E85CA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60</w:t>
            </w:r>
          </w:p>
        </w:tc>
        <w:tc>
          <w:tcPr>
            <w:tcW w:w="661" w:type="dxa"/>
            <w:vAlign w:val="center"/>
          </w:tcPr>
          <w:p w14:paraId="782975D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把</w:t>
            </w:r>
          </w:p>
        </w:tc>
        <w:tc>
          <w:tcPr>
            <w:tcW w:w="6269" w:type="dxa"/>
            <w:vAlign w:val="center"/>
          </w:tcPr>
          <w:p w14:paraId="2496087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：545*530*855mm；</w:t>
            </w:r>
          </w:p>
          <w:p w14:paraId="0E04D6A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2.靠背可拆卸，可切换高背与矮背模式，椅背配备实用挂钩；</w:t>
            </w:r>
          </w:p>
          <w:p w14:paraId="4412900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椅身分座壳、背壳、挂勾、挂勾装饰盖四部分，全新工程聚丙pp材质+GF30玻纤注塑成型，椅背镶嵌于椅座之上，蝴蝶双翼式设计，上方V型开口，可悬挂物品，后设有手柄式挂勾，可悬挂背包等物品，亦可方便提拉移动。手柄螺丝固定，外设有圆形装饰盖；</w:t>
            </w:r>
          </w:p>
          <w:p w14:paraId="5C99A2A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4.弓形椅架设计，圆管直径≥16mm，厚度≥1.4mm，优质喷涂，联排脚垫，自攻丝连接，不易脱落；</w:t>
            </w:r>
          </w:p>
          <w:p w14:paraId="64D6834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5.参考图片：</w:t>
            </w:r>
          </w:p>
          <w:p w14:paraId="436EA57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699135" cy="1048385"/>
                  <wp:effectExtent l="0" t="0" r="5715" b="889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44"/>
                          <a:srcRect l="23801" t="18050" r="16933"/>
                          <a:stretch>
                            <a:fillRect/>
                          </a:stretch>
                        </pic:blipFill>
                        <pic:spPr>
                          <a:xfrm>
                            <a:off x="0" y="0"/>
                            <a:ext cx="699135" cy="1048385"/>
                          </a:xfrm>
                          <a:prstGeom prst="rect">
                            <a:avLst/>
                          </a:prstGeom>
                          <a:noFill/>
                          <a:ln w="9525">
                            <a:noFill/>
                          </a:ln>
                        </pic:spPr>
                      </pic:pic>
                    </a:graphicData>
                  </a:graphic>
                </wp:inline>
              </w:drawing>
            </w:r>
            <w:r>
              <w:rPr>
                <w:rFonts w:hint="default"/>
                <w:color w:val="auto"/>
                <w:highlight w:val="none"/>
              </w:rPr>
              <w:drawing>
                <wp:inline distT="0" distB="0" distL="114300" distR="114300">
                  <wp:extent cx="1061085" cy="1068070"/>
                  <wp:effectExtent l="0" t="0" r="5715" b="1143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45"/>
                          <a:stretch>
                            <a:fillRect/>
                          </a:stretch>
                        </pic:blipFill>
                        <pic:spPr>
                          <a:xfrm>
                            <a:off x="0" y="0"/>
                            <a:ext cx="1061085" cy="1068070"/>
                          </a:xfrm>
                          <a:prstGeom prst="rect">
                            <a:avLst/>
                          </a:prstGeom>
                          <a:noFill/>
                          <a:ln>
                            <a:noFill/>
                          </a:ln>
                        </pic:spPr>
                      </pic:pic>
                    </a:graphicData>
                  </a:graphic>
                </wp:inline>
              </w:drawing>
            </w:r>
          </w:p>
        </w:tc>
      </w:tr>
      <w:tr w14:paraId="18B0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96A14F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26</w:t>
            </w:r>
          </w:p>
        </w:tc>
        <w:tc>
          <w:tcPr>
            <w:tcW w:w="1810" w:type="dxa"/>
            <w:vAlign w:val="center"/>
          </w:tcPr>
          <w:p w14:paraId="66486A1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阅览室值班桌椅（全套）</w:t>
            </w:r>
          </w:p>
        </w:tc>
        <w:tc>
          <w:tcPr>
            <w:tcW w:w="661" w:type="dxa"/>
            <w:vAlign w:val="center"/>
          </w:tcPr>
          <w:p w14:paraId="6514334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661" w:type="dxa"/>
            <w:vAlign w:val="center"/>
          </w:tcPr>
          <w:p w14:paraId="0670832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套</w:t>
            </w:r>
          </w:p>
        </w:tc>
        <w:tc>
          <w:tcPr>
            <w:tcW w:w="6269" w:type="dxa"/>
            <w:vAlign w:val="center"/>
          </w:tcPr>
          <w:p w14:paraId="022559D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：桌子：1200*600*750mm，椅子：610*650*920mm；</w:t>
            </w:r>
          </w:p>
          <w:p w14:paraId="64AF43D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2.桌子：桌面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341231A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3.椅子：</w:t>
            </w:r>
          </w:p>
          <w:p w14:paraId="682FA85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3.1 椅背：全新灰色加纤塑胶，悬空式护腰支撑设计；</w:t>
            </w:r>
          </w:p>
          <w:p w14:paraId="2D4D161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3.2 腰枕：悬空式支撑腰枕；</w:t>
            </w:r>
          </w:p>
          <w:p w14:paraId="710ABC6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3.3 座垫：高密度海绵，伸缩弹性布面料；</w:t>
            </w:r>
          </w:p>
          <w:p w14:paraId="3E5FEA5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3.4 扶手：全新黑色加纤塑胶，高强度连体固定扶手；</w:t>
            </w:r>
          </w:p>
          <w:p w14:paraId="2A8706E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3.5 架子：钢质电镀弓型架，厚度≥2mm；</w:t>
            </w:r>
          </w:p>
          <w:p w14:paraId="16184D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25662A8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811655" cy="1507490"/>
                  <wp:effectExtent l="0" t="0" r="7620" b="6985"/>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46"/>
                          <a:stretch>
                            <a:fillRect/>
                          </a:stretch>
                        </pic:blipFill>
                        <pic:spPr>
                          <a:xfrm>
                            <a:off x="0" y="0"/>
                            <a:ext cx="1811655" cy="1507490"/>
                          </a:xfrm>
                          <a:prstGeom prst="rect">
                            <a:avLst/>
                          </a:prstGeom>
                          <a:noFill/>
                          <a:ln w="9525">
                            <a:noFill/>
                          </a:ln>
                        </pic:spPr>
                      </pic:pic>
                    </a:graphicData>
                  </a:graphic>
                </wp:inline>
              </w:drawing>
            </w:r>
            <w:r>
              <w:rPr>
                <w:rFonts w:hint="default"/>
                <w:color w:val="auto"/>
                <w:highlight w:val="none"/>
              </w:rPr>
              <w:drawing>
                <wp:inline distT="0" distB="0" distL="114300" distR="114300">
                  <wp:extent cx="1113790" cy="1242695"/>
                  <wp:effectExtent l="0" t="0" r="635"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4"/>
                          <a:stretch>
                            <a:fillRect/>
                          </a:stretch>
                        </pic:blipFill>
                        <pic:spPr>
                          <a:xfrm>
                            <a:off x="0" y="0"/>
                            <a:ext cx="1113790" cy="1242695"/>
                          </a:xfrm>
                          <a:prstGeom prst="rect">
                            <a:avLst/>
                          </a:prstGeom>
                          <a:noFill/>
                          <a:ln w="9525">
                            <a:noFill/>
                          </a:ln>
                        </pic:spPr>
                      </pic:pic>
                    </a:graphicData>
                  </a:graphic>
                </wp:inline>
              </w:drawing>
            </w:r>
          </w:p>
        </w:tc>
      </w:tr>
      <w:tr w14:paraId="15C8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5D877A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27</w:t>
            </w:r>
          </w:p>
        </w:tc>
        <w:tc>
          <w:tcPr>
            <w:tcW w:w="1810" w:type="dxa"/>
            <w:vAlign w:val="center"/>
          </w:tcPr>
          <w:p w14:paraId="3962C1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静音仓</w:t>
            </w:r>
          </w:p>
        </w:tc>
        <w:tc>
          <w:tcPr>
            <w:tcW w:w="661" w:type="dxa"/>
            <w:vAlign w:val="center"/>
          </w:tcPr>
          <w:p w14:paraId="3978C5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661" w:type="dxa"/>
            <w:vAlign w:val="center"/>
          </w:tcPr>
          <w:p w14:paraId="04A5D96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30BC180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：1000*1100*2250mm；</w:t>
            </w:r>
          </w:p>
          <w:p w14:paraId="0C87C8D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2.模块化设计，采用简化而统一结构模块系统，由顶、底、玻璃门、侧墙六块部件组成；</w:t>
            </w:r>
          </w:p>
          <w:p w14:paraId="06C4DF4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3.整体框架采用采用精制铝合金型材+≥1.2mm厚优质冷轧钢板，表面采用静电粉末喷涂工艺，附着力满足百格测试要求；</w:t>
            </w:r>
          </w:p>
          <w:p w14:paraId="3354A8B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隔音材料：内侧E1级聚酯纤维吸音板+空腔内部填充隔音棉+隔音毡，外部优质冷轧钢板喷涂，所有内外部空隙填充EVA隔音条，内外部硬质声音传导体完全隔离，隔音程度28±3分贝。隔音主材满足防水、零排放、阻燃、抗酸、抗盐、抗腐、无味要求；</w:t>
            </w:r>
          </w:p>
          <w:p w14:paraId="1493D4F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5.采用≥8mm厚透明隔音钢化玻璃；</w:t>
            </w:r>
          </w:p>
          <w:p w14:paraId="277492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6.通风系统：采用上进下出双循环新风系统，舱内不形成负压或正压，与外部空间环境温差不超过2摄氏度；</w:t>
            </w:r>
          </w:p>
          <w:p w14:paraId="66E2BC0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7.照明系统：支持通过自动感应或手动控制运行。光源符合视觉健康标准，采用可调3000-4000-6000K自然光色温LED照明；</w:t>
            </w:r>
          </w:p>
          <w:p w14:paraId="298CD8E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8.参考图片：</w:t>
            </w:r>
          </w:p>
          <w:p w14:paraId="72C2F2E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2674620" cy="1496060"/>
                  <wp:effectExtent l="0" t="0" r="0" b="0"/>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pic:cNvPicPr>
                        </pic:nvPicPr>
                        <pic:blipFill>
                          <a:blip r:embed="rId47"/>
                          <a:srcRect l="3021" t="24972" r="2007" b="10088"/>
                          <a:stretch>
                            <a:fillRect/>
                          </a:stretch>
                        </pic:blipFill>
                        <pic:spPr>
                          <a:xfrm>
                            <a:off x="0" y="0"/>
                            <a:ext cx="2674620" cy="1496060"/>
                          </a:xfrm>
                          <a:prstGeom prst="rect">
                            <a:avLst/>
                          </a:prstGeom>
                          <a:noFill/>
                          <a:ln w="9525">
                            <a:noFill/>
                          </a:ln>
                        </pic:spPr>
                      </pic:pic>
                    </a:graphicData>
                  </a:graphic>
                </wp:inline>
              </w:drawing>
            </w:r>
          </w:p>
        </w:tc>
      </w:tr>
      <w:tr w14:paraId="4EC2A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6C0F3E5D">
            <w:pPr>
              <w:keepNext w:val="0"/>
              <w:keepLines w:val="0"/>
              <w:suppressLineNumbers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6层布局图：</w:t>
            </w:r>
          </w:p>
          <w:p w14:paraId="1F8C779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default"/>
                <w:color w:val="auto"/>
                <w:highlight w:val="none"/>
              </w:rPr>
              <w:drawing>
                <wp:inline distT="0" distB="0" distL="114300" distR="114300">
                  <wp:extent cx="1922780" cy="1405255"/>
                  <wp:effectExtent l="0" t="0" r="7620" b="4445"/>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48"/>
                          <a:stretch>
                            <a:fillRect/>
                          </a:stretch>
                        </pic:blipFill>
                        <pic:spPr>
                          <a:xfrm>
                            <a:off x="0" y="0"/>
                            <a:ext cx="1922780" cy="1405255"/>
                          </a:xfrm>
                          <a:prstGeom prst="rect">
                            <a:avLst/>
                          </a:prstGeom>
                          <a:noFill/>
                          <a:ln w="9525">
                            <a:noFill/>
                          </a:ln>
                        </pic:spPr>
                      </pic:pic>
                    </a:graphicData>
                  </a:graphic>
                </wp:inline>
              </w:drawing>
            </w:r>
          </w:p>
        </w:tc>
      </w:tr>
    </w:tbl>
    <w:p w14:paraId="63F196B4">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w:t>
      </w:r>
    </w:p>
    <w:p w14:paraId="5C31C764">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1.本项目采购清单中板材未标注环保标准的，均须采用E0级。</w:t>
      </w:r>
    </w:p>
    <w:p w14:paraId="120873CF">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本项目采购清单中所有货物统一的制造工艺要求：表面光洁，无裂缝，无毛刺，无锐边，连接牢固、安全。边缘抛圆处理，外表面和内表面以及手指可触及的隐蔽处，均不得有锐利的棱角、毛刺以及小五金部件露出的锐利尖锐。</w:t>
      </w:r>
    </w:p>
    <w:p w14:paraId="4A65ACB0">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由于产品的功能、外观结构无法准确描述，因此对产品提供了参考图片，参考图片仅仅是为了让投标人更好的理解本次采购的需求，并非对投标产品进行指定或指明，我们欢迎投标人选择其他同等档次或更优的产品参加本次投标。</w:t>
      </w:r>
    </w:p>
    <w:p w14:paraId="7E8E2FC6">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本章节技术要求中所列的货物参考尺寸是由采购人根据自身情况测算，投标供应商应选择符合采购人要求参考尺寸的货物参加投标。在不影响安全、美观度以及实际使用功能的前提下，允许存在合理的参考尺寸偏差（偏差控制在±5mm（含）以内）。同时，投标供应商应无条件接受采购人提出的部分货物参考尺寸的细微调整，产生的费用请各投标供应商在报价时综合评估，并计入投标总价。</w:t>
      </w:r>
    </w:p>
    <w:p w14:paraId="3CCDCF5A">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5.所有产品的颜色在项目履约时由需求学校根据实际需求指定，投标供应商应无条件接受采购人提出的颜色需求。</w:t>
      </w:r>
    </w:p>
    <w:p w14:paraId="2A2E5C4C">
      <w:pPr>
        <w:widowControl/>
        <w:adjustRightInd w:val="0"/>
        <w:snapToGrid w:val="0"/>
        <w:spacing w:line="288" w:lineRule="auto"/>
        <w:jc w:val="left"/>
        <w:rPr>
          <w:rFonts w:hint="eastAsia" w:ascii="宋体" w:hAnsi="宋体" w:eastAsia="宋体" w:cs="Times New Roman"/>
          <w:color w:val="auto"/>
          <w:szCs w:val="21"/>
          <w:highlight w:val="none"/>
        </w:rPr>
      </w:pPr>
      <w:r>
        <w:rPr>
          <w:rFonts w:hint="eastAsia" w:ascii="宋体" w:hAnsi="宋体" w:eastAsia="宋体" w:cs="宋体"/>
          <w:b/>
          <w:bCs/>
          <w:color w:val="auto"/>
          <w:kern w:val="0"/>
          <w:sz w:val="21"/>
          <w:szCs w:val="21"/>
          <w:highlight w:val="none"/>
          <w:lang w:val="en-US" w:eastAsia="zh-CN" w:bidi="ar-SA"/>
        </w:rPr>
        <w:t>▲6.采购清单中涉及灯具、插座的，应在投标文件中提供灯具(或关键部件LED控制装置)、插座模块的有效的3C认证证书扫描件，并在3C认证证书处注明用于具体哪款产品（采购清单中涉及灯具、插座的产品：阅览桌、靠窗单边桌、含灯单桌、研讨室讨论桌（大）、研讨室讨论桌（小））。</w:t>
      </w:r>
      <w:r>
        <w:rPr>
          <w:rFonts w:ascii="宋体" w:hAnsi="宋体" w:eastAsia="宋体" w:cs="Times New Roman"/>
          <w:color w:val="auto"/>
          <w:szCs w:val="21"/>
          <w:highlight w:val="none"/>
        </w:rPr>
        <w:br w:type="page"/>
      </w:r>
    </w:p>
    <w:p w14:paraId="3575CB53">
      <w:pPr>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4.样品：</w:t>
      </w:r>
    </w:p>
    <w:p w14:paraId="56124BA8">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（1）投标人需提供以下样品（▲样品不得出现投标供应商的名称、商标）：</w:t>
      </w:r>
    </w:p>
    <w:p w14:paraId="0B4E4BA2">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标项一：</w:t>
      </w:r>
    </w:p>
    <w:tbl>
      <w:tblPr>
        <w:tblStyle w:val="24"/>
        <w:tblW w:w="96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0"/>
        <w:gridCol w:w="2207"/>
        <w:gridCol w:w="1079"/>
        <w:gridCol w:w="1094"/>
        <w:gridCol w:w="3708"/>
      </w:tblGrid>
      <w:tr w14:paraId="11487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540" w:type="dxa"/>
            <w:vAlign w:val="center"/>
          </w:tcPr>
          <w:p w14:paraId="13B2AA3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val="en-US" w:eastAsia="zh-CN"/>
              </w:rPr>
              <w:t>采购清单</w:t>
            </w:r>
            <w:r>
              <w:rPr>
                <w:rFonts w:hint="eastAsia" w:ascii="宋体" w:hAnsi="宋体" w:eastAsia="宋体" w:cs="宋体"/>
                <w:b/>
                <w:bCs/>
                <w:color w:val="auto"/>
                <w:szCs w:val="21"/>
                <w:highlight w:val="none"/>
              </w:rPr>
              <w:t>序号</w:t>
            </w:r>
          </w:p>
        </w:tc>
        <w:tc>
          <w:tcPr>
            <w:tcW w:w="2207" w:type="dxa"/>
            <w:vAlign w:val="center"/>
          </w:tcPr>
          <w:p w14:paraId="0DFA651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品名</w:t>
            </w:r>
          </w:p>
        </w:tc>
        <w:tc>
          <w:tcPr>
            <w:tcW w:w="1079" w:type="dxa"/>
            <w:vAlign w:val="center"/>
          </w:tcPr>
          <w:p w14:paraId="4875DB4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094" w:type="dxa"/>
            <w:vAlign w:val="center"/>
          </w:tcPr>
          <w:p w14:paraId="2B9F2E6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3708" w:type="dxa"/>
            <w:vAlign w:val="center"/>
          </w:tcPr>
          <w:p w14:paraId="4DD227F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tc>
      </w:tr>
      <w:tr w14:paraId="43F84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0" w:type="dxa"/>
            <w:vAlign w:val="center"/>
          </w:tcPr>
          <w:p w14:paraId="72D7332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2207" w:type="dxa"/>
            <w:vAlign w:val="center"/>
          </w:tcPr>
          <w:p w14:paraId="018120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Cs w:val="21"/>
                <w:highlight w:val="none"/>
                <w:lang w:eastAsia="zh-CN"/>
              </w:rPr>
            </w:pPr>
            <w:r>
              <w:rPr>
                <w:rFonts w:hint="eastAsia" w:ascii="宋体" w:hAnsi="宋体" w:eastAsia="宋体" w:cs="宋体"/>
                <w:b w:val="0"/>
                <w:bCs w:val="0"/>
                <w:color w:val="auto"/>
                <w:kern w:val="0"/>
                <w:szCs w:val="21"/>
                <w:highlight w:val="none"/>
                <w:lang w:eastAsia="zh-CN" w:bidi="ar"/>
              </w:rPr>
              <w:t>阅览桌</w:t>
            </w:r>
          </w:p>
        </w:tc>
        <w:tc>
          <w:tcPr>
            <w:tcW w:w="1079" w:type="dxa"/>
            <w:vAlign w:val="center"/>
          </w:tcPr>
          <w:p w14:paraId="68FA5E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094" w:type="dxa"/>
            <w:vAlign w:val="center"/>
          </w:tcPr>
          <w:p w14:paraId="234E4C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张</w:t>
            </w:r>
          </w:p>
        </w:tc>
        <w:tc>
          <w:tcPr>
            <w:tcW w:w="3708" w:type="dxa"/>
            <w:vMerge w:val="restart"/>
            <w:vAlign w:val="center"/>
          </w:tcPr>
          <w:p w14:paraId="206E6AD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具体要求同采购需求。</w:t>
            </w:r>
            <w:r>
              <w:rPr>
                <w:rFonts w:hint="eastAsia" w:ascii="宋体" w:hAnsi="宋体" w:eastAsia="宋体" w:cs="宋体"/>
                <w:color w:val="auto"/>
                <w:szCs w:val="21"/>
                <w:highlight w:val="none"/>
                <w:lang w:val="en-US" w:eastAsia="zh-CN"/>
              </w:rPr>
              <w:t>包含所有配件。</w:t>
            </w:r>
          </w:p>
        </w:tc>
      </w:tr>
      <w:tr w14:paraId="4861F2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0" w:type="dxa"/>
            <w:vAlign w:val="center"/>
          </w:tcPr>
          <w:p w14:paraId="7DC0214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w:t>
            </w:r>
          </w:p>
        </w:tc>
        <w:tc>
          <w:tcPr>
            <w:tcW w:w="2207" w:type="dxa"/>
            <w:vAlign w:val="center"/>
          </w:tcPr>
          <w:p w14:paraId="31466D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kern w:val="0"/>
                <w:szCs w:val="21"/>
                <w:highlight w:val="none"/>
                <w:lang w:bidi="ar"/>
              </w:rPr>
              <w:t>阅览椅</w:t>
            </w:r>
          </w:p>
        </w:tc>
        <w:tc>
          <w:tcPr>
            <w:tcW w:w="1079" w:type="dxa"/>
            <w:vAlign w:val="center"/>
          </w:tcPr>
          <w:p w14:paraId="69E8031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094" w:type="dxa"/>
            <w:vAlign w:val="center"/>
          </w:tcPr>
          <w:p w14:paraId="1B0A4AE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把</w:t>
            </w:r>
          </w:p>
        </w:tc>
        <w:tc>
          <w:tcPr>
            <w:tcW w:w="3708" w:type="dxa"/>
            <w:vMerge w:val="continue"/>
            <w:vAlign w:val="center"/>
          </w:tcPr>
          <w:p w14:paraId="4A9D2B7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14:paraId="7248BA81">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标项二：</w:t>
      </w:r>
    </w:p>
    <w:tbl>
      <w:tblPr>
        <w:tblStyle w:val="24"/>
        <w:tblW w:w="96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3"/>
        <w:gridCol w:w="2204"/>
        <w:gridCol w:w="1079"/>
        <w:gridCol w:w="1094"/>
        <w:gridCol w:w="3708"/>
      </w:tblGrid>
      <w:tr w14:paraId="5CA0E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543" w:type="dxa"/>
            <w:vAlign w:val="center"/>
          </w:tcPr>
          <w:p w14:paraId="4D5B08C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采购清单序号</w:t>
            </w:r>
          </w:p>
        </w:tc>
        <w:tc>
          <w:tcPr>
            <w:tcW w:w="2204" w:type="dxa"/>
            <w:vAlign w:val="center"/>
          </w:tcPr>
          <w:p w14:paraId="08308E3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品名</w:t>
            </w:r>
          </w:p>
        </w:tc>
        <w:tc>
          <w:tcPr>
            <w:tcW w:w="1079" w:type="dxa"/>
            <w:vAlign w:val="center"/>
          </w:tcPr>
          <w:p w14:paraId="62421C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094" w:type="dxa"/>
            <w:vAlign w:val="center"/>
          </w:tcPr>
          <w:p w14:paraId="09FFED6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3708" w:type="dxa"/>
            <w:vAlign w:val="center"/>
          </w:tcPr>
          <w:p w14:paraId="6AB3528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tc>
      </w:tr>
      <w:tr w14:paraId="332A7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3" w:type="dxa"/>
            <w:vAlign w:val="center"/>
          </w:tcPr>
          <w:p w14:paraId="3A279A4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2204" w:type="dxa"/>
            <w:vAlign w:val="center"/>
          </w:tcPr>
          <w:p w14:paraId="47E0C0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阅览桌</w:t>
            </w:r>
          </w:p>
        </w:tc>
        <w:tc>
          <w:tcPr>
            <w:tcW w:w="1079" w:type="dxa"/>
            <w:vAlign w:val="center"/>
          </w:tcPr>
          <w:p w14:paraId="6DB10D6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1094" w:type="dxa"/>
            <w:vAlign w:val="center"/>
          </w:tcPr>
          <w:p w14:paraId="01537E9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张</w:t>
            </w:r>
          </w:p>
        </w:tc>
        <w:tc>
          <w:tcPr>
            <w:tcW w:w="3708" w:type="dxa"/>
            <w:vMerge w:val="restart"/>
            <w:vAlign w:val="center"/>
          </w:tcPr>
          <w:p w14:paraId="22B88B4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具体要求同采购需求。包含所有配件。</w:t>
            </w:r>
          </w:p>
        </w:tc>
      </w:tr>
      <w:tr w14:paraId="7B1BF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3" w:type="dxa"/>
            <w:vAlign w:val="center"/>
          </w:tcPr>
          <w:p w14:paraId="35FABB7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25</w:t>
            </w:r>
          </w:p>
        </w:tc>
        <w:tc>
          <w:tcPr>
            <w:tcW w:w="2204" w:type="dxa"/>
            <w:vAlign w:val="center"/>
          </w:tcPr>
          <w:p w14:paraId="7770B9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lang w:eastAsia="zh-CN"/>
              </w:rPr>
            </w:pPr>
            <w:r>
              <w:rPr>
                <w:rFonts w:hint="eastAsia" w:ascii="宋体" w:hAnsi="宋体" w:eastAsia="宋体" w:cs="宋体"/>
                <w:b w:val="0"/>
                <w:bCs w:val="0"/>
                <w:color w:val="auto"/>
                <w:szCs w:val="21"/>
                <w:highlight w:val="none"/>
                <w:lang w:eastAsia="zh-CN"/>
              </w:rPr>
              <w:t>讨论椅</w:t>
            </w:r>
          </w:p>
        </w:tc>
        <w:tc>
          <w:tcPr>
            <w:tcW w:w="1079" w:type="dxa"/>
            <w:vAlign w:val="center"/>
          </w:tcPr>
          <w:p w14:paraId="31225F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1094" w:type="dxa"/>
            <w:vAlign w:val="center"/>
          </w:tcPr>
          <w:p w14:paraId="4186D1E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把</w:t>
            </w:r>
          </w:p>
        </w:tc>
        <w:tc>
          <w:tcPr>
            <w:tcW w:w="3708" w:type="dxa"/>
            <w:vMerge w:val="continue"/>
            <w:vAlign w:val="center"/>
          </w:tcPr>
          <w:p w14:paraId="7908FC0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14:paraId="5131BE69">
      <w:pPr>
        <w:autoSpaceDE w:val="0"/>
        <w:spacing w:line="288" w:lineRule="auto"/>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注：</w:t>
      </w:r>
    </w:p>
    <w:p w14:paraId="2ADCFC4B">
      <w:pPr>
        <w:autoSpaceDE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宋体"/>
          <w:bCs/>
          <w:color w:val="auto"/>
          <w:szCs w:val="21"/>
          <w:highlight w:val="none"/>
          <w:lang w:bidi="ar"/>
        </w:rPr>
        <w:t>（2）样品递交时间：2025年</w:t>
      </w:r>
      <w:r>
        <w:rPr>
          <w:rFonts w:hint="eastAsia" w:ascii="宋体" w:hAnsi="宋体" w:eastAsia="宋体" w:cs="宋体"/>
          <w:bCs/>
          <w:color w:val="auto"/>
          <w:szCs w:val="21"/>
          <w:highlight w:val="none"/>
          <w:lang w:val="en-US" w:eastAsia="zh-CN" w:bidi="ar"/>
        </w:rPr>
        <w:t>7月15日</w:t>
      </w:r>
      <w:r>
        <w:rPr>
          <w:rFonts w:hint="eastAsia" w:ascii="宋体" w:hAnsi="宋体" w:eastAsia="宋体" w:cs="宋体"/>
          <w:bCs/>
          <w:color w:val="auto"/>
          <w:szCs w:val="21"/>
          <w:highlight w:val="none"/>
          <w:lang w:bidi="ar"/>
        </w:rPr>
        <w:t>9:</w:t>
      </w:r>
      <w:r>
        <w:rPr>
          <w:rFonts w:hint="eastAsia" w:ascii="宋体" w:hAnsi="宋体" w:eastAsia="宋体" w:cs="宋体"/>
          <w:bCs/>
          <w:color w:val="auto"/>
          <w:szCs w:val="21"/>
          <w:highlight w:val="none"/>
          <w:lang w:val="en-US" w:eastAsia="zh-CN" w:bidi="ar"/>
        </w:rPr>
        <w:t>0</w:t>
      </w:r>
      <w:r>
        <w:rPr>
          <w:rFonts w:hint="eastAsia" w:ascii="宋体" w:hAnsi="宋体" w:eastAsia="宋体" w:cs="宋体"/>
          <w:bCs/>
          <w:color w:val="auto"/>
          <w:szCs w:val="21"/>
          <w:highlight w:val="none"/>
          <w:lang w:bidi="ar"/>
        </w:rPr>
        <w:t>0:00至1</w:t>
      </w:r>
      <w:r>
        <w:rPr>
          <w:rFonts w:hint="eastAsia" w:ascii="宋体" w:hAnsi="宋体" w:eastAsia="宋体" w:cs="宋体"/>
          <w:bCs/>
          <w:color w:val="auto"/>
          <w:szCs w:val="21"/>
          <w:highlight w:val="none"/>
          <w:lang w:val="en-US" w:eastAsia="zh-CN" w:bidi="ar"/>
        </w:rPr>
        <w:t>2</w:t>
      </w:r>
      <w:r>
        <w:rPr>
          <w:rFonts w:hint="eastAsia" w:ascii="宋体" w:hAnsi="宋体" w:eastAsia="宋体" w:cs="宋体"/>
          <w:bCs/>
          <w:color w:val="auto"/>
          <w:szCs w:val="21"/>
          <w:highlight w:val="none"/>
          <w:lang w:bidi="ar"/>
        </w:rPr>
        <w:t>:00:00，递交地点：杭州市天目山路419号西溪金谷15号楼3单元（如有调整另行通知），逾期送达将予以拒收，收样联系人：俞炳，13252390857。</w:t>
      </w:r>
    </w:p>
    <w:p w14:paraId="79DF02B5">
      <w:pPr>
        <w:autoSpaceDE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宋体"/>
          <w:bCs/>
          <w:color w:val="auto"/>
          <w:szCs w:val="21"/>
          <w:highlight w:val="none"/>
          <w:lang w:bidi="ar"/>
        </w:rPr>
        <w:t>（3）中标人的样品将被封存作为货物验收的实物质量验收标准，未中标人的样品在采购活动结束后3个工作日内自行撤回。</w:t>
      </w:r>
    </w:p>
    <w:p w14:paraId="545A871F">
      <w:pPr>
        <w:autoSpaceDE w:val="0"/>
        <w:spacing w:line="288" w:lineRule="auto"/>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▲（4）未提供样品或样品提供不全的，投标无效。</w:t>
      </w:r>
    </w:p>
    <w:p w14:paraId="78FB8F73">
      <w:pPr>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（5）特别提醒：供应商同意评审专家对提供的样品进行破坏性测试，如有损坏，采购人不提供赔偿。</w:t>
      </w:r>
    </w:p>
    <w:p w14:paraId="7B908ED5">
      <w:pPr>
        <w:rPr>
          <w:rFonts w:hint="eastAsia" w:ascii="宋体" w:hAnsi="宋体" w:eastAsia="宋体" w:cs="Times New Roman"/>
          <w:b/>
          <w:color w:val="auto"/>
          <w:sz w:val="32"/>
          <w:szCs w:val="32"/>
          <w:highlight w:val="none"/>
        </w:rPr>
      </w:pPr>
      <w:r>
        <w:rPr>
          <w:rFonts w:hint="eastAsia" w:ascii="宋体" w:hAnsi="宋体" w:eastAsia="宋体" w:cs="Times New Roman"/>
          <w:b/>
          <w:color w:val="auto"/>
          <w:sz w:val="32"/>
          <w:szCs w:val="32"/>
          <w:highlight w:val="none"/>
        </w:rPr>
        <w:br w:type="page"/>
      </w:r>
    </w:p>
    <w:p w14:paraId="0010D715">
      <w:pPr>
        <w:adjustRightInd w:val="0"/>
        <w:snapToGrid w:val="0"/>
        <w:spacing w:line="288" w:lineRule="auto"/>
        <w:jc w:val="center"/>
        <w:outlineLvl w:val="0"/>
        <w:rPr>
          <w:rFonts w:hint="eastAsia" w:ascii="宋体" w:hAnsi="宋体" w:eastAsia="宋体" w:cs="Times New Roman"/>
          <w:color w:val="auto"/>
          <w:sz w:val="32"/>
          <w:szCs w:val="32"/>
          <w:highlight w:val="none"/>
        </w:rPr>
      </w:pPr>
      <w:r>
        <w:rPr>
          <w:rFonts w:hint="eastAsia" w:ascii="宋体" w:hAnsi="宋体" w:eastAsia="宋体" w:cs="Times New Roman"/>
          <w:b/>
          <w:color w:val="auto"/>
          <w:sz w:val="32"/>
          <w:szCs w:val="32"/>
          <w:highlight w:val="none"/>
        </w:rPr>
        <w:t>第三章  投标人须知</w:t>
      </w:r>
    </w:p>
    <w:p w14:paraId="0797A8FF">
      <w:pPr>
        <w:adjustRightInd w:val="0"/>
        <w:snapToGrid w:val="0"/>
        <w:spacing w:line="288" w:lineRule="auto"/>
        <w:ind w:left="238"/>
        <w:jc w:val="center"/>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投标人</w:t>
      </w:r>
      <w:r>
        <w:rPr>
          <w:rFonts w:ascii="宋体" w:hAnsi="宋体" w:eastAsia="宋体" w:cs="Times New Roman"/>
          <w:b/>
          <w:color w:val="auto"/>
          <w:szCs w:val="21"/>
          <w:highlight w:val="none"/>
        </w:rPr>
        <w:t>须知</w:t>
      </w:r>
      <w:r>
        <w:rPr>
          <w:rFonts w:hint="eastAsia" w:ascii="宋体" w:hAnsi="宋体" w:eastAsia="宋体" w:cs="Times New Roman"/>
          <w:b/>
          <w:color w:val="auto"/>
          <w:szCs w:val="21"/>
          <w:highlight w:val="none"/>
        </w:rPr>
        <w:t>前附表</w:t>
      </w:r>
    </w:p>
    <w:tbl>
      <w:tblPr>
        <w:tblStyle w:val="24"/>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701"/>
        <w:gridCol w:w="6663"/>
      </w:tblGrid>
      <w:tr w14:paraId="5779B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1D9F47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条款号</w:t>
            </w:r>
          </w:p>
        </w:tc>
        <w:tc>
          <w:tcPr>
            <w:tcW w:w="1701" w:type="dxa"/>
            <w:vAlign w:val="center"/>
          </w:tcPr>
          <w:p w14:paraId="64C310D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内容</w:t>
            </w:r>
          </w:p>
        </w:tc>
        <w:tc>
          <w:tcPr>
            <w:tcW w:w="6663" w:type="dxa"/>
            <w:vAlign w:val="center"/>
          </w:tcPr>
          <w:p w14:paraId="4CA792F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说明与要求</w:t>
            </w:r>
          </w:p>
        </w:tc>
      </w:tr>
      <w:tr w14:paraId="6874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45AF23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（一）</w:t>
            </w:r>
          </w:p>
        </w:tc>
        <w:tc>
          <w:tcPr>
            <w:tcW w:w="1701" w:type="dxa"/>
            <w:vAlign w:val="center"/>
          </w:tcPr>
          <w:p w14:paraId="7F7DE3F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适用范围</w:t>
            </w:r>
          </w:p>
        </w:tc>
        <w:tc>
          <w:tcPr>
            <w:tcW w:w="6663" w:type="dxa"/>
            <w:vAlign w:val="center"/>
          </w:tcPr>
          <w:p w14:paraId="7BC850B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本招标文件适用于杭州电子科技大学图书馆公共学习空间家具采购的招标、评标、定标、验收、合同履约、付款等（法律、法规另有规定的，从其规定）。</w:t>
            </w:r>
          </w:p>
        </w:tc>
      </w:tr>
      <w:tr w14:paraId="1FC6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7137C03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（二）</w:t>
            </w:r>
          </w:p>
        </w:tc>
        <w:tc>
          <w:tcPr>
            <w:tcW w:w="1701" w:type="dxa"/>
            <w:vAlign w:val="center"/>
          </w:tcPr>
          <w:p w14:paraId="4D54B4F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招标方式</w:t>
            </w:r>
          </w:p>
        </w:tc>
        <w:tc>
          <w:tcPr>
            <w:tcW w:w="6663" w:type="dxa"/>
            <w:vAlign w:val="center"/>
          </w:tcPr>
          <w:p w14:paraId="24CC8BF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本次招标采用公开招标（线上电子招投标）方式进行。</w:t>
            </w:r>
          </w:p>
        </w:tc>
      </w:tr>
      <w:tr w14:paraId="387CB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6286D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（三）</w:t>
            </w:r>
          </w:p>
        </w:tc>
        <w:tc>
          <w:tcPr>
            <w:tcW w:w="1701" w:type="dxa"/>
            <w:vAlign w:val="center"/>
          </w:tcPr>
          <w:p w14:paraId="1CFD04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投标委托</w:t>
            </w:r>
          </w:p>
        </w:tc>
        <w:tc>
          <w:tcPr>
            <w:tcW w:w="6663" w:type="dxa"/>
            <w:vAlign w:val="center"/>
          </w:tcPr>
          <w:p w14:paraId="5EE909E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hint="default" w:ascii="宋体" w:hAnsi="宋体" w:eastAsia="宋体"/>
                <w:color w:val="auto"/>
                <w:szCs w:val="21"/>
                <w:highlight w:val="none"/>
              </w:rPr>
              <w:t>.投标人代表是法定代表人</w:t>
            </w:r>
            <w:r>
              <w:rPr>
                <w:rFonts w:hint="eastAsia" w:ascii="宋体" w:hAnsi="宋体" w:eastAsia="宋体"/>
                <w:color w:val="auto"/>
                <w:szCs w:val="21"/>
                <w:highlight w:val="none"/>
              </w:rPr>
              <w:t>（单位负责人、自然人本人）的，须提供本人身份证明。</w:t>
            </w:r>
          </w:p>
          <w:p w14:paraId="35EB04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2</w:t>
            </w:r>
            <w:r>
              <w:rPr>
                <w:rFonts w:hint="eastAsia" w:ascii="宋体" w:hAnsi="宋体" w:eastAsia="宋体"/>
                <w:color w:val="auto"/>
                <w:szCs w:val="21"/>
                <w:highlight w:val="none"/>
              </w:rPr>
              <w:t>.</w:t>
            </w:r>
            <w:r>
              <w:rPr>
                <w:rFonts w:hint="default" w:ascii="宋体" w:hAnsi="宋体" w:eastAsia="宋体"/>
                <w:color w:val="auto"/>
                <w:szCs w:val="21"/>
                <w:highlight w:val="none"/>
              </w:rPr>
              <w:t>投标人代表不是法定代表人</w:t>
            </w:r>
            <w:r>
              <w:rPr>
                <w:rFonts w:hint="eastAsia" w:ascii="宋体" w:hAnsi="宋体" w:eastAsia="宋体"/>
                <w:color w:val="auto"/>
                <w:szCs w:val="21"/>
                <w:highlight w:val="none"/>
              </w:rPr>
              <w:t>（单位负责人、自然人本人）的</w:t>
            </w:r>
            <w:r>
              <w:rPr>
                <w:rFonts w:hint="default" w:ascii="宋体" w:hAnsi="宋体" w:eastAsia="宋体"/>
                <w:color w:val="auto"/>
                <w:szCs w:val="21"/>
                <w:highlight w:val="none"/>
              </w:rPr>
              <w:t>，须提供</w:t>
            </w:r>
            <w:r>
              <w:rPr>
                <w:rFonts w:hint="default" w:ascii="宋体" w:hAnsi="宋体" w:eastAsia="宋体"/>
                <w:bCs/>
                <w:color w:val="auto"/>
                <w:szCs w:val="21"/>
                <w:highlight w:val="none"/>
              </w:rPr>
              <w:t>授权</w:t>
            </w:r>
            <w:r>
              <w:rPr>
                <w:rFonts w:hint="eastAsia" w:ascii="宋体" w:hAnsi="宋体" w:eastAsia="宋体"/>
                <w:bCs/>
                <w:color w:val="auto"/>
                <w:szCs w:val="21"/>
                <w:highlight w:val="none"/>
              </w:rPr>
              <w:t>委托</w:t>
            </w:r>
            <w:r>
              <w:rPr>
                <w:rFonts w:hint="default" w:ascii="宋体" w:hAnsi="宋体" w:eastAsia="宋体"/>
                <w:bCs/>
                <w:color w:val="auto"/>
                <w:szCs w:val="21"/>
                <w:highlight w:val="none"/>
              </w:rPr>
              <w:t>书</w:t>
            </w:r>
            <w:r>
              <w:rPr>
                <w:rFonts w:hint="eastAsia" w:ascii="宋体" w:hAnsi="宋体" w:eastAsia="宋体"/>
                <w:color w:val="auto"/>
                <w:szCs w:val="21"/>
                <w:highlight w:val="none"/>
              </w:rPr>
              <w:t>（格式详见招标文件第六章）和授权代表社保缴纳证明（2024年7月（含）</w:t>
            </w:r>
            <w:r>
              <w:rPr>
                <w:rFonts w:hint="default" w:ascii="宋体" w:hAnsi="宋体" w:eastAsia="宋体"/>
                <w:color w:val="auto"/>
                <w:szCs w:val="21"/>
                <w:highlight w:val="none"/>
              </w:rPr>
              <w:t>以后任意一月）</w:t>
            </w:r>
            <w:r>
              <w:rPr>
                <w:rFonts w:hint="eastAsia" w:ascii="宋体" w:hAnsi="宋体" w:eastAsia="宋体"/>
                <w:color w:val="auto"/>
                <w:szCs w:val="21"/>
                <w:highlight w:val="none"/>
              </w:rPr>
              <w:t>；</w:t>
            </w:r>
          </w:p>
          <w:p w14:paraId="19BCFB3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3.</w:t>
            </w:r>
            <w:r>
              <w:rPr>
                <w:rFonts w:hint="eastAsia" w:ascii="宋体" w:hAnsi="宋体" w:eastAsia="宋体"/>
                <w:color w:val="auto"/>
                <w:szCs w:val="21"/>
                <w:highlight w:val="none"/>
              </w:rPr>
              <w:t>投标人委派不在本单位缴纳社保的人员作为授权代表的，应当在投标文件中，说明具体原因、授权代表缴纳社保的单位，并附列该授权代表缴纳社保清单。</w:t>
            </w:r>
          </w:p>
        </w:tc>
      </w:tr>
      <w:tr w14:paraId="14E96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4E71F6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（四）</w:t>
            </w:r>
          </w:p>
        </w:tc>
        <w:tc>
          <w:tcPr>
            <w:tcW w:w="1701" w:type="dxa"/>
            <w:vAlign w:val="center"/>
          </w:tcPr>
          <w:p w14:paraId="7C72A0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投标费用</w:t>
            </w:r>
          </w:p>
        </w:tc>
        <w:tc>
          <w:tcPr>
            <w:tcW w:w="6663" w:type="dxa"/>
            <w:vAlign w:val="center"/>
          </w:tcPr>
          <w:p w14:paraId="013748B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1.不论投标结果如何，投标人均应自行承担所有与投标有关的全部费用；</w:t>
            </w:r>
          </w:p>
          <w:p w14:paraId="400EBA4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2.中标人在中标通知书发出之日起七个工作日内，向采购代理机构交纳代理服务费；</w:t>
            </w:r>
          </w:p>
          <w:p w14:paraId="1E8BF32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3.中标人逾期支付代理服务费，须承担代理服务费每日百分之三的违约金，逾期十日未支付的，采购代理机构有权向杭州仲裁委员会对中标人提起仲裁，仲裁费用（包括仲裁受理费和仲裁处理费）均由中标人承担。</w:t>
            </w:r>
          </w:p>
          <w:p w14:paraId="35DC143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4</w:t>
            </w:r>
            <w:r>
              <w:rPr>
                <w:rFonts w:hint="default" w:ascii="宋体" w:hAnsi="宋体" w:eastAsia="宋体"/>
                <w:color w:val="auto"/>
                <w:szCs w:val="21"/>
                <w:highlight w:val="none"/>
              </w:rPr>
              <w:t>.</w:t>
            </w:r>
            <w:r>
              <w:rPr>
                <w:rFonts w:hint="eastAsia" w:ascii="宋体" w:hAnsi="宋体" w:eastAsia="宋体"/>
                <w:color w:val="auto"/>
                <w:szCs w:val="21"/>
                <w:highlight w:val="none"/>
              </w:rPr>
              <w:t>收费标准（差额累进）：</w:t>
            </w:r>
          </w:p>
          <w:tbl>
            <w:tblPr>
              <w:tblStyle w:val="24"/>
              <w:tblW w:w="562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51"/>
              <w:gridCol w:w="3070"/>
            </w:tblGrid>
            <w:tr w14:paraId="3CD702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223396B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中标金额（万元）</w:t>
                  </w:r>
                </w:p>
              </w:tc>
              <w:tc>
                <w:tcPr>
                  <w:tcW w:w="3070" w:type="dxa"/>
                  <w:tcMar>
                    <w:top w:w="0" w:type="dxa"/>
                    <w:left w:w="108" w:type="dxa"/>
                    <w:bottom w:w="0" w:type="dxa"/>
                    <w:right w:w="108" w:type="dxa"/>
                  </w:tcMar>
                  <w:vAlign w:val="center"/>
                </w:tcPr>
                <w:p w14:paraId="36E1B2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收费标准（费率，%）</w:t>
                  </w:r>
                </w:p>
              </w:tc>
            </w:tr>
            <w:tr w14:paraId="78E5AA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4B5333F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100以下</w:t>
                  </w:r>
                </w:p>
              </w:tc>
              <w:tc>
                <w:tcPr>
                  <w:tcW w:w="3070" w:type="dxa"/>
                  <w:tcMar>
                    <w:top w:w="0" w:type="dxa"/>
                    <w:left w:w="108" w:type="dxa"/>
                    <w:bottom w:w="0" w:type="dxa"/>
                    <w:right w:w="108" w:type="dxa"/>
                  </w:tcMar>
                  <w:vAlign w:val="center"/>
                </w:tcPr>
                <w:p w14:paraId="67115F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1.05</w:t>
                  </w:r>
                </w:p>
              </w:tc>
            </w:tr>
            <w:tr w14:paraId="0E2769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4D2DBC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100-500</w:t>
                  </w:r>
                </w:p>
              </w:tc>
              <w:tc>
                <w:tcPr>
                  <w:tcW w:w="3070" w:type="dxa"/>
                  <w:tcMar>
                    <w:top w:w="0" w:type="dxa"/>
                    <w:left w:w="108" w:type="dxa"/>
                    <w:bottom w:w="0" w:type="dxa"/>
                    <w:right w:w="108" w:type="dxa"/>
                  </w:tcMar>
                  <w:vAlign w:val="center"/>
                </w:tcPr>
                <w:p w14:paraId="0B407DD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0.77</w:t>
                  </w:r>
                </w:p>
              </w:tc>
            </w:tr>
          </w:tbl>
          <w:p w14:paraId="1960F6C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p>
        </w:tc>
      </w:tr>
      <w:tr w14:paraId="33F24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0767D32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（五）</w:t>
            </w:r>
          </w:p>
        </w:tc>
        <w:tc>
          <w:tcPr>
            <w:tcW w:w="1701" w:type="dxa"/>
            <w:vAlign w:val="center"/>
          </w:tcPr>
          <w:p w14:paraId="39C3A047">
            <w:pPr>
              <w:keepNext w:val="0"/>
              <w:keepLines w:val="0"/>
              <w:suppressLineNumbers w:val="0"/>
              <w:adjustRightInd w:val="0"/>
              <w:snapToGrid w:val="0"/>
              <w:spacing w:before="0" w:beforeAutospacing="0" w:after="0" w:afterAutospacing="0" w:line="288" w:lineRule="auto"/>
              <w:ind w:left="0" w:right="-105" w:rightChars="-50"/>
              <w:jc w:val="center"/>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投标保证金（元）</w:t>
            </w:r>
          </w:p>
        </w:tc>
        <w:tc>
          <w:tcPr>
            <w:tcW w:w="6663" w:type="dxa"/>
            <w:vAlign w:val="center"/>
          </w:tcPr>
          <w:p w14:paraId="6027F1B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无。</w:t>
            </w:r>
          </w:p>
        </w:tc>
      </w:tr>
      <w:tr w14:paraId="6F740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6D175E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（六）</w:t>
            </w:r>
          </w:p>
        </w:tc>
        <w:tc>
          <w:tcPr>
            <w:tcW w:w="1701" w:type="dxa"/>
            <w:vAlign w:val="center"/>
          </w:tcPr>
          <w:p w14:paraId="3DF50E5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联合体投标</w:t>
            </w:r>
          </w:p>
        </w:tc>
        <w:tc>
          <w:tcPr>
            <w:tcW w:w="6663" w:type="dxa"/>
            <w:vAlign w:val="center"/>
          </w:tcPr>
          <w:p w14:paraId="0A4F6CF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本项目（是）接受联合体投标。</w:t>
            </w:r>
          </w:p>
        </w:tc>
      </w:tr>
      <w:tr w14:paraId="5469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7CAC6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（七）</w:t>
            </w:r>
          </w:p>
        </w:tc>
        <w:tc>
          <w:tcPr>
            <w:tcW w:w="1701" w:type="dxa"/>
            <w:vAlign w:val="center"/>
          </w:tcPr>
          <w:p w14:paraId="78FC396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转包与分包</w:t>
            </w:r>
          </w:p>
        </w:tc>
        <w:tc>
          <w:tcPr>
            <w:tcW w:w="6663" w:type="dxa"/>
            <w:vAlign w:val="center"/>
          </w:tcPr>
          <w:p w14:paraId="3717B17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hint="default" w:ascii="宋体" w:hAnsi="宋体" w:eastAsia="宋体"/>
                <w:color w:val="auto"/>
                <w:szCs w:val="21"/>
                <w:highlight w:val="none"/>
              </w:rPr>
              <w:t>.</w:t>
            </w:r>
            <w:r>
              <w:rPr>
                <w:rFonts w:hint="eastAsia" w:ascii="宋体" w:hAnsi="宋体" w:eastAsia="宋体"/>
                <w:color w:val="auto"/>
                <w:szCs w:val="21"/>
                <w:highlight w:val="none"/>
              </w:rPr>
              <w:t>本项目不允许转包；</w:t>
            </w:r>
          </w:p>
          <w:p w14:paraId="2BD3C9D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default" w:ascii="宋体" w:hAnsi="宋体" w:eastAsia="宋体"/>
                <w:color w:val="auto"/>
                <w:szCs w:val="21"/>
                <w:highlight w:val="none"/>
              </w:rPr>
              <w:t>2.</w:t>
            </w:r>
            <w:r>
              <w:rPr>
                <w:rFonts w:hint="eastAsia" w:ascii="宋体" w:hAnsi="宋体" w:eastAsia="宋体"/>
                <w:color w:val="auto"/>
                <w:szCs w:val="21"/>
                <w:highlight w:val="none"/>
              </w:rPr>
              <w:t>本项目</w:t>
            </w:r>
            <w:r>
              <w:rPr>
                <w:rFonts w:hint="eastAsia" w:ascii="宋体" w:hAnsi="宋体" w:eastAsia="宋体"/>
                <w:b/>
                <w:bCs/>
                <w:color w:val="auto"/>
                <w:szCs w:val="21"/>
                <w:highlight w:val="none"/>
                <w:u w:val="single"/>
              </w:rPr>
              <w:t>允许</w:t>
            </w:r>
            <w:r>
              <w:rPr>
                <w:rFonts w:hint="eastAsia" w:ascii="宋体" w:hAnsi="宋体" w:eastAsia="宋体"/>
                <w:color w:val="auto"/>
                <w:szCs w:val="21"/>
                <w:highlight w:val="none"/>
              </w:rPr>
              <w:t>分包，</w:t>
            </w:r>
            <w:r>
              <w:rPr>
                <w:rFonts w:hint="default" w:ascii="宋体" w:hAnsi="宋体" w:eastAsia="宋体"/>
                <w:color w:val="auto"/>
                <w:szCs w:val="21"/>
                <w:highlight w:val="none"/>
              </w:rPr>
              <w:t>可以分包履行的（非主体、非关键性的工作）具体内容、金额或者比例：</w:t>
            </w:r>
            <w:r>
              <w:rPr>
                <w:rFonts w:hint="eastAsia" w:ascii="宋体" w:hAnsi="宋体" w:eastAsia="宋体"/>
                <w:color w:val="auto"/>
                <w:szCs w:val="21"/>
                <w:highlight w:val="none"/>
                <w:u w:val="single"/>
              </w:rPr>
              <w:t>货物运输</w:t>
            </w:r>
            <w:r>
              <w:rPr>
                <w:rFonts w:hint="default" w:ascii="宋体" w:hAnsi="宋体" w:eastAsia="宋体"/>
                <w:color w:val="auto"/>
                <w:szCs w:val="21"/>
                <w:highlight w:val="none"/>
                <w:u w:val="single"/>
              </w:rPr>
              <w:t>。</w:t>
            </w:r>
          </w:p>
          <w:p w14:paraId="6381749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olor w:val="auto"/>
                <w:szCs w:val="21"/>
                <w:highlight w:val="none"/>
              </w:rPr>
              <w:t>说明：投标人根据招标文件的规定和采购项目的实际情况，拟在中标后将中标项目的非主体、非关键性工作分包的，应当在投标文件中载明分包承担主体，分包承担主体应当具备相应资质条件且不得再次分包。</w:t>
            </w:r>
          </w:p>
        </w:tc>
      </w:tr>
      <w:tr w14:paraId="1BA0F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0C01E5F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（八）</w:t>
            </w:r>
          </w:p>
        </w:tc>
        <w:tc>
          <w:tcPr>
            <w:tcW w:w="1701" w:type="dxa"/>
            <w:vAlign w:val="center"/>
          </w:tcPr>
          <w:p w14:paraId="1183409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b/>
                <w:bCs/>
                <w:color w:val="auto"/>
                <w:szCs w:val="21"/>
                <w:highlight w:val="none"/>
              </w:rPr>
              <w:t>信用记录</w:t>
            </w:r>
          </w:p>
        </w:tc>
        <w:tc>
          <w:tcPr>
            <w:tcW w:w="6663" w:type="dxa"/>
            <w:vAlign w:val="center"/>
          </w:tcPr>
          <w:p w14:paraId="4C42B42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bCs/>
                <w:color w:val="auto"/>
                <w:szCs w:val="21"/>
                <w:highlight w:val="none"/>
              </w:rPr>
              <w:t>根据财库[2016]125号《关于在政府采购活动中查询及使用信用记录有关问题的通知》要求，采购代理机构会对投标人信用记录进行查询并甄别。信用</w:t>
            </w:r>
            <w:r>
              <w:rPr>
                <w:rFonts w:hint="eastAsia" w:ascii="宋体" w:hAnsi="宋体" w:eastAsia="宋体"/>
                <w:color w:val="auto"/>
                <w:szCs w:val="21"/>
                <w:highlight w:val="none"/>
              </w:rPr>
              <w:t>信息查询的截止时点：投标截止时间；</w:t>
            </w:r>
          </w:p>
          <w:p w14:paraId="1814699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1</w:t>
            </w:r>
            <w:r>
              <w:rPr>
                <w:rFonts w:hint="eastAsia" w:ascii="宋体" w:hAnsi="宋体" w:eastAsia="宋体"/>
                <w:color w:val="auto"/>
                <w:szCs w:val="21"/>
                <w:highlight w:val="none"/>
              </w:rPr>
              <w:t>）查询渠道：“信用中国”（www.creditchina.gov.cn）、“中国政府采购网”（www.ccgp.gov.cn）；</w:t>
            </w:r>
          </w:p>
          <w:p w14:paraId="242F485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2</w:t>
            </w:r>
            <w:r>
              <w:rPr>
                <w:rFonts w:hint="eastAsia" w:ascii="宋体" w:hAnsi="宋体" w:eastAsia="宋体"/>
                <w:color w:val="auto"/>
                <w:szCs w:val="21"/>
                <w:highlight w:val="none"/>
              </w:rPr>
              <w:t>）信用信息查询记录和证据留存具体方式：采购代理机构经办人和监督人员将查询网页打印、签名与其他采购文件一并保存；</w:t>
            </w:r>
          </w:p>
          <w:p w14:paraId="191BF51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3</w:t>
            </w:r>
            <w:r>
              <w:rPr>
                <w:rFonts w:hint="eastAsia" w:ascii="宋体" w:hAnsi="宋体" w:eastAsia="宋体"/>
                <w:bCs/>
                <w:color w:val="auto"/>
                <w:szCs w:val="21"/>
                <w:highlight w:val="none"/>
              </w:rPr>
              <w:t>）信用信息的使用规则：投标人被列入失信被执行人、重大税收违法案件当事人名单、政府采购严重违法失信行为记录名单的，拒绝其参与政府采购活动。</w:t>
            </w:r>
          </w:p>
        </w:tc>
      </w:tr>
      <w:tr w14:paraId="0004E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EE0C29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（九）</w:t>
            </w:r>
          </w:p>
        </w:tc>
        <w:tc>
          <w:tcPr>
            <w:tcW w:w="1701" w:type="dxa"/>
            <w:vAlign w:val="center"/>
          </w:tcPr>
          <w:p w14:paraId="3A7BA0C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资格审查要求的资格证明材料</w:t>
            </w:r>
          </w:p>
        </w:tc>
        <w:tc>
          <w:tcPr>
            <w:tcW w:w="6663" w:type="dxa"/>
            <w:vAlign w:val="center"/>
          </w:tcPr>
          <w:p w14:paraId="4D49F1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资格审查要求的资格证明材料（均需加盖公章）</w:t>
            </w:r>
          </w:p>
          <w:p w14:paraId="1B37A1D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eastAsia" w:ascii="宋体" w:hAnsi="宋体" w:eastAsia="宋体"/>
                <w:bCs/>
                <w:color w:val="auto"/>
                <w:szCs w:val="21"/>
                <w:highlight w:val="none"/>
              </w:rPr>
              <w:t>1）有效的法人或者其他组织的营业执照等证明文件，自然人的身份证明</w:t>
            </w:r>
          </w:p>
          <w:p w14:paraId="5B22D1D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eastAsia" w:ascii="宋体" w:hAnsi="宋体" w:eastAsia="宋体"/>
                <w:bCs/>
                <w:color w:val="auto"/>
                <w:szCs w:val="21"/>
                <w:highlight w:val="none"/>
              </w:rPr>
              <w:t>2）符合参加政府采购活动应当具备的一般条件的承诺函</w:t>
            </w:r>
          </w:p>
          <w:p w14:paraId="7583A3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w:t>
            </w:r>
            <w:r>
              <w:rPr>
                <w:rFonts w:hint="default" w:ascii="宋体" w:hAnsi="宋体" w:eastAsia="宋体"/>
                <w:bCs/>
                <w:color w:val="auto"/>
                <w:szCs w:val="21"/>
                <w:highlight w:val="none"/>
              </w:rPr>
              <w:t>3</w:t>
            </w:r>
            <w:r>
              <w:rPr>
                <w:rFonts w:hint="eastAsia" w:ascii="宋体" w:hAnsi="宋体" w:eastAsia="宋体"/>
                <w:bCs/>
                <w:color w:val="auto"/>
                <w:szCs w:val="21"/>
                <w:highlight w:val="none"/>
              </w:rPr>
              <w:t>）</w:t>
            </w:r>
            <w:r>
              <w:rPr>
                <w:rFonts w:hint="default" w:ascii="宋体" w:hAnsi="宋体" w:eastAsia="宋体"/>
                <w:bCs/>
                <w:color w:val="auto"/>
                <w:szCs w:val="21"/>
                <w:highlight w:val="none"/>
              </w:rPr>
              <w:t>落实政府采购政策需满足的资格要求：</w:t>
            </w:r>
          </w:p>
          <w:p w14:paraId="3D68FB1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中小企业声明函（若属于中小企业）</w:t>
            </w:r>
          </w:p>
          <w:p w14:paraId="62CBB7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属于监狱企业的证明文件（若属于监狱企业）</w:t>
            </w:r>
          </w:p>
          <w:p w14:paraId="578D562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残疾人福利性单位声明函（若属于残疾人福利性单位）</w:t>
            </w:r>
          </w:p>
          <w:p w14:paraId="3877AAA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联合协议、分包意向协议（如有）</w:t>
            </w:r>
          </w:p>
          <w:p w14:paraId="3F923D6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4）</w:t>
            </w:r>
            <w:r>
              <w:rPr>
                <w:rFonts w:hint="eastAsia" w:ascii="宋体" w:hAnsi="宋体" w:eastAsia="宋体"/>
                <w:color w:val="auto"/>
                <w:szCs w:val="21"/>
                <w:highlight w:val="none"/>
              </w:rPr>
              <w:t>本项目的特定资格要求</w:t>
            </w:r>
            <w:r>
              <w:rPr>
                <w:rFonts w:hint="default" w:ascii="宋体" w:hAnsi="宋体" w:eastAsia="宋体"/>
                <w:color w:val="auto"/>
                <w:szCs w:val="21"/>
                <w:highlight w:val="none"/>
              </w:rPr>
              <w:t>证明材料</w:t>
            </w:r>
            <w:r>
              <w:rPr>
                <w:rFonts w:hint="default" w:ascii="宋体" w:hAnsi="宋体" w:eastAsia="宋体"/>
                <w:bCs/>
                <w:color w:val="auto"/>
                <w:szCs w:val="21"/>
                <w:highlight w:val="none"/>
              </w:rPr>
              <w:t>：</w:t>
            </w:r>
            <w:r>
              <w:rPr>
                <w:rFonts w:hint="eastAsia" w:ascii="宋体" w:hAnsi="宋体" w:eastAsia="宋体"/>
                <w:bCs/>
                <w:color w:val="auto"/>
                <w:szCs w:val="21"/>
                <w:highlight w:val="none"/>
              </w:rPr>
              <w:t>无</w:t>
            </w:r>
          </w:p>
        </w:tc>
      </w:tr>
      <w:tr w14:paraId="35939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253515E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w:t>
            </w:r>
          </w:p>
        </w:tc>
        <w:tc>
          <w:tcPr>
            <w:tcW w:w="1701" w:type="dxa"/>
            <w:vAlign w:val="center"/>
          </w:tcPr>
          <w:p w14:paraId="0B311FB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投标文件份数</w:t>
            </w:r>
          </w:p>
        </w:tc>
        <w:tc>
          <w:tcPr>
            <w:tcW w:w="6663" w:type="dxa"/>
            <w:vAlign w:val="center"/>
          </w:tcPr>
          <w:p w14:paraId="4F5FD9A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bCs/>
                <w:color w:val="auto"/>
                <w:spacing w:val="-6"/>
                <w:szCs w:val="21"/>
                <w:highlight w:val="none"/>
              </w:rPr>
            </w:pPr>
            <w:r>
              <w:rPr>
                <w:rFonts w:hint="eastAsia" w:ascii="宋体" w:hAnsi="宋体" w:eastAsia="宋体"/>
                <w:bCs/>
                <w:color w:val="auto"/>
                <w:spacing w:val="-6"/>
                <w:szCs w:val="21"/>
                <w:highlight w:val="none"/>
              </w:rPr>
              <w:t>电子加密投标文件：政府采购云平台在线上传一份；</w:t>
            </w:r>
          </w:p>
          <w:p w14:paraId="74DDBDB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Cs/>
                <w:color w:val="auto"/>
                <w:szCs w:val="21"/>
                <w:highlight w:val="none"/>
              </w:rPr>
            </w:pPr>
            <w:r>
              <w:rPr>
                <w:rFonts w:hint="eastAsia" w:ascii="宋体" w:hAnsi="宋体" w:eastAsia="宋体"/>
                <w:bCs/>
                <w:color w:val="auto"/>
                <w:spacing w:val="-6"/>
                <w:szCs w:val="21"/>
                <w:highlight w:val="none"/>
              </w:rPr>
              <w:t>备份投标文件：密封包装后EMS或顺丰邮寄形式递交一份（邮寄地址：</w:t>
            </w:r>
            <w:r>
              <w:rPr>
                <w:rFonts w:hint="eastAsia" w:ascii="宋体" w:hAnsi="宋体" w:eastAsia="宋体" w:cs="宋体"/>
                <w:bCs/>
                <w:color w:val="auto"/>
                <w:szCs w:val="21"/>
                <w:highlight w:val="none"/>
              </w:rPr>
              <w:t>杭州市西湖区玉古路173号中田大厦21楼H室，浙江求是招标代理有限公司（陈应俭、俞炳）收，电话：0571-87670302，寄出后将（快递单号、项目名称、公司名称、联系方式等相关信息）发至：zb02@qszb.net，以便查收）。</w:t>
            </w:r>
          </w:p>
          <w:p w14:paraId="4964E36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bCs/>
                <w:color w:val="auto"/>
                <w:spacing w:val="-6"/>
                <w:szCs w:val="21"/>
                <w:highlight w:val="none"/>
              </w:rPr>
            </w:pPr>
            <w:r>
              <w:rPr>
                <w:rFonts w:hint="eastAsia" w:ascii="宋体" w:hAnsi="宋体" w:eastAsia="宋体" w:cs="宋体"/>
                <w:b/>
                <w:color w:val="auto"/>
                <w:szCs w:val="21"/>
                <w:highlight w:val="none"/>
              </w:rPr>
              <w:t>特别说明：双休日和法定节假日不收件，投标人自行承担邮寄风险。</w:t>
            </w:r>
          </w:p>
        </w:tc>
      </w:tr>
      <w:tr w14:paraId="6B3A4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A79D69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（十一）</w:t>
            </w:r>
          </w:p>
        </w:tc>
        <w:tc>
          <w:tcPr>
            <w:tcW w:w="1701" w:type="dxa"/>
            <w:vAlign w:val="center"/>
          </w:tcPr>
          <w:p w14:paraId="2DDEE1A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投标报价</w:t>
            </w:r>
          </w:p>
        </w:tc>
        <w:tc>
          <w:tcPr>
            <w:tcW w:w="6663" w:type="dxa"/>
            <w:vAlign w:val="center"/>
          </w:tcPr>
          <w:p w14:paraId="2758FBD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bookmarkStart w:id="38" w:name="OLE_LINK1"/>
            <w:r>
              <w:rPr>
                <w:rFonts w:hint="eastAsia" w:ascii="宋体" w:hAnsi="宋体" w:eastAsia="宋体"/>
                <w:color w:val="auto"/>
                <w:szCs w:val="21"/>
                <w:highlight w:val="none"/>
              </w:rPr>
              <w:t>1.报价应按招标文件要求的格式编制、填写报价内容（可自行增行），未按招标文件要求编制、填写的投标文件可能被拒绝；</w:t>
            </w:r>
          </w:p>
          <w:p w14:paraId="32608FB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2.以人民币报价；</w:t>
            </w:r>
          </w:p>
          <w:p w14:paraId="5FB1C9B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3.投标报价是履行合同的最终价格，有关本项目实施所涉及的一切费用均计入报价；总价不为零，分项报价中部分产品、服务单价为零的，视作已包含在总价中；</w:t>
            </w:r>
          </w:p>
          <w:p w14:paraId="147D2EB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4.投标文件只允许有一个报价，有选择的报价将不予接受。</w:t>
            </w:r>
          </w:p>
          <w:p w14:paraId="57C3B98D">
            <w:pPr>
              <w:pStyle w:val="14"/>
              <w:keepNext w:val="0"/>
              <w:keepLines w:val="0"/>
              <w:suppressLineNumbers w:val="0"/>
              <w:adjustRightInd w:val="0"/>
              <w:snapToGrid w:val="0"/>
              <w:spacing w:before="0" w:beforeLines="0" w:beforeAutospacing="0" w:after="0" w:afterLines="0" w:afterAutospacing="0" w:line="288" w:lineRule="auto"/>
              <w:ind w:left="0" w:right="0"/>
              <w:jc w:val="left"/>
              <w:rPr>
                <w:rFonts w:hint="eastAsia" w:hAnsi="宋体" w:eastAsia="宋体" w:cs="宋体"/>
                <w:color w:val="auto"/>
                <w:sz w:val="21"/>
                <w:szCs w:val="21"/>
                <w:highlight w:val="none"/>
              </w:rPr>
            </w:pPr>
            <w:r>
              <w:rPr>
                <w:rFonts w:hint="eastAsia" w:hAnsi="宋体" w:eastAsia="宋体" w:cs="宋体"/>
                <w:color w:val="auto"/>
                <w:sz w:val="21"/>
                <w:szCs w:val="21"/>
                <w:highlight w:val="none"/>
              </w:rPr>
              <w:t>▲5</w:t>
            </w:r>
            <w:r>
              <w:rPr>
                <w:rFonts w:hint="default" w:hAnsi="宋体" w:eastAsia="宋体" w:cs="宋体"/>
                <w:color w:val="auto"/>
                <w:sz w:val="21"/>
                <w:szCs w:val="21"/>
                <w:highlight w:val="none"/>
              </w:rPr>
              <w:t>.</w:t>
            </w:r>
            <w:r>
              <w:rPr>
                <w:rFonts w:hint="eastAsia" w:hAnsi="宋体" w:eastAsia="宋体" w:cs="宋体"/>
                <w:color w:val="auto"/>
                <w:sz w:val="21"/>
                <w:szCs w:val="21"/>
                <w:highlight w:val="none"/>
              </w:rPr>
              <w:t>采购人将以合同形式有偿取得货物或服务，不接受投标人给予的赠品、回扣或者与采购无关的其他商品、服务</w:t>
            </w:r>
            <w:r>
              <w:rPr>
                <w:rFonts w:hint="default" w:hAnsi="宋体" w:eastAsia="宋体" w:cs="宋体"/>
                <w:color w:val="auto"/>
                <w:sz w:val="21"/>
                <w:szCs w:val="21"/>
                <w:highlight w:val="none"/>
              </w:rPr>
              <w:t>。</w:t>
            </w:r>
            <w:bookmarkEnd w:id="38"/>
          </w:p>
        </w:tc>
      </w:tr>
      <w:tr w14:paraId="5630A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7D0B40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（十二）</w:t>
            </w:r>
          </w:p>
        </w:tc>
        <w:tc>
          <w:tcPr>
            <w:tcW w:w="1701" w:type="dxa"/>
            <w:vAlign w:val="center"/>
          </w:tcPr>
          <w:p w14:paraId="661A5E1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投标有效期</w:t>
            </w:r>
          </w:p>
        </w:tc>
        <w:tc>
          <w:tcPr>
            <w:tcW w:w="6663" w:type="dxa"/>
            <w:vAlign w:val="center"/>
          </w:tcPr>
          <w:p w14:paraId="793273D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▲从提交投标文件的截止之日起</w:t>
            </w:r>
            <w:r>
              <w:rPr>
                <w:rFonts w:hint="default" w:ascii="宋体" w:hAnsi="宋体" w:eastAsia="宋体"/>
                <w:color w:val="auto"/>
                <w:szCs w:val="21"/>
                <w:highlight w:val="none"/>
              </w:rPr>
              <w:t>90天，在原投标有效期满之前，如果出现特殊情况，采购人或采购代理机构以书面形式通知投标人延长投标有效期。</w:t>
            </w:r>
          </w:p>
        </w:tc>
      </w:tr>
      <w:tr w14:paraId="3CF00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1981C7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（十三）</w:t>
            </w:r>
          </w:p>
        </w:tc>
        <w:tc>
          <w:tcPr>
            <w:tcW w:w="1701" w:type="dxa"/>
            <w:vAlign w:val="center"/>
          </w:tcPr>
          <w:p w14:paraId="373487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评标方法和评标标准</w:t>
            </w:r>
          </w:p>
        </w:tc>
        <w:tc>
          <w:tcPr>
            <w:tcW w:w="6663" w:type="dxa"/>
            <w:vAlign w:val="center"/>
          </w:tcPr>
          <w:p w14:paraId="3506DC8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default" w:ascii="宋体" w:hAnsi="宋体" w:eastAsia="宋体"/>
                <w:color w:val="auto"/>
                <w:szCs w:val="21"/>
                <w:highlight w:val="none"/>
              </w:rPr>
              <w:t>详见“</w:t>
            </w:r>
            <w:r>
              <w:rPr>
                <w:rFonts w:hint="eastAsia" w:ascii="宋体" w:hAnsi="宋体" w:eastAsia="宋体"/>
                <w:color w:val="auto"/>
                <w:szCs w:val="21"/>
                <w:highlight w:val="none"/>
              </w:rPr>
              <w:t>第四章  评标方法和评标标准</w:t>
            </w:r>
            <w:r>
              <w:rPr>
                <w:rFonts w:hint="default" w:ascii="宋体" w:hAnsi="宋体" w:eastAsia="宋体"/>
                <w:color w:val="auto"/>
                <w:szCs w:val="21"/>
                <w:highlight w:val="none"/>
              </w:rPr>
              <w:t>”</w:t>
            </w:r>
            <w:r>
              <w:rPr>
                <w:rFonts w:hint="eastAsia" w:ascii="宋体" w:hAnsi="宋体" w:eastAsia="宋体"/>
                <w:color w:val="auto"/>
                <w:szCs w:val="21"/>
                <w:highlight w:val="none"/>
              </w:rPr>
              <w:t>。</w:t>
            </w:r>
          </w:p>
        </w:tc>
      </w:tr>
      <w:tr w14:paraId="1C2B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DE97F8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default" w:ascii="宋体" w:hAnsi="宋体" w:eastAsia="宋体"/>
                <w:color w:val="auto"/>
                <w:szCs w:val="21"/>
                <w:highlight w:val="none"/>
              </w:rPr>
              <w:t>（</w:t>
            </w:r>
            <w:r>
              <w:rPr>
                <w:rFonts w:hint="eastAsia" w:ascii="宋体" w:hAnsi="宋体" w:eastAsia="宋体"/>
                <w:color w:val="auto"/>
                <w:szCs w:val="21"/>
                <w:highlight w:val="none"/>
              </w:rPr>
              <w:t>十四</w:t>
            </w:r>
            <w:r>
              <w:rPr>
                <w:rFonts w:hint="default" w:ascii="宋体" w:hAnsi="宋体" w:eastAsia="宋体"/>
                <w:color w:val="auto"/>
                <w:szCs w:val="21"/>
                <w:highlight w:val="none"/>
              </w:rPr>
              <w:t>）</w:t>
            </w:r>
          </w:p>
        </w:tc>
        <w:tc>
          <w:tcPr>
            <w:tcW w:w="1701" w:type="dxa"/>
            <w:vAlign w:val="center"/>
          </w:tcPr>
          <w:p w14:paraId="75D18B7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评标结果公示</w:t>
            </w:r>
          </w:p>
        </w:tc>
        <w:tc>
          <w:tcPr>
            <w:tcW w:w="6663" w:type="dxa"/>
            <w:vAlign w:val="center"/>
          </w:tcPr>
          <w:p w14:paraId="7658019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评标结果公示媒体：浙江政府采购网（http://zfcg.czt.zj.gov.cn）。</w:t>
            </w:r>
          </w:p>
        </w:tc>
      </w:tr>
      <w:tr w14:paraId="1A618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1DBC0A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（十五）</w:t>
            </w:r>
          </w:p>
        </w:tc>
        <w:tc>
          <w:tcPr>
            <w:tcW w:w="1701" w:type="dxa"/>
            <w:vAlign w:val="center"/>
          </w:tcPr>
          <w:p w14:paraId="268B7B2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签订合同</w:t>
            </w:r>
          </w:p>
        </w:tc>
        <w:tc>
          <w:tcPr>
            <w:tcW w:w="6663" w:type="dxa"/>
            <w:vAlign w:val="center"/>
          </w:tcPr>
          <w:p w14:paraId="0B35ED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中标通知书发出之日起30日内。</w:t>
            </w:r>
          </w:p>
        </w:tc>
      </w:tr>
      <w:tr w14:paraId="19CB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29FDC67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（十六）</w:t>
            </w:r>
          </w:p>
        </w:tc>
        <w:tc>
          <w:tcPr>
            <w:tcW w:w="1701" w:type="dxa"/>
            <w:vAlign w:val="center"/>
          </w:tcPr>
          <w:p w14:paraId="2844A24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其他说明</w:t>
            </w:r>
          </w:p>
        </w:tc>
        <w:tc>
          <w:tcPr>
            <w:tcW w:w="6663" w:type="dxa"/>
            <w:vAlign w:val="center"/>
          </w:tcPr>
          <w:p w14:paraId="6CC6CE7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zCs w:val="21"/>
                <w:highlight w:val="none"/>
              </w:rPr>
            </w:pPr>
            <w:r>
              <w:rPr>
                <w:rFonts w:hint="eastAsia" w:ascii="宋体" w:hAnsi="宋体" w:eastAsia="宋体" w:cs="宋体"/>
                <w:color w:val="auto"/>
                <w:szCs w:val="21"/>
                <w:highlight w:val="none"/>
                <w:lang w:bidi="ar"/>
              </w:rPr>
              <w:t>1.本项目涉及内容较多，交付期短，为保证项目的顺利进行，该项目采取分标项采购。</w:t>
            </w:r>
          </w:p>
          <w:p w14:paraId="7C0EC1D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2.为保证项目的顺利进行，本项目采取兼投不兼中原则。供应商可投其中任一标项，也可各标项均投，每个供应商只允许中标一个标项，本项目评审顺序为标项一、标项二。标项一的中标候选人将不被推荐为标项二的中标候选人，标项二的中标候选人将不被推荐为标项一的中标候选人。</w:t>
            </w:r>
          </w:p>
        </w:tc>
      </w:tr>
    </w:tbl>
    <w:p w14:paraId="764296F0">
      <w:pPr>
        <w:adjustRightInd w:val="0"/>
        <w:snapToGrid w:val="0"/>
        <w:spacing w:line="288" w:lineRule="auto"/>
        <w:rPr>
          <w:rFonts w:hint="eastAsia" w:ascii="宋体" w:hAnsi="宋体" w:eastAsia="宋体"/>
          <w:color w:val="auto"/>
          <w:szCs w:val="21"/>
          <w:highlight w:val="none"/>
        </w:rPr>
      </w:pPr>
      <w:r>
        <w:rPr>
          <w:rFonts w:ascii="宋体" w:hAnsi="宋体" w:eastAsia="宋体"/>
          <w:color w:val="auto"/>
          <w:szCs w:val="21"/>
          <w:highlight w:val="none"/>
        </w:rPr>
        <w:br w:type="page"/>
      </w:r>
    </w:p>
    <w:p w14:paraId="243818B2">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一</w:t>
      </w:r>
      <w:r>
        <w:rPr>
          <w:rFonts w:hint="eastAsia" w:ascii="宋体" w:hAnsi="宋体" w:eastAsia="宋体" w:cs="Times New Roman"/>
          <w:b/>
          <w:color w:val="auto"/>
          <w:spacing w:val="-6"/>
          <w:szCs w:val="21"/>
          <w:highlight w:val="none"/>
        </w:rPr>
        <w:t>、</w:t>
      </w:r>
      <w:r>
        <w:rPr>
          <w:rFonts w:ascii="宋体" w:hAnsi="宋体" w:eastAsia="宋体" w:cs="Times New Roman"/>
          <w:b/>
          <w:color w:val="auto"/>
          <w:spacing w:val="-6"/>
          <w:szCs w:val="21"/>
          <w:highlight w:val="none"/>
        </w:rPr>
        <w:t>总</w:t>
      </w:r>
      <w:r>
        <w:rPr>
          <w:rFonts w:hint="eastAsia" w:ascii="宋体" w:hAnsi="宋体" w:eastAsia="宋体" w:cs="Times New Roman"/>
          <w:b/>
          <w:color w:val="auto"/>
          <w:spacing w:val="-6"/>
          <w:szCs w:val="21"/>
          <w:highlight w:val="none"/>
        </w:rPr>
        <w:t xml:space="preserve">  </w:t>
      </w:r>
      <w:r>
        <w:rPr>
          <w:rFonts w:ascii="宋体" w:hAnsi="宋体" w:eastAsia="宋体" w:cs="Times New Roman"/>
          <w:b/>
          <w:color w:val="auto"/>
          <w:spacing w:val="-6"/>
          <w:szCs w:val="21"/>
          <w:highlight w:val="none"/>
        </w:rPr>
        <w:t>则</w:t>
      </w:r>
    </w:p>
    <w:p w14:paraId="40E1DF9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39" w:name="_Hlk94018326"/>
      <w:r>
        <w:rPr>
          <w:rFonts w:ascii="宋体" w:hAnsi="宋体" w:eastAsia="宋体" w:cs="Times New Roman"/>
          <w:color w:val="auto"/>
          <w:spacing w:val="-6"/>
          <w:szCs w:val="21"/>
          <w:highlight w:val="none"/>
        </w:rPr>
        <w:t>投标人应仔细阅读招标文件的所有内容，按照招标文件的要求提交投标文件，并对所提供的全部资料的真实性承担法律责任。</w:t>
      </w:r>
    </w:p>
    <w:bookmarkEnd w:id="39"/>
    <w:p w14:paraId="252CC804">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适用范围</w:t>
      </w:r>
    </w:p>
    <w:p w14:paraId="5FCBD7D8">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本招标文件适用于杭州电子科技大学图书馆公共学习空间家具采购的招标、评标、定标、验收、合同履约、付款等（法律、法规另有规定的，从其规定）。</w:t>
      </w:r>
    </w:p>
    <w:p w14:paraId="2E6B9749">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（二）定义</w:t>
      </w:r>
    </w:p>
    <w:p w14:paraId="1804CA25">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1.“采购</w:t>
      </w:r>
      <w:r>
        <w:rPr>
          <w:rFonts w:ascii="宋体" w:hAnsi="宋体" w:eastAsia="宋体" w:cs="Times New Roman"/>
          <w:color w:val="auto"/>
          <w:spacing w:val="-6"/>
          <w:szCs w:val="21"/>
          <w:highlight w:val="none"/>
        </w:rPr>
        <w:t>人</w:t>
      </w:r>
      <w:r>
        <w:rPr>
          <w:rFonts w:hint="eastAsia" w:ascii="宋体" w:hAnsi="宋体" w:eastAsia="宋体" w:cs="Times New Roman"/>
          <w:color w:val="auto"/>
          <w:spacing w:val="-6"/>
          <w:szCs w:val="21"/>
          <w:highlight w:val="none"/>
        </w:rPr>
        <w:t>”系指杭州电子科技大学；</w:t>
      </w:r>
    </w:p>
    <w:p w14:paraId="09A897C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2.“采购代理机构”系指组织本次招标的浙江求是招标代理有限公司；</w:t>
      </w:r>
    </w:p>
    <w:p w14:paraId="2F5CBF4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“投标人”系指响应招标、参加投标竞争的法人、其他组织或者自然人；</w:t>
      </w:r>
    </w:p>
    <w:p w14:paraId="1B5C3E0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4.“书面形式”包括合同书、信件和数据电文(包括电报、电传、传真、电子数据交换和电子邮件)等可以有形地表现所载内容的形式。</w:t>
      </w:r>
    </w:p>
    <w:p w14:paraId="22E829B9">
      <w:pPr>
        <w:adjustRightInd w:val="0"/>
        <w:snapToGrid w:val="0"/>
        <w:spacing w:line="288" w:lineRule="auto"/>
        <w:ind w:firstLine="396" w:firstLineChars="200"/>
        <w:jc w:val="left"/>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5.“电子加密投标文件”系指通过政采云电子交易客户端（政采云投标客户端）完成投标文件编制后生成并加密的数据电文形式的投标文件（文件扩展名为.jmbs）；“备份投标文件”系指与“电子加密投标文件”同时生成的数据电文形式的电子文件（文件扩展名为.bfbs）；</w:t>
      </w:r>
      <w:bookmarkStart w:id="40" w:name="_Hlk96327615"/>
      <w:r>
        <w:rPr>
          <w:rFonts w:ascii="宋体" w:hAnsi="宋体" w:eastAsia="宋体"/>
          <w:color w:val="auto"/>
          <w:szCs w:val="21"/>
          <w:highlight w:val="none"/>
        </w:rPr>
        <w:t>“电子签名”系指数据电文中以电子形式所含、所附用于识别签名人身份并表明签名人认可其中内容的数据；</w:t>
      </w:r>
      <w:r>
        <w:rPr>
          <w:rFonts w:hint="eastAsia" w:ascii="宋体" w:hAnsi="宋体" w:eastAsia="宋体"/>
          <w:color w:val="auto"/>
          <w:szCs w:val="21"/>
          <w:highlight w:val="none"/>
        </w:rPr>
        <w:t>“公章”系指单位法定名称章。因特殊原因需要使用冠以法定名称的业务专用章的，投标时须提供《业务专用章使用说明函》（附件1）。</w:t>
      </w:r>
    </w:p>
    <w:p w14:paraId="3E204691">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招标文件对投标文件签署、盖章的要求适用于电子签名。</w:t>
      </w:r>
    </w:p>
    <w:bookmarkEnd w:id="40"/>
    <w:p w14:paraId="03755B8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6</w:t>
      </w:r>
      <w:r>
        <w:rPr>
          <w:rFonts w:hint="eastAsia" w:ascii="宋体" w:hAnsi="宋体" w:eastAsia="宋体" w:cs="Times New Roman"/>
          <w:color w:val="auto"/>
          <w:spacing w:val="-6"/>
          <w:szCs w:val="21"/>
          <w:highlight w:val="none"/>
        </w:rPr>
        <w:t>.“▲”系指实质性要求条款，投标人应当做出实质性响应。</w:t>
      </w:r>
    </w:p>
    <w:p w14:paraId="7A99C173">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（三）招标方式</w:t>
      </w:r>
    </w:p>
    <w:p w14:paraId="6F65E41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本次招标采用公开招标（线上电子招投标）方式进行。</w:t>
      </w:r>
    </w:p>
    <w:p w14:paraId="736AB65D">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（四）投标费用</w:t>
      </w:r>
    </w:p>
    <w:p w14:paraId="2A5FBFBF">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1.不论投标结果如何，投标人均应自行承担所有与投标有关的全部费用；</w:t>
      </w:r>
    </w:p>
    <w:p w14:paraId="18A8EB1E">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2.中标人在中标通知书发出之日起七个工作日内，向采购代理机构交纳代理服务费；</w:t>
      </w:r>
    </w:p>
    <w:p w14:paraId="5607139E">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中标人逾期支付代理服务费，须承担代理服务费每日百分之三的违约金，逾期十日未支付的，采购代理机构有权向杭州仲裁委员会对中标人提起仲裁，仲裁费用（包括仲裁受理费和仲裁处理费）均由中标人承担。</w:t>
      </w:r>
    </w:p>
    <w:p w14:paraId="4579B84E">
      <w:pPr>
        <w:adjustRightInd w:val="0"/>
        <w:snapToGrid w:val="0"/>
        <w:spacing w:line="288" w:lineRule="auto"/>
        <w:ind w:firstLine="424" w:firstLineChars="202"/>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zCs w:val="21"/>
          <w:highlight w:val="none"/>
        </w:rPr>
        <w:t>4</w:t>
      </w:r>
      <w:r>
        <w:rPr>
          <w:rFonts w:ascii="宋体" w:hAnsi="宋体" w:eastAsia="宋体" w:cs="Times New Roman"/>
          <w:color w:val="auto"/>
          <w:szCs w:val="21"/>
          <w:highlight w:val="none"/>
        </w:rPr>
        <w:t>.</w:t>
      </w:r>
      <w:r>
        <w:rPr>
          <w:rFonts w:hint="eastAsia" w:ascii="宋体" w:hAnsi="宋体" w:eastAsia="宋体" w:cs="Times New Roman"/>
          <w:color w:val="auto"/>
          <w:spacing w:val="-6"/>
          <w:szCs w:val="21"/>
          <w:highlight w:val="none"/>
        </w:rPr>
        <w:t>收费标准（差额累进）：</w:t>
      </w:r>
    </w:p>
    <w:tbl>
      <w:tblPr>
        <w:tblStyle w:val="24"/>
        <w:tblW w:w="562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51"/>
        <w:gridCol w:w="3070"/>
      </w:tblGrid>
      <w:tr w14:paraId="115437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3B5878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中标金额（万元）</w:t>
            </w:r>
          </w:p>
        </w:tc>
        <w:tc>
          <w:tcPr>
            <w:tcW w:w="3070" w:type="dxa"/>
            <w:tcMar>
              <w:top w:w="0" w:type="dxa"/>
              <w:left w:w="108" w:type="dxa"/>
              <w:bottom w:w="0" w:type="dxa"/>
              <w:right w:w="108" w:type="dxa"/>
            </w:tcMar>
            <w:vAlign w:val="center"/>
          </w:tcPr>
          <w:p w14:paraId="565D68C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收费标准（费率，%）</w:t>
            </w:r>
          </w:p>
        </w:tc>
      </w:tr>
      <w:tr w14:paraId="682ECC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6504FF1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100以下</w:t>
            </w:r>
          </w:p>
        </w:tc>
        <w:tc>
          <w:tcPr>
            <w:tcW w:w="3070" w:type="dxa"/>
            <w:tcMar>
              <w:top w:w="0" w:type="dxa"/>
              <w:left w:w="108" w:type="dxa"/>
              <w:bottom w:w="0" w:type="dxa"/>
              <w:right w:w="108" w:type="dxa"/>
            </w:tcMar>
            <w:vAlign w:val="center"/>
          </w:tcPr>
          <w:p w14:paraId="76977C6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1.05</w:t>
            </w:r>
          </w:p>
        </w:tc>
      </w:tr>
      <w:tr w14:paraId="3F4B13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09C211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100-500</w:t>
            </w:r>
          </w:p>
        </w:tc>
        <w:tc>
          <w:tcPr>
            <w:tcW w:w="3070" w:type="dxa"/>
            <w:tcMar>
              <w:top w:w="0" w:type="dxa"/>
              <w:left w:w="108" w:type="dxa"/>
              <w:bottom w:w="0" w:type="dxa"/>
              <w:right w:w="108" w:type="dxa"/>
            </w:tcMar>
            <w:vAlign w:val="center"/>
          </w:tcPr>
          <w:p w14:paraId="2B8D8C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0.77</w:t>
            </w:r>
          </w:p>
        </w:tc>
      </w:tr>
    </w:tbl>
    <w:p w14:paraId="7610818C">
      <w:pPr>
        <w:adjustRightInd w:val="0"/>
        <w:snapToGrid w:val="0"/>
        <w:spacing w:line="288" w:lineRule="auto"/>
        <w:ind w:firstLine="399" w:firstLineChars="202"/>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投标保证金（元）：无。</w:t>
      </w:r>
    </w:p>
    <w:p w14:paraId="275F68A2">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（五）投标委托</w:t>
      </w:r>
    </w:p>
    <w:p w14:paraId="183E8AF1">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1.投标人代表是法定代表人（单位负责人、自然人本人）的，须提供本人身份证明。</w:t>
      </w:r>
    </w:p>
    <w:p w14:paraId="48994428">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2.投标人代表不是法定代表人（单位负责人、自然人本人）的，须提供授权委托书（格式详见招标文件第六章）和授权代表社保缴纳证明（</w:t>
      </w:r>
      <w:r>
        <w:rPr>
          <w:rFonts w:hint="eastAsia" w:ascii="宋体" w:hAnsi="宋体" w:eastAsia="宋体" w:cs="Times New Roman"/>
          <w:color w:val="auto"/>
          <w:spacing w:val="-6"/>
          <w:szCs w:val="21"/>
          <w:highlight w:val="none"/>
        </w:rPr>
        <w:t>2024年7月（含）</w:t>
      </w:r>
      <w:r>
        <w:rPr>
          <w:rFonts w:ascii="宋体" w:hAnsi="宋体" w:eastAsia="宋体" w:cs="Times New Roman"/>
          <w:color w:val="auto"/>
          <w:spacing w:val="-6"/>
          <w:szCs w:val="21"/>
          <w:highlight w:val="none"/>
        </w:rPr>
        <w:t>以后任意一月）；</w:t>
      </w:r>
    </w:p>
    <w:p w14:paraId="2A42513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3.投标人委派不在本单位缴纳社保的人员作为授权代表的，应当在投标文件中，说明具体原因、授权代表缴纳社保的单位，并附列该授权代表缴纳社保清单。</w:t>
      </w:r>
    </w:p>
    <w:p w14:paraId="385A16DA">
      <w:pPr>
        <w:adjustRightInd w:val="0"/>
        <w:snapToGrid w:val="0"/>
        <w:spacing w:line="288" w:lineRule="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（六）联合体投标</w:t>
      </w:r>
    </w:p>
    <w:p w14:paraId="788083F5">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w:t>
      </w:r>
      <w:r>
        <w:rPr>
          <w:rFonts w:hint="eastAsia" w:ascii="宋体" w:hAnsi="宋体" w:eastAsia="宋体"/>
          <w:color w:val="auto"/>
          <w:szCs w:val="21"/>
          <w:highlight w:val="none"/>
        </w:rPr>
        <w:t>（是）</w:t>
      </w:r>
      <w:r>
        <w:rPr>
          <w:rFonts w:hint="eastAsia" w:ascii="宋体" w:hAnsi="宋体" w:eastAsia="宋体" w:cs="宋体"/>
          <w:color w:val="auto"/>
          <w:szCs w:val="21"/>
          <w:highlight w:val="none"/>
        </w:rPr>
        <w:t>接受联合体投标。</w:t>
      </w:r>
    </w:p>
    <w:p w14:paraId="28AB9442">
      <w:pPr>
        <w:spacing w:line="288" w:lineRule="auto"/>
        <w:ind w:firstLine="420" w:firstLineChars="200"/>
        <w:rPr>
          <w:rFonts w:hint="eastAsia" w:ascii="宋体" w:hAnsi="宋体" w:eastAsia="宋体" w:cs="Times New Roman"/>
          <w:color w:val="auto"/>
          <w:highlight w:val="none"/>
        </w:rPr>
      </w:pPr>
      <w:r>
        <w:rPr>
          <w:rFonts w:hint="eastAsia" w:ascii="宋体" w:hAnsi="宋体" w:eastAsia="宋体" w:cs="Times New Roman"/>
          <w:color w:val="auto"/>
          <w:highlight w:val="none"/>
        </w:rPr>
        <w:t>两个以上的自然人、法人或者其他组织可以组成一个联合体，以一个供应商的身份共同参加政府采购。</w:t>
      </w:r>
    </w:p>
    <w:p w14:paraId="44F65047">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Times New Roman"/>
          <w:color w:val="auto"/>
          <w:highlight w:val="none"/>
        </w:rPr>
        <w:t>以联合体形式进行政府采购的，参加联合体的供应商均应当具备《中华人民共和国政府采购法》第二十二条规定的条件，并应当向采购人提交联合协议，载明联合体各方承担的工作和义务。联合体各方应当共同与采购人签订采购合同，就采购合同约定的事项对采购人承担连带责任。</w:t>
      </w:r>
    </w:p>
    <w:p w14:paraId="3AF6F64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（七）转包与分包</w:t>
      </w:r>
    </w:p>
    <w:p w14:paraId="20465D07">
      <w:pPr>
        <w:adjustRightInd w:val="0"/>
        <w:snapToGrid w:val="0"/>
        <w:spacing w:line="288" w:lineRule="auto"/>
        <w:ind w:firstLine="424" w:firstLineChars="202"/>
        <w:jc w:val="left"/>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ascii="宋体" w:hAnsi="宋体" w:eastAsia="宋体"/>
          <w:color w:val="auto"/>
          <w:szCs w:val="21"/>
          <w:highlight w:val="none"/>
        </w:rPr>
        <w:t>.</w:t>
      </w:r>
      <w:r>
        <w:rPr>
          <w:rFonts w:hint="eastAsia" w:ascii="宋体" w:hAnsi="宋体" w:eastAsia="宋体"/>
          <w:color w:val="auto"/>
          <w:szCs w:val="21"/>
          <w:highlight w:val="none"/>
        </w:rPr>
        <w:t>本项目不允许转包；</w:t>
      </w:r>
    </w:p>
    <w:p w14:paraId="1747DD21">
      <w:pPr>
        <w:adjustRightInd w:val="0"/>
        <w:snapToGrid w:val="0"/>
        <w:spacing w:line="288" w:lineRule="auto"/>
        <w:ind w:firstLine="424" w:firstLineChars="202"/>
        <w:jc w:val="left"/>
        <w:rPr>
          <w:rFonts w:hint="eastAsia" w:ascii="宋体" w:hAnsi="宋体" w:eastAsia="宋体"/>
          <w:color w:val="auto"/>
          <w:szCs w:val="21"/>
          <w:highlight w:val="none"/>
        </w:rPr>
      </w:pPr>
      <w:r>
        <w:rPr>
          <w:rFonts w:ascii="宋体" w:hAnsi="宋体" w:eastAsia="宋体"/>
          <w:color w:val="auto"/>
          <w:szCs w:val="21"/>
          <w:highlight w:val="none"/>
        </w:rPr>
        <w:t>2.</w:t>
      </w:r>
      <w:r>
        <w:rPr>
          <w:rFonts w:hint="eastAsia" w:ascii="宋体" w:hAnsi="宋体" w:eastAsia="宋体"/>
          <w:color w:val="auto"/>
          <w:szCs w:val="21"/>
          <w:highlight w:val="none"/>
        </w:rPr>
        <w:t>本项目</w:t>
      </w:r>
      <w:r>
        <w:rPr>
          <w:rFonts w:hint="eastAsia" w:ascii="宋体" w:hAnsi="宋体" w:eastAsia="宋体"/>
          <w:b/>
          <w:bCs/>
          <w:color w:val="auto"/>
          <w:szCs w:val="21"/>
          <w:highlight w:val="none"/>
          <w:u w:val="single"/>
        </w:rPr>
        <w:t>允许</w:t>
      </w:r>
      <w:r>
        <w:rPr>
          <w:rFonts w:hint="eastAsia" w:ascii="宋体" w:hAnsi="宋体" w:eastAsia="宋体"/>
          <w:color w:val="auto"/>
          <w:szCs w:val="21"/>
          <w:highlight w:val="none"/>
        </w:rPr>
        <w:t>分包，</w:t>
      </w:r>
      <w:r>
        <w:rPr>
          <w:rFonts w:ascii="宋体" w:hAnsi="宋体" w:eastAsia="宋体"/>
          <w:color w:val="auto"/>
          <w:szCs w:val="21"/>
          <w:highlight w:val="none"/>
        </w:rPr>
        <w:t>可以分包履行的（非主体、非关键性的工作）具体内容、金额或者比例：</w:t>
      </w:r>
      <w:r>
        <w:rPr>
          <w:rFonts w:hint="eastAsia" w:ascii="宋体" w:hAnsi="宋体" w:eastAsia="宋体"/>
          <w:color w:val="auto"/>
          <w:szCs w:val="21"/>
          <w:highlight w:val="none"/>
          <w:u w:val="single"/>
        </w:rPr>
        <w:t>货物运输</w:t>
      </w:r>
      <w:r>
        <w:rPr>
          <w:rFonts w:ascii="宋体" w:hAnsi="宋体" w:eastAsia="宋体"/>
          <w:color w:val="auto"/>
          <w:szCs w:val="21"/>
          <w:highlight w:val="none"/>
          <w:u w:val="single"/>
        </w:rPr>
        <w:t>。</w:t>
      </w:r>
    </w:p>
    <w:p w14:paraId="1B2B8CA9">
      <w:pPr>
        <w:adjustRightInd w:val="0"/>
        <w:snapToGrid w:val="0"/>
        <w:spacing w:line="288" w:lineRule="auto"/>
        <w:ind w:firstLine="424" w:firstLineChars="202"/>
        <w:jc w:val="left"/>
        <w:rPr>
          <w:rFonts w:hint="eastAsia" w:ascii="宋体" w:hAnsi="宋体" w:eastAsia="宋体"/>
          <w:color w:val="auto"/>
          <w:szCs w:val="21"/>
          <w:highlight w:val="none"/>
        </w:rPr>
      </w:pPr>
      <w:r>
        <w:rPr>
          <w:rFonts w:hint="eastAsia" w:ascii="宋体" w:hAnsi="宋体" w:eastAsia="宋体"/>
          <w:color w:val="auto"/>
          <w:szCs w:val="21"/>
          <w:highlight w:val="none"/>
        </w:rPr>
        <w:t>说明：投标人根据招标文件的规定和采购项目的实际情况，拟在中标后将中标项目的非主体、非关键性工作分包的，应当在投标文件中载明分包承担主体，分包承担主体应当具备相应资质条件且不得再次分包。</w:t>
      </w:r>
    </w:p>
    <w:p w14:paraId="048781BF">
      <w:pPr>
        <w:adjustRightInd w:val="0"/>
        <w:snapToGrid w:val="0"/>
        <w:spacing w:line="288" w:lineRule="auto"/>
        <w:ind w:firstLine="402" w:firstLineChars="202"/>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（八）质疑和投诉</w:t>
      </w:r>
    </w:p>
    <w:p w14:paraId="2C2CAE7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1" w:name="_Hlk92273406"/>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供应商认为采购文件、采购过程、中标或者成交结果使自己的权益受到损害的，可以在知道或者应知其权益受到损害之日起</w:t>
      </w:r>
      <w:r>
        <w:rPr>
          <w:rFonts w:ascii="宋体" w:hAnsi="宋体" w:eastAsia="宋体" w:cs="Times New Roman"/>
          <w:color w:val="auto"/>
          <w:spacing w:val="-6"/>
          <w:szCs w:val="21"/>
          <w:highlight w:val="none"/>
        </w:rPr>
        <w:t>7个工作日内，以书面形式向采购人、采购代理机构提出质疑。</w:t>
      </w:r>
      <w:r>
        <w:rPr>
          <w:rFonts w:hint="eastAsia" w:ascii="宋体" w:hAnsi="宋体" w:eastAsia="宋体" w:cs="Times New Roman"/>
          <w:color w:val="auto"/>
          <w:spacing w:val="-6"/>
          <w:szCs w:val="21"/>
          <w:highlight w:val="none"/>
        </w:rPr>
        <w:t>质疑供应商对采购人、采购代理机构的答复不满意，或者采购人、采购代理机构未在规定时间内作出答复的，可以在答复期满后</w:t>
      </w:r>
      <w:r>
        <w:rPr>
          <w:rFonts w:ascii="宋体" w:hAnsi="宋体" w:eastAsia="宋体" w:cs="Times New Roman"/>
          <w:color w:val="auto"/>
          <w:spacing w:val="-6"/>
          <w:szCs w:val="21"/>
          <w:highlight w:val="none"/>
        </w:rPr>
        <w:t>15个工作日内向</w:t>
      </w:r>
      <w:r>
        <w:rPr>
          <w:rFonts w:hint="eastAsia" w:ascii="宋体" w:hAnsi="宋体" w:eastAsia="宋体" w:cs="Times New Roman"/>
          <w:color w:val="auto"/>
          <w:spacing w:val="-6"/>
          <w:szCs w:val="21"/>
          <w:highlight w:val="none"/>
        </w:rPr>
        <w:t>本级财政部门</w:t>
      </w:r>
      <w:r>
        <w:rPr>
          <w:rFonts w:ascii="宋体" w:hAnsi="宋体" w:eastAsia="宋体" w:cs="Times New Roman"/>
          <w:color w:val="auto"/>
          <w:spacing w:val="-6"/>
          <w:szCs w:val="21"/>
          <w:highlight w:val="none"/>
        </w:rPr>
        <w:t>提起投诉。</w:t>
      </w:r>
    </w:p>
    <w:bookmarkEnd w:id="41"/>
    <w:p w14:paraId="230F6D76">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2.投标人提出质疑应当提交质疑函和必要的证明材料，质疑函范本、投诉书范本请到浙江政府采购网下载专区下载。质疑函应当包括下列内容：</w:t>
      </w:r>
    </w:p>
    <w:p w14:paraId="1A140951">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（1）供应商的姓名或者名称、地址、邮编、联系人及联系电话；</w:t>
      </w:r>
    </w:p>
    <w:p w14:paraId="0202CF5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（2）质疑项目的名称、编号；</w:t>
      </w:r>
    </w:p>
    <w:p w14:paraId="05B17BA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（3）具体、明确的质疑事项和与质疑事项相关的请求；</w:t>
      </w:r>
    </w:p>
    <w:p w14:paraId="2BFD5CA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（4）事实依据；</w:t>
      </w:r>
    </w:p>
    <w:p w14:paraId="6857882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（5）必要的法律依据；</w:t>
      </w:r>
    </w:p>
    <w:p w14:paraId="52F606B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（6）提出质疑的日期。</w:t>
      </w:r>
    </w:p>
    <w:p w14:paraId="14736A0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投标人为自然人的，应当由本人签名；投标人为法人或者其他组织的，应当由法定代表人、主要负责人，或者其授权代表签名或者盖章，并加盖公章。</w:t>
      </w:r>
    </w:p>
    <w:p w14:paraId="5726A818">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3.提出质疑的供应商应当是参与本项目招标活动的投标人。</w:t>
      </w:r>
      <w:r>
        <w:rPr>
          <w:rFonts w:hint="eastAsia" w:ascii="宋体" w:hAnsi="宋体" w:eastAsia="宋体" w:cs="Times New Roman"/>
          <w:b/>
          <w:color w:val="auto"/>
          <w:spacing w:val="-6"/>
          <w:szCs w:val="21"/>
          <w:highlight w:val="none"/>
        </w:rPr>
        <w:t>投标人在法定质疑期内应一次性提出针对同一采购程序环节的质疑。</w:t>
      </w:r>
    </w:p>
    <w:p w14:paraId="26C7091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4.根据《政府采购质疑和投诉办法》第三十七条的规定，投诉人在全国范围</w:t>
      </w:r>
      <w:r>
        <w:rPr>
          <w:rFonts w:ascii="宋体" w:hAnsi="宋体" w:eastAsia="宋体" w:cs="Times New Roman"/>
          <w:color w:val="auto"/>
          <w:spacing w:val="-6"/>
          <w:szCs w:val="21"/>
          <w:highlight w:val="none"/>
        </w:rPr>
        <w:t>12</w:t>
      </w:r>
      <w:r>
        <w:rPr>
          <w:rFonts w:hint="eastAsia" w:ascii="宋体" w:hAnsi="宋体" w:eastAsia="宋体" w:cs="Times New Roman"/>
          <w:color w:val="auto"/>
          <w:spacing w:val="-6"/>
          <w:szCs w:val="21"/>
          <w:highlight w:val="none"/>
        </w:rPr>
        <w:t>个月内三次以上投诉查无实据的，由财政部门列入不良行为记录名单。</w:t>
      </w:r>
    </w:p>
    <w:p w14:paraId="1F95E24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投诉人有下列行为之一的，属于虚假、恶意投诉，由财政部门列入不良行为记录名单，禁止其</w:t>
      </w:r>
      <w:r>
        <w:rPr>
          <w:rFonts w:ascii="宋体" w:hAnsi="宋体" w:eastAsia="宋体" w:cs="Times New Roman"/>
          <w:color w:val="auto"/>
          <w:spacing w:val="-6"/>
          <w:szCs w:val="21"/>
          <w:highlight w:val="none"/>
        </w:rPr>
        <w:t>1</w:t>
      </w:r>
      <w:r>
        <w:rPr>
          <w:rFonts w:hint="eastAsia" w:ascii="宋体" w:hAnsi="宋体" w:eastAsia="宋体" w:cs="Times New Roman"/>
          <w:color w:val="auto"/>
          <w:spacing w:val="-6"/>
          <w:szCs w:val="21"/>
          <w:highlight w:val="none"/>
        </w:rPr>
        <w:t>至</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年内参加政府采购活动：</w:t>
      </w:r>
    </w:p>
    <w:p w14:paraId="6452B0BF">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（1）捏造事实；</w:t>
      </w:r>
    </w:p>
    <w:p w14:paraId="2A2345C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（2）提供虚假材料；</w:t>
      </w:r>
    </w:p>
    <w:p w14:paraId="2D7410D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（3）以非法手段取得证明材料。证据来源的合法性存在明显疑问，投诉人无法证明其取得方式合法的，视为以非法手段取得证明材料。</w:t>
      </w:r>
    </w:p>
    <w:p w14:paraId="3B078E82">
      <w:pPr>
        <w:adjustRightInd w:val="0"/>
        <w:snapToGrid w:val="0"/>
        <w:spacing w:line="288" w:lineRule="auto"/>
        <w:outlineLvl w:val="2"/>
        <w:rPr>
          <w:rFonts w:hint="eastAsia" w:ascii="宋体" w:hAnsi="宋体" w:eastAsia="宋体" w:cs="宋体"/>
          <w:b/>
          <w:color w:val="auto"/>
          <w:spacing w:val="-6"/>
          <w:kern w:val="0"/>
          <w:szCs w:val="21"/>
          <w:highlight w:val="none"/>
        </w:rPr>
      </w:pPr>
      <w:bookmarkStart w:id="42" w:name="_Hlk92273111"/>
      <w:bookmarkStart w:id="43" w:name="_Hlk94018492"/>
      <w:r>
        <w:rPr>
          <w:rFonts w:ascii="宋体" w:hAnsi="宋体" w:eastAsia="宋体" w:cs="宋体"/>
          <w:b/>
          <w:color w:val="auto"/>
          <w:spacing w:val="-6"/>
          <w:kern w:val="0"/>
          <w:szCs w:val="21"/>
          <w:highlight w:val="none"/>
        </w:rPr>
        <w:t>（</w:t>
      </w:r>
      <w:r>
        <w:rPr>
          <w:rFonts w:hint="eastAsia" w:ascii="宋体" w:hAnsi="宋体" w:eastAsia="宋体" w:cs="宋体"/>
          <w:b/>
          <w:color w:val="auto"/>
          <w:spacing w:val="-6"/>
          <w:kern w:val="0"/>
          <w:szCs w:val="21"/>
          <w:highlight w:val="none"/>
        </w:rPr>
        <w:t>九</w:t>
      </w:r>
      <w:r>
        <w:rPr>
          <w:rFonts w:ascii="宋体" w:hAnsi="宋体" w:eastAsia="宋体" w:cs="宋体"/>
          <w:b/>
          <w:color w:val="auto"/>
          <w:spacing w:val="-6"/>
          <w:kern w:val="0"/>
          <w:szCs w:val="21"/>
          <w:highlight w:val="none"/>
        </w:rPr>
        <w:t>）</w:t>
      </w:r>
      <w:r>
        <w:rPr>
          <w:rFonts w:hint="eastAsia" w:ascii="宋体" w:hAnsi="宋体" w:eastAsia="宋体" w:cs="宋体"/>
          <w:b/>
          <w:color w:val="auto"/>
          <w:spacing w:val="-6"/>
          <w:kern w:val="0"/>
          <w:szCs w:val="21"/>
          <w:highlight w:val="none"/>
        </w:rPr>
        <w:t>采购项目需要落实的政府采购政策</w:t>
      </w:r>
    </w:p>
    <w:bookmarkEnd w:id="42"/>
    <w:p w14:paraId="5A973184">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1.进口产品</w:t>
      </w:r>
    </w:p>
    <w:p w14:paraId="79E3587B">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本项目原则上采购本国生产的货物、服务，不允许采购进口产品。优先采购向我国企业转让技术、与我国企业签订消化吸收再创新方案的供应商的进口产品。</w:t>
      </w:r>
    </w:p>
    <w:p w14:paraId="3875F7BB">
      <w:pPr>
        <w:shd w:val="clear" w:color="auto" w:fill="FFFFFF"/>
        <w:adjustRightInd w:val="0"/>
        <w:snapToGrid w:val="0"/>
        <w:spacing w:line="288" w:lineRule="auto"/>
        <w:ind w:firstLine="369" w:firstLineChars="176"/>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已经在采购活动开始前向财政部门提出申请并获得财政部门审核同意（高校和科研院所采购用于科研的进口仪器设备，以及其他根据财政部规定实行备案管理的，实行备案管理）购买进口产品的，将在招标文件中明确规定可以采购进口产品（但如果因信息不对称等原因，仍有满足需求的国内产品要求参与采购竞争的，不会对其加以限制，仍将按照公平竞争原则实施采购）。</w:t>
      </w:r>
    </w:p>
    <w:p w14:paraId="15D04C36">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进口产品是指通过中国海关报关验放进入中国境内且产自关境外的产品。关于关境和海关特殊监管区域产品认定、已在境内多次流转进口产品认定，按照《关于政府采购进口产品管理有关问题的通知》（财办库[2008]248号）执行。</w:t>
      </w:r>
    </w:p>
    <w:p w14:paraId="3267585F">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2.支持绿色发展</w:t>
      </w:r>
    </w:p>
    <w:p w14:paraId="4501DE12">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采购人拟采购的产品属于节能产品、环境标志产品政府采购品目清单范围的，将依据国家确定的认证机构出具的、处于有效期之内的节能产品、环境标志产品认证证书，对获得证书的产品实施政府优先采购或强制采购。</w:t>
      </w:r>
    </w:p>
    <w:p w14:paraId="49FA18C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采购人拟采购产品属于节能产品政府采购清单规定必须强制采购的，将在招标文件中明确载明，供应商相应的投标产品须提供国家确定的认证机构出具的、处于有效期之内的节能产品认证证书。</w:t>
      </w:r>
    </w:p>
    <w:p w14:paraId="6FA43B27">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3.支持中小企业发展</w:t>
      </w:r>
    </w:p>
    <w:p w14:paraId="5C320AD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 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p>
    <w:p w14:paraId="26DACE3E">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3.2 在政府采购活动中，供应商提供的货物或者服务符合下列情形的，享受中小企业扶持政策：</w:t>
      </w:r>
    </w:p>
    <w:p w14:paraId="47D39619">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在货物采购项目中，货物由中小企业制造，即货物由</w:t>
      </w:r>
      <w:r>
        <w:rPr>
          <w:rFonts w:hint="eastAsia" w:ascii="宋体" w:hAnsi="宋体" w:eastAsia="宋体" w:cs="宋体"/>
          <w:color w:val="auto"/>
          <w:szCs w:val="21"/>
          <w:highlight w:val="none"/>
          <w:u w:val="single"/>
        </w:rPr>
        <w:t>中小企业生产且使用该中小企业商号或者注册商标</w:t>
      </w:r>
      <w:r>
        <w:rPr>
          <w:rFonts w:hint="eastAsia" w:ascii="宋体" w:hAnsi="宋体" w:eastAsia="宋体" w:cs="宋体"/>
          <w:color w:val="auto"/>
          <w:szCs w:val="21"/>
          <w:highlight w:val="none"/>
        </w:rPr>
        <w:t>。如果一个采购项目或采购包含有多个采购标的的，则每个采购标的均应由中小企业制造。</w:t>
      </w:r>
    </w:p>
    <w:p w14:paraId="50816DB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3.3 供应商提供的货物既有中小企业制造货物，也有大型企业制造货物的，不享受中小企业扶持政策；供应商提供的货物既有中型企业制造，也有小微企业制造的，不享受办法规定的小微企业扶持政策。对于联合体中由中小企业承担的部分，或者分包给中小企业的部分，必须全部由中小企业制造、承建或者承接。</w:t>
      </w:r>
    </w:p>
    <w:p w14:paraId="4F56781C">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中小企业享受扶持政策获得政府采购合同的，小微企业不得将合同分包给大中型企业，中型企业不得将合同分包给大型企业。</w:t>
      </w:r>
    </w:p>
    <w:p w14:paraId="2CC0DF5D">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3.4 以联合体形式参加政府采购活动，联合体各方均为中小企业的，联合体视同中小企业。其中，联合体各方均为小微企业的，联合体视同小微企业。</w:t>
      </w:r>
    </w:p>
    <w:p w14:paraId="6FDFD56A">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3.5 预留份额专门面向中小企业采购的采购项目通过下列措施进行：将采购项目整体或者设置采购包专门面向中小企业采购；要求供应商以联合体形式参加采购活动，且联合体中中小企业承担的部分达到一定比例；要求获得采购合同的供应商将采购项目中的一定比例分包给一家或者多家中小企业。</w:t>
      </w:r>
    </w:p>
    <w:p w14:paraId="45BC673C">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组成联合体或者接受分包合同的中小企业与联合体内其他企业、分包企业之间不得存在直接控股、管理关系。</w:t>
      </w:r>
    </w:p>
    <w:p w14:paraId="0E45A2FF">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专门面向中小企业采购的项目或者采购包，不再执行价格评审优惠的扶持政策。</w:t>
      </w:r>
    </w:p>
    <w:p w14:paraId="35E61AA9">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3.6 中小企业参加政府采购活动，应当出具本办法规定的《中小企业声明函》，否则不得享受相关中小企业扶持政策。</w:t>
      </w:r>
    </w:p>
    <w:p w14:paraId="558A2945">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《中小企业声明函》由参加政府采购活动的供应商出具。以联合体形式参加政府采购活动或者合同分包的，《中小企业声明函》中需填写联合体中的中小企业或签订分包意向协议的中小企业相关信息。</w:t>
      </w:r>
    </w:p>
    <w:p w14:paraId="336A0081">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3.7 供应商提供《中小企业声明函》内容不实的，属于提供虚假材料谋取中标、成交，依照《中华人民共和国政府采购法》等国家有关规定追究相应责任。</w:t>
      </w:r>
    </w:p>
    <w:p w14:paraId="38FDA472">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3.8 供应商提供的《中小企业声明函》中，企业数据（如从业人员，营业收入，资产总额）有误的，采购组织机构或评标委员会可以要求供应商进行澄清、说明。但《中小企业声明函》出现下列情形的，《中小企业声明函》无效，不享受《政府采购促进中小企业发展管理办法》规定的中小企业扶持政策：</w:t>
      </w:r>
    </w:p>
    <w:p w14:paraId="1167E819">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（1）内容未包括全部采购标的；</w:t>
      </w:r>
    </w:p>
    <w:p w14:paraId="6C3BAD54">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（2）未填写标的所属行业，或者填写的所属行业与招标文件明确的所属行业不一致；</w:t>
      </w:r>
    </w:p>
    <w:p w14:paraId="0B26647C">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（3）未填写企业类型、填写的企业类型不明确或填写的企业类型与实际不符（即：企业类型（中型企业、小型企业或微型企业）填写错误）。</w:t>
      </w:r>
    </w:p>
    <w:p w14:paraId="19F33869">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供应商声明的类型获得了本不应获得的利益（价格扣除或者资格审查通过），属于提供虚假材料。构成“提供虚假材料谋取中标的”，依法承担法律责任。</w:t>
      </w:r>
    </w:p>
    <w:p w14:paraId="4993FD87">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4.支持监狱企业发展</w:t>
      </w:r>
    </w:p>
    <w:p w14:paraId="175C04F3">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符合《关于政府采购支持监狱企业发展有关问题的通知》（财库[2014]68号）规定的监狱企业并提供由省级以上监狱管理局、戒毒管理局（含新疆生产建设兵团）出具的属于监狱企业证明文件的，视同为小型、微型企业。</w:t>
      </w:r>
    </w:p>
    <w:p w14:paraId="64DB784D">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5.促进残疾人就业</w:t>
      </w:r>
    </w:p>
    <w:p w14:paraId="35360C53">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符合《关于促进残疾人就业政府采购政策的通知》（财库[2017]141号）规定的条件并提供《残疾人福利性单位声明函》的残疾人福利性单位视同小型、微型企业。</w:t>
      </w:r>
    </w:p>
    <w:p w14:paraId="607F047E">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6.支持创新发展</w:t>
      </w:r>
    </w:p>
    <w:p w14:paraId="64B4764B">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采购人优先采购被认定为首台套产品和“制造精品”的自主创新产品。</w:t>
      </w:r>
    </w:p>
    <w:p w14:paraId="5B139B56">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对省级以上主管部门认定的首台套产品，自纳入《省推广应用指导目录》起3年内参加政府采购活动，视同已具备相应销售业绩，业绩分为满分。</w:t>
      </w:r>
    </w:p>
    <w:p w14:paraId="6E72C019">
      <w:pPr>
        <w:adjustRightInd w:val="0"/>
        <w:snapToGrid w:val="0"/>
        <w:spacing w:line="288" w:lineRule="auto"/>
        <w:ind w:firstLine="420" w:firstLineChars="200"/>
        <w:jc w:val="left"/>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产品核心技术高于国内领先水平，并具有明晰自主知识产权的“制造精品”产品，自认定之日起2年内视同已具备相应销售业绩，参加政府采购活动时业绩分值为满分。</w:t>
      </w:r>
    </w:p>
    <w:bookmarkEnd w:id="43"/>
    <w:p w14:paraId="7474DE30">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2F4B46CC">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二</w:t>
      </w:r>
      <w:r>
        <w:rPr>
          <w:rFonts w:hint="eastAsia" w:ascii="宋体" w:hAnsi="宋体" w:eastAsia="宋体" w:cs="Times New Roman"/>
          <w:b/>
          <w:color w:val="auto"/>
          <w:spacing w:val="-6"/>
          <w:szCs w:val="21"/>
          <w:highlight w:val="none"/>
        </w:rPr>
        <w:t>、招标文件</w:t>
      </w:r>
    </w:p>
    <w:p w14:paraId="5469A91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（一）招标文件的构成</w:t>
      </w:r>
    </w:p>
    <w:p w14:paraId="3652AAED">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本招标文件由以下部分组成：</w:t>
      </w:r>
    </w:p>
    <w:p w14:paraId="32FE8AE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1.投标邀请</w:t>
      </w:r>
    </w:p>
    <w:p w14:paraId="6F45162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2.采购需求</w:t>
      </w:r>
    </w:p>
    <w:p w14:paraId="432207AE">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3.投标人须知</w:t>
      </w:r>
    </w:p>
    <w:p w14:paraId="3615027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4.评标方法和评标标准</w:t>
      </w:r>
    </w:p>
    <w:p w14:paraId="2397894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5.拟签订的合同文本</w:t>
      </w:r>
    </w:p>
    <w:p w14:paraId="246C89A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6.投标文件格式</w:t>
      </w:r>
    </w:p>
    <w:p w14:paraId="1F6CFAA3">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7.本项目招标文件的澄清、答复、修改、补充的内容</w:t>
      </w:r>
    </w:p>
    <w:p w14:paraId="7ADEFA6B">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（二）招标文件的澄清与修改</w:t>
      </w:r>
    </w:p>
    <w:p w14:paraId="123470C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.采购人或者采购代理机构可以对已发出的招标文件进行必要的澄清或者修改</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澄清或者修改</w:t>
      </w:r>
      <w:r>
        <w:rPr>
          <w:rFonts w:hint="eastAsia" w:ascii="宋体" w:hAnsi="宋体" w:eastAsia="宋体" w:cs="Times New Roman"/>
          <w:color w:val="auto"/>
          <w:spacing w:val="-6"/>
          <w:szCs w:val="21"/>
          <w:highlight w:val="none"/>
        </w:rPr>
        <w:t>会</w:t>
      </w:r>
      <w:r>
        <w:rPr>
          <w:rFonts w:ascii="宋体" w:hAnsi="宋体" w:eastAsia="宋体" w:cs="Times New Roman"/>
          <w:color w:val="auto"/>
          <w:spacing w:val="-6"/>
          <w:szCs w:val="21"/>
          <w:highlight w:val="none"/>
        </w:rPr>
        <w:t>在原公告发布媒体上发布澄清公告</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澄清或者修改的内容为招标文件的组成部分。</w:t>
      </w:r>
    </w:p>
    <w:p w14:paraId="2965FE3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澄清或者修改的内容可能影响投标文件编制的，采购人或者采购代理机构会在投标截止时间至少15日前，以书面形式通知所有获取招标文件的潜在投标人；不足15日的，采购人或者采购代理机构会顺延提交投标文件的截止时间。</w:t>
      </w:r>
    </w:p>
    <w:p w14:paraId="46854CA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2.招标文件的修改将以书面形式通知所有获取招标文件的投标人，并对其具有约束力。投标人在收到上述通知后，应立即向采购</w:t>
      </w:r>
      <w:r>
        <w:rPr>
          <w:rFonts w:ascii="宋体" w:hAnsi="宋体" w:eastAsia="宋体" w:cs="Times New Roman"/>
          <w:color w:val="auto"/>
          <w:spacing w:val="-6"/>
          <w:szCs w:val="21"/>
          <w:highlight w:val="none"/>
        </w:rPr>
        <w:t>代理机构</w:t>
      </w:r>
      <w:r>
        <w:rPr>
          <w:rFonts w:hint="eastAsia" w:ascii="宋体" w:hAnsi="宋体" w:eastAsia="宋体" w:cs="Times New Roman"/>
          <w:color w:val="auto"/>
          <w:spacing w:val="-6"/>
          <w:szCs w:val="21"/>
          <w:highlight w:val="none"/>
        </w:rPr>
        <w:t>回函确认。若无书面回函确认，视同投标人已收到招标文件修改的通知，并受其约束。</w:t>
      </w:r>
    </w:p>
    <w:p w14:paraId="01D595B5">
      <w:pPr>
        <w:adjustRightInd w:val="0"/>
        <w:snapToGrid w:val="0"/>
        <w:spacing w:line="288" w:lineRule="auto"/>
        <w:jc w:val="center"/>
        <w:outlineLvl w:val="1"/>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br w:type="page"/>
      </w:r>
      <w:r>
        <w:rPr>
          <w:rFonts w:ascii="宋体" w:hAnsi="宋体" w:eastAsia="宋体" w:cs="Times New Roman"/>
          <w:b/>
          <w:color w:val="auto"/>
          <w:spacing w:val="-6"/>
          <w:szCs w:val="21"/>
          <w:highlight w:val="none"/>
        </w:rPr>
        <w:t>三</w:t>
      </w:r>
      <w:r>
        <w:rPr>
          <w:rFonts w:hint="eastAsia" w:ascii="宋体" w:hAnsi="宋体" w:eastAsia="宋体" w:cs="Times New Roman"/>
          <w:b/>
          <w:color w:val="auto"/>
          <w:spacing w:val="-6"/>
          <w:szCs w:val="21"/>
          <w:highlight w:val="none"/>
        </w:rPr>
        <w:t>、</w:t>
      </w:r>
      <w:r>
        <w:rPr>
          <w:rFonts w:ascii="宋体" w:hAnsi="宋体" w:eastAsia="宋体" w:cs="Times New Roman"/>
          <w:b/>
          <w:color w:val="auto"/>
          <w:spacing w:val="-6"/>
          <w:szCs w:val="21"/>
          <w:highlight w:val="none"/>
        </w:rPr>
        <w:t>投标文件编制要求</w:t>
      </w:r>
    </w:p>
    <w:p w14:paraId="69BAA1F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（一）投标文件的组成</w:t>
      </w:r>
    </w:p>
    <w:p w14:paraId="317E5F3E">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4" w:name="_Hlk94018532"/>
      <w:r>
        <w:rPr>
          <w:rFonts w:hint="eastAsia" w:ascii="宋体" w:hAnsi="宋体" w:eastAsia="宋体" w:cs="Times New Roman"/>
          <w:color w:val="auto"/>
          <w:spacing w:val="-6"/>
          <w:szCs w:val="21"/>
          <w:highlight w:val="none"/>
        </w:rPr>
        <w:t>投标文件（电子加密投标文件）由</w:t>
      </w:r>
      <w:r>
        <w:rPr>
          <w:rFonts w:hint="eastAsia" w:ascii="宋体" w:hAnsi="宋体" w:eastAsia="宋体" w:cs="Times New Roman"/>
          <w:b/>
          <w:color w:val="auto"/>
          <w:spacing w:val="-6"/>
          <w:szCs w:val="21"/>
          <w:highlight w:val="none"/>
        </w:rPr>
        <w:t>资格文件、商务和技术文件、报价文件三部分</w:t>
      </w:r>
      <w:r>
        <w:rPr>
          <w:rFonts w:hint="eastAsia" w:ascii="宋体" w:hAnsi="宋体" w:eastAsia="宋体" w:cs="Times New Roman"/>
          <w:bCs/>
          <w:color w:val="auto"/>
          <w:spacing w:val="-6"/>
          <w:szCs w:val="21"/>
          <w:highlight w:val="none"/>
        </w:rPr>
        <w:t>组成（格式详见招标文件第六章）。投标人应将投标文件各部分</w:t>
      </w:r>
      <w:r>
        <w:rPr>
          <w:rFonts w:hint="eastAsia" w:ascii="宋体" w:hAnsi="宋体" w:eastAsia="宋体" w:cs="Times New Roman"/>
          <w:b/>
          <w:color w:val="auto"/>
          <w:spacing w:val="-6"/>
          <w:szCs w:val="21"/>
          <w:highlight w:val="none"/>
        </w:rPr>
        <w:t>分别上传</w:t>
      </w:r>
      <w:r>
        <w:rPr>
          <w:rFonts w:hint="eastAsia" w:ascii="宋体" w:hAnsi="宋体" w:eastAsia="宋体" w:cs="Times New Roman"/>
          <w:bCs/>
          <w:color w:val="auto"/>
          <w:spacing w:val="-6"/>
          <w:szCs w:val="21"/>
          <w:highlight w:val="none"/>
        </w:rPr>
        <w:t>至政府采购云平台指定位置。</w:t>
      </w:r>
    </w:p>
    <w:p w14:paraId="756272F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投标文件组成：详见“第六章</w:t>
      </w:r>
      <w:r>
        <w:rPr>
          <w:rFonts w:ascii="宋体" w:hAnsi="宋体" w:eastAsia="宋体" w:cs="Times New Roman"/>
          <w:color w:val="auto"/>
          <w:spacing w:val="-6"/>
          <w:szCs w:val="21"/>
          <w:highlight w:val="none"/>
        </w:rPr>
        <w:t xml:space="preserve">  投标文件格式</w:t>
      </w:r>
      <w:r>
        <w:rPr>
          <w:rFonts w:hint="eastAsia" w:ascii="宋体" w:hAnsi="宋体" w:eastAsia="宋体" w:cs="Times New Roman"/>
          <w:color w:val="auto"/>
          <w:spacing w:val="-6"/>
          <w:szCs w:val="21"/>
          <w:highlight w:val="none"/>
        </w:rPr>
        <w:t>”目录</w:t>
      </w:r>
    </w:p>
    <w:p w14:paraId="5DF6505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如供应商提供的产品技术支持材料与采购需求偏离表响应不一致，以产品技术支持材料为准。</w:t>
      </w:r>
    </w:p>
    <w:bookmarkEnd w:id="44"/>
    <w:p w14:paraId="125561F0">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（二）投标文件的签署和份数</w:t>
      </w:r>
    </w:p>
    <w:p w14:paraId="05BC0DE2">
      <w:pPr>
        <w:adjustRightInd w:val="0"/>
        <w:snapToGrid w:val="0"/>
        <w:spacing w:line="288" w:lineRule="auto"/>
        <w:ind w:firstLine="396" w:firstLineChars="200"/>
        <w:jc w:val="left"/>
        <w:rPr>
          <w:rFonts w:hint="eastAsia" w:ascii="宋体" w:hAnsi="宋体" w:eastAsia="宋体"/>
          <w:b/>
          <w:bCs/>
          <w:color w:val="auto"/>
          <w:spacing w:val="-6"/>
          <w:szCs w:val="21"/>
          <w:highlight w:val="none"/>
        </w:rPr>
      </w:pPr>
      <w:r>
        <w:rPr>
          <w:rFonts w:hint="eastAsia" w:ascii="宋体" w:hAnsi="宋体" w:eastAsia="宋体"/>
          <w:color w:val="auto"/>
          <w:spacing w:val="-6"/>
          <w:szCs w:val="21"/>
          <w:highlight w:val="none"/>
        </w:rPr>
        <w:t>1.投标人应按照招标文件和政府采购云平台的要求，根据投标文件的组成规定的内容及顺序通过政采云电子交易客户端（政采云投标客户端）编制加密投标文件，投标文件内容不完整、编排混乱导致投标文件被误读、漏读或者查找不到相关内容的，是投标人的责任。</w:t>
      </w:r>
      <w:r>
        <w:rPr>
          <w:rFonts w:hint="eastAsia" w:ascii="宋体" w:hAnsi="宋体" w:eastAsia="宋体"/>
          <w:b/>
          <w:bCs/>
          <w:color w:val="auto"/>
          <w:spacing w:val="-6"/>
          <w:szCs w:val="21"/>
          <w:highlight w:val="none"/>
        </w:rPr>
        <w:t>其中资格文件、商务技术文件中不得出现投标报价，如因投标人原因提前泄露投标报价，是投标人的责任。</w:t>
      </w:r>
    </w:p>
    <w:p w14:paraId="01AA0055">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2.投标文件须由投标人在规定位置</w:t>
      </w:r>
      <w:bookmarkStart w:id="45" w:name="_Hlk96329183"/>
      <w:r>
        <w:rPr>
          <w:rFonts w:hint="eastAsia" w:ascii="宋体" w:hAnsi="宋体" w:eastAsia="宋体"/>
          <w:color w:val="auto"/>
          <w:spacing w:val="-6"/>
          <w:szCs w:val="21"/>
          <w:highlight w:val="none"/>
        </w:rPr>
        <w:t>加盖公章</w:t>
      </w:r>
      <w:bookmarkEnd w:id="45"/>
      <w:r>
        <w:rPr>
          <w:rFonts w:hint="eastAsia" w:ascii="宋体" w:hAnsi="宋体" w:eastAsia="宋体"/>
          <w:color w:val="auto"/>
          <w:spacing w:val="-6"/>
          <w:szCs w:val="21"/>
          <w:highlight w:val="none"/>
        </w:rPr>
        <w:t>，投标人应写全称。</w:t>
      </w:r>
    </w:p>
    <w:p w14:paraId="1F35753C">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3.投标文件不得涂改，若有修改错漏处，须由投标人加盖公章，或者由投标人代表签名。投标文件因字迹潦草或表达不清所引起的后果由投标人负责。</w:t>
      </w:r>
    </w:p>
    <w:p w14:paraId="3B40C7ED">
      <w:pPr>
        <w:adjustRightInd w:val="0"/>
        <w:snapToGrid w:val="0"/>
        <w:spacing w:line="288" w:lineRule="auto"/>
        <w:ind w:firstLine="398" w:firstLineChars="200"/>
        <w:jc w:val="left"/>
        <w:rPr>
          <w:rFonts w:hint="eastAsia" w:ascii="宋体" w:hAnsi="宋体" w:eastAsia="宋体"/>
          <w:b/>
          <w:bCs/>
          <w:color w:val="auto"/>
          <w:spacing w:val="-6"/>
          <w:szCs w:val="21"/>
          <w:highlight w:val="none"/>
        </w:rPr>
      </w:pPr>
      <w:r>
        <w:rPr>
          <w:rFonts w:hint="eastAsia" w:ascii="宋体" w:hAnsi="宋体" w:eastAsia="宋体"/>
          <w:b/>
          <w:bCs/>
          <w:color w:val="auto"/>
          <w:spacing w:val="-6"/>
          <w:szCs w:val="21"/>
          <w:highlight w:val="none"/>
        </w:rPr>
        <w:t>4.投标文件份数：</w:t>
      </w:r>
    </w:p>
    <w:p w14:paraId="6A5843B3">
      <w:pPr>
        <w:adjustRightInd w:val="0"/>
        <w:snapToGrid w:val="0"/>
        <w:spacing w:line="288" w:lineRule="auto"/>
        <w:ind w:firstLine="398" w:firstLineChars="200"/>
        <w:jc w:val="left"/>
        <w:rPr>
          <w:rFonts w:hint="eastAsia" w:ascii="宋体" w:hAnsi="宋体" w:eastAsia="宋体"/>
          <w:b/>
          <w:bCs/>
          <w:color w:val="auto"/>
          <w:spacing w:val="-6"/>
          <w:szCs w:val="21"/>
          <w:highlight w:val="none"/>
        </w:rPr>
      </w:pPr>
      <w:r>
        <w:rPr>
          <w:rFonts w:hint="eastAsia" w:ascii="宋体" w:hAnsi="宋体" w:eastAsia="宋体"/>
          <w:b/>
          <w:bCs/>
          <w:color w:val="auto"/>
          <w:spacing w:val="-6"/>
          <w:szCs w:val="21"/>
          <w:highlight w:val="none"/>
        </w:rPr>
        <w:t>电子加密投标文件：政府采购云平台在线上传一份；</w:t>
      </w:r>
    </w:p>
    <w:p w14:paraId="3FBAD12E">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b/>
          <w:bCs/>
          <w:color w:val="auto"/>
          <w:spacing w:val="-6"/>
          <w:szCs w:val="21"/>
          <w:highlight w:val="none"/>
        </w:rPr>
        <w:t>备份投标文件：密封包装后EMS或顺丰邮寄形式递交一份（邮寄地址：</w:t>
      </w:r>
      <w:r>
        <w:rPr>
          <w:rFonts w:hint="eastAsia" w:ascii="宋体" w:hAnsi="宋体" w:eastAsia="宋体" w:cs="宋体"/>
          <w:b/>
          <w:bCs/>
          <w:color w:val="auto"/>
          <w:szCs w:val="21"/>
          <w:highlight w:val="none"/>
        </w:rPr>
        <w:t>杭州市西湖区玉古路173号中田大厦21楼H室，浙江求是招标代理有限公司（陈应俭、俞炳）收，电话：0571-87670302，寄出后将（快递单号、项目名称、公司名称、联系方式等相关信息）发至：zb02@qszb.net，以便查收）。</w:t>
      </w:r>
    </w:p>
    <w:p w14:paraId="670A9DC1">
      <w:pPr>
        <w:adjustRightInd w:val="0"/>
        <w:snapToGrid w:val="0"/>
        <w:spacing w:line="288" w:lineRule="auto"/>
        <w:ind w:firstLine="422" w:firstLineChars="200"/>
        <w:jc w:val="left"/>
        <w:rPr>
          <w:rFonts w:hint="eastAsia" w:ascii="宋体" w:hAnsi="宋体" w:eastAsia="宋体" w:cs="Times New Roman"/>
          <w:b/>
          <w:bCs/>
          <w:color w:val="auto"/>
          <w:spacing w:val="-6"/>
          <w:szCs w:val="21"/>
          <w:highlight w:val="none"/>
        </w:rPr>
      </w:pPr>
      <w:r>
        <w:rPr>
          <w:rFonts w:hint="eastAsia" w:ascii="宋体" w:hAnsi="宋体" w:eastAsia="宋体" w:cs="宋体"/>
          <w:b/>
          <w:color w:val="auto"/>
          <w:szCs w:val="21"/>
          <w:highlight w:val="none"/>
        </w:rPr>
        <w:t>特别说明：双休日和法定节假日不收件，投标人自行承担邮寄风险。</w:t>
      </w:r>
    </w:p>
    <w:p w14:paraId="56946619">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（三）投标文件的上传、递交、修改和撤回</w:t>
      </w:r>
    </w:p>
    <w:p w14:paraId="0C3288D0">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1.投标文件的上传、递交：</w:t>
      </w:r>
    </w:p>
    <w:p w14:paraId="12FEFC12">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（1）电子加密投标文件的上传：</w:t>
      </w:r>
    </w:p>
    <w:p w14:paraId="48246D2D">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▲a.投标人应在投标截止时间前将电子加密投标文件成功上传至政府采购云平台，否则投标无效；</w:t>
      </w:r>
    </w:p>
    <w:p w14:paraId="14503F1E">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b.电子加密投标文件成功上传后，投标人可自行打印投标文件接收回执。</w:t>
      </w:r>
    </w:p>
    <w:p w14:paraId="79EAC416">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（2）备份投标文件的密封包装、递交：</w:t>
      </w:r>
    </w:p>
    <w:p w14:paraId="7635F904">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a.投标人在政府采购云平台完成电子加密投标文件的上传后，可以EMS或顺丰邮寄形式在投标截止时间前递交以介质（U盘）存储的数据电文形式的备份投标文件；</w:t>
      </w:r>
    </w:p>
    <w:p w14:paraId="548191FA">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b.备份投标文件应当密封包装并在包装上标注投标</w:t>
      </w:r>
      <w:r>
        <w:rPr>
          <w:rFonts w:hint="eastAsia" w:ascii="宋体" w:hAnsi="宋体" w:eastAsia="宋体"/>
          <w:color w:val="auto"/>
          <w:spacing w:val="-6"/>
          <w:szCs w:val="21"/>
          <w:highlight w:val="none"/>
          <w:u w:val="single"/>
        </w:rPr>
        <w:t>项目名称、标项、投标人名称</w:t>
      </w:r>
      <w:r>
        <w:rPr>
          <w:rFonts w:hint="eastAsia" w:ascii="宋体" w:hAnsi="宋体" w:eastAsia="宋体"/>
          <w:color w:val="auto"/>
          <w:spacing w:val="-6"/>
          <w:szCs w:val="21"/>
          <w:highlight w:val="none"/>
        </w:rPr>
        <w:t>并加盖公章（非电子签章），投标人逾期送达或者未密封包装的备份投标文件采购代理机构将予以拒收；</w:t>
      </w:r>
    </w:p>
    <w:p w14:paraId="75DCA309">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▲c.通过政府采购云平台成功上传的电子加密投标文件已按时解密的，备份投标文件自动失效。</w:t>
      </w:r>
    </w:p>
    <w:p w14:paraId="2BD9C4C7">
      <w:pPr>
        <w:adjustRightInd w:val="0"/>
        <w:snapToGrid w:val="0"/>
        <w:spacing w:line="288" w:lineRule="auto"/>
        <w:ind w:firstLine="396" w:firstLineChars="200"/>
        <w:jc w:val="left"/>
        <w:rPr>
          <w:rFonts w:hint="eastAsia" w:ascii="宋体" w:hAnsi="宋体" w:eastAsia="宋体"/>
          <w:color w:val="auto"/>
          <w:spacing w:val="-6"/>
          <w:szCs w:val="21"/>
          <w:highlight w:val="none"/>
        </w:rPr>
      </w:pPr>
      <w:bookmarkStart w:id="46" w:name="_Hlk94018616"/>
      <w:r>
        <w:rPr>
          <w:rFonts w:hint="eastAsia" w:ascii="宋体" w:hAnsi="宋体" w:eastAsia="宋体"/>
          <w:color w:val="auto"/>
          <w:spacing w:val="-6"/>
          <w:szCs w:val="21"/>
          <w:highlight w:val="none"/>
        </w:rPr>
        <w:t>▲d.投标人仅递交备份投标文件而未将电子加密投标文件成功上传至政府采购云平台的，投标无效。</w:t>
      </w:r>
    </w:p>
    <w:bookmarkEnd w:id="46"/>
    <w:p w14:paraId="145AD8D4">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3）投标人应当在投标截止时间前完成投标文件的上传、递交，并可以补充、修改或者撤回投标文件。补充或者修改投标文件的，应当先行撤回原文件，补充、修改后重新上传、递交。投标截止时间前未完成上传、递交的，视为撤回投标文件。投标截止时间后上传、递交的投标文件，政府采购云平台及采购代理机构将予以拒收。</w:t>
      </w:r>
    </w:p>
    <w:p w14:paraId="428C18E5">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2</w:t>
      </w:r>
      <w:r>
        <w:rPr>
          <w:rFonts w:hint="eastAsia" w:ascii="宋体" w:hAnsi="宋体" w:eastAsia="宋体"/>
          <w:color w:val="auto"/>
          <w:spacing w:val="-6"/>
          <w:szCs w:val="21"/>
          <w:highlight w:val="none"/>
        </w:rPr>
        <w:t>.投标人因未在线参加开标而导致电子加密投标文件无法按时解密等一切后果由投标人自行承担。</w:t>
      </w:r>
    </w:p>
    <w:p w14:paraId="4EDA200D">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3</w:t>
      </w:r>
      <w:r>
        <w:rPr>
          <w:rFonts w:hint="eastAsia" w:ascii="宋体" w:hAnsi="宋体" w:eastAsia="宋体"/>
          <w:color w:val="auto"/>
          <w:spacing w:val="-6"/>
          <w:szCs w:val="21"/>
          <w:highlight w:val="none"/>
        </w:rPr>
        <w:t>.投标人应按照招标文件和政府采购云平台的要求，根据投标文件的组成规定的内容及顺序通过政采云电子交易客户端（政采云投标客户端）编制加密投标文件。</w:t>
      </w:r>
    </w:p>
    <w:p w14:paraId="0020A70E">
      <w:pPr>
        <w:adjustRightInd w:val="0"/>
        <w:snapToGrid w:val="0"/>
        <w:spacing w:line="288" w:lineRule="auto"/>
        <w:ind w:firstLine="422" w:firstLineChars="200"/>
        <w:jc w:val="left"/>
        <w:rPr>
          <w:rFonts w:hint="eastAsia" w:ascii="宋体" w:hAnsi="宋体" w:eastAsia="宋体"/>
          <w:b/>
          <w:bCs/>
          <w:color w:val="auto"/>
          <w:szCs w:val="21"/>
          <w:highlight w:val="none"/>
        </w:rPr>
      </w:pPr>
      <w:r>
        <w:rPr>
          <w:rFonts w:hint="eastAsia" w:ascii="宋体" w:hAnsi="宋体" w:eastAsia="宋体"/>
          <w:b/>
          <w:bCs/>
          <w:color w:val="auto"/>
          <w:szCs w:val="21"/>
          <w:highlight w:val="none"/>
        </w:rPr>
        <w:t>备注：投标人可通过浙江省“电子交易/不见面开评标”学习专题提前进行专题学习，熟悉操作，避免影响采购活动（</w:t>
      </w:r>
      <w:r>
        <w:rPr>
          <w:color w:val="auto"/>
          <w:highlight w:val="none"/>
        </w:rPr>
        <w:fldChar w:fldCharType="begin"/>
      </w:r>
      <w:r>
        <w:rPr>
          <w:color w:val="auto"/>
          <w:highlight w:val="none"/>
        </w:rPr>
        <w:instrText xml:space="preserve"> HYPERLINK "https://edu.zcygov.cn/luban/e-biding" </w:instrText>
      </w:r>
      <w:r>
        <w:rPr>
          <w:color w:val="auto"/>
          <w:highlight w:val="none"/>
        </w:rPr>
        <w:fldChar w:fldCharType="separate"/>
      </w:r>
      <w:r>
        <w:rPr>
          <w:rStyle w:val="31"/>
          <w:rFonts w:hint="eastAsia" w:ascii="宋体" w:hAnsi="宋体" w:eastAsia="宋体"/>
          <w:b/>
          <w:bCs/>
          <w:color w:val="auto"/>
          <w:szCs w:val="21"/>
          <w:highlight w:val="none"/>
        </w:rPr>
        <w:t>https://edu.zcygov.cn/luban/e-biding</w:t>
      </w:r>
      <w:r>
        <w:rPr>
          <w:rStyle w:val="31"/>
          <w:rFonts w:hint="eastAsia" w:ascii="宋体" w:hAnsi="宋体" w:eastAsia="宋体"/>
          <w:b/>
          <w:bCs/>
          <w:color w:val="auto"/>
          <w:szCs w:val="21"/>
          <w:highlight w:val="none"/>
        </w:rPr>
        <w:fldChar w:fldCharType="end"/>
      </w:r>
      <w:r>
        <w:rPr>
          <w:rFonts w:hint="eastAsia" w:ascii="宋体" w:hAnsi="宋体" w:eastAsia="宋体"/>
          <w:b/>
          <w:bCs/>
          <w:color w:val="auto"/>
          <w:szCs w:val="21"/>
          <w:highlight w:val="none"/>
        </w:rPr>
        <w:t>）。</w:t>
      </w:r>
    </w:p>
    <w:p w14:paraId="2F08D568">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（四）投标文件的语言及计量</w:t>
      </w:r>
    </w:p>
    <w:p w14:paraId="49478176">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投标文件以及投标人与采购人或采购代理机构就有关投标事宜的所有来往函电，均应以中文汉语书写。除签名、盖章、专用名称等特殊情形外，以中文汉语以外的文字表述的投标文件视同未提供（有中文汉语说明的除外）。</w:t>
      </w:r>
    </w:p>
    <w:p w14:paraId="26DD4513">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（五）投标报价</w:t>
      </w:r>
    </w:p>
    <w:p w14:paraId="588B55E7">
      <w:pPr>
        <w:adjustRightInd w:val="0"/>
        <w:snapToGrid w:val="0"/>
        <w:spacing w:line="288" w:lineRule="auto"/>
        <w:ind w:firstLine="420" w:firstLineChars="200"/>
        <w:rPr>
          <w:rFonts w:hint="eastAsia" w:ascii="宋体" w:hAnsi="宋体" w:eastAsia="宋体"/>
          <w:color w:val="auto"/>
          <w:szCs w:val="21"/>
          <w:highlight w:val="none"/>
        </w:rPr>
      </w:pPr>
      <w:bookmarkStart w:id="47" w:name="_Hlk94018664"/>
      <w:r>
        <w:rPr>
          <w:rFonts w:hint="eastAsia" w:ascii="宋体" w:hAnsi="宋体" w:eastAsia="宋体"/>
          <w:color w:val="auto"/>
          <w:szCs w:val="21"/>
          <w:highlight w:val="none"/>
        </w:rPr>
        <w:t>1.报价应按招标文件要求的格式编制、填写报价内容（可自行增行），未按招标文件要求编制、填写的投标文件可能被拒绝；</w:t>
      </w:r>
    </w:p>
    <w:p w14:paraId="17C31EEC">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2.以人民币报价；</w:t>
      </w:r>
    </w:p>
    <w:p w14:paraId="4528E9AB">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3.投标报价是履行合同的最终价格，有关本项目实施所涉及的一切费用均计入报价；总价不为零，分项报价中部分产品、服务单价为零的，视作已包含在总价中；</w:t>
      </w:r>
    </w:p>
    <w:p w14:paraId="789BD74C">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4.投标文件只允许有一个报价，有选择的报价将不予接受。</w:t>
      </w:r>
    </w:p>
    <w:p w14:paraId="0327EE7B">
      <w:pPr>
        <w:pStyle w:val="14"/>
        <w:adjustRightInd w:val="0"/>
        <w:snapToGrid w:val="0"/>
        <w:spacing w:before="0" w:beforeLines="0" w:after="0" w:afterLines="0" w:line="288" w:lineRule="auto"/>
        <w:ind w:firstLine="420" w:firstLineChars="200"/>
        <w:jc w:val="left"/>
        <w:rPr>
          <w:rFonts w:hint="eastAsia" w:hAnsi="宋体" w:eastAsia="宋体" w:cs="宋体"/>
          <w:color w:val="auto"/>
          <w:sz w:val="21"/>
          <w:szCs w:val="21"/>
          <w:highlight w:val="none"/>
        </w:rPr>
      </w:pPr>
      <w:r>
        <w:rPr>
          <w:rFonts w:hint="eastAsia" w:hAnsi="宋体" w:eastAsia="宋体" w:cs="宋体"/>
          <w:color w:val="auto"/>
          <w:sz w:val="21"/>
          <w:szCs w:val="21"/>
          <w:highlight w:val="none"/>
        </w:rPr>
        <w:t>▲5</w:t>
      </w:r>
      <w:r>
        <w:rPr>
          <w:rFonts w:hAnsi="宋体" w:eastAsia="宋体" w:cs="宋体"/>
          <w:color w:val="auto"/>
          <w:sz w:val="21"/>
          <w:szCs w:val="21"/>
          <w:highlight w:val="none"/>
        </w:rPr>
        <w:t>.</w:t>
      </w:r>
      <w:r>
        <w:rPr>
          <w:rFonts w:hint="eastAsia" w:hAnsi="宋体" w:eastAsia="宋体" w:cs="宋体"/>
          <w:color w:val="auto"/>
          <w:sz w:val="21"/>
          <w:szCs w:val="21"/>
          <w:highlight w:val="none"/>
        </w:rPr>
        <w:t>采购人将以合同形式有偿取得货物或服务，不接受投标人给予的赠品、回扣或者与采购无关的其他商品、服务</w:t>
      </w:r>
      <w:r>
        <w:rPr>
          <w:rFonts w:hAnsi="宋体" w:eastAsia="宋体" w:cs="宋体"/>
          <w:color w:val="auto"/>
          <w:sz w:val="21"/>
          <w:szCs w:val="21"/>
          <w:highlight w:val="none"/>
        </w:rPr>
        <w:t>。</w:t>
      </w:r>
    </w:p>
    <w:bookmarkEnd w:id="47"/>
    <w:p w14:paraId="58DE03B4">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（六）投标有效期</w:t>
      </w:r>
    </w:p>
    <w:p w14:paraId="20A9B595">
      <w:pPr>
        <w:pStyle w:val="14"/>
        <w:adjustRightInd w:val="0"/>
        <w:snapToGrid w:val="0"/>
        <w:spacing w:before="0" w:beforeLines="0" w:after="0" w:afterLines="0" w:line="288" w:lineRule="auto"/>
        <w:ind w:firstLine="396" w:firstLineChars="200"/>
        <w:jc w:val="left"/>
        <w:rPr>
          <w:rFonts w:hint="eastAsia" w:hAnsi="宋体" w:eastAsia="宋体"/>
          <w:color w:val="auto"/>
          <w:sz w:val="21"/>
          <w:szCs w:val="21"/>
          <w:highlight w:val="none"/>
        </w:rPr>
      </w:pPr>
      <w:r>
        <w:rPr>
          <w:rFonts w:hint="eastAsia" w:hAnsi="宋体" w:eastAsia="宋体"/>
          <w:color w:val="auto"/>
          <w:spacing w:val="-6"/>
          <w:sz w:val="21"/>
          <w:szCs w:val="21"/>
          <w:highlight w:val="none"/>
        </w:rPr>
        <w:t>▲从提交投标文件的截止之日起</w:t>
      </w:r>
      <w:r>
        <w:rPr>
          <w:rFonts w:hAnsi="宋体" w:eastAsia="宋体"/>
          <w:color w:val="auto"/>
          <w:spacing w:val="-6"/>
          <w:sz w:val="21"/>
          <w:szCs w:val="21"/>
          <w:highlight w:val="none"/>
        </w:rPr>
        <w:t>90天，在原投标有效期满之前，如果出现特殊情况，采购人或采购代理机构以书面形式通知投标人延长投标有效期。</w:t>
      </w:r>
    </w:p>
    <w:p w14:paraId="6A08B0CD">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5B8B8F46">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四、资格审查不通过、投标无效的情形</w:t>
      </w:r>
    </w:p>
    <w:p w14:paraId="52CBFBDD">
      <w:pPr>
        <w:adjustRightInd w:val="0"/>
        <w:snapToGrid w:val="0"/>
        <w:spacing w:line="288" w:lineRule="auto"/>
        <w:ind w:firstLine="420" w:firstLineChars="200"/>
        <w:rPr>
          <w:rFonts w:hint="eastAsia" w:ascii="宋体" w:hAnsi="宋体" w:eastAsia="宋体" w:cs="宋体"/>
          <w:color w:val="auto"/>
          <w:szCs w:val="21"/>
          <w:highlight w:val="none"/>
        </w:rPr>
      </w:pPr>
      <w:bookmarkStart w:id="48" w:name="_Hlk94018682"/>
      <w:r>
        <w:rPr>
          <w:rFonts w:hint="eastAsia" w:ascii="宋体" w:hAnsi="宋体" w:eastAsia="宋体" w:cs="宋体"/>
          <w:color w:val="auto"/>
          <w:szCs w:val="21"/>
          <w:highlight w:val="none"/>
        </w:rPr>
        <w:t>未响应招标文件“▲”标记条款要求的，投标无效。</w:t>
      </w:r>
    </w:p>
    <w:bookmarkEnd w:id="48"/>
    <w:p w14:paraId="00E03B00">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1</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在资格审查时，如发现下列情形之一的，投标人将被视为资格审查不通过：</w:t>
      </w:r>
    </w:p>
    <w:p w14:paraId="3704D82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资格证明</w:t>
      </w:r>
      <w:r>
        <w:rPr>
          <w:rFonts w:hint="eastAsia" w:ascii="宋体" w:hAnsi="宋体" w:eastAsia="宋体" w:cs="Times New Roman"/>
          <w:color w:val="auto"/>
          <w:spacing w:val="-6"/>
          <w:szCs w:val="21"/>
          <w:highlight w:val="none"/>
        </w:rPr>
        <w:t>材料</w:t>
      </w:r>
      <w:r>
        <w:rPr>
          <w:rFonts w:ascii="宋体" w:hAnsi="宋体" w:eastAsia="宋体" w:cs="Times New Roman"/>
          <w:color w:val="auto"/>
          <w:spacing w:val="-6"/>
          <w:szCs w:val="21"/>
          <w:highlight w:val="none"/>
        </w:rPr>
        <w:t>不全的，或者不符合</w:t>
      </w:r>
      <w:r>
        <w:rPr>
          <w:rFonts w:hint="eastAsia" w:ascii="宋体" w:hAnsi="宋体" w:eastAsia="宋体" w:cs="Times New Roman"/>
          <w:color w:val="auto"/>
          <w:spacing w:val="-6"/>
          <w:szCs w:val="21"/>
          <w:highlight w:val="none"/>
        </w:rPr>
        <w:t>招标</w:t>
      </w:r>
      <w:r>
        <w:rPr>
          <w:rFonts w:ascii="宋体" w:hAnsi="宋体" w:eastAsia="宋体" w:cs="Times New Roman"/>
          <w:color w:val="auto"/>
          <w:spacing w:val="-6"/>
          <w:szCs w:val="21"/>
          <w:highlight w:val="none"/>
        </w:rPr>
        <w:t>文件要求</w:t>
      </w:r>
      <w:r>
        <w:rPr>
          <w:rFonts w:hint="eastAsia" w:ascii="宋体" w:hAnsi="宋体" w:eastAsia="宋体" w:cs="Times New Roman"/>
          <w:color w:val="auto"/>
          <w:spacing w:val="-6"/>
          <w:szCs w:val="21"/>
          <w:highlight w:val="none"/>
        </w:rPr>
        <w:t>；</w:t>
      </w:r>
    </w:p>
    <w:p w14:paraId="7397879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w:t>
      </w:r>
      <w:r>
        <w:rPr>
          <w:rFonts w:hint="eastAsia" w:ascii="宋体" w:hAnsi="宋体" w:eastAsia="宋体" w:cs="Times New Roman"/>
          <w:color w:val="auto"/>
          <w:spacing w:val="-6"/>
          <w:szCs w:val="21"/>
          <w:highlight w:val="none"/>
        </w:rPr>
        <w:t>）投标人不具备招标文件中规定的资格要求；</w:t>
      </w:r>
    </w:p>
    <w:p w14:paraId="4055C1A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）资格</w:t>
      </w:r>
      <w:r>
        <w:rPr>
          <w:rFonts w:ascii="宋体" w:hAnsi="宋体" w:eastAsia="宋体" w:cs="Times New Roman"/>
          <w:color w:val="auto"/>
          <w:spacing w:val="-6"/>
          <w:szCs w:val="21"/>
          <w:highlight w:val="none"/>
        </w:rPr>
        <w:t>文件</w:t>
      </w:r>
      <w:r>
        <w:rPr>
          <w:rFonts w:hint="eastAsia" w:ascii="宋体" w:hAnsi="宋体" w:eastAsia="宋体" w:cs="Times New Roman"/>
          <w:color w:val="auto"/>
          <w:spacing w:val="-6"/>
          <w:szCs w:val="21"/>
          <w:highlight w:val="none"/>
        </w:rPr>
        <w:t>未按要求签署、盖章。</w:t>
      </w:r>
    </w:p>
    <w:p w14:paraId="27D321A3">
      <w:pPr>
        <w:adjustRightInd w:val="0"/>
        <w:snapToGrid w:val="0"/>
        <w:spacing w:line="288" w:lineRule="auto"/>
        <w:ind w:firstLine="398" w:firstLineChars="200"/>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2</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在符合</w:t>
      </w:r>
      <w:r>
        <w:rPr>
          <w:rFonts w:ascii="宋体" w:hAnsi="宋体" w:eastAsia="宋体" w:cs="Times New Roman"/>
          <w:b/>
          <w:color w:val="auto"/>
          <w:spacing w:val="-6"/>
          <w:szCs w:val="21"/>
          <w:highlight w:val="none"/>
        </w:rPr>
        <w:t>性审查、</w:t>
      </w:r>
      <w:r>
        <w:rPr>
          <w:rFonts w:hint="eastAsia" w:ascii="宋体" w:hAnsi="宋体" w:eastAsia="宋体" w:cs="Times New Roman"/>
          <w:b/>
          <w:color w:val="auto"/>
          <w:spacing w:val="-6"/>
          <w:szCs w:val="21"/>
          <w:highlight w:val="none"/>
        </w:rPr>
        <w:t>商务</w:t>
      </w:r>
      <w:r>
        <w:rPr>
          <w:rFonts w:ascii="宋体" w:hAnsi="宋体" w:eastAsia="宋体" w:cs="Times New Roman"/>
          <w:b/>
          <w:color w:val="auto"/>
          <w:spacing w:val="-6"/>
          <w:szCs w:val="21"/>
          <w:highlight w:val="none"/>
        </w:rPr>
        <w:t>和技术评审</w:t>
      </w:r>
      <w:r>
        <w:rPr>
          <w:rFonts w:hint="eastAsia" w:ascii="宋体" w:hAnsi="宋体" w:eastAsia="宋体" w:cs="Times New Roman"/>
          <w:b/>
          <w:color w:val="auto"/>
          <w:spacing w:val="-6"/>
          <w:szCs w:val="21"/>
          <w:highlight w:val="none"/>
        </w:rPr>
        <w:t>时，如发现下列情形之一的，投标文件将被视为无效：</w:t>
      </w:r>
    </w:p>
    <w:p w14:paraId="654A50C3">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（1）商务和技术文件未按要求签署、盖章；</w:t>
      </w:r>
    </w:p>
    <w:p w14:paraId="1C0576F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2）未提供或未按要求提供投标函、授权委托书；</w:t>
      </w:r>
    </w:p>
    <w:p w14:paraId="0D8C827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3）委托授权代表参加投标但未提供符合要求的授权代表社保缴纳证明；</w:t>
      </w:r>
    </w:p>
    <w:p w14:paraId="770862D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（4）未提供或未如实提供采购需求</w:t>
      </w:r>
      <w:r>
        <w:rPr>
          <w:rFonts w:ascii="宋体" w:hAnsi="宋体" w:eastAsia="宋体" w:cs="Times New Roman"/>
          <w:color w:val="auto"/>
          <w:spacing w:val="-6"/>
          <w:szCs w:val="21"/>
          <w:highlight w:val="none"/>
        </w:rPr>
        <w:t>偏离表；</w:t>
      </w:r>
    </w:p>
    <w:p w14:paraId="7D924A0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（5）明显不符合招标文件要求，或负偏离达到规定数目的，视为采购人不能接受的附加条件；</w:t>
      </w:r>
    </w:p>
    <w:p w14:paraId="6F3E3883">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6</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投标技术方案不明确，存在一个或一个以上备选（替代）投标方案；</w:t>
      </w:r>
    </w:p>
    <w:p w14:paraId="74FA0C8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7</w:t>
      </w:r>
      <w:r>
        <w:rPr>
          <w:rFonts w:hint="eastAsia" w:ascii="宋体" w:hAnsi="宋体" w:eastAsia="宋体" w:cs="Times New Roman"/>
          <w:color w:val="auto"/>
          <w:spacing w:val="-6"/>
          <w:szCs w:val="21"/>
          <w:highlight w:val="none"/>
        </w:rPr>
        <w:t>）投标文件含有采购人不能接受的附加条件；</w:t>
      </w:r>
    </w:p>
    <w:p w14:paraId="0F48D0C5">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8</w:t>
      </w:r>
      <w:r>
        <w:rPr>
          <w:rFonts w:hint="eastAsia" w:ascii="宋体" w:hAnsi="宋体" w:eastAsia="宋体" w:cs="Times New Roman"/>
          <w:color w:val="auto"/>
          <w:spacing w:val="-6"/>
          <w:szCs w:val="21"/>
          <w:highlight w:val="none"/>
        </w:rPr>
        <w:t>）法律、法规和招标文件规定的其他无效情形。</w:t>
      </w:r>
    </w:p>
    <w:p w14:paraId="1EAA31B6">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3</w:t>
      </w:r>
      <w:r>
        <w:rPr>
          <w:rFonts w:ascii="宋体" w:hAnsi="宋体" w:eastAsia="宋体" w:cs="Times New Roman"/>
          <w:b/>
          <w:color w:val="auto"/>
          <w:spacing w:val="-6"/>
          <w:szCs w:val="21"/>
          <w:highlight w:val="none"/>
        </w:rPr>
        <w:t>.在报价评审时，如发现下列情形之一的，投标文件将被视为无效：</w:t>
      </w:r>
    </w:p>
    <w:p w14:paraId="5C5059B7">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（1）报价</w:t>
      </w:r>
      <w:r>
        <w:rPr>
          <w:rFonts w:ascii="宋体" w:hAnsi="宋体" w:eastAsia="宋体" w:cs="Times New Roman"/>
          <w:color w:val="auto"/>
          <w:spacing w:val="-6"/>
          <w:szCs w:val="21"/>
          <w:highlight w:val="none"/>
        </w:rPr>
        <w:t>文件</w:t>
      </w:r>
      <w:r>
        <w:rPr>
          <w:rFonts w:hint="eastAsia" w:ascii="宋体" w:hAnsi="宋体" w:eastAsia="宋体" w:cs="Times New Roman"/>
          <w:color w:val="auto"/>
          <w:spacing w:val="-6"/>
          <w:szCs w:val="21"/>
          <w:highlight w:val="none"/>
        </w:rPr>
        <w:t>未按要求签署、盖章；</w:t>
      </w:r>
    </w:p>
    <w:p w14:paraId="01BF2B23">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）未按照招标文件标明的币种报价</w:t>
      </w:r>
      <w:r>
        <w:rPr>
          <w:rFonts w:hint="eastAsia" w:ascii="宋体" w:hAnsi="宋体" w:eastAsia="宋体" w:cs="Times New Roman"/>
          <w:color w:val="auto"/>
          <w:spacing w:val="-6"/>
          <w:szCs w:val="21"/>
          <w:highlight w:val="none"/>
        </w:rPr>
        <w:t>；</w:t>
      </w:r>
    </w:p>
    <w:p w14:paraId="1399D8E3">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报价</w:t>
      </w:r>
      <w:r>
        <w:rPr>
          <w:rFonts w:hint="eastAsia" w:ascii="宋体" w:hAnsi="宋体" w:eastAsia="宋体" w:cs="Times New Roman"/>
          <w:color w:val="auto"/>
          <w:spacing w:val="-6"/>
          <w:szCs w:val="21"/>
          <w:highlight w:val="none"/>
        </w:rPr>
        <w:t>内容有</w:t>
      </w:r>
      <w:r>
        <w:rPr>
          <w:rFonts w:ascii="宋体" w:hAnsi="宋体" w:eastAsia="宋体" w:cs="Times New Roman"/>
          <w:color w:val="auto"/>
          <w:spacing w:val="-6"/>
          <w:szCs w:val="21"/>
          <w:highlight w:val="none"/>
        </w:rPr>
        <w:t>缺漏项</w:t>
      </w:r>
      <w:r>
        <w:rPr>
          <w:rFonts w:hint="eastAsia" w:ascii="宋体" w:hAnsi="宋体" w:eastAsia="宋体" w:cs="Times New Roman"/>
          <w:color w:val="auto"/>
          <w:spacing w:val="-6"/>
          <w:szCs w:val="21"/>
          <w:highlight w:val="none"/>
        </w:rPr>
        <w:t>，或者</w:t>
      </w:r>
      <w:r>
        <w:rPr>
          <w:rFonts w:ascii="宋体" w:hAnsi="宋体" w:eastAsia="宋体" w:cs="Times New Roman"/>
          <w:color w:val="auto"/>
          <w:spacing w:val="-6"/>
          <w:szCs w:val="21"/>
          <w:highlight w:val="none"/>
        </w:rPr>
        <w:t>与招标文件要求不一致</w:t>
      </w:r>
      <w:r>
        <w:rPr>
          <w:rFonts w:hint="eastAsia" w:ascii="宋体" w:hAnsi="宋体" w:eastAsia="宋体" w:cs="Times New Roman"/>
          <w:color w:val="auto"/>
          <w:spacing w:val="-6"/>
          <w:szCs w:val="21"/>
          <w:highlight w:val="none"/>
        </w:rPr>
        <w:t>；</w:t>
      </w:r>
    </w:p>
    <w:p w14:paraId="44F0DE7B">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（4）报价超过招标文件中规定的预算金额或者最高限价；</w:t>
      </w:r>
    </w:p>
    <w:p w14:paraId="0B8091A6">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（5）报价具有选择性；</w:t>
      </w:r>
    </w:p>
    <w:p w14:paraId="4A865036">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9" w:name="_Hlk94018736"/>
      <w:r>
        <w:rPr>
          <w:rFonts w:hint="eastAsia" w:ascii="宋体" w:hAnsi="宋体" w:eastAsia="宋体" w:cs="Times New Roman"/>
          <w:color w:val="auto"/>
          <w:spacing w:val="-6"/>
          <w:szCs w:val="21"/>
          <w:highlight w:val="none"/>
        </w:rPr>
        <w:t>特别说明：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bookmarkEnd w:id="49"/>
    <w:p w14:paraId="03CEC2CE">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4</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有下列情形之一的，视为投标人串通投标，其投标无效：</w:t>
      </w:r>
    </w:p>
    <w:p w14:paraId="7DFCD720">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（1）不同投标人的投标文件由同一单位或者个人编制；</w:t>
      </w:r>
    </w:p>
    <w:p w14:paraId="491CC12B">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（2）不同投标人委托同一单位或者个人办理投标事宜；</w:t>
      </w:r>
    </w:p>
    <w:p w14:paraId="093753CC">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（3）不同投标人的投标文件载明的项目管理成员或者联系人员为同一人；</w:t>
      </w:r>
    </w:p>
    <w:p w14:paraId="18834165">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（4）不同投标人的投标文件异常一致或者投标报价呈规律性差异；</w:t>
      </w:r>
    </w:p>
    <w:p w14:paraId="56FCADCC">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（5）不同投标人的投标文件相互混装。</w:t>
      </w:r>
    </w:p>
    <w:p w14:paraId="6926D07A">
      <w:pPr>
        <w:widowControl/>
        <w:adjustRightInd w:val="0"/>
        <w:snapToGrid w:val="0"/>
        <w:spacing w:line="288" w:lineRule="auto"/>
        <w:ind w:firstLine="398" w:firstLineChars="200"/>
        <w:jc w:val="left"/>
        <w:rPr>
          <w:rFonts w:hint="eastAsia" w:ascii="宋体" w:hAnsi="宋体" w:eastAsia="宋体" w:cs="宋体"/>
          <w:b/>
          <w:bCs/>
          <w:color w:val="auto"/>
          <w:szCs w:val="21"/>
          <w:highlight w:val="none"/>
        </w:rPr>
      </w:pPr>
      <w:r>
        <w:rPr>
          <w:rFonts w:hint="eastAsia" w:ascii="宋体" w:hAnsi="宋体" w:eastAsia="宋体" w:cs="Times New Roman"/>
          <w:b/>
          <w:color w:val="auto"/>
          <w:spacing w:val="-6"/>
          <w:szCs w:val="21"/>
          <w:highlight w:val="none"/>
        </w:rPr>
        <w:t>5.</w:t>
      </w:r>
      <w:r>
        <w:rPr>
          <w:rFonts w:hint="eastAsia" w:ascii="宋体" w:hAnsi="宋体" w:eastAsia="宋体" w:cs="宋体"/>
          <w:b/>
          <w:bCs/>
          <w:color w:val="auto"/>
          <w:szCs w:val="21"/>
          <w:highlight w:val="none"/>
        </w:rPr>
        <w:t>参与同一个采购包（标项）的供应商存在下列情形之一且无法合理解释的，其投标文件无效：</w:t>
      </w:r>
    </w:p>
    <w:p w14:paraId="1E91B5B7">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（1）不同供应商的电子投标文件上传计算机的网卡MAC地址或硬盘序列号等硬件信息相同的；</w:t>
      </w:r>
    </w:p>
    <w:p w14:paraId="158B0D02">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（2）上传的电子投标文件若出现使用本项目其他投标供应商的数字证书加密的，或者加盖本项目其他投标供应商的电子印章的；</w:t>
      </w:r>
    </w:p>
    <w:p w14:paraId="467F4A08">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（3）不同供应商的投标文件的内容存在3处（含）以上错误一致的；</w:t>
      </w:r>
    </w:p>
    <w:p w14:paraId="24DEB51F">
      <w:pPr>
        <w:widowControl/>
        <w:adjustRightInd w:val="0"/>
        <w:snapToGrid w:val="0"/>
        <w:spacing w:line="288" w:lineRule="auto"/>
        <w:ind w:firstLine="420" w:firstLineChars="200"/>
        <w:jc w:val="left"/>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（4）不同供应商联系人为同一人或不同联系人的联系电话一致的。</w:t>
      </w:r>
    </w:p>
    <w:p w14:paraId="044C60B1">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r>
        <w:rPr>
          <w:rFonts w:hint="eastAsia" w:ascii="宋体" w:hAnsi="宋体" w:eastAsia="宋体" w:cs="Times New Roman"/>
          <w:b/>
          <w:color w:val="auto"/>
          <w:spacing w:val="-6"/>
          <w:szCs w:val="21"/>
          <w:highlight w:val="none"/>
        </w:rPr>
        <w:t>五、开  标</w:t>
      </w:r>
    </w:p>
    <w:p w14:paraId="17109C8D">
      <w:pPr>
        <w:pStyle w:val="100"/>
        <w:snapToGrid w:val="0"/>
        <w:spacing w:before="0" w:line="288" w:lineRule="auto"/>
        <w:ind w:left="0" w:firstLine="424" w:firstLineChars="201"/>
        <w:rPr>
          <w:rFonts w:hint="eastAsia" w:ascii="宋体" w:hAnsi="宋体"/>
          <w:color w:val="auto"/>
          <w:szCs w:val="21"/>
          <w:highlight w:val="none"/>
        </w:rPr>
      </w:pPr>
      <w:bookmarkStart w:id="50" w:name="_Hlk94018775"/>
      <w:r>
        <w:rPr>
          <w:rFonts w:hint="eastAsia" w:ascii="宋体" w:hAnsi="宋体" w:cs="仿宋_GB2312"/>
          <w:b/>
          <w:color w:val="auto"/>
          <w:szCs w:val="21"/>
          <w:highlight w:val="none"/>
        </w:rPr>
        <w:t>（一）</w:t>
      </w:r>
      <w:r>
        <w:rPr>
          <w:rFonts w:ascii="宋体" w:hAnsi="宋体" w:cs="仿宋_GB2312"/>
          <w:b/>
          <w:color w:val="auto"/>
          <w:szCs w:val="21"/>
          <w:highlight w:val="none"/>
        </w:rPr>
        <w:t>开标</w:t>
      </w:r>
    </w:p>
    <w:p w14:paraId="42B55A9F">
      <w:pPr>
        <w:pStyle w:val="100"/>
        <w:snapToGrid w:val="0"/>
        <w:spacing w:before="0" w:line="288" w:lineRule="auto"/>
        <w:ind w:left="0" w:firstLine="422" w:firstLineChars="201"/>
        <w:rPr>
          <w:rFonts w:hint="eastAsia" w:ascii="宋体" w:hAnsi="宋体" w:cs="仿宋_GB2312"/>
          <w:color w:val="auto"/>
          <w:szCs w:val="21"/>
          <w:highlight w:val="none"/>
        </w:rPr>
      </w:pPr>
      <w:r>
        <w:rPr>
          <w:rFonts w:hint="eastAsia" w:ascii="宋体" w:hAnsi="宋体" w:cs="仿宋_GB2312"/>
          <w:color w:val="auto"/>
          <w:szCs w:val="21"/>
          <w:highlight w:val="none"/>
        </w:rPr>
        <w:t>采购代理机构</w:t>
      </w:r>
      <w:r>
        <w:rPr>
          <w:rFonts w:ascii="宋体" w:hAnsi="宋体" w:cs="仿宋_GB2312"/>
          <w:color w:val="auto"/>
          <w:szCs w:val="21"/>
          <w:highlight w:val="none"/>
        </w:rPr>
        <w:t>按照招标文件规定的时间通过电子交易平台组织开标，所有投标人均应当准时在线参加。投标人不足3家的，不得开标。</w:t>
      </w:r>
    </w:p>
    <w:p w14:paraId="745E7A7D">
      <w:pPr>
        <w:pStyle w:val="100"/>
        <w:snapToGrid w:val="0"/>
        <w:spacing w:before="0" w:line="288" w:lineRule="auto"/>
        <w:ind w:left="0" w:firstLine="422" w:firstLineChars="201"/>
        <w:rPr>
          <w:rFonts w:hint="eastAsia" w:ascii="宋体" w:hAnsi="宋体" w:cs="仿宋_GB2312"/>
          <w:color w:val="auto"/>
          <w:szCs w:val="21"/>
          <w:highlight w:val="none"/>
        </w:rPr>
      </w:pPr>
      <w:r>
        <w:rPr>
          <w:rFonts w:ascii="宋体" w:hAnsi="宋体" w:cs="仿宋_GB2312"/>
          <w:color w:val="auto"/>
          <w:szCs w:val="21"/>
          <w:highlight w:val="none"/>
        </w:rPr>
        <w:t>开标时，电子交易平台按开标时间自动提取所有投标文件。</w:t>
      </w:r>
      <w:r>
        <w:rPr>
          <w:rFonts w:hint="eastAsia" w:ascii="宋体" w:hAnsi="宋体" w:cs="仿宋_GB2312"/>
          <w:color w:val="auto"/>
          <w:szCs w:val="21"/>
          <w:highlight w:val="none"/>
        </w:rPr>
        <w:t>采购人或代理</w:t>
      </w:r>
      <w:r>
        <w:rPr>
          <w:rFonts w:ascii="宋体" w:hAnsi="宋体" w:cs="仿宋_GB2312"/>
          <w:color w:val="auto"/>
          <w:szCs w:val="21"/>
          <w:highlight w:val="none"/>
        </w:rPr>
        <w:t>机构依托电子交易平台发起开始解密指令，投标人按照平台提示和招标文件的规定在半小时内完成在线解密。</w:t>
      </w:r>
    </w:p>
    <w:p w14:paraId="45954D59">
      <w:pPr>
        <w:adjustRightInd w:val="0"/>
        <w:snapToGrid w:val="0"/>
        <w:spacing w:line="288" w:lineRule="auto"/>
        <w:ind w:firstLine="422" w:firstLineChars="200"/>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投标文件未按时解密，投标人提供了备份投标文件的，以备份投标文件作为依据，否则视为投标文件撤回。投标文件已按时解密的，备份投标文件自动失效。</w:t>
      </w:r>
    </w:p>
    <w:p w14:paraId="47A366F9">
      <w:pPr>
        <w:widowControl/>
        <w:adjustRightInd w:val="0"/>
        <w:snapToGrid w:val="0"/>
        <w:spacing w:line="288" w:lineRule="auto"/>
        <w:ind w:firstLine="424" w:firstLineChars="201"/>
        <w:jc w:val="left"/>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（二）</w:t>
      </w:r>
      <w:r>
        <w:rPr>
          <w:rFonts w:ascii="宋体" w:hAnsi="宋体" w:eastAsia="宋体" w:cs="仿宋_GB2312"/>
          <w:b/>
          <w:color w:val="auto"/>
          <w:szCs w:val="21"/>
          <w:highlight w:val="none"/>
        </w:rPr>
        <w:t>资格审查</w:t>
      </w:r>
    </w:p>
    <w:p w14:paraId="6B340D33">
      <w:pPr>
        <w:adjustRightInd w:val="0"/>
        <w:snapToGrid w:val="0"/>
        <w:spacing w:line="288" w:lineRule="auto"/>
        <w:ind w:firstLine="422" w:firstLineChars="201"/>
        <w:rPr>
          <w:rFonts w:hint="eastAsia" w:ascii="宋体" w:hAnsi="宋体" w:eastAsia="宋体" w:cs="仿宋_GB2312"/>
          <w:color w:val="auto"/>
          <w:szCs w:val="21"/>
          <w:highlight w:val="none"/>
        </w:rPr>
      </w:pPr>
      <w:r>
        <w:rPr>
          <w:rFonts w:ascii="宋体" w:hAnsi="宋体" w:eastAsia="宋体" w:cs="Arial"/>
          <w:color w:val="auto"/>
          <w:kern w:val="0"/>
          <w:szCs w:val="21"/>
          <w:highlight w:val="none"/>
        </w:rPr>
        <w:t>开标后，</w:t>
      </w:r>
      <w:r>
        <w:rPr>
          <w:rFonts w:hint="eastAsia" w:ascii="宋体" w:hAnsi="宋体" w:eastAsia="宋体" w:cs="仿宋_GB2312"/>
          <w:color w:val="auto"/>
          <w:szCs w:val="21"/>
          <w:highlight w:val="none"/>
        </w:rPr>
        <w:t>采购人或采购代理机构依据法律法规和招标文件的规定，对投标人的资格条件进行审查。</w:t>
      </w:r>
    </w:p>
    <w:p w14:paraId="5F683B83">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仿宋_GB2312"/>
          <w:color w:val="auto"/>
          <w:sz w:val="21"/>
          <w:szCs w:val="21"/>
          <w:highlight w:val="none"/>
        </w:rPr>
        <w:t>对未通过资格审查的投标人，采购人或</w:t>
      </w:r>
      <w:r>
        <w:rPr>
          <w:rFonts w:hint="eastAsia" w:ascii="宋体" w:hAnsi="宋体" w:cs="仿宋_GB2312"/>
          <w:color w:val="auto"/>
          <w:sz w:val="21"/>
          <w:szCs w:val="21"/>
          <w:highlight w:val="none"/>
        </w:rPr>
        <w:t>采购代理机构</w:t>
      </w:r>
      <w:r>
        <w:rPr>
          <w:rFonts w:ascii="宋体" w:hAnsi="宋体" w:cs="仿宋_GB2312"/>
          <w:color w:val="auto"/>
          <w:sz w:val="21"/>
          <w:szCs w:val="21"/>
          <w:highlight w:val="none"/>
        </w:rPr>
        <w:t>告知其未通过的原因。</w:t>
      </w:r>
    </w:p>
    <w:p w14:paraId="58E8A4AA">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仿宋_GB2312"/>
          <w:color w:val="auto"/>
          <w:sz w:val="21"/>
          <w:szCs w:val="21"/>
          <w:highlight w:val="none"/>
        </w:rPr>
        <w:t>通过资格审查的投标人不足3家的，不再评标。</w:t>
      </w:r>
    </w:p>
    <w:p w14:paraId="63776EF7">
      <w:pPr>
        <w:pStyle w:val="99"/>
        <w:adjustRightInd w:val="0"/>
        <w:snapToGrid w:val="0"/>
        <w:spacing w:before="0" w:line="288" w:lineRule="auto"/>
        <w:ind w:firstLine="424" w:firstLineChars="201"/>
        <w:rPr>
          <w:rFonts w:hint="eastAsia" w:ascii="宋体" w:hAnsi="宋体" w:cs="仿宋_GB2312"/>
          <w:b/>
          <w:color w:val="auto"/>
          <w:sz w:val="21"/>
          <w:szCs w:val="21"/>
          <w:highlight w:val="none"/>
        </w:rPr>
      </w:pPr>
      <w:r>
        <w:rPr>
          <w:rFonts w:hint="eastAsia" w:ascii="宋体" w:hAnsi="宋体" w:cs="仿宋_GB2312"/>
          <w:b/>
          <w:color w:val="auto"/>
          <w:sz w:val="21"/>
          <w:szCs w:val="21"/>
          <w:highlight w:val="none"/>
        </w:rPr>
        <w:t>（三）</w:t>
      </w:r>
      <w:r>
        <w:rPr>
          <w:rFonts w:ascii="宋体" w:hAnsi="宋体" w:cs="仿宋_GB2312"/>
          <w:b/>
          <w:color w:val="auto"/>
          <w:sz w:val="21"/>
          <w:szCs w:val="21"/>
          <w:highlight w:val="none"/>
        </w:rPr>
        <w:t>信用信息查询</w:t>
      </w:r>
    </w:p>
    <w:p w14:paraId="17ECA8DF">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根据财库</w:t>
      </w:r>
      <w:r>
        <w:rPr>
          <w:rFonts w:ascii="宋体" w:hAnsi="宋体" w:cs="Arial"/>
          <w:color w:val="auto"/>
          <w:kern w:val="0"/>
          <w:sz w:val="21"/>
          <w:szCs w:val="21"/>
          <w:highlight w:val="none"/>
        </w:rPr>
        <w:t>[2016]125号《关于在政府采购活动中查询及使用信用记录有关问题的通知》要求，采购代理机构会对投标人信用记录进行查询并甄别。信用信息查询的截止时点：投标截止时间；</w:t>
      </w:r>
    </w:p>
    <w:p w14:paraId="15066824">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1）查询渠道：“信用中国”（www.creditchina.gov.cn）、“中国政府采购网”（www.ccgp.gov.cn）；</w:t>
      </w:r>
    </w:p>
    <w:p w14:paraId="1FCF0A4D">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2）信用信息查询记录和证据留存具体方式：采购代理机构经办人和监督人员将查询网页打印、签名与其他采购文件一并保存；</w:t>
      </w:r>
    </w:p>
    <w:p w14:paraId="2548754F">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3）信用信息的使用规则：投标人被列入失信被执行人、重大税收违法案件当事人名单、政府采购严重违法失信行为记录名单的，拒绝其参与政府采购活动。</w:t>
      </w:r>
    </w:p>
    <w:p w14:paraId="1A9D38E7">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Arial"/>
          <w:color w:val="auto"/>
          <w:kern w:val="0"/>
          <w:sz w:val="21"/>
          <w:szCs w:val="21"/>
          <w:highlight w:val="none"/>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仿宋_GB2312"/>
          <w:color w:val="auto"/>
          <w:sz w:val="21"/>
          <w:szCs w:val="21"/>
          <w:highlight w:val="none"/>
        </w:rPr>
        <w:t>。</w:t>
      </w:r>
    </w:p>
    <w:p w14:paraId="57785E73">
      <w:pPr>
        <w:adjustRightInd w:val="0"/>
        <w:snapToGrid w:val="0"/>
        <w:spacing w:line="288" w:lineRule="auto"/>
        <w:ind w:firstLine="398" w:firstLineChars="200"/>
        <w:rPr>
          <w:rFonts w:hint="eastAsia" w:ascii="宋体" w:hAnsi="宋体" w:eastAsia="宋体" w:cs="Times New Roman"/>
          <w:b/>
          <w:bCs/>
          <w:color w:val="auto"/>
          <w:spacing w:val="-6"/>
          <w:szCs w:val="21"/>
          <w:highlight w:val="none"/>
        </w:rPr>
      </w:pPr>
    </w:p>
    <w:p w14:paraId="64F5A24E">
      <w:pPr>
        <w:adjustRightInd w:val="0"/>
        <w:snapToGrid w:val="0"/>
        <w:spacing w:line="288" w:lineRule="auto"/>
        <w:ind w:firstLine="398" w:firstLineChars="200"/>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特别说明：如遇政府采购云平台电子化开标或评审程序调整的，按调整后程序执行。</w:t>
      </w:r>
    </w:p>
    <w:bookmarkEnd w:id="50"/>
    <w:p w14:paraId="37B25C66">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r>
        <w:rPr>
          <w:rFonts w:hint="eastAsia" w:ascii="宋体" w:hAnsi="宋体" w:eastAsia="宋体" w:cs="Times New Roman"/>
          <w:b/>
          <w:color w:val="auto"/>
          <w:spacing w:val="-6"/>
          <w:szCs w:val="21"/>
          <w:highlight w:val="none"/>
        </w:rPr>
        <w:t>六、评  标</w:t>
      </w:r>
    </w:p>
    <w:p w14:paraId="6E7C0E56">
      <w:pPr>
        <w:adjustRightInd w:val="0"/>
        <w:snapToGrid w:val="0"/>
        <w:spacing w:line="288" w:lineRule="auto"/>
        <w:ind w:firstLine="420" w:firstLineChars="200"/>
        <w:rPr>
          <w:rFonts w:hint="eastAsia" w:ascii="宋体" w:hAnsi="宋体" w:eastAsia="宋体" w:cs="宋体"/>
          <w:color w:val="auto"/>
          <w:kern w:val="0"/>
          <w:szCs w:val="21"/>
          <w:highlight w:val="none"/>
        </w:rPr>
      </w:pPr>
      <w:bookmarkStart w:id="51" w:name="_Hlk94018958"/>
      <w:r>
        <w:rPr>
          <w:rFonts w:ascii="宋体" w:hAnsi="宋体" w:eastAsia="宋体" w:cs="宋体"/>
          <w:color w:val="auto"/>
          <w:kern w:val="0"/>
          <w:szCs w:val="21"/>
          <w:highlight w:val="none"/>
        </w:rPr>
        <w:t>评标委员会成员应当按照客观、公正、审慎的原则，根据招标文件规定的评标程序、评标方法和评标标准进行独立评审。招标文件内容违反国家有关强制性规定的，评标委员会应当停止评标并向采购人或者采购代理机构说明情况。</w:t>
      </w:r>
    </w:p>
    <w:p w14:paraId="5E4C88A1">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ascii="宋体" w:hAnsi="宋体" w:eastAsia="宋体" w:cs="宋体"/>
          <w:color w:val="auto"/>
          <w:kern w:val="0"/>
          <w:szCs w:val="21"/>
          <w:highlight w:val="none"/>
        </w:rPr>
        <w:t>评标中因评标委员会成员缺席、回避或者健康等特殊原因导致评标委员会组成不符合规定的，依法补足后继续评标。被更换的评标委员会成员所作出的评标意见无效。</w:t>
      </w:r>
    </w:p>
    <w:bookmarkEnd w:id="51"/>
    <w:p w14:paraId="7360A9FD">
      <w:pPr>
        <w:adjustRightInd w:val="0"/>
        <w:snapToGrid w:val="0"/>
        <w:spacing w:line="288" w:lineRule="auto"/>
        <w:ind w:firstLine="426" w:firstLineChars="202"/>
        <w:rPr>
          <w:rFonts w:hint="eastAsia" w:ascii="宋体" w:hAnsi="宋体" w:eastAsia="宋体" w:cs="Arial"/>
          <w:b/>
          <w:color w:val="auto"/>
          <w:kern w:val="0"/>
          <w:szCs w:val="21"/>
          <w:highlight w:val="none"/>
        </w:rPr>
      </w:pPr>
      <w:bookmarkStart w:id="52" w:name="_Hlk94019000"/>
      <w:r>
        <w:rPr>
          <w:rFonts w:hint="eastAsia" w:ascii="宋体" w:hAnsi="宋体" w:eastAsia="宋体" w:cs="Arial"/>
          <w:b/>
          <w:color w:val="auto"/>
          <w:kern w:val="0"/>
          <w:szCs w:val="21"/>
          <w:highlight w:val="none"/>
        </w:rPr>
        <w:t>（一）</w:t>
      </w:r>
      <w:r>
        <w:rPr>
          <w:rFonts w:ascii="宋体" w:hAnsi="宋体" w:eastAsia="宋体" w:cs="Arial"/>
          <w:b/>
          <w:color w:val="auto"/>
          <w:kern w:val="0"/>
          <w:szCs w:val="21"/>
          <w:highlight w:val="none"/>
        </w:rPr>
        <w:t>符合性审查</w:t>
      </w:r>
    </w:p>
    <w:p w14:paraId="7501267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评标委员会对符合资格的投标人的投标文件进行符合性审查，以确定其是否满足招标文件的实质性要求。</w:t>
      </w:r>
      <w:r>
        <w:rPr>
          <w:rFonts w:hint="eastAsia" w:ascii="宋体" w:hAnsi="宋体" w:eastAsia="宋体" w:cs="Arial"/>
          <w:color w:val="auto"/>
          <w:kern w:val="0"/>
          <w:szCs w:val="21"/>
          <w:highlight w:val="none"/>
        </w:rPr>
        <w:t>不</w:t>
      </w:r>
      <w:r>
        <w:rPr>
          <w:rFonts w:ascii="宋体" w:hAnsi="宋体" w:eastAsia="宋体" w:cs="Arial"/>
          <w:color w:val="auto"/>
          <w:kern w:val="0"/>
          <w:szCs w:val="21"/>
          <w:highlight w:val="none"/>
        </w:rPr>
        <w:t>满足招标文件的实质性要求</w:t>
      </w:r>
      <w:r>
        <w:rPr>
          <w:rFonts w:hint="eastAsia" w:ascii="宋体" w:hAnsi="宋体" w:eastAsia="宋体" w:cs="Arial"/>
          <w:color w:val="auto"/>
          <w:kern w:val="0"/>
          <w:szCs w:val="21"/>
          <w:highlight w:val="none"/>
        </w:rPr>
        <w:t>的，投标无效。</w:t>
      </w:r>
    </w:p>
    <w:p w14:paraId="0BE53013">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（二）比较与评价</w:t>
      </w:r>
    </w:p>
    <w:p w14:paraId="2A3DBBE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评标委员会按照招标文件中规定的评标方法和标准，对符合性审查合格的投标文件进行商务和技术评估，综合比较与评价。</w:t>
      </w:r>
    </w:p>
    <w:p w14:paraId="45E657A8">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现场监督员如发现分值汇总计算错误、分项评分超出评分标准范围、客观评分不一致以及存在评分畸高、畸低情形的，应由相关人员当场改正或作出说明；拒不改正又不作说明的，由现场监督员如实记载后存入项目档案资料。</w:t>
      </w:r>
    </w:p>
    <w:p w14:paraId="042B965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（三）</w:t>
      </w:r>
      <w:r>
        <w:rPr>
          <w:rFonts w:ascii="宋体" w:hAnsi="宋体" w:eastAsia="宋体" w:cs="Arial"/>
          <w:b/>
          <w:color w:val="auto"/>
          <w:kern w:val="0"/>
          <w:szCs w:val="21"/>
          <w:highlight w:val="none"/>
        </w:rPr>
        <w:t>汇总商务技术得分</w:t>
      </w:r>
    </w:p>
    <w:p w14:paraId="2B879B8B">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评标委员会各成员独立对每个投标人的商务和技术文件进行评价，并汇总商务技术得分情况。</w:t>
      </w:r>
    </w:p>
    <w:p w14:paraId="59792AE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（四）</w:t>
      </w:r>
      <w:r>
        <w:rPr>
          <w:rFonts w:ascii="宋体" w:hAnsi="宋体" w:eastAsia="宋体" w:cs="Arial"/>
          <w:b/>
          <w:color w:val="auto"/>
          <w:kern w:val="0"/>
          <w:szCs w:val="21"/>
          <w:highlight w:val="none"/>
        </w:rPr>
        <w:t>报价评审</w:t>
      </w:r>
    </w:p>
    <w:p w14:paraId="4B7190B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政府采购云平台上传的电子投标文件报价与政府采购云平台录入报价不一致的，以上传的电子投标文件报价为准。</w:t>
      </w:r>
    </w:p>
    <w:p w14:paraId="6E863AD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ascii="宋体" w:hAnsi="宋体" w:eastAsia="宋体" w:cs="Arial"/>
          <w:b/>
          <w:color w:val="auto"/>
          <w:kern w:val="0"/>
          <w:szCs w:val="21"/>
          <w:highlight w:val="none"/>
        </w:rPr>
        <w:t>投标文件报价出现前后不一致的，按照下列规定修正：</w:t>
      </w:r>
    </w:p>
    <w:p w14:paraId="3E5F384B">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投标文件中开标一览表(报价表)内容与投标文件中相应内容不一致的，以开标一览表(报价表)为准；</w:t>
      </w:r>
    </w:p>
    <w:p w14:paraId="4F974FDB">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大写金额和小写金额不一致的，以大写金额为准；</w:t>
      </w:r>
    </w:p>
    <w:p w14:paraId="7FD7A680">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单价金额小数点或者百分比有明显错位的，以开标一览表的总价为准，并修改单价；</w:t>
      </w:r>
    </w:p>
    <w:p w14:paraId="0307DB1A">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总价金额与按单价汇总金额不一致的，以单价金额计算结果为准。</w:t>
      </w:r>
    </w:p>
    <w:p w14:paraId="69B32AFB">
      <w:pPr>
        <w:pStyle w:val="99"/>
        <w:adjustRightInd w:val="0"/>
        <w:snapToGrid w:val="0"/>
        <w:spacing w:before="0" w:line="288" w:lineRule="auto"/>
        <w:ind w:firstLine="424" w:firstLineChars="202"/>
        <w:rPr>
          <w:rFonts w:hint="eastAsia" w:ascii="宋体" w:hAnsi="宋体" w:eastAsia="宋体" w:cs="宋体"/>
          <w:color w:val="auto"/>
          <w:kern w:val="0"/>
          <w:sz w:val="21"/>
          <w:szCs w:val="21"/>
          <w:highlight w:val="none"/>
        </w:rPr>
      </w:pPr>
      <w:r>
        <w:rPr>
          <w:rFonts w:hint="eastAsia" w:ascii="宋体" w:hAnsi="宋体" w:cs="仿宋"/>
          <w:color w:val="auto"/>
          <w:kern w:val="0"/>
          <w:sz w:val="21"/>
          <w:szCs w:val="21"/>
          <w:highlight w:val="none"/>
        </w:rPr>
        <w:t>同时出现两种以上不一致的，按照前款规定的顺序修正。修正后的报价按照财政部第</w:t>
      </w:r>
      <w:r>
        <w:rPr>
          <w:rFonts w:ascii="宋体" w:hAnsi="宋体" w:cs="仿宋"/>
          <w:color w:val="auto"/>
          <w:kern w:val="0"/>
          <w:sz w:val="21"/>
          <w:szCs w:val="21"/>
          <w:highlight w:val="none"/>
        </w:rPr>
        <w:t>87号令《政府采购货物和服务招标投标管理办法》第五十一条第二款的规定“投标人的澄清、说明或者补正应当采用书面形式，并加盖公</w:t>
      </w:r>
      <w:r>
        <w:rPr>
          <w:rFonts w:hint="eastAsia" w:ascii="宋体" w:hAnsi="宋体" w:eastAsia="宋体" w:cs="宋体"/>
          <w:color w:val="auto"/>
          <w:kern w:val="0"/>
          <w:sz w:val="21"/>
          <w:szCs w:val="21"/>
          <w:highlight w:val="none"/>
        </w:rPr>
        <w:t>章，或者由投标人代表签名。投标人的澄清、说明或者补正不得超出投标文件的范围或者改变投标文件的实质性内容。”经投标人确认后产生约束力。投标人不确认的，其投标无效。</w:t>
      </w:r>
    </w:p>
    <w:p w14:paraId="27AE7649">
      <w:pPr>
        <w:widowControl/>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投标人收到修正确认文件后，在规定时间内未做出回复的，视为不确认。</w:t>
      </w:r>
    </w:p>
    <w:p w14:paraId="54B5FD62">
      <w:pPr>
        <w:widowControl/>
        <w:adjustRightInd w:val="0"/>
        <w:snapToGrid w:val="0"/>
        <w:spacing w:line="288" w:lineRule="auto"/>
        <w:ind w:firstLine="414" w:firstLineChars="200"/>
        <w:rPr>
          <w:rFonts w:hint="eastAsia" w:ascii="宋体" w:hAnsi="宋体" w:eastAsia="宋体" w:cs="宋体"/>
          <w:b/>
          <w:bCs/>
          <w:color w:val="auto"/>
          <w:spacing w:val="-2"/>
          <w:kern w:val="0"/>
          <w:szCs w:val="21"/>
          <w:highlight w:val="none"/>
          <w:shd w:val="clear" w:color="auto" w:fill="FFFFFF"/>
          <w:lang w:bidi="ar"/>
        </w:rPr>
      </w:pPr>
      <w:r>
        <w:rPr>
          <w:rFonts w:hint="eastAsia" w:ascii="宋体" w:hAnsi="宋体" w:eastAsia="宋体" w:cs="宋体"/>
          <w:b/>
          <w:bCs/>
          <w:color w:val="auto"/>
          <w:spacing w:val="-2"/>
          <w:kern w:val="0"/>
          <w:szCs w:val="21"/>
          <w:highlight w:val="none"/>
          <w:shd w:val="clear" w:color="auto" w:fill="FFFFFF"/>
          <w:lang w:bidi="ar"/>
        </w:rPr>
        <w:t>评审中出现下列情形之一的，评标委员会应当启动异常低价投标审查程序：</w:t>
      </w:r>
    </w:p>
    <w:p w14:paraId="5F80909E">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（一）投标报价低于全部通过符合性审查供应商投标报价平均值50%的，即投标报价&lt;全部通过符合性审查供应商投标报价平均值×50%；</w:t>
      </w:r>
    </w:p>
    <w:p w14:paraId="1E0F600C">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（二）投标报价低于通过符合性审查且报价次低供应商投标报价50%的，即投标报价&lt;通过符合性审查且报价次低供应商投标报价×50%；</w:t>
      </w:r>
    </w:p>
    <w:p w14:paraId="4EC949BE">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（三）投标报价低于采购项目最高限价45%的，即投标报价&lt;采购项目最高限价×45%；</w:t>
      </w:r>
    </w:p>
    <w:p w14:paraId="4C9D5AC4">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（四）其他评标委员会认为供应商报价过低，有可能影响产品质量或者不能诚信履约的情形。</w:t>
      </w:r>
    </w:p>
    <w:p w14:paraId="399A31C9">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评标委员会启动异常低价投标审查后，</w:t>
      </w:r>
      <w:r>
        <w:rPr>
          <w:rFonts w:hint="eastAsia" w:ascii="宋体" w:hAnsi="宋体" w:eastAsia="宋体" w:cs="宋体"/>
          <w:color w:val="auto"/>
          <w:spacing w:val="-2"/>
          <w:kern w:val="0"/>
          <w:szCs w:val="21"/>
          <w:highlight w:val="none"/>
          <w:u w:val="single"/>
          <w:shd w:val="clear" w:color="auto" w:fill="FFFFFF"/>
          <w:lang w:bidi="ar"/>
        </w:rPr>
        <w:t>应当要求相关供应商在评审现场合理的时间内提供书面说明及必要的证明材料，对投标价格作出解释。</w:t>
      </w:r>
      <w:r>
        <w:rPr>
          <w:rFonts w:hint="eastAsia" w:ascii="宋体" w:hAnsi="宋体" w:eastAsia="宋体" w:cs="宋体"/>
          <w:color w:val="auto"/>
          <w:spacing w:val="-2"/>
          <w:kern w:val="0"/>
          <w:szCs w:val="21"/>
          <w:highlight w:val="none"/>
          <w:shd w:val="clear" w:color="auto" w:fill="FFFFFF"/>
          <w:lang w:bidi="ar"/>
        </w:rPr>
        <w:t>书面说明、证明材料主要是</w:t>
      </w:r>
      <w:r>
        <w:rPr>
          <w:rFonts w:hint="eastAsia" w:ascii="宋体" w:hAnsi="宋体" w:eastAsia="宋体" w:cs="宋体"/>
          <w:b/>
          <w:bCs/>
          <w:color w:val="auto"/>
          <w:spacing w:val="-2"/>
          <w:kern w:val="0"/>
          <w:szCs w:val="21"/>
          <w:highlight w:val="none"/>
          <w:shd w:val="clear" w:color="auto" w:fill="FFFFFF"/>
          <w:lang w:bidi="ar"/>
        </w:rPr>
        <w:t>项目具体成本测算等与报价合理性相关的说明、材料</w:t>
      </w:r>
      <w:r>
        <w:rPr>
          <w:rFonts w:hint="eastAsia" w:ascii="宋体" w:hAnsi="宋体" w:eastAsia="宋体" w:cs="宋体"/>
          <w:color w:val="auto"/>
          <w:spacing w:val="-2"/>
          <w:kern w:val="0"/>
          <w:szCs w:val="21"/>
          <w:highlight w:val="none"/>
          <w:shd w:val="clear" w:color="auto" w:fill="FFFFFF"/>
          <w:lang w:bidi="ar"/>
        </w:rPr>
        <w:t>。</w:t>
      </w:r>
    </w:p>
    <w:p w14:paraId="1187E8CD">
      <w:pPr>
        <w:pStyle w:val="99"/>
        <w:adjustRightInd w:val="0"/>
        <w:snapToGrid w:val="0"/>
        <w:spacing w:before="0" w:line="288" w:lineRule="auto"/>
        <w:ind w:firstLine="416" w:firstLineChars="202"/>
        <w:rPr>
          <w:rFonts w:hint="eastAsia" w:ascii="宋体" w:hAnsi="宋体" w:cs="仿宋"/>
          <w:color w:val="auto"/>
          <w:kern w:val="0"/>
          <w:sz w:val="21"/>
          <w:szCs w:val="21"/>
          <w:highlight w:val="none"/>
        </w:rPr>
      </w:pPr>
      <w:r>
        <w:rPr>
          <w:rFonts w:hint="eastAsia" w:ascii="宋体" w:hAnsi="宋体" w:cs="宋体"/>
          <w:color w:val="auto"/>
          <w:spacing w:val="-2"/>
          <w:kern w:val="0"/>
          <w:sz w:val="21"/>
          <w:szCs w:val="21"/>
          <w:highlight w:val="none"/>
          <w:shd w:val="clear" w:color="auto" w:fill="FFFFFF"/>
          <w:lang w:bidi="ar"/>
        </w:rPr>
        <w:t>评标委员会应当</w:t>
      </w:r>
      <w:r>
        <w:rPr>
          <w:rFonts w:hint="eastAsia" w:ascii="宋体" w:hAnsi="宋体" w:cs="宋体"/>
          <w:color w:val="auto"/>
          <w:spacing w:val="-2"/>
          <w:kern w:val="0"/>
          <w:sz w:val="21"/>
          <w:szCs w:val="21"/>
          <w:highlight w:val="none"/>
          <w:u w:val="single"/>
          <w:shd w:val="clear" w:color="auto" w:fill="FFFFFF"/>
          <w:lang w:bidi="ar"/>
        </w:rPr>
        <w:t>结合同类产品在主要电商平台的价格、该行业当地薪资水平等情况，依据专业经验对报价合理性进行判断。</w:t>
      </w:r>
      <w:r>
        <w:rPr>
          <w:rFonts w:hint="eastAsia" w:ascii="宋体" w:hAnsi="宋体" w:cs="宋体"/>
          <w:color w:val="auto"/>
          <w:spacing w:val="-2"/>
          <w:kern w:val="0"/>
          <w:sz w:val="21"/>
          <w:szCs w:val="21"/>
          <w:highlight w:val="none"/>
          <w:shd w:val="clear" w:color="auto" w:fill="FFFFFF"/>
          <w:lang w:bidi="ar"/>
        </w:rPr>
        <w:t>如果投标供应商不提供书面说明、证明材料，或者提供的书面说明、证明材料不能证明其报价合理性的，应当将其作为无效投标处理。审查相关情况应当在评审报告中记录。</w:t>
      </w:r>
    </w:p>
    <w:p w14:paraId="2D9C70D8">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（五）投标人澄清、说明或者补正</w:t>
      </w:r>
    </w:p>
    <w:p w14:paraId="42AD0D5F">
      <w:pPr>
        <w:pStyle w:val="99"/>
        <w:adjustRightInd w:val="0"/>
        <w:snapToGrid w:val="0"/>
        <w:spacing w:before="0" w:line="288" w:lineRule="auto"/>
        <w:ind w:firstLine="424" w:firstLineChars="202"/>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19DD11C6">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投标人的书面澄清、说明或者补正无法通过政府采购云平台上传的，可在规定时间内（不少于半小时）通过指定的电子邮箱（zb02@qszb.net</w:t>
      </w:r>
      <w:r>
        <w:rPr>
          <w:rFonts w:ascii="宋体" w:hAnsi="宋体" w:eastAsia="宋体" w:cs="宋体"/>
          <w:color w:val="auto"/>
          <w:kern w:val="0"/>
          <w:szCs w:val="21"/>
          <w:highlight w:val="none"/>
        </w:rPr>
        <w:t>）或传真号码（0571-87666116）提交。</w:t>
      </w:r>
    </w:p>
    <w:p w14:paraId="1E29E5E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（六）排序与推荐</w:t>
      </w:r>
    </w:p>
    <w:p w14:paraId="145DDE7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评标方法：本项目评标方法是综合评分法，具体评标方法和评标标准详见“第四章：评标方法和评标标准”。</w:t>
      </w:r>
    </w:p>
    <w:p w14:paraId="566220E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本项目推荐1名中标候选人。</w:t>
      </w:r>
    </w:p>
    <w:p w14:paraId="6FA4CC20">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提供相同品牌产品且通过资格审查、符合性审查的不同投标人参加同一合同项下投标的，按一家投标人计算，评审后得分最高的同品牌投标人获得中标人推荐资格；评审得分相同的，按投标报价由低到高顺序排列。得分且投标报价相同的，由采购人确定一个投标人获得中标人推荐资格，其他同品牌投标人不作为中标候选人。</w:t>
      </w:r>
    </w:p>
    <w:p w14:paraId="32736C4F">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非单一产品采购项目，采购人应当根据采购项目技术构成、产品价格比重等合理确定核心产品，并在招标文件中载明。多家投标人提供的核心产品品牌相同的，按前款规定处理。</w:t>
      </w:r>
    </w:p>
    <w:p w14:paraId="0DFA96F0">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（七）</w:t>
      </w:r>
      <w:r>
        <w:rPr>
          <w:rFonts w:ascii="宋体" w:hAnsi="宋体" w:eastAsia="宋体" w:cs="Arial"/>
          <w:b/>
          <w:color w:val="auto"/>
          <w:kern w:val="0"/>
          <w:szCs w:val="21"/>
          <w:highlight w:val="none"/>
        </w:rPr>
        <w:t>编写评标报告</w:t>
      </w:r>
    </w:p>
    <w:p w14:paraId="142DD81C">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评标委员会根据全体评标成员签名的原始评标记录和评标结果编写评标报告。</w:t>
      </w:r>
      <w:r>
        <w:rPr>
          <w:rFonts w:hint="eastAsia" w:ascii="宋体" w:hAnsi="宋体" w:eastAsia="宋体" w:cs="Arial"/>
          <w:color w:val="auto"/>
          <w:kern w:val="0"/>
          <w:szCs w:val="21"/>
          <w:highlight w:val="none"/>
        </w:rPr>
        <w:t>评标委员会成员对需要共同认定的事项存在争议的，应当按照少数服从多数的原则作出结论。持不同意见的评标委员会成员应当在评标报告上签署不同意见及理由，否则视为同意评标报告。</w:t>
      </w:r>
    </w:p>
    <w:bookmarkEnd w:id="52"/>
    <w:p w14:paraId="29150FEB">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5A30CFBF">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七、中标与合同</w:t>
      </w:r>
    </w:p>
    <w:p w14:paraId="5604EB49">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（一）中标</w:t>
      </w:r>
    </w:p>
    <w:p w14:paraId="092833E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采购代理机构应当在评标结束后2个工作日内将评标报告送采购人。采购人应当自收到评标报告之日起5个工作日内，在评标报告确定的中标候选人名单中按顺序确定中标人，也可以书面授权评标委员会直接确定中标人。中标候选人并列的，由采购人确定中标人。</w:t>
      </w:r>
    </w:p>
    <w:p w14:paraId="66A11FC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2.采购代理机构自中标人确定之日起2个工作日内，公告中标结果，并发出中标通知书。</w:t>
      </w:r>
    </w:p>
    <w:p w14:paraId="01FFF8C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3.评标结果公示媒体：浙江政府采购网（http://zfcg.czt.zj.gov.cn）。</w:t>
      </w:r>
    </w:p>
    <w:p w14:paraId="2041FD23">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（二）合同</w:t>
      </w:r>
    </w:p>
    <w:p w14:paraId="2FFB9B0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采购人应当自中标通知书发出之日起30日内，按照招标文件和中标人投标文件的规定，与中标人签订书面合同。所签订的合同不得对招标文件确定的事项和中标人投标文件作实质性修改。采购人不得向中标人提出任何不合理的要求作为签订合同的条件。</w:t>
      </w:r>
    </w:p>
    <w:p w14:paraId="4E3E92C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中标后无正当理由拒不与采购人签订政府采购合同，将被取消中标资格，并处以采购金额千分之五以上千分之十以下的罚款，由政府采购监督管理部门列入不良行为记录名单，在一至三年内禁止参加政府采购活动，有违法所得的，并处没收违法所得，情节严重的，由工商行政管理机关吊销营业执照。</w:t>
      </w:r>
    </w:p>
    <w:p w14:paraId="61571A1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41282C47">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八、</w:t>
      </w:r>
      <w:r>
        <w:rPr>
          <w:rFonts w:ascii="宋体" w:hAnsi="宋体" w:eastAsia="宋体" w:cs="Times New Roman"/>
          <w:b/>
          <w:color w:val="auto"/>
          <w:spacing w:val="-6"/>
          <w:szCs w:val="21"/>
          <w:highlight w:val="none"/>
        </w:rPr>
        <w:t>验</w:t>
      </w:r>
      <w:r>
        <w:rPr>
          <w:rFonts w:hint="eastAsia" w:ascii="宋体" w:hAnsi="宋体" w:eastAsia="宋体" w:cs="Times New Roman"/>
          <w:b/>
          <w:color w:val="auto"/>
          <w:spacing w:val="-6"/>
          <w:szCs w:val="21"/>
          <w:highlight w:val="none"/>
        </w:rPr>
        <w:t xml:space="preserve"> </w:t>
      </w:r>
      <w:r>
        <w:rPr>
          <w:rFonts w:ascii="宋体" w:hAnsi="宋体" w:eastAsia="宋体" w:cs="Times New Roman"/>
          <w:b/>
          <w:color w:val="auto"/>
          <w:spacing w:val="-6"/>
          <w:szCs w:val="21"/>
          <w:highlight w:val="none"/>
        </w:rPr>
        <w:t xml:space="preserve"> 收</w:t>
      </w:r>
    </w:p>
    <w:p w14:paraId="4E601E13">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采购人组织对供应商履约的验收。大型或者复杂的政府采购项目，应当邀请国家认可的质量检测机构参加验收工作。验收方成员应当在验收书上签名，并承担相应的法律责任。如果发现与合同中要求不符，供应商须承担由此发生的一切损失和费用，并接受相应的处理。</w:t>
      </w:r>
    </w:p>
    <w:p w14:paraId="7B87E8B4">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采购人可以邀请参加本项目的其他投标人或者第三方机构参与验收。参与验收的投标人或者第三方机构的意见作为</w:t>
      </w:r>
      <w:r>
        <w:rPr>
          <w:rFonts w:hint="eastAsia" w:ascii="宋体" w:hAnsi="宋体" w:eastAsia="宋体" w:cs="Helvetica"/>
          <w:color w:val="auto"/>
          <w:kern w:val="0"/>
          <w:szCs w:val="21"/>
          <w:highlight w:val="none"/>
        </w:rPr>
        <w:t>验收书的参考资料一并存档。</w:t>
      </w:r>
    </w:p>
    <w:p w14:paraId="0591A705">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6BC80B9E">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31473844">
      <w:pPr>
        <w:tabs>
          <w:tab w:val="left" w:pos="0"/>
        </w:tabs>
        <w:adjustRightInd w:val="0"/>
        <w:snapToGrid w:val="0"/>
        <w:spacing w:line="288" w:lineRule="auto"/>
        <w:ind w:firstLine="400" w:firstLineChars="201"/>
        <w:rPr>
          <w:rFonts w:hint="eastAsia" w:ascii="宋体" w:hAnsi="宋体" w:eastAsia="宋体" w:cs="Times New Roman"/>
          <w:b/>
          <w:color w:val="auto"/>
          <w:spacing w:val="-6"/>
          <w:szCs w:val="21"/>
          <w:highlight w:val="none"/>
        </w:rPr>
      </w:pPr>
    </w:p>
    <w:p w14:paraId="073155E5">
      <w:pPr>
        <w:adjustRightInd w:val="0"/>
        <w:snapToGrid w:val="0"/>
        <w:spacing w:line="288" w:lineRule="auto"/>
        <w:ind w:firstLine="398" w:firstLineChars="200"/>
        <w:jc w:val="center"/>
        <w:outlineLvl w:val="1"/>
        <w:rPr>
          <w:rFonts w:hint="eastAsia" w:ascii="宋体" w:hAnsi="宋体" w:eastAsia="宋体" w:cs="Times New Roman"/>
          <w:color w:val="auto"/>
          <w:szCs w:val="21"/>
          <w:highlight w:val="none"/>
        </w:rPr>
      </w:pPr>
      <w:r>
        <w:rPr>
          <w:rFonts w:hint="eastAsia" w:ascii="宋体" w:hAnsi="宋体" w:eastAsia="宋体" w:cs="Times New Roman"/>
          <w:b/>
          <w:color w:val="auto"/>
          <w:spacing w:val="-6"/>
          <w:szCs w:val="21"/>
          <w:highlight w:val="none"/>
        </w:rPr>
        <w:t>九、可中止电子交易活动的情形</w:t>
      </w:r>
    </w:p>
    <w:p w14:paraId="3B7BD5F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采购过程中出现以下情形，导致电子交易平台无法正常运行，或者无法保证电子交易的公平、公正和安全时，采购代理机构可中止电子交易活动：</w:t>
      </w:r>
    </w:p>
    <w:p w14:paraId="3B2E864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1.电子交易平台发生故障而无法登录访问的；</w:t>
      </w:r>
    </w:p>
    <w:p w14:paraId="401E279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2.电子交易平台应用或数据库出现错误，不能进行正常操作的；</w:t>
      </w:r>
    </w:p>
    <w:p w14:paraId="7985A12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3.电子交易平台发现严重安全漏洞，有潜在泄密危险的；</w:t>
      </w:r>
    </w:p>
    <w:p w14:paraId="407DBC78">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4.病毒发作导致不能进行正常操作的；</w:t>
      </w:r>
    </w:p>
    <w:p w14:paraId="5356C8B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5.其他无法保证电子交易的公平、公正和安全的情况。</w:t>
      </w:r>
    </w:p>
    <w:p w14:paraId="367AFAB1">
      <w:pPr>
        <w:adjustRightInd w:val="0"/>
        <w:snapToGrid w:val="0"/>
        <w:spacing w:line="288" w:lineRule="auto"/>
        <w:ind w:firstLine="396" w:firstLineChars="200"/>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出现前款规定情形，不影响采购公平、公正性的，采购代理机构可以待上述情形消除后继续组织电子交易活动；影响或可能影响采购公平、公正性的，应当重新采购。</w:t>
      </w:r>
    </w:p>
    <w:p w14:paraId="47FB8D1E">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br w:type="page"/>
      </w:r>
    </w:p>
    <w:p w14:paraId="123821D0">
      <w:pPr>
        <w:adjustRightInd w:val="0"/>
        <w:snapToGrid w:val="0"/>
        <w:spacing w:line="288" w:lineRule="auto"/>
        <w:jc w:val="center"/>
        <w:outlineLvl w:val="0"/>
        <w:rPr>
          <w:rFonts w:hint="eastAsia" w:ascii="宋体" w:hAnsi="宋体" w:eastAsia="宋体" w:cs="Times New Roman"/>
          <w:b/>
          <w:color w:val="auto"/>
          <w:spacing w:val="-6"/>
          <w:sz w:val="32"/>
          <w:szCs w:val="32"/>
          <w:highlight w:val="none"/>
        </w:rPr>
      </w:pPr>
      <w:r>
        <w:rPr>
          <w:rFonts w:hint="eastAsia" w:ascii="宋体" w:hAnsi="宋体" w:eastAsia="宋体" w:cs="Times New Roman"/>
          <w:b/>
          <w:color w:val="auto"/>
          <w:sz w:val="32"/>
          <w:szCs w:val="32"/>
          <w:highlight w:val="none"/>
        </w:rPr>
        <w:t>第四章  评标方法和评标标准</w:t>
      </w:r>
    </w:p>
    <w:p w14:paraId="1B076B44">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一、评标方法</w:t>
      </w:r>
    </w:p>
    <w:p w14:paraId="290F7D3A">
      <w:pPr>
        <w:adjustRightInd w:val="0"/>
        <w:snapToGrid w:val="0"/>
        <w:spacing w:line="288" w:lineRule="auto"/>
        <w:ind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本次评标采用综合评分法，总分为100分。评分过程中采用四舍五入法，并保留小数2位。</w:t>
      </w:r>
    </w:p>
    <w:p w14:paraId="27312B4A">
      <w:pPr>
        <w:adjustRightInd w:val="0"/>
        <w:snapToGrid w:val="0"/>
        <w:spacing w:line="288" w:lineRule="auto"/>
        <w:ind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color w:val="auto"/>
          <w:spacing w:val="-6"/>
          <w:szCs w:val="21"/>
          <w:highlight w:val="none"/>
        </w:rPr>
        <w:t>投标人评标</w:t>
      </w:r>
      <w:r>
        <w:rPr>
          <w:rFonts w:hint="eastAsia" w:ascii="宋体" w:hAnsi="宋体" w:eastAsia="宋体" w:cs="Times New Roman"/>
          <w:bCs/>
          <w:color w:val="auto"/>
          <w:spacing w:val="-6"/>
          <w:szCs w:val="21"/>
          <w:highlight w:val="none"/>
        </w:rPr>
        <w:t>综合得分=商务分+技术分+价格分</w:t>
      </w:r>
    </w:p>
    <w:p w14:paraId="0FF8D19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bCs/>
          <w:color w:val="auto"/>
          <w:spacing w:val="-6"/>
          <w:szCs w:val="21"/>
          <w:highlight w:val="none"/>
        </w:rPr>
        <w:t>商务和技术分按照评标委员会成员的独立评分结果的算术平均分计算，计算公式为：商务分</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技术分=评标委员会所有成员评分合计数</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评标委员会组成人员数</w:t>
      </w:r>
    </w:p>
    <w:p w14:paraId="57166E7F">
      <w:pPr>
        <w:numPr>
          <w:ilvl w:val="0"/>
          <w:numId w:val="0"/>
        </w:num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lang w:val="en-US" w:eastAsia="zh-CN"/>
        </w:rPr>
        <w:t>二、</w:t>
      </w:r>
      <w:r>
        <w:rPr>
          <w:rFonts w:hint="eastAsia" w:ascii="宋体" w:hAnsi="宋体" w:eastAsia="宋体" w:cs="Times New Roman"/>
          <w:b/>
          <w:color w:val="auto"/>
          <w:spacing w:val="-6"/>
          <w:szCs w:val="21"/>
          <w:highlight w:val="none"/>
        </w:rPr>
        <w:t>评标标准</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7"/>
        <w:gridCol w:w="654"/>
        <w:gridCol w:w="7072"/>
      </w:tblGrid>
      <w:tr w14:paraId="7B944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767" w:type="dxa"/>
            <w:vAlign w:val="center"/>
          </w:tcPr>
          <w:p w14:paraId="216EC9C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bookmarkStart w:id="53" w:name="_Hlk201403104"/>
            <w:r>
              <w:rPr>
                <w:rFonts w:hint="eastAsia" w:ascii="宋体" w:hAnsi="宋体" w:eastAsia="宋体" w:cs="宋体"/>
                <w:b/>
                <w:bCs/>
                <w:color w:val="auto"/>
                <w:szCs w:val="21"/>
                <w:highlight w:val="none"/>
              </w:rPr>
              <w:t>评审因素</w:t>
            </w:r>
          </w:p>
        </w:tc>
        <w:tc>
          <w:tcPr>
            <w:tcW w:w="654" w:type="dxa"/>
            <w:vAlign w:val="center"/>
          </w:tcPr>
          <w:p w14:paraId="39E03C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分值</w:t>
            </w:r>
          </w:p>
        </w:tc>
        <w:tc>
          <w:tcPr>
            <w:tcW w:w="7072" w:type="dxa"/>
            <w:vAlign w:val="center"/>
          </w:tcPr>
          <w:p w14:paraId="4A21E58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评分细则</w:t>
            </w:r>
          </w:p>
        </w:tc>
      </w:tr>
      <w:tr w14:paraId="658E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3DDE0CDC">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价格分（30）</w:t>
            </w:r>
          </w:p>
        </w:tc>
      </w:tr>
      <w:tr w14:paraId="7ACE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1767" w:type="dxa"/>
            <w:vAlign w:val="center"/>
          </w:tcPr>
          <w:p w14:paraId="0C8B9C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投标报价</w:t>
            </w:r>
          </w:p>
        </w:tc>
        <w:tc>
          <w:tcPr>
            <w:tcW w:w="654" w:type="dxa"/>
            <w:vAlign w:val="center"/>
          </w:tcPr>
          <w:p w14:paraId="17239728">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30</w:t>
            </w:r>
          </w:p>
        </w:tc>
        <w:tc>
          <w:tcPr>
            <w:tcW w:w="7072" w:type="dxa"/>
            <w:vAlign w:val="center"/>
          </w:tcPr>
          <w:p w14:paraId="2F4E7778">
            <w:pPr>
              <w:keepNext w:val="0"/>
              <w:keepLines w:val="0"/>
              <w:suppressLineNumbers w:val="0"/>
              <w:adjustRightInd w:val="0"/>
              <w:snapToGrid w:val="0"/>
              <w:spacing w:before="0" w:beforeAutospacing="0" w:after="0" w:afterAutospacing="0" w:line="288" w:lineRule="auto"/>
              <w:ind w:left="0" w:right="0"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价格分采用低价优先法计算，即满足招标文件要求且投标价格最低的投标报价为评标基准价，其他投标人的价格分按照下列公式计算：</w:t>
            </w:r>
          </w:p>
          <w:p w14:paraId="442AD03E">
            <w:pPr>
              <w:keepNext w:val="0"/>
              <w:keepLines w:val="0"/>
              <w:suppressLineNumbers w:val="0"/>
              <w:adjustRightInd w:val="0"/>
              <w:snapToGrid w:val="0"/>
              <w:spacing w:before="0" w:beforeAutospacing="0" w:after="0" w:afterAutospacing="0" w:line="288" w:lineRule="auto"/>
              <w:ind w:left="0" w:right="0"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价格分=（评标基准价/投标报价）×30%×100</w:t>
            </w:r>
          </w:p>
        </w:tc>
      </w:tr>
      <w:tr w14:paraId="0D5A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63C28373">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商务分（</w:t>
            </w:r>
            <w:r>
              <w:rPr>
                <w:rFonts w:hint="eastAsia" w:ascii="宋体" w:hAnsi="宋体" w:eastAsia="宋体" w:cs="宋体"/>
                <w:b/>
                <w:bCs/>
                <w:color w:val="auto"/>
                <w:szCs w:val="21"/>
                <w:highlight w:val="none"/>
                <w:lang w:val="en-US" w:eastAsia="zh-CN"/>
              </w:rPr>
              <w:t>7</w:t>
            </w:r>
            <w:r>
              <w:rPr>
                <w:rFonts w:hint="eastAsia" w:ascii="宋体" w:hAnsi="宋体" w:eastAsia="宋体" w:cs="宋体"/>
                <w:b/>
                <w:bCs/>
                <w:color w:val="auto"/>
                <w:szCs w:val="21"/>
                <w:highlight w:val="none"/>
              </w:rPr>
              <w:t>）</w:t>
            </w:r>
          </w:p>
        </w:tc>
      </w:tr>
      <w:tr w14:paraId="380E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0117E5CC">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业绩</w:t>
            </w:r>
          </w:p>
        </w:tc>
        <w:tc>
          <w:tcPr>
            <w:tcW w:w="654" w:type="dxa"/>
            <w:vAlign w:val="center"/>
          </w:tcPr>
          <w:p w14:paraId="6E0C2615">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3</w:t>
            </w:r>
          </w:p>
        </w:tc>
        <w:tc>
          <w:tcPr>
            <w:tcW w:w="7072" w:type="dxa"/>
            <w:vAlign w:val="center"/>
          </w:tcPr>
          <w:p w14:paraId="44EE213B">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【客观分】投标人（或制造商）自202</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年1月1日以来（以合同签订时间为准）同类产品业绩（合同清单中包含阅览桌或写字桌或自习桌或其他同类型桌；阅览椅或写字椅或自习椅或其他同类型椅，同时提供完整合同扫描件、</w:t>
            </w:r>
            <w:r>
              <w:rPr>
                <w:rFonts w:hint="eastAsia" w:ascii="宋体" w:hAnsi="宋体" w:eastAsia="宋体" w:cs="宋体"/>
                <w:color w:val="auto"/>
                <w:szCs w:val="21"/>
                <w:highlight w:val="none"/>
                <w:lang w:val="en-US" w:eastAsia="zh-CN"/>
              </w:rPr>
              <w:t>合同对应</w:t>
            </w:r>
            <w:r>
              <w:rPr>
                <w:rFonts w:hint="eastAsia" w:ascii="宋体" w:hAnsi="宋体" w:eastAsia="宋体" w:cs="宋体"/>
                <w:color w:val="auto"/>
                <w:szCs w:val="21"/>
                <w:highlight w:val="none"/>
              </w:rPr>
              <w:t>发票扫描件</w:t>
            </w:r>
            <w:r>
              <w:rPr>
                <w:rFonts w:hint="eastAsia" w:ascii="宋体" w:hAnsi="宋体" w:eastAsia="宋体" w:cs="宋体"/>
                <w:color w:val="auto"/>
                <w:szCs w:val="21"/>
                <w:highlight w:val="none"/>
                <w:lang w:val="en-US" w:eastAsia="zh-CN"/>
              </w:rPr>
              <w:t>的视为1份有效业绩</w:t>
            </w:r>
            <w:r>
              <w:rPr>
                <w:rFonts w:hint="eastAsia" w:ascii="宋体" w:hAnsi="宋体" w:eastAsia="宋体" w:cs="宋体"/>
                <w:color w:val="auto"/>
                <w:szCs w:val="21"/>
                <w:highlight w:val="none"/>
              </w:rPr>
              <w:t>）：每提供1个业绩得1分，最高得3分。</w:t>
            </w:r>
          </w:p>
        </w:tc>
      </w:tr>
      <w:tr w14:paraId="38165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3083BC36">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投标人信誉</w:t>
            </w:r>
          </w:p>
        </w:tc>
        <w:tc>
          <w:tcPr>
            <w:tcW w:w="654" w:type="dxa"/>
            <w:vAlign w:val="center"/>
          </w:tcPr>
          <w:p w14:paraId="6AC13E53">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3</w:t>
            </w:r>
          </w:p>
        </w:tc>
        <w:tc>
          <w:tcPr>
            <w:tcW w:w="7072" w:type="dxa"/>
            <w:vAlign w:val="center"/>
          </w:tcPr>
          <w:p w14:paraId="26DAEBCB">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【客观分】投标人（或制造商）具有</w:t>
            </w:r>
            <w:r>
              <w:rPr>
                <w:rFonts w:hint="eastAsia" w:ascii="宋体" w:hAnsi="宋体" w:eastAsia="宋体" w:cs="宋体"/>
                <w:color w:val="auto"/>
                <w:szCs w:val="21"/>
                <w:highlight w:val="none"/>
                <w:lang w:val="en-US" w:eastAsia="zh-CN"/>
              </w:rPr>
              <w:t>有效的</w:t>
            </w:r>
            <w:r>
              <w:rPr>
                <w:rFonts w:hint="eastAsia" w:ascii="宋体" w:hAnsi="宋体" w:eastAsia="宋体" w:cs="宋体"/>
                <w:color w:val="auto"/>
                <w:szCs w:val="21"/>
                <w:highlight w:val="none"/>
              </w:rPr>
              <w:t>质量管理体系、环境管理体系、职业健康与安全管理体系认证证书的，每提供一份得1分，最多得3分（提供证书扫描件、国家认证认可监督管理委员会官网（http://www.cnca.gov.cn/）查询截图，不提供不得分）。</w:t>
            </w:r>
          </w:p>
        </w:tc>
      </w:tr>
      <w:tr w14:paraId="786CA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22088E02">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政策功能</w:t>
            </w:r>
          </w:p>
        </w:tc>
        <w:tc>
          <w:tcPr>
            <w:tcW w:w="654" w:type="dxa"/>
            <w:vAlign w:val="center"/>
          </w:tcPr>
          <w:p w14:paraId="3F83C115">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w:t>
            </w:r>
          </w:p>
        </w:tc>
        <w:tc>
          <w:tcPr>
            <w:tcW w:w="7072" w:type="dxa"/>
            <w:vAlign w:val="center"/>
          </w:tcPr>
          <w:p w14:paraId="43F600B1">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【客观分】投标产品属于品目清单范围且提供国家确定的认证机构出具的有效的环境标志产品认证证书（扫描件加盖公章）的得1分。</w:t>
            </w:r>
          </w:p>
        </w:tc>
      </w:tr>
      <w:tr w14:paraId="0E9FB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23008E42">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技术分（</w:t>
            </w:r>
            <w:r>
              <w:rPr>
                <w:rFonts w:hint="eastAsia" w:ascii="宋体" w:hAnsi="宋体" w:eastAsia="宋体" w:cs="宋体"/>
                <w:b/>
                <w:bCs/>
                <w:color w:val="auto"/>
                <w:szCs w:val="21"/>
                <w:highlight w:val="none"/>
                <w:lang w:val="en-US" w:eastAsia="zh-CN"/>
              </w:rPr>
              <w:t>63</w:t>
            </w:r>
            <w:r>
              <w:rPr>
                <w:rFonts w:hint="eastAsia" w:ascii="宋体" w:hAnsi="宋体" w:eastAsia="宋体" w:cs="宋体"/>
                <w:b/>
                <w:bCs/>
                <w:color w:val="auto"/>
                <w:szCs w:val="21"/>
                <w:highlight w:val="none"/>
              </w:rPr>
              <w:t>）</w:t>
            </w:r>
          </w:p>
        </w:tc>
      </w:tr>
      <w:tr w14:paraId="64F5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660C4A7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技术响应程度</w:t>
            </w:r>
          </w:p>
        </w:tc>
        <w:tc>
          <w:tcPr>
            <w:tcW w:w="654" w:type="dxa"/>
            <w:vAlign w:val="center"/>
          </w:tcPr>
          <w:p w14:paraId="51714F00">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lang w:val="en-US" w:eastAsia="zh-CN"/>
              </w:rPr>
            </w:pPr>
            <w:r>
              <w:rPr>
                <w:rFonts w:hint="eastAsia" w:ascii="宋体" w:hAnsi="宋体" w:eastAsia="宋体" w:cs="宋体"/>
                <w:b/>
                <w:bCs/>
                <w:color w:val="auto"/>
                <w:szCs w:val="21"/>
                <w:highlight w:val="none"/>
                <w:lang w:val="en-US" w:eastAsia="zh-CN"/>
              </w:rPr>
              <w:t>22</w:t>
            </w:r>
          </w:p>
        </w:tc>
        <w:tc>
          <w:tcPr>
            <w:tcW w:w="7072" w:type="dxa"/>
            <w:vAlign w:val="center"/>
          </w:tcPr>
          <w:p w14:paraId="36552E02">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w:t>
            </w:r>
          </w:p>
          <w:p w14:paraId="7934E158">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满足招标文件明确的全部技术条款要求的该项得满分；</w:t>
            </w:r>
          </w:p>
          <w:p w14:paraId="6E4FB040">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技术条款低于技术要求（负偏离）的每项扣</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分；</w:t>
            </w:r>
          </w:p>
          <w:p w14:paraId="68C7FAB5">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负偏离</w:t>
            </w:r>
            <w:r>
              <w:rPr>
                <w:rFonts w:hint="eastAsia" w:ascii="宋体" w:hAnsi="宋体" w:eastAsia="宋体" w:cs="宋体"/>
                <w:color w:val="auto"/>
                <w:szCs w:val="21"/>
                <w:highlight w:val="none"/>
                <w:lang w:val="en-US" w:eastAsia="zh-CN"/>
              </w:rPr>
              <w:t>11</w:t>
            </w:r>
            <w:r>
              <w:rPr>
                <w:rFonts w:hint="eastAsia" w:ascii="宋体" w:hAnsi="宋体" w:eastAsia="宋体" w:cs="宋体"/>
                <w:color w:val="auto"/>
                <w:szCs w:val="21"/>
                <w:highlight w:val="none"/>
              </w:rPr>
              <w:t>项及以上的视为采购人不能接受的附加条件。</w:t>
            </w:r>
          </w:p>
        </w:tc>
      </w:tr>
      <w:tr w14:paraId="018C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7" w:type="dxa"/>
            <w:vMerge w:val="restart"/>
            <w:vAlign w:val="center"/>
          </w:tcPr>
          <w:p w14:paraId="54E4ED8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技术方案</w:t>
            </w:r>
          </w:p>
        </w:tc>
        <w:tc>
          <w:tcPr>
            <w:tcW w:w="654" w:type="dxa"/>
            <w:vAlign w:val="center"/>
          </w:tcPr>
          <w:p w14:paraId="7D7575D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7072" w:type="dxa"/>
            <w:vAlign w:val="center"/>
          </w:tcPr>
          <w:p w14:paraId="6B747B27">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【主观分】</w:t>
            </w:r>
            <w:r>
              <w:rPr>
                <w:rFonts w:hint="eastAsia" w:ascii="宋体" w:hAnsi="宋体" w:eastAsia="宋体" w:cs="宋体"/>
                <w:color w:val="auto"/>
                <w:spacing w:val="-6"/>
                <w:szCs w:val="21"/>
                <w:highlight w:val="none"/>
                <w:lang w:bidi="ar"/>
              </w:rPr>
              <w:t>投标人整体项目实施方案的完整性、可行性、有效性，</w:t>
            </w:r>
            <w:r>
              <w:rPr>
                <w:rFonts w:hint="eastAsia" w:ascii="宋体" w:hAnsi="宋体" w:eastAsia="宋体" w:cs="宋体"/>
                <w:color w:val="auto"/>
                <w:szCs w:val="21"/>
                <w:highlight w:val="none"/>
                <w:lang w:bidi="ar"/>
              </w:rPr>
              <w:t>投标人具体项目技术团队，生产实施方案、品质管理管控过程等情况</w:t>
            </w:r>
            <w:r>
              <w:rPr>
                <w:rFonts w:hint="eastAsia" w:ascii="宋体" w:hAnsi="宋体" w:eastAsia="宋体" w:cs="宋体"/>
                <w:color w:val="auto"/>
                <w:spacing w:val="-6"/>
                <w:szCs w:val="21"/>
                <w:highlight w:val="none"/>
                <w:lang w:bidi="ar"/>
              </w:rPr>
              <w:t>（评分范围：5,4,3,2,1,0）。</w:t>
            </w:r>
          </w:p>
        </w:tc>
      </w:tr>
      <w:tr w14:paraId="5ABA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767" w:type="dxa"/>
            <w:vMerge w:val="continue"/>
            <w:vAlign w:val="center"/>
          </w:tcPr>
          <w:p w14:paraId="18D0F38B">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p>
        </w:tc>
        <w:tc>
          <w:tcPr>
            <w:tcW w:w="654" w:type="dxa"/>
            <w:vAlign w:val="center"/>
          </w:tcPr>
          <w:p w14:paraId="5FE5AAC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00399CCC">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【主观分】投标人针对本项目产品的整体深化设计情况，在满足采购需求的前提下，是否有进一步的设计深化（评分范围：3,2,1,0）。</w:t>
            </w:r>
          </w:p>
        </w:tc>
      </w:tr>
      <w:tr w14:paraId="50822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767" w:type="dxa"/>
            <w:vAlign w:val="center"/>
          </w:tcPr>
          <w:p w14:paraId="0DD6B7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主材整体情况</w:t>
            </w:r>
          </w:p>
        </w:tc>
        <w:tc>
          <w:tcPr>
            <w:tcW w:w="654" w:type="dxa"/>
            <w:vAlign w:val="center"/>
          </w:tcPr>
          <w:p w14:paraId="51BD734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3326ACA1">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【主观分】本项目产品所用主材整体情况，包括主材来源，主材环保性的保障措施（评分范围：3,2,1,0）。</w:t>
            </w:r>
          </w:p>
        </w:tc>
      </w:tr>
      <w:tr w14:paraId="67F51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7" w:type="dxa"/>
            <w:vAlign w:val="center"/>
          </w:tcPr>
          <w:p w14:paraId="7AAD6A9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拟投入设备</w:t>
            </w:r>
          </w:p>
        </w:tc>
        <w:tc>
          <w:tcPr>
            <w:tcW w:w="654" w:type="dxa"/>
            <w:vAlign w:val="center"/>
          </w:tcPr>
          <w:p w14:paraId="6DCDEB6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7072" w:type="dxa"/>
            <w:vAlign w:val="center"/>
          </w:tcPr>
          <w:p w14:paraId="66A4327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【客观分】投标</w:t>
            </w:r>
            <w:r>
              <w:rPr>
                <w:rFonts w:hint="eastAsia" w:ascii="宋体" w:hAnsi="宋体" w:eastAsia="宋体" w:cs="宋体"/>
                <w:color w:val="auto"/>
                <w:szCs w:val="21"/>
                <w:highlight w:val="none"/>
                <w:lang w:val="en-US" w:eastAsia="zh-CN" w:bidi="ar"/>
              </w:rPr>
              <w:t>人（或制造商）</w:t>
            </w:r>
            <w:r>
              <w:rPr>
                <w:rFonts w:hint="eastAsia" w:ascii="宋体" w:hAnsi="宋体" w:eastAsia="宋体" w:cs="宋体"/>
                <w:color w:val="auto"/>
                <w:szCs w:val="21"/>
                <w:highlight w:val="none"/>
                <w:lang w:bidi="ar"/>
              </w:rPr>
              <w:t>具有关键生产设备、环保设备和品质检测设备</w:t>
            </w:r>
            <w:r>
              <w:rPr>
                <w:rFonts w:hint="eastAsia" w:ascii="宋体" w:hAnsi="宋体" w:eastAsia="宋体" w:cs="宋体"/>
                <w:color w:val="auto"/>
                <w:szCs w:val="21"/>
                <w:highlight w:val="none"/>
                <w:lang w:val="en-US" w:eastAsia="zh-CN" w:bidi="ar"/>
              </w:rPr>
              <w:t>的（包括但不限于下列设备），每有1类得0.5分，最高得5分</w:t>
            </w:r>
            <w:r>
              <w:rPr>
                <w:rFonts w:hint="eastAsia" w:ascii="宋体" w:hAnsi="宋体" w:eastAsia="宋体" w:cs="宋体"/>
                <w:color w:val="auto"/>
                <w:szCs w:val="21"/>
                <w:highlight w:val="none"/>
                <w:lang w:bidi="ar"/>
              </w:rPr>
              <w:t>（提供设备购置发票扫描件或设备租赁发票扫描件，不提供不得分，同款设备不重复计分）：</w:t>
            </w:r>
          </w:p>
          <w:p w14:paraId="6FDD8E24">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电子开料锯、全自动直线封边机、全自动五面往复式喷涂机、数控钻孔中心、CNC加工中心、焊接机器人、粉末喷涂线、水性漆喷涂线、中央除尘设备、家具力学试验机、家具耐久性试验机、家具冲击跌落试验机、家具耐磨性试验机。</w:t>
            </w:r>
          </w:p>
        </w:tc>
      </w:tr>
      <w:tr w14:paraId="4811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2557469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安装调试</w:t>
            </w:r>
          </w:p>
        </w:tc>
        <w:tc>
          <w:tcPr>
            <w:tcW w:w="654" w:type="dxa"/>
            <w:vAlign w:val="center"/>
          </w:tcPr>
          <w:p w14:paraId="31D2C0C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78C9223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【主观分】安装、调试方法或方案的详细完整度、合理可行性（评分范围：3,2,1,0）。</w:t>
            </w:r>
          </w:p>
        </w:tc>
      </w:tr>
      <w:tr w14:paraId="3B514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7F0CC8D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交付检测</w:t>
            </w:r>
          </w:p>
        </w:tc>
        <w:tc>
          <w:tcPr>
            <w:tcW w:w="654" w:type="dxa"/>
            <w:vAlign w:val="center"/>
          </w:tcPr>
          <w:p w14:paraId="005C071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0671E4EE">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【主观分】货物交付时是否能够提供所有货物的成品检测报告、主材检测报告，采购人抽检显示的检测结果与投标人检测报告结果不一致时，投标人的针对性解决方案（评分范围：3,2,1,0）。</w:t>
            </w:r>
          </w:p>
        </w:tc>
      </w:tr>
      <w:tr w14:paraId="746E2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767" w:type="dxa"/>
            <w:vAlign w:val="center"/>
          </w:tcPr>
          <w:p w14:paraId="55AAE0ED">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售后服务</w:t>
            </w:r>
          </w:p>
        </w:tc>
        <w:tc>
          <w:tcPr>
            <w:tcW w:w="654" w:type="dxa"/>
            <w:vAlign w:val="center"/>
          </w:tcPr>
          <w:p w14:paraId="3A32BF52">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7072" w:type="dxa"/>
            <w:vAlign w:val="center"/>
          </w:tcPr>
          <w:p w14:paraId="3F44DAA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【主观分】投标人提供的详细完整的“三包”措施及售后服务措施和方案（包括服务措施、产品质量保证、回访、技术培训等）情况（评分范围：4,3,2,1,0）。</w:t>
            </w:r>
          </w:p>
        </w:tc>
      </w:tr>
      <w:tr w14:paraId="0F64B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1767" w:type="dxa"/>
            <w:vMerge w:val="restart"/>
            <w:vAlign w:val="center"/>
          </w:tcPr>
          <w:p w14:paraId="2FCAB1C7">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样品分</w:t>
            </w:r>
          </w:p>
        </w:tc>
        <w:tc>
          <w:tcPr>
            <w:tcW w:w="654" w:type="dxa"/>
            <w:vAlign w:val="center"/>
          </w:tcPr>
          <w:p w14:paraId="03CF685C">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7A4263C4">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【主观分】外观、尺寸、结构：外观、尺寸及整体效果；结构设计合理性、舒适性、环保性情况（评分范围：5,4,3,2,1,0）。</w:t>
            </w:r>
          </w:p>
        </w:tc>
      </w:tr>
      <w:tr w14:paraId="465B8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767" w:type="dxa"/>
            <w:vMerge w:val="continue"/>
            <w:vAlign w:val="center"/>
          </w:tcPr>
          <w:p w14:paraId="7910180F">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p>
        </w:tc>
        <w:tc>
          <w:tcPr>
            <w:tcW w:w="654" w:type="dxa"/>
            <w:vAlign w:val="center"/>
          </w:tcPr>
          <w:p w14:paraId="0E529A98">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3373E080">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【主观分】制作工艺及质量：外表结合处缝隙、配件结合处紧密程度；内部结构牢固程度；加工工艺水平（评分范围：5,4,3,2,1,0）。</w:t>
            </w:r>
          </w:p>
        </w:tc>
      </w:tr>
      <w:tr w14:paraId="352BC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1767" w:type="dxa"/>
            <w:vMerge w:val="continue"/>
            <w:vAlign w:val="center"/>
          </w:tcPr>
          <w:p w14:paraId="43B2A85B">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p>
        </w:tc>
        <w:tc>
          <w:tcPr>
            <w:tcW w:w="654" w:type="dxa"/>
            <w:vAlign w:val="center"/>
          </w:tcPr>
          <w:p w14:paraId="41AD57CC">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20CE33EA">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【主观分】配置、功能完整性与技术响应程度：材质质量与采购需求符合程度；配置、规格与采购需求符合程度（评分范围：5,4,3,2,1,0）。</w:t>
            </w:r>
          </w:p>
        </w:tc>
      </w:tr>
      <w:bookmarkEnd w:id="53"/>
    </w:tbl>
    <w:p w14:paraId="686566D3">
      <w:pPr>
        <w:adjustRightInd w:val="0"/>
        <w:snapToGrid w:val="0"/>
        <w:spacing w:line="288" w:lineRule="auto"/>
        <w:jc w:val="left"/>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说明</w:t>
      </w:r>
      <w:r>
        <w:rPr>
          <w:rFonts w:ascii="宋体" w:hAnsi="宋体" w:eastAsia="宋体" w:cs="Times New Roman"/>
          <w:b/>
          <w:color w:val="auto"/>
          <w:szCs w:val="21"/>
          <w:highlight w:val="none"/>
        </w:rPr>
        <w:t>：</w:t>
      </w:r>
      <w:r>
        <w:rPr>
          <w:rFonts w:hint="eastAsia" w:ascii="宋体" w:hAnsi="宋体" w:eastAsia="宋体" w:cs="Times New Roman"/>
          <w:b/>
          <w:color w:val="auto"/>
          <w:szCs w:val="21"/>
          <w:highlight w:val="none"/>
        </w:rPr>
        <w:t>本项目专门面向中小企业采购，不再执行价格评审优惠的扶持政策。</w:t>
      </w:r>
    </w:p>
    <w:p w14:paraId="3453036B">
      <w:pPr>
        <w:widowControl/>
        <w:adjustRightInd w:val="0"/>
        <w:snapToGrid w:val="0"/>
        <w:spacing w:line="288" w:lineRule="auto"/>
        <w:jc w:val="left"/>
        <w:rPr>
          <w:rFonts w:hint="eastAsia" w:ascii="宋体" w:hAnsi="宋体" w:eastAsia="宋体" w:cs="Times New Roman"/>
          <w:b/>
          <w:bCs/>
          <w:color w:val="auto"/>
          <w:spacing w:val="-6"/>
          <w:szCs w:val="21"/>
          <w:highlight w:val="none"/>
        </w:rPr>
      </w:pPr>
      <w:r>
        <w:rPr>
          <w:rFonts w:ascii="宋体" w:hAnsi="宋体" w:eastAsia="宋体" w:cs="Times New Roman"/>
          <w:b/>
          <w:bCs/>
          <w:color w:val="auto"/>
          <w:spacing w:val="-6"/>
          <w:szCs w:val="21"/>
          <w:highlight w:val="none"/>
        </w:rPr>
        <w:br w:type="page"/>
      </w:r>
    </w:p>
    <w:p w14:paraId="12A4AB5C">
      <w:pPr>
        <w:adjustRightInd w:val="0"/>
        <w:snapToGrid w:val="0"/>
        <w:spacing w:line="288" w:lineRule="auto"/>
        <w:jc w:val="center"/>
        <w:outlineLvl w:val="0"/>
        <w:rPr>
          <w:rFonts w:hint="eastAsia" w:ascii="宋体" w:hAnsi="宋体" w:eastAsia="宋体" w:cs="宋体"/>
          <w:b/>
          <w:bCs/>
          <w:color w:val="auto"/>
          <w:spacing w:val="-6"/>
          <w:sz w:val="32"/>
          <w:szCs w:val="32"/>
          <w:highlight w:val="none"/>
        </w:rPr>
      </w:pPr>
      <w:r>
        <w:rPr>
          <w:rFonts w:hint="eastAsia" w:ascii="宋体" w:hAnsi="宋体" w:eastAsia="宋体" w:cs="宋体"/>
          <w:b/>
          <w:color w:val="auto"/>
          <w:sz w:val="32"/>
          <w:szCs w:val="32"/>
          <w:highlight w:val="none"/>
        </w:rPr>
        <w:t>第五章  拟签订的合同文本</w:t>
      </w:r>
    </w:p>
    <w:p w14:paraId="3B8DB3C1">
      <w:pPr>
        <w:adjustRightInd w:val="0"/>
        <w:snapToGrid w:val="0"/>
        <w:spacing w:line="288" w:lineRule="auto"/>
        <w:rPr>
          <w:rFonts w:hint="eastAsia" w:ascii="宋体" w:hAnsi="宋体" w:eastAsia="宋体" w:cs="宋体"/>
          <w:b/>
          <w:color w:val="auto"/>
          <w:spacing w:val="-6"/>
          <w:szCs w:val="21"/>
          <w:highlight w:val="none"/>
        </w:rPr>
      </w:pPr>
    </w:p>
    <w:p w14:paraId="032DC66C">
      <w:pPr>
        <w:spacing w:line="288" w:lineRule="auto"/>
        <w:ind w:firstLine="562" w:firstLineChars="200"/>
        <w:jc w:val="center"/>
        <w:rPr>
          <w:rFonts w:hint="eastAsia" w:ascii="宋体" w:hAnsi="宋体" w:eastAsia="宋体" w:cs="宋体"/>
          <w:b/>
          <w:bCs/>
          <w:color w:val="auto"/>
          <w:kern w:val="0"/>
          <w:sz w:val="28"/>
          <w:szCs w:val="28"/>
          <w:highlight w:val="none"/>
        </w:rPr>
      </w:pPr>
      <w:r>
        <w:rPr>
          <w:rFonts w:hint="eastAsia" w:ascii="宋体" w:hAnsi="宋体" w:eastAsia="宋体" w:cs="宋体"/>
          <w:b/>
          <w:bCs/>
          <w:color w:val="auto"/>
          <w:kern w:val="0"/>
          <w:sz w:val="28"/>
          <w:szCs w:val="28"/>
          <w:highlight w:val="none"/>
        </w:rPr>
        <w:t>杭州电子科技大学采购合同（货物类）</w:t>
      </w:r>
    </w:p>
    <w:p w14:paraId="36ED2EDC">
      <w:pPr>
        <w:spacing w:line="288" w:lineRule="auto"/>
        <w:ind w:firstLine="420" w:firstLineChars="200"/>
        <w:jc w:val="right"/>
        <w:rPr>
          <w:rFonts w:hint="eastAsia" w:ascii="宋体" w:hAnsi="宋体" w:eastAsia="宋体" w:cs="宋体"/>
          <w:color w:val="auto"/>
          <w:kern w:val="0"/>
          <w:szCs w:val="20"/>
          <w:highlight w:val="none"/>
        </w:rPr>
      </w:pPr>
      <w:r>
        <w:rPr>
          <w:rFonts w:hint="eastAsia" w:ascii="宋体" w:hAnsi="宋体" w:eastAsia="宋体" w:cs="宋体"/>
          <w:color w:val="auto"/>
          <w:kern w:val="0"/>
          <w:szCs w:val="20"/>
          <w:highlight w:val="none"/>
        </w:rPr>
        <w:t xml:space="preserve">合同编号_________________ </w:t>
      </w:r>
    </w:p>
    <w:p w14:paraId="163AD724">
      <w:pPr>
        <w:spacing w:line="288" w:lineRule="auto"/>
        <w:ind w:firstLine="396" w:firstLineChars="20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确认书号：</w:t>
      </w:r>
    </w:p>
    <w:p w14:paraId="4A715020">
      <w:pPr>
        <w:spacing w:line="288" w:lineRule="auto"/>
        <w:ind w:firstLine="396" w:firstLineChars="200"/>
        <w:jc w:val="left"/>
        <w:rPr>
          <w:rFonts w:hint="eastAsia" w:ascii="宋体" w:hAnsi="宋体" w:eastAsia="宋体" w:cs="宋体"/>
          <w:color w:val="auto"/>
          <w:spacing w:val="-6"/>
          <w:kern w:val="0"/>
          <w:szCs w:val="21"/>
          <w:highlight w:val="none"/>
          <w:lang w:eastAsia="zh-CN"/>
        </w:rPr>
      </w:pPr>
      <w:r>
        <w:rPr>
          <w:rFonts w:hint="eastAsia" w:ascii="宋体" w:hAnsi="宋体" w:eastAsia="宋体" w:cs="宋体"/>
          <w:color w:val="auto"/>
          <w:spacing w:val="-6"/>
          <w:kern w:val="0"/>
          <w:szCs w:val="21"/>
          <w:highlight w:val="none"/>
        </w:rPr>
        <w:t>项目编号：</w:t>
      </w:r>
      <w:r>
        <w:rPr>
          <w:rFonts w:hint="eastAsia" w:ascii="宋体" w:hAnsi="宋体" w:eastAsia="宋体" w:cs="宋体"/>
          <w:color w:val="auto"/>
          <w:spacing w:val="-6"/>
          <w:kern w:val="0"/>
          <w:szCs w:val="21"/>
          <w:highlight w:val="none"/>
          <w:lang w:eastAsia="zh-CN"/>
        </w:rPr>
        <w:t>QSZBB250046ZHGK</w:t>
      </w:r>
    </w:p>
    <w:p w14:paraId="35211B3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甲方（采购人）：杭州电子科技大学  </w:t>
      </w:r>
    </w:p>
    <w:p w14:paraId="403591E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乙方（供应商）： </w:t>
      </w:r>
    </w:p>
    <w:p w14:paraId="2516D688">
      <w:pPr>
        <w:spacing w:line="288" w:lineRule="auto"/>
        <w:ind w:firstLine="396"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spacing w:val="-6"/>
          <w:kern w:val="0"/>
          <w:szCs w:val="21"/>
          <w:highlight w:val="none"/>
        </w:rPr>
        <w:t>采购代理机构（鉴证方）：</w:t>
      </w:r>
      <w:r>
        <w:rPr>
          <w:rFonts w:hint="eastAsia" w:ascii="宋体" w:hAnsi="宋体" w:eastAsia="宋体" w:cs="宋体"/>
          <w:color w:val="auto"/>
          <w:kern w:val="0"/>
          <w:szCs w:val="21"/>
          <w:highlight w:val="none"/>
        </w:rPr>
        <w:t xml:space="preserve">             </w:t>
      </w:r>
    </w:p>
    <w:p w14:paraId="5868DAB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为了保护甲乙双方合法权益，根据项目</w:t>
      </w:r>
      <w:r>
        <w:rPr>
          <w:rFonts w:hint="eastAsia" w:ascii="宋体" w:hAnsi="宋体" w:eastAsia="宋体" w:cs="宋体"/>
          <w:color w:val="auto"/>
          <w:kern w:val="0"/>
          <w:szCs w:val="21"/>
          <w:highlight w:val="none"/>
          <w:u w:val="single"/>
        </w:rPr>
        <w:t>图书馆公共学习空间家具采购</w:t>
      </w:r>
      <w:r>
        <w:rPr>
          <w:rFonts w:hint="eastAsia" w:ascii="宋体" w:hAnsi="宋体" w:eastAsia="宋体" w:cs="宋体"/>
          <w:color w:val="auto"/>
          <w:kern w:val="0"/>
          <w:szCs w:val="21"/>
          <w:highlight w:val="none"/>
        </w:rPr>
        <w:t>（项目编号</w:t>
      </w:r>
      <w:r>
        <w:rPr>
          <w:rFonts w:hint="eastAsia" w:ascii="宋体" w:hAnsi="宋体" w:eastAsia="宋体" w:cs="宋体"/>
          <w:color w:val="auto"/>
          <w:kern w:val="0"/>
          <w:szCs w:val="21"/>
          <w:highlight w:val="none"/>
          <w:u w:val="single"/>
          <w:lang w:eastAsia="zh-CN"/>
        </w:rPr>
        <w:t>QSZBB250046ZHGK</w:t>
      </w:r>
      <w:r>
        <w:rPr>
          <w:rFonts w:hint="eastAsia" w:ascii="宋体" w:hAnsi="宋体" w:eastAsia="宋体" w:cs="宋体"/>
          <w:color w:val="auto"/>
          <w:kern w:val="0"/>
          <w:szCs w:val="21"/>
          <w:highlight w:val="none"/>
        </w:rPr>
        <w:t>）</w:t>
      </w:r>
      <w:r>
        <w:rPr>
          <w:rFonts w:hint="eastAsia" w:ascii="宋体" w:hAnsi="宋体" w:eastAsia="宋体" w:cs="宋体"/>
          <w:color w:val="auto"/>
          <w:kern w:val="0"/>
          <w:szCs w:val="21"/>
          <w:highlight w:val="none"/>
          <w:u w:val="single"/>
        </w:rPr>
        <w:t>公开招标</w:t>
      </w:r>
      <w:r>
        <w:rPr>
          <w:rFonts w:hint="eastAsia" w:ascii="宋体" w:hAnsi="宋体" w:eastAsia="宋体" w:cs="宋体"/>
          <w:color w:val="auto"/>
          <w:kern w:val="0"/>
          <w:szCs w:val="21"/>
          <w:highlight w:val="none"/>
        </w:rPr>
        <w:t>的中标（成交）结果，签署本合同，以资共同遵守。</w:t>
      </w:r>
    </w:p>
    <w:p w14:paraId="70B6BD68">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一、采购货物与合同价格</w:t>
      </w:r>
    </w:p>
    <w:tbl>
      <w:tblPr>
        <w:tblStyle w:val="24"/>
        <w:tblW w:w="90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270"/>
        <w:gridCol w:w="3200"/>
        <w:gridCol w:w="720"/>
        <w:gridCol w:w="795"/>
        <w:gridCol w:w="1206"/>
        <w:gridCol w:w="1134"/>
      </w:tblGrid>
      <w:tr w14:paraId="4718C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3C65B6C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序号</w:t>
            </w:r>
          </w:p>
        </w:tc>
        <w:tc>
          <w:tcPr>
            <w:tcW w:w="1270" w:type="dxa"/>
            <w:tcBorders>
              <w:top w:val="single" w:color="auto" w:sz="4" w:space="0"/>
              <w:left w:val="single" w:color="auto" w:sz="4" w:space="0"/>
              <w:bottom w:val="single" w:color="auto" w:sz="4" w:space="0"/>
              <w:right w:val="single" w:color="auto" w:sz="4" w:space="0"/>
            </w:tcBorders>
            <w:vAlign w:val="center"/>
          </w:tcPr>
          <w:p w14:paraId="608E1AF1">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货物名称</w:t>
            </w:r>
          </w:p>
        </w:tc>
        <w:tc>
          <w:tcPr>
            <w:tcW w:w="3200" w:type="dxa"/>
            <w:tcBorders>
              <w:top w:val="single" w:color="auto" w:sz="4" w:space="0"/>
              <w:left w:val="single" w:color="auto" w:sz="4" w:space="0"/>
              <w:bottom w:val="single" w:color="auto" w:sz="4" w:space="0"/>
              <w:right w:val="single" w:color="auto" w:sz="4" w:space="0"/>
            </w:tcBorders>
            <w:vAlign w:val="center"/>
          </w:tcPr>
          <w:p w14:paraId="6CC144F3">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品牌、型号等</w:t>
            </w:r>
          </w:p>
        </w:tc>
        <w:tc>
          <w:tcPr>
            <w:tcW w:w="720" w:type="dxa"/>
            <w:tcBorders>
              <w:top w:val="single" w:color="auto" w:sz="4" w:space="0"/>
              <w:left w:val="single" w:color="auto" w:sz="4" w:space="0"/>
              <w:bottom w:val="single" w:color="auto" w:sz="4" w:space="0"/>
              <w:right w:val="single" w:color="auto" w:sz="4" w:space="0"/>
            </w:tcBorders>
            <w:vAlign w:val="center"/>
          </w:tcPr>
          <w:p w14:paraId="2B0232BF">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数量</w:t>
            </w:r>
          </w:p>
        </w:tc>
        <w:tc>
          <w:tcPr>
            <w:tcW w:w="795" w:type="dxa"/>
            <w:tcBorders>
              <w:top w:val="single" w:color="auto" w:sz="4" w:space="0"/>
              <w:left w:val="single" w:color="auto" w:sz="4" w:space="0"/>
              <w:bottom w:val="single" w:color="auto" w:sz="4" w:space="0"/>
              <w:right w:val="single" w:color="auto" w:sz="4" w:space="0"/>
            </w:tcBorders>
            <w:vAlign w:val="center"/>
          </w:tcPr>
          <w:p w14:paraId="0CB074BF">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单位</w:t>
            </w:r>
          </w:p>
        </w:tc>
        <w:tc>
          <w:tcPr>
            <w:tcW w:w="1206" w:type="dxa"/>
            <w:tcBorders>
              <w:top w:val="single" w:color="auto" w:sz="4" w:space="0"/>
              <w:left w:val="single" w:color="auto" w:sz="4" w:space="0"/>
              <w:bottom w:val="single" w:color="auto" w:sz="4" w:space="0"/>
              <w:right w:val="single" w:color="auto" w:sz="4" w:space="0"/>
            </w:tcBorders>
            <w:vAlign w:val="center"/>
          </w:tcPr>
          <w:p w14:paraId="32DBDC7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单价</w:t>
            </w:r>
          </w:p>
        </w:tc>
        <w:tc>
          <w:tcPr>
            <w:tcW w:w="1134" w:type="dxa"/>
            <w:tcBorders>
              <w:top w:val="single" w:color="auto" w:sz="4" w:space="0"/>
              <w:left w:val="single" w:color="auto" w:sz="4" w:space="0"/>
              <w:bottom w:val="single" w:color="auto" w:sz="4" w:space="0"/>
              <w:right w:val="single" w:color="auto" w:sz="4" w:space="0"/>
            </w:tcBorders>
            <w:vAlign w:val="center"/>
          </w:tcPr>
          <w:p w14:paraId="17B40542">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总价</w:t>
            </w:r>
          </w:p>
        </w:tc>
      </w:tr>
      <w:tr w14:paraId="5CEC3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1C46A59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p>
        </w:tc>
        <w:tc>
          <w:tcPr>
            <w:tcW w:w="1270" w:type="dxa"/>
            <w:tcBorders>
              <w:top w:val="single" w:color="auto" w:sz="4" w:space="0"/>
              <w:left w:val="single" w:color="auto" w:sz="4" w:space="0"/>
              <w:bottom w:val="single" w:color="auto" w:sz="4" w:space="0"/>
              <w:right w:val="single" w:color="auto" w:sz="4" w:space="0"/>
            </w:tcBorders>
            <w:vAlign w:val="center"/>
          </w:tcPr>
          <w:p w14:paraId="5BA7DE26">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3200" w:type="dxa"/>
            <w:tcBorders>
              <w:top w:val="single" w:color="auto" w:sz="4" w:space="0"/>
              <w:left w:val="single" w:color="auto" w:sz="4" w:space="0"/>
              <w:bottom w:val="single" w:color="auto" w:sz="4" w:space="0"/>
              <w:right w:val="single" w:color="auto" w:sz="4" w:space="0"/>
            </w:tcBorders>
          </w:tcPr>
          <w:p w14:paraId="0836FFB2">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品牌、型号、详细技术参数（技术参数可以合同附件方式提供）</w:t>
            </w:r>
          </w:p>
        </w:tc>
        <w:tc>
          <w:tcPr>
            <w:tcW w:w="720" w:type="dxa"/>
            <w:tcBorders>
              <w:top w:val="single" w:color="auto" w:sz="4" w:space="0"/>
              <w:left w:val="single" w:color="auto" w:sz="4" w:space="0"/>
              <w:bottom w:val="single" w:color="auto" w:sz="4" w:space="0"/>
              <w:right w:val="single" w:color="auto" w:sz="4" w:space="0"/>
            </w:tcBorders>
            <w:vAlign w:val="center"/>
          </w:tcPr>
          <w:p w14:paraId="19EF510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95" w:type="dxa"/>
            <w:tcBorders>
              <w:top w:val="single" w:color="auto" w:sz="4" w:space="0"/>
              <w:left w:val="single" w:color="auto" w:sz="4" w:space="0"/>
              <w:bottom w:val="single" w:color="auto" w:sz="4" w:space="0"/>
              <w:right w:val="single" w:color="auto" w:sz="4" w:space="0"/>
            </w:tcBorders>
            <w:vAlign w:val="center"/>
          </w:tcPr>
          <w:p w14:paraId="40FEBDE4">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06" w:type="dxa"/>
            <w:tcBorders>
              <w:top w:val="single" w:color="auto" w:sz="4" w:space="0"/>
              <w:left w:val="single" w:color="auto" w:sz="4" w:space="0"/>
              <w:bottom w:val="single" w:color="auto" w:sz="4" w:space="0"/>
              <w:right w:val="single" w:color="auto" w:sz="4" w:space="0"/>
            </w:tcBorders>
            <w:vAlign w:val="center"/>
          </w:tcPr>
          <w:p w14:paraId="7A692C9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1AEC4470">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r>
      <w:tr w14:paraId="7445B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75AFE163">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70" w:type="dxa"/>
            <w:tcBorders>
              <w:top w:val="single" w:color="auto" w:sz="4" w:space="0"/>
              <w:left w:val="single" w:color="auto" w:sz="4" w:space="0"/>
              <w:bottom w:val="single" w:color="auto" w:sz="4" w:space="0"/>
              <w:right w:val="single" w:color="auto" w:sz="4" w:space="0"/>
            </w:tcBorders>
            <w:vAlign w:val="center"/>
          </w:tcPr>
          <w:p w14:paraId="098C0276">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3200" w:type="dxa"/>
            <w:tcBorders>
              <w:top w:val="single" w:color="auto" w:sz="4" w:space="0"/>
              <w:left w:val="single" w:color="auto" w:sz="4" w:space="0"/>
              <w:bottom w:val="single" w:color="auto" w:sz="4" w:space="0"/>
              <w:right w:val="single" w:color="auto" w:sz="4" w:space="0"/>
            </w:tcBorders>
          </w:tcPr>
          <w:p w14:paraId="0441258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20" w:type="dxa"/>
            <w:tcBorders>
              <w:top w:val="single" w:color="auto" w:sz="4" w:space="0"/>
              <w:left w:val="single" w:color="auto" w:sz="4" w:space="0"/>
              <w:bottom w:val="single" w:color="auto" w:sz="4" w:space="0"/>
              <w:right w:val="single" w:color="auto" w:sz="4" w:space="0"/>
            </w:tcBorders>
            <w:vAlign w:val="center"/>
          </w:tcPr>
          <w:p w14:paraId="6B2AC0EA">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95" w:type="dxa"/>
            <w:tcBorders>
              <w:top w:val="single" w:color="auto" w:sz="4" w:space="0"/>
              <w:left w:val="single" w:color="auto" w:sz="4" w:space="0"/>
              <w:bottom w:val="single" w:color="auto" w:sz="4" w:space="0"/>
              <w:right w:val="single" w:color="auto" w:sz="4" w:space="0"/>
            </w:tcBorders>
            <w:vAlign w:val="center"/>
          </w:tcPr>
          <w:p w14:paraId="7B56F72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06" w:type="dxa"/>
            <w:tcBorders>
              <w:top w:val="single" w:color="auto" w:sz="4" w:space="0"/>
              <w:left w:val="single" w:color="auto" w:sz="4" w:space="0"/>
              <w:bottom w:val="single" w:color="auto" w:sz="4" w:space="0"/>
              <w:right w:val="single" w:color="auto" w:sz="4" w:space="0"/>
            </w:tcBorders>
            <w:vAlign w:val="center"/>
          </w:tcPr>
          <w:p w14:paraId="6B0BB32A">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6BC2A818">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r>
      <w:tr w14:paraId="07CEC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35" w:type="dxa"/>
            <w:gridSpan w:val="7"/>
            <w:tcBorders>
              <w:top w:val="single" w:color="auto" w:sz="4" w:space="0"/>
              <w:left w:val="single" w:color="auto" w:sz="4" w:space="0"/>
              <w:bottom w:val="single" w:color="auto" w:sz="4" w:space="0"/>
              <w:right w:val="single" w:color="auto" w:sz="4" w:space="0"/>
            </w:tcBorders>
            <w:vAlign w:val="center"/>
          </w:tcPr>
          <w:p w14:paraId="3277D7F3">
            <w:pPr>
              <w:keepNext w:val="0"/>
              <w:keepLines w:val="0"/>
              <w:suppressLineNumbers w:val="0"/>
              <w:spacing w:before="0" w:beforeAutospacing="0" w:after="0" w:afterAutospacing="0" w:line="288" w:lineRule="auto"/>
              <w:ind w:left="0" w:right="0"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合同总价（元，人民币）：小写￥              ，大写：</w:t>
            </w:r>
          </w:p>
        </w:tc>
      </w:tr>
    </w:tbl>
    <w:p w14:paraId="04111CE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注：以上合同总价包含货物到达甲方或甲方指定用户并能正常使用所需的一切费用，包括但不限于设备（软件）费、包装费、运输费、装卸费、保险费、安装调试费、技术服务费、培训费、保修保换费、税费等。</w:t>
      </w:r>
    </w:p>
    <w:p w14:paraId="6B12936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二、供货范围</w:t>
      </w:r>
    </w:p>
    <w:p w14:paraId="190FD9F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合同供货范围包括所有合同货物、相关的技术资料。</w:t>
      </w:r>
    </w:p>
    <w:p w14:paraId="65FAA6E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在执行合同过程中如发现任何漏项和短缺，在合同或附件清单中并未列入，但该部分漏项或短缺是满足合同货物的性能所必须的，则均应由乙方负责免费将所漏项或短缺的货物及技术服务等在最短的合理时间内补齐。</w:t>
      </w:r>
    </w:p>
    <w:p w14:paraId="7107C24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三、质保期、履约保证金与货款结算</w:t>
      </w:r>
    </w:p>
    <w:p w14:paraId="16BBD84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质保期：自验收合格之日起，整机质保期</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年，其中</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（配件名称）质保</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年（如需要）。超过质保期的货物，终生维修，维修时只收部件成本费。软件的质保期即维护期，乙方应提供升级服务。质保期内质保维护升级等费用包含在合同总价中，不额外收取。</w:t>
      </w:r>
    </w:p>
    <w:p w14:paraId="095848B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2.履约保证金（如无则删除本条款）</w:t>
      </w:r>
      <w:r>
        <w:rPr>
          <w:rFonts w:hint="eastAsia" w:ascii="宋体" w:hAnsi="宋体" w:eastAsia="宋体" w:cs="宋体"/>
          <w:b/>
          <w:bCs/>
          <w:color w:val="auto"/>
          <w:kern w:val="0"/>
          <w:szCs w:val="21"/>
          <w:highlight w:val="none"/>
        </w:rPr>
        <w:t>：</w:t>
      </w:r>
      <w:r>
        <w:rPr>
          <w:rFonts w:hint="eastAsia" w:ascii="宋体" w:hAnsi="宋体" w:eastAsia="宋体" w:cs="宋体"/>
          <w:color w:val="auto"/>
          <w:kern w:val="0"/>
          <w:szCs w:val="21"/>
          <w:highlight w:val="none"/>
        </w:rPr>
        <w:t>合同总金额的</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合同签订后5个工作日内交纳。交付方式：保函/汇票/支票/电汇/转账等。交付完毕后提供保函或联系杭州电子科技大学计划财务处大厅开收据，验收合格后7个工作日内凭原始收据不计息退还。收款单位（户名）：杭州电子科技大学。开户银行：工行高新支行。银行账号：1202026209008806216。</w:t>
      </w:r>
    </w:p>
    <w:p w14:paraId="6A3213A5">
      <w:pPr>
        <w:spacing w:line="288" w:lineRule="auto"/>
        <w:ind w:firstLine="420" w:firstLineChars="200"/>
        <w:jc w:val="left"/>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货款结算（根据项目要求、采购文件、采购结果，按以下方式选择填写）：</w:t>
      </w:r>
    </w:p>
    <w:p w14:paraId="2BAAE82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w:t>
      </w:r>
      <w:r>
        <w:rPr>
          <w:rFonts w:hint="eastAsia" w:ascii="宋体" w:hAnsi="宋体" w:eastAsia="宋体" w:cs="宋体"/>
          <w:color w:val="auto"/>
          <w:spacing w:val="-6"/>
          <w:kern w:val="0"/>
          <w:szCs w:val="21"/>
          <w:highlight w:val="none"/>
        </w:rPr>
        <w:t>1</w:t>
      </w:r>
      <w:r>
        <w:rPr>
          <w:rFonts w:hint="eastAsia" w:ascii="宋体" w:hAnsi="宋体" w:eastAsia="宋体" w:cs="宋体"/>
          <w:color w:val="auto"/>
          <w:kern w:val="0"/>
          <w:szCs w:val="21"/>
          <w:highlight w:val="none"/>
        </w:rPr>
        <w:t>）预付款方式：</w:t>
      </w:r>
    </w:p>
    <w:p w14:paraId="079E370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①乙方为中小企业的，合同生效以及具备实施条件后7个工作日内，且乙方已向甲方提交银行、保险公司等金融机构出具的预付款保函的，甲方向乙方支付合同总价的</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w:t>
      </w:r>
      <w:bookmarkStart w:id="54" w:name="OLE_LINK7"/>
      <w:bookmarkStart w:id="55" w:name="OLE_LINK9"/>
      <w:bookmarkStart w:id="56" w:name="OLE_LINK8"/>
      <w:bookmarkStart w:id="57" w:name="OLE_LINK10"/>
      <w:r>
        <w:rPr>
          <w:rFonts w:hint="eastAsia" w:ascii="宋体" w:hAnsi="宋体" w:eastAsia="宋体" w:cs="宋体"/>
          <w:color w:val="auto"/>
          <w:szCs w:val="21"/>
          <w:highlight w:val="none"/>
        </w:rPr>
        <w:t>根据</w:t>
      </w:r>
      <w:bookmarkStart w:id="58" w:name="OLE_LINK6"/>
      <w:bookmarkStart w:id="59" w:name="OLE_LINK5"/>
      <w:r>
        <w:rPr>
          <w:rFonts w:hint="eastAsia" w:ascii="宋体" w:hAnsi="宋体" w:eastAsia="宋体" w:cs="宋体"/>
          <w:color w:val="auto"/>
          <w:szCs w:val="21"/>
          <w:highlight w:val="none"/>
        </w:rPr>
        <w:t>《浙江省财政厅关于进一步发挥政府采购政策功能全力推动经济稳进提质的通知》</w:t>
      </w:r>
      <w:bookmarkEnd w:id="58"/>
      <w:bookmarkEnd w:id="59"/>
      <w:r>
        <w:rPr>
          <w:rFonts w:hint="eastAsia" w:ascii="宋体" w:hAnsi="宋体" w:eastAsia="宋体" w:cs="宋体"/>
          <w:color w:val="auto"/>
          <w:szCs w:val="21"/>
          <w:highlight w:val="none"/>
        </w:rPr>
        <w:t>《浙江省财政厅关于进一步加大政府采购支持中小企业力度助力扎实稳住经济的通知》等规范要求原则上不低于合同金额的40％，不高于合同金额的70%</w:t>
      </w:r>
      <w:bookmarkEnd w:id="54"/>
      <w:bookmarkEnd w:id="55"/>
      <w:bookmarkEnd w:id="56"/>
      <w:bookmarkEnd w:id="57"/>
      <w:r>
        <w:rPr>
          <w:rFonts w:hint="eastAsia" w:ascii="宋体" w:hAnsi="宋体" w:eastAsia="宋体" w:cs="宋体"/>
          <w:color w:val="auto"/>
          <w:kern w:val="0"/>
          <w:szCs w:val="21"/>
          <w:highlight w:val="none"/>
        </w:rPr>
        <w:t>）；货物在乙方安装调试完毕并经甲方验收合格并收到发票后7个工作日内，向乙方支付合同总价的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p>
    <w:p w14:paraId="0F61141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②乙方为大型企业的，合同生效以及具备实施条件后7个工作日内，且乙方已向甲方提交银行、保险公司等金融机构出具的预付款保函的，甲方向乙方支付合同总价的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r>
        <w:rPr>
          <w:rFonts w:hint="eastAsia" w:ascii="宋体" w:hAnsi="宋体" w:eastAsia="宋体" w:cs="宋体"/>
          <w:color w:val="auto"/>
          <w:szCs w:val="21"/>
          <w:highlight w:val="none"/>
        </w:rPr>
        <w:t>原则上不低于合同金额的30％，不高于合同金额的60%</w:t>
      </w:r>
      <w:r>
        <w:rPr>
          <w:rFonts w:hint="eastAsia" w:ascii="宋体" w:hAnsi="宋体" w:eastAsia="宋体" w:cs="宋体"/>
          <w:color w:val="auto"/>
          <w:kern w:val="0"/>
          <w:szCs w:val="21"/>
          <w:highlight w:val="none"/>
        </w:rPr>
        <w:t>）；货物在乙方安装调试完毕并经甲方验收合格并收到发票后7个工作日内，向乙方支付合同总价的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p>
    <w:p w14:paraId="2AB838C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③在签订合同时，乙方明确表示主动要求降低预付款比例的，可降低预付款比例（预付款保函同步调整）。</w:t>
      </w:r>
    </w:p>
    <w:p w14:paraId="1AB041C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（2）签订合同时乙方明确表示无需预付款或乙方为大型企业的，可以采用以下付款方式：</w:t>
      </w:r>
    </w:p>
    <w:p w14:paraId="7E854C4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w:t>
      </w:r>
      <w:r>
        <w:rPr>
          <w:rFonts w:hint="eastAsia" w:ascii="宋体" w:hAnsi="宋体" w:eastAsia="宋体" w:cs="宋体"/>
          <w:bCs/>
          <w:color w:val="auto"/>
          <w:kern w:val="0"/>
          <w:szCs w:val="21"/>
          <w:highlight w:val="none"/>
        </w:rPr>
        <w:t>货到分期付款：</w:t>
      </w:r>
      <w:r>
        <w:rPr>
          <w:rFonts w:hint="eastAsia" w:ascii="宋体" w:hAnsi="宋体" w:eastAsia="宋体" w:cs="宋体"/>
          <w:color w:val="auto"/>
          <w:kern w:val="0"/>
          <w:szCs w:val="21"/>
          <w:highlight w:val="none"/>
        </w:rPr>
        <w:t>货物送达并经甲方初步验收并收到发票后10个工作日内，甲方向乙方支付合同总价的70%；货物由乙方安装调试完毕并经甲方验收合格后，收到发票后10个工作日内，甲方向乙方支付合同总价的30%。</w:t>
      </w:r>
    </w:p>
    <w:p w14:paraId="49CD0AA2">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②货到一次性支付：</w:t>
      </w:r>
    </w:p>
    <w:p w14:paraId="3858389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全部货物送达安装调试完毕，经甲方验收合格，收到发票后10个工作日内，甲方向乙方支付全部合同价款。 </w:t>
      </w:r>
    </w:p>
    <w:p w14:paraId="3141703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③其它支付形式：                 </w:t>
      </w:r>
    </w:p>
    <w:p w14:paraId="785FA7C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付款前，乙方须交纳合同约定的履约保证金（如有）并提供甲方财务处开具的履约保证金收据，乙方向甲方开具等额有效的合格增值税专用发票。甲方开票信息如下：</w:t>
      </w:r>
    </w:p>
    <w:p w14:paraId="5F22079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单位名称：杭州电子科技大学。税号：12330000470009026T</w:t>
      </w:r>
    </w:p>
    <w:p w14:paraId="61288A8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开户银行：工行杭州高新支行。账号：1202026209008806216</w:t>
      </w:r>
    </w:p>
    <w:p w14:paraId="61033DB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四、知识产权 </w:t>
      </w:r>
    </w:p>
    <w:p w14:paraId="57063C3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bookmarkStart w:id="60" w:name="_Hlk155103594"/>
    </w:p>
    <w:bookmarkEnd w:id="60"/>
    <w:p w14:paraId="0D755F6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2.涉及产品定做的，甲方交付给乙方的设计图纸、样品、模具等商业秘密和知识产权归属于甲方，许可乙方在合同范围内使用，乙方负有保密责任。</w:t>
      </w:r>
    </w:p>
    <w:p w14:paraId="42E3013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乙方违反上述条款导致甲方受损的，由此所导致的所有责任以及甲方所支付的所有费用（包括但不限于律师费、诉讼费等）均由乙方承担。</w:t>
      </w:r>
    </w:p>
    <w:p w14:paraId="6F62A48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五、转包或分包</w:t>
      </w:r>
    </w:p>
    <w:p w14:paraId="03EEB8D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本合同范围的货物，应由乙方直接供应，不得转让他人供应。</w:t>
      </w:r>
    </w:p>
    <w:p w14:paraId="73B5C4BE">
      <w:pPr>
        <w:spacing w:line="288" w:lineRule="auto"/>
        <w:ind w:firstLine="420" w:firstLineChars="200"/>
        <w:rPr>
          <w:rFonts w:hint="eastAsia" w:ascii="宋体" w:hAnsi="宋体" w:eastAsia="宋体" w:cs="宋体"/>
          <w:snapToGrid w:val="0"/>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snapToGrid w:val="0"/>
          <w:color w:val="auto"/>
          <w:spacing w:val="-6"/>
          <w:szCs w:val="21"/>
          <w:highlight w:val="none"/>
        </w:rPr>
        <w:t>.</w:t>
      </w:r>
      <w:r>
        <w:rPr>
          <w:rFonts w:hint="eastAsia" w:ascii="宋体" w:hAnsi="宋体" w:eastAsia="宋体" w:cs="宋体"/>
          <w:snapToGrid w:val="0"/>
          <w:color w:val="auto"/>
          <w:szCs w:val="21"/>
          <w:highlight w:val="none"/>
        </w:rPr>
        <w:t>除非得到甲方的书面同意，乙方不得将本合同范围的货物分包给他人供应。</w:t>
      </w:r>
    </w:p>
    <w:p w14:paraId="7EB9D9B1">
      <w:pPr>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如有转让或未经甲方同意的分包行为，甲方有权解除合同，没收履约保证金并追究乙方的违约责任。</w:t>
      </w:r>
    </w:p>
    <w:p w14:paraId="5EFFB85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六、货物交付</w:t>
      </w:r>
    </w:p>
    <w:p w14:paraId="61891480">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交货期：接甲方通知之日起7日内拆旧完成。采购产品于合同签订之日起45日内生产完成，并在接到甲方通知之日起15日内安装完成并交付。</w:t>
      </w:r>
    </w:p>
    <w:p w14:paraId="19CFAF8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交货方式：</w:t>
      </w:r>
      <w:bookmarkStart w:id="61" w:name="_Hlk155602651"/>
      <w:r>
        <w:rPr>
          <w:rFonts w:hint="eastAsia" w:ascii="宋体" w:hAnsi="宋体" w:eastAsia="宋体" w:cs="宋体"/>
          <w:color w:val="auto"/>
          <w:kern w:val="0"/>
          <w:szCs w:val="21"/>
          <w:highlight w:val="none"/>
        </w:rPr>
        <w:t>　　　送货上门　　</w:t>
      </w:r>
      <w:bookmarkStart w:id="62" w:name="_Hlk155602451"/>
      <w:r>
        <w:rPr>
          <w:rFonts w:hint="eastAsia" w:ascii="宋体" w:hAnsi="宋体" w:eastAsia="宋体" w:cs="宋体"/>
          <w:color w:val="auto"/>
          <w:kern w:val="0"/>
          <w:szCs w:val="21"/>
          <w:highlight w:val="none"/>
        </w:rPr>
        <w:t>。</w:t>
      </w:r>
      <w:bookmarkEnd w:id="61"/>
      <w:bookmarkEnd w:id="62"/>
    </w:p>
    <w:p w14:paraId="42ADE7A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交货地点：</w:t>
      </w:r>
      <w:bookmarkStart w:id="63" w:name="_Hlk155602663"/>
      <w:r>
        <w:rPr>
          <w:rFonts w:hint="eastAsia" w:ascii="宋体" w:hAnsi="宋体" w:eastAsia="宋体" w:cs="宋体"/>
          <w:color w:val="auto"/>
          <w:kern w:val="0"/>
          <w:szCs w:val="21"/>
          <w:highlight w:val="none"/>
        </w:rPr>
        <w:t xml:space="preserve"> 　　甲方指定地点　 。</w:t>
      </w:r>
      <w:bookmarkEnd w:id="63"/>
    </w:p>
    <w:p w14:paraId="237CB7D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联系人及电话：</w:t>
      </w:r>
      <w:bookmarkStart w:id="64" w:name="_Hlk155181628"/>
      <w:r>
        <w:rPr>
          <w:rFonts w:hint="eastAsia" w:ascii="宋体" w:hAnsi="宋体" w:eastAsia="宋体" w:cs="宋体"/>
          <w:color w:val="auto"/>
          <w:kern w:val="0"/>
          <w:szCs w:val="21"/>
          <w:highlight w:val="none"/>
        </w:rPr>
        <w:t>甲方 姓名_________联系电话</w:t>
      </w:r>
      <w:r>
        <w:rPr>
          <w:rFonts w:hint="eastAsia" w:ascii="宋体" w:hAnsi="宋体" w:eastAsia="宋体" w:cs="宋体"/>
          <w:color w:val="auto"/>
          <w:kern w:val="0"/>
          <w:szCs w:val="21"/>
          <w:highlight w:val="none"/>
          <w:u w:val="single"/>
        </w:rPr>
        <w:t xml:space="preserve">（办公电话及手机号） </w:t>
      </w:r>
      <w:r>
        <w:rPr>
          <w:rFonts w:hint="eastAsia" w:ascii="宋体" w:hAnsi="宋体" w:eastAsia="宋体" w:cs="宋体"/>
          <w:color w:val="auto"/>
          <w:kern w:val="0"/>
          <w:szCs w:val="21"/>
          <w:highlight w:val="none"/>
        </w:rPr>
        <w:t>；乙方 姓名 __________联系电话</w:t>
      </w:r>
      <w:r>
        <w:rPr>
          <w:rFonts w:hint="eastAsia" w:ascii="宋体" w:hAnsi="宋体" w:eastAsia="宋体" w:cs="宋体"/>
          <w:color w:val="auto"/>
          <w:kern w:val="0"/>
          <w:szCs w:val="21"/>
          <w:highlight w:val="none"/>
          <w:u w:val="single"/>
        </w:rPr>
        <w:t xml:space="preserve">（办公电话及手机号） </w:t>
      </w:r>
      <w:bookmarkEnd w:id="64"/>
      <w:r>
        <w:rPr>
          <w:rFonts w:hint="eastAsia" w:ascii="宋体" w:hAnsi="宋体" w:eastAsia="宋体" w:cs="宋体"/>
          <w:color w:val="auto"/>
          <w:kern w:val="0"/>
          <w:szCs w:val="21"/>
          <w:highlight w:val="none"/>
        </w:rPr>
        <w:t>。</w:t>
      </w:r>
    </w:p>
    <w:p w14:paraId="3652BAA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乙方应在交货前3日内，以电话或传真向甲方提供交货计划（内容包括合同号、设备名称、型号规格、数量、重量和体积的约数、交货时间、地点、运输安排）。甲方应及时作好准备，办妥一切接货手续。</w:t>
      </w:r>
    </w:p>
    <w:p w14:paraId="6A5EA18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本合同所有物品运抵甲方现场后，乙方应在确保设备外包装完好无损的情况下向甲方交货，出现货物不全，外包装破损等情况，甲方不予接收，由乙方负责更换，其相关费用由乙方负担。</w:t>
      </w:r>
    </w:p>
    <w:p w14:paraId="7FDA7CC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7</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乙方负责在约定期内将货物安全运抵指定地点，运输方式由乙方自行决定，相关费用由乙方承担。运输途中产生的交通事故、人身伤害、财产损失等责任均由乙方自行承担，与甲方无涉。</w:t>
      </w:r>
    </w:p>
    <w:p w14:paraId="0779E08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七、安装与验收</w:t>
      </w:r>
    </w:p>
    <w:p w14:paraId="5FA2C7D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验收由甲方负责实施，甲乙双方验收人员在安装数量和合同价格清单上签字确认。</w:t>
      </w:r>
    </w:p>
    <w:p w14:paraId="1F2C864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到货验收：货物运抵甲方指定地点后，甲方应依据本合同及采购文件上的技术规格要求和国家有关质量标准及时进行验收。如发生所供货物与合同约定不符，甲方有权退货或要求乙方进行更换、补齐，因此造成逾期交货的，乙方应承担逾期交货的违约责任。</w:t>
      </w:r>
    </w:p>
    <w:p w14:paraId="382FD85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安装调试：甲方对乙方提供的货物在使用前进行调试时，乙方需在甲方指定时间内负责安装并培训甲方的使用操作人员，并协助甲方一起调试，直到符合技术要求。安装调试所需的专用工具、备品备件以及合同规定的其他事项由乙方提供。</w:t>
      </w:r>
    </w:p>
    <w:p w14:paraId="2CAB305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最终验收：货物经安装调试完成且符合技术要求后，甲方负责在</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个工作日内进行最终验收。如甲方需要，验收时乙方必须在现场。货物符合合同约定的技术规范要求和验收标准的，甲方签署验收合格证明。如货物不符合合同约定的要求的，乙方应当采取措施消除缺陷，乙方应承担逾期交货的违约责任。</w:t>
      </w:r>
      <w:bookmarkStart w:id="65" w:name="_Hlk155181772"/>
    </w:p>
    <w:bookmarkEnd w:id="65"/>
    <w:p w14:paraId="2240999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八、质量保证与售后服务</w:t>
      </w:r>
    </w:p>
    <w:p w14:paraId="4B1F2B82">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w:t>
      </w:r>
      <w:bookmarkStart w:id="66" w:name="_Hlk154577956"/>
      <w:r>
        <w:rPr>
          <w:rFonts w:hint="eastAsia" w:ascii="宋体" w:hAnsi="宋体" w:eastAsia="宋体" w:cs="宋体"/>
          <w:color w:val="auto"/>
          <w:kern w:val="0"/>
          <w:szCs w:val="21"/>
          <w:highlight w:val="none"/>
        </w:rPr>
        <w:t>应按采购文件规定的货物性能、技术要求、质量标准向甲方提供</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月后生产的，全新未经使用的，符合国家法律规定和技术规格、质量标准的出厂原装合格产品。</w:t>
      </w:r>
      <w:bookmarkEnd w:id="66"/>
    </w:p>
    <w:p w14:paraId="73647DE3">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售后服务</w:t>
      </w:r>
    </w:p>
    <w:p w14:paraId="5A5C516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2.1远程技术支持：乙方应具有稳定的技术支持队伍和完善的服务支持网络，提供</w:t>
      </w:r>
      <w:r>
        <w:rPr>
          <w:rFonts w:hint="eastAsia" w:ascii="宋体" w:hAnsi="宋体" w:eastAsia="宋体" w:cs="宋体"/>
          <w:color w:val="auto"/>
          <w:kern w:val="0"/>
          <w:szCs w:val="21"/>
          <w:highlight w:val="none"/>
          <w:u w:val="single"/>
        </w:rPr>
        <w:t xml:space="preserve"> 7×24小时 </w:t>
      </w:r>
      <w:r>
        <w:rPr>
          <w:rFonts w:hint="eastAsia" w:ascii="宋体" w:hAnsi="宋体" w:eastAsia="宋体" w:cs="宋体"/>
          <w:color w:val="auto"/>
          <w:kern w:val="0"/>
          <w:szCs w:val="21"/>
          <w:highlight w:val="none"/>
        </w:rPr>
        <w:t>技术支持服务，及时响应甲方的技术服务支持需求，提出有效的解决方案，解决甲方在货物使用过程中遇到的实际问题。</w:t>
      </w:r>
    </w:p>
    <w:p w14:paraId="2956882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2.2现场技术支持：对于通过电话、邮件等远程技术支持不能解决的问题，乙方应在</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小时内派遣相关人员赶赴现场，</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小时内维修完毕；发生紧急抢修事故的，乙方应在接到甲方通知后</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小时内到达现场抢修，并于到达现场</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小时之内排除故障。乙方未在约定时间内修复的或同一货物经</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次维修后仍不能稳定、可靠使用的，甲方有权要求乙方免费更换。</w:t>
      </w:r>
    </w:p>
    <w:p w14:paraId="2592E7F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九、保密条款</w:t>
      </w:r>
    </w:p>
    <w:p w14:paraId="3809072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乙方对合同内容及履行合同过程中所获悉的属于甲方的且无法自公开渠道获得的文件及资料，应负保密义务，非经甲方书面同意，不得擅自利用或对外发表或披露。违反前述约定的，乙方应支付给甲方惩罚性违约金，并承担赔偿责任。保密期限自本协议签署之日起至该保密信息通过正常途径进入公知领域或甲方书面解除乙方保密义务之日止。</w:t>
      </w:r>
    </w:p>
    <w:p w14:paraId="1CFCD33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十、违约责任</w:t>
      </w:r>
    </w:p>
    <w:p w14:paraId="04F9E46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甲方无故逾期验收和办理货款支付手续的，每逾期一日，应按逾期付款总额</w:t>
      </w:r>
      <w:r>
        <w:rPr>
          <w:rFonts w:hint="eastAsia" w:ascii="宋体" w:hAnsi="宋体" w:eastAsia="宋体" w:cs="宋体"/>
          <w:color w:val="auto"/>
          <w:kern w:val="0"/>
          <w:szCs w:val="21"/>
          <w:highlight w:val="none"/>
          <w:u w:val="single"/>
        </w:rPr>
        <w:t>千分之一</w:t>
      </w:r>
      <w:r>
        <w:rPr>
          <w:rFonts w:hint="eastAsia" w:ascii="宋体" w:hAnsi="宋体" w:eastAsia="宋体" w:cs="宋体"/>
          <w:color w:val="auto"/>
          <w:kern w:val="0"/>
          <w:szCs w:val="21"/>
          <w:highlight w:val="none"/>
        </w:rPr>
        <w:t>向乙方支付违约金。</w:t>
      </w:r>
    </w:p>
    <w:p w14:paraId="460FC2F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乙方逾期交货完工的，每逾期一日，应按合同总价</w:t>
      </w:r>
      <w:r>
        <w:rPr>
          <w:rFonts w:hint="eastAsia" w:ascii="宋体" w:hAnsi="宋体" w:eastAsia="宋体" w:cs="宋体"/>
          <w:color w:val="auto"/>
          <w:kern w:val="0"/>
          <w:szCs w:val="21"/>
          <w:highlight w:val="none"/>
          <w:u w:val="single"/>
        </w:rPr>
        <w:t>千分之一</w:t>
      </w:r>
      <w:r>
        <w:rPr>
          <w:rFonts w:hint="eastAsia" w:ascii="宋体" w:hAnsi="宋体" w:eastAsia="宋体" w:cs="宋体"/>
          <w:color w:val="auto"/>
          <w:kern w:val="0"/>
          <w:szCs w:val="21"/>
          <w:highlight w:val="none"/>
        </w:rPr>
        <w:t>向甲方支付违约金。逾期超过约定日期</w:t>
      </w:r>
      <w:r>
        <w:rPr>
          <w:rFonts w:hint="eastAsia" w:ascii="宋体" w:hAnsi="宋体" w:eastAsia="宋体" w:cs="宋体"/>
          <w:color w:val="auto"/>
          <w:kern w:val="0"/>
          <w:szCs w:val="21"/>
          <w:highlight w:val="none"/>
          <w:u w:val="single"/>
        </w:rPr>
        <w:t xml:space="preserve"> 10 </w:t>
      </w:r>
      <w:r>
        <w:rPr>
          <w:rFonts w:hint="eastAsia" w:ascii="宋体" w:hAnsi="宋体" w:eastAsia="宋体" w:cs="宋体"/>
          <w:color w:val="auto"/>
          <w:kern w:val="0"/>
          <w:szCs w:val="21"/>
          <w:highlight w:val="none"/>
        </w:rPr>
        <w:t>个工作日不能交货完工的，甲方有权解除本合同，并要求乙方支付合同总价</w:t>
      </w:r>
      <w:r>
        <w:rPr>
          <w:rFonts w:hint="eastAsia" w:ascii="宋体" w:hAnsi="宋体" w:eastAsia="宋体" w:cs="宋体"/>
          <w:color w:val="auto"/>
          <w:kern w:val="0"/>
          <w:szCs w:val="21"/>
          <w:highlight w:val="none"/>
          <w:u w:val="single"/>
        </w:rPr>
        <w:t xml:space="preserve"> 5 %</w:t>
      </w:r>
      <w:r>
        <w:rPr>
          <w:rFonts w:hint="eastAsia" w:ascii="宋体" w:hAnsi="宋体" w:eastAsia="宋体" w:cs="宋体"/>
          <w:color w:val="auto"/>
          <w:kern w:val="0"/>
          <w:szCs w:val="21"/>
          <w:highlight w:val="none"/>
        </w:rPr>
        <w:t>的违约金，违约金不足以弥补甲方损失的，乙方还应负责赔偿。</w:t>
      </w:r>
    </w:p>
    <w:p w14:paraId="3AA27CA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所交付的货物品种、型号、规格、技术参数、质量不符合合同规定及采购文件规定标准的，甲方有权拒收该货物，乙方愿意更换货物但逾期完工的，按乙方逾期处理。乙方拒绝更换货物的，甲方可单方面解除合同，并要求乙方支付合同总价</w:t>
      </w:r>
      <w:r>
        <w:rPr>
          <w:rFonts w:hint="eastAsia" w:ascii="宋体" w:hAnsi="宋体" w:eastAsia="宋体" w:cs="宋体"/>
          <w:color w:val="auto"/>
          <w:kern w:val="0"/>
          <w:szCs w:val="21"/>
          <w:highlight w:val="none"/>
          <w:u w:val="single"/>
        </w:rPr>
        <w:t xml:space="preserve"> 5 %</w:t>
      </w:r>
      <w:r>
        <w:rPr>
          <w:rFonts w:hint="eastAsia" w:ascii="宋体" w:hAnsi="宋体" w:eastAsia="宋体" w:cs="宋体"/>
          <w:color w:val="auto"/>
          <w:kern w:val="0"/>
          <w:szCs w:val="21"/>
          <w:highlight w:val="none"/>
        </w:rPr>
        <w:t>的违约金，违约金不足以弥补甲方损失的，乙方还应负责赔偿。</w:t>
      </w:r>
    </w:p>
    <w:p w14:paraId="6F93CF1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乙方未能按约定要求履行保修义务的，</w:t>
      </w:r>
      <w:bookmarkStart w:id="67" w:name="_Hlk154755811"/>
      <w:r>
        <w:rPr>
          <w:rFonts w:hint="eastAsia" w:ascii="宋体" w:hAnsi="宋体" w:eastAsia="宋体" w:cs="宋体"/>
          <w:color w:val="auto"/>
          <w:kern w:val="0"/>
          <w:szCs w:val="21"/>
          <w:highlight w:val="none"/>
        </w:rPr>
        <w:t>每发生一次应向甲方支付</w:t>
      </w:r>
      <w:r>
        <w:rPr>
          <w:rFonts w:hint="eastAsia" w:ascii="宋体" w:hAnsi="宋体" w:eastAsia="宋体" w:cs="宋体"/>
          <w:color w:val="auto"/>
          <w:kern w:val="0"/>
          <w:szCs w:val="21"/>
          <w:highlight w:val="none"/>
          <w:u w:val="single"/>
        </w:rPr>
        <w:t>1000</w:t>
      </w:r>
      <w:r>
        <w:rPr>
          <w:rFonts w:hint="eastAsia" w:ascii="宋体" w:hAnsi="宋体" w:eastAsia="宋体" w:cs="宋体"/>
          <w:color w:val="auto"/>
          <w:kern w:val="0"/>
          <w:szCs w:val="21"/>
          <w:highlight w:val="none"/>
        </w:rPr>
        <w:t>元的违约金，同时，甲方有权委托第三方进行保修，所产生的费用由乙方承担。</w:t>
      </w:r>
      <w:bookmarkEnd w:id="67"/>
      <w:r>
        <w:rPr>
          <w:rFonts w:hint="eastAsia" w:ascii="宋体" w:hAnsi="宋体" w:eastAsia="宋体" w:cs="宋体"/>
          <w:color w:val="auto"/>
          <w:kern w:val="0"/>
          <w:szCs w:val="21"/>
          <w:highlight w:val="none"/>
        </w:rPr>
        <w:t>若因货物缺陷或乙方服务质量等问题造成甲方或任何人员人身、财产损害的，乙方应承担有关责任并作出相应赔偿。</w:t>
      </w:r>
    </w:p>
    <w:p w14:paraId="7C9803D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 xml:space="preserve">因乙方其他违约行为导致甲方解除合同的，乙方应向甲方支付合同总价 </w:t>
      </w:r>
      <w:r>
        <w:rPr>
          <w:rFonts w:hint="eastAsia" w:ascii="宋体" w:hAnsi="宋体" w:eastAsia="宋体" w:cs="宋体"/>
          <w:color w:val="auto"/>
          <w:kern w:val="0"/>
          <w:szCs w:val="21"/>
          <w:highlight w:val="none"/>
          <w:u w:val="single"/>
        </w:rPr>
        <w:t>5 %</w:t>
      </w:r>
      <w:r>
        <w:rPr>
          <w:rFonts w:hint="eastAsia" w:ascii="宋体" w:hAnsi="宋体" w:eastAsia="宋体" w:cs="宋体"/>
          <w:color w:val="auto"/>
          <w:kern w:val="0"/>
          <w:szCs w:val="21"/>
          <w:highlight w:val="none"/>
        </w:rPr>
        <w:t>的违约金，违约金不足以弥补甲方损失的，乙方还应负责赔偿。</w:t>
      </w:r>
    </w:p>
    <w:p w14:paraId="1A705EA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十一、不可抗力</w:t>
      </w:r>
    </w:p>
    <w:p w14:paraId="1DED66C8">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在合同有效期内，任何一方因不可抗力事件导致不能履行合同，则合同履行期可延长，其延长期与不可抗力影响期相同。</w:t>
      </w:r>
    </w:p>
    <w:p w14:paraId="3F04450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本条所述的“不可抗力”系指双方不可预见、不可避免、不可克服的事件。</w:t>
      </w:r>
    </w:p>
    <w:p w14:paraId="2123C113">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不可抗力事件发生后，受不可抗力事件影响的一方应在事件发生后3日内通知对方，并寄送有关权威机构出具的证明。同时应立即尽一切合理努力采取措施，消除影响，减少损失。</w:t>
      </w:r>
    </w:p>
    <w:p w14:paraId="5BAFD01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不可抗力事件延续30天以上，双方应通过友好协商，确定是否继续履行合同。</w:t>
      </w:r>
    </w:p>
    <w:p w14:paraId="1042011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十二、法律适用与争议解决</w:t>
      </w:r>
    </w:p>
    <w:p w14:paraId="2C77E6E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本合同的订立、解释、履行及争议解决，均适用中华人民共和国法律。</w:t>
      </w:r>
    </w:p>
    <w:p w14:paraId="3D53ABA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本合同履行过程中发生争议的，甲乙双方应友好协商；协商不成的，任何一方可向甲方所在地人民法院起诉。</w:t>
      </w:r>
    </w:p>
    <w:p w14:paraId="63410DD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十三、合同生效及其他</w:t>
      </w:r>
    </w:p>
    <w:p w14:paraId="5CAF751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本合同经甲、乙双方代表签字并加盖单位公章或合同专用章后生效，甲方的单位公章盖采购中心合同专用章（其他部门公章无效）。</w:t>
      </w:r>
    </w:p>
    <w:p w14:paraId="79F843E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 xml:space="preserve">合同执行中涉及采购内容修改或补充的，按《杭州电子科技大学采购合同管理实施细则》（杭电采〔2023〕154号）执行。（政府采购项目：合同执行中涉及采购资金和采购内容修改或补充的，须经财政部门审批，并签书面补充协议报政府采购监督管理部门备案，方可作为主合同不可分割的一部分。）     </w:t>
      </w:r>
    </w:p>
    <w:p w14:paraId="4F737AB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本次采购过程中形成的招标（非招标）文件、投标（响应）文件、澄清承诺、补充协议、附件等</w:t>
      </w:r>
      <w:r>
        <w:rPr>
          <w:rFonts w:hint="eastAsia" w:ascii="宋体" w:hAnsi="宋体" w:eastAsia="宋体" w:cs="宋体"/>
          <w:color w:val="auto"/>
          <w:kern w:val="0"/>
          <w:szCs w:val="21"/>
          <w:highlight w:val="none"/>
          <w:lang w:val="zh-CN"/>
        </w:rPr>
        <w:t>为本合同的组成部分，并构成一个整体，需综合解释、相互补充。如果</w:t>
      </w:r>
      <w:r>
        <w:rPr>
          <w:rFonts w:hint="eastAsia" w:ascii="宋体" w:hAnsi="宋体" w:eastAsia="宋体" w:cs="宋体"/>
          <w:color w:val="auto"/>
          <w:kern w:val="0"/>
          <w:szCs w:val="21"/>
          <w:highlight w:val="none"/>
        </w:rPr>
        <w:t>上述</w:t>
      </w:r>
      <w:r>
        <w:rPr>
          <w:rFonts w:hint="eastAsia" w:ascii="宋体" w:hAnsi="宋体" w:eastAsia="宋体" w:cs="宋体"/>
          <w:color w:val="auto"/>
          <w:kern w:val="0"/>
          <w:szCs w:val="21"/>
          <w:highlight w:val="none"/>
          <w:lang w:val="zh-CN"/>
        </w:rPr>
        <w:t>文件内容出现不一致的情形，那么在保证按照采购文件确定的事项的前提下，组成本合同的多个文件的优先适用顺序如下：</w:t>
      </w:r>
    </w:p>
    <w:p w14:paraId="38664B6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（1）本合同及其补充合同、变更协议；</w:t>
      </w:r>
    </w:p>
    <w:p w14:paraId="68417EA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（2）中标（成交）通知书；</w:t>
      </w:r>
    </w:p>
    <w:p w14:paraId="191C4F83">
      <w:pPr>
        <w:spacing w:line="288" w:lineRule="auto"/>
        <w:ind w:firstLine="420" w:firstLineChars="200"/>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（3）投标（</w:t>
      </w:r>
      <w:r>
        <w:rPr>
          <w:rFonts w:hint="eastAsia" w:ascii="宋体" w:hAnsi="宋体" w:eastAsia="宋体" w:cs="宋体"/>
          <w:color w:val="auto"/>
          <w:kern w:val="0"/>
          <w:szCs w:val="21"/>
          <w:highlight w:val="none"/>
          <w:lang w:val="zh-CN"/>
        </w:rPr>
        <w:t>响应）文件（含澄清或者说明文件）；</w:t>
      </w:r>
    </w:p>
    <w:p w14:paraId="7A2B1438">
      <w:pPr>
        <w:spacing w:line="288" w:lineRule="auto"/>
        <w:ind w:firstLine="420" w:firstLineChars="200"/>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（4）招标（非招标）</w:t>
      </w:r>
      <w:r>
        <w:rPr>
          <w:rFonts w:hint="eastAsia" w:ascii="宋体" w:hAnsi="宋体" w:eastAsia="宋体" w:cs="宋体"/>
          <w:color w:val="auto"/>
          <w:kern w:val="0"/>
          <w:szCs w:val="21"/>
          <w:highlight w:val="none"/>
          <w:lang w:val="zh-CN"/>
        </w:rPr>
        <w:t>文件（含澄清或者修改文件）；</w:t>
      </w:r>
    </w:p>
    <w:p w14:paraId="78A43767">
      <w:pPr>
        <w:spacing w:line="288" w:lineRule="auto"/>
        <w:ind w:firstLine="420" w:firstLineChars="200"/>
        <w:rPr>
          <w:rFonts w:hint="eastAsia" w:ascii="宋体" w:hAnsi="宋体" w:eastAsia="宋体" w:cs="宋体"/>
          <w:snapToGrid w:val="0"/>
          <w:color w:val="auto"/>
          <w:szCs w:val="21"/>
          <w:highlight w:val="none"/>
        </w:rPr>
      </w:pPr>
      <w:r>
        <w:rPr>
          <w:rFonts w:hint="eastAsia" w:ascii="宋体" w:hAnsi="宋体" w:eastAsia="宋体" w:cs="宋体"/>
          <w:snapToGrid w:val="0"/>
          <w:color w:val="auto"/>
          <w:szCs w:val="21"/>
          <w:highlight w:val="none"/>
        </w:rPr>
        <w:t>（5）</w:t>
      </w:r>
      <w:r>
        <w:rPr>
          <w:rFonts w:hint="eastAsia" w:ascii="宋体" w:hAnsi="宋体" w:eastAsia="宋体" w:cs="宋体"/>
          <w:snapToGrid w:val="0"/>
          <w:color w:val="auto"/>
          <w:szCs w:val="21"/>
          <w:highlight w:val="none"/>
          <w:lang w:val="zh-CN"/>
        </w:rPr>
        <w:t>其他相关采购文件。</w:t>
      </w:r>
    </w:p>
    <w:p w14:paraId="5C87C50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本合同未尽事宜，遵照《中华人民共和国民法典》有关条文执行。</w:t>
      </w:r>
    </w:p>
    <w:p w14:paraId="1EAA045D">
      <w:pPr>
        <w:spacing w:line="288" w:lineRule="auto"/>
        <w:ind w:firstLine="396"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spacing w:val="-6"/>
          <w:kern w:val="0"/>
          <w:szCs w:val="21"/>
          <w:highlight w:val="none"/>
        </w:rPr>
        <w:t>5.</w:t>
      </w:r>
      <w:r>
        <w:rPr>
          <w:rFonts w:hint="eastAsia" w:ascii="宋体" w:hAnsi="宋体" w:eastAsia="宋体" w:cs="宋体"/>
          <w:color w:val="auto"/>
          <w:kern w:val="0"/>
          <w:szCs w:val="21"/>
          <w:highlight w:val="none"/>
        </w:rPr>
        <w:t xml:space="preserve"> 本合同一式伍份，甲方执三份，乙方和鉴证方各执一份，具有同等法律效力。</w:t>
      </w:r>
    </w:p>
    <w:p w14:paraId="508589D7">
      <w:pPr>
        <w:spacing w:line="288" w:lineRule="auto"/>
        <w:ind w:firstLine="420" w:firstLineChars="200"/>
        <w:jc w:val="left"/>
        <w:rPr>
          <w:rFonts w:hint="eastAsia" w:ascii="宋体" w:hAnsi="宋体" w:eastAsia="宋体" w:cs="宋体"/>
          <w:color w:val="auto"/>
          <w:kern w:val="0"/>
          <w:szCs w:val="21"/>
          <w:highlight w:val="none"/>
        </w:rPr>
      </w:pPr>
    </w:p>
    <w:p w14:paraId="77A0E00A">
      <w:pPr>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合同附件：   （附件名称）（如有则填写，如无则删除）</w:t>
      </w:r>
    </w:p>
    <w:tbl>
      <w:tblPr>
        <w:tblStyle w:val="24"/>
        <w:tblW w:w="9249" w:type="dxa"/>
        <w:jc w:val="center"/>
        <w:tblLayout w:type="fixed"/>
        <w:tblCellMar>
          <w:top w:w="0" w:type="dxa"/>
          <w:left w:w="108" w:type="dxa"/>
          <w:bottom w:w="0" w:type="dxa"/>
          <w:right w:w="108" w:type="dxa"/>
        </w:tblCellMar>
      </w:tblPr>
      <w:tblGrid>
        <w:gridCol w:w="5073"/>
        <w:gridCol w:w="4176"/>
      </w:tblGrid>
      <w:tr w14:paraId="6724D649">
        <w:tblPrEx>
          <w:tblCellMar>
            <w:top w:w="0" w:type="dxa"/>
            <w:left w:w="108" w:type="dxa"/>
            <w:bottom w:w="0" w:type="dxa"/>
            <w:right w:w="108" w:type="dxa"/>
          </w:tblCellMar>
        </w:tblPrEx>
        <w:trPr>
          <w:trHeight w:val="538" w:hRule="atLeast"/>
          <w:jc w:val="center"/>
        </w:trPr>
        <w:tc>
          <w:tcPr>
            <w:tcW w:w="5073" w:type="dxa"/>
            <w:vAlign w:val="center"/>
          </w:tcPr>
          <w:p w14:paraId="6F9F8C6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甲方：杭州电子科技大学（公章）</w:t>
            </w:r>
          </w:p>
        </w:tc>
        <w:tc>
          <w:tcPr>
            <w:tcW w:w="4176" w:type="dxa"/>
            <w:vAlign w:val="center"/>
          </w:tcPr>
          <w:p w14:paraId="56D93DC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乙方：（公章）</w:t>
            </w:r>
          </w:p>
        </w:tc>
      </w:tr>
      <w:tr w14:paraId="441A3463">
        <w:tblPrEx>
          <w:tblCellMar>
            <w:top w:w="0" w:type="dxa"/>
            <w:left w:w="108" w:type="dxa"/>
            <w:bottom w:w="0" w:type="dxa"/>
            <w:right w:w="108" w:type="dxa"/>
          </w:tblCellMar>
        </w:tblPrEx>
        <w:trPr>
          <w:trHeight w:val="717" w:hRule="atLeast"/>
          <w:jc w:val="center"/>
        </w:trPr>
        <w:tc>
          <w:tcPr>
            <w:tcW w:w="5073" w:type="dxa"/>
            <w:vAlign w:val="center"/>
          </w:tcPr>
          <w:p w14:paraId="0B3D8F2E">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法定代表人委托代理人：</w:t>
            </w:r>
          </w:p>
          <w:p w14:paraId="53AA975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tc>
        <w:tc>
          <w:tcPr>
            <w:tcW w:w="4176" w:type="dxa"/>
            <w:vAlign w:val="center"/>
          </w:tcPr>
          <w:p w14:paraId="527C2D28">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法定代表人或委托代理人：</w:t>
            </w:r>
          </w:p>
          <w:p w14:paraId="00DD47D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tc>
      </w:tr>
      <w:tr w14:paraId="5D5B052B">
        <w:tblPrEx>
          <w:tblCellMar>
            <w:top w:w="0" w:type="dxa"/>
            <w:left w:w="108" w:type="dxa"/>
            <w:bottom w:w="0" w:type="dxa"/>
            <w:right w:w="108" w:type="dxa"/>
          </w:tblCellMar>
        </w:tblPrEx>
        <w:trPr>
          <w:jc w:val="center"/>
        </w:trPr>
        <w:tc>
          <w:tcPr>
            <w:tcW w:w="5073" w:type="dxa"/>
            <w:vAlign w:val="center"/>
          </w:tcPr>
          <w:p w14:paraId="3C588AA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地址：杭州下沙高教园区二号大街1158号</w:t>
            </w:r>
          </w:p>
        </w:tc>
        <w:tc>
          <w:tcPr>
            <w:tcW w:w="4176" w:type="dxa"/>
            <w:vAlign w:val="center"/>
          </w:tcPr>
          <w:p w14:paraId="2BCC72C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w:t>
            </w:r>
          </w:p>
        </w:tc>
      </w:tr>
      <w:tr w14:paraId="0150E797">
        <w:tblPrEx>
          <w:tblCellMar>
            <w:top w:w="0" w:type="dxa"/>
            <w:left w:w="108" w:type="dxa"/>
            <w:bottom w:w="0" w:type="dxa"/>
            <w:right w:w="108" w:type="dxa"/>
          </w:tblCellMar>
        </w:tblPrEx>
        <w:trPr>
          <w:jc w:val="center"/>
        </w:trPr>
        <w:tc>
          <w:tcPr>
            <w:tcW w:w="5073" w:type="dxa"/>
            <w:vAlign w:val="center"/>
          </w:tcPr>
          <w:p w14:paraId="07E21F2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 xml:space="preserve">电话： </w:t>
            </w:r>
          </w:p>
        </w:tc>
        <w:tc>
          <w:tcPr>
            <w:tcW w:w="4176" w:type="dxa"/>
            <w:vAlign w:val="center"/>
          </w:tcPr>
          <w:p w14:paraId="08D227E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电话：</w:t>
            </w:r>
          </w:p>
        </w:tc>
      </w:tr>
      <w:tr w14:paraId="332C6A62">
        <w:tblPrEx>
          <w:tblCellMar>
            <w:top w:w="0" w:type="dxa"/>
            <w:left w:w="108" w:type="dxa"/>
            <w:bottom w:w="0" w:type="dxa"/>
            <w:right w:w="108" w:type="dxa"/>
          </w:tblCellMar>
        </w:tblPrEx>
        <w:trPr>
          <w:jc w:val="center"/>
        </w:trPr>
        <w:tc>
          <w:tcPr>
            <w:tcW w:w="5073" w:type="dxa"/>
            <w:vAlign w:val="center"/>
          </w:tcPr>
          <w:p w14:paraId="17D1413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 xml:space="preserve">开户银行：工行高新支行 </w:t>
            </w:r>
          </w:p>
        </w:tc>
        <w:tc>
          <w:tcPr>
            <w:tcW w:w="4176" w:type="dxa"/>
            <w:vAlign w:val="center"/>
          </w:tcPr>
          <w:p w14:paraId="51BF4E51">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开户银行：</w:t>
            </w:r>
          </w:p>
        </w:tc>
      </w:tr>
      <w:tr w14:paraId="4A776D89">
        <w:tblPrEx>
          <w:tblCellMar>
            <w:top w:w="0" w:type="dxa"/>
            <w:left w:w="108" w:type="dxa"/>
            <w:bottom w:w="0" w:type="dxa"/>
            <w:right w:w="108" w:type="dxa"/>
          </w:tblCellMar>
        </w:tblPrEx>
        <w:trPr>
          <w:jc w:val="center"/>
        </w:trPr>
        <w:tc>
          <w:tcPr>
            <w:tcW w:w="5073" w:type="dxa"/>
            <w:vAlign w:val="center"/>
          </w:tcPr>
          <w:p w14:paraId="49F9F171">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帐号：1202026209008806216</w:t>
            </w:r>
          </w:p>
        </w:tc>
        <w:tc>
          <w:tcPr>
            <w:tcW w:w="4176" w:type="dxa"/>
            <w:vAlign w:val="center"/>
          </w:tcPr>
          <w:p w14:paraId="14B04C9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帐号：</w:t>
            </w:r>
          </w:p>
        </w:tc>
      </w:tr>
      <w:tr w14:paraId="4F70D815">
        <w:tblPrEx>
          <w:tblCellMar>
            <w:top w:w="0" w:type="dxa"/>
            <w:left w:w="108" w:type="dxa"/>
            <w:bottom w:w="0" w:type="dxa"/>
            <w:right w:w="108" w:type="dxa"/>
          </w:tblCellMar>
        </w:tblPrEx>
        <w:trPr>
          <w:jc w:val="center"/>
        </w:trPr>
        <w:tc>
          <w:tcPr>
            <w:tcW w:w="5073" w:type="dxa"/>
            <w:vAlign w:val="center"/>
          </w:tcPr>
          <w:p w14:paraId="62B20672">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c>
          <w:tcPr>
            <w:tcW w:w="4176" w:type="dxa"/>
            <w:vAlign w:val="center"/>
          </w:tcPr>
          <w:p w14:paraId="62AE2FE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r>
      <w:tr w14:paraId="232E860A">
        <w:tblPrEx>
          <w:tblCellMar>
            <w:top w:w="0" w:type="dxa"/>
            <w:left w:w="108" w:type="dxa"/>
            <w:bottom w:w="0" w:type="dxa"/>
            <w:right w:w="108" w:type="dxa"/>
          </w:tblCellMar>
        </w:tblPrEx>
        <w:trPr>
          <w:jc w:val="center"/>
        </w:trPr>
        <w:tc>
          <w:tcPr>
            <w:tcW w:w="9249" w:type="dxa"/>
            <w:gridSpan w:val="2"/>
          </w:tcPr>
          <w:p w14:paraId="371E80AF">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合同鉴证方（公章）：</w:t>
            </w:r>
          </w:p>
          <w:p w14:paraId="283B985C">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代表人：</w:t>
            </w:r>
          </w:p>
          <w:p w14:paraId="1150D2A6">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p w14:paraId="64ADD9E2">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w:t>
            </w:r>
          </w:p>
          <w:p w14:paraId="7C8C9A0D">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电话：</w:t>
            </w:r>
          </w:p>
          <w:p w14:paraId="38FED497">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r>
    </w:tbl>
    <w:p w14:paraId="1A737154">
      <w:pPr>
        <w:adjustRightInd w:val="0"/>
        <w:snapToGrid w:val="0"/>
        <w:spacing w:line="288" w:lineRule="auto"/>
        <w:ind w:firstLine="420" w:firstLineChars="200"/>
        <w:jc w:val="center"/>
        <w:rPr>
          <w:rFonts w:hint="eastAsia" w:ascii="宋体" w:hAnsi="宋体" w:eastAsia="宋体" w:cs="Times New Roman"/>
          <w:b/>
          <w:color w:val="auto"/>
          <w:sz w:val="32"/>
          <w:szCs w:val="32"/>
          <w:highlight w:val="none"/>
        </w:rPr>
      </w:pPr>
      <w:r>
        <w:rPr>
          <w:rFonts w:ascii="宋体" w:hAnsi="宋体" w:eastAsia="宋体" w:cs="宋体"/>
          <w:color w:val="auto"/>
          <w:szCs w:val="21"/>
          <w:highlight w:val="none"/>
          <w:lang w:val="zh-CN"/>
        </w:rPr>
        <w:br w:type="page"/>
      </w:r>
    </w:p>
    <w:p w14:paraId="374504AC">
      <w:pPr>
        <w:adjustRightInd w:val="0"/>
        <w:snapToGrid w:val="0"/>
        <w:spacing w:line="288" w:lineRule="auto"/>
        <w:jc w:val="center"/>
        <w:outlineLvl w:val="0"/>
        <w:rPr>
          <w:rFonts w:hint="eastAsia" w:ascii="宋体" w:hAnsi="宋体" w:eastAsia="宋体" w:cs="Times New Roman"/>
          <w:color w:val="auto"/>
          <w:sz w:val="28"/>
          <w:szCs w:val="24"/>
          <w:highlight w:val="none"/>
        </w:rPr>
      </w:pPr>
      <w:r>
        <w:rPr>
          <w:rFonts w:ascii="宋体" w:hAnsi="宋体" w:eastAsia="宋体" w:cs="Times New Roman"/>
          <w:b/>
          <w:color w:val="auto"/>
          <w:sz w:val="32"/>
          <w:szCs w:val="32"/>
          <w:highlight w:val="none"/>
        </w:rPr>
        <w:t>第六章</w:t>
      </w:r>
      <w:r>
        <w:rPr>
          <w:rFonts w:hint="eastAsia" w:ascii="宋体" w:hAnsi="宋体" w:eastAsia="宋体" w:cs="Times New Roman"/>
          <w:b/>
          <w:color w:val="auto"/>
          <w:sz w:val="32"/>
          <w:szCs w:val="32"/>
          <w:highlight w:val="none"/>
        </w:rPr>
        <w:t xml:space="preserve">  </w:t>
      </w:r>
      <w:r>
        <w:rPr>
          <w:rFonts w:ascii="宋体" w:hAnsi="宋体" w:eastAsia="宋体" w:cs="Times New Roman"/>
          <w:b/>
          <w:color w:val="auto"/>
          <w:sz w:val="32"/>
          <w:szCs w:val="32"/>
          <w:highlight w:val="none"/>
        </w:rPr>
        <w:t>投标文件格式</w:t>
      </w:r>
    </w:p>
    <w:p w14:paraId="71F52096">
      <w:pPr>
        <w:adjustRightInd w:val="0"/>
        <w:snapToGrid w:val="0"/>
        <w:spacing w:line="288" w:lineRule="auto"/>
        <w:rPr>
          <w:rFonts w:hint="eastAsia" w:ascii="宋体" w:hAnsi="宋体" w:eastAsia="宋体" w:cs="Times New Roman"/>
          <w:b/>
          <w:bCs/>
          <w:color w:val="auto"/>
          <w:spacing w:val="-6"/>
          <w:sz w:val="24"/>
          <w:szCs w:val="24"/>
          <w:highlight w:val="none"/>
        </w:rPr>
      </w:pPr>
    </w:p>
    <w:p w14:paraId="77A61967">
      <w:pPr>
        <w:adjustRightInd w:val="0"/>
        <w:snapToGrid w:val="0"/>
        <w:spacing w:line="288" w:lineRule="auto"/>
        <w:jc w:val="center"/>
        <w:rPr>
          <w:rFonts w:hint="eastAsia" w:ascii="宋体" w:hAnsi="宋体" w:eastAsia="宋体" w:cs="Times New Roman"/>
          <w:b/>
          <w:bCs/>
          <w:color w:val="auto"/>
          <w:spacing w:val="-6"/>
          <w:sz w:val="24"/>
          <w:szCs w:val="24"/>
          <w:highlight w:val="none"/>
        </w:rPr>
      </w:pPr>
      <w:r>
        <w:rPr>
          <w:rFonts w:hint="eastAsia" w:ascii="宋体" w:hAnsi="宋体" w:eastAsia="宋体" w:cs="Times New Roman"/>
          <w:b/>
          <w:bCs/>
          <w:color w:val="auto"/>
          <w:spacing w:val="-6"/>
          <w:sz w:val="24"/>
          <w:szCs w:val="24"/>
          <w:highlight w:val="none"/>
        </w:rPr>
        <w:t xml:space="preserve">目 </w:t>
      </w:r>
      <w:r>
        <w:rPr>
          <w:rFonts w:ascii="宋体" w:hAnsi="宋体" w:eastAsia="宋体" w:cs="Times New Roman"/>
          <w:b/>
          <w:bCs/>
          <w:color w:val="auto"/>
          <w:spacing w:val="-6"/>
          <w:sz w:val="24"/>
          <w:szCs w:val="24"/>
          <w:highlight w:val="none"/>
        </w:rPr>
        <w:t xml:space="preserve"> </w:t>
      </w:r>
      <w:r>
        <w:rPr>
          <w:rFonts w:hint="eastAsia" w:ascii="宋体" w:hAnsi="宋体" w:eastAsia="宋体" w:cs="Times New Roman"/>
          <w:b/>
          <w:bCs/>
          <w:color w:val="auto"/>
          <w:spacing w:val="-6"/>
          <w:sz w:val="24"/>
          <w:szCs w:val="24"/>
          <w:highlight w:val="none"/>
        </w:rPr>
        <w:t>录</w:t>
      </w:r>
    </w:p>
    <w:p w14:paraId="37FA49C4">
      <w:pPr>
        <w:adjustRightInd w:val="0"/>
        <w:snapToGrid w:val="0"/>
        <w:spacing w:line="288" w:lineRule="auto"/>
        <w:rPr>
          <w:rFonts w:hint="eastAsia" w:ascii="宋体" w:hAnsi="宋体" w:eastAsia="宋体" w:cs="Times New Roman"/>
          <w:b/>
          <w:bCs/>
          <w:color w:val="auto"/>
          <w:spacing w:val="-6"/>
          <w:sz w:val="24"/>
          <w:szCs w:val="24"/>
          <w:highlight w:val="none"/>
        </w:rPr>
      </w:pPr>
    </w:p>
    <w:p w14:paraId="4898670E">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w:t>
      </w:r>
      <w:r>
        <w:rPr>
          <w:rFonts w:ascii="宋体" w:hAnsi="宋体" w:eastAsia="宋体" w:cs="Times New Roman"/>
          <w:b/>
          <w:bCs/>
          <w:color w:val="auto"/>
          <w:spacing w:val="-6"/>
          <w:szCs w:val="21"/>
          <w:highlight w:val="none"/>
        </w:rPr>
        <w:t>1</w:t>
      </w:r>
      <w:r>
        <w:rPr>
          <w:rFonts w:hint="eastAsia" w:ascii="宋体" w:hAnsi="宋体" w:eastAsia="宋体" w:cs="Times New Roman"/>
          <w:b/>
          <w:bCs/>
          <w:color w:val="auto"/>
          <w:spacing w:val="-6"/>
          <w:szCs w:val="21"/>
          <w:highlight w:val="none"/>
        </w:rPr>
        <w:t>.资格文件（单独上传）。</w:t>
      </w:r>
      <w:r>
        <w:rPr>
          <w:rFonts w:hint="eastAsia" w:ascii="宋体" w:hAnsi="宋体" w:eastAsia="宋体" w:cs="宋体"/>
          <w:b/>
          <w:bCs/>
          <w:color w:val="auto"/>
          <w:szCs w:val="21"/>
          <w:highlight w:val="none"/>
        </w:rPr>
        <w:t>资格审查要求的资格证明材料（均需加盖公章）。</w:t>
      </w:r>
    </w:p>
    <w:p w14:paraId="2B2AC6C0">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（1）有效的法人或者其他组织的营业执照等证明文件，自然人的身份证明</w:t>
      </w:r>
    </w:p>
    <w:p w14:paraId="69227972">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2）符合参加政府采购活动应当具备的一般条件的承诺函</w:t>
      </w:r>
    </w:p>
    <w:p w14:paraId="0B32C267">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3）落实政府采购政策需满足的资格要求：</w:t>
      </w:r>
    </w:p>
    <w:p w14:paraId="358591AA">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中小企业声明函（若属于中小企业）</w:t>
      </w:r>
    </w:p>
    <w:p w14:paraId="7E565AFC">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属于监狱企业的证明文件（若属于监狱企业）</w:t>
      </w:r>
    </w:p>
    <w:p w14:paraId="50ECF0DA">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残疾人福利性单位声明函（若属于残疾人福利性单位）</w:t>
      </w:r>
    </w:p>
    <w:p w14:paraId="03B1128D">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联合协议、分包意向协议（如有）</w:t>
      </w:r>
    </w:p>
    <w:p w14:paraId="1936D83F">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4）</w:t>
      </w:r>
      <w:r>
        <w:rPr>
          <w:rFonts w:hint="eastAsia" w:ascii="宋体" w:hAnsi="宋体" w:eastAsia="宋体" w:cs="宋体"/>
          <w:bCs/>
          <w:color w:val="auto"/>
          <w:spacing w:val="-6"/>
          <w:szCs w:val="21"/>
          <w:highlight w:val="none"/>
        </w:rPr>
        <w:t>本项目的特定资格要求证明材料：无</w:t>
      </w:r>
    </w:p>
    <w:p w14:paraId="2593EBF4">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▲联合体投标的，联合体各方均应提供资格文件材料</w:t>
      </w:r>
      <w:r>
        <w:rPr>
          <w:rFonts w:ascii="宋体" w:hAnsi="宋体" w:eastAsia="宋体" w:cs="宋体"/>
          <w:bCs/>
          <w:color w:val="auto"/>
          <w:spacing w:val="-6"/>
          <w:szCs w:val="21"/>
          <w:highlight w:val="none"/>
        </w:rPr>
        <w:t>。</w:t>
      </w:r>
    </w:p>
    <w:p w14:paraId="519EF724">
      <w:pPr>
        <w:adjustRightInd w:val="0"/>
        <w:snapToGrid w:val="0"/>
        <w:spacing w:line="288" w:lineRule="auto"/>
        <w:jc w:val="left"/>
        <w:rPr>
          <w:rFonts w:hint="eastAsia" w:ascii="宋体" w:hAnsi="宋体" w:eastAsia="宋体" w:cs="宋体"/>
          <w:b/>
          <w:color w:val="auto"/>
          <w:spacing w:val="-6"/>
          <w:szCs w:val="21"/>
          <w:highlight w:val="none"/>
        </w:rPr>
      </w:pPr>
    </w:p>
    <w:p w14:paraId="4653F30D">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ascii="宋体" w:hAnsi="宋体" w:eastAsia="宋体" w:cs="Times New Roman"/>
          <w:b/>
          <w:color w:val="auto"/>
          <w:spacing w:val="-6"/>
          <w:szCs w:val="21"/>
          <w:highlight w:val="none"/>
        </w:rPr>
        <w:t>2</w:t>
      </w:r>
      <w:r>
        <w:rPr>
          <w:rFonts w:hint="eastAsia" w:ascii="宋体" w:hAnsi="宋体" w:eastAsia="宋体" w:cs="Times New Roman"/>
          <w:b/>
          <w:color w:val="auto"/>
          <w:spacing w:val="-6"/>
          <w:szCs w:val="21"/>
          <w:highlight w:val="none"/>
        </w:rPr>
        <w:t>.商务和</w:t>
      </w:r>
      <w:r>
        <w:rPr>
          <w:rFonts w:hint="eastAsia" w:ascii="宋体" w:hAnsi="宋体" w:eastAsia="宋体" w:cs="Times New Roman"/>
          <w:b/>
          <w:bCs/>
          <w:color w:val="auto"/>
          <w:spacing w:val="-6"/>
          <w:szCs w:val="21"/>
          <w:highlight w:val="none"/>
        </w:rPr>
        <w:t>技术文件（单独上传）</w:t>
      </w:r>
    </w:p>
    <w:p w14:paraId="3760DAE7">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（1）投标函</w:t>
      </w:r>
    </w:p>
    <w:p w14:paraId="69ADE6B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2）授权委托书</w:t>
      </w:r>
      <w:r>
        <w:rPr>
          <w:rFonts w:hint="eastAsia" w:ascii="宋体" w:hAnsi="宋体" w:eastAsia="宋体" w:cs="Times New Roman"/>
          <w:color w:val="auto"/>
          <w:spacing w:val="-6"/>
          <w:szCs w:val="21"/>
          <w:highlight w:val="none"/>
        </w:rPr>
        <w:t>/法定代表人（单位负责人、自然人本人）身份证明</w:t>
      </w:r>
    </w:p>
    <w:p w14:paraId="1BC7674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附：授权代表社保缴纳证明（</w:t>
      </w:r>
      <w:r>
        <w:rPr>
          <w:rFonts w:hint="eastAsia" w:ascii="宋体" w:hAnsi="宋体" w:eastAsia="宋体" w:cs="Times New Roman"/>
          <w:color w:val="auto"/>
          <w:spacing w:val="-6"/>
          <w:szCs w:val="21"/>
          <w:highlight w:val="none"/>
        </w:rPr>
        <w:t>2024年7月（含）</w:t>
      </w:r>
      <w:r>
        <w:rPr>
          <w:rFonts w:ascii="宋体" w:hAnsi="宋体" w:eastAsia="宋体" w:cs="Times New Roman"/>
          <w:color w:val="auto"/>
          <w:spacing w:val="-6"/>
          <w:szCs w:val="21"/>
          <w:highlight w:val="none"/>
        </w:rPr>
        <w:t>以后任意一月）</w:t>
      </w:r>
    </w:p>
    <w:p w14:paraId="57FFA455">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）投标人同类合同一览表</w:t>
      </w:r>
    </w:p>
    <w:p w14:paraId="2D1FD1F7">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4</w:t>
      </w:r>
      <w:r>
        <w:rPr>
          <w:rFonts w:hint="eastAsia" w:ascii="宋体" w:hAnsi="宋体" w:eastAsia="宋体" w:cs="宋体"/>
          <w:color w:val="auto"/>
          <w:spacing w:val="-6"/>
          <w:szCs w:val="21"/>
          <w:highlight w:val="none"/>
        </w:rPr>
        <w:t>）采购需求偏离表</w:t>
      </w:r>
    </w:p>
    <w:p w14:paraId="5FA1CDA2">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5</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标的配置清单</w:t>
      </w:r>
    </w:p>
    <w:p w14:paraId="50E6AA7E">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6</w:t>
      </w:r>
      <w:r>
        <w:rPr>
          <w:rFonts w:hint="eastAsia" w:ascii="宋体" w:hAnsi="宋体" w:eastAsia="宋体" w:cs="宋体"/>
          <w:color w:val="auto"/>
          <w:spacing w:val="-6"/>
          <w:szCs w:val="21"/>
          <w:highlight w:val="none"/>
        </w:rPr>
        <w:t>）技术方案</w:t>
      </w:r>
    </w:p>
    <w:p w14:paraId="02E2555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7</w:t>
      </w:r>
      <w:r>
        <w:rPr>
          <w:rFonts w:hint="eastAsia" w:ascii="宋体" w:hAnsi="宋体" w:eastAsia="宋体" w:cs="Times New Roman"/>
          <w:color w:val="auto"/>
          <w:spacing w:val="-6"/>
          <w:szCs w:val="21"/>
          <w:highlight w:val="none"/>
        </w:rPr>
        <w:t>）节能、环保产品证明材料</w:t>
      </w:r>
    </w:p>
    <w:p w14:paraId="3869BA3C">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（8）科技创新相关证明材料</w:t>
      </w:r>
    </w:p>
    <w:p w14:paraId="6A396650">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（9</w:t>
      </w:r>
      <w:r>
        <w:rPr>
          <w:rFonts w:ascii="宋体" w:hAnsi="宋体" w:eastAsia="宋体" w:cs="宋体"/>
          <w:color w:val="auto"/>
          <w:spacing w:val="-6"/>
          <w:szCs w:val="21"/>
          <w:highlight w:val="none"/>
        </w:rPr>
        <w:t>）投标人需要说明的其他文件和材料。</w:t>
      </w:r>
    </w:p>
    <w:p w14:paraId="26470217">
      <w:pPr>
        <w:adjustRightInd w:val="0"/>
        <w:snapToGrid w:val="0"/>
        <w:spacing w:line="288" w:lineRule="auto"/>
        <w:jc w:val="left"/>
        <w:rPr>
          <w:rFonts w:hint="eastAsia" w:ascii="宋体" w:hAnsi="宋体" w:eastAsia="宋体" w:cs="Times New Roman"/>
          <w:b/>
          <w:color w:val="auto"/>
          <w:spacing w:val="-6"/>
          <w:szCs w:val="21"/>
          <w:highlight w:val="none"/>
        </w:rPr>
      </w:pPr>
    </w:p>
    <w:p w14:paraId="47EC65AF">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3.</w:t>
      </w:r>
      <w:r>
        <w:rPr>
          <w:rFonts w:hint="eastAsia" w:ascii="宋体" w:hAnsi="宋体" w:eastAsia="宋体" w:cs="Times New Roman"/>
          <w:b/>
          <w:color w:val="auto"/>
          <w:spacing w:val="-6"/>
          <w:szCs w:val="21"/>
          <w:highlight w:val="none"/>
        </w:rPr>
        <w:t>报价文件</w:t>
      </w:r>
      <w:r>
        <w:rPr>
          <w:rFonts w:hint="eastAsia" w:ascii="宋体" w:hAnsi="宋体" w:eastAsia="宋体" w:cs="Times New Roman"/>
          <w:b/>
          <w:bCs/>
          <w:color w:val="auto"/>
          <w:spacing w:val="-6"/>
          <w:szCs w:val="21"/>
          <w:highlight w:val="none"/>
        </w:rPr>
        <w:t>（单独上传）</w:t>
      </w:r>
    </w:p>
    <w:p w14:paraId="64206AB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（1）开标一览表</w:t>
      </w:r>
    </w:p>
    <w:p w14:paraId="3BDB16B3">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7ECFAF91">
      <w:pPr>
        <w:tabs>
          <w:tab w:val="center" w:pos="4706"/>
        </w:tabs>
        <w:adjustRightInd w:val="0"/>
        <w:snapToGrid w:val="0"/>
        <w:spacing w:line="288" w:lineRule="auto"/>
        <w:jc w:val="center"/>
        <w:outlineLvl w:val="2"/>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评分索引表</w:t>
      </w:r>
    </w:p>
    <w:tbl>
      <w:tblPr>
        <w:tblStyle w:val="24"/>
        <w:tblW w:w="942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2091"/>
        <w:gridCol w:w="709"/>
        <w:gridCol w:w="3040"/>
        <w:gridCol w:w="967"/>
        <w:gridCol w:w="1053"/>
        <w:gridCol w:w="882"/>
      </w:tblGrid>
      <w:tr w14:paraId="5FF6F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0A5AE29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序号</w:t>
            </w:r>
          </w:p>
        </w:tc>
        <w:tc>
          <w:tcPr>
            <w:tcW w:w="2091" w:type="dxa"/>
            <w:vAlign w:val="center"/>
          </w:tcPr>
          <w:p w14:paraId="1B0EF22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评审因素</w:t>
            </w:r>
          </w:p>
        </w:tc>
        <w:tc>
          <w:tcPr>
            <w:tcW w:w="709" w:type="dxa"/>
            <w:vAlign w:val="center"/>
          </w:tcPr>
          <w:p w14:paraId="0057E31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分值</w:t>
            </w:r>
          </w:p>
        </w:tc>
        <w:tc>
          <w:tcPr>
            <w:tcW w:w="3040" w:type="dxa"/>
            <w:vAlign w:val="center"/>
          </w:tcPr>
          <w:p w14:paraId="7A815268">
            <w:pPr>
              <w:keepNext w:val="0"/>
              <w:keepLines w:val="0"/>
              <w:suppressLineNumbers w:val="0"/>
              <w:tabs>
                <w:tab w:val="left" w:pos="1418"/>
              </w:tabs>
              <w:adjustRightInd w:val="0"/>
              <w:snapToGrid w:val="0"/>
              <w:spacing w:before="0" w:beforeAutospacing="0" w:after="0" w:afterAutospacing="0" w:line="288" w:lineRule="auto"/>
              <w:ind w:left="0" w:right="0" w:firstLine="398"/>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评分标准</w:t>
            </w:r>
          </w:p>
        </w:tc>
        <w:tc>
          <w:tcPr>
            <w:tcW w:w="967" w:type="dxa"/>
            <w:vAlign w:val="center"/>
          </w:tcPr>
          <w:p w14:paraId="1010DE04">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自评分</w:t>
            </w:r>
          </w:p>
        </w:tc>
        <w:tc>
          <w:tcPr>
            <w:tcW w:w="1053" w:type="dxa"/>
            <w:vAlign w:val="center"/>
          </w:tcPr>
          <w:p w14:paraId="0337F3B1">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自评依据</w:t>
            </w:r>
          </w:p>
        </w:tc>
        <w:tc>
          <w:tcPr>
            <w:tcW w:w="882" w:type="dxa"/>
            <w:vAlign w:val="center"/>
          </w:tcPr>
          <w:p w14:paraId="73D256A9">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页码</w:t>
            </w:r>
          </w:p>
        </w:tc>
      </w:tr>
      <w:tr w14:paraId="01D9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23" w:type="dxa"/>
            <w:gridSpan w:val="7"/>
            <w:vAlign w:val="center"/>
          </w:tcPr>
          <w:p w14:paraId="0C3E7BE3">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商务分</w:t>
            </w:r>
          </w:p>
        </w:tc>
      </w:tr>
      <w:tr w14:paraId="40033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02F477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67A061C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26CFB7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5EBFEBE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5371260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396CDE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641817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53F2B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2AE8065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5CCE44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3DA606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17C8CD8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1E23A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498B1C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1DEED4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7EF0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3B53578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2091" w:type="dxa"/>
            <w:vAlign w:val="center"/>
          </w:tcPr>
          <w:p w14:paraId="5DBBAE7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709" w:type="dxa"/>
            <w:vAlign w:val="center"/>
          </w:tcPr>
          <w:p w14:paraId="18E2C7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3040" w:type="dxa"/>
            <w:vAlign w:val="center"/>
          </w:tcPr>
          <w:p w14:paraId="0CDB96F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kern w:val="0"/>
                <w:szCs w:val="21"/>
                <w:highlight w:val="none"/>
              </w:rPr>
            </w:pPr>
          </w:p>
        </w:tc>
        <w:tc>
          <w:tcPr>
            <w:tcW w:w="967" w:type="dxa"/>
            <w:vAlign w:val="center"/>
          </w:tcPr>
          <w:p w14:paraId="7F7F7B2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c>
          <w:tcPr>
            <w:tcW w:w="1053" w:type="dxa"/>
            <w:vAlign w:val="center"/>
          </w:tcPr>
          <w:p w14:paraId="24ED60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c>
          <w:tcPr>
            <w:tcW w:w="882" w:type="dxa"/>
          </w:tcPr>
          <w:p w14:paraId="6FF943A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r>
      <w:tr w14:paraId="2D89E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4DB6C78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988AA1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350FAB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2634BDF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B7DCA0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CDE8DF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67F5E3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1932B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2ADA49B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EF8607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FC54D0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6EC772B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75267D5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7DF7BC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6BB068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2BAE9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F2EC5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CA70FF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12895C5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2531E7D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2D5DBC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A21794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2D7FFB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1540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23" w:type="dxa"/>
            <w:gridSpan w:val="7"/>
            <w:vAlign w:val="center"/>
          </w:tcPr>
          <w:p w14:paraId="3C5303C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技术</w:t>
            </w:r>
            <w:r>
              <w:rPr>
                <w:rFonts w:hint="default" w:ascii="宋体" w:hAnsi="宋体" w:eastAsia="宋体" w:cs="Times New Roman"/>
                <w:b/>
                <w:color w:val="auto"/>
                <w:spacing w:val="-6"/>
                <w:szCs w:val="21"/>
                <w:highlight w:val="none"/>
              </w:rPr>
              <w:t>分</w:t>
            </w:r>
          </w:p>
        </w:tc>
      </w:tr>
      <w:tr w14:paraId="3885A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6D846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5A03575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086885C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12C7B4F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1BADE94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5C96540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325212E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525B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410A94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9105D1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787A7F5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6B782F1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5726B9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A9517C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54B47A9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3776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6FCA777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756F83F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0D7F238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36B1C84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E2D045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242841C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E2E8E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45968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79B9E3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F0247A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76FEA05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3B596F6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F8DCEC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74BD4D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3CCDCD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73F2C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6F93BF2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7EB2B5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204746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597B3C5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574F4C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36E7D0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57667B7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bl>
    <w:p w14:paraId="67490BE6">
      <w:pPr>
        <w:adjustRightInd w:val="0"/>
        <w:snapToGrid w:val="0"/>
        <w:spacing w:line="288" w:lineRule="auto"/>
        <w:rPr>
          <w:rFonts w:hint="eastAsia" w:ascii="宋体" w:hAnsi="宋体" w:eastAsia="宋体" w:cs="Times New Roman"/>
          <w:color w:val="auto"/>
          <w:spacing w:val="-6"/>
          <w:szCs w:val="21"/>
          <w:highlight w:val="none"/>
        </w:rPr>
      </w:pPr>
    </w:p>
    <w:p w14:paraId="7CEAFD55">
      <w:pPr>
        <w:widowControl/>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备注：本表仅为方便评标委员会评审使用，不作为判别投标文件是否有效的依据。</w:t>
      </w:r>
    </w:p>
    <w:p w14:paraId="6A75B257">
      <w:pPr>
        <w:widowControl/>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5E2C9B2D">
      <w:pPr>
        <w:adjustRightInd w:val="0"/>
        <w:snapToGrid w:val="0"/>
        <w:spacing w:line="288" w:lineRule="auto"/>
        <w:jc w:val="center"/>
        <w:outlineLvl w:val="1"/>
        <w:rPr>
          <w:rFonts w:hint="eastAsia" w:ascii="宋体" w:hAnsi="宋体" w:eastAsia="宋体" w:cs="Times New Roman"/>
          <w:b/>
          <w:color w:val="auto"/>
          <w:spacing w:val="-6"/>
          <w:sz w:val="84"/>
          <w:szCs w:val="84"/>
          <w:highlight w:val="none"/>
        </w:rPr>
      </w:pPr>
      <w:r>
        <w:rPr>
          <w:rFonts w:hint="eastAsia" w:ascii="宋体" w:hAnsi="宋体" w:eastAsia="宋体" w:cs="Times New Roman"/>
          <w:b/>
          <w:color w:val="auto"/>
          <w:spacing w:val="-6"/>
          <w:sz w:val="84"/>
          <w:szCs w:val="84"/>
          <w:highlight w:val="none"/>
        </w:rPr>
        <w:t>资格文件</w:t>
      </w:r>
    </w:p>
    <w:p w14:paraId="2DE1C806">
      <w:pPr>
        <w:adjustRightInd w:val="0"/>
        <w:snapToGrid w:val="0"/>
        <w:spacing w:line="288" w:lineRule="auto"/>
        <w:jc w:val="center"/>
        <w:rPr>
          <w:rFonts w:hint="eastAsia" w:ascii="宋体" w:hAnsi="宋体" w:eastAsia="宋体" w:cs="宋体"/>
          <w:b/>
          <w:bCs/>
          <w:color w:val="auto"/>
          <w:sz w:val="24"/>
          <w:szCs w:val="24"/>
          <w:highlight w:val="none"/>
        </w:rPr>
      </w:pPr>
    </w:p>
    <w:p w14:paraId="1C71A8AA">
      <w:pPr>
        <w:adjustRightInd w:val="0"/>
        <w:snapToGrid w:val="0"/>
        <w:spacing w:line="288" w:lineRule="auto"/>
        <w:jc w:val="center"/>
        <w:rPr>
          <w:rFonts w:hint="eastAsia" w:ascii="宋体" w:hAnsi="宋体" w:eastAsia="宋体" w:cs="宋体"/>
          <w:b/>
          <w:bCs/>
          <w:color w:val="auto"/>
          <w:sz w:val="24"/>
          <w:szCs w:val="24"/>
          <w:highlight w:val="none"/>
        </w:rPr>
      </w:pPr>
    </w:p>
    <w:p w14:paraId="2BED115E">
      <w:pPr>
        <w:adjustRightInd w:val="0"/>
        <w:snapToGrid w:val="0"/>
        <w:spacing w:line="288" w:lineRule="auto"/>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资格审查要求的资格证明材料（均需加盖公章）</w:t>
      </w:r>
    </w:p>
    <w:p w14:paraId="59BADAF3">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694DA53B">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1</w:t>
      </w:r>
      <w:r>
        <w:rPr>
          <w:rFonts w:hint="eastAsia" w:ascii="宋体" w:hAnsi="宋体" w:eastAsia="宋体" w:cs="宋体"/>
          <w:b/>
          <w:color w:val="auto"/>
          <w:spacing w:val="-6"/>
          <w:szCs w:val="21"/>
          <w:highlight w:val="none"/>
        </w:rPr>
        <w:t>）有效的法人或者其他组织的营业执照等证明文件，自然人的身份证明</w:t>
      </w:r>
      <w:r>
        <w:rPr>
          <w:rFonts w:hint="eastAsia" w:ascii="宋体" w:hAnsi="宋体" w:eastAsia="宋体" w:cs="Times New Roman"/>
          <w:b/>
          <w:color w:val="auto"/>
          <w:spacing w:val="-6"/>
          <w:szCs w:val="21"/>
          <w:highlight w:val="none"/>
        </w:rPr>
        <w:t>（扫描件）</w:t>
      </w:r>
    </w:p>
    <w:p w14:paraId="5261C871">
      <w:pPr>
        <w:adjustRightInd w:val="0"/>
        <w:snapToGrid w:val="0"/>
        <w:spacing w:line="288" w:lineRule="auto"/>
        <w:rPr>
          <w:rFonts w:hint="eastAsia" w:ascii="宋体" w:hAnsi="宋体" w:eastAsia="宋体" w:cs="Times New Roman"/>
          <w:bCs/>
          <w:color w:val="auto"/>
          <w:spacing w:val="-6"/>
          <w:szCs w:val="21"/>
          <w:highlight w:val="none"/>
        </w:rPr>
      </w:pPr>
    </w:p>
    <w:p w14:paraId="4C6928BE">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说明</w:t>
      </w:r>
      <w:r>
        <w:rPr>
          <w:rFonts w:ascii="宋体" w:hAnsi="宋体" w:eastAsia="宋体" w:cs="Times New Roman"/>
          <w:bCs/>
          <w:color w:val="auto"/>
          <w:spacing w:val="-6"/>
          <w:szCs w:val="21"/>
          <w:highlight w:val="none"/>
        </w:rPr>
        <w:t>：</w:t>
      </w:r>
    </w:p>
    <w:p w14:paraId="40DCBB89">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1</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如投标人是企业（包括合伙企业），提供在工商部门注册的有效“企业法人营业执照”或“营业执照”；</w:t>
      </w:r>
    </w:p>
    <w:p w14:paraId="7702B9A6">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2</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如投标人是事业单位，提供有效的“事业单位法人证书”；</w:t>
      </w:r>
    </w:p>
    <w:p w14:paraId="356C48E0">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3</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如投标人是非企业专业服务机构的，提供执业许可证等证明文件；</w:t>
      </w:r>
    </w:p>
    <w:p w14:paraId="710116F7">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4</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如投标人是个体工商户，提供有效的“个体工商户营业执照”；</w:t>
      </w:r>
    </w:p>
    <w:p w14:paraId="5BC204E8">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5</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如投标人是自然人，提供有效的自然人身份证明。</w:t>
      </w:r>
    </w:p>
    <w:p w14:paraId="448175FF">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Times New Roman"/>
          <w:bCs/>
          <w:color w:val="auto"/>
          <w:spacing w:val="-6"/>
          <w:szCs w:val="21"/>
          <w:highlight w:val="none"/>
        </w:rPr>
        <w:br w:type="page"/>
      </w: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2）符合参加政府采购活动应当具备的一般条件的承诺函</w:t>
      </w:r>
    </w:p>
    <w:p w14:paraId="59199CD5">
      <w:pPr>
        <w:adjustRightInd w:val="0"/>
        <w:snapToGrid w:val="0"/>
        <w:spacing w:line="288" w:lineRule="auto"/>
        <w:rPr>
          <w:rFonts w:hint="eastAsia" w:ascii="宋体" w:hAnsi="宋体" w:eastAsia="宋体" w:cs="Times New Roman"/>
          <w:b/>
          <w:bCs/>
          <w:color w:val="auto"/>
          <w:spacing w:val="-6"/>
          <w:szCs w:val="21"/>
          <w:highlight w:val="none"/>
        </w:rPr>
      </w:pPr>
    </w:p>
    <w:p w14:paraId="09AC6A66">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致：杭州电子科技大学、浙江求是招标代理有限公司</w:t>
      </w:r>
    </w:p>
    <w:p w14:paraId="5619E856">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50FEAEB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w:t>
      </w:r>
      <w:r>
        <w:rPr>
          <w:rFonts w:hint="eastAsia" w:ascii="宋体" w:hAnsi="宋体" w:eastAsia="宋体" w:cs="Times New Roman"/>
          <w:color w:val="auto"/>
          <w:spacing w:val="-6"/>
          <w:szCs w:val="21"/>
          <w:highlight w:val="none"/>
          <w:u w:val="single"/>
        </w:rPr>
        <w:t xml:space="preserve">（投标人名称）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 xml:space="preserve">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参加</w:t>
      </w:r>
      <w:r>
        <w:rPr>
          <w:rFonts w:hint="eastAsia" w:ascii="宋体" w:hAnsi="宋体" w:eastAsia="宋体" w:cs="Times New Roman"/>
          <w:color w:val="auto"/>
          <w:spacing w:val="-6"/>
          <w:szCs w:val="21"/>
          <w:highlight w:val="none"/>
          <w:u w:val="single"/>
        </w:rPr>
        <w:t xml:space="preserve">（项目名称）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项目的采购活动并承诺如下：</w:t>
      </w:r>
    </w:p>
    <w:p w14:paraId="1C0B48E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一、我方满足《中华人民共和国政府采购法》第二十二条规定：</w:t>
      </w:r>
    </w:p>
    <w:p w14:paraId="493B24F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（一）具有独立承担民事责任的能力；</w:t>
      </w:r>
    </w:p>
    <w:p w14:paraId="3B2B71B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（二）具有良好的商业信誉和健全的财务会计制度；</w:t>
      </w:r>
    </w:p>
    <w:p w14:paraId="4A5C533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（三）具有履行合同所必需的设备和专业技术能力；</w:t>
      </w:r>
    </w:p>
    <w:p w14:paraId="0AB0E84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（四）有依法缴纳税收和社会保障资金的良好记录；</w:t>
      </w:r>
    </w:p>
    <w:p w14:paraId="09E66DF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（五）参加本项目政府采购活动前三年内，在经营活动中</w:t>
      </w:r>
      <w:r>
        <w:rPr>
          <w:rFonts w:hint="eastAsia" w:ascii="宋体" w:hAnsi="宋体" w:eastAsia="宋体" w:cs="Times New Roman"/>
          <w:b/>
          <w:color w:val="auto"/>
          <w:spacing w:val="-6"/>
          <w:szCs w:val="21"/>
          <w:highlight w:val="none"/>
          <w:u w:val="single"/>
        </w:rPr>
        <w:t xml:space="preserve">  没有  </w:t>
      </w:r>
      <w:r>
        <w:rPr>
          <w:rFonts w:hint="eastAsia" w:ascii="宋体" w:hAnsi="宋体" w:eastAsia="宋体" w:cs="Times New Roman"/>
          <w:color w:val="auto"/>
          <w:spacing w:val="-6"/>
          <w:szCs w:val="21"/>
          <w:highlight w:val="none"/>
        </w:rPr>
        <w:t>重大违法记录。（重大违法记录是指投标人因违法经营受到刑事处罚或者责令停产停业、吊销许可证或者执照、较大数额罚款等行政处罚）</w:t>
      </w:r>
    </w:p>
    <w:p w14:paraId="6798D51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（六）法律、行政法规规定的其他条件。</w:t>
      </w:r>
    </w:p>
    <w:p w14:paraId="5E01D5B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二、未被信用中国（www.creditchina.gov.cn）</w:t>
      </w:r>
      <w:r>
        <w:rPr>
          <w:rFonts w:ascii="宋体" w:hAnsi="宋体" w:eastAsia="宋体" w:cs="Times New Roman"/>
          <w:color w:val="auto"/>
          <w:spacing w:val="-6"/>
          <w:szCs w:val="21"/>
          <w:highlight w:val="none"/>
        </w:rPr>
        <w:t>、中国政府采购网（www.ccgp.gov.cn）列入失信被执行人、重大税收违法案件当事人名单、政府采购严重违法失信行为记录名单。</w:t>
      </w:r>
    </w:p>
    <w:p w14:paraId="1CB1EDD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三、不存在以下情况：</w:t>
      </w:r>
    </w:p>
    <w:p w14:paraId="5F8BDE3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单位负责人为同一人或者存在直接控股、管理关系的不同供应商参加同一合同项下的政府采购活动的；</w:t>
      </w:r>
    </w:p>
    <w:p w14:paraId="49D7F55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为采购项目提供整体设计、规范编制或者项目管理、监理、检测等服务后再参加该采购项目的其他采购活动的。</w:t>
      </w:r>
    </w:p>
    <w:p w14:paraId="4C93744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四、</w:t>
      </w:r>
      <w:r>
        <w:rPr>
          <w:rFonts w:ascii="宋体" w:hAnsi="宋体" w:eastAsia="宋体" w:cs="Times New Roman"/>
          <w:color w:val="auto"/>
          <w:spacing w:val="-6"/>
          <w:szCs w:val="21"/>
          <w:highlight w:val="none"/>
        </w:rPr>
        <w:t>以上事项如有虚假或隐瞒，我方愿意承担一切后果和责任。</w:t>
      </w:r>
    </w:p>
    <w:p w14:paraId="503A7AA7">
      <w:pPr>
        <w:adjustRightInd w:val="0"/>
        <w:snapToGrid w:val="0"/>
        <w:spacing w:line="288" w:lineRule="auto"/>
        <w:rPr>
          <w:rFonts w:hint="eastAsia" w:ascii="宋体" w:hAnsi="宋体" w:eastAsia="宋体" w:cs="Times New Roman"/>
          <w:color w:val="auto"/>
          <w:szCs w:val="21"/>
          <w:highlight w:val="none"/>
        </w:rPr>
      </w:pPr>
    </w:p>
    <w:p w14:paraId="03BE7C87">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420F7606">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09459AC8">
      <w:pPr>
        <w:widowControl/>
        <w:adjustRightInd w:val="0"/>
        <w:snapToGrid w:val="0"/>
        <w:spacing w:line="288" w:lineRule="auto"/>
        <w:jc w:val="left"/>
        <w:rPr>
          <w:rFonts w:hint="eastAsia" w:ascii="宋体" w:hAnsi="宋体" w:eastAsia="宋体" w:cs="宋体"/>
          <w:b/>
          <w:color w:val="auto"/>
          <w:spacing w:val="-6"/>
          <w:szCs w:val="21"/>
          <w:highlight w:val="none"/>
        </w:rPr>
      </w:pPr>
    </w:p>
    <w:p w14:paraId="5155161B">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0E71DE98">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3）落实政府采购政策需满足的资格要求：</w:t>
      </w:r>
    </w:p>
    <w:p w14:paraId="7C41BFCE">
      <w:pPr>
        <w:adjustRightInd w:val="0"/>
        <w:snapToGrid w:val="0"/>
        <w:spacing w:line="288" w:lineRule="auto"/>
        <w:jc w:val="center"/>
        <w:outlineLvl w:val="2"/>
        <w:rPr>
          <w:rFonts w:hint="eastAsia" w:ascii="宋体" w:hAnsi="宋体" w:eastAsia="宋体" w:cs="宋体"/>
          <w:b/>
          <w:color w:val="auto"/>
          <w:spacing w:val="-6"/>
          <w:szCs w:val="21"/>
          <w:highlight w:val="none"/>
        </w:rPr>
      </w:pPr>
    </w:p>
    <w:p w14:paraId="0168493C">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t>中小企业声明函（货物）</w:t>
      </w:r>
      <w:r>
        <w:rPr>
          <w:rFonts w:hint="eastAsia" w:ascii="宋体" w:hAnsi="宋体" w:eastAsia="宋体" w:cs="宋体"/>
          <w:b/>
          <w:color w:val="auto"/>
          <w:spacing w:val="-6"/>
          <w:szCs w:val="21"/>
          <w:highlight w:val="none"/>
        </w:rPr>
        <w:t>（标项一）（若属于中小企业）</w:t>
      </w:r>
    </w:p>
    <w:p w14:paraId="18CE3EF8">
      <w:pPr>
        <w:adjustRightInd w:val="0"/>
        <w:snapToGrid w:val="0"/>
        <w:spacing w:line="288" w:lineRule="auto"/>
        <w:ind w:firstLine="498" w:firstLineChars="236"/>
        <w:rPr>
          <w:rFonts w:hint="eastAsia" w:ascii="宋体" w:hAnsi="宋体" w:eastAsia="宋体" w:cs="Times New Roman"/>
          <w:b/>
          <w:color w:val="auto"/>
          <w:szCs w:val="21"/>
          <w:highlight w:val="none"/>
        </w:rPr>
      </w:pPr>
    </w:p>
    <w:p w14:paraId="3B525E1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本公司（联合体）郑重声明，根据《政府采购促进中小企业发展管理办法》（财库</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2020</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46 号）的规定，本公司（联合体）参加</w:t>
      </w:r>
      <w:r>
        <w:rPr>
          <w:rFonts w:hint="eastAsia" w:ascii="宋体" w:hAnsi="宋体" w:eastAsia="宋体" w:cs="Times New Roman"/>
          <w:color w:val="auto"/>
          <w:szCs w:val="21"/>
          <w:highlight w:val="none"/>
          <w:u w:val="single"/>
        </w:rPr>
        <w:t>杭州电子科技大学</w:t>
      </w:r>
      <w:r>
        <w:rPr>
          <w:rFonts w:ascii="宋体" w:hAnsi="宋体" w:eastAsia="宋体" w:cs="Times New Roman"/>
          <w:color w:val="auto"/>
          <w:szCs w:val="21"/>
          <w:highlight w:val="none"/>
        </w:rPr>
        <w:t>的</w:t>
      </w:r>
      <w:r>
        <w:rPr>
          <w:rFonts w:hint="eastAsia" w:ascii="宋体" w:hAnsi="宋体" w:eastAsia="宋体" w:cs="Times New Roman"/>
          <w:color w:val="auto"/>
          <w:szCs w:val="21"/>
          <w:highlight w:val="none"/>
          <w:u w:val="single"/>
        </w:rPr>
        <w:t>图书馆公共学习空间家具采购</w:t>
      </w:r>
      <w:r>
        <w:rPr>
          <w:rFonts w:ascii="宋体" w:hAnsi="宋体" w:eastAsia="宋体" w:cs="Times New Roman"/>
          <w:color w:val="auto"/>
          <w:szCs w:val="21"/>
          <w:highlight w:val="none"/>
        </w:rPr>
        <w:t>采购活动，提供的货物全部由符合政策要求的中小企业制造。相关企业（含联合体中的中小企业、签订分包意向协议的中小企业）的具体情况如下：</w:t>
      </w:r>
    </w:p>
    <w:p w14:paraId="76722032">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1.</w:t>
      </w:r>
      <w:r>
        <w:rPr>
          <w:rFonts w:hint="eastAsia" w:ascii="宋体" w:hAnsi="宋体" w:eastAsia="宋体" w:cs="Times New Roman"/>
          <w:color w:val="auto"/>
          <w:szCs w:val="21"/>
          <w:highlight w:val="none"/>
          <w:u w:val="single"/>
          <w:lang w:eastAsia="zh-CN"/>
        </w:rPr>
        <w:t>阅览桌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4120455">
      <w:pPr>
        <w:numPr>
          <w:ilvl w:val="0"/>
          <w:numId w:val="0"/>
        </w:num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2</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阅览椅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B2B35BC">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3.</w:t>
      </w:r>
      <w:r>
        <w:rPr>
          <w:rFonts w:hint="eastAsia" w:ascii="宋体" w:hAnsi="宋体" w:eastAsia="宋体" w:cs="Times New Roman"/>
          <w:color w:val="auto"/>
          <w:szCs w:val="21"/>
          <w:highlight w:val="none"/>
          <w:u w:val="single"/>
        </w:rPr>
        <w:t>双面空格柜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C6BB0EE">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4</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靠窗单边桌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3ED9066">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5.</w:t>
      </w:r>
      <w:r>
        <w:rPr>
          <w:rFonts w:hint="eastAsia" w:ascii="宋体" w:hAnsi="宋体" w:eastAsia="宋体" w:cs="Times New Roman"/>
          <w:color w:val="auto"/>
          <w:szCs w:val="21"/>
          <w:highlight w:val="none"/>
          <w:u w:val="single"/>
        </w:rPr>
        <w:t>六人组合思考桌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1AA8D5B">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6</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木饰面包柱</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hint="eastAsia" w:ascii="宋体" w:hAnsi="宋体" w:eastAsia="宋体" w:cs="Times New Roman"/>
          <w:color w:val="auto"/>
          <w:szCs w:val="21"/>
          <w:highlight w:val="none"/>
          <w:lang w:eastAsia="zh-CN"/>
        </w:rPr>
        <w:t>。</w:t>
      </w:r>
    </w:p>
    <w:p w14:paraId="709A8EAC">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以上企业，不属于大企业的分支机构，不存在控股股东为大企业的情形，也不存在与大企业的负责人为同一人的情形。</w:t>
      </w:r>
    </w:p>
    <w:p w14:paraId="74604CCD">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本企业对上述声明内容的真实性负责。如有虚假，将依法承担相应责任。</w:t>
      </w:r>
    </w:p>
    <w:p w14:paraId="2D6F391A">
      <w:pPr>
        <w:adjustRightInd w:val="0"/>
        <w:snapToGrid w:val="0"/>
        <w:spacing w:line="288" w:lineRule="auto"/>
        <w:ind w:firstLine="495" w:firstLineChars="236"/>
        <w:rPr>
          <w:rFonts w:hint="eastAsia" w:ascii="宋体" w:hAnsi="宋体" w:eastAsia="宋体" w:cs="Times New Roman"/>
          <w:color w:val="auto"/>
          <w:szCs w:val="21"/>
          <w:highlight w:val="none"/>
        </w:rPr>
      </w:pPr>
    </w:p>
    <w:p w14:paraId="1EEE7230">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企业名称（盖章）：</w:t>
      </w:r>
    </w:p>
    <w:p w14:paraId="3C9F69D0">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日期：</w:t>
      </w:r>
    </w:p>
    <w:p w14:paraId="4AAB2A40">
      <w:pPr>
        <w:adjustRightInd w:val="0"/>
        <w:snapToGrid w:val="0"/>
        <w:spacing w:line="288" w:lineRule="auto"/>
        <w:ind w:firstLine="495" w:firstLineChars="236"/>
        <w:rPr>
          <w:rFonts w:hint="eastAsia" w:ascii="宋体" w:hAnsi="宋体" w:eastAsia="宋体" w:cs="Times New Roman"/>
          <w:color w:val="auto"/>
          <w:szCs w:val="21"/>
          <w:highlight w:val="none"/>
        </w:rPr>
      </w:pPr>
    </w:p>
    <w:p w14:paraId="2380C35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1DD30EF7">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1.标的名称，按照【招标文件】中明确的标的填写；</w:t>
      </w:r>
    </w:p>
    <w:p w14:paraId="44F1E735">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2.所属行业，按照【招标文件】中明确的标的“所属行业”填写；</w:t>
      </w:r>
    </w:p>
    <w:p w14:paraId="0F3FAF0E">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3.制造商，货物由中小企业制造，即货物由中小企业生产且使用该中小企业商号或者注册商标；</w:t>
      </w:r>
    </w:p>
    <w:p w14:paraId="192B548D">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4.从业人员、营业收入、资产总额填报上一年度数据，无上一年度数据的新成立企业可不填报。</w:t>
      </w:r>
    </w:p>
    <w:p w14:paraId="2E575BF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5.企业类型（包括新成立企业），按照《中小企业划型标准规定》（工信部联企业〔2011〕300号）规定和【招标文件】中明确的标的“所属行业”，选择“中型企业、小型企业、微型企业”其中之一；</w:t>
      </w:r>
    </w:p>
    <w:p w14:paraId="68711702">
      <w:pPr>
        <w:adjustRightInd w:val="0"/>
        <w:snapToGrid w:val="0"/>
        <w:spacing w:line="288" w:lineRule="auto"/>
        <w:ind w:firstLine="495" w:firstLineChars="236"/>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6.招标文件中明确的标的是能够独立发挥功能的产品，配件、辅料不作为标的，不需要在《中小企业声明函》里填列。</w:t>
      </w:r>
    </w:p>
    <w:p w14:paraId="5CB426E3">
      <w:pPr>
        <w:widowControl/>
        <w:adjustRightInd w:val="0"/>
        <w:snapToGrid w:val="0"/>
        <w:spacing w:line="288" w:lineRule="auto"/>
        <w:ind w:firstLine="495" w:firstLineChars="236"/>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5B534C8C">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t>中小企业声明函（货物）</w:t>
      </w:r>
      <w:r>
        <w:rPr>
          <w:rFonts w:hint="eastAsia" w:ascii="宋体" w:hAnsi="宋体" w:eastAsia="宋体" w:cs="宋体"/>
          <w:b/>
          <w:color w:val="auto"/>
          <w:spacing w:val="-6"/>
          <w:szCs w:val="21"/>
          <w:highlight w:val="none"/>
        </w:rPr>
        <w:t>（标项二）（若属于中小企业）</w:t>
      </w:r>
    </w:p>
    <w:p w14:paraId="4DEDAFD8">
      <w:pPr>
        <w:adjustRightInd w:val="0"/>
        <w:snapToGrid w:val="0"/>
        <w:spacing w:line="288" w:lineRule="auto"/>
        <w:ind w:firstLine="498" w:firstLineChars="236"/>
        <w:rPr>
          <w:rFonts w:hint="eastAsia" w:ascii="宋体" w:hAnsi="宋体" w:eastAsia="宋体" w:cs="Times New Roman"/>
          <w:b/>
          <w:color w:val="auto"/>
          <w:szCs w:val="21"/>
          <w:highlight w:val="none"/>
        </w:rPr>
      </w:pPr>
    </w:p>
    <w:p w14:paraId="66F96A92">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本公司（联合体）郑重声明，根据《政府采购促进中小企业发展管理办法》（财库</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2020</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46 号）的规定，本公司（联合体）参加</w:t>
      </w:r>
      <w:r>
        <w:rPr>
          <w:rFonts w:hint="eastAsia" w:ascii="宋体" w:hAnsi="宋体" w:eastAsia="宋体" w:cs="Times New Roman"/>
          <w:color w:val="auto"/>
          <w:szCs w:val="21"/>
          <w:highlight w:val="none"/>
          <w:u w:val="single"/>
        </w:rPr>
        <w:t>杭州电子科技大学</w:t>
      </w:r>
      <w:r>
        <w:rPr>
          <w:rFonts w:ascii="宋体" w:hAnsi="宋体" w:eastAsia="宋体" w:cs="Times New Roman"/>
          <w:color w:val="auto"/>
          <w:szCs w:val="21"/>
          <w:highlight w:val="none"/>
        </w:rPr>
        <w:t>的</w:t>
      </w:r>
      <w:r>
        <w:rPr>
          <w:rFonts w:hint="eastAsia" w:ascii="宋体" w:hAnsi="宋体" w:eastAsia="宋体" w:cs="Times New Roman"/>
          <w:color w:val="auto"/>
          <w:szCs w:val="21"/>
          <w:highlight w:val="none"/>
          <w:u w:val="single"/>
        </w:rPr>
        <w:t>图书馆公共学习空间家具采购</w:t>
      </w:r>
      <w:r>
        <w:rPr>
          <w:rFonts w:ascii="宋体" w:hAnsi="宋体" w:eastAsia="宋体" w:cs="Times New Roman"/>
          <w:color w:val="auto"/>
          <w:szCs w:val="21"/>
          <w:highlight w:val="none"/>
        </w:rPr>
        <w:t>采购活动，提供的货物全部由符合政策要求的中小企业制造。相关企业（含联合体中的中小企业、签订分包意向协议的中小企业）的具体情况如下：</w:t>
      </w:r>
    </w:p>
    <w:p w14:paraId="3ACF36E8">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1.阅览桌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7549981">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2.阅览椅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77F2E8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3.双面空格柜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15610FB">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4.咨询台</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05EC47A">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5.导台椅子</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43FD997">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6.保安桌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8D1270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7.保安椅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473F206B">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8.沙龙贵宾椅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CEABC83">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9.沙龙椅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0F3F05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10.沙龙圆桌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4D1E1FE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11.移动演讲台</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D172376">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12.四人卡座</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AD83DBE">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13.书柜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2D2B05F">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14.休闲桌、休闲凳</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367BB92">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15.组合沙龙沙发</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F8541F5">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16.组合沙发</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5075FF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17.户外套装（一桌二椅）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310E0A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18.靠窗单边桌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DD7B8D6">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19.含灯单桌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F9462E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20.研讨室讨论桌（大）</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5CE082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21.研讨室讨论桌（小）</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2A67297">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22.讨论椅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390C2A5">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23.阅览室值班桌椅（全套）</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6263799">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Times New Roman"/>
          <w:color w:val="auto"/>
          <w:szCs w:val="21"/>
          <w:highlight w:val="none"/>
          <w:lang w:eastAsia="zh-CN"/>
        </w:rPr>
      </w:pPr>
      <w:r>
        <w:rPr>
          <w:rFonts w:hint="eastAsia" w:ascii="宋体" w:hAnsi="宋体" w:eastAsia="宋体" w:cs="宋体"/>
          <w:color w:val="auto"/>
          <w:szCs w:val="24"/>
          <w:highlight w:val="none"/>
          <w:u w:val="single"/>
          <w:lang w:val="en-US" w:eastAsia="zh-CN"/>
        </w:rPr>
        <w:t>24.静音仓</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hint="eastAsia" w:ascii="宋体" w:hAnsi="宋体" w:eastAsia="宋体" w:cs="Times New Roman"/>
          <w:color w:val="auto"/>
          <w:szCs w:val="21"/>
          <w:highlight w:val="none"/>
          <w:lang w:eastAsia="zh-CN"/>
        </w:rPr>
        <w:t>。</w:t>
      </w:r>
    </w:p>
    <w:p w14:paraId="324D4C1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以上企业，不属于大企业的分支机构，不存在控股股东为大企业的情形，也不存在与大企业的负责人为同一人的情形。</w:t>
      </w:r>
    </w:p>
    <w:p w14:paraId="5A6D3EA9">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本企业对上述声明内容的真实性负责。如有虚假，将依法承担相应责任。</w:t>
      </w:r>
    </w:p>
    <w:p w14:paraId="2C09C298">
      <w:pPr>
        <w:adjustRightInd w:val="0"/>
        <w:snapToGrid w:val="0"/>
        <w:spacing w:line="288" w:lineRule="auto"/>
        <w:ind w:firstLine="495" w:firstLineChars="236"/>
        <w:rPr>
          <w:rFonts w:hint="eastAsia" w:ascii="宋体" w:hAnsi="宋体" w:eastAsia="宋体" w:cs="Times New Roman"/>
          <w:color w:val="auto"/>
          <w:szCs w:val="21"/>
          <w:highlight w:val="none"/>
        </w:rPr>
      </w:pPr>
    </w:p>
    <w:p w14:paraId="0D7B1BF6">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企业名称（盖章）：</w:t>
      </w:r>
    </w:p>
    <w:p w14:paraId="46EC5E92">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日期：</w:t>
      </w:r>
    </w:p>
    <w:p w14:paraId="74F4D556">
      <w:pPr>
        <w:adjustRightInd w:val="0"/>
        <w:snapToGrid w:val="0"/>
        <w:spacing w:line="288" w:lineRule="auto"/>
        <w:ind w:firstLine="495" w:firstLineChars="236"/>
        <w:rPr>
          <w:rFonts w:hint="eastAsia" w:ascii="宋体" w:hAnsi="宋体" w:eastAsia="宋体" w:cs="Times New Roman"/>
          <w:color w:val="auto"/>
          <w:szCs w:val="21"/>
          <w:highlight w:val="none"/>
        </w:rPr>
      </w:pPr>
    </w:p>
    <w:p w14:paraId="6FA93D53">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4AA2875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1.标的名称，按照【招标文件】中明确的标的填写；</w:t>
      </w:r>
    </w:p>
    <w:p w14:paraId="583028D8">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2.所属行业，按照【招标文件】中明确的标的“所属行业”填写；</w:t>
      </w:r>
    </w:p>
    <w:p w14:paraId="4A9BBE6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3.制造商，货物由中小企业制造，即货物由中小企业生产且使用该中小企业商号或者注册商标；</w:t>
      </w:r>
    </w:p>
    <w:p w14:paraId="53E58B9A">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4.从业人员、营业收入、资产总额填报上一年度数据，无上一年度数据的新成立企业可不填报。</w:t>
      </w:r>
    </w:p>
    <w:p w14:paraId="282986A3">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5.企业类型（包括新成立企业），按照《中小企业划型标准规定》（工信部联企业〔2011〕300号）规定和【招标文件】中明确的标的“所属行业”，选择“中型企业、小型企业、微型企业”其中之一；</w:t>
      </w:r>
    </w:p>
    <w:p w14:paraId="5C1EE013">
      <w:pPr>
        <w:adjustRightInd w:val="0"/>
        <w:snapToGrid w:val="0"/>
        <w:spacing w:line="288" w:lineRule="auto"/>
        <w:ind w:firstLine="495" w:firstLineChars="236"/>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6.招标文件中明确的标的是能够独立发挥功能的产品，配件、辅料不作为标的，不需要在《中小企业声明函》里填列。</w:t>
      </w:r>
    </w:p>
    <w:p w14:paraId="59968E63">
      <w:pPr>
        <w:widowControl/>
        <w:adjustRightInd w:val="0"/>
        <w:snapToGrid w:val="0"/>
        <w:spacing w:line="288" w:lineRule="auto"/>
        <w:ind w:firstLine="495" w:firstLineChars="236"/>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1FC6464D">
      <w:pPr>
        <w:adjustRightInd w:val="0"/>
        <w:snapToGrid w:val="0"/>
        <w:spacing w:line="288" w:lineRule="auto"/>
        <w:jc w:val="center"/>
        <w:outlineLvl w:val="2"/>
        <w:rPr>
          <w:rFonts w:hint="eastAsia" w:ascii="宋体" w:hAnsi="宋体" w:eastAsia="宋体" w:cs="宋体"/>
          <w:color w:val="auto"/>
          <w:kern w:val="0"/>
          <w:szCs w:val="21"/>
          <w:highlight w:val="none"/>
        </w:rPr>
      </w:pPr>
      <w:r>
        <w:rPr>
          <w:rFonts w:hint="eastAsia" w:ascii="宋体" w:hAnsi="宋体" w:eastAsia="宋体" w:cs="宋体"/>
          <w:b/>
          <w:color w:val="auto"/>
          <w:spacing w:val="-6"/>
          <w:szCs w:val="21"/>
          <w:highlight w:val="none"/>
        </w:rPr>
        <w:t>属于监狱企业的证明文件（若属于监狱企业）</w:t>
      </w:r>
    </w:p>
    <w:p w14:paraId="000732DD">
      <w:pPr>
        <w:adjustRightInd w:val="0"/>
        <w:snapToGrid w:val="0"/>
        <w:spacing w:line="288" w:lineRule="auto"/>
        <w:rPr>
          <w:rFonts w:hint="eastAsia" w:ascii="宋体" w:hAnsi="宋体" w:eastAsia="宋体" w:cs="宋体"/>
          <w:color w:val="auto"/>
          <w:kern w:val="0"/>
          <w:szCs w:val="21"/>
          <w:highlight w:val="none"/>
        </w:rPr>
      </w:pPr>
    </w:p>
    <w:p w14:paraId="69592DA6">
      <w:pPr>
        <w:adjustRightInd w:val="0"/>
        <w:snapToGrid w:val="0"/>
        <w:spacing w:line="288" w:lineRule="auto"/>
        <w:ind w:firstLine="373" w:firstLineChars="177"/>
        <w:rPr>
          <w:rFonts w:hint="eastAsia" w:ascii="宋体" w:hAnsi="宋体" w:eastAsia="宋体"/>
          <w:b/>
          <w:bCs/>
          <w:color w:val="auto"/>
          <w:szCs w:val="21"/>
          <w:highlight w:val="none"/>
        </w:rPr>
      </w:pPr>
      <w:r>
        <w:rPr>
          <w:rFonts w:hint="eastAsia" w:ascii="宋体" w:hAnsi="宋体" w:eastAsia="宋体" w:cs="宋体"/>
          <w:b/>
          <w:bCs/>
          <w:color w:val="auto"/>
          <w:kern w:val="0"/>
          <w:szCs w:val="21"/>
          <w:highlight w:val="none"/>
        </w:rPr>
        <w:t>监狱企业参加政府采购活动时，应当提供由省级以上监狱管理局、戒毒管理局（含新疆生产建设兵团）出具的属于监狱企业的证明文件。</w:t>
      </w:r>
    </w:p>
    <w:p w14:paraId="50B0C51B">
      <w:pPr>
        <w:adjustRightInd w:val="0"/>
        <w:snapToGrid w:val="0"/>
        <w:spacing w:line="288" w:lineRule="auto"/>
        <w:rPr>
          <w:rFonts w:hint="eastAsia" w:ascii="宋体" w:hAnsi="宋体" w:eastAsia="宋体"/>
          <w:color w:val="auto"/>
          <w:szCs w:val="21"/>
          <w:highlight w:val="none"/>
        </w:rPr>
      </w:pPr>
    </w:p>
    <w:p w14:paraId="2E5B7F32">
      <w:pPr>
        <w:adjustRightInd w:val="0"/>
        <w:snapToGrid w:val="0"/>
        <w:spacing w:line="288" w:lineRule="auto"/>
        <w:rPr>
          <w:rFonts w:hint="eastAsia" w:ascii="宋体" w:hAnsi="宋体" w:eastAsia="宋体"/>
          <w:b/>
          <w:bCs/>
          <w:color w:val="auto"/>
          <w:szCs w:val="21"/>
          <w:highlight w:val="none"/>
        </w:rPr>
      </w:pPr>
      <w:r>
        <w:rPr>
          <w:rFonts w:hint="eastAsia" w:ascii="宋体" w:hAnsi="宋体" w:eastAsia="宋体"/>
          <w:b/>
          <w:bCs/>
          <w:color w:val="auto"/>
          <w:szCs w:val="21"/>
          <w:highlight w:val="none"/>
        </w:rPr>
        <w:t>说明：</w:t>
      </w:r>
    </w:p>
    <w:p w14:paraId="66F7230D">
      <w:pPr>
        <w:widowControl/>
        <w:shd w:val="clear" w:color="auto" w:fill="FFFFFF"/>
        <w:adjustRightInd w:val="0"/>
        <w:snapToGrid w:val="0"/>
        <w:spacing w:line="288" w:lineRule="auto"/>
        <w:ind w:firstLine="371" w:firstLineChars="177"/>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一、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参加政府采购活动时，应当提供由省级以上监狱管理局、戒毒管理局（含新疆生产建设兵团）出具的属于监狱企业的证明文件。</w:t>
      </w:r>
    </w:p>
    <w:p w14:paraId="57B0014D">
      <w:pPr>
        <w:widowControl/>
        <w:shd w:val="clear" w:color="auto" w:fill="FFFFFF"/>
        <w:adjustRightInd w:val="0"/>
        <w:snapToGrid w:val="0"/>
        <w:spacing w:line="288" w:lineRule="auto"/>
        <w:ind w:firstLine="371" w:firstLineChars="177"/>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二、在政府采购活动中，监狱企业视同小型、微型企业，享受预留份额、评审中价格扣除等政府采购促进中小企业发展的政府采购政策。</w:t>
      </w:r>
    </w:p>
    <w:p w14:paraId="0A532A25">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7598A0EB">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残疾人福利性单位声明函（若属于残疾人福利性单位）</w:t>
      </w:r>
    </w:p>
    <w:p w14:paraId="74E9DF21">
      <w:pPr>
        <w:adjustRightInd w:val="0"/>
        <w:snapToGrid w:val="0"/>
        <w:spacing w:line="288" w:lineRule="auto"/>
        <w:rPr>
          <w:rFonts w:hint="eastAsia" w:ascii="宋体" w:hAnsi="宋体" w:eastAsia="宋体" w:cs="Times New Roman"/>
          <w:b/>
          <w:color w:val="auto"/>
          <w:spacing w:val="6"/>
          <w:szCs w:val="21"/>
          <w:highlight w:val="none"/>
        </w:rPr>
      </w:pPr>
    </w:p>
    <w:p w14:paraId="1161E5EA">
      <w:pPr>
        <w:adjustRightInd w:val="0"/>
        <w:snapToGrid w:val="0"/>
        <w:spacing w:line="288" w:lineRule="auto"/>
        <w:ind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本单位郑重声明，根据《财政部 民政部 中国残疾人联合会关于促进残疾人就业政府采购政策的通知》（财库</w:t>
      </w:r>
      <w:r>
        <w:rPr>
          <w:rFonts w:hint="eastAsia" w:ascii="宋体" w:hAnsi="宋体" w:eastAsia="宋体" w:cs="Times New Roman"/>
          <w:color w:val="auto"/>
          <w:szCs w:val="21"/>
          <w:highlight w:val="none"/>
        </w:rPr>
        <w:t>〔2017〕 141</w:t>
      </w:r>
      <w:r>
        <w:rPr>
          <w:rFonts w:hint="eastAsia" w:ascii="宋体" w:hAnsi="宋体" w:eastAsia="宋体" w:cs="Times New Roman"/>
          <w:color w:val="auto"/>
          <w:spacing w:val="6"/>
          <w:szCs w:val="21"/>
          <w:highlight w:val="none"/>
        </w:rPr>
        <w:t>号）的规定，</w:t>
      </w:r>
      <w:r>
        <w:rPr>
          <w:rFonts w:hint="eastAsia" w:ascii="宋体" w:hAnsi="宋体" w:eastAsia="宋体" w:cs="Times New Roman"/>
          <w:b/>
          <w:bCs/>
          <w:color w:val="auto"/>
          <w:spacing w:val="6"/>
          <w:szCs w:val="21"/>
          <w:highlight w:val="none"/>
        </w:rPr>
        <w:t>本单位为符合条件的残疾人福利性单位</w:t>
      </w:r>
      <w:r>
        <w:rPr>
          <w:rFonts w:hint="eastAsia" w:ascii="宋体" w:hAnsi="宋体" w:eastAsia="宋体" w:cs="Times New Roman"/>
          <w:color w:val="auto"/>
          <w:spacing w:val="6"/>
          <w:szCs w:val="21"/>
          <w:highlight w:val="none"/>
        </w:rPr>
        <w:t>，且本单位参加______（采购人）单位的______（项目名称）项目采购活动提供本单位制造的货物，或者提供其他残疾人福利性单位制造的货物（不包括使用非残疾人福利性单位注册商标的货物）。</w:t>
      </w:r>
    </w:p>
    <w:p w14:paraId="3BDD5A11">
      <w:pPr>
        <w:adjustRightInd w:val="0"/>
        <w:snapToGrid w:val="0"/>
        <w:spacing w:line="288" w:lineRule="auto"/>
        <w:ind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本单位对上述声明的真实性负责。如有虚假，将依法承担相应责任。</w:t>
      </w:r>
    </w:p>
    <w:p w14:paraId="39573B56">
      <w:pPr>
        <w:tabs>
          <w:tab w:val="left" w:pos="4860"/>
        </w:tabs>
        <w:adjustRightInd w:val="0"/>
        <w:snapToGrid w:val="0"/>
        <w:spacing w:line="288" w:lineRule="auto"/>
        <w:ind w:right="1560"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单位名称（盖章）：</w:t>
      </w:r>
    </w:p>
    <w:p w14:paraId="521BB1A7">
      <w:pPr>
        <w:tabs>
          <w:tab w:val="left" w:pos="4860"/>
        </w:tabs>
        <w:adjustRightInd w:val="0"/>
        <w:snapToGrid w:val="0"/>
        <w:spacing w:line="288" w:lineRule="auto"/>
        <w:ind w:right="1560"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日  期：</w:t>
      </w:r>
    </w:p>
    <w:p w14:paraId="2CCFD10A">
      <w:pPr>
        <w:adjustRightInd w:val="0"/>
        <w:snapToGrid w:val="0"/>
        <w:spacing w:line="288" w:lineRule="auto"/>
        <w:rPr>
          <w:rFonts w:hint="eastAsia" w:ascii="宋体" w:hAnsi="宋体" w:eastAsia="宋体"/>
          <w:color w:val="auto"/>
          <w:szCs w:val="21"/>
          <w:highlight w:val="none"/>
        </w:rPr>
      </w:pPr>
    </w:p>
    <w:p w14:paraId="3878ED8F">
      <w:pPr>
        <w:adjustRightInd w:val="0"/>
        <w:snapToGrid w:val="0"/>
        <w:spacing w:line="288" w:lineRule="auto"/>
        <w:rPr>
          <w:rFonts w:hint="eastAsia" w:ascii="宋体" w:hAnsi="宋体" w:eastAsia="宋体"/>
          <w:b/>
          <w:bCs/>
          <w:color w:val="auto"/>
          <w:szCs w:val="21"/>
          <w:highlight w:val="none"/>
        </w:rPr>
      </w:pPr>
      <w:r>
        <w:rPr>
          <w:rFonts w:hint="eastAsia" w:ascii="宋体" w:hAnsi="宋体" w:eastAsia="宋体"/>
          <w:b/>
          <w:bCs/>
          <w:color w:val="auto"/>
          <w:szCs w:val="21"/>
          <w:highlight w:val="none"/>
        </w:rPr>
        <w:t>说明：</w:t>
      </w:r>
    </w:p>
    <w:p w14:paraId="425273EE">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一、享受政府采购支持政策的残疾人福利性单位应当同时满足以下条件：</w:t>
      </w:r>
    </w:p>
    <w:p w14:paraId="20131A7C">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（一）安置的残疾人占本单位在职职工人数的比例不低于25%（含25%），并且安置的残疾人人数不少于10人（含10人）；</w:t>
      </w:r>
    </w:p>
    <w:p w14:paraId="6D9B342B">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（二）依法与安置的每位残疾人签订了一年以上（含一年）的劳动合同或服务协议；</w:t>
      </w:r>
    </w:p>
    <w:p w14:paraId="5A0F39AD">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（三）为安置的每位残疾人按月足额缴纳了基本养老保险、基本医疗保险、失业保险、工伤保险和生育保险等社会保险费；</w:t>
      </w:r>
    </w:p>
    <w:p w14:paraId="31DE626E">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（四）通过银行等金融机构向安置的每位残疾人，按月支付了不低于单位所在区县适用的经省级人民政府批准的月最低工资标准的工资；</w:t>
      </w:r>
    </w:p>
    <w:p w14:paraId="1930B79B">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（五）提供本单位制造的货物、承担的工程或者服务（以下简称产品），或者提供其他残疾人福利性单位制造的货物（不包括使用非残疾人福利性单位注册商标的货物）。</w:t>
      </w:r>
    </w:p>
    <w:p w14:paraId="5702C9A2">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1BAA8E8A">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二、符合条件的残疾人福利性单位在参加政府采购活动时，应当提供财库</w:t>
      </w:r>
      <w:r>
        <w:rPr>
          <w:rFonts w:ascii="宋体" w:hAnsi="宋体" w:eastAsia="宋体" w:cs="Times New Roman"/>
          <w:color w:val="auto"/>
          <w:kern w:val="0"/>
          <w:szCs w:val="21"/>
          <w:highlight w:val="none"/>
        </w:rPr>
        <w:t>[2017]141号</w:t>
      </w:r>
      <w:r>
        <w:rPr>
          <w:rFonts w:hint="eastAsia" w:ascii="宋体" w:hAnsi="宋体" w:eastAsia="宋体" w:cs="Times New Roman"/>
          <w:color w:val="auto"/>
          <w:kern w:val="0"/>
          <w:szCs w:val="21"/>
          <w:highlight w:val="none"/>
        </w:rPr>
        <w:t>文件规定的《残疾人福利性单位声明函》，并对声明的真实性负责。</w:t>
      </w:r>
    </w:p>
    <w:p w14:paraId="4EEAB61F">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三、在政府采购活动中，残疾人福利性单位视同小型、微型企业，享受预留份额、评审中价格扣除等促进中小企业发展的政府采购政策。</w:t>
      </w:r>
    </w:p>
    <w:p w14:paraId="0E83517F">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残疾人福利性单位属于小型、微型企业的，不重复享受政策。</w:t>
      </w:r>
    </w:p>
    <w:p w14:paraId="424E0A2D">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91CAB50">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4</w:t>
      </w:r>
      <w:r>
        <w:rPr>
          <w:rFonts w:hint="eastAsia" w:ascii="宋体" w:hAnsi="宋体" w:eastAsia="宋体" w:cs="宋体"/>
          <w:b/>
          <w:color w:val="auto"/>
          <w:spacing w:val="-6"/>
          <w:szCs w:val="21"/>
          <w:highlight w:val="none"/>
        </w:rPr>
        <w:t>）本项目的特定资格要求证明材料：无</w:t>
      </w:r>
    </w:p>
    <w:p w14:paraId="1154B1F3">
      <w:pPr>
        <w:adjustRightInd w:val="0"/>
        <w:snapToGrid w:val="0"/>
        <w:spacing w:line="288" w:lineRule="auto"/>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E414A91">
      <w:pPr>
        <w:overflowPunct w:val="0"/>
        <w:adjustRightInd w:val="0"/>
        <w:snapToGrid w:val="0"/>
        <w:spacing w:line="288" w:lineRule="auto"/>
        <w:jc w:val="center"/>
        <w:outlineLvl w:val="1"/>
        <w:rPr>
          <w:rFonts w:hint="eastAsia" w:ascii="宋体" w:hAnsi="宋体" w:eastAsia="宋体" w:cs="Times New Roman"/>
          <w:bCs/>
          <w:color w:val="auto"/>
          <w:spacing w:val="-6"/>
          <w:sz w:val="84"/>
          <w:szCs w:val="84"/>
          <w:highlight w:val="none"/>
        </w:rPr>
      </w:pPr>
      <w:r>
        <w:rPr>
          <w:rFonts w:hint="eastAsia" w:ascii="宋体" w:hAnsi="宋体" w:eastAsia="宋体" w:cs="Times New Roman"/>
          <w:b/>
          <w:color w:val="auto"/>
          <w:spacing w:val="-6"/>
          <w:sz w:val="84"/>
          <w:szCs w:val="84"/>
          <w:highlight w:val="none"/>
        </w:rPr>
        <w:t>商务和技术文件</w:t>
      </w:r>
    </w:p>
    <w:p w14:paraId="5614A046">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4869CF1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（1）投标函</w:t>
      </w:r>
    </w:p>
    <w:p w14:paraId="195725A9">
      <w:pPr>
        <w:adjustRightInd w:val="0"/>
        <w:snapToGrid w:val="0"/>
        <w:spacing w:line="288" w:lineRule="auto"/>
        <w:rPr>
          <w:rFonts w:hint="eastAsia" w:ascii="宋体" w:hAnsi="宋体" w:eastAsia="宋体" w:cs="Times New Roman"/>
          <w:color w:val="auto"/>
          <w:spacing w:val="-6"/>
          <w:szCs w:val="21"/>
          <w:highlight w:val="none"/>
        </w:rPr>
      </w:pPr>
    </w:p>
    <w:p w14:paraId="42C97822">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致：杭州电子科技大学、浙江求是招标代理有限公司</w:t>
      </w:r>
    </w:p>
    <w:p w14:paraId="7C4DBB8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275A0BF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我方参加</w:t>
      </w:r>
      <w:r>
        <w:rPr>
          <w:rFonts w:hint="eastAsia" w:ascii="宋体" w:hAnsi="宋体" w:eastAsia="宋体" w:cs="Times New Roman"/>
          <w:bCs/>
          <w:color w:val="auto"/>
          <w:spacing w:val="-6"/>
          <w:szCs w:val="21"/>
          <w:highlight w:val="none"/>
          <w:u w:val="single"/>
        </w:rPr>
        <w:t>杭州电子科技大学图书馆公共学习空间家具采购</w:t>
      </w:r>
      <w:r>
        <w:rPr>
          <w:rFonts w:hint="eastAsia" w:ascii="宋体" w:hAnsi="宋体" w:eastAsia="宋体" w:cs="Times New Roman"/>
          <w:color w:val="auto"/>
          <w:spacing w:val="-6"/>
          <w:szCs w:val="21"/>
          <w:highlight w:val="none"/>
          <w:u w:val="single"/>
        </w:rPr>
        <w:t>（项目编号</w:t>
      </w:r>
      <w:r>
        <w:rPr>
          <w:rFonts w:hint="eastAsia" w:ascii="宋体" w:hAnsi="宋体" w:eastAsia="宋体" w:cs="Times New Roman"/>
          <w:bCs/>
          <w:color w:val="auto"/>
          <w:spacing w:val="-6"/>
          <w:szCs w:val="21"/>
          <w:highlight w:val="none"/>
          <w:u w:val="single"/>
        </w:rPr>
        <w:t>：</w:t>
      </w:r>
      <w:r>
        <w:rPr>
          <w:rFonts w:hint="eastAsia" w:ascii="宋体" w:hAnsi="宋体" w:eastAsia="宋体" w:cs="Times New Roman"/>
          <w:bCs/>
          <w:color w:val="auto"/>
          <w:spacing w:val="-6"/>
          <w:szCs w:val="21"/>
          <w:highlight w:val="none"/>
          <w:u w:val="single"/>
          <w:lang w:eastAsia="zh-CN"/>
        </w:rPr>
        <w:t>QSZBB250046ZHGK</w:t>
      </w:r>
      <w:r>
        <w:rPr>
          <w:rFonts w:hint="eastAsia" w:ascii="宋体" w:hAnsi="宋体" w:eastAsia="宋体" w:cs="Times New Roman"/>
          <w:color w:val="auto"/>
          <w:spacing w:val="-6"/>
          <w:szCs w:val="21"/>
          <w:highlight w:val="none"/>
          <w:u w:val="single"/>
        </w:rPr>
        <w:t>）</w:t>
      </w:r>
      <w:r>
        <w:rPr>
          <w:rFonts w:hint="eastAsia" w:ascii="宋体" w:hAnsi="宋体" w:eastAsia="宋体" w:cs="Times New Roman"/>
          <w:color w:val="auto"/>
          <w:spacing w:val="-6"/>
          <w:szCs w:val="21"/>
          <w:highlight w:val="none"/>
        </w:rPr>
        <w:t>项目，为此，我方提交电子加密投标文件一份、以介质（U盘）存储的数据电文形式的</w:t>
      </w:r>
      <w:r>
        <w:rPr>
          <w:rFonts w:hint="eastAsia" w:ascii="宋体" w:hAnsi="宋体" w:eastAsia="宋体" w:cs="Times New Roman"/>
          <w:color w:val="auto"/>
          <w:spacing w:val="-6"/>
          <w:szCs w:val="21"/>
          <w:highlight w:val="none"/>
          <w:u w:val="single"/>
        </w:rPr>
        <w:t xml:space="preserve">备份投标文件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份</w:t>
      </w:r>
      <w:r>
        <w:rPr>
          <w:rFonts w:hint="eastAsia" w:ascii="宋体" w:hAnsi="宋体" w:eastAsia="宋体" w:cs="Times New Roman"/>
          <w:color w:val="auto"/>
          <w:spacing w:val="-6"/>
          <w:szCs w:val="21"/>
          <w:highlight w:val="none"/>
        </w:rPr>
        <w:t>。宣布同意如下：</w:t>
      </w:r>
    </w:p>
    <w:p w14:paraId="39E4A36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我方已详细审查全部“招标文件”，包括修改文件（如有）以及全部参考资料和有关附件，已经了解我方对于招标文件、招标过程、中标结果有依法进行询问、质疑、投诉的权利及相关渠道和要求。</w:t>
      </w:r>
    </w:p>
    <w:p w14:paraId="39C1F81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我方在投标之前已经与贵方进行了充分的沟通，完全理解并接受招标文件的各项规定和要求，对招标文件的合理性、合法性不再有异议。</w:t>
      </w:r>
    </w:p>
    <w:p w14:paraId="11A2DE5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投标有效期自提交投标文件的截止之日起</w:t>
      </w:r>
      <w:r>
        <w:rPr>
          <w:rFonts w:hint="eastAsia" w:ascii="宋体" w:hAnsi="宋体" w:eastAsia="宋体" w:cs="Times New Roman"/>
          <w:bCs/>
          <w:color w:val="auto"/>
          <w:spacing w:val="-6"/>
          <w:szCs w:val="21"/>
          <w:highlight w:val="none"/>
          <w:u w:val="single"/>
        </w:rPr>
        <w:t xml:space="preserve"> 90</w:t>
      </w:r>
      <w:r>
        <w:rPr>
          <w:rFonts w:ascii="宋体" w:hAnsi="宋体" w:eastAsia="宋体" w:cs="Times New Roman"/>
          <w:bCs/>
          <w:color w:val="auto"/>
          <w:spacing w:val="-6"/>
          <w:szCs w:val="21"/>
          <w:highlight w:val="none"/>
          <w:u w:val="single"/>
        </w:rPr>
        <w:t xml:space="preserve"> </w:t>
      </w:r>
      <w:r>
        <w:rPr>
          <w:rFonts w:hint="eastAsia" w:ascii="宋体" w:hAnsi="宋体" w:eastAsia="宋体" w:cs="Times New Roman"/>
          <w:color w:val="auto"/>
          <w:spacing w:val="-6"/>
          <w:szCs w:val="21"/>
          <w:highlight w:val="none"/>
        </w:rPr>
        <w:t>天。</w:t>
      </w:r>
    </w:p>
    <w:p w14:paraId="574EB41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如中标，本投标文件至本项目合同履行完毕止均保持有效，我方将按“招标文件”及政府采购法律、法规的规定履行合同责任和义务。关于代理服务费，我方承诺按照招标文件的规定履行并承担相应的责任。</w:t>
      </w:r>
    </w:p>
    <w:p w14:paraId="285836E6">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我方同意按照贵方要求提供与投标有关的一切数据或资料。</w:t>
      </w:r>
    </w:p>
    <w:p w14:paraId="791FC69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与本投标有关的一切正式往来信函联系：</w:t>
      </w:r>
    </w:p>
    <w:tbl>
      <w:tblPr>
        <w:tblStyle w:val="25"/>
        <w:tblW w:w="8930"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6808"/>
      </w:tblGrid>
      <w:tr w14:paraId="6BE98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13BA8F9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联系人：</w:t>
            </w:r>
          </w:p>
        </w:tc>
        <w:tc>
          <w:tcPr>
            <w:tcW w:w="6808" w:type="dxa"/>
          </w:tcPr>
          <w:p w14:paraId="347F4CC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3364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9A3196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职务：</w:t>
            </w:r>
          </w:p>
        </w:tc>
        <w:tc>
          <w:tcPr>
            <w:tcW w:w="6808" w:type="dxa"/>
          </w:tcPr>
          <w:p w14:paraId="6D8C72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27B1A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EDBCF1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手机：</w:t>
            </w:r>
          </w:p>
        </w:tc>
        <w:tc>
          <w:tcPr>
            <w:tcW w:w="6808" w:type="dxa"/>
          </w:tcPr>
          <w:p w14:paraId="0375DF8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1BC8F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776D7C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电子邮箱：</w:t>
            </w:r>
          </w:p>
        </w:tc>
        <w:tc>
          <w:tcPr>
            <w:tcW w:w="6808" w:type="dxa"/>
          </w:tcPr>
          <w:p w14:paraId="1B94482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54D4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02FB7E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地址：</w:t>
            </w:r>
          </w:p>
        </w:tc>
        <w:tc>
          <w:tcPr>
            <w:tcW w:w="6808" w:type="dxa"/>
          </w:tcPr>
          <w:p w14:paraId="35356A0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31179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2BD111B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开户银行：</w:t>
            </w:r>
          </w:p>
        </w:tc>
        <w:tc>
          <w:tcPr>
            <w:tcW w:w="6808" w:type="dxa"/>
          </w:tcPr>
          <w:p w14:paraId="2CC9806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D444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061BCD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银行账号：</w:t>
            </w:r>
          </w:p>
        </w:tc>
        <w:tc>
          <w:tcPr>
            <w:tcW w:w="6808" w:type="dxa"/>
          </w:tcPr>
          <w:p w14:paraId="5C89049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bl>
    <w:p w14:paraId="69CF19CB">
      <w:pPr>
        <w:adjustRightInd w:val="0"/>
        <w:snapToGrid w:val="0"/>
        <w:spacing w:line="288" w:lineRule="auto"/>
        <w:rPr>
          <w:rFonts w:hint="eastAsia" w:ascii="宋体" w:hAnsi="宋体" w:eastAsia="宋体" w:cs="Times New Roman"/>
          <w:color w:val="auto"/>
          <w:spacing w:val="-6"/>
          <w:szCs w:val="21"/>
          <w:highlight w:val="none"/>
        </w:rPr>
      </w:pPr>
    </w:p>
    <w:p w14:paraId="260DE583">
      <w:pPr>
        <w:adjustRightInd w:val="0"/>
        <w:snapToGrid w:val="0"/>
        <w:spacing w:line="288" w:lineRule="auto"/>
        <w:rPr>
          <w:rFonts w:hint="eastAsia" w:ascii="宋体" w:hAnsi="宋体" w:eastAsia="宋体" w:cs="Times New Roman"/>
          <w:color w:val="auto"/>
          <w:spacing w:val="-6"/>
          <w:szCs w:val="21"/>
          <w:highlight w:val="none"/>
        </w:rPr>
      </w:pPr>
    </w:p>
    <w:p w14:paraId="318AB8CC">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490DE82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7270A2D6">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17BDE006">
      <w:pPr>
        <w:adjustRightInd w:val="0"/>
        <w:snapToGrid w:val="0"/>
        <w:spacing w:line="288" w:lineRule="auto"/>
        <w:ind w:firstLine="498" w:firstLineChars="236"/>
        <w:jc w:val="center"/>
        <w:outlineLvl w:val="2"/>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w:t>
      </w:r>
      <w:r>
        <w:rPr>
          <w:rFonts w:ascii="宋体" w:hAnsi="宋体" w:eastAsia="宋体" w:cs="Times New Roman"/>
          <w:b/>
          <w:bCs/>
          <w:color w:val="auto"/>
          <w:szCs w:val="21"/>
          <w:highlight w:val="none"/>
        </w:rPr>
        <w:t>2</w:t>
      </w:r>
      <w:r>
        <w:rPr>
          <w:rFonts w:hint="eastAsia" w:ascii="宋体" w:hAnsi="宋体" w:eastAsia="宋体" w:cs="Times New Roman"/>
          <w:b/>
          <w:bCs/>
          <w:color w:val="auto"/>
          <w:szCs w:val="21"/>
          <w:highlight w:val="none"/>
        </w:rPr>
        <w:t>）授权委托书</w:t>
      </w:r>
    </w:p>
    <w:p w14:paraId="691ED2CB">
      <w:pPr>
        <w:adjustRightInd w:val="0"/>
        <w:snapToGrid w:val="0"/>
        <w:spacing w:line="288" w:lineRule="auto"/>
        <w:rPr>
          <w:rFonts w:hint="eastAsia" w:ascii="宋体" w:hAnsi="宋体" w:eastAsia="宋体" w:cs="Times New Roman"/>
          <w:b/>
          <w:bCs/>
          <w:color w:val="auto"/>
          <w:spacing w:val="-6"/>
          <w:szCs w:val="21"/>
          <w:highlight w:val="none"/>
        </w:rPr>
      </w:pPr>
    </w:p>
    <w:p w14:paraId="66F419B9">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致：杭州电子科技大学、浙江求是招标代理有限公司</w:t>
      </w:r>
    </w:p>
    <w:p w14:paraId="3E15F18B">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现授权委托：</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（授权代表姓名）（身份证号码：</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，手机：</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）以我方的名义参加</w:t>
      </w:r>
      <w:r>
        <w:rPr>
          <w:rFonts w:hint="eastAsia" w:ascii="宋体" w:hAnsi="宋体" w:eastAsia="宋体" w:cs="Times New Roman"/>
          <w:bCs/>
          <w:color w:val="auto"/>
          <w:spacing w:val="-6"/>
          <w:szCs w:val="21"/>
          <w:highlight w:val="none"/>
        </w:rPr>
        <w:t>杭州电子科技大学图书馆公共学习空间家具采购项目（项目编号：</w:t>
      </w:r>
      <w:r>
        <w:rPr>
          <w:rFonts w:hint="eastAsia" w:ascii="宋体" w:hAnsi="宋体" w:eastAsia="宋体" w:cs="Times New Roman"/>
          <w:bCs/>
          <w:color w:val="auto"/>
          <w:spacing w:val="-6"/>
          <w:szCs w:val="21"/>
          <w:highlight w:val="none"/>
          <w:lang w:eastAsia="zh-CN"/>
        </w:rPr>
        <w:t>QSZBB250046ZHGK</w:t>
      </w:r>
      <w:r>
        <w:rPr>
          <w:rFonts w:hint="eastAsia" w:ascii="宋体" w:hAnsi="宋体" w:eastAsia="宋体" w:cs="Times New Roman"/>
          <w:bCs/>
          <w:color w:val="auto"/>
          <w:spacing w:val="-6"/>
          <w:szCs w:val="21"/>
          <w:highlight w:val="none"/>
        </w:rPr>
        <w:t>）</w:t>
      </w:r>
      <w:r>
        <w:rPr>
          <w:rFonts w:hint="eastAsia" w:ascii="宋体" w:hAnsi="宋体" w:eastAsia="宋体" w:cs="Times New Roman"/>
          <w:color w:val="auto"/>
          <w:spacing w:val="-6"/>
          <w:szCs w:val="21"/>
          <w:highlight w:val="none"/>
        </w:rPr>
        <w:t>的投标活动，并代表我方全权办理针对上述项目的投标、开标、评标、签约等具体事务和签署相关文件。</w:t>
      </w:r>
    </w:p>
    <w:p w14:paraId="3255C4D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我方对被授权人的签名负全部责任。</w:t>
      </w:r>
    </w:p>
    <w:p w14:paraId="0694CD6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在撤销授权的书面通知以前，本授权书一直有效。被授权人在授权书有效期内签署的所有文件不因授权的撤销而失效。</w:t>
      </w:r>
    </w:p>
    <w:p w14:paraId="2E1519A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被授权人无转委托权，特此告知。</w:t>
      </w:r>
    </w:p>
    <w:p w14:paraId="111C08ED">
      <w:pPr>
        <w:adjustRightInd w:val="0"/>
        <w:snapToGrid w:val="0"/>
        <w:spacing w:line="288" w:lineRule="auto"/>
        <w:ind w:firstLine="368" w:firstLineChars="186"/>
        <w:rPr>
          <w:rFonts w:hint="eastAsia" w:ascii="宋体" w:hAnsi="宋体" w:eastAsia="宋体" w:cs="Times New Roman"/>
          <w:color w:val="auto"/>
          <w:spacing w:val="-6"/>
          <w:szCs w:val="21"/>
          <w:highlight w:val="none"/>
          <w:u w:val="single"/>
        </w:rPr>
      </w:pPr>
      <w:r>
        <w:rPr>
          <w:rFonts w:hint="eastAsia" w:ascii="宋体" w:hAnsi="宋体" w:eastAsia="宋体" w:cs="Times New Roman"/>
          <w:color w:val="auto"/>
          <w:spacing w:val="-6"/>
          <w:szCs w:val="21"/>
          <w:highlight w:val="none"/>
          <w:u w:val="single"/>
        </w:rPr>
        <w:t>▲提供授权代表社保缴纳证明（2024年7月（含）以后任意一月）。</w:t>
      </w:r>
    </w:p>
    <w:p w14:paraId="2E89BE72">
      <w:pPr>
        <w:adjustRightInd w:val="0"/>
        <w:snapToGrid w:val="0"/>
        <w:spacing w:line="288" w:lineRule="auto"/>
        <w:rPr>
          <w:rFonts w:hint="eastAsia" w:ascii="宋体" w:hAnsi="宋体" w:eastAsia="宋体" w:cs="Times New Roman"/>
          <w:color w:val="auto"/>
          <w:spacing w:val="-6"/>
          <w:szCs w:val="21"/>
          <w:highlight w:val="none"/>
        </w:rPr>
      </w:pPr>
    </w:p>
    <w:p w14:paraId="279324C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2A81CE9E">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6AD7AE31">
      <w:pPr>
        <w:adjustRightInd w:val="0"/>
        <w:snapToGrid w:val="0"/>
        <w:spacing w:line="288" w:lineRule="auto"/>
        <w:rPr>
          <w:rFonts w:hint="eastAsia" w:ascii="宋体" w:hAnsi="宋体" w:eastAsia="宋体" w:cs="Times New Roman"/>
          <w:color w:val="auto"/>
          <w:szCs w:val="21"/>
          <w:highlight w:val="none"/>
        </w:rPr>
      </w:pPr>
    </w:p>
    <w:p w14:paraId="244DAF51">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0C8AE6BA">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1、投标人委派不在本单位缴纳社保的人员作为授权代表的，应当在投标文件中，说明具体原因、授权代表缴纳社保的单位，并附列该授权代表缴纳社保清单。</w:t>
      </w:r>
    </w:p>
    <w:p w14:paraId="4A0FAE34">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2、投标人是联合体的，联合体各成员均应在“授权委托书”上盖章（电子签名</w:t>
      </w:r>
      <w:r>
        <w:rPr>
          <w:rFonts w:ascii="宋体" w:hAnsi="宋体" w:eastAsia="宋体" w:cs="Times New Roman"/>
          <w:color w:val="auto"/>
          <w:szCs w:val="21"/>
          <w:highlight w:val="none"/>
        </w:rPr>
        <w:t>/公章）</w:t>
      </w:r>
      <w:r>
        <w:rPr>
          <w:rFonts w:hint="eastAsia" w:ascii="宋体" w:hAnsi="宋体" w:eastAsia="宋体" w:cs="Times New Roman"/>
          <w:color w:val="auto"/>
          <w:szCs w:val="21"/>
          <w:highlight w:val="none"/>
        </w:rPr>
        <w:t>。</w:t>
      </w:r>
    </w:p>
    <w:p w14:paraId="03C683F9">
      <w:pPr>
        <w:adjustRightInd w:val="0"/>
        <w:snapToGrid w:val="0"/>
        <w:spacing w:line="288" w:lineRule="auto"/>
        <w:rPr>
          <w:rFonts w:hint="eastAsia" w:ascii="宋体" w:hAnsi="宋体" w:eastAsia="宋体" w:cs="Times New Roman"/>
          <w:color w:val="auto"/>
          <w:szCs w:val="21"/>
          <w:highlight w:val="none"/>
        </w:rPr>
      </w:pPr>
    </w:p>
    <w:p w14:paraId="60691A99">
      <w:pPr>
        <w:adjustRightInd w:val="0"/>
        <w:snapToGrid w:val="0"/>
        <w:spacing w:line="288" w:lineRule="auto"/>
        <w:rPr>
          <w:rFonts w:hint="eastAsia" w:ascii="宋体" w:hAnsi="宋体" w:eastAsia="宋体" w:cs="Times New Roman"/>
          <w:color w:val="auto"/>
          <w:szCs w:val="21"/>
          <w:highlight w:val="none"/>
        </w:rPr>
      </w:pPr>
    </w:p>
    <w:p w14:paraId="6543E901">
      <w:pPr>
        <w:adjustRightInd w:val="0"/>
        <w:snapToGrid w:val="0"/>
        <w:spacing w:line="288" w:lineRule="auto"/>
        <w:jc w:val="center"/>
        <w:outlineLvl w:val="2"/>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zCs w:val="21"/>
          <w:highlight w:val="none"/>
        </w:rPr>
        <w:t>（2）法定代表人（单位负责人、自然人本人）</w:t>
      </w:r>
      <w:r>
        <w:rPr>
          <w:rFonts w:hint="eastAsia" w:ascii="宋体" w:hAnsi="宋体" w:eastAsia="宋体" w:cs="Times New Roman"/>
          <w:b/>
          <w:bCs/>
          <w:color w:val="auto"/>
          <w:spacing w:val="-6"/>
          <w:szCs w:val="21"/>
          <w:highlight w:val="none"/>
        </w:rPr>
        <w:t>身份证明</w:t>
      </w:r>
    </w:p>
    <w:p w14:paraId="6EF78BB6">
      <w:pPr>
        <w:adjustRightInd w:val="0"/>
        <w:snapToGrid w:val="0"/>
        <w:spacing w:line="288" w:lineRule="auto"/>
        <w:ind w:firstLine="495" w:firstLineChars="236"/>
        <w:jc w:val="center"/>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（适用于：法定代表人（单位负责人、自然人本人）</w:t>
      </w:r>
      <w:r>
        <w:rPr>
          <w:rFonts w:hint="eastAsia" w:ascii="宋体" w:hAnsi="宋体" w:eastAsia="宋体" w:cs="Times New Roman"/>
          <w:color w:val="auto"/>
          <w:spacing w:val="-6"/>
          <w:szCs w:val="21"/>
          <w:highlight w:val="none"/>
        </w:rPr>
        <w:t>代表投标人参加投标</w:t>
      </w:r>
      <w:r>
        <w:rPr>
          <w:rFonts w:hint="eastAsia" w:ascii="宋体" w:hAnsi="宋体" w:eastAsia="宋体" w:cs="Times New Roman"/>
          <w:color w:val="auto"/>
          <w:szCs w:val="21"/>
          <w:highlight w:val="none"/>
        </w:rPr>
        <w:t>）</w:t>
      </w:r>
    </w:p>
    <w:p w14:paraId="3A614672">
      <w:pPr>
        <w:adjustRightInd w:val="0"/>
        <w:snapToGrid w:val="0"/>
        <w:spacing w:line="288" w:lineRule="auto"/>
        <w:jc w:val="left"/>
        <w:rPr>
          <w:rFonts w:hint="eastAsia" w:ascii="宋体" w:hAnsi="宋体" w:eastAsia="宋体" w:cs="Times New Roman"/>
          <w:color w:val="auto"/>
          <w:szCs w:val="21"/>
          <w:highlight w:val="none"/>
        </w:rPr>
      </w:pPr>
      <w:r>
        <w:rPr>
          <w:rFonts w:hint="eastAsia" w:ascii="宋体" w:hAnsi="宋体" w:eastAsia="宋体" w:cs="宋体"/>
          <w:bCs/>
          <w:color w:val="auto"/>
          <w:szCs w:val="21"/>
          <w:highlight w:val="none"/>
        </w:rPr>
        <w:t>身份证件复印件</w:t>
      </w:r>
    </w:p>
    <w:tbl>
      <w:tblPr>
        <w:tblStyle w:val="109"/>
        <w:tblW w:w="94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1"/>
        <w:gridCol w:w="4701"/>
      </w:tblGrid>
      <w:tr w14:paraId="4DC2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9" w:hRule="atLeast"/>
        </w:trPr>
        <w:tc>
          <w:tcPr>
            <w:tcW w:w="4701" w:type="dxa"/>
          </w:tcPr>
          <w:p w14:paraId="786825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正面：</w:t>
            </w:r>
          </w:p>
        </w:tc>
        <w:tc>
          <w:tcPr>
            <w:tcW w:w="4701" w:type="dxa"/>
          </w:tcPr>
          <w:p w14:paraId="021FBB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反面：</w:t>
            </w:r>
          </w:p>
        </w:tc>
      </w:tr>
    </w:tbl>
    <w:p w14:paraId="7C366133">
      <w:pPr>
        <w:adjustRightInd w:val="0"/>
        <w:snapToGrid w:val="0"/>
        <w:spacing w:line="288" w:lineRule="auto"/>
        <w:rPr>
          <w:rFonts w:ascii="Times New Roman" w:hAnsi="Times New Roman" w:eastAsia="宋体" w:cs="Times New Roman"/>
          <w:color w:val="auto"/>
          <w:szCs w:val="21"/>
          <w:highlight w:val="none"/>
        </w:rPr>
      </w:pPr>
    </w:p>
    <w:p w14:paraId="0347B038">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br w:type="page"/>
      </w:r>
    </w:p>
    <w:p w14:paraId="1972D3BB">
      <w:pPr>
        <w:adjustRightInd w:val="0"/>
        <w:snapToGrid w:val="0"/>
        <w:spacing w:line="288" w:lineRule="auto"/>
        <w:jc w:val="left"/>
        <w:outlineLvl w:val="2"/>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附：授权代表社保缴纳证明（2024年7月（含）以后任意一月）</w:t>
      </w:r>
    </w:p>
    <w:p w14:paraId="63FFED4C">
      <w:pPr>
        <w:rPr>
          <w:rFonts w:ascii="Times New Roman" w:hAnsi="Times New Roman" w:eastAsia="宋体" w:cs="Times New Roman"/>
          <w:color w:val="auto"/>
          <w:szCs w:val="21"/>
          <w:highlight w:val="none"/>
        </w:rPr>
      </w:pPr>
    </w:p>
    <w:p w14:paraId="7DA4A075">
      <w:pPr>
        <w:adjustRightInd w:val="0"/>
        <w:snapToGrid w:val="0"/>
        <w:spacing w:line="288" w:lineRule="auto"/>
        <w:jc w:val="center"/>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E9E916A">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3</w:t>
      </w:r>
      <w:r>
        <w:rPr>
          <w:rFonts w:hint="eastAsia" w:ascii="宋体" w:hAnsi="宋体" w:eastAsia="宋体" w:cs="宋体"/>
          <w:b/>
          <w:color w:val="auto"/>
          <w:spacing w:val="-6"/>
          <w:szCs w:val="21"/>
          <w:highlight w:val="none"/>
        </w:rPr>
        <w:t>）投标人同类合同一览表</w:t>
      </w:r>
    </w:p>
    <w:tbl>
      <w:tblPr>
        <w:tblStyle w:val="24"/>
        <w:tblW w:w="962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0"/>
        <w:gridCol w:w="1133"/>
        <w:gridCol w:w="1441"/>
        <w:gridCol w:w="683"/>
        <w:gridCol w:w="1153"/>
        <w:gridCol w:w="829"/>
        <w:gridCol w:w="1556"/>
        <w:gridCol w:w="1983"/>
      </w:tblGrid>
      <w:tr w14:paraId="48F6B9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2D7DDC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133" w:type="dxa"/>
            <w:tcBorders>
              <w:top w:val="single" w:color="auto" w:sz="4" w:space="0"/>
              <w:left w:val="single" w:color="auto" w:sz="4" w:space="0"/>
              <w:bottom w:val="single" w:color="auto" w:sz="4" w:space="0"/>
              <w:right w:val="single" w:color="auto" w:sz="4" w:space="0"/>
            </w:tcBorders>
            <w:vAlign w:val="center"/>
          </w:tcPr>
          <w:p w14:paraId="763130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采购人</w:t>
            </w:r>
          </w:p>
        </w:tc>
        <w:tc>
          <w:tcPr>
            <w:tcW w:w="1441" w:type="dxa"/>
            <w:tcBorders>
              <w:top w:val="single" w:color="auto" w:sz="4" w:space="0"/>
              <w:left w:val="single" w:color="auto" w:sz="4" w:space="0"/>
              <w:bottom w:val="single" w:color="auto" w:sz="4" w:space="0"/>
              <w:right w:val="single" w:color="auto" w:sz="4" w:space="0"/>
            </w:tcBorders>
            <w:vAlign w:val="center"/>
          </w:tcPr>
          <w:p w14:paraId="12C1D5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项目名称</w:t>
            </w:r>
          </w:p>
        </w:tc>
        <w:tc>
          <w:tcPr>
            <w:tcW w:w="683" w:type="dxa"/>
            <w:tcBorders>
              <w:top w:val="single" w:color="auto" w:sz="4" w:space="0"/>
              <w:left w:val="single" w:color="auto" w:sz="4" w:space="0"/>
              <w:bottom w:val="single" w:color="auto" w:sz="4" w:space="0"/>
              <w:right w:val="single" w:color="auto" w:sz="4" w:space="0"/>
            </w:tcBorders>
            <w:vAlign w:val="center"/>
          </w:tcPr>
          <w:p w14:paraId="7119F7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153" w:type="dxa"/>
            <w:tcBorders>
              <w:top w:val="single" w:color="auto" w:sz="4" w:space="0"/>
              <w:left w:val="single" w:color="auto" w:sz="4" w:space="0"/>
              <w:bottom w:val="single" w:color="auto" w:sz="4" w:space="0"/>
              <w:right w:val="single" w:color="auto" w:sz="4" w:space="0"/>
            </w:tcBorders>
            <w:vAlign w:val="center"/>
          </w:tcPr>
          <w:p w14:paraId="3BBB953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合同金额</w:t>
            </w:r>
          </w:p>
          <w:p w14:paraId="2591702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（万元）</w:t>
            </w:r>
          </w:p>
        </w:tc>
        <w:tc>
          <w:tcPr>
            <w:tcW w:w="829" w:type="dxa"/>
            <w:tcBorders>
              <w:top w:val="single" w:color="auto" w:sz="4" w:space="0"/>
              <w:left w:val="single" w:color="auto" w:sz="4" w:space="0"/>
              <w:bottom w:val="single" w:color="auto" w:sz="4" w:space="0"/>
              <w:right w:val="single" w:color="auto" w:sz="4" w:space="0"/>
            </w:tcBorders>
            <w:vAlign w:val="center"/>
          </w:tcPr>
          <w:p w14:paraId="4C7F91D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附件页码</w:t>
            </w:r>
          </w:p>
        </w:tc>
        <w:tc>
          <w:tcPr>
            <w:tcW w:w="1556" w:type="dxa"/>
            <w:tcBorders>
              <w:top w:val="single" w:color="auto" w:sz="4" w:space="0"/>
              <w:left w:val="single" w:color="auto" w:sz="4" w:space="0"/>
              <w:bottom w:val="single" w:color="auto" w:sz="4" w:space="0"/>
              <w:right w:val="single" w:color="auto" w:sz="4" w:space="0"/>
            </w:tcBorders>
            <w:vAlign w:val="center"/>
          </w:tcPr>
          <w:p w14:paraId="17F3F7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合同签订时间</w:t>
            </w:r>
          </w:p>
        </w:tc>
        <w:tc>
          <w:tcPr>
            <w:tcW w:w="1983" w:type="dxa"/>
            <w:tcBorders>
              <w:top w:val="single" w:color="auto" w:sz="4" w:space="0"/>
              <w:left w:val="single" w:color="auto" w:sz="4" w:space="0"/>
              <w:bottom w:val="single" w:color="auto" w:sz="4" w:space="0"/>
              <w:right w:val="single" w:color="auto" w:sz="4" w:space="0"/>
            </w:tcBorders>
            <w:vAlign w:val="center"/>
          </w:tcPr>
          <w:p w14:paraId="5D2576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采购人联系人</w:t>
            </w:r>
          </w:p>
          <w:p w14:paraId="12EB7C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联系方式</w:t>
            </w:r>
          </w:p>
        </w:tc>
      </w:tr>
      <w:tr w14:paraId="7D17DDF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1DFD1FE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4DA8E03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672C86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095473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2CF7614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0FA9B3A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5D5A708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0AEDBCE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1E033C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3A93444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29F55B9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7FE3867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26BCDFA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68FBA38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5D884C8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725F59F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1FF00A2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26EB1E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37D1272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5F99329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3784B40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2A2FD85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4C7991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29A9227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2C33BF3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36D2969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34050C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5B1DA9D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6775249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3BBE50E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3121A25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1AB7CFD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7D1474E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54102D1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2E66875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36B7CE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5C8B46A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3EB8343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513E62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7EA50A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1CC8CE4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10700FB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072E80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tcPr>
          <w:p w14:paraId="4BDD67E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bl>
    <w:p w14:paraId="7BB882B0">
      <w:pPr>
        <w:adjustRightInd w:val="0"/>
        <w:snapToGrid w:val="0"/>
        <w:spacing w:line="288" w:lineRule="auto"/>
        <w:rPr>
          <w:rFonts w:hint="eastAsia" w:ascii="宋体" w:hAnsi="宋体" w:eastAsia="宋体" w:cs="Times New Roman"/>
          <w:color w:val="auto"/>
          <w:szCs w:val="21"/>
          <w:highlight w:val="none"/>
        </w:rPr>
      </w:pPr>
    </w:p>
    <w:p w14:paraId="0A2D736E">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说明：</w:t>
      </w:r>
    </w:p>
    <w:p w14:paraId="3C37947B">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1</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投标人须提供上述业绩合同扫描件；</w:t>
      </w:r>
    </w:p>
    <w:p w14:paraId="7D568621">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2</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所有合同扫描件应清晰，应能体现合同签订时间、双方签名盖章等内容；</w:t>
      </w:r>
    </w:p>
    <w:p w14:paraId="759C3A06">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3</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投标人应在不涉及商业秘密的前提下尽可能提供详细的合同扫描件内容。</w:t>
      </w:r>
    </w:p>
    <w:p w14:paraId="7CEAE8DD">
      <w:pPr>
        <w:adjustRightInd w:val="0"/>
        <w:snapToGrid w:val="0"/>
        <w:spacing w:line="288" w:lineRule="auto"/>
        <w:rPr>
          <w:rFonts w:hint="eastAsia" w:ascii="宋体" w:hAnsi="宋体" w:eastAsia="宋体" w:cs="Times New Roman"/>
          <w:color w:val="auto"/>
          <w:spacing w:val="-6"/>
          <w:szCs w:val="21"/>
          <w:highlight w:val="none"/>
        </w:rPr>
      </w:pPr>
    </w:p>
    <w:p w14:paraId="6E3DE3F5">
      <w:pPr>
        <w:adjustRightInd w:val="0"/>
        <w:snapToGrid w:val="0"/>
        <w:spacing w:line="288" w:lineRule="auto"/>
        <w:rPr>
          <w:rFonts w:hint="eastAsia" w:ascii="宋体" w:hAnsi="宋体" w:eastAsia="宋体" w:cs="Times New Roman"/>
          <w:color w:val="auto"/>
          <w:spacing w:val="-6"/>
          <w:szCs w:val="21"/>
          <w:highlight w:val="none"/>
        </w:rPr>
      </w:pPr>
    </w:p>
    <w:p w14:paraId="1F46849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1B927567">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0EE8409D">
      <w:pPr>
        <w:adjustRightInd w:val="0"/>
        <w:snapToGrid w:val="0"/>
        <w:spacing w:line="288" w:lineRule="auto"/>
        <w:jc w:val="center"/>
        <w:outlineLvl w:val="2"/>
        <w:rPr>
          <w:rFonts w:hint="eastAsia" w:ascii="宋体" w:hAnsi="宋体" w:eastAsia="宋体" w:cs="Times New Roman"/>
          <w:b/>
          <w:color w:val="auto"/>
          <w:szCs w:val="21"/>
          <w:highlight w:val="none"/>
        </w:rPr>
      </w:pPr>
      <w:r>
        <w:rPr>
          <w:rFonts w:hint="eastAsia" w:ascii="宋体" w:hAnsi="宋体" w:eastAsia="宋体" w:cs="Times New Roman"/>
          <w:color w:val="auto"/>
          <w:spacing w:val="-6"/>
          <w:szCs w:val="21"/>
          <w:highlight w:val="none"/>
        </w:rPr>
        <w:br w:type="page"/>
      </w:r>
    </w:p>
    <w:p w14:paraId="7C1B9CC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4</w:t>
      </w:r>
      <w:r>
        <w:rPr>
          <w:rFonts w:hint="eastAsia" w:ascii="宋体" w:hAnsi="宋体" w:eastAsia="宋体" w:cs="宋体"/>
          <w:b/>
          <w:color w:val="auto"/>
          <w:spacing w:val="-6"/>
          <w:szCs w:val="21"/>
          <w:highlight w:val="none"/>
        </w:rPr>
        <w:t>）采购需求偏离表</w:t>
      </w:r>
    </w:p>
    <w:p w14:paraId="418B24E0">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采 购 人：杭州电子科技大学</w:t>
      </w:r>
    </w:p>
    <w:p w14:paraId="6B5CE839">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项目名称：图书馆公共学习空间家具采购</w:t>
      </w:r>
    </w:p>
    <w:p w14:paraId="1F7E0C6C">
      <w:pPr>
        <w:adjustRightInd w:val="0"/>
        <w:snapToGrid w:val="0"/>
        <w:spacing w:line="288" w:lineRule="auto"/>
        <w:rPr>
          <w:rFonts w:hint="eastAsia" w:ascii="宋体" w:hAnsi="宋体" w:eastAsia="宋体" w:cs="Times New Roman"/>
          <w:bCs/>
          <w:color w:val="auto"/>
          <w:spacing w:val="-6"/>
          <w:szCs w:val="21"/>
          <w:highlight w:val="none"/>
          <w:lang w:eastAsia="zh-CN"/>
        </w:rPr>
      </w:pPr>
      <w:r>
        <w:rPr>
          <w:rFonts w:hint="eastAsia" w:ascii="宋体" w:hAnsi="宋体" w:eastAsia="宋体" w:cs="Times New Roman"/>
          <w:bCs/>
          <w:color w:val="auto"/>
          <w:spacing w:val="-6"/>
          <w:szCs w:val="21"/>
          <w:highlight w:val="none"/>
        </w:rPr>
        <w:t>项目编号：</w:t>
      </w:r>
      <w:r>
        <w:rPr>
          <w:rFonts w:hint="eastAsia" w:ascii="宋体" w:hAnsi="宋体" w:eastAsia="宋体" w:cs="Times New Roman"/>
          <w:bCs/>
          <w:color w:val="auto"/>
          <w:spacing w:val="-6"/>
          <w:szCs w:val="21"/>
          <w:highlight w:val="none"/>
          <w:lang w:eastAsia="zh-CN"/>
        </w:rPr>
        <w:t>QSZBB250046ZHGK</w:t>
      </w:r>
    </w:p>
    <w:p w14:paraId="18EDFD72">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标    项：</w:t>
      </w:r>
    </w:p>
    <w:tbl>
      <w:tblPr>
        <w:tblStyle w:val="24"/>
        <w:tblW w:w="9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4254"/>
        <w:gridCol w:w="2574"/>
        <w:gridCol w:w="2124"/>
      </w:tblGrid>
      <w:tr w14:paraId="4C09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tcBorders>
              <w:top w:val="single" w:color="auto" w:sz="4" w:space="0"/>
              <w:left w:val="single" w:color="auto" w:sz="4" w:space="0"/>
              <w:bottom w:val="single" w:color="auto" w:sz="4" w:space="0"/>
              <w:right w:val="single" w:color="auto" w:sz="4" w:space="0"/>
            </w:tcBorders>
            <w:vAlign w:val="center"/>
          </w:tcPr>
          <w:p w14:paraId="5EC78B3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4254" w:type="dxa"/>
            <w:tcBorders>
              <w:top w:val="single" w:color="auto" w:sz="4" w:space="0"/>
              <w:left w:val="single" w:color="auto" w:sz="4" w:space="0"/>
              <w:bottom w:val="single" w:color="auto" w:sz="4" w:space="0"/>
              <w:right w:val="single" w:color="auto" w:sz="4" w:space="0"/>
            </w:tcBorders>
            <w:vAlign w:val="center"/>
          </w:tcPr>
          <w:p w14:paraId="6D1621A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招标文件要求</w:t>
            </w:r>
          </w:p>
        </w:tc>
        <w:tc>
          <w:tcPr>
            <w:tcW w:w="2574" w:type="dxa"/>
            <w:tcBorders>
              <w:top w:val="single" w:color="auto" w:sz="4" w:space="0"/>
              <w:left w:val="single" w:color="auto" w:sz="4" w:space="0"/>
              <w:bottom w:val="single" w:color="auto" w:sz="4" w:space="0"/>
              <w:right w:val="single" w:color="auto" w:sz="4" w:space="0"/>
            </w:tcBorders>
            <w:vAlign w:val="center"/>
          </w:tcPr>
          <w:p w14:paraId="29D890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响应规格</w:t>
            </w:r>
          </w:p>
        </w:tc>
        <w:tc>
          <w:tcPr>
            <w:tcW w:w="2124" w:type="dxa"/>
            <w:tcBorders>
              <w:top w:val="single" w:color="auto" w:sz="4" w:space="0"/>
              <w:left w:val="single" w:color="auto" w:sz="4" w:space="0"/>
              <w:bottom w:val="single" w:color="auto" w:sz="4" w:space="0"/>
              <w:right w:val="single" w:color="auto" w:sz="4" w:space="0"/>
            </w:tcBorders>
            <w:vAlign w:val="center"/>
          </w:tcPr>
          <w:p w14:paraId="714779B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是否偏离（提供说明）</w:t>
            </w:r>
          </w:p>
        </w:tc>
      </w:tr>
      <w:tr w14:paraId="42A63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3557326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采购资金的支付方式、时间、条件</w:t>
            </w:r>
          </w:p>
        </w:tc>
      </w:tr>
      <w:tr w14:paraId="11997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528F14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4DBA1EC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702CD0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602EFA5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1EFB7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5E67346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50C29B5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3887E5E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376258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24841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CD4482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7061C4F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2E78998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2374EA9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5CB29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7F200DD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服务要求</w:t>
            </w:r>
          </w:p>
        </w:tc>
      </w:tr>
      <w:tr w14:paraId="552B7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A5FBA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3CD1517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4AB6CD2B">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69A44C64">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59EA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1613AD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703322C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5AC095D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49819366">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72CCC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1FB23E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43458E6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1BB8933B">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4EFFEE2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659F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70CD2B1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技术要求</w:t>
            </w:r>
          </w:p>
        </w:tc>
      </w:tr>
      <w:tr w14:paraId="316D1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2934B06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0DB592A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58B8E02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4091EEC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42365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16F139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5DD349F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486C04E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558791D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76B7B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0DD654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6A6779F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1C372D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0680D77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bl>
    <w:p w14:paraId="49E53099">
      <w:pPr>
        <w:adjustRightInd w:val="0"/>
        <w:snapToGrid w:val="0"/>
        <w:spacing w:line="288" w:lineRule="auto"/>
        <w:rPr>
          <w:rFonts w:hint="eastAsia" w:ascii="宋体" w:hAnsi="宋体" w:eastAsia="宋体" w:cs="Times New Roman"/>
          <w:b/>
          <w:bCs/>
          <w:color w:val="auto"/>
          <w:spacing w:val="-6"/>
          <w:szCs w:val="21"/>
          <w:highlight w:val="none"/>
        </w:rPr>
      </w:pPr>
    </w:p>
    <w:p w14:paraId="59B65B82">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说明：</w:t>
      </w:r>
    </w:p>
    <w:p w14:paraId="1423DF90">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1</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逐项按照招标文件要求填写响应规格；</w:t>
      </w:r>
    </w:p>
    <w:p w14:paraId="7791B2E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2</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偏离说明是指对招标文件要求存在不同之处的解释说明。偏离系指：正偏离（高于采购需求）、负偏离（低于采购需求）、无偏离（满足采购需求）；</w:t>
      </w:r>
    </w:p>
    <w:p w14:paraId="76F72310">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bCs/>
          <w:color w:val="auto"/>
          <w:spacing w:val="-6"/>
          <w:szCs w:val="21"/>
          <w:highlight w:val="none"/>
        </w:rPr>
        <w:t>3</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如不填写或未如实填写</w:t>
      </w:r>
      <w:r>
        <w:rPr>
          <w:rFonts w:hint="eastAsia" w:ascii="宋体" w:hAnsi="宋体" w:eastAsia="宋体" w:cs="Times New Roman"/>
          <w:b/>
          <w:color w:val="auto"/>
          <w:spacing w:val="-6"/>
          <w:szCs w:val="21"/>
          <w:highlight w:val="none"/>
        </w:rPr>
        <w:t>，自行承担投标风险。</w:t>
      </w:r>
    </w:p>
    <w:p w14:paraId="00CE40A6">
      <w:pPr>
        <w:adjustRightInd w:val="0"/>
        <w:snapToGrid w:val="0"/>
        <w:spacing w:line="288" w:lineRule="auto"/>
        <w:rPr>
          <w:rFonts w:hint="eastAsia" w:ascii="宋体" w:hAnsi="宋体" w:eastAsia="宋体" w:cs="Times New Roman"/>
          <w:color w:val="auto"/>
          <w:spacing w:val="-6"/>
          <w:szCs w:val="21"/>
          <w:highlight w:val="none"/>
        </w:rPr>
      </w:pPr>
    </w:p>
    <w:p w14:paraId="40D95B4E">
      <w:pPr>
        <w:adjustRightInd w:val="0"/>
        <w:snapToGrid w:val="0"/>
        <w:spacing w:line="288" w:lineRule="auto"/>
        <w:rPr>
          <w:rFonts w:hint="eastAsia" w:ascii="宋体" w:hAnsi="宋体" w:eastAsia="宋体" w:cs="Times New Roman"/>
          <w:color w:val="auto"/>
          <w:spacing w:val="-6"/>
          <w:szCs w:val="21"/>
          <w:highlight w:val="none"/>
        </w:rPr>
      </w:pPr>
    </w:p>
    <w:p w14:paraId="48C4EFBE">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00C5435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1B73E61F">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Times New Roman"/>
          <w:color w:val="auto"/>
          <w:spacing w:val="-6"/>
          <w:szCs w:val="21"/>
          <w:highlight w:val="none"/>
        </w:rPr>
        <w:br w:type="page"/>
      </w: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5</w:t>
      </w:r>
      <w:r>
        <w:rPr>
          <w:rFonts w:hint="eastAsia" w:ascii="宋体" w:hAnsi="宋体" w:eastAsia="宋体" w:cs="宋体"/>
          <w:b/>
          <w:color w:val="auto"/>
          <w:spacing w:val="-6"/>
          <w:szCs w:val="21"/>
          <w:highlight w:val="none"/>
        </w:rPr>
        <w:t>）标的配置清单</w:t>
      </w:r>
      <w:r>
        <w:rPr>
          <w:rFonts w:hint="eastAsia" w:ascii="宋体" w:hAnsi="宋体" w:eastAsia="宋体" w:cs="宋体"/>
          <w:color w:val="auto"/>
          <w:spacing w:val="-6"/>
          <w:szCs w:val="21"/>
          <w:highlight w:val="none"/>
        </w:rPr>
        <w:t>（不含报价）</w:t>
      </w:r>
    </w:p>
    <w:p w14:paraId="30260F2B">
      <w:pPr>
        <w:adjustRightInd w:val="0"/>
        <w:snapToGrid w:val="0"/>
        <w:spacing w:line="288" w:lineRule="auto"/>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标项：</w:t>
      </w:r>
    </w:p>
    <w:tbl>
      <w:tblPr>
        <w:tblStyle w:val="24"/>
        <w:tblW w:w="9921"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8"/>
        <w:gridCol w:w="1841"/>
        <w:gridCol w:w="1742"/>
        <w:gridCol w:w="880"/>
        <w:gridCol w:w="953"/>
        <w:gridCol w:w="1194"/>
        <w:gridCol w:w="1012"/>
        <w:gridCol w:w="1591"/>
      </w:tblGrid>
      <w:tr w14:paraId="73E6F5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140C14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B68F4F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30093DD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规格型号</w:t>
            </w:r>
          </w:p>
          <w:p w14:paraId="5457464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或具体服务</w:t>
            </w: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CC43D7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2C3E27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★品牌</w:t>
            </w: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07CC289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★制造商</w:t>
            </w:r>
          </w:p>
        </w:tc>
        <w:tc>
          <w:tcPr>
            <w:tcW w:w="1012" w:type="dxa"/>
            <w:tcBorders>
              <w:top w:val="single" w:color="auto" w:sz="4" w:space="0"/>
              <w:left w:val="single" w:color="auto" w:sz="4" w:space="0"/>
              <w:bottom w:val="single" w:color="auto" w:sz="4" w:space="0"/>
              <w:right w:val="single" w:color="auto" w:sz="4" w:space="0"/>
            </w:tcBorders>
            <w:vAlign w:val="center"/>
          </w:tcPr>
          <w:p w14:paraId="1A576B1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★产地</w:t>
            </w:r>
          </w:p>
        </w:tc>
        <w:tc>
          <w:tcPr>
            <w:tcW w:w="1591" w:type="dxa"/>
            <w:tcBorders>
              <w:top w:val="single" w:color="auto" w:sz="4" w:space="0"/>
              <w:left w:val="single" w:color="auto" w:sz="4" w:space="0"/>
              <w:bottom w:val="single" w:color="auto" w:sz="4" w:space="0"/>
              <w:right w:val="single" w:color="auto" w:sz="4" w:space="0"/>
            </w:tcBorders>
            <w:vAlign w:val="center"/>
          </w:tcPr>
          <w:p w14:paraId="2D6DD20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p w14:paraId="6D12CBC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（可另附页）</w:t>
            </w:r>
          </w:p>
        </w:tc>
      </w:tr>
      <w:tr w14:paraId="0A5719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F36C7A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0B86D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0FD244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31C139E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09CE8B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7EC884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E565EA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39018BA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72E20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C4E2DF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787BFB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175A0EE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647F1B4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CB81E5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0193C0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B31AAD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1156EB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7EB6DA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AC76D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43EBA7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1ED8E2B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11D67D2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45E0BAB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0265A4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62208BA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7B93C01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1CF25C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21"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7A2F5103">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★以下（联合体其他成员）承担的部分：</w:t>
            </w:r>
          </w:p>
        </w:tc>
      </w:tr>
      <w:tr w14:paraId="5DFEA8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BAC38C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E51D79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63449BC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25EF87F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F5F793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228AC8C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17CA2A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19E61F7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92E5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21"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2D21B328">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★以下（分包单位）承担的部分：</w:t>
            </w:r>
          </w:p>
        </w:tc>
      </w:tr>
      <w:tr w14:paraId="77D1AC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3B7E5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AE4FA9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86C6D4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77224C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2881857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2F085AB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7A1CB4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2219FEB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bl>
    <w:p w14:paraId="620AEB82">
      <w:pPr>
        <w:adjustRightInd w:val="0"/>
        <w:snapToGrid w:val="0"/>
        <w:spacing w:line="288" w:lineRule="auto"/>
        <w:rPr>
          <w:rFonts w:hint="eastAsia" w:ascii="宋体" w:hAnsi="宋体" w:eastAsia="宋体" w:cs="宋体"/>
          <w:color w:val="auto"/>
          <w:spacing w:val="-6"/>
          <w:szCs w:val="21"/>
          <w:highlight w:val="none"/>
        </w:rPr>
      </w:pPr>
    </w:p>
    <w:p w14:paraId="0AC09C55">
      <w:pPr>
        <w:adjustRightInd w:val="0"/>
        <w:snapToGrid w:val="0"/>
        <w:spacing w:line="360"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注：</w:t>
      </w:r>
    </w:p>
    <w:p w14:paraId="54D3D16A">
      <w:pPr>
        <w:adjustRightInd w:val="0"/>
        <w:snapToGrid w:val="0"/>
        <w:spacing w:line="288"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1.供应商应按照招标文件明确的标的清单填写此表；</w:t>
      </w:r>
    </w:p>
    <w:p w14:paraId="3FEE4730">
      <w:pPr>
        <w:adjustRightInd w:val="0"/>
        <w:snapToGrid w:val="0"/>
        <w:spacing w:line="288"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★2.服务项目不涉及提供货物的，规格型号、品牌、制造商、产地的可不填写；</w:t>
      </w:r>
    </w:p>
    <w:p w14:paraId="43AFC419">
      <w:pPr>
        <w:adjustRightInd w:val="0"/>
        <w:snapToGrid w:val="0"/>
        <w:spacing w:line="288" w:lineRule="auto"/>
        <w:rPr>
          <w:rFonts w:hint="eastAsia" w:ascii="宋体" w:hAnsi="宋体" w:eastAsia="宋体" w:cs="宋体"/>
          <w:color w:val="auto"/>
          <w:spacing w:val="-6"/>
          <w:szCs w:val="21"/>
          <w:highlight w:val="none"/>
        </w:rPr>
      </w:pPr>
      <w:r>
        <w:rPr>
          <w:rFonts w:hint="eastAsia" w:ascii="宋体" w:hAnsi="宋体" w:eastAsia="宋体" w:cs="宋体"/>
          <w:bCs/>
          <w:color w:val="auto"/>
          <w:spacing w:val="-6"/>
          <w:szCs w:val="21"/>
          <w:highlight w:val="none"/>
        </w:rPr>
        <w:t>★3.联合体其他成员承担的部分、分包单位承担的部分，应在表中列明。</w:t>
      </w:r>
    </w:p>
    <w:p w14:paraId="285BD28A">
      <w:pPr>
        <w:adjustRightInd w:val="0"/>
        <w:snapToGrid w:val="0"/>
        <w:spacing w:line="288" w:lineRule="auto"/>
        <w:rPr>
          <w:rFonts w:hint="eastAsia" w:ascii="宋体" w:hAnsi="宋体" w:eastAsia="宋体" w:cs="Times New Roman"/>
          <w:b/>
          <w:bCs/>
          <w:color w:val="auto"/>
          <w:spacing w:val="-6"/>
          <w:szCs w:val="21"/>
          <w:highlight w:val="none"/>
        </w:rPr>
      </w:pPr>
    </w:p>
    <w:p w14:paraId="4019593B">
      <w:pPr>
        <w:adjustRightInd w:val="0"/>
        <w:snapToGrid w:val="0"/>
        <w:spacing w:line="288" w:lineRule="auto"/>
        <w:rPr>
          <w:rFonts w:hint="eastAsia" w:ascii="宋体" w:hAnsi="宋体" w:eastAsia="宋体" w:cs="Times New Roman"/>
          <w:b/>
          <w:bCs/>
          <w:color w:val="auto"/>
          <w:spacing w:val="-6"/>
          <w:szCs w:val="21"/>
          <w:highlight w:val="none"/>
        </w:rPr>
      </w:pPr>
    </w:p>
    <w:p w14:paraId="6027D0A8">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59776EE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6A8C0123">
      <w:pPr>
        <w:autoSpaceDE w:val="0"/>
        <w:autoSpaceDN w:val="0"/>
        <w:adjustRightInd w:val="0"/>
        <w:snapToGrid w:val="0"/>
        <w:spacing w:line="288" w:lineRule="auto"/>
        <w:jc w:val="left"/>
        <w:rPr>
          <w:rFonts w:hint="eastAsia" w:ascii="宋体" w:hAnsi="宋体" w:eastAsia="宋体" w:cs="宋体"/>
          <w:color w:val="auto"/>
          <w:spacing w:val="-6"/>
          <w:kern w:val="0"/>
          <w:szCs w:val="21"/>
          <w:highlight w:val="none"/>
        </w:rPr>
      </w:pPr>
    </w:p>
    <w:p w14:paraId="4244FB24">
      <w:pPr>
        <w:adjustRightInd w:val="0"/>
        <w:snapToGrid w:val="0"/>
        <w:spacing w:line="288" w:lineRule="auto"/>
        <w:rPr>
          <w:rFonts w:hint="eastAsia" w:ascii="宋体" w:hAnsi="宋体" w:eastAsia="宋体" w:cs="宋体"/>
          <w:color w:val="auto"/>
          <w:szCs w:val="21"/>
          <w:highlight w:val="none"/>
        </w:rPr>
      </w:pPr>
    </w:p>
    <w:p w14:paraId="3CF17650">
      <w:pPr>
        <w:adjustRightInd w:val="0"/>
        <w:snapToGrid w:val="0"/>
        <w:spacing w:line="288" w:lineRule="auto"/>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附：产品技术支持材料</w:t>
      </w:r>
    </w:p>
    <w:p w14:paraId="4A3D20F3">
      <w:pPr>
        <w:adjustRightInd w:val="0"/>
        <w:snapToGrid w:val="0"/>
        <w:spacing w:line="288" w:lineRule="auto"/>
        <w:rPr>
          <w:rFonts w:hint="eastAsia" w:ascii="宋体" w:hAnsi="宋体" w:eastAsia="宋体" w:cs="宋体"/>
          <w:b/>
          <w:color w:val="auto"/>
          <w:spacing w:val="-6"/>
          <w:szCs w:val="21"/>
          <w:highlight w:val="none"/>
        </w:rPr>
      </w:pPr>
    </w:p>
    <w:p w14:paraId="59067040">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br w:type="page"/>
      </w:r>
    </w:p>
    <w:p w14:paraId="7E107322">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6</w:t>
      </w:r>
      <w:r>
        <w:rPr>
          <w:rFonts w:hint="eastAsia" w:ascii="宋体" w:hAnsi="宋体" w:eastAsia="宋体" w:cs="宋体"/>
          <w:b/>
          <w:color w:val="auto"/>
          <w:spacing w:val="-6"/>
          <w:szCs w:val="21"/>
          <w:highlight w:val="none"/>
        </w:rPr>
        <w:t>）技术方案</w:t>
      </w:r>
    </w:p>
    <w:p w14:paraId="7AA3B0DC">
      <w:pPr>
        <w:adjustRightInd w:val="0"/>
        <w:snapToGrid w:val="0"/>
        <w:spacing w:line="288" w:lineRule="auto"/>
        <w:rPr>
          <w:rFonts w:hint="eastAsia" w:ascii="宋体" w:hAnsi="宋体" w:eastAsia="宋体" w:cs="宋体"/>
          <w:b/>
          <w:color w:val="auto"/>
          <w:spacing w:val="-6"/>
          <w:szCs w:val="21"/>
          <w:highlight w:val="none"/>
        </w:rPr>
      </w:pPr>
    </w:p>
    <w:p w14:paraId="5F957607">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7</w:t>
      </w:r>
      <w:r>
        <w:rPr>
          <w:rFonts w:hint="eastAsia" w:ascii="宋体" w:hAnsi="宋体" w:eastAsia="宋体" w:cs="宋体"/>
          <w:b/>
          <w:color w:val="auto"/>
          <w:spacing w:val="-6"/>
          <w:szCs w:val="21"/>
          <w:highlight w:val="none"/>
        </w:rPr>
        <w:t>）节能环保产品证明材料</w:t>
      </w:r>
    </w:p>
    <w:p w14:paraId="4DCA850A">
      <w:pPr>
        <w:adjustRightInd w:val="0"/>
        <w:snapToGrid w:val="0"/>
        <w:spacing w:line="288" w:lineRule="auto"/>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说明：投标产品属于品目清单范围且提供国家确定的认证机构出具的有效的节能产品、环境标志产品认证证书（扫描件）。</w:t>
      </w:r>
    </w:p>
    <w:p w14:paraId="1BF098A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采购人拟采购的产品属于品目清单范围的，采购人及其委托的采购代理机构将依据国家确定的认证机构出具的、有效的节能产品、环境标志产品认证证书，对获得证书的产品实施政府优先采购或强制采购。投标人须按招标文件要求提供相关产品认证证书。</w:t>
      </w:r>
    </w:p>
    <w:p w14:paraId="5C68239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▲采购人拟采购的产品属于政府强制采购的节能产品品目清单范围的，投标人未按招标文件要求提供国家确定的认证机构出具的、有效的节能产品认证证书的，投标无效。</w:t>
      </w:r>
    </w:p>
    <w:p w14:paraId="099DE916">
      <w:pPr>
        <w:adjustRightInd w:val="0"/>
        <w:snapToGrid w:val="0"/>
        <w:spacing w:line="288" w:lineRule="auto"/>
        <w:rPr>
          <w:rFonts w:hint="eastAsia" w:ascii="宋体" w:hAnsi="宋体" w:eastAsia="宋体" w:cs="Times New Roman"/>
          <w:b/>
          <w:color w:val="auto"/>
          <w:szCs w:val="21"/>
          <w:highlight w:val="none"/>
        </w:rPr>
      </w:pPr>
    </w:p>
    <w:p w14:paraId="278CC9F6">
      <w:pPr>
        <w:adjustRightInd w:val="0"/>
        <w:snapToGrid w:val="0"/>
        <w:spacing w:line="288" w:lineRule="auto"/>
        <w:rPr>
          <w:rFonts w:hint="eastAsia" w:ascii="宋体" w:hAnsi="宋体" w:eastAsia="宋体" w:cs="Times New Roman"/>
          <w:b/>
          <w:color w:val="auto"/>
          <w:szCs w:val="21"/>
          <w:highlight w:val="none"/>
        </w:rPr>
      </w:pPr>
    </w:p>
    <w:p w14:paraId="3E31F522">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（8）科技创新相关证明材料</w:t>
      </w:r>
    </w:p>
    <w:p w14:paraId="4C9A83FC">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优先推荐专精特新中小企业、创新产品参加政府采购活动。对省级以上主管部门认定的首台套产品，自纳入《省推广应用指导目录》起三年内参加政府采购活动时视同已具备相应销售业绩，业绩分为满分。</w:t>
      </w:r>
    </w:p>
    <w:p w14:paraId="3AB450C2">
      <w:pPr>
        <w:adjustRightInd w:val="0"/>
        <w:snapToGrid w:val="0"/>
        <w:spacing w:line="288" w:lineRule="auto"/>
        <w:rPr>
          <w:rFonts w:hint="eastAsia" w:ascii="宋体" w:hAnsi="宋体" w:eastAsia="宋体" w:cs="宋体"/>
          <w:b/>
          <w:color w:val="auto"/>
          <w:spacing w:val="-6"/>
          <w:szCs w:val="21"/>
          <w:highlight w:val="none"/>
        </w:rPr>
      </w:pPr>
    </w:p>
    <w:p w14:paraId="455EFF2B">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（9）投标人需要说明的其他文件和材料。</w:t>
      </w:r>
    </w:p>
    <w:p w14:paraId="619B5759">
      <w:pPr>
        <w:widowControl/>
        <w:adjustRightInd w:val="0"/>
        <w:snapToGrid w:val="0"/>
        <w:spacing w:line="288" w:lineRule="auto"/>
        <w:jc w:val="left"/>
        <w:rPr>
          <w:rFonts w:hint="eastAsia" w:ascii="宋体" w:hAnsi="宋体" w:eastAsia="宋体" w:cs="宋体"/>
          <w:b/>
          <w:color w:val="auto"/>
          <w:spacing w:val="-6"/>
          <w:szCs w:val="21"/>
          <w:highlight w:val="none"/>
        </w:rPr>
      </w:pPr>
    </w:p>
    <w:p w14:paraId="0145D06C">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6DC66217">
      <w:pPr>
        <w:overflowPunct w:val="0"/>
        <w:adjustRightInd w:val="0"/>
        <w:snapToGrid w:val="0"/>
        <w:spacing w:line="288" w:lineRule="auto"/>
        <w:jc w:val="center"/>
        <w:outlineLvl w:val="1"/>
        <w:rPr>
          <w:rFonts w:hint="eastAsia" w:ascii="宋体" w:hAnsi="宋体" w:eastAsia="宋体" w:cs="Times New Roman"/>
          <w:b/>
          <w:color w:val="auto"/>
          <w:spacing w:val="-6"/>
          <w:sz w:val="84"/>
          <w:szCs w:val="84"/>
          <w:highlight w:val="none"/>
        </w:rPr>
      </w:pPr>
      <w:r>
        <w:rPr>
          <w:rFonts w:hint="eastAsia" w:ascii="宋体" w:hAnsi="宋体" w:eastAsia="宋体" w:cs="Times New Roman"/>
          <w:b/>
          <w:color w:val="auto"/>
          <w:spacing w:val="-6"/>
          <w:sz w:val="84"/>
          <w:szCs w:val="84"/>
          <w:highlight w:val="none"/>
        </w:rPr>
        <w:t>报价文件</w:t>
      </w:r>
    </w:p>
    <w:p w14:paraId="2553AF0C">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192C6F1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1</w:t>
      </w:r>
      <w:r>
        <w:rPr>
          <w:rFonts w:hint="eastAsia" w:ascii="宋体" w:hAnsi="宋体" w:eastAsia="宋体" w:cs="宋体"/>
          <w:b/>
          <w:color w:val="auto"/>
          <w:spacing w:val="-6"/>
          <w:szCs w:val="21"/>
          <w:highlight w:val="none"/>
        </w:rPr>
        <w:t>）开标一览表</w:t>
      </w:r>
    </w:p>
    <w:p w14:paraId="60A68CE1">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采 购 人：杭州电子科技大学</w:t>
      </w:r>
    </w:p>
    <w:p w14:paraId="1D023D44">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项目名称：图书馆公共学习空间家具采购</w:t>
      </w:r>
    </w:p>
    <w:p w14:paraId="4ADB52CD">
      <w:pPr>
        <w:adjustRightInd w:val="0"/>
        <w:snapToGrid w:val="0"/>
        <w:spacing w:line="288" w:lineRule="auto"/>
        <w:rPr>
          <w:rFonts w:hint="eastAsia" w:ascii="宋体" w:hAnsi="宋体" w:eastAsia="宋体" w:cs="Times New Roman"/>
          <w:bCs/>
          <w:color w:val="auto"/>
          <w:spacing w:val="-6"/>
          <w:szCs w:val="21"/>
          <w:highlight w:val="none"/>
          <w:lang w:eastAsia="zh-CN"/>
        </w:rPr>
      </w:pPr>
      <w:r>
        <w:rPr>
          <w:rFonts w:hint="eastAsia" w:ascii="宋体" w:hAnsi="宋体" w:eastAsia="宋体" w:cs="Times New Roman"/>
          <w:bCs/>
          <w:color w:val="auto"/>
          <w:spacing w:val="-6"/>
          <w:szCs w:val="21"/>
          <w:highlight w:val="none"/>
        </w:rPr>
        <w:t>项目编号：</w:t>
      </w:r>
      <w:r>
        <w:rPr>
          <w:rFonts w:hint="eastAsia" w:ascii="宋体" w:hAnsi="宋体" w:eastAsia="宋体" w:cs="Times New Roman"/>
          <w:bCs/>
          <w:color w:val="auto"/>
          <w:spacing w:val="-6"/>
          <w:szCs w:val="21"/>
          <w:highlight w:val="none"/>
          <w:lang w:eastAsia="zh-CN"/>
        </w:rPr>
        <w:t>QSZBB250046ZHGK</w:t>
      </w:r>
    </w:p>
    <w:p w14:paraId="53A765F8">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标    项：</w:t>
      </w:r>
    </w:p>
    <w:tbl>
      <w:tblPr>
        <w:tblStyle w:val="24"/>
        <w:tblW w:w="10530" w:type="dxa"/>
        <w:tblInd w:w="-26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8"/>
        <w:gridCol w:w="1841"/>
        <w:gridCol w:w="1742"/>
        <w:gridCol w:w="880"/>
        <w:gridCol w:w="953"/>
        <w:gridCol w:w="1194"/>
        <w:gridCol w:w="1012"/>
        <w:gridCol w:w="1114"/>
        <w:gridCol w:w="1086"/>
      </w:tblGrid>
      <w:tr w14:paraId="13BB86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E3A581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378106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49B4B4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w:t>
            </w:r>
            <w:bookmarkStart w:id="68" w:name="_Hlk177717733"/>
            <w:r>
              <w:rPr>
                <w:rFonts w:hint="eastAsia" w:ascii="宋体" w:hAnsi="宋体" w:eastAsia="宋体" w:cs="宋体"/>
                <w:b/>
                <w:bCs/>
                <w:color w:val="auto"/>
                <w:szCs w:val="21"/>
                <w:highlight w:val="none"/>
              </w:rPr>
              <w:t>规格型号</w:t>
            </w:r>
          </w:p>
          <w:p w14:paraId="6654D31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或具体服务</w:t>
            </w:r>
            <w:bookmarkEnd w:id="68"/>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17818E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953" w:type="dxa"/>
            <w:tcBorders>
              <w:top w:val="single" w:color="auto" w:sz="4" w:space="0"/>
              <w:left w:val="single" w:color="auto" w:sz="4" w:space="0"/>
              <w:bottom w:val="single" w:color="auto" w:sz="4" w:space="0"/>
              <w:right w:val="single" w:color="auto" w:sz="4" w:space="0"/>
            </w:tcBorders>
            <w:shd w:val="clear" w:color="auto" w:fill="auto"/>
            <w:vAlign w:val="center"/>
          </w:tcPr>
          <w:p w14:paraId="40252C10">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★品牌</w:t>
            </w:r>
          </w:p>
        </w:tc>
        <w:tc>
          <w:tcPr>
            <w:tcW w:w="1194" w:type="dxa"/>
            <w:tcBorders>
              <w:top w:val="single" w:color="auto" w:sz="4" w:space="0"/>
              <w:left w:val="single" w:color="auto" w:sz="4" w:space="0"/>
              <w:bottom w:val="single" w:color="auto" w:sz="4" w:space="0"/>
              <w:right w:val="single" w:color="auto" w:sz="4" w:space="0"/>
            </w:tcBorders>
            <w:shd w:val="clear" w:color="auto" w:fill="auto"/>
            <w:vAlign w:val="center"/>
          </w:tcPr>
          <w:p w14:paraId="628EFB4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★制造商</w:t>
            </w:r>
          </w:p>
        </w:tc>
        <w:tc>
          <w:tcPr>
            <w:tcW w:w="1012" w:type="dxa"/>
            <w:tcBorders>
              <w:top w:val="single" w:color="auto" w:sz="4" w:space="0"/>
              <w:left w:val="single" w:color="auto" w:sz="4" w:space="0"/>
              <w:bottom w:val="single" w:color="auto" w:sz="4" w:space="0"/>
              <w:right w:val="single" w:color="auto" w:sz="4" w:space="0"/>
            </w:tcBorders>
            <w:shd w:val="clear" w:color="auto" w:fill="auto"/>
            <w:vAlign w:val="center"/>
          </w:tcPr>
          <w:p w14:paraId="1D56876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★产地</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5C2A087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单价</w:t>
            </w:r>
          </w:p>
          <w:p w14:paraId="33843E8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（元）</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10798A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合计</w:t>
            </w:r>
          </w:p>
          <w:p w14:paraId="7330551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（元）</w:t>
            </w:r>
          </w:p>
        </w:tc>
      </w:tr>
      <w:tr w14:paraId="1E9B28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9791D2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57A18D1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06C4B0E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28A0757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85C89B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B36FDF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4BFDFA1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26F6411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0B9DB86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A31B9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26EC1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76C3D9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4BBCD1B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00C62F5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7A8154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FE270F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025298C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0D6D42A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B220DA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550033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0237A5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42B9DE3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AD53DF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7FB19F2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7505AAC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14B86D0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1B5AD07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7BAAFE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59286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1F24B7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2A356BFE">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★以下（联合体其他成员）承担的部分：</w:t>
            </w:r>
          </w:p>
        </w:tc>
      </w:tr>
      <w:tr w14:paraId="3EE42E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6407FE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3AE84AB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5C78C2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1260E3F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49BC47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E7195D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9AEC20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1C96BD2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EB559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002E76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68AEDEC8">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★以下（分包单位）承担的部分：</w:t>
            </w:r>
          </w:p>
        </w:tc>
      </w:tr>
      <w:tr w14:paraId="7F2613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274124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3ED33F0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4841B8C0">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00B0F0F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5F101F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5138F2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CA6B38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3EECD78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7F7B148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2BCFCA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vAlign w:val="center"/>
          </w:tcPr>
          <w:p w14:paraId="74DC7D8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投标总价（人民币元）</w:t>
            </w:r>
          </w:p>
          <w:p w14:paraId="59577BD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p w14:paraId="0C631D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小写：_________________________</w:t>
            </w:r>
          </w:p>
          <w:p w14:paraId="2DD61A7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p w14:paraId="5FEFE13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大写：_________________________</w:t>
            </w:r>
          </w:p>
          <w:p w14:paraId="76081A6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bl>
    <w:p w14:paraId="3D76638D">
      <w:pPr>
        <w:adjustRightInd w:val="0"/>
        <w:snapToGrid w:val="0"/>
        <w:spacing w:line="288" w:lineRule="auto"/>
        <w:rPr>
          <w:rFonts w:hint="eastAsia" w:ascii="宋体" w:hAnsi="宋体" w:eastAsia="宋体" w:cs="Times New Roman"/>
          <w:color w:val="auto"/>
          <w:spacing w:val="-6"/>
          <w:szCs w:val="21"/>
          <w:highlight w:val="none"/>
        </w:rPr>
      </w:pPr>
    </w:p>
    <w:p w14:paraId="42BE46DF">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说明：</w:t>
      </w:r>
    </w:p>
    <w:p w14:paraId="7760D6D1">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1.开标一览表应按照本招标文件“第三章 投标人须知”关于“投标报价”的规定填写；</w:t>
      </w:r>
    </w:p>
    <w:p w14:paraId="11678105">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★2.服务项目不涉及提供货物的，规格型号、品牌、制造商、产地的可不填写；</w:t>
      </w:r>
    </w:p>
    <w:p w14:paraId="56EF55DE">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★3.联合体其他成员承担的部分、分包单位承担的部分，应在表中列明。</w:t>
      </w:r>
    </w:p>
    <w:p w14:paraId="426939ED">
      <w:pPr>
        <w:adjustRightInd w:val="0"/>
        <w:snapToGrid w:val="0"/>
        <w:spacing w:line="288" w:lineRule="auto"/>
        <w:rPr>
          <w:rFonts w:hint="eastAsia" w:ascii="宋体" w:hAnsi="宋体" w:eastAsia="宋体" w:cs="Times New Roman"/>
          <w:color w:val="auto"/>
          <w:szCs w:val="21"/>
          <w:highlight w:val="none"/>
        </w:rPr>
      </w:pPr>
    </w:p>
    <w:p w14:paraId="3753EC28">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54382564">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2F53AD4E">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Times New Roman"/>
          <w:bCs/>
          <w:color w:val="auto"/>
          <w:spacing w:val="-6"/>
          <w:szCs w:val="21"/>
          <w:highlight w:val="none"/>
        </w:rPr>
        <w:br w:type="page"/>
      </w:r>
    </w:p>
    <w:p w14:paraId="45DE1389">
      <w:pPr>
        <w:adjustRightInd w:val="0"/>
        <w:snapToGrid w:val="0"/>
        <w:spacing w:line="288" w:lineRule="auto"/>
        <w:outlineLvl w:val="2"/>
        <w:rPr>
          <w:rFonts w:hint="eastAsia" w:ascii="宋体" w:hAnsi="宋体" w:eastAsia="宋体" w:cs="Times New Roman"/>
          <w:b/>
          <w:bCs/>
          <w:color w:val="auto"/>
          <w:szCs w:val="21"/>
          <w:highlight w:val="none"/>
        </w:rPr>
      </w:pPr>
      <w:r>
        <w:rPr>
          <w:rFonts w:hint="eastAsia" w:ascii="宋体" w:hAnsi="宋体" w:eastAsia="宋体" w:cs="Times New Roman"/>
          <w:b/>
          <w:color w:val="auto"/>
          <w:spacing w:val="-6"/>
          <w:szCs w:val="21"/>
          <w:highlight w:val="none"/>
        </w:rPr>
        <w:t>附件1：</w:t>
      </w:r>
      <w:r>
        <w:rPr>
          <w:rFonts w:hint="eastAsia" w:ascii="宋体" w:hAnsi="宋体" w:eastAsia="宋体" w:cs="Times New Roman"/>
          <w:b/>
          <w:bCs/>
          <w:color w:val="auto"/>
          <w:szCs w:val="21"/>
          <w:highlight w:val="none"/>
        </w:rPr>
        <w:t>业务专用章使用说明函</w:t>
      </w:r>
    </w:p>
    <w:p w14:paraId="00A23AF3">
      <w:pPr>
        <w:snapToGrid w:val="0"/>
        <w:spacing w:line="288" w:lineRule="auto"/>
        <w:rPr>
          <w:rFonts w:hint="eastAsia" w:ascii="宋体" w:hAnsi="宋体" w:eastAsia="宋体" w:cs="仿宋_GB2312"/>
          <w:color w:val="auto"/>
          <w:szCs w:val="21"/>
          <w:highlight w:val="none"/>
          <w:u w:val="single"/>
        </w:rPr>
      </w:pPr>
    </w:p>
    <w:p w14:paraId="06230838">
      <w:pPr>
        <w:snapToGrid w:val="0"/>
        <w:spacing w:line="288" w:lineRule="auto"/>
        <w:rPr>
          <w:rFonts w:hint="eastAsia" w:ascii="宋体" w:hAnsi="宋体" w:eastAsia="宋体" w:cs="Times New Roman"/>
          <w:color w:val="auto"/>
          <w:szCs w:val="21"/>
          <w:highlight w:val="none"/>
        </w:rPr>
      </w:pPr>
      <w:r>
        <w:rPr>
          <w:rFonts w:hint="eastAsia" w:ascii="宋体" w:hAnsi="宋体" w:eastAsia="宋体" w:cs="仿宋_GB2312"/>
          <w:color w:val="auto"/>
          <w:szCs w:val="21"/>
          <w:highlight w:val="none"/>
          <w:u w:val="single"/>
        </w:rPr>
        <w:t>（采购人）、（采购代理机构）</w:t>
      </w:r>
    </w:p>
    <w:p w14:paraId="636754DF">
      <w:pPr>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仿宋_GB2312"/>
          <w:color w:val="auto"/>
          <w:kern w:val="0"/>
          <w:szCs w:val="21"/>
          <w:highlight w:val="none"/>
          <w:lang w:val="zh-CN"/>
        </w:rPr>
        <w:t>我方</w:t>
      </w:r>
      <w:r>
        <w:rPr>
          <w:rFonts w:ascii="宋体" w:hAnsi="宋体" w:eastAsia="宋体" w:cs="仿宋_GB2312"/>
          <w:color w:val="auto"/>
          <w:kern w:val="0"/>
          <w:szCs w:val="21"/>
          <w:highlight w:val="none"/>
          <w:u w:val="single"/>
          <w:lang w:val="zh-CN"/>
        </w:rPr>
        <w:t xml:space="preserve">                         </w:t>
      </w:r>
      <w:r>
        <w:rPr>
          <w:rFonts w:ascii="宋体" w:hAnsi="宋体" w:eastAsia="宋体" w:cs="仿宋_GB2312"/>
          <w:color w:val="auto"/>
          <w:szCs w:val="21"/>
          <w:highlight w:val="none"/>
        </w:rPr>
        <w:t>(</w:t>
      </w:r>
      <w:r>
        <w:rPr>
          <w:rFonts w:hint="eastAsia" w:ascii="宋体" w:hAnsi="宋体" w:eastAsia="宋体" w:cs="仿宋_GB2312"/>
          <w:color w:val="auto"/>
          <w:szCs w:val="21"/>
          <w:highlight w:val="none"/>
        </w:rPr>
        <w:t>供应商</w:t>
      </w:r>
      <w:r>
        <w:rPr>
          <w:rFonts w:ascii="宋体" w:hAnsi="宋体" w:eastAsia="宋体" w:cs="仿宋_GB2312"/>
          <w:color w:val="auto"/>
          <w:szCs w:val="21"/>
          <w:highlight w:val="none"/>
        </w:rPr>
        <w:t>全称)</w:t>
      </w:r>
      <w:r>
        <w:rPr>
          <w:rFonts w:hint="eastAsia" w:ascii="宋体" w:hAnsi="宋体" w:eastAsia="宋体" w:cs="Times New Roman"/>
          <w:color w:val="auto"/>
          <w:szCs w:val="21"/>
          <w:highlight w:val="none"/>
        </w:rPr>
        <w:t>是中华人民共和国依法登记注册的合法企业，</w:t>
      </w:r>
      <w:r>
        <w:rPr>
          <w:rFonts w:hint="eastAsia" w:ascii="宋体" w:hAnsi="宋体" w:eastAsia="宋体" w:cs="宋体"/>
          <w:bCs/>
          <w:color w:val="auto"/>
          <w:szCs w:val="21"/>
          <w:highlight w:val="none"/>
        </w:rPr>
        <w:t>在参加</w:t>
      </w:r>
      <w:r>
        <w:rPr>
          <w:rFonts w:hint="eastAsia" w:ascii="宋体" w:hAnsi="宋体" w:eastAsia="宋体" w:cs="仿宋_GB2312"/>
          <w:color w:val="auto"/>
          <w:szCs w:val="21"/>
          <w:highlight w:val="none"/>
        </w:rPr>
        <w:t>你方组织的</w:t>
      </w:r>
      <w:r>
        <w:rPr>
          <w:rFonts w:hint="eastAsia" w:ascii="宋体" w:hAnsi="宋体" w:eastAsia="宋体" w:cs="仿宋_GB2312"/>
          <w:color w:val="auto"/>
          <w:szCs w:val="21"/>
          <w:highlight w:val="none"/>
          <w:u w:val="single"/>
        </w:rPr>
        <w:t>（项目名称）</w:t>
      </w:r>
      <w:r>
        <w:rPr>
          <w:rFonts w:hint="eastAsia" w:ascii="宋体" w:hAnsi="宋体" w:eastAsia="宋体" w:cs="仿宋_GB2312"/>
          <w:color w:val="auto"/>
          <w:szCs w:val="21"/>
          <w:highlight w:val="none"/>
        </w:rPr>
        <w:t>项目</w:t>
      </w:r>
      <w:r>
        <w:rPr>
          <w:rFonts w:hint="eastAsia" w:ascii="宋体" w:hAnsi="宋体" w:eastAsia="宋体" w:cs="仿宋_GB2312"/>
          <w:color w:val="auto"/>
          <w:szCs w:val="21"/>
          <w:highlight w:val="none"/>
          <w:u w:val="single"/>
        </w:rPr>
        <w:t>（项目编号）</w:t>
      </w:r>
      <w:r>
        <w:rPr>
          <w:rFonts w:hint="eastAsia" w:ascii="宋体" w:hAnsi="宋体" w:eastAsia="宋体" w:cs="宋体"/>
          <w:bCs/>
          <w:color w:val="auto"/>
          <w:szCs w:val="21"/>
          <w:highlight w:val="none"/>
        </w:rPr>
        <w:t>投标（响应）活动中作如下说明：</w:t>
      </w:r>
      <w:r>
        <w:rPr>
          <w:rFonts w:hint="eastAsia" w:ascii="宋体" w:hAnsi="宋体" w:eastAsia="宋体" w:cs="宋体"/>
          <w:color w:val="auto"/>
          <w:szCs w:val="21"/>
          <w:highlight w:val="none"/>
        </w:rPr>
        <w:t>我方所使用的</w:t>
      </w:r>
      <w:r>
        <w:rPr>
          <w:rFonts w:hint="eastAsia" w:ascii="宋体" w:hAnsi="宋体" w:eastAsia="宋体" w:cs="宋体"/>
          <w:color w:val="auto"/>
          <w:szCs w:val="21"/>
          <w:highlight w:val="none"/>
          <w:u w:val="single"/>
        </w:rPr>
        <w:t>“</w:t>
      </w:r>
      <w:r>
        <w:rPr>
          <w:rFonts w:ascii="宋体" w:hAnsi="宋体" w:eastAsia="宋体" w:cs="仿宋_GB2312"/>
          <w:color w:val="auto"/>
          <w:szCs w:val="21"/>
          <w:highlight w:val="none"/>
          <w:u w:val="single"/>
        </w:rPr>
        <w:t>XX</w:t>
      </w:r>
      <w:r>
        <w:rPr>
          <w:rFonts w:hint="eastAsia" w:ascii="宋体" w:hAnsi="宋体" w:eastAsia="宋体" w:cs="宋体"/>
          <w:color w:val="auto"/>
          <w:szCs w:val="21"/>
          <w:highlight w:val="none"/>
          <w:u w:val="single"/>
        </w:rPr>
        <w:t>专用章”</w:t>
      </w:r>
      <w:r>
        <w:rPr>
          <w:rFonts w:hint="eastAsia" w:ascii="宋体" w:hAnsi="宋体" w:eastAsia="宋体" w:cs="宋体"/>
          <w:color w:val="auto"/>
          <w:szCs w:val="21"/>
          <w:highlight w:val="none"/>
        </w:rPr>
        <w:t>与法定名称章具有同等的法律效力，对使用</w:t>
      </w:r>
      <w:r>
        <w:rPr>
          <w:rFonts w:hint="eastAsia" w:ascii="宋体" w:hAnsi="宋体" w:eastAsia="宋体" w:cs="宋体"/>
          <w:color w:val="auto"/>
          <w:szCs w:val="21"/>
          <w:highlight w:val="none"/>
          <w:u w:val="single"/>
        </w:rPr>
        <w:t>“</w:t>
      </w:r>
      <w:r>
        <w:rPr>
          <w:rFonts w:ascii="宋体" w:hAnsi="宋体" w:eastAsia="宋体" w:cs="仿宋_GB2312"/>
          <w:color w:val="auto"/>
          <w:szCs w:val="21"/>
          <w:highlight w:val="none"/>
          <w:u w:val="single"/>
        </w:rPr>
        <w:t>XX</w:t>
      </w:r>
      <w:r>
        <w:rPr>
          <w:rFonts w:hint="eastAsia" w:ascii="宋体" w:hAnsi="宋体" w:eastAsia="宋体" w:cs="宋体"/>
          <w:color w:val="auto"/>
          <w:szCs w:val="21"/>
          <w:highlight w:val="none"/>
          <w:u w:val="single"/>
        </w:rPr>
        <w:t>专用章”</w:t>
      </w:r>
      <w:r>
        <w:rPr>
          <w:rFonts w:hint="eastAsia" w:ascii="宋体" w:hAnsi="宋体" w:eastAsia="宋体" w:cs="宋体"/>
          <w:color w:val="auto"/>
          <w:szCs w:val="21"/>
          <w:highlight w:val="none"/>
        </w:rPr>
        <w:t>的行为予以完全承认，并愿意承担相应责任。</w:t>
      </w:r>
    </w:p>
    <w:p w14:paraId="2558DC45">
      <w:pPr>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特此说明。</w:t>
      </w:r>
    </w:p>
    <w:p w14:paraId="0E8AB62E">
      <w:pPr>
        <w:snapToGrid w:val="0"/>
        <w:spacing w:line="288" w:lineRule="auto"/>
        <w:ind w:right="480"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供应商（法定名称章）：</w:t>
      </w:r>
    </w:p>
    <w:p w14:paraId="5DCA2BD2">
      <w:pPr>
        <w:snapToGrid w:val="0"/>
        <w:spacing w:line="288" w:lineRule="auto"/>
        <w:ind w:right="1440" w:firstLine="424" w:firstLineChars="202"/>
        <w:rPr>
          <w:rFonts w:hint="eastAsia" w:ascii="宋体" w:hAnsi="宋体" w:eastAsia="宋体" w:cs="宋体"/>
          <w:color w:val="auto"/>
          <w:szCs w:val="21"/>
          <w:highlight w:val="none"/>
        </w:rPr>
      </w:pPr>
      <w:r>
        <w:rPr>
          <w:rFonts w:ascii="宋体" w:hAnsi="宋体" w:eastAsia="宋体" w:cs="宋体"/>
          <w:color w:val="auto"/>
          <w:szCs w:val="21"/>
          <w:highlight w:val="none"/>
        </w:rPr>
        <w:t>日期：       年     月     日</w:t>
      </w:r>
    </w:p>
    <w:p w14:paraId="41F9735D">
      <w:pPr>
        <w:snapToGrid w:val="0"/>
        <w:spacing w:line="288" w:lineRule="auto"/>
        <w:rPr>
          <w:rFonts w:hint="eastAsia" w:ascii="宋体" w:hAnsi="宋体" w:eastAsia="宋体" w:cs="宋体"/>
          <w:b/>
          <w:bCs/>
          <w:color w:val="auto"/>
          <w:szCs w:val="21"/>
          <w:highlight w:val="none"/>
        </w:rPr>
      </w:pPr>
    </w:p>
    <w:p w14:paraId="299B8C33">
      <w:pPr>
        <w:snapToGrid w:val="0"/>
        <w:spacing w:line="288" w:lineRule="auto"/>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附：</w:t>
      </w:r>
      <w:r>
        <w:rPr>
          <w:rFonts w:hint="eastAsia" w:ascii="宋体" w:hAnsi="宋体" w:eastAsia="宋体" w:cs="宋体"/>
          <w:color w:val="auto"/>
          <w:szCs w:val="21"/>
          <w:highlight w:val="none"/>
        </w:rPr>
        <w:t>供应商法定名称章（印模）</w:t>
      </w:r>
      <w:r>
        <w:rPr>
          <w:rFonts w:ascii="宋体" w:hAnsi="宋体" w:eastAsia="宋体" w:cs="宋体"/>
          <w:color w:val="auto"/>
          <w:szCs w:val="21"/>
          <w:highlight w:val="none"/>
        </w:rPr>
        <w:t xml:space="preserve">                </w:t>
      </w:r>
      <w:r>
        <w:rPr>
          <w:rFonts w:hint="eastAsia" w:ascii="宋体" w:hAnsi="宋体" w:eastAsia="宋体" w:cs="宋体"/>
          <w:color w:val="auto"/>
          <w:szCs w:val="21"/>
          <w:highlight w:val="none"/>
        </w:rPr>
        <w:t>供应商“</w:t>
      </w:r>
      <w:r>
        <w:rPr>
          <w:rFonts w:ascii="宋体" w:hAnsi="宋体" w:eastAsia="宋体" w:cs="仿宋_GB2312"/>
          <w:color w:val="auto"/>
          <w:szCs w:val="21"/>
          <w:highlight w:val="none"/>
        </w:rPr>
        <w:t>XX</w:t>
      </w:r>
      <w:r>
        <w:rPr>
          <w:rFonts w:hint="eastAsia" w:ascii="宋体" w:hAnsi="宋体" w:eastAsia="宋体" w:cs="宋体"/>
          <w:color w:val="auto"/>
          <w:szCs w:val="21"/>
          <w:highlight w:val="none"/>
        </w:rPr>
        <w:t>专用章”（印模）</w:t>
      </w:r>
    </w:p>
    <w:p w14:paraId="74C0703D">
      <w:pPr>
        <w:snapToGrid w:val="0"/>
        <w:spacing w:line="288" w:lineRule="auto"/>
        <w:rPr>
          <w:rFonts w:hint="eastAsia" w:ascii="宋体" w:hAnsi="宋体" w:eastAsia="宋体" w:cs="宋体"/>
          <w:color w:val="auto"/>
          <w:szCs w:val="21"/>
          <w:highlight w:val="none"/>
        </w:rPr>
      </w:pPr>
      <w:r>
        <w:rPr>
          <w:rFonts w:ascii="宋体" w:hAnsi="宋体" w:eastAsia="宋体" w:cs="Times New Roman"/>
          <w:b/>
          <w:bCs/>
          <w:color w:val="auto"/>
          <w:szCs w:val="21"/>
          <w:highlight w:val="none"/>
        </w:rPr>
        <mc:AlternateContent>
          <mc:Choice Requires="wps">
            <w:drawing>
              <wp:inline distT="0" distB="0" distL="0" distR="0">
                <wp:extent cx="2704465" cy="2253615"/>
                <wp:effectExtent l="0" t="0" r="19685" b="13335"/>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inline>
            </w:drawing>
          </mc:Choice>
          <mc:Fallback>
            <w:pict>
              <v:rect id="Rectangle 17" o:spid="_x0000_s1026" o:spt="1" style="height:177.45pt;width:212.95pt;" fillcolor="#FFFFFF" filled="t" stroked="t" coordsize="21600,21600" o:gfxdata="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NeRvNYAAAAFAQAADwAAAAAAAAABACAAAAAiAAAAZHJzL2Rvd25yZXYueG1sUEsBAhQAFAAA&#10;AAgAh07iQOLXmAkqAgAAdAQAAA4AAAAAAAAAAQAgAAAAJQEAAGRycy9lMm9Eb2MueG1sUEsFBgAA&#10;AAAGAAYAWQEAAMEFAAAAAA==&#10;">
                <v:fill on="t" focussize="0,0"/>
                <v:stroke color="#000000" miterlimit="2" joinstyle="miter"/>
                <v:imagedata o:title=""/>
                <o:lock v:ext="edit" aspectratio="f"/>
                <w10:wrap type="none"/>
                <w10:anchorlock/>
              </v:rect>
            </w:pict>
          </mc:Fallback>
        </mc:AlternateContent>
      </w:r>
      <w:r>
        <w:rPr>
          <w:rFonts w:hint="eastAsia" w:ascii="宋体" w:hAnsi="宋体" w:eastAsia="宋体" w:cs="宋体"/>
          <w:color w:val="auto"/>
          <w:szCs w:val="21"/>
          <w:highlight w:val="none"/>
        </w:rPr>
        <w:t xml:space="preserve"> </w:t>
      </w:r>
      <w:r>
        <w:rPr>
          <w:rFonts w:ascii="宋体" w:hAnsi="宋体" w:eastAsia="宋体" w:cs="Times New Roman"/>
          <w:b/>
          <w:bCs/>
          <w:color w:val="auto"/>
          <w:szCs w:val="21"/>
          <w:highlight w:val="none"/>
        </w:rPr>
        <mc:AlternateContent>
          <mc:Choice Requires="wps">
            <w:drawing>
              <wp:inline distT="0" distB="0" distL="0" distR="0">
                <wp:extent cx="2647950" cy="2253615"/>
                <wp:effectExtent l="0" t="0" r="19050" b="13335"/>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inline>
            </w:drawing>
          </mc:Choice>
          <mc:Fallback>
            <w:pict>
              <v:rect id="Rectangle 16" o:spid="_x0000_s1026" o:spt="1" style="height:177.45pt;width:208.5pt;" fillcolor="#FFFFFF" filled="t" stroked="t" coordsize="21600,21600" o:gfxdata="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FVJTLUAAAABQEAAA8AAAAAAAAAAQAgAAAAIgAAAGRycy9kb3ducmV2LnhtbFBLAQIUABQAAAAI&#10;AIdO4kB3gn1EKgIAAHQEAAAOAAAAAAAAAAEAIAAAACMBAABkcnMvZTJvRG9jLnhtbFBLBQYAAAAA&#10;BgAGAFkBAAC/BQAAAAA=&#10;">
                <v:fill on="t" focussize="0,0"/>
                <v:stroke color="#000000" miterlimit="2" joinstyle="miter"/>
                <v:imagedata o:title=""/>
                <o:lock v:ext="edit" aspectratio="f"/>
                <w10:wrap type="none"/>
                <w10:anchorlock/>
              </v:rect>
            </w:pict>
          </mc:Fallback>
        </mc:AlternateContent>
      </w:r>
    </w:p>
    <w:p w14:paraId="325C4AE2">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2F2EDBDE">
      <w:pPr>
        <w:snapToGrid w:val="0"/>
        <w:spacing w:line="288" w:lineRule="auto"/>
        <w:jc w:val="center"/>
        <w:outlineLvl w:val="2"/>
        <w:rPr>
          <w:rFonts w:hint="eastAsia" w:ascii="宋体" w:hAnsi="宋体" w:eastAsia="宋体" w:cs="仿宋_GB2312"/>
          <w:b/>
          <w:color w:val="auto"/>
          <w:kern w:val="0"/>
          <w:szCs w:val="21"/>
          <w:highlight w:val="none"/>
          <w:lang w:val="zh-CN"/>
        </w:rPr>
      </w:pPr>
      <w:r>
        <w:rPr>
          <w:rFonts w:hint="eastAsia" w:ascii="宋体" w:hAnsi="宋体" w:eastAsia="宋体" w:cs="仿宋_GB2312"/>
          <w:b/>
          <w:color w:val="auto"/>
          <w:kern w:val="0"/>
          <w:szCs w:val="21"/>
          <w:highlight w:val="none"/>
          <w:lang w:val="zh-CN"/>
        </w:rPr>
        <w:t>附件2</w:t>
      </w:r>
      <w:r>
        <w:rPr>
          <w:rFonts w:ascii="宋体" w:hAnsi="宋体" w:eastAsia="宋体" w:cs="仿宋_GB2312"/>
          <w:b/>
          <w:color w:val="auto"/>
          <w:kern w:val="0"/>
          <w:szCs w:val="21"/>
          <w:highlight w:val="none"/>
          <w:lang w:val="zh-CN"/>
        </w:rPr>
        <w:t>：</w:t>
      </w:r>
      <w:r>
        <w:rPr>
          <w:rFonts w:hint="eastAsia" w:ascii="宋体" w:hAnsi="宋体" w:eastAsia="宋体" w:cs="仿宋_GB2312"/>
          <w:b/>
          <w:color w:val="auto"/>
          <w:kern w:val="0"/>
          <w:szCs w:val="21"/>
          <w:highlight w:val="none"/>
          <w:lang w:val="zh-CN"/>
        </w:rPr>
        <w:t>联合协议</w:t>
      </w:r>
    </w:p>
    <w:p w14:paraId="13BB3A51">
      <w:pPr>
        <w:widowControl/>
        <w:snapToGrid w:val="0"/>
        <w:spacing w:line="288" w:lineRule="auto"/>
        <w:ind w:firstLine="424" w:firstLineChars="201"/>
        <w:jc w:val="left"/>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（以联合体形式投标的，提供联合协议；本项目不接受联合体投标或者投标人不以联合体形式投标的，则不需要提供）</w:t>
      </w:r>
    </w:p>
    <w:p w14:paraId="21C534A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（联合体所有成员名称）</w:t>
      </w:r>
      <w:r>
        <w:rPr>
          <w:rFonts w:hint="eastAsia" w:ascii="宋体" w:hAnsi="宋体" w:eastAsia="宋体" w:cs="仿宋_GB2312"/>
          <w:color w:val="auto"/>
          <w:kern w:val="0"/>
          <w:szCs w:val="21"/>
          <w:highlight w:val="none"/>
        </w:rPr>
        <w:t>自愿</w:t>
      </w:r>
      <w:r>
        <w:rPr>
          <w:rFonts w:hint="eastAsia" w:ascii="宋体" w:hAnsi="宋体" w:eastAsia="宋体" w:cs="仿宋_GB2312"/>
          <w:color w:val="auto"/>
          <w:kern w:val="0"/>
          <w:szCs w:val="21"/>
          <w:highlight w:val="none"/>
          <w:lang w:val="zh-CN"/>
        </w:rPr>
        <w:t>组成一个联合体，以一个投标人的身份</w:t>
      </w:r>
      <w:r>
        <w:rPr>
          <w:rFonts w:hint="eastAsia" w:ascii="宋体" w:hAnsi="宋体" w:eastAsia="宋体" w:cs="仿宋_GB2312"/>
          <w:color w:val="auto"/>
          <w:kern w:val="0"/>
          <w:szCs w:val="21"/>
          <w:highlight w:val="none"/>
        </w:rPr>
        <w:t>参加</w:t>
      </w:r>
      <w:r>
        <w:rPr>
          <w:rFonts w:hint="eastAsia" w:ascii="宋体" w:hAnsi="宋体" w:eastAsia="宋体" w:cs="仿宋_GB2312"/>
          <w:color w:val="auto"/>
          <w:szCs w:val="21"/>
          <w:highlight w:val="none"/>
        </w:rPr>
        <w:t>（项目名称）【招标编号：</w:t>
      </w:r>
      <w:r>
        <w:rPr>
          <w:rFonts w:hint="eastAsia" w:ascii="宋体" w:hAnsi="宋体" w:eastAsia="宋体" w:cs="Times New Roman"/>
          <w:color w:val="auto"/>
          <w:szCs w:val="21"/>
          <w:highlight w:val="none"/>
        </w:rPr>
        <w:t>（采购编号）</w:t>
      </w:r>
      <w:r>
        <w:rPr>
          <w:rFonts w:hint="eastAsia" w:ascii="宋体" w:hAnsi="宋体" w:eastAsia="宋体" w:cs="仿宋_GB2312"/>
          <w:color w:val="auto"/>
          <w:szCs w:val="21"/>
          <w:highlight w:val="none"/>
        </w:rPr>
        <w:t>】</w:t>
      </w:r>
      <w:r>
        <w:rPr>
          <w:rFonts w:hint="eastAsia" w:ascii="宋体" w:hAnsi="宋体" w:eastAsia="宋体" w:cs="仿宋_GB2312"/>
          <w:color w:val="auto"/>
          <w:kern w:val="0"/>
          <w:szCs w:val="21"/>
          <w:highlight w:val="none"/>
          <w:lang w:val="zh-CN"/>
        </w:rPr>
        <w:t>投标。</w:t>
      </w:r>
      <w:r>
        <w:rPr>
          <w:rFonts w:ascii="宋体" w:hAnsi="宋体" w:eastAsia="宋体" w:cs="仿宋_GB2312"/>
          <w:color w:val="auto"/>
          <w:kern w:val="0"/>
          <w:szCs w:val="21"/>
          <w:highlight w:val="none"/>
          <w:lang w:val="zh-CN"/>
        </w:rPr>
        <w:t xml:space="preserve"> </w:t>
      </w:r>
    </w:p>
    <w:p w14:paraId="19FA3C5D">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一、各方一致决定，</w:t>
      </w:r>
      <w:r>
        <w:rPr>
          <w:rFonts w:hint="eastAsia" w:ascii="宋体" w:hAnsi="宋体" w:eastAsia="宋体" w:cs="仿宋_GB2312"/>
          <w:color w:val="auto"/>
          <w:kern w:val="0"/>
          <w:szCs w:val="21"/>
          <w:highlight w:val="none"/>
          <w:u w:val="single"/>
        </w:rPr>
        <w:t>（某联合体成员名称）</w:t>
      </w:r>
      <w:r>
        <w:rPr>
          <w:rFonts w:hint="eastAsia" w:ascii="宋体" w:hAnsi="宋体" w:eastAsia="宋体" w:cs="仿宋_GB2312"/>
          <w:color w:val="auto"/>
          <w:kern w:val="0"/>
          <w:szCs w:val="21"/>
          <w:highlight w:val="none"/>
        </w:rPr>
        <w:t>为联合体</w:t>
      </w:r>
      <w:r>
        <w:rPr>
          <w:rFonts w:hint="eastAsia" w:ascii="宋体" w:hAnsi="宋体" w:eastAsia="宋体" w:cs="仿宋_GB2312"/>
          <w:color w:val="auto"/>
          <w:kern w:val="0"/>
          <w:szCs w:val="21"/>
          <w:highlight w:val="none"/>
          <w:lang w:val="zh-CN"/>
        </w:rPr>
        <w:t>牵头人</w:t>
      </w:r>
      <w:r>
        <w:rPr>
          <w:rFonts w:hint="eastAsia" w:ascii="宋体" w:hAnsi="宋体" w:eastAsia="宋体" w:cs="Arial"/>
          <w:color w:val="auto"/>
          <w:szCs w:val="21"/>
          <w:highlight w:val="none"/>
        </w:rPr>
        <w:t>，代表所有联合体成员负责投标和合同实施阶段的主办、协调工作</w:t>
      </w:r>
      <w:r>
        <w:rPr>
          <w:rFonts w:hint="eastAsia" w:ascii="宋体" w:hAnsi="宋体" w:eastAsia="宋体" w:cs="仿宋_GB2312"/>
          <w:color w:val="auto"/>
          <w:kern w:val="0"/>
          <w:szCs w:val="21"/>
          <w:highlight w:val="none"/>
          <w:lang w:val="zh-CN"/>
        </w:rPr>
        <w:t>。</w:t>
      </w:r>
    </w:p>
    <w:p w14:paraId="16CBBD6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二、所有联合体成员各方签署授权书，授权书载明的授权代表根据招标文件规定及投标内容而对采购人、采购代理机构所作的任何合法承诺，包括书面澄清及响应等均对联合投标各方产生约束力。</w:t>
      </w:r>
    </w:p>
    <w:p w14:paraId="5E9EDDF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三、本次联合投标中，分工如下：</w:t>
      </w:r>
      <w:r>
        <w:rPr>
          <w:rFonts w:hint="eastAsia" w:ascii="宋体" w:hAnsi="宋体" w:eastAsia="宋体" w:cs="仿宋_GB2312"/>
          <w:color w:val="auto"/>
          <w:kern w:val="0"/>
          <w:szCs w:val="21"/>
          <w:highlight w:val="none"/>
          <w:u w:val="single"/>
        </w:rPr>
        <w:t>（联合体其中一方成员名称）</w:t>
      </w:r>
      <w:r>
        <w:rPr>
          <w:rFonts w:hint="eastAsia" w:ascii="宋体" w:hAnsi="宋体" w:eastAsia="宋体" w:cs="仿宋_GB2312"/>
          <w:color w:val="auto"/>
          <w:kern w:val="0"/>
          <w:szCs w:val="21"/>
          <w:highlight w:val="none"/>
          <w:lang w:val="zh-CN"/>
        </w:rPr>
        <w:t>承担的工作和义务为：</w:t>
      </w:r>
      <w:r>
        <w:rPr>
          <w:rFonts w:ascii="宋体" w:hAnsi="宋体" w:eastAsia="宋体" w:cs="Times New Roman"/>
          <w:color w:val="auto"/>
          <w:szCs w:val="21"/>
          <w:highlight w:val="none"/>
          <w:u w:val="single"/>
        </w:rPr>
        <w:t xml:space="preserve">             </w:t>
      </w:r>
      <w:r>
        <w:rPr>
          <w:rFonts w:hint="eastAsia" w:ascii="宋体" w:hAnsi="宋体" w:eastAsia="宋体" w:cs="仿宋_GB2312"/>
          <w:color w:val="auto"/>
          <w:kern w:val="0"/>
          <w:szCs w:val="21"/>
          <w:highlight w:val="none"/>
          <w:lang w:val="zh-CN"/>
        </w:rPr>
        <w:t>；</w:t>
      </w:r>
      <w:r>
        <w:rPr>
          <w:rFonts w:ascii="宋体" w:hAnsi="宋体" w:eastAsia="宋体" w:cs="仿宋_GB2312"/>
          <w:color w:val="auto"/>
          <w:kern w:val="0"/>
          <w:szCs w:val="21"/>
          <w:highlight w:val="none"/>
          <w:lang w:val="zh-CN"/>
        </w:rPr>
        <w:t>……。</w:t>
      </w:r>
    </w:p>
    <w:p w14:paraId="325F83B6">
      <w:pPr>
        <w:snapToGrid w:val="0"/>
        <w:spacing w:line="288" w:lineRule="auto"/>
        <w:ind w:firstLine="422" w:firstLineChars="201"/>
        <w:rPr>
          <w:rFonts w:hint="eastAsia" w:ascii="宋体" w:hAnsi="宋体" w:eastAsia="宋体" w:cs="仿宋_GB2312"/>
          <w:b/>
          <w:color w:val="auto"/>
          <w:kern w:val="0"/>
          <w:szCs w:val="21"/>
          <w:highlight w:val="none"/>
          <w:lang w:val="zh-CN"/>
        </w:rPr>
      </w:pPr>
      <w:r>
        <w:rPr>
          <w:rFonts w:hint="eastAsia" w:ascii="宋体" w:hAnsi="宋体" w:eastAsia="宋体" w:cs="仿宋_GB2312"/>
          <w:color w:val="auto"/>
          <w:kern w:val="0"/>
          <w:szCs w:val="21"/>
          <w:highlight w:val="none"/>
          <w:lang w:val="zh-CN"/>
        </w:rPr>
        <w:t>四、</w:t>
      </w:r>
      <w:r>
        <w:rPr>
          <w:rFonts w:hint="eastAsia" w:ascii="宋体" w:hAnsi="宋体" w:eastAsia="宋体" w:cs="仿宋_GB2312"/>
          <w:color w:val="auto"/>
          <w:kern w:val="0"/>
          <w:szCs w:val="21"/>
          <w:highlight w:val="none"/>
          <w:u w:val="single"/>
        </w:rPr>
        <w:t>（联合体其中一方成员名称）</w:t>
      </w:r>
      <w:r>
        <w:rPr>
          <w:rFonts w:hint="eastAsia" w:ascii="宋体" w:hAnsi="宋体" w:eastAsia="宋体" w:cs="仿宋_GB2312"/>
          <w:color w:val="auto"/>
          <w:kern w:val="0"/>
          <w:szCs w:val="21"/>
          <w:highlight w:val="none"/>
        </w:rPr>
        <w:t>提供的全部货物由小微企业制造，其合同份额占到合同总金额</w:t>
      </w:r>
      <w:r>
        <w:rPr>
          <w:rFonts w:ascii="宋体" w:hAnsi="宋体" w:eastAsia="宋体" w:cs="仿宋_GB2312"/>
          <w:color w:val="auto"/>
          <w:kern w:val="0"/>
          <w:szCs w:val="21"/>
          <w:highlight w:val="none"/>
          <w:u w:val="single"/>
        </w:rPr>
        <w:t xml:space="preserve">     </w:t>
      </w:r>
      <w:r>
        <w:rPr>
          <w:rFonts w:ascii="宋体" w:hAnsi="宋体" w:eastAsia="宋体" w:cs="仿宋_GB2312"/>
          <w:color w:val="auto"/>
          <w:kern w:val="0"/>
          <w:szCs w:val="21"/>
          <w:highlight w:val="none"/>
        </w:rPr>
        <w:t>%以上；</w:t>
      </w:r>
      <w:r>
        <w:rPr>
          <w:rFonts w:hint="eastAsia" w:ascii="宋体" w:hAnsi="宋体" w:eastAsia="宋体" w:cs="仿宋_GB2312"/>
          <w:color w:val="auto"/>
          <w:kern w:val="0"/>
          <w:szCs w:val="21"/>
          <w:highlight w:val="none"/>
          <w:lang w:val="zh-CN"/>
        </w:rPr>
        <w:t>……。</w:t>
      </w:r>
    </w:p>
    <w:p w14:paraId="0A37C968">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五、如果中标，</w:t>
      </w:r>
      <w:r>
        <w:rPr>
          <w:rFonts w:hint="eastAsia" w:ascii="宋体" w:hAnsi="宋体" w:eastAsia="宋体" w:cs="Times New Roman"/>
          <w:color w:val="auto"/>
          <w:szCs w:val="21"/>
          <w:highlight w:val="none"/>
        </w:rPr>
        <w:t>联合体各成员方共同与采购人签订合同，并就采购合同约定的事项对采购人承担连带责任。</w:t>
      </w:r>
    </w:p>
    <w:p w14:paraId="5F22D95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六、有关本次联合投标的其他事宜：</w:t>
      </w:r>
    </w:p>
    <w:p w14:paraId="7032868B">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1、联合体各方不再单独参加或者与其</w:t>
      </w:r>
      <w:r>
        <w:rPr>
          <w:rFonts w:hint="eastAsia" w:ascii="宋体" w:hAnsi="宋体" w:eastAsia="宋体" w:cs="仿宋_GB2312"/>
          <w:color w:val="auto"/>
          <w:kern w:val="0"/>
          <w:szCs w:val="21"/>
          <w:highlight w:val="none"/>
          <w:lang w:val="zh-CN"/>
        </w:rPr>
        <w:t>他供应商另外组成联合体参加同一合同项下的政府采购活动。</w:t>
      </w:r>
    </w:p>
    <w:p w14:paraId="52B2E08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2、联合体中有同类资质的各方按照联合体分工承担相同工作的，按照资质等级较低的供应商确定资质等级。</w:t>
      </w:r>
    </w:p>
    <w:p w14:paraId="74ED52E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3、本协议提交采购人、</w:t>
      </w:r>
      <w:r>
        <w:rPr>
          <w:rFonts w:hint="eastAsia" w:ascii="宋体" w:hAnsi="宋体" w:eastAsia="宋体" w:cs="仿宋_GB2312"/>
          <w:color w:val="auto"/>
          <w:kern w:val="0"/>
          <w:szCs w:val="21"/>
          <w:highlight w:val="none"/>
          <w:lang w:val="zh-CN"/>
        </w:rPr>
        <w:t>采购代理机构</w:t>
      </w:r>
      <w:r>
        <w:rPr>
          <w:rFonts w:ascii="宋体" w:hAnsi="宋体" w:eastAsia="宋体" w:cs="仿宋_GB2312"/>
          <w:color w:val="auto"/>
          <w:kern w:val="0"/>
          <w:szCs w:val="21"/>
          <w:highlight w:val="none"/>
          <w:lang w:val="zh-CN"/>
        </w:rPr>
        <w:t>后，联合体各方不得以任何形式对上述内容进行修改或撤销。</w:t>
      </w:r>
    </w:p>
    <w:p w14:paraId="58BFEBD7">
      <w:pPr>
        <w:snapToGrid w:val="0"/>
        <w:spacing w:line="288" w:lineRule="auto"/>
        <w:ind w:firstLine="422" w:firstLineChars="201"/>
        <w:rPr>
          <w:rFonts w:hint="eastAsia" w:ascii="宋体" w:hAnsi="宋体" w:eastAsia="宋体" w:cs="仿宋_GB2312"/>
          <w:color w:val="auto"/>
          <w:kern w:val="0"/>
          <w:szCs w:val="21"/>
          <w:highlight w:val="none"/>
          <w:lang w:val="zh-CN"/>
        </w:rPr>
      </w:pPr>
    </w:p>
    <w:p w14:paraId="50157048">
      <w:pPr>
        <w:snapToGrid w:val="0"/>
        <w:spacing w:line="288" w:lineRule="auto"/>
        <w:ind w:firstLine="422" w:firstLineChars="201"/>
        <w:rPr>
          <w:rFonts w:hint="eastAsia" w:ascii="宋体" w:hAnsi="宋体" w:eastAsia="宋体" w:cs="仿宋_GB2312"/>
          <w:color w:val="auto"/>
          <w:kern w:val="0"/>
          <w:szCs w:val="21"/>
          <w:highlight w:val="none"/>
          <w:lang w:val="zh-CN"/>
        </w:rPr>
      </w:pPr>
    </w:p>
    <w:p w14:paraId="27595E15">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联合体成员名称</w:t>
      </w:r>
      <w:r>
        <w:rPr>
          <w:rFonts w:ascii="宋体" w:hAnsi="宋体" w:eastAsia="宋体" w:cs="仿宋_GB2312"/>
          <w:b/>
          <w:bCs/>
          <w:color w:val="auto"/>
          <w:kern w:val="0"/>
          <w:szCs w:val="21"/>
          <w:highlight w:val="none"/>
          <w:lang w:val="zh-CN"/>
        </w:rPr>
        <w:t>(电子签名/公章)：</w:t>
      </w:r>
    </w:p>
    <w:p w14:paraId="082CD6C1">
      <w:pPr>
        <w:snapToGrid w:val="0"/>
        <w:spacing w:line="288" w:lineRule="auto"/>
        <w:ind w:firstLine="424" w:firstLineChars="201"/>
        <w:rPr>
          <w:rFonts w:hint="eastAsia" w:ascii="宋体" w:hAnsi="宋体" w:eastAsia="宋体" w:cs="仿宋_GB2312"/>
          <w:b/>
          <w:bCs/>
          <w:color w:val="auto"/>
          <w:kern w:val="0"/>
          <w:szCs w:val="21"/>
          <w:highlight w:val="none"/>
          <w:lang w:val="zh-CN"/>
        </w:rPr>
      </w:pPr>
    </w:p>
    <w:p w14:paraId="191C763B">
      <w:pPr>
        <w:snapToGrid w:val="0"/>
        <w:spacing w:line="288" w:lineRule="auto"/>
        <w:ind w:firstLine="424" w:firstLineChars="201"/>
        <w:rPr>
          <w:rFonts w:hint="eastAsia" w:ascii="宋体" w:hAnsi="宋体" w:eastAsia="宋体" w:cs="Times New Roman"/>
          <w:b/>
          <w:bCs/>
          <w:color w:val="auto"/>
          <w:szCs w:val="21"/>
          <w:highlight w:val="none"/>
        </w:rPr>
      </w:pPr>
    </w:p>
    <w:p w14:paraId="77AF9BF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ascii="宋体" w:hAnsi="宋体" w:eastAsia="宋体" w:cs="仿宋_GB2312"/>
          <w:b/>
          <w:bCs/>
          <w:color w:val="auto"/>
          <w:kern w:val="0"/>
          <w:szCs w:val="21"/>
          <w:highlight w:val="none"/>
          <w:lang w:val="zh-CN"/>
        </w:rPr>
        <w:t>日期：  年  月   日</w:t>
      </w:r>
    </w:p>
    <w:p w14:paraId="40A150CD">
      <w:pPr>
        <w:widowControl/>
        <w:jc w:val="left"/>
        <w:rPr>
          <w:rFonts w:hint="eastAsia" w:ascii="宋体" w:hAnsi="宋体" w:eastAsia="宋体" w:cs="仿宋_GB2312"/>
          <w:b/>
          <w:color w:val="auto"/>
          <w:kern w:val="0"/>
          <w:szCs w:val="21"/>
          <w:highlight w:val="none"/>
        </w:rPr>
      </w:pPr>
      <w:r>
        <w:rPr>
          <w:rFonts w:ascii="宋体" w:hAnsi="宋体" w:eastAsia="宋体" w:cs="仿宋_GB2312"/>
          <w:b/>
          <w:color w:val="auto"/>
          <w:kern w:val="0"/>
          <w:szCs w:val="21"/>
          <w:highlight w:val="none"/>
        </w:rPr>
        <w:br w:type="page"/>
      </w:r>
    </w:p>
    <w:p w14:paraId="6520CE76">
      <w:pPr>
        <w:snapToGrid w:val="0"/>
        <w:spacing w:line="288" w:lineRule="auto"/>
        <w:jc w:val="center"/>
        <w:outlineLvl w:val="2"/>
        <w:rPr>
          <w:rFonts w:hint="eastAsia" w:ascii="宋体" w:hAnsi="宋体" w:eastAsia="宋体" w:cs="仿宋_GB2312"/>
          <w:b/>
          <w:color w:val="auto"/>
          <w:kern w:val="0"/>
          <w:szCs w:val="21"/>
          <w:highlight w:val="none"/>
        </w:rPr>
      </w:pPr>
      <w:r>
        <w:rPr>
          <w:rFonts w:hint="eastAsia" w:ascii="宋体" w:hAnsi="宋体" w:eastAsia="宋体" w:cs="仿宋_GB2312"/>
          <w:b/>
          <w:color w:val="auto"/>
          <w:kern w:val="0"/>
          <w:szCs w:val="21"/>
          <w:highlight w:val="none"/>
        </w:rPr>
        <w:t>附件3</w:t>
      </w:r>
      <w:r>
        <w:rPr>
          <w:rFonts w:ascii="宋体" w:hAnsi="宋体" w:eastAsia="宋体" w:cs="仿宋_GB2312"/>
          <w:b/>
          <w:color w:val="auto"/>
          <w:kern w:val="0"/>
          <w:szCs w:val="21"/>
          <w:highlight w:val="none"/>
        </w:rPr>
        <w:t>：</w:t>
      </w:r>
      <w:r>
        <w:rPr>
          <w:rFonts w:hint="eastAsia" w:ascii="宋体" w:hAnsi="宋体" w:eastAsia="宋体" w:cs="仿宋_GB2312"/>
          <w:b/>
          <w:color w:val="auto"/>
          <w:kern w:val="0"/>
          <w:szCs w:val="21"/>
          <w:highlight w:val="none"/>
        </w:rPr>
        <w:t>分包意向协议</w:t>
      </w:r>
    </w:p>
    <w:p w14:paraId="635F132D">
      <w:pPr>
        <w:widowControl/>
        <w:snapToGrid w:val="0"/>
        <w:spacing w:line="288" w:lineRule="auto"/>
        <w:ind w:firstLine="422" w:firstLineChars="201"/>
        <w:jc w:val="left"/>
        <w:rPr>
          <w:rFonts w:hint="eastAsia" w:ascii="宋体" w:hAnsi="宋体" w:eastAsia="宋体" w:cs="仿宋_GB2312"/>
          <w:color w:val="auto"/>
          <w:szCs w:val="21"/>
          <w:highlight w:val="none"/>
        </w:rPr>
      </w:pPr>
      <w:r>
        <w:rPr>
          <w:rFonts w:hint="eastAsia" w:ascii="宋体" w:hAnsi="宋体" w:eastAsia="宋体" w:cs="仿宋_GB2312"/>
          <w:color w:val="auto"/>
          <w:szCs w:val="21"/>
          <w:highlight w:val="none"/>
        </w:rPr>
        <w:t>（</w:t>
      </w:r>
      <w:r>
        <w:rPr>
          <w:rFonts w:hint="eastAsia" w:ascii="宋体" w:hAnsi="宋体" w:eastAsia="宋体" w:cs="仿宋_GB2312"/>
          <w:b/>
          <w:color w:val="auto"/>
          <w:szCs w:val="21"/>
          <w:highlight w:val="none"/>
        </w:rPr>
        <w:t>中标后以分包方式履行合同的，提供分包意向协议；采购人不同意分包或者投标人中标后不以分包方式履行合同的，则不需要提供。</w:t>
      </w:r>
      <w:r>
        <w:rPr>
          <w:rFonts w:hint="eastAsia" w:ascii="宋体" w:hAnsi="宋体" w:eastAsia="宋体" w:cs="仿宋_GB2312"/>
          <w:color w:val="auto"/>
          <w:szCs w:val="21"/>
          <w:highlight w:val="none"/>
        </w:rPr>
        <w:t>）</w:t>
      </w:r>
    </w:p>
    <w:p w14:paraId="6086E93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lang w:val="zh-CN"/>
        </w:rPr>
        <w:t>若成为</w:t>
      </w:r>
      <w:r>
        <w:rPr>
          <w:rFonts w:hint="eastAsia" w:ascii="宋体" w:hAnsi="宋体" w:eastAsia="宋体" w:cs="仿宋_GB2312"/>
          <w:color w:val="auto"/>
          <w:szCs w:val="21"/>
          <w:highlight w:val="none"/>
        </w:rPr>
        <w:t>（项目名称）【招标编号：</w:t>
      </w:r>
      <w:r>
        <w:rPr>
          <w:rFonts w:hint="eastAsia" w:ascii="宋体" w:hAnsi="宋体" w:eastAsia="宋体" w:cs="Times New Roman"/>
          <w:color w:val="auto"/>
          <w:szCs w:val="21"/>
          <w:highlight w:val="none"/>
        </w:rPr>
        <w:t>（采购编号）</w:t>
      </w:r>
      <w:r>
        <w:rPr>
          <w:rFonts w:hint="eastAsia" w:ascii="宋体" w:hAnsi="宋体" w:eastAsia="宋体" w:cs="仿宋_GB2312"/>
          <w:color w:val="auto"/>
          <w:szCs w:val="21"/>
          <w:highlight w:val="none"/>
        </w:rPr>
        <w:t>】</w:t>
      </w:r>
      <w:r>
        <w:rPr>
          <w:rFonts w:hint="eastAsia" w:ascii="宋体" w:hAnsi="宋体" w:eastAsia="宋体" w:cs="仿宋_GB2312"/>
          <w:color w:val="auto"/>
          <w:kern w:val="0"/>
          <w:szCs w:val="21"/>
          <w:highlight w:val="none"/>
          <w:lang w:val="zh-CN"/>
        </w:rPr>
        <w:t>的中标供应商，将依法采取分包方式履行合同。</w:t>
      </w: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rPr>
        <w:t>与</w:t>
      </w:r>
      <w:r>
        <w:rPr>
          <w:rFonts w:hint="eastAsia" w:ascii="宋体" w:hAnsi="宋体" w:eastAsia="宋体" w:cs="仿宋_GB2312"/>
          <w:color w:val="auto"/>
          <w:kern w:val="0"/>
          <w:szCs w:val="21"/>
          <w:highlight w:val="none"/>
          <w:u w:val="single"/>
        </w:rPr>
        <w:t>（所有分包供应商名称）</w:t>
      </w:r>
      <w:r>
        <w:rPr>
          <w:rFonts w:hint="eastAsia" w:ascii="宋体" w:hAnsi="宋体" w:eastAsia="宋体" w:cs="仿宋_GB2312"/>
          <w:color w:val="auto"/>
          <w:kern w:val="0"/>
          <w:szCs w:val="21"/>
          <w:highlight w:val="none"/>
        </w:rPr>
        <w:t>达成分包意向协议</w:t>
      </w:r>
      <w:r>
        <w:rPr>
          <w:rFonts w:hint="eastAsia" w:ascii="宋体" w:hAnsi="宋体" w:eastAsia="宋体" w:cs="仿宋_GB2312"/>
          <w:color w:val="auto"/>
          <w:kern w:val="0"/>
          <w:szCs w:val="21"/>
          <w:highlight w:val="none"/>
          <w:lang w:val="zh-CN"/>
        </w:rPr>
        <w:t>。</w:t>
      </w:r>
      <w:r>
        <w:rPr>
          <w:rFonts w:ascii="宋体" w:hAnsi="宋体" w:eastAsia="宋体" w:cs="仿宋_GB2312"/>
          <w:color w:val="auto"/>
          <w:kern w:val="0"/>
          <w:szCs w:val="21"/>
          <w:highlight w:val="none"/>
          <w:lang w:val="zh-CN"/>
        </w:rPr>
        <w:t xml:space="preserve"> </w:t>
      </w:r>
    </w:p>
    <w:p w14:paraId="4176A195">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一、分包标的及数量</w:t>
      </w:r>
    </w:p>
    <w:p w14:paraId="11039BB1">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lang w:val="zh-CN"/>
        </w:rPr>
        <w:t>将</w:t>
      </w:r>
      <w:r>
        <w:rPr>
          <w:rFonts w:ascii="宋体" w:hAnsi="宋体" w:eastAsia="宋体" w:cs="Times New Roman"/>
          <w:color w:val="auto"/>
          <w:szCs w:val="21"/>
          <w:highlight w:val="none"/>
          <w:u w:val="single"/>
        </w:rPr>
        <w:t xml:space="preserve">   XX工作内容   </w:t>
      </w:r>
      <w:r>
        <w:rPr>
          <w:rFonts w:hint="eastAsia" w:ascii="宋体" w:hAnsi="宋体" w:eastAsia="宋体" w:cs="Arial"/>
          <w:color w:val="auto"/>
          <w:szCs w:val="21"/>
          <w:highlight w:val="none"/>
        </w:rPr>
        <w:t>分包给</w:t>
      </w:r>
      <w:r>
        <w:rPr>
          <w:rFonts w:hint="eastAsia" w:ascii="宋体" w:hAnsi="宋体" w:eastAsia="宋体" w:cs="仿宋_GB2312"/>
          <w:color w:val="auto"/>
          <w:kern w:val="0"/>
          <w:szCs w:val="21"/>
          <w:highlight w:val="none"/>
          <w:u w:val="single"/>
        </w:rPr>
        <w:t>（某分包供应商名称）</w:t>
      </w:r>
      <w:r>
        <w:rPr>
          <w:rFonts w:hint="eastAsia" w:ascii="宋体" w:hAnsi="宋体" w:eastAsia="宋体" w:cs="仿宋_GB2312"/>
          <w:color w:val="auto"/>
          <w:kern w:val="0"/>
          <w:szCs w:val="21"/>
          <w:highlight w:val="none"/>
          <w:lang w:val="zh-CN"/>
        </w:rPr>
        <w:t>，</w:t>
      </w:r>
      <w:r>
        <w:rPr>
          <w:rFonts w:hint="eastAsia" w:ascii="宋体" w:hAnsi="宋体" w:eastAsia="宋体" w:cs="仿宋_GB2312"/>
          <w:color w:val="auto"/>
          <w:kern w:val="0"/>
          <w:szCs w:val="21"/>
          <w:highlight w:val="none"/>
          <w:u w:val="single"/>
        </w:rPr>
        <w:t>（某分包供应商名称），</w:t>
      </w:r>
      <w:r>
        <w:rPr>
          <w:rFonts w:hint="eastAsia" w:ascii="宋体" w:hAnsi="宋体" w:eastAsia="宋体" w:cs="仿宋_GB2312"/>
          <w:color w:val="auto"/>
          <w:kern w:val="0"/>
          <w:szCs w:val="21"/>
          <w:highlight w:val="none"/>
          <w:lang w:val="zh-CN"/>
        </w:rPr>
        <w:t>具备承</w:t>
      </w:r>
      <w:r>
        <w:rPr>
          <w:rFonts w:hint="eastAsia" w:ascii="宋体" w:hAnsi="宋体" w:eastAsia="宋体" w:cs="仿宋_GB2312"/>
          <w:color w:val="auto"/>
          <w:kern w:val="0"/>
          <w:szCs w:val="21"/>
          <w:highlight w:val="none"/>
        </w:rPr>
        <w:t>担</w:t>
      </w:r>
      <w:r>
        <w:rPr>
          <w:rFonts w:ascii="宋体" w:hAnsi="宋体" w:eastAsia="宋体" w:cs="仿宋_GB2312"/>
          <w:color w:val="auto"/>
          <w:kern w:val="0"/>
          <w:szCs w:val="21"/>
          <w:highlight w:val="none"/>
          <w:u w:val="single"/>
          <w:lang w:val="zh-CN"/>
        </w:rPr>
        <w:t>XX工作内容</w:t>
      </w:r>
      <w:r>
        <w:rPr>
          <w:rFonts w:hint="eastAsia" w:ascii="宋体" w:hAnsi="宋体" w:eastAsia="宋体" w:cs="仿宋_GB2312"/>
          <w:color w:val="auto"/>
          <w:kern w:val="0"/>
          <w:szCs w:val="21"/>
          <w:highlight w:val="none"/>
          <w:lang w:val="zh-CN"/>
        </w:rPr>
        <w:t>相应资质条件且不得再次分包；</w:t>
      </w:r>
    </w:p>
    <w:p w14:paraId="45171D96">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w:t>
      </w:r>
    </w:p>
    <w:p w14:paraId="462FF8F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二、分包工作履行期限、地点、方式</w:t>
      </w:r>
    </w:p>
    <w:p w14:paraId="12206815">
      <w:pPr>
        <w:snapToGrid w:val="0"/>
        <w:spacing w:line="288" w:lineRule="auto"/>
        <w:ind w:firstLine="422" w:firstLineChars="201"/>
        <w:rPr>
          <w:rFonts w:hint="eastAsia" w:ascii="宋体" w:hAnsi="宋体" w:eastAsia="宋体" w:cs="Times New Roman"/>
          <w:color w:val="auto"/>
          <w:szCs w:val="21"/>
          <w:highlight w:val="none"/>
          <w:u w:val="single"/>
        </w:rPr>
      </w:pPr>
      <w:r>
        <w:rPr>
          <w:rFonts w:ascii="宋体" w:hAnsi="宋体" w:eastAsia="宋体" w:cs="Times New Roman"/>
          <w:color w:val="auto"/>
          <w:szCs w:val="21"/>
          <w:highlight w:val="none"/>
          <w:u w:val="single"/>
        </w:rPr>
        <w:t xml:space="preserve">                                                                                  </w:t>
      </w:r>
    </w:p>
    <w:p w14:paraId="7D2D87A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三、质量</w:t>
      </w:r>
    </w:p>
    <w:p w14:paraId="18634A49">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15C1F584">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四、价款或者报酬</w:t>
      </w:r>
    </w:p>
    <w:p w14:paraId="01937A8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7B13FE09">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五、违约责任</w:t>
      </w:r>
    </w:p>
    <w:p w14:paraId="71D04AC4">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22E752B5">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六、争议解决的办法</w:t>
      </w:r>
    </w:p>
    <w:p w14:paraId="3DB426F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2A4D2BCD">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七、其他</w:t>
      </w:r>
    </w:p>
    <w:p w14:paraId="31C593C3">
      <w:pPr>
        <w:snapToGrid w:val="0"/>
        <w:spacing w:line="288" w:lineRule="auto"/>
        <w:ind w:firstLine="422" w:firstLineChars="201"/>
        <w:rPr>
          <w:rFonts w:hint="eastAsia" w:ascii="宋体" w:hAnsi="宋体" w:eastAsia="宋体" w:cs="仿宋_GB2312"/>
          <w:b/>
          <w:color w:val="auto"/>
          <w:kern w:val="0"/>
          <w:szCs w:val="21"/>
          <w:highlight w:val="none"/>
          <w:lang w:val="zh-CN"/>
        </w:rPr>
      </w:pPr>
      <w:r>
        <w:rPr>
          <w:rFonts w:hint="eastAsia" w:ascii="宋体" w:hAnsi="宋体" w:eastAsia="宋体" w:cs="仿宋_GB2312"/>
          <w:color w:val="auto"/>
          <w:kern w:val="0"/>
          <w:szCs w:val="21"/>
          <w:highlight w:val="none"/>
          <w:u w:val="single"/>
        </w:rPr>
        <w:t>（分包供应商名称）提供的货物全部由小微企业制造，</w:t>
      </w:r>
      <w:r>
        <w:rPr>
          <w:rFonts w:hint="eastAsia" w:ascii="宋体" w:hAnsi="宋体" w:eastAsia="宋体" w:cs="仿宋_GB2312"/>
          <w:color w:val="auto"/>
          <w:kern w:val="0"/>
          <w:szCs w:val="21"/>
          <w:highlight w:val="none"/>
        </w:rPr>
        <w:t>其合同份额占到合同总金额</w:t>
      </w:r>
      <w:r>
        <w:rPr>
          <w:rFonts w:ascii="宋体" w:hAnsi="宋体" w:eastAsia="宋体" w:cs="仿宋_GB2312"/>
          <w:color w:val="auto"/>
          <w:kern w:val="0"/>
          <w:szCs w:val="21"/>
          <w:highlight w:val="none"/>
          <w:u w:val="single"/>
        </w:rPr>
        <w:t xml:space="preserve">     </w:t>
      </w:r>
      <w:r>
        <w:rPr>
          <w:rFonts w:ascii="宋体" w:hAnsi="宋体" w:eastAsia="宋体" w:cs="仿宋_GB2312"/>
          <w:color w:val="auto"/>
          <w:kern w:val="0"/>
          <w:szCs w:val="21"/>
          <w:highlight w:val="none"/>
        </w:rPr>
        <w:t>%以上</w:t>
      </w:r>
      <w:r>
        <w:rPr>
          <w:rFonts w:hint="eastAsia" w:ascii="宋体" w:hAnsi="宋体" w:eastAsia="宋体" w:cs="Times New Roman"/>
          <w:color w:val="auto"/>
          <w:szCs w:val="21"/>
          <w:highlight w:val="none"/>
        </w:rPr>
        <w:t>。</w:t>
      </w:r>
    </w:p>
    <w:p w14:paraId="3155885C">
      <w:pPr>
        <w:snapToGrid w:val="0"/>
        <w:spacing w:line="288" w:lineRule="auto"/>
        <w:rPr>
          <w:rFonts w:hint="eastAsia" w:ascii="宋体" w:hAnsi="宋体" w:eastAsia="宋体" w:cs="仿宋_GB2312"/>
          <w:color w:val="auto"/>
          <w:kern w:val="0"/>
          <w:szCs w:val="21"/>
          <w:highlight w:val="none"/>
          <w:lang w:val="zh-CN"/>
        </w:rPr>
      </w:pPr>
    </w:p>
    <w:p w14:paraId="1D16F0E5">
      <w:pPr>
        <w:snapToGrid w:val="0"/>
        <w:spacing w:line="288" w:lineRule="auto"/>
        <w:ind w:firstLine="422" w:firstLineChars="200"/>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投标人名称（电子签名</w:t>
      </w:r>
      <w:r>
        <w:rPr>
          <w:rFonts w:ascii="宋体" w:hAnsi="宋体" w:eastAsia="宋体" w:cs="仿宋_GB2312"/>
          <w:b/>
          <w:bCs/>
          <w:color w:val="auto"/>
          <w:kern w:val="0"/>
          <w:szCs w:val="21"/>
          <w:highlight w:val="none"/>
          <w:lang w:val="zh-CN"/>
        </w:rPr>
        <w:t>/公章）：</w:t>
      </w:r>
    </w:p>
    <w:p w14:paraId="42AADEC1">
      <w:pPr>
        <w:snapToGrid w:val="0"/>
        <w:spacing w:line="288" w:lineRule="auto"/>
        <w:ind w:firstLine="424" w:firstLineChars="201"/>
        <w:rPr>
          <w:rFonts w:hint="eastAsia" w:ascii="宋体" w:hAnsi="宋体" w:eastAsia="宋体" w:cs="仿宋_GB2312"/>
          <w:b/>
          <w:bCs/>
          <w:color w:val="auto"/>
          <w:kern w:val="0"/>
          <w:szCs w:val="21"/>
          <w:highlight w:val="none"/>
          <w:lang w:val="zh-CN"/>
        </w:rPr>
      </w:pPr>
    </w:p>
    <w:p w14:paraId="0EFAAFA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分包供应商名称（电子签名</w:t>
      </w:r>
      <w:r>
        <w:rPr>
          <w:rFonts w:ascii="宋体" w:hAnsi="宋体" w:eastAsia="宋体" w:cs="仿宋_GB2312"/>
          <w:b/>
          <w:bCs/>
          <w:color w:val="auto"/>
          <w:kern w:val="0"/>
          <w:szCs w:val="21"/>
          <w:highlight w:val="none"/>
          <w:lang w:val="zh-CN"/>
        </w:rPr>
        <w:t>/公章）：</w:t>
      </w:r>
    </w:p>
    <w:p w14:paraId="169493F1">
      <w:pPr>
        <w:snapToGrid w:val="0"/>
        <w:spacing w:line="288" w:lineRule="auto"/>
        <w:rPr>
          <w:rFonts w:hint="eastAsia" w:ascii="宋体" w:hAnsi="宋体" w:eastAsia="宋体" w:cs="仿宋_GB2312"/>
          <w:b/>
          <w:bCs/>
          <w:color w:val="auto"/>
          <w:kern w:val="0"/>
          <w:szCs w:val="21"/>
          <w:highlight w:val="none"/>
          <w:lang w:val="zh-CN"/>
        </w:rPr>
      </w:pPr>
    </w:p>
    <w:p w14:paraId="4F6AC4D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ascii="宋体" w:hAnsi="宋体" w:eastAsia="宋体" w:cs="仿宋_GB2312"/>
          <w:b/>
          <w:bCs/>
          <w:color w:val="auto"/>
          <w:kern w:val="0"/>
          <w:szCs w:val="21"/>
          <w:highlight w:val="none"/>
          <w:lang w:val="zh-CN"/>
        </w:rPr>
        <w:t>日期：  年  月   日</w:t>
      </w:r>
    </w:p>
    <w:p w14:paraId="6BCF6A0F">
      <w:pPr>
        <w:rPr>
          <w:rFonts w:hint="eastAsia" w:ascii="等线" w:hAnsi="等线" w:eastAsia="等线" w:cs="Times New Roman"/>
          <w:color w:val="auto"/>
          <w:highlight w:val="none"/>
        </w:rPr>
      </w:pPr>
    </w:p>
    <w:p w14:paraId="565F2107">
      <w:pPr>
        <w:adjustRightInd w:val="0"/>
        <w:snapToGrid w:val="0"/>
        <w:spacing w:line="288" w:lineRule="auto"/>
        <w:rPr>
          <w:rFonts w:hint="eastAsia" w:ascii="宋体" w:hAnsi="宋体" w:eastAsia="宋体" w:cs="Times New Roman"/>
          <w:b/>
          <w:color w:val="auto"/>
          <w:spacing w:val="-6"/>
          <w:szCs w:val="21"/>
          <w:highlight w:val="none"/>
        </w:rPr>
      </w:pPr>
    </w:p>
    <w:sectPr>
      <w:footerReference r:id="rId6" w:type="default"/>
      <w:pgSz w:w="11906" w:h="16838"/>
      <w:pgMar w:top="1247" w:right="1247" w:bottom="1247" w:left="1247" w:header="0" w:footer="694" w:gutter="0"/>
      <w:pgNumType w:start="1"/>
      <w:cols w:space="720" w:num="1"/>
      <w:docGrid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楷体_GB2312">
    <w:panose1 w:val="02010609030101010101"/>
    <w:charset w:val="86"/>
    <w:family w:val="modern"/>
    <w:pitch w:val="default"/>
    <w:sig w:usb0="00000001" w:usb1="080E0000" w:usb2="00000000" w:usb3="00000000" w:csb0="00040000" w:csb1="00000000"/>
  </w:font>
  <w:font w:name="-apple-system">
    <w:altName w:val="Malgun Gothic Semilight"/>
    <w:panose1 w:val="00000000000000000000"/>
    <w:charset w:val="00"/>
    <w:family w:val="auto"/>
    <w:pitch w:val="default"/>
    <w:sig w:usb0="00000000" w:usb1="00000000" w:usb2="00000000" w:usb3="00000000" w:csb0="00040001" w:csb1="00000000"/>
  </w:font>
  <w:font w:name="Malgun Gothic Semilight">
    <w:panose1 w:val="020B0502040204020203"/>
    <w:charset w:val="86"/>
    <w:family w:val="auto"/>
    <w:pitch w:val="default"/>
    <w:sig w:usb0="900002AF" w:usb1="01D77CFB" w:usb2="00000012" w:usb3="00000000" w:csb0="203E01BD" w:csb1="D7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Microsoft YaHei UI">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Helvetica Neue Light">
    <w:altName w:val="Courier New"/>
    <w:panose1 w:val="00000000000000000000"/>
    <w:charset w:val="00"/>
    <w:family w:val="auto"/>
    <w:pitch w:val="default"/>
    <w:sig w:usb0="00000000" w:usb1="00000000" w:usb2="00000002" w:usb3="00000000" w:csb0="00000007" w:csb1="00000000"/>
  </w:font>
  <w:font w:name="ヒラギノ角ゴ Pro W3">
    <w:altName w:val="MS Gothic"/>
    <w:panose1 w:val="00000000000000000000"/>
    <w:charset w:val="80"/>
    <w:family w:val="auto"/>
    <w:pitch w:val="default"/>
    <w:sig w:usb0="00000000" w:usb1="00000000" w:usb2="00000012" w:usb3="00000000" w:csb0="0002000D" w:csb1="00000000"/>
  </w:font>
  <w:font w:name="MS Gothic">
    <w:panose1 w:val="020B0609070205080204"/>
    <w:charset w:val="80"/>
    <w:family w:val="auto"/>
    <w:pitch w:val="default"/>
    <w:sig w:usb0="E00002FF" w:usb1="6AC7FDFB" w:usb2="08000012" w:usb3="00000000" w:csb0="4002009F" w:csb1="DFD7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3C3F5">
    <w:pPr>
      <w:pStyle w:val="17"/>
      <w:jc w:val="center"/>
      <w:rPr>
        <w:rFonts w:hint="eastAsia" w:ascii="宋体" w:hAnsi="宋体" w:eastAsia="宋体"/>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33A67">
    <w:pPr>
      <w:pStyle w:val="17"/>
      <w:jc w:val="center"/>
      <w:rPr>
        <w:rFonts w:hint="eastAsia" w:ascii="宋体" w:hAnsi="宋体" w:eastAsia="宋体"/>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4E77A5">
    <w:pPr>
      <w:pStyle w:val="17"/>
      <w:jc w:val="center"/>
      <w:rPr>
        <w:rFonts w:hint="eastAsia" w:ascii="宋体" w:hAnsi="宋体" w:eastAsia="宋体"/>
        <w:sz w:val="21"/>
        <w:szCs w:val="21"/>
      </w:rPr>
    </w:pPr>
    <w:r>
      <w:rPr>
        <w:rFonts w:ascii="宋体" w:hAnsi="宋体" w:eastAsia="宋体"/>
        <w:sz w:val="21"/>
        <w:szCs w:val="21"/>
      </w:rPr>
      <w:fldChar w:fldCharType="begin"/>
    </w:r>
    <w:r>
      <w:rPr>
        <w:rFonts w:ascii="宋体" w:hAnsi="宋体" w:eastAsia="宋体"/>
        <w:sz w:val="21"/>
        <w:szCs w:val="21"/>
      </w:rPr>
      <w:instrText xml:space="preserve">PAGE   \* MERGEFORMAT</w:instrText>
    </w:r>
    <w:r>
      <w:rPr>
        <w:rFonts w:ascii="宋体" w:hAnsi="宋体" w:eastAsia="宋体"/>
        <w:sz w:val="21"/>
        <w:szCs w:val="21"/>
      </w:rPr>
      <w:fldChar w:fldCharType="separate"/>
    </w:r>
    <w:r>
      <w:rPr>
        <w:rFonts w:ascii="宋体" w:hAnsi="宋体" w:eastAsia="宋体"/>
        <w:sz w:val="21"/>
        <w:szCs w:val="21"/>
        <w:lang w:val="zh-CN"/>
      </w:rPr>
      <w:t>1</w:t>
    </w:r>
    <w:r>
      <w:rPr>
        <w:rFonts w:ascii="宋体" w:hAnsi="宋体" w:eastAsia="宋体"/>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C3D0A">
    <w:pPr>
      <w:jc w:val="center"/>
      <w:rPr>
        <w:rFonts w:hint="eastAsia"/>
      </w:rPr>
    </w:pPr>
    <w:r>
      <w:rPr>
        <w:rFonts w:hint="eastAsia"/>
      </w:rPr>
      <w:drawing>
        <wp:inline distT="0" distB="0" distL="114300" distR="114300">
          <wp:extent cx="5906770" cy="676910"/>
          <wp:effectExtent l="0" t="0" r="8255" b="8890"/>
          <wp:docPr id="2" name="图片 2" descr="页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页眉"/>
                  <pic:cNvPicPr>
                    <a:picLocks noChangeAspect="1"/>
                  </pic:cNvPicPr>
                </pic:nvPicPr>
                <pic:blipFill>
                  <a:blip r:embed="rId1"/>
                  <a:stretch>
                    <a:fillRect/>
                  </a:stretch>
                </pic:blipFill>
                <pic:spPr>
                  <a:xfrm>
                    <a:off x="0" y="0"/>
                    <a:ext cx="5906770" cy="67691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5"/>
    <w:multiLevelType w:val="multilevel"/>
    <w:tmpl w:val="00000005"/>
    <w:lvl w:ilvl="0" w:tentative="0">
      <w:start w:val="1"/>
      <w:numFmt w:val="decimal"/>
      <w:pStyle w:val="6"/>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674C1FD9"/>
    <w:multiLevelType w:val="singleLevel"/>
    <w:tmpl w:val="674C1FD9"/>
    <w:lvl w:ilvl="0" w:tentative="0">
      <w:start w:val="1"/>
      <w:numFmt w:val="decimal"/>
      <w:lvlText w:val="%1."/>
      <w:lvlJc w:val="left"/>
      <w:pPr>
        <w:tabs>
          <w:tab w:val="left" w:pos="312"/>
        </w:tabs>
      </w:p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cnf">
    <w15:presenceInfo w15:providerId="None" w15:userId="cn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A1NjJhY2YzNGY0NzY5M2ZmM2Y0ZjcwMmY2ODQ2YTYifQ=="/>
  </w:docVars>
  <w:rsids>
    <w:rsidRoot w:val="00756626"/>
    <w:rsid w:val="000009E4"/>
    <w:rsid w:val="0000114F"/>
    <w:rsid w:val="0000436F"/>
    <w:rsid w:val="000062F4"/>
    <w:rsid w:val="00006469"/>
    <w:rsid w:val="00006CFD"/>
    <w:rsid w:val="000116E4"/>
    <w:rsid w:val="00012C41"/>
    <w:rsid w:val="00013608"/>
    <w:rsid w:val="00013B07"/>
    <w:rsid w:val="00014530"/>
    <w:rsid w:val="00015995"/>
    <w:rsid w:val="00016D69"/>
    <w:rsid w:val="00022A3E"/>
    <w:rsid w:val="00034595"/>
    <w:rsid w:val="00037CC3"/>
    <w:rsid w:val="00037F12"/>
    <w:rsid w:val="000404C3"/>
    <w:rsid w:val="00041035"/>
    <w:rsid w:val="0004184A"/>
    <w:rsid w:val="00042FA2"/>
    <w:rsid w:val="00043D3F"/>
    <w:rsid w:val="0004610A"/>
    <w:rsid w:val="00046C0F"/>
    <w:rsid w:val="00047FBE"/>
    <w:rsid w:val="000505CC"/>
    <w:rsid w:val="000536E0"/>
    <w:rsid w:val="00057E8D"/>
    <w:rsid w:val="0006261A"/>
    <w:rsid w:val="00065AAC"/>
    <w:rsid w:val="00066C2F"/>
    <w:rsid w:val="00067CDC"/>
    <w:rsid w:val="00074377"/>
    <w:rsid w:val="000765FF"/>
    <w:rsid w:val="00080197"/>
    <w:rsid w:val="00080E86"/>
    <w:rsid w:val="000814E9"/>
    <w:rsid w:val="00082DB5"/>
    <w:rsid w:val="00082FB1"/>
    <w:rsid w:val="00085C8D"/>
    <w:rsid w:val="00085FCC"/>
    <w:rsid w:val="00086FEF"/>
    <w:rsid w:val="00090029"/>
    <w:rsid w:val="00091AA5"/>
    <w:rsid w:val="00091FF9"/>
    <w:rsid w:val="000922B3"/>
    <w:rsid w:val="00094854"/>
    <w:rsid w:val="000949E6"/>
    <w:rsid w:val="0009679C"/>
    <w:rsid w:val="0009761D"/>
    <w:rsid w:val="000A0BB1"/>
    <w:rsid w:val="000A108A"/>
    <w:rsid w:val="000A318A"/>
    <w:rsid w:val="000A3511"/>
    <w:rsid w:val="000A3F95"/>
    <w:rsid w:val="000A68FB"/>
    <w:rsid w:val="000A74CF"/>
    <w:rsid w:val="000A7D0F"/>
    <w:rsid w:val="000B1B92"/>
    <w:rsid w:val="000B5BC8"/>
    <w:rsid w:val="000C1DE2"/>
    <w:rsid w:val="000C1EF8"/>
    <w:rsid w:val="000C3537"/>
    <w:rsid w:val="000C558F"/>
    <w:rsid w:val="000C587E"/>
    <w:rsid w:val="000C5B11"/>
    <w:rsid w:val="000C67A6"/>
    <w:rsid w:val="000D0B38"/>
    <w:rsid w:val="000D107B"/>
    <w:rsid w:val="000D4121"/>
    <w:rsid w:val="000D763B"/>
    <w:rsid w:val="000E0B46"/>
    <w:rsid w:val="000E12A8"/>
    <w:rsid w:val="000E158D"/>
    <w:rsid w:val="000E3384"/>
    <w:rsid w:val="000E6420"/>
    <w:rsid w:val="000F4562"/>
    <w:rsid w:val="00103101"/>
    <w:rsid w:val="00103FF5"/>
    <w:rsid w:val="00105EC1"/>
    <w:rsid w:val="00106A4D"/>
    <w:rsid w:val="00111205"/>
    <w:rsid w:val="00111418"/>
    <w:rsid w:val="00112A2A"/>
    <w:rsid w:val="001137C8"/>
    <w:rsid w:val="00117EF1"/>
    <w:rsid w:val="001203D7"/>
    <w:rsid w:val="00120781"/>
    <w:rsid w:val="00121025"/>
    <w:rsid w:val="001273B1"/>
    <w:rsid w:val="00130294"/>
    <w:rsid w:val="00132E0C"/>
    <w:rsid w:val="001358FA"/>
    <w:rsid w:val="00137FB9"/>
    <w:rsid w:val="00145597"/>
    <w:rsid w:val="001466D3"/>
    <w:rsid w:val="001472FE"/>
    <w:rsid w:val="00147E13"/>
    <w:rsid w:val="00150DD3"/>
    <w:rsid w:val="00154E6E"/>
    <w:rsid w:val="00160F71"/>
    <w:rsid w:val="00160F8F"/>
    <w:rsid w:val="00162355"/>
    <w:rsid w:val="00162B7F"/>
    <w:rsid w:val="00163375"/>
    <w:rsid w:val="001639E5"/>
    <w:rsid w:val="00164553"/>
    <w:rsid w:val="00164E88"/>
    <w:rsid w:val="00166D36"/>
    <w:rsid w:val="00166EDC"/>
    <w:rsid w:val="00167EC3"/>
    <w:rsid w:val="0017064E"/>
    <w:rsid w:val="00170DD1"/>
    <w:rsid w:val="00172304"/>
    <w:rsid w:val="0017684F"/>
    <w:rsid w:val="001768E5"/>
    <w:rsid w:val="0018079E"/>
    <w:rsid w:val="00182FEC"/>
    <w:rsid w:val="00183AD9"/>
    <w:rsid w:val="001865B0"/>
    <w:rsid w:val="00191976"/>
    <w:rsid w:val="0019760B"/>
    <w:rsid w:val="00197EDA"/>
    <w:rsid w:val="001A1C51"/>
    <w:rsid w:val="001A24B8"/>
    <w:rsid w:val="001A2D63"/>
    <w:rsid w:val="001A2F81"/>
    <w:rsid w:val="001A3167"/>
    <w:rsid w:val="001A6903"/>
    <w:rsid w:val="001A736E"/>
    <w:rsid w:val="001B01EC"/>
    <w:rsid w:val="001B03B6"/>
    <w:rsid w:val="001B1958"/>
    <w:rsid w:val="001B1EED"/>
    <w:rsid w:val="001B2E94"/>
    <w:rsid w:val="001B3AE6"/>
    <w:rsid w:val="001B63B2"/>
    <w:rsid w:val="001B6AE4"/>
    <w:rsid w:val="001B6C0D"/>
    <w:rsid w:val="001C1474"/>
    <w:rsid w:val="001C2000"/>
    <w:rsid w:val="001C2933"/>
    <w:rsid w:val="001C3B71"/>
    <w:rsid w:val="001C4075"/>
    <w:rsid w:val="001C6036"/>
    <w:rsid w:val="001D157A"/>
    <w:rsid w:val="001D2D58"/>
    <w:rsid w:val="001D7868"/>
    <w:rsid w:val="001E1516"/>
    <w:rsid w:val="001E1992"/>
    <w:rsid w:val="001E1EBA"/>
    <w:rsid w:val="001E3085"/>
    <w:rsid w:val="001F36AC"/>
    <w:rsid w:val="001F47BE"/>
    <w:rsid w:val="001F7274"/>
    <w:rsid w:val="002004E1"/>
    <w:rsid w:val="00200536"/>
    <w:rsid w:val="0020103C"/>
    <w:rsid w:val="00201125"/>
    <w:rsid w:val="00201321"/>
    <w:rsid w:val="00204F17"/>
    <w:rsid w:val="00210339"/>
    <w:rsid w:val="00211660"/>
    <w:rsid w:val="00213589"/>
    <w:rsid w:val="00217ADB"/>
    <w:rsid w:val="00220252"/>
    <w:rsid w:val="00221BD1"/>
    <w:rsid w:val="00223595"/>
    <w:rsid w:val="00224BD6"/>
    <w:rsid w:val="002265A9"/>
    <w:rsid w:val="00230DA7"/>
    <w:rsid w:val="002336BD"/>
    <w:rsid w:val="00236327"/>
    <w:rsid w:val="00236937"/>
    <w:rsid w:val="002402D1"/>
    <w:rsid w:val="002435F2"/>
    <w:rsid w:val="00243D1E"/>
    <w:rsid w:val="002460A0"/>
    <w:rsid w:val="00251F2E"/>
    <w:rsid w:val="002529BD"/>
    <w:rsid w:val="0025569A"/>
    <w:rsid w:val="00255E9B"/>
    <w:rsid w:val="00255F77"/>
    <w:rsid w:val="0025659F"/>
    <w:rsid w:val="002570E8"/>
    <w:rsid w:val="00257110"/>
    <w:rsid w:val="002607CF"/>
    <w:rsid w:val="00262884"/>
    <w:rsid w:val="00263494"/>
    <w:rsid w:val="00263BCE"/>
    <w:rsid w:val="00264D84"/>
    <w:rsid w:val="00267917"/>
    <w:rsid w:val="00272073"/>
    <w:rsid w:val="00275FBD"/>
    <w:rsid w:val="00282765"/>
    <w:rsid w:val="002831C7"/>
    <w:rsid w:val="00283AE2"/>
    <w:rsid w:val="00283EB5"/>
    <w:rsid w:val="002871B1"/>
    <w:rsid w:val="00296AB0"/>
    <w:rsid w:val="002A17E3"/>
    <w:rsid w:val="002A7085"/>
    <w:rsid w:val="002A799A"/>
    <w:rsid w:val="002B0296"/>
    <w:rsid w:val="002B0A0A"/>
    <w:rsid w:val="002B1048"/>
    <w:rsid w:val="002B4AE9"/>
    <w:rsid w:val="002C3342"/>
    <w:rsid w:val="002C33D1"/>
    <w:rsid w:val="002D2EAF"/>
    <w:rsid w:val="002D2FCD"/>
    <w:rsid w:val="002D2FF9"/>
    <w:rsid w:val="002D3A28"/>
    <w:rsid w:val="002E094C"/>
    <w:rsid w:val="002E200D"/>
    <w:rsid w:val="002E3494"/>
    <w:rsid w:val="002E356A"/>
    <w:rsid w:val="002E3E0B"/>
    <w:rsid w:val="002E4545"/>
    <w:rsid w:val="002E46E3"/>
    <w:rsid w:val="002F13BD"/>
    <w:rsid w:val="002F14C6"/>
    <w:rsid w:val="002F55DD"/>
    <w:rsid w:val="002F75BD"/>
    <w:rsid w:val="00302870"/>
    <w:rsid w:val="00303255"/>
    <w:rsid w:val="00304616"/>
    <w:rsid w:val="00304855"/>
    <w:rsid w:val="00305DE7"/>
    <w:rsid w:val="0030628A"/>
    <w:rsid w:val="00306563"/>
    <w:rsid w:val="00306AB0"/>
    <w:rsid w:val="00310A59"/>
    <w:rsid w:val="003117B9"/>
    <w:rsid w:val="00311A4B"/>
    <w:rsid w:val="00312BBF"/>
    <w:rsid w:val="003162EA"/>
    <w:rsid w:val="00316C36"/>
    <w:rsid w:val="00317A81"/>
    <w:rsid w:val="00320EE9"/>
    <w:rsid w:val="00321487"/>
    <w:rsid w:val="00327618"/>
    <w:rsid w:val="00330627"/>
    <w:rsid w:val="0033301D"/>
    <w:rsid w:val="00336F68"/>
    <w:rsid w:val="00336FDD"/>
    <w:rsid w:val="00341604"/>
    <w:rsid w:val="0034465D"/>
    <w:rsid w:val="00347CBA"/>
    <w:rsid w:val="003502B4"/>
    <w:rsid w:val="00352E2F"/>
    <w:rsid w:val="0035407B"/>
    <w:rsid w:val="003560E6"/>
    <w:rsid w:val="0035700E"/>
    <w:rsid w:val="00357CF0"/>
    <w:rsid w:val="00363F3D"/>
    <w:rsid w:val="003665F6"/>
    <w:rsid w:val="0036728D"/>
    <w:rsid w:val="0037027D"/>
    <w:rsid w:val="00371425"/>
    <w:rsid w:val="00371E29"/>
    <w:rsid w:val="00373614"/>
    <w:rsid w:val="0037364D"/>
    <w:rsid w:val="0037508B"/>
    <w:rsid w:val="0038111B"/>
    <w:rsid w:val="00381C15"/>
    <w:rsid w:val="00382F41"/>
    <w:rsid w:val="0038494C"/>
    <w:rsid w:val="003868F7"/>
    <w:rsid w:val="00392BF4"/>
    <w:rsid w:val="003940F4"/>
    <w:rsid w:val="003959FD"/>
    <w:rsid w:val="003961ED"/>
    <w:rsid w:val="0039799B"/>
    <w:rsid w:val="003A0ADB"/>
    <w:rsid w:val="003A188A"/>
    <w:rsid w:val="003A1BED"/>
    <w:rsid w:val="003A1C79"/>
    <w:rsid w:val="003A2DAB"/>
    <w:rsid w:val="003A3152"/>
    <w:rsid w:val="003A454D"/>
    <w:rsid w:val="003A4659"/>
    <w:rsid w:val="003A6F9D"/>
    <w:rsid w:val="003A7992"/>
    <w:rsid w:val="003A7D03"/>
    <w:rsid w:val="003B064C"/>
    <w:rsid w:val="003B13A5"/>
    <w:rsid w:val="003B1AA8"/>
    <w:rsid w:val="003B284D"/>
    <w:rsid w:val="003B3485"/>
    <w:rsid w:val="003B3605"/>
    <w:rsid w:val="003B5B05"/>
    <w:rsid w:val="003B6659"/>
    <w:rsid w:val="003B6DAB"/>
    <w:rsid w:val="003C3454"/>
    <w:rsid w:val="003C4781"/>
    <w:rsid w:val="003C5468"/>
    <w:rsid w:val="003C7A4A"/>
    <w:rsid w:val="003D1ED8"/>
    <w:rsid w:val="003D26B2"/>
    <w:rsid w:val="003D327F"/>
    <w:rsid w:val="003D3515"/>
    <w:rsid w:val="003D4971"/>
    <w:rsid w:val="003D5E01"/>
    <w:rsid w:val="003D6E1E"/>
    <w:rsid w:val="003E144D"/>
    <w:rsid w:val="003E24B1"/>
    <w:rsid w:val="003E3756"/>
    <w:rsid w:val="003E60E1"/>
    <w:rsid w:val="003E77E4"/>
    <w:rsid w:val="003F42B3"/>
    <w:rsid w:val="003F52EA"/>
    <w:rsid w:val="00400160"/>
    <w:rsid w:val="004011A4"/>
    <w:rsid w:val="00401E65"/>
    <w:rsid w:val="00403B44"/>
    <w:rsid w:val="00403FBB"/>
    <w:rsid w:val="00405332"/>
    <w:rsid w:val="0041002E"/>
    <w:rsid w:val="00413B01"/>
    <w:rsid w:val="0041400B"/>
    <w:rsid w:val="004142D4"/>
    <w:rsid w:val="00416A3D"/>
    <w:rsid w:val="004173F4"/>
    <w:rsid w:val="00417F83"/>
    <w:rsid w:val="004237F8"/>
    <w:rsid w:val="00426923"/>
    <w:rsid w:val="004303C0"/>
    <w:rsid w:val="0043170C"/>
    <w:rsid w:val="004327AE"/>
    <w:rsid w:val="00433671"/>
    <w:rsid w:val="00435409"/>
    <w:rsid w:val="004405C0"/>
    <w:rsid w:val="004430E8"/>
    <w:rsid w:val="00443300"/>
    <w:rsid w:val="0044335C"/>
    <w:rsid w:val="00445D75"/>
    <w:rsid w:val="0045480E"/>
    <w:rsid w:val="00456743"/>
    <w:rsid w:val="00456DA5"/>
    <w:rsid w:val="00457BFA"/>
    <w:rsid w:val="00457EA2"/>
    <w:rsid w:val="00460DBC"/>
    <w:rsid w:val="00461FD3"/>
    <w:rsid w:val="00462180"/>
    <w:rsid w:val="004626CF"/>
    <w:rsid w:val="00463860"/>
    <w:rsid w:val="00463AF9"/>
    <w:rsid w:val="004644FC"/>
    <w:rsid w:val="00464B58"/>
    <w:rsid w:val="00464D58"/>
    <w:rsid w:val="004719AB"/>
    <w:rsid w:val="0047231B"/>
    <w:rsid w:val="004729F8"/>
    <w:rsid w:val="0047725C"/>
    <w:rsid w:val="004840CF"/>
    <w:rsid w:val="0048470A"/>
    <w:rsid w:val="00484EC1"/>
    <w:rsid w:val="00485246"/>
    <w:rsid w:val="004866A5"/>
    <w:rsid w:val="00491047"/>
    <w:rsid w:val="004914C8"/>
    <w:rsid w:val="00493077"/>
    <w:rsid w:val="0049330E"/>
    <w:rsid w:val="004934D4"/>
    <w:rsid w:val="004967FF"/>
    <w:rsid w:val="00497365"/>
    <w:rsid w:val="004977E3"/>
    <w:rsid w:val="00497B33"/>
    <w:rsid w:val="00497E23"/>
    <w:rsid w:val="004A0913"/>
    <w:rsid w:val="004A1C68"/>
    <w:rsid w:val="004A2732"/>
    <w:rsid w:val="004A2B24"/>
    <w:rsid w:val="004A4BA1"/>
    <w:rsid w:val="004A62EE"/>
    <w:rsid w:val="004A758D"/>
    <w:rsid w:val="004A7612"/>
    <w:rsid w:val="004B09BC"/>
    <w:rsid w:val="004B1139"/>
    <w:rsid w:val="004B7ECD"/>
    <w:rsid w:val="004C0ACF"/>
    <w:rsid w:val="004C38B7"/>
    <w:rsid w:val="004C4AEA"/>
    <w:rsid w:val="004C5359"/>
    <w:rsid w:val="004D0781"/>
    <w:rsid w:val="004D2BC8"/>
    <w:rsid w:val="004D3156"/>
    <w:rsid w:val="004D3FD1"/>
    <w:rsid w:val="004D6D2F"/>
    <w:rsid w:val="004D71C3"/>
    <w:rsid w:val="004D7363"/>
    <w:rsid w:val="004E373B"/>
    <w:rsid w:val="004E40A7"/>
    <w:rsid w:val="004E764E"/>
    <w:rsid w:val="004F1F7A"/>
    <w:rsid w:val="004F6FC7"/>
    <w:rsid w:val="004F749F"/>
    <w:rsid w:val="005000B3"/>
    <w:rsid w:val="005004BC"/>
    <w:rsid w:val="00500D55"/>
    <w:rsid w:val="00502879"/>
    <w:rsid w:val="0050432A"/>
    <w:rsid w:val="0051415E"/>
    <w:rsid w:val="0051461C"/>
    <w:rsid w:val="00515BFE"/>
    <w:rsid w:val="005161CE"/>
    <w:rsid w:val="005165C5"/>
    <w:rsid w:val="00516C2B"/>
    <w:rsid w:val="00517F0F"/>
    <w:rsid w:val="00520566"/>
    <w:rsid w:val="00520844"/>
    <w:rsid w:val="00520CCA"/>
    <w:rsid w:val="0052332C"/>
    <w:rsid w:val="005238C8"/>
    <w:rsid w:val="0052419B"/>
    <w:rsid w:val="00525513"/>
    <w:rsid w:val="00530A6E"/>
    <w:rsid w:val="00530E18"/>
    <w:rsid w:val="00533573"/>
    <w:rsid w:val="0053482D"/>
    <w:rsid w:val="005349E7"/>
    <w:rsid w:val="00536EA4"/>
    <w:rsid w:val="00543979"/>
    <w:rsid w:val="00544A1D"/>
    <w:rsid w:val="005509F6"/>
    <w:rsid w:val="0055295C"/>
    <w:rsid w:val="005541E6"/>
    <w:rsid w:val="005552F4"/>
    <w:rsid w:val="00555329"/>
    <w:rsid w:val="005579AA"/>
    <w:rsid w:val="0056031C"/>
    <w:rsid w:val="00561927"/>
    <w:rsid w:val="00563576"/>
    <w:rsid w:val="00565695"/>
    <w:rsid w:val="005666C3"/>
    <w:rsid w:val="00567903"/>
    <w:rsid w:val="005735F1"/>
    <w:rsid w:val="00574BEC"/>
    <w:rsid w:val="005762C1"/>
    <w:rsid w:val="00577861"/>
    <w:rsid w:val="00581DB0"/>
    <w:rsid w:val="005847D3"/>
    <w:rsid w:val="00584B0A"/>
    <w:rsid w:val="00584D92"/>
    <w:rsid w:val="00585951"/>
    <w:rsid w:val="00586136"/>
    <w:rsid w:val="00587DC3"/>
    <w:rsid w:val="00592BC6"/>
    <w:rsid w:val="00593624"/>
    <w:rsid w:val="005936D5"/>
    <w:rsid w:val="0059376A"/>
    <w:rsid w:val="0059383A"/>
    <w:rsid w:val="005938EE"/>
    <w:rsid w:val="00594309"/>
    <w:rsid w:val="0059505F"/>
    <w:rsid w:val="00595A42"/>
    <w:rsid w:val="00597EA9"/>
    <w:rsid w:val="005A026D"/>
    <w:rsid w:val="005A2031"/>
    <w:rsid w:val="005A27BF"/>
    <w:rsid w:val="005A603C"/>
    <w:rsid w:val="005A6A8A"/>
    <w:rsid w:val="005B2265"/>
    <w:rsid w:val="005B7D64"/>
    <w:rsid w:val="005C1B0A"/>
    <w:rsid w:val="005C25EA"/>
    <w:rsid w:val="005C26DA"/>
    <w:rsid w:val="005D0C62"/>
    <w:rsid w:val="005D36AA"/>
    <w:rsid w:val="005D4D28"/>
    <w:rsid w:val="005D5F6E"/>
    <w:rsid w:val="005E1ABE"/>
    <w:rsid w:val="005E2D92"/>
    <w:rsid w:val="005E504F"/>
    <w:rsid w:val="005E518A"/>
    <w:rsid w:val="005E5251"/>
    <w:rsid w:val="005E632D"/>
    <w:rsid w:val="005E74BA"/>
    <w:rsid w:val="005F1144"/>
    <w:rsid w:val="005F14E1"/>
    <w:rsid w:val="005F2651"/>
    <w:rsid w:val="005F2D6F"/>
    <w:rsid w:val="005F531A"/>
    <w:rsid w:val="005F5528"/>
    <w:rsid w:val="005F65C8"/>
    <w:rsid w:val="005F70AB"/>
    <w:rsid w:val="005F7DB1"/>
    <w:rsid w:val="005F7F4E"/>
    <w:rsid w:val="00602E5E"/>
    <w:rsid w:val="0060397B"/>
    <w:rsid w:val="006070EC"/>
    <w:rsid w:val="006072E8"/>
    <w:rsid w:val="00611AFB"/>
    <w:rsid w:val="006135DB"/>
    <w:rsid w:val="006143BF"/>
    <w:rsid w:val="006153AB"/>
    <w:rsid w:val="006175EF"/>
    <w:rsid w:val="006252C4"/>
    <w:rsid w:val="00627588"/>
    <w:rsid w:val="006279EA"/>
    <w:rsid w:val="006314E7"/>
    <w:rsid w:val="00635BD5"/>
    <w:rsid w:val="00640CB4"/>
    <w:rsid w:val="00641772"/>
    <w:rsid w:val="00642A44"/>
    <w:rsid w:val="00644E31"/>
    <w:rsid w:val="00645B02"/>
    <w:rsid w:val="00651C08"/>
    <w:rsid w:val="00653A68"/>
    <w:rsid w:val="00657DC0"/>
    <w:rsid w:val="00660BB7"/>
    <w:rsid w:val="00661F9F"/>
    <w:rsid w:val="00664079"/>
    <w:rsid w:val="006642C4"/>
    <w:rsid w:val="00664DAA"/>
    <w:rsid w:val="00664F3B"/>
    <w:rsid w:val="00670120"/>
    <w:rsid w:val="006713B5"/>
    <w:rsid w:val="00674C38"/>
    <w:rsid w:val="006763DA"/>
    <w:rsid w:val="00681FEB"/>
    <w:rsid w:val="006823E7"/>
    <w:rsid w:val="0068459B"/>
    <w:rsid w:val="00685148"/>
    <w:rsid w:val="00685A78"/>
    <w:rsid w:val="006900EA"/>
    <w:rsid w:val="0069103C"/>
    <w:rsid w:val="00691AD4"/>
    <w:rsid w:val="0069264D"/>
    <w:rsid w:val="00693005"/>
    <w:rsid w:val="00693820"/>
    <w:rsid w:val="00696E42"/>
    <w:rsid w:val="00697054"/>
    <w:rsid w:val="00697CA8"/>
    <w:rsid w:val="006A2094"/>
    <w:rsid w:val="006A3042"/>
    <w:rsid w:val="006A43F9"/>
    <w:rsid w:val="006A4806"/>
    <w:rsid w:val="006A4E30"/>
    <w:rsid w:val="006B4735"/>
    <w:rsid w:val="006B60FC"/>
    <w:rsid w:val="006C0103"/>
    <w:rsid w:val="006C1090"/>
    <w:rsid w:val="006C2C6E"/>
    <w:rsid w:val="006C3E32"/>
    <w:rsid w:val="006C4D6A"/>
    <w:rsid w:val="006C5E79"/>
    <w:rsid w:val="006C6CB7"/>
    <w:rsid w:val="006C7249"/>
    <w:rsid w:val="006D3FAD"/>
    <w:rsid w:val="006D584E"/>
    <w:rsid w:val="006D5DA2"/>
    <w:rsid w:val="006E0B30"/>
    <w:rsid w:val="006E0F3D"/>
    <w:rsid w:val="006E6008"/>
    <w:rsid w:val="006F1A49"/>
    <w:rsid w:val="006F34B7"/>
    <w:rsid w:val="006F4883"/>
    <w:rsid w:val="006F5738"/>
    <w:rsid w:val="006F6B94"/>
    <w:rsid w:val="00700424"/>
    <w:rsid w:val="00701FAE"/>
    <w:rsid w:val="00702E4C"/>
    <w:rsid w:val="00710E91"/>
    <w:rsid w:val="0071276D"/>
    <w:rsid w:val="00712B38"/>
    <w:rsid w:val="00712CD9"/>
    <w:rsid w:val="00716277"/>
    <w:rsid w:val="007164C7"/>
    <w:rsid w:val="0071668C"/>
    <w:rsid w:val="00716C53"/>
    <w:rsid w:val="0071784C"/>
    <w:rsid w:val="00722B86"/>
    <w:rsid w:val="00725627"/>
    <w:rsid w:val="007258CF"/>
    <w:rsid w:val="00726EB1"/>
    <w:rsid w:val="00727B6C"/>
    <w:rsid w:val="00732E62"/>
    <w:rsid w:val="00734629"/>
    <w:rsid w:val="0073563D"/>
    <w:rsid w:val="007359D0"/>
    <w:rsid w:val="00735C25"/>
    <w:rsid w:val="0073691D"/>
    <w:rsid w:val="00737B87"/>
    <w:rsid w:val="00742745"/>
    <w:rsid w:val="007433C8"/>
    <w:rsid w:val="00743455"/>
    <w:rsid w:val="0074775E"/>
    <w:rsid w:val="00755BFC"/>
    <w:rsid w:val="00756626"/>
    <w:rsid w:val="007572BE"/>
    <w:rsid w:val="00763093"/>
    <w:rsid w:val="00764B19"/>
    <w:rsid w:val="00765853"/>
    <w:rsid w:val="0076760A"/>
    <w:rsid w:val="007709F6"/>
    <w:rsid w:val="00774D1E"/>
    <w:rsid w:val="007765A6"/>
    <w:rsid w:val="00777132"/>
    <w:rsid w:val="00782776"/>
    <w:rsid w:val="007846DC"/>
    <w:rsid w:val="0078494B"/>
    <w:rsid w:val="00784A57"/>
    <w:rsid w:val="007851E4"/>
    <w:rsid w:val="00785328"/>
    <w:rsid w:val="00785B83"/>
    <w:rsid w:val="00785D4D"/>
    <w:rsid w:val="00786098"/>
    <w:rsid w:val="0078688E"/>
    <w:rsid w:val="00787700"/>
    <w:rsid w:val="007910A8"/>
    <w:rsid w:val="007917B3"/>
    <w:rsid w:val="00791D7E"/>
    <w:rsid w:val="0079274B"/>
    <w:rsid w:val="00792E7D"/>
    <w:rsid w:val="00794010"/>
    <w:rsid w:val="00794953"/>
    <w:rsid w:val="007958CB"/>
    <w:rsid w:val="00796DBA"/>
    <w:rsid w:val="007A054C"/>
    <w:rsid w:val="007A1535"/>
    <w:rsid w:val="007A1632"/>
    <w:rsid w:val="007A2697"/>
    <w:rsid w:val="007A281B"/>
    <w:rsid w:val="007A3332"/>
    <w:rsid w:val="007A3F8C"/>
    <w:rsid w:val="007A4000"/>
    <w:rsid w:val="007A6DC4"/>
    <w:rsid w:val="007A7660"/>
    <w:rsid w:val="007A7E00"/>
    <w:rsid w:val="007B23A4"/>
    <w:rsid w:val="007B2A33"/>
    <w:rsid w:val="007B3510"/>
    <w:rsid w:val="007B70E0"/>
    <w:rsid w:val="007C03E9"/>
    <w:rsid w:val="007C1233"/>
    <w:rsid w:val="007C2C06"/>
    <w:rsid w:val="007C6A50"/>
    <w:rsid w:val="007D0155"/>
    <w:rsid w:val="007D0409"/>
    <w:rsid w:val="007D0DB5"/>
    <w:rsid w:val="007D299D"/>
    <w:rsid w:val="007D29F3"/>
    <w:rsid w:val="007D2DA7"/>
    <w:rsid w:val="007D3533"/>
    <w:rsid w:val="007D5A95"/>
    <w:rsid w:val="007D736C"/>
    <w:rsid w:val="007D7DBA"/>
    <w:rsid w:val="007E0063"/>
    <w:rsid w:val="007E008C"/>
    <w:rsid w:val="007E13AE"/>
    <w:rsid w:val="007E1841"/>
    <w:rsid w:val="007E5D59"/>
    <w:rsid w:val="007E6466"/>
    <w:rsid w:val="007E6782"/>
    <w:rsid w:val="007E74B9"/>
    <w:rsid w:val="007E7D3E"/>
    <w:rsid w:val="007F1E7D"/>
    <w:rsid w:val="007F3874"/>
    <w:rsid w:val="007F46A2"/>
    <w:rsid w:val="007F4F71"/>
    <w:rsid w:val="007F5783"/>
    <w:rsid w:val="007F58B9"/>
    <w:rsid w:val="007F73C5"/>
    <w:rsid w:val="007F7402"/>
    <w:rsid w:val="00803689"/>
    <w:rsid w:val="008051C0"/>
    <w:rsid w:val="00805478"/>
    <w:rsid w:val="00806034"/>
    <w:rsid w:val="008062F5"/>
    <w:rsid w:val="00806C75"/>
    <w:rsid w:val="00810B33"/>
    <w:rsid w:val="008115C4"/>
    <w:rsid w:val="00814392"/>
    <w:rsid w:val="008143E7"/>
    <w:rsid w:val="008147B0"/>
    <w:rsid w:val="0081666D"/>
    <w:rsid w:val="00816F86"/>
    <w:rsid w:val="00824E42"/>
    <w:rsid w:val="00826BEC"/>
    <w:rsid w:val="008309E3"/>
    <w:rsid w:val="0083275D"/>
    <w:rsid w:val="008331E4"/>
    <w:rsid w:val="00833B3B"/>
    <w:rsid w:val="00834263"/>
    <w:rsid w:val="0083518C"/>
    <w:rsid w:val="00835258"/>
    <w:rsid w:val="00836C7B"/>
    <w:rsid w:val="00837077"/>
    <w:rsid w:val="00837A11"/>
    <w:rsid w:val="008400F7"/>
    <w:rsid w:val="00843CE6"/>
    <w:rsid w:val="00844B85"/>
    <w:rsid w:val="00845785"/>
    <w:rsid w:val="0084594D"/>
    <w:rsid w:val="0084629B"/>
    <w:rsid w:val="008470A5"/>
    <w:rsid w:val="008524BA"/>
    <w:rsid w:val="00854FBA"/>
    <w:rsid w:val="00857757"/>
    <w:rsid w:val="00860FD0"/>
    <w:rsid w:val="008629F4"/>
    <w:rsid w:val="00863A5B"/>
    <w:rsid w:val="0087038D"/>
    <w:rsid w:val="008800E3"/>
    <w:rsid w:val="008807C0"/>
    <w:rsid w:val="008851A9"/>
    <w:rsid w:val="00887F0C"/>
    <w:rsid w:val="00893056"/>
    <w:rsid w:val="00893A32"/>
    <w:rsid w:val="00894B74"/>
    <w:rsid w:val="008A1A9C"/>
    <w:rsid w:val="008A541E"/>
    <w:rsid w:val="008B0ED1"/>
    <w:rsid w:val="008B2C2E"/>
    <w:rsid w:val="008B3188"/>
    <w:rsid w:val="008B336F"/>
    <w:rsid w:val="008B56D2"/>
    <w:rsid w:val="008B7147"/>
    <w:rsid w:val="008C23E0"/>
    <w:rsid w:val="008C3D8A"/>
    <w:rsid w:val="008C3FF0"/>
    <w:rsid w:val="008C5230"/>
    <w:rsid w:val="008C56F5"/>
    <w:rsid w:val="008C59F4"/>
    <w:rsid w:val="008C6787"/>
    <w:rsid w:val="008C7394"/>
    <w:rsid w:val="008C7810"/>
    <w:rsid w:val="008C789D"/>
    <w:rsid w:val="008D0FB0"/>
    <w:rsid w:val="008D2DB0"/>
    <w:rsid w:val="008D3747"/>
    <w:rsid w:val="008D6BE2"/>
    <w:rsid w:val="008E0100"/>
    <w:rsid w:val="008E40DA"/>
    <w:rsid w:val="008E6016"/>
    <w:rsid w:val="008E7989"/>
    <w:rsid w:val="008E7DD4"/>
    <w:rsid w:val="008F3F87"/>
    <w:rsid w:val="008F3FFA"/>
    <w:rsid w:val="008F6917"/>
    <w:rsid w:val="008F71B6"/>
    <w:rsid w:val="008F7584"/>
    <w:rsid w:val="0090229C"/>
    <w:rsid w:val="00903112"/>
    <w:rsid w:val="0090469F"/>
    <w:rsid w:val="0090555B"/>
    <w:rsid w:val="009113FC"/>
    <w:rsid w:val="00911B77"/>
    <w:rsid w:val="00912B21"/>
    <w:rsid w:val="0091365F"/>
    <w:rsid w:val="00916945"/>
    <w:rsid w:val="00917842"/>
    <w:rsid w:val="009207E0"/>
    <w:rsid w:val="00921DF6"/>
    <w:rsid w:val="00924893"/>
    <w:rsid w:val="00926422"/>
    <w:rsid w:val="009302F3"/>
    <w:rsid w:val="00934006"/>
    <w:rsid w:val="009369AF"/>
    <w:rsid w:val="00937328"/>
    <w:rsid w:val="0093779E"/>
    <w:rsid w:val="00940228"/>
    <w:rsid w:val="00945580"/>
    <w:rsid w:val="009461B5"/>
    <w:rsid w:val="00950D6E"/>
    <w:rsid w:val="009548AD"/>
    <w:rsid w:val="00956637"/>
    <w:rsid w:val="0095717F"/>
    <w:rsid w:val="0096020D"/>
    <w:rsid w:val="009652E1"/>
    <w:rsid w:val="009700EA"/>
    <w:rsid w:val="00973324"/>
    <w:rsid w:val="00975C50"/>
    <w:rsid w:val="00976106"/>
    <w:rsid w:val="009816FF"/>
    <w:rsid w:val="009837EC"/>
    <w:rsid w:val="009845F3"/>
    <w:rsid w:val="00990633"/>
    <w:rsid w:val="00991551"/>
    <w:rsid w:val="00994B9D"/>
    <w:rsid w:val="009A2069"/>
    <w:rsid w:val="009A24DD"/>
    <w:rsid w:val="009A506D"/>
    <w:rsid w:val="009A55BF"/>
    <w:rsid w:val="009A73F9"/>
    <w:rsid w:val="009B0065"/>
    <w:rsid w:val="009B2CDC"/>
    <w:rsid w:val="009B4623"/>
    <w:rsid w:val="009B4FED"/>
    <w:rsid w:val="009B68FA"/>
    <w:rsid w:val="009B6FEB"/>
    <w:rsid w:val="009C2D3A"/>
    <w:rsid w:val="009C428B"/>
    <w:rsid w:val="009C5F48"/>
    <w:rsid w:val="009C62B5"/>
    <w:rsid w:val="009D1398"/>
    <w:rsid w:val="009D4E08"/>
    <w:rsid w:val="009D5CF6"/>
    <w:rsid w:val="009D7624"/>
    <w:rsid w:val="009D79D9"/>
    <w:rsid w:val="009E0216"/>
    <w:rsid w:val="009E0D54"/>
    <w:rsid w:val="009E2C98"/>
    <w:rsid w:val="009E5DE6"/>
    <w:rsid w:val="009E6E7D"/>
    <w:rsid w:val="009E7376"/>
    <w:rsid w:val="009F00CA"/>
    <w:rsid w:val="009F5445"/>
    <w:rsid w:val="009F6E40"/>
    <w:rsid w:val="00A01CA9"/>
    <w:rsid w:val="00A02B70"/>
    <w:rsid w:val="00A02EC0"/>
    <w:rsid w:val="00A0310D"/>
    <w:rsid w:val="00A11D23"/>
    <w:rsid w:val="00A12BFB"/>
    <w:rsid w:val="00A131C6"/>
    <w:rsid w:val="00A14643"/>
    <w:rsid w:val="00A153E2"/>
    <w:rsid w:val="00A208BD"/>
    <w:rsid w:val="00A20C0F"/>
    <w:rsid w:val="00A24843"/>
    <w:rsid w:val="00A24A64"/>
    <w:rsid w:val="00A272A5"/>
    <w:rsid w:val="00A31583"/>
    <w:rsid w:val="00A31B9C"/>
    <w:rsid w:val="00A32353"/>
    <w:rsid w:val="00A32B99"/>
    <w:rsid w:val="00A33534"/>
    <w:rsid w:val="00A34503"/>
    <w:rsid w:val="00A36534"/>
    <w:rsid w:val="00A365B5"/>
    <w:rsid w:val="00A37F7F"/>
    <w:rsid w:val="00A41840"/>
    <w:rsid w:val="00A436D8"/>
    <w:rsid w:val="00A44432"/>
    <w:rsid w:val="00A45BBE"/>
    <w:rsid w:val="00A500FC"/>
    <w:rsid w:val="00A50DF7"/>
    <w:rsid w:val="00A5356D"/>
    <w:rsid w:val="00A56E2F"/>
    <w:rsid w:val="00A616FB"/>
    <w:rsid w:val="00A62074"/>
    <w:rsid w:val="00A626B0"/>
    <w:rsid w:val="00A63A9C"/>
    <w:rsid w:val="00A63F72"/>
    <w:rsid w:val="00A66EBD"/>
    <w:rsid w:val="00A72B3B"/>
    <w:rsid w:val="00A73039"/>
    <w:rsid w:val="00A739E7"/>
    <w:rsid w:val="00A75C85"/>
    <w:rsid w:val="00A81A17"/>
    <w:rsid w:val="00A8478E"/>
    <w:rsid w:val="00A85D86"/>
    <w:rsid w:val="00A91A61"/>
    <w:rsid w:val="00A91F9F"/>
    <w:rsid w:val="00A93BEF"/>
    <w:rsid w:val="00A94BE5"/>
    <w:rsid w:val="00AA1EC4"/>
    <w:rsid w:val="00AA26BF"/>
    <w:rsid w:val="00AA4EEB"/>
    <w:rsid w:val="00AA6158"/>
    <w:rsid w:val="00AB0DB9"/>
    <w:rsid w:val="00AB197A"/>
    <w:rsid w:val="00AB538C"/>
    <w:rsid w:val="00AB6351"/>
    <w:rsid w:val="00AC0C26"/>
    <w:rsid w:val="00AC2484"/>
    <w:rsid w:val="00AC2AE1"/>
    <w:rsid w:val="00AC729C"/>
    <w:rsid w:val="00AD15D6"/>
    <w:rsid w:val="00AD3A6E"/>
    <w:rsid w:val="00AD4215"/>
    <w:rsid w:val="00AD454A"/>
    <w:rsid w:val="00AD7AC4"/>
    <w:rsid w:val="00AE109C"/>
    <w:rsid w:val="00AE14D1"/>
    <w:rsid w:val="00AE2D51"/>
    <w:rsid w:val="00AE344D"/>
    <w:rsid w:val="00AE48F6"/>
    <w:rsid w:val="00AE5218"/>
    <w:rsid w:val="00AE607F"/>
    <w:rsid w:val="00AE6143"/>
    <w:rsid w:val="00AE6479"/>
    <w:rsid w:val="00AE65DE"/>
    <w:rsid w:val="00AF02D2"/>
    <w:rsid w:val="00AF0A8C"/>
    <w:rsid w:val="00AF0D11"/>
    <w:rsid w:val="00AF2EB1"/>
    <w:rsid w:val="00AF4159"/>
    <w:rsid w:val="00AF47F0"/>
    <w:rsid w:val="00AF4C17"/>
    <w:rsid w:val="00AF57C7"/>
    <w:rsid w:val="00AF7D17"/>
    <w:rsid w:val="00AF7E39"/>
    <w:rsid w:val="00B016AA"/>
    <w:rsid w:val="00B02CEA"/>
    <w:rsid w:val="00B03E42"/>
    <w:rsid w:val="00B11414"/>
    <w:rsid w:val="00B2224D"/>
    <w:rsid w:val="00B228EA"/>
    <w:rsid w:val="00B26485"/>
    <w:rsid w:val="00B27103"/>
    <w:rsid w:val="00B27134"/>
    <w:rsid w:val="00B27466"/>
    <w:rsid w:val="00B31493"/>
    <w:rsid w:val="00B3468F"/>
    <w:rsid w:val="00B408F4"/>
    <w:rsid w:val="00B41A65"/>
    <w:rsid w:val="00B44146"/>
    <w:rsid w:val="00B5172B"/>
    <w:rsid w:val="00B5208F"/>
    <w:rsid w:val="00B5382A"/>
    <w:rsid w:val="00B54056"/>
    <w:rsid w:val="00B54F8A"/>
    <w:rsid w:val="00B5680A"/>
    <w:rsid w:val="00B608E3"/>
    <w:rsid w:val="00B6179A"/>
    <w:rsid w:val="00B63121"/>
    <w:rsid w:val="00B64886"/>
    <w:rsid w:val="00B6513B"/>
    <w:rsid w:val="00B66247"/>
    <w:rsid w:val="00B6671E"/>
    <w:rsid w:val="00B709E0"/>
    <w:rsid w:val="00B70A8E"/>
    <w:rsid w:val="00B71159"/>
    <w:rsid w:val="00B724F3"/>
    <w:rsid w:val="00B76833"/>
    <w:rsid w:val="00B76BE5"/>
    <w:rsid w:val="00B83888"/>
    <w:rsid w:val="00B8482A"/>
    <w:rsid w:val="00B852B1"/>
    <w:rsid w:val="00B85628"/>
    <w:rsid w:val="00B878AA"/>
    <w:rsid w:val="00B90814"/>
    <w:rsid w:val="00B90B33"/>
    <w:rsid w:val="00B91B56"/>
    <w:rsid w:val="00B94AC5"/>
    <w:rsid w:val="00B962D4"/>
    <w:rsid w:val="00B96B37"/>
    <w:rsid w:val="00BA1D36"/>
    <w:rsid w:val="00BA396F"/>
    <w:rsid w:val="00BA3CDF"/>
    <w:rsid w:val="00BA4D43"/>
    <w:rsid w:val="00BA74CC"/>
    <w:rsid w:val="00BB0B3D"/>
    <w:rsid w:val="00BB360E"/>
    <w:rsid w:val="00BB5F21"/>
    <w:rsid w:val="00BB5FAE"/>
    <w:rsid w:val="00BC0EE7"/>
    <w:rsid w:val="00BC1A71"/>
    <w:rsid w:val="00BC2783"/>
    <w:rsid w:val="00BC48DB"/>
    <w:rsid w:val="00BC4928"/>
    <w:rsid w:val="00BC5C22"/>
    <w:rsid w:val="00BC74E1"/>
    <w:rsid w:val="00BC78C9"/>
    <w:rsid w:val="00BD2CA3"/>
    <w:rsid w:val="00BD2EE6"/>
    <w:rsid w:val="00BD3498"/>
    <w:rsid w:val="00BD38E4"/>
    <w:rsid w:val="00BD4D26"/>
    <w:rsid w:val="00BD5352"/>
    <w:rsid w:val="00BD7446"/>
    <w:rsid w:val="00BE0F12"/>
    <w:rsid w:val="00BE1633"/>
    <w:rsid w:val="00BE1EA8"/>
    <w:rsid w:val="00BE21D5"/>
    <w:rsid w:val="00BE2488"/>
    <w:rsid w:val="00BE2B41"/>
    <w:rsid w:val="00BE5332"/>
    <w:rsid w:val="00BF3D5C"/>
    <w:rsid w:val="00C01687"/>
    <w:rsid w:val="00C02080"/>
    <w:rsid w:val="00C02627"/>
    <w:rsid w:val="00C03DE1"/>
    <w:rsid w:val="00C04314"/>
    <w:rsid w:val="00C0493B"/>
    <w:rsid w:val="00C049FB"/>
    <w:rsid w:val="00C072F6"/>
    <w:rsid w:val="00C07B07"/>
    <w:rsid w:val="00C10A57"/>
    <w:rsid w:val="00C111CD"/>
    <w:rsid w:val="00C11B1B"/>
    <w:rsid w:val="00C12647"/>
    <w:rsid w:val="00C12F52"/>
    <w:rsid w:val="00C2067F"/>
    <w:rsid w:val="00C2096F"/>
    <w:rsid w:val="00C21AEB"/>
    <w:rsid w:val="00C25898"/>
    <w:rsid w:val="00C266F1"/>
    <w:rsid w:val="00C270E3"/>
    <w:rsid w:val="00C31323"/>
    <w:rsid w:val="00C32230"/>
    <w:rsid w:val="00C33147"/>
    <w:rsid w:val="00C343E2"/>
    <w:rsid w:val="00C3722B"/>
    <w:rsid w:val="00C373A3"/>
    <w:rsid w:val="00C41A90"/>
    <w:rsid w:val="00C41BEC"/>
    <w:rsid w:val="00C41FA9"/>
    <w:rsid w:val="00C42277"/>
    <w:rsid w:val="00C44455"/>
    <w:rsid w:val="00C479BC"/>
    <w:rsid w:val="00C512AC"/>
    <w:rsid w:val="00C5272C"/>
    <w:rsid w:val="00C5397C"/>
    <w:rsid w:val="00C57474"/>
    <w:rsid w:val="00C6026E"/>
    <w:rsid w:val="00C61007"/>
    <w:rsid w:val="00C615D4"/>
    <w:rsid w:val="00C61726"/>
    <w:rsid w:val="00C641CA"/>
    <w:rsid w:val="00C6577C"/>
    <w:rsid w:val="00C667C1"/>
    <w:rsid w:val="00C674A0"/>
    <w:rsid w:val="00C71F89"/>
    <w:rsid w:val="00C72C1E"/>
    <w:rsid w:val="00C72F15"/>
    <w:rsid w:val="00C746CE"/>
    <w:rsid w:val="00C74B9A"/>
    <w:rsid w:val="00C77FD8"/>
    <w:rsid w:val="00C81DC4"/>
    <w:rsid w:val="00C84C6E"/>
    <w:rsid w:val="00C855AA"/>
    <w:rsid w:val="00C8671F"/>
    <w:rsid w:val="00C87192"/>
    <w:rsid w:val="00C96C41"/>
    <w:rsid w:val="00C97128"/>
    <w:rsid w:val="00CA086A"/>
    <w:rsid w:val="00CA1738"/>
    <w:rsid w:val="00CA1B4D"/>
    <w:rsid w:val="00CA245C"/>
    <w:rsid w:val="00CA3FFB"/>
    <w:rsid w:val="00CA4FE5"/>
    <w:rsid w:val="00CA575F"/>
    <w:rsid w:val="00CA5D7B"/>
    <w:rsid w:val="00CA6539"/>
    <w:rsid w:val="00CB1761"/>
    <w:rsid w:val="00CB3645"/>
    <w:rsid w:val="00CB3776"/>
    <w:rsid w:val="00CB4BED"/>
    <w:rsid w:val="00CC100D"/>
    <w:rsid w:val="00CC1CB3"/>
    <w:rsid w:val="00CC370C"/>
    <w:rsid w:val="00CC37F5"/>
    <w:rsid w:val="00CC4070"/>
    <w:rsid w:val="00CC477F"/>
    <w:rsid w:val="00CC4A5C"/>
    <w:rsid w:val="00CC5DA0"/>
    <w:rsid w:val="00CD05FA"/>
    <w:rsid w:val="00CD1509"/>
    <w:rsid w:val="00CD1574"/>
    <w:rsid w:val="00CD15DC"/>
    <w:rsid w:val="00CD4CE1"/>
    <w:rsid w:val="00CD5120"/>
    <w:rsid w:val="00CD674E"/>
    <w:rsid w:val="00CD6C86"/>
    <w:rsid w:val="00CD6CAD"/>
    <w:rsid w:val="00CD7100"/>
    <w:rsid w:val="00CE1BC2"/>
    <w:rsid w:val="00CE2E6F"/>
    <w:rsid w:val="00CE3C16"/>
    <w:rsid w:val="00CE6FB6"/>
    <w:rsid w:val="00CE7AD9"/>
    <w:rsid w:val="00CF32A8"/>
    <w:rsid w:val="00CF3576"/>
    <w:rsid w:val="00CF4740"/>
    <w:rsid w:val="00CF4781"/>
    <w:rsid w:val="00CF6826"/>
    <w:rsid w:val="00CF7A2E"/>
    <w:rsid w:val="00D00847"/>
    <w:rsid w:val="00D02590"/>
    <w:rsid w:val="00D03363"/>
    <w:rsid w:val="00D03F59"/>
    <w:rsid w:val="00D04AA5"/>
    <w:rsid w:val="00D1199A"/>
    <w:rsid w:val="00D14CB3"/>
    <w:rsid w:val="00D20C5C"/>
    <w:rsid w:val="00D23BB6"/>
    <w:rsid w:val="00D23E40"/>
    <w:rsid w:val="00D24377"/>
    <w:rsid w:val="00D25F8C"/>
    <w:rsid w:val="00D26829"/>
    <w:rsid w:val="00D279B4"/>
    <w:rsid w:val="00D304E2"/>
    <w:rsid w:val="00D30CFB"/>
    <w:rsid w:val="00D33AD3"/>
    <w:rsid w:val="00D350C0"/>
    <w:rsid w:val="00D36F42"/>
    <w:rsid w:val="00D374C7"/>
    <w:rsid w:val="00D37935"/>
    <w:rsid w:val="00D421C7"/>
    <w:rsid w:val="00D42928"/>
    <w:rsid w:val="00D430E2"/>
    <w:rsid w:val="00D43116"/>
    <w:rsid w:val="00D4494B"/>
    <w:rsid w:val="00D45D1A"/>
    <w:rsid w:val="00D467F5"/>
    <w:rsid w:val="00D46A25"/>
    <w:rsid w:val="00D50AE7"/>
    <w:rsid w:val="00D52B0A"/>
    <w:rsid w:val="00D52E58"/>
    <w:rsid w:val="00D549A2"/>
    <w:rsid w:val="00D55CF5"/>
    <w:rsid w:val="00D55F9D"/>
    <w:rsid w:val="00D5707F"/>
    <w:rsid w:val="00D573C6"/>
    <w:rsid w:val="00D601FB"/>
    <w:rsid w:val="00D60F7D"/>
    <w:rsid w:val="00D618F4"/>
    <w:rsid w:val="00D642C9"/>
    <w:rsid w:val="00D66FB7"/>
    <w:rsid w:val="00D71592"/>
    <w:rsid w:val="00D72413"/>
    <w:rsid w:val="00D7265F"/>
    <w:rsid w:val="00D737DF"/>
    <w:rsid w:val="00D7688C"/>
    <w:rsid w:val="00D769DE"/>
    <w:rsid w:val="00D76D20"/>
    <w:rsid w:val="00D81C37"/>
    <w:rsid w:val="00D82CD2"/>
    <w:rsid w:val="00D867C7"/>
    <w:rsid w:val="00D938B2"/>
    <w:rsid w:val="00D944DF"/>
    <w:rsid w:val="00DA023F"/>
    <w:rsid w:val="00DA249D"/>
    <w:rsid w:val="00DA62C7"/>
    <w:rsid w:val="00DA739D"/>
    <w:rsid w:val="00DB0BBB"/>
    <w:rsid w:val="00DB1340"/>
    <w:rsid w:val="00DB18EF"/>
    <w:rsid w:val="00DB23D8"/>
    <w:rsid w:val="00DB3FB2"/>
    <w:rsid w:val="00DB4B8D"/>
    <w:rsid w:val="00DB52B1"/>
    <w:rsid w:val="00DB56B5"/>
    <w:rsid w:val="00DB696D"/>
    <w:rsid w:val="00DB7068"/>
    <w:rsid w:val="00DC4D1B"/>
    <w:rsid w:val="00DC4D9B"/>
    <w:rsid w:val="00DC5596"/>
    <w:rsid w:val="00DD013F"/>
    <w:rsid w:val="00DD0A11"/>
    <w:rsid w:val="00DD17D3"/>
    <w:rsid w:val="00DD3FB1"/>
    <w:rsid w:val="00DD4E42"/>
    <w:rsid w:val="00DD5814"/>
    <w:rsid w:val="00DD59F2"/>
    <w:rsid w:val="00DD6C53"/>
    <w:rsid w:val="00DE123F"/>
    <w:rsid w:val="00DE2C67"/>
    <w:rsid w:val="00DE45BC"/>
    <w:rsid w:val="00DE5638"/>
    <w:rsid w:val="00DE7182"/>
    <w:rsid w:val="00DF02C6"/>
    <w:rsid w:val="00DF11F5"/>
    <w:rsid w:val="00DF26D8"/>
    <w:rsid w:val="00DF3656"/>
    <w:rsid w:val="00DF3A80"/>
    <w:rsid w:val="00DF3EA7"/>
    <w:rsid w:val="00DF4586"/>
    <w:rsid w:val="00DF5B5D"/>
    <w:rsid w:val="00DF5D92"/>
    <w:rsid w:val="00DF65B2"/>
    <w:rsid w:val="00DF73F4"/>
    <w:rsid w:val="00E001D9"/>
    <w:rsid w:val="00E03ACF"/>
    <w:rsid w:val="00E03B2B"/>
    <w:rsid w:val="00E03DEE"/>
    <w:rsid w:val="00E04498"/>
    <w:rsid w:val="00E04709"/>
    <w:rsid w:val="00E048FB"/>
    <w:rsid w:val="00E05026"/>
    <w:rsid w:val="00E0701D"/>
    <w:rsid w:val="00E12785"/>
    <w:rsid w:val="00E1306D"/>
    <w:rsid w:val="00E136E8"/>
    <w:rsid w:val="00E14C82"/>
    <w:rsid w:val="00E151D8"/>
    <w:rsid w:val="00E15522"/>
    <w:rsid w:val="00E159C7"/>
    <w:rsid w:val="00E1752B"/>
    <w:rsid w:val="00E213AB"/>
    <w:rsid w:val="00E215AB"/>
    <w:rsid w:val="00E22BDB"/>
    <w:rsid w:val="00E261F0"/>
    <w:rsid w:val="00E263BE"/>
    <w:rsid w:val="00E3394F"/>
    <w:rsid w:val="00E3640D"/>
    <w:rsid w:val="00E370BD"/>
    <w:rsid w:val="00E379E2"/>
    <w:rsid w:val="00E402DD"/>
    <w:rsid w:val="00E4041E"/>
    <w:rsid w:val="00E43AF2"/>
    <w:rsid w:val="00E43B06"/>
    <w:rsid w:val="00E45A9D"/>
    <w:rsid w:val="00E46D21"/>
    <w:rsid w:val="00E507E2"/>
    <w:rsid w:val="00E51D4F"/>
    <w:rsid w:val="00E55076"/>
    <w:rsid w:val="00E5522B"/>
    <w:rsid w:val="00E554E7"/>
    <w:rsid w:val="00E62869"/>
    <w:rsid w:val="00E63216"/>
    <w:rsid w:val="00E70FDF"/>
    <w:rsid w:val="00E71E33"/>
    <w:rsid w:val="00E73AEE"/>
    <w:rsid w:val="00E74ABE"/>
    <w:rsid w:val="00E8199F"/>
    <w:rsid w:val="00E81C2D"/>
    <w:rsid w:val="00E826D9"/>
    <w:rsid w:val="00E849B4"/>
    <w:rsid w:val="00E84C89"/>
    <w:rsid w:val="00E85DFB"/>
    <w:rsid w:val="00E8633D"/>
    <w:rsid w:val="00E87852"/>
    <w:rsid w:val="00E90F4F"/>
    <w:rsid w:val="00E91B7A"/>
    <w:rsid w:val="00E920B9"/>
    <w:rsid w:val="00E92C09"/>
    <w:rsid w:val="00E9413C"/>
    <w:rsid w:val="00E94676"/>
    <w:rsid w:val="00E96BF3"/>
    <w:rsid w:val="00EA0C3B"/>
    <w:rsid w:val="00EA1755"/>
    <w:rsid w:val="00EA18DE"/>
    <w:rsid w:val="00EA4F01"/>
    <w:rsid w:val="00EA6C57"/>
    <w:rsid w:val="00EB0A8D"/>
    <w:rsid w:val="00EB2CBD"/>
    <w:rsid w:val="00EB32D8"/>
    <w:rsid w:val="00EB7AB1"/>
    <w:rsid w:val="00EC2397"/>
    <w:rsid w:val="00EC45E5"/>
    <w:rsid w:val="00EC4F83"/>
    <w:rsid w:val="00ED0D9B"/>
    <w:rsid w:val="00ED15BD"/>
    <w:rsid w:val="00ED1947"/>
    <w:rsid w:val="00ED1C7D"/>
    <w:rsid w:val="00ED22B7"/>
    <w:rsid w:val="00ED2808"/>
    <w:rsid w:val="00ED3396"/>
    <w:rsid w:val="00ED487B"/>
    <w:rsid w:val="00ED558D"/>
    <w:rsid w:val="00EE04AC"/>
    <w:rsid w:val="00EE0F77"/>
    <w:rsid w:val="00EE20BA"/>
    <w:rsid w:val="00EE2E85"/>
    <w:rsid w:val="00EE370B"/>
    <w:rsid w:val="00EE3A4F"/>
    <w:rsid w:val="00EE422B"/>
    <w:rsid w:val="00EE6014"/>
    <w:rsid w:val="00EE69E7"/>
    <w:rsid w:val="00EF16BA"/>
    <w:rsid w:val="00EF2298"/>
    <w:rsid w:val="00EF23EC"/>
    <w:rsid w:val="00EF4317"/>
    <w:rsid w:val="00EF50C5"/>
    <w:rsid w:val="00EF560F"/>
    <w:rsid w:val="00EF642B"/>
    <w:rsid w:val="00F0522D"/>
    <w:rsid w:val="00F06AEE"/>
    <w:rsid w:val="00F10C79"/>
    <w:rsid w:val="00F13AE7"/>
    <w:rsid w:val="00F1422F"/>
    <w:rsid w:val="00F14F28"/>
    <w:rsid w:val="00F151A1"/>
    <w:rsid w:val="00F15F50"/>
    <w:rsid w:val="00F174E5"/>
    <w:rsid w:val="00F20358"/>
    <w:rsid w:val="00F21628"/>
    <w:rsid w:val="00F21902"/>
    <w:rsid w:val="00F22728"/>
    <w:rsid w:val="00F23FE1"/>
    <w:rsid w:val="00F244B7"/>
    <w:rsid w:val="00F24546"/>
    <w:rsid w:val="00F249B5"/>
    <w:rsid w:val="00F24BD8"/>
    <w:rsid w:val="00F25629"/>
    <w:rsid w:val="00F2576B"/>
    <w:rsid w:val="00F25AE9"/>
    <w:rsid w:val="00F25FC8"/>
    <w:rsid w:val="00F26F38"/>
    <w:rsid w:val="00F27C4E"/>
    <w:rsid w:val="00F302AC"/>
    <w:rsid w:val="00F304B9"/>
    <w:rsid w:val="00F30E12"/>
    <w:rsid w:val="00F30F24"/>
    <w:rsid w:val="00F3364F"/>
    <w:rsid w:val="00F33F8B"/>
    <w:rsid w:val="00F343CD"/>
    <w:rsid w:val="00F37864"/>
    <w:rsid w:val="00F431A3"/>
    <w:rsid w:val="00F43AE5"/>
    <w:rsid w:val="00F44EFF"/>
    <w:rsid w:val="00F45A96"/>
    <w:rsid w:val="00F45C23"/>
    <w:rsid w:val="00F463B6"/>
    <w:rsid w:val="00F47516"/>
    <w:rsid w:val="00F5041F"/>
    <w:rsid w:val="00F529D3"/>
    <w:rsid w:val="00F535D6"/>
    <w:rsid w:val="00F5535C"/>
    <w:rsid w:val="00F55A1E"/>
    <w:rsid w:val="00F55A6D"/>
    <w:rsid w:val="00F56BE9"/>
    <w:rsid w:val="00F612B8"/>
    <w:rsid w:val="00F61515"/>
    <w:rsid w:val="00F6239F"/>
    <w:rsid w:val="00F63B33"/>
    <w:rsid w:val="00F65007"/>
    <w:rsid w:val="00F65257"/>
    <w:rsid w:val="00F66744"/>
    <w:rsid w:val="00F7009B"/>
    <w:rsid w:val="00F7137A"/>
    <w:rsid w:val="00F71665"/>
    <w:rsid w:val="00F73D48"/>
    <w:rsid w:val="00F75F0C"/>
    <w:rsid w:val="00F7625D"/>
    <w:rsid w:val="00F76A54"/>
    <w:rsid w:val="00F77CB4"/>
    <w:rsid w:val="00F827AA"/>
    <w:rsid w:val="00F85469"/>
    <w:rsid w:val="00F855E3"/>
    <w:rsid w:val="00F857AF"/>
    <w:rsid w:val="00F86D07"/>
    <w:rsid w:val="00F86F0B"/>
    <w:rsid w:val="00F877F8"/>
    <w:rsid w:val="00F87AC8"/>
    <w:rsid w:val="00F87B12"/>
    <w:rsid w:val="00F90BB7"/>
    <w:rsid w:val="00F91A27"/>
    <w:rsid w:val="00F926F7"/>
    <w:rsid w:val="00F94E51"/>
    <w:rsid w:val="00F9692B"/>
    <w:rsid w:val="00FA15C6"/>
    <w:rsid w:val="00FA3B2F"/>
    <w:rsid w:val="00FA3C67"/>
    <w:rsid w:val="00FA4722"/>
    <w:rsid w:val="00FA4BE6"/>
    <w:rsid w:val="00FA52DE"/>
    <w:rsid w:val="00FA5BCA"/>
    <w:rsid w:val="00FA5F22"/>
    <w:rsid w:val="00FA616D"/>
    <w:rsid w:val="00FB4062"/>
    <w:rsid w:val="00FB44A9"/>
    <w:rsid w:val="00FB625A"/>
    <w:rsid w:val="00FB69F4"/>
    <w:rsid w:val="00FC0078"/>
    <w:rsid w:val="00FC3127"/>
    <w:rsid w:val="00FC59A5"/>
    <w:rsid w:val="00FD1F23"/>
    <w:rsid w:val="00FD3E41"/>
    <w:rsid w:val="00FD4001"/>
    <w:rsid w:val="00FD4A9E"/>
    <w:rsid w:val="00FD55B1"/>
    <w:rsid w:val="00FD6717"/>
    <w:rsid w:val="00FE0D9E"/>
    <w:rsid w:val="00FE1EE7"/>
    <w:rsid w:val="00FE4BC2"/>
    <w:rsid w:val="00FE5A7E"/>
    <w:rsid w:val="00FE5BC0"/>
    <w:rsid w:val="00FF3198"/>
    <w:rsid w:val="00FF5A34"/>
    <w:rsid w:val="00FF6F04"/>
    <w:rsid w:val="010033FE"/>
    <w:rsid w:val="01285229"/>
    <w:rsid w:val="01BC3703"/>
    <w:rsid w:val="01BE48C0"/>
    <w:rsid w:val="01C04E49"/>
    <w:rsid w:val="01C84C77"/>
    <w:rsid w:val="01F81427"/>
    <w:rsid w:val="020B3F79"/>
    <w:rsid w:val="021C1CE7"/>
    <w:rsid w:val="02290C40"/>
    <w:rsid w:val="02FC45A7"/>
    <w:rsid w:val="03295346"/>
    <w:rsid w:val="03F93561"/>
    <w:rsid w:val="044216AA"/>
    <w:rsid w:val="04916F64"/>
    <w:rsid w:val="04A10193"/>
    <w:rsid w:val="04E244F7"/>
    <w:rsid w:val="05312C0C"/>
    <w:rsid w:val="05D34727"/>
    <w:rsid w:val="05D9297D"/>
    <w:rsid w:val="06E94E42"/>
    <w:rsid w:val="06F74A7E"/>
    <w:rsid w:val="07650D44"/>
    <w:rsid w:val="076B03C1"/>
    <w:rsid w:val="07DB5C37"/>
    <w:rsid w:val="08931933"/>
    <w:rsid w:val="08955458"/>
    <w:rsid w:val="08D95AF8"/>
    <w:rsid w:val="09594501"/>
    <w:rsid w:val="097A3690"/>
    <w:rsid w:val="0A8F0E99"/>
    <w:rsid w:val="0B4A1776"/>
    <w:rsid w:val="0BD50265"/>
    <w:rsid w:val="0BEC010D"/>
    <w:rsid w:val="0C0517B1"/>
    <w:rsid w:val="0C786503"/>
    <w:rsid w:val="0C985E05"/>
    <w:rsid w:val="0D1A04C9"/>
    <w:rsid w:val="0D363F3D"/>
    <w:rsid w:val="0DA43FD6"/>
    <w:rsid w:val="0DCB77B4"/>
    <w:rsid w:val="0DF201AC"/>
    <w:rsid w:val="0E01168C"/>
    <w:rsid w:val="0E652975"/>
    <w:rsid w:val="0E7049BB"/>
    <w:rsid w:val="0E8C0D7B"/>
    <w:rsid w:val="0F8120BC"/>
    <w:rsid w:val="10125409"/>
    <w:rsid w:val="10160EE0"/>
    <w:rsid w:val="105651B6"/>
    <w:rsid w:val="10757130"/>
    <w:rsid w:val="112B34AD"/>
    <w:rsid w:val="11FF5827"/>
    <w:rsid w:val="121F704C"/>
    <w:rsid w:val="12722607"/>
    <w:rsid w:val="127570C7"/>
    <w:rsid w:val="129A3494"/>
    <w:rsid w:val="12BB167C"/>
    <w:rsid w:val="12CE31C0"/>
    <w:rsid w:val="12DA4FF8"/>
    <w:rsid w:val="12FE2BCF"/>
    <w:rsid w:val="13A02164"/>
    <w:rsid w:val="14175EC6"/>
    <w:rsid w:val="16426ED2"/>
    <w:rsid w:val="16F37CEB"/>
    <w:rsid w:val="18090C43"/>
    <w:rsid w:val="18FB5F15"/>
    <w:rsid w:val="19A10528"/>
    <w:rsid w:val="1A904B71"/>
    <w:rsid w:val="1B321622"/>
    <w:rsid w:val="1B8D003A"/>
    <w:rsid w:val="1D511AFF"/>
    <w:rsid w:val="1E452027"/>
    <w:rsid w:val="1EEB1A56"/>
    <w:rsid w:val="1F120F82"/>
    <w:rsid w:val="1F9C38D3"/>
    <w:rsid w:val="1FAF67D1"/>
    <w:rsid w:val="1FCD442A"/>
    <w:rsid w:val="1FD920F9"/>
    <w:rsid w:val="20766E26"/>
    <w:rsid w:val="20767551"/>
    <w:rsid w:val="212705BE"/>
    <w:rsid w:val="216B7513"/>
    <w:rsid w:val="216C47A8"/>
    <w:rsid w:val="21712296"/>
    <w:rsid w:val="21DB64E2"/>
    <w:rsid w:val="221C4C30"/>
    <w:rsid w:val="223C4D2B"/>
    <w:rsid w:val="22A70B6C"/>
    <w:rsid w:val="22AD65CC"/>
    <w:rsid w:val="23C14303"/>
    <w:rsid w:val="23FF4622"/>
    <w:rsid w:val="24E552EA"/>
    <w:rsid w:val="259E0FD0"/>
    <w:rsid w:val="25A217AC"/>
    <w:rsid w:val="25BF34E6"/>
    <w:rsid w:val="265E11E3"/>
    <w:rsid w:val="266E252C"/>
    <w:rsid w:val="27286288"/>
    <w:rsid w:val="27432BC1"/>
    <w:rsid w:val="27F0275A"/>
    <w:rsid w:val="28580092"/>
    <w:rsid w:val="28BC23D4"/>
    <w:rsid w:val="299638AC"/>
    <w:rsid w:val="2A426494"/>
    <w:rsid w:val="2AA10ED5"/>
    <w:rsid w:val="2ADA0518"/>
    <w:rsid w:val="2B3B6153"/>
    <w:rsid w:val="2C4D184B"/>
    <w:rsid w:val="2C921974"/>
    <w:rsid w:val="2CB27C5D"/>
    <w:rsid w:val="2D6618E1"/>
    <w:rsid w:val="2DBE14C9"/>
    <w:rsid w:val="2E287B63"/>
    <w:rsid w:val="2E2B31E3"/>
    <w:rsid w:val="2E853C05"/>
    <w:rsid w:val="2ED77388"/>
    <w:rsid w:val="2F380CDF"/>
    <w:rsid w:val="2F5E167A"/>
    <w:rsid w:val="2F5F7C65"/>
    <w:rsid w:val="2F6A64D8"/>
    <w:rsid w:val="2FAE2097"/>
    <w:rsid w:val="30616EA9"/>
    <w:rsid w:val="30BA7E6B"/>
    <w:rsid w:val="30D54712"/>
    <w:rsid w:val="31A44D82"/>
    <w:rsid w:val="32BE120D"/>
    <w:rsid w:val="32D560F7"/>
    <w:rsid w:val="330C0EF9"/>
    <w:rsid w:val="33506DE6"/>
    <w:rsid w:val="34004E73"/>
    <w:rsid w:val="35194EAC"/>
    <w:rsid w:val="35A54CED"/>
    <w:rsid w:val="35CA7EAA"/>
    <w:rsid w:val="37534CA7"/>
    <w:rsid w:val="3791218C"/>
    <w:rsid w:val="37D824F1"/>
    <w:rsid w:val="396429B2"/>
    <w:rsid w:val="39B918B5"/>
    <w:rsid w:val="3A3C272F"/>
    <w:rsid w:val="3A890A98"/>
    <w:rsid w:val="3B0C4DFA"/>
    <w:rsid w:val="3C431E60"/>
    <w:rsid w:val="3C4D26C6"/>
    <w:rsid w:val="3C5B511F"/>
    <w:rsid w:val="3C760652"/>
    <w:rsid w:val="3D044EFC"/>
    <w:rsid w:val="3D9250A4"/>
    <w:rsid w:val="3E6946AD"/>
    <w:rsid w:val="3EB60CB3"/>
    <w:rsid w:val="3EC436F9"/>
    <w:rsid w:val="3EF42F18"/>
    <w:rsid w:val="3F740895"/>
    <w:rsid w:val="3F9B24F2"/>
    <w:rsid w:val="3FB93DC6"/>
    <w:rsid w:val="402A691C"/>
    <w:rsid w:val="415A4B84"/>
    <w:rsid w:val="417F7D23"/>
    <w:rsid w:val="419956FA"/>
    <w:rsid w:val="422E66F3"/>
    <w:rsid w:val="4275164D"/>
    <w:rsid w:val="42E571C8"/>
    <w:rsid w:val="430A3262"/>
    <w:rsid w:val="4383143C"/>
    <w:rsid w:val="44265D88"/>
    <w:rsid w:val="45D61E3A"/>
    <w:rsid w:val="463C2CBA"/>
    <w:rsid w:val="466A6194"/>
    <w:rsid w:val="46A824B9"/>
    <w:rsid w:val="46BB170B"/>
    <w:rsid w:val="46D22C08"/>
    <w:rsid w:val="47056396"/>
    <w:rsid w:val="472152DF"/>
    <w:rsid w:val="47510906"/>
    <w:rsid w:val="476E0442"/>
    <w:rsid w:val="47A02113"/>
    <w:rsid w:val="495D70F7"/>
    <w:rsid w:val="498C1364"/>
    <w:rsid w:val="4B7D5F80"/>
    <w:rsid w:val="4BF40741"/>
    <w:rsid w:val="4C0F51A0"/>
    <w:rsid w:val="4C5E019B"/>
    <w:rsid w:val="4D6351BA"/>
    <w:rsid w:val="4E6D7288"/>
    <w:rsid w:val="4EF60B6C"/>
    <w:rsid w:val="4F64249F"/>
    <w:rsid w:val="4F6E1200"/>
    <w:rsid w:val="4FCD544B"/>
    <w:rsid w:val="4FEE189E"/>
    <w:rsid w:val="500B7C38"/>
    <w:rsid w:val="50394A65"/>
    <w:rsid w:val="50BC0F04"/>
    <w:rsid w:val="527F4518"/>
    <w:rsid w:val="52E80614"/>
    <w:rsid w:val="5345653C"/>
    <w:rsid w:val="53546608"/>
    <w:rsid w:val="53F038EA"/>
    <w:rsid w:val="54124779"/>
    <w:rsid w:val="5422457B"/>
    <w:rsid w:val="5435659E"/>
    <w:rsid w:val="547E4F21"/>
    <w:rsid w:val="549F2962"/>
    <w:rsid w:val="54E01333"/>
    <w:rsid w:val="54FA44CC"/>
    <w:rsid w:val="56011439"/>
    <w:rsid w:val="56B07DCC"/>
    <w:rsid w:val="5713274F"/>
    <w:rsid w:val="571903F8"/>
    <w:rsid w:val="57405764"/>
    <w:rsid w:val="57FC663A"/>
    <w:rsid w:val="590713FB"/>
    <w:rsid w:val="59BA69E3"/>
    <w:rsid w:val="5A661DF4"/>
    <w:rsid w:val="5AAE5D05"/>
    <w:rsid w:val="5ACF0178"/>
    <w:rsid w:val="5B023998"/>
    <w:rsid w:val="5B440230"/>
    <w:rsid w:val="5B900F50"/>
    <w:rsid w:val="5C3E17F9"/>
    <w:rsid w:val="5C483ABC"/>
    <w:rsid w:val="5CCA4650"/>
    <w:rsid w:val="5D052980"/>
    <w:rsid w:val="5D3A6920"/>
    <w:rsid w:val="5D8135CC"/>
    <w:rsid w:val="5DF10A2F"/>
    <w:rsid w:val="5E8048B9"/>
    <w:rsid w:val="5ED57F57"/>
    <w:rsid w:val="5EF534F9"/>
    <w:rsid w:val="600446EC"/>
    <w:rsid w:val="600D2EE6"/>
    <w:rsid w:val="601A3A76"/>
    <w:rsid w:val="60EB4BB4"/>
    <w:rsid w:val="615E6136"/>
    <w:rsid w:val="61D4087B"/>
    <w:rsid w:val="620D10B8"/>
    <w:rsid w:val="621760F6"/>
    <w:rsid w:val="62246B60"/>
    <w:rsid w:val="627A0020"/>
    <w:rsid w:val="628A2B7E"/>
    <w:rsid w:val="631B1643"/>
    <w:rsid w:val="644F1ACD"/>
    <w:rsid w:val="64607B88"/>
    <w:rsid w:val="64751744"/>
    <w:rsid w:val="64ED2342"/>
    <w:rsid w:val="6558033E"/>
    <w:rsid w:val="65BD0D59"/>
    <w:rsid w:val="67060D39"/>
    <w:rsid w:val="67FF1998"/>
    <w:rsid w:val="680D1D99"/>
    <w:rsid w:val="68393486"/>
    <w:rsid w:val="693C5C0C"/>
    <w:rsid w:val="69431270"/>
    <w:rsid w:val="6A7F4F75"/>
    <w:rsid w:val="6ACA16F9"/>
    <w:rsid w:val="6B086BC3"/>
    <w:rsid w:val="6B16774A"/>
    <w:rsid w:val="6B446834"/>
    <w:rsid w:val="6B4F341C"/>
    <w:rsid w:val="6BB942D4"/>
    <w:rsid w:val="6BC846BD"/>
    <w:rsid w:val="6C206AC0"/>
    <w:rsid w:val="6C467142"/>
    <w:rsid w:val="6C8C09E4"/>
    <w:rsid w:val="6CB03B45"/>
    <w:rsid w:val="6CBC11B2"/>
    <w:rsid w:val="6DB57C1B"/>
    <w:rsid w:val="6DEC1F6B"/>
    <w:rsid w:val="6ECE2681"/>
    <w:rsid w:val="6ED12033"/>
    <w:rsid w:val="6F9132E3"/>
    <w:rsid w:val="6FB20E03"/>
    <w:rsid w:val="70FC16E5"/>
    <w:rsid w:val="718A0C20"/>
    <w:rsid w:val="72340F9C"/>
    <w:rsid w:val="72534367"/>
    <w:rsid w:val="730D5D09"/>
    <w:rsid w:val="73950488"/>
    <w:rsid w:val="747A30BC"/>
    <w:rsid w:val="74FB3285"/>
    <w:rsid w:val="763243C9"/>
    <w:rsid w:val="76455778"/>
    <w:rsid w:val="77112544"/>
    <w:rsid w:val="774152C9"/>
    <w:rsid w:val="787B63C5"/>
    <w:rsid w:val="79305CF5"/>
    <w:rsid w:val="793070F8"/>
    <w:rsid w:val="79D825C1"/>
    <w:rsid w:val="7A475093"/>
    <w:rsid w:val="7A8B0E6F"/>
    <w:rsid w:val="7ACD7751"/>
    <w:rsid w:val="7B2E3BC3"/>
    <w:rsid w:val="7B5D131E"/>
    <w:rsid w:val="7B707527"/>
    <w:rsid w:val="7BA71939"/>
    <w:rsid w:val="7C9D37FB"/>
    <w:rsid w:val="7D950234"/>
    <w:rsid w:val="7DB41B16"/>
    <w:rsid w:val="7DEB79E2"/>
    <w:rsid w:val="7DFC5027"/>
    <w:rsid w:val="7E002D54"/>
    <w:rsid w:val="7F64384B"/>
    <w:rsid w:val="7F743A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8"/>
    <w:qFormat/>
    <w:uiPriority w:val="9"/>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4">
    <w:name w:val="heading 2"/>
    <w:basedOn w:val="1"/>
    <w:next w:val="1"/>
    <w:link w:val="39"/>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5">
    <w:name w:val="heading 3"/>
    <w:basedOn w:val="1"/>
    <w:next w:val="1"/>
    <w:link w:val="40"/>
    <w:qFormat/>
    <w:uiPriority w:val="9"/>
    <w:pPr>
      <w:keepNext/>
      <w:keepLines/>
      <w:spacing w:before="260" w:after="260" w:line="416" w:lineRule="auto"/>
      <w:outlineLvl w:val="2"/>
    </w:pPr>
    <w:rPr>
      <w:rFonts w:ascii="Times New Roman" w:hAnsi="Times New Roman" w:eastAsia="宋体" w:cs="Times New Roman"/>
      <w:b/>
      <w:bCs/>
      <w:sz w:val="32"/>
      <w:szCs w:val="32"/>
    </w:rPr>
  </w:style>
  <w:style w:type="paragraph" w:styleId="2">
    <w:name w:val="heading 4"/>
    <w:basedOn w:val="1"/>
    <w:next w:val="1"/>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List Number"/>
    <w:basedOn w:val="1"/>
    <w:qFormat/>
    <w:uiPriority w:val="0"/>
    <w:pPr>
      <w:widowControl/>
      <w:numPr>
        <w:ilvl w:val="0"/>
        <w:numId w:val="1"/>
      </w:numPr>
      <w:tabs>
        <w:tab w:val="left" w:pos="454"/>
        <w:tab w:val="clear" w:pos="720"/>
      </w:tabs>
      <w:spacing w:after="156" w:afterLines="50"/>
      <w:ind w:left="454" w:hanging="284"/>
      <w:jc w:val="left"/>
    </w:pPr>
    <w:rPr>
      <w:rFonts w:ascii="Times New Roman" w:hAnsi="Times New Roman" w:eastAsia="宋体" w:cs="Times New Roman"/>
      <w:kern w:val="0"/>
      <w:sz w:val="24"/>
      <w:szCs w:val="20"/>
    </w:rPr>
  </w:style>
  <w:style w:type="paragraph" w:styleId="7">
    <w:name w:val="Normal Indent"/>
    <w:basedOn w:val="1"/>
    <w:link w:val="47"/>
    <w:qFormat/>
    <w:uiPriority w:val="0"/>
    <w:pPr>
      <w:ind w:firstLine="420"/>
    </w:pPr>
    <w:rPr>
      <w:rFonts w:eastAsia="宋体"/>
    </w:rPr>
  </w:style>
  <w:style w:type="paragraph" w:styleId="8">
    <w:name w:val="caption"/>
    <w:basedOn w:val="1"/>
    <w:next w:val="1"/>
    <w:qFormat/>
    <w:uiPriority w:val="0"/>
    <w:pPr>
      <w:spacing w:before="152" w:after="160"/>
    </w:pPr>
    <w:rPr>
      <w:rFonts w:ascii="Arial" w:hAnsi="Arial" w:eastAsia="黑体" w:cs="Arial"/>
      <w:sz w:val="20"/>
      <w:szCs w:val="20"/>
    </w:rPr>
  </w:style>
  <w:style w:type="paragraph" w:styleId="9">
    <w:name w:val="Document Map"/>
    <w:basedOn w:val="1"/>
    <w:link w:val="44"/>
    <w:unhideWhenUsed/>
    <w:qFormat/>
    <w:uiPriority w:val="99"/>
    <w:rPr>
      <w:rFonts w:ascii="宋体"/>
      <w:sz w:val="18"/>
      <w:szCs w:val="18"/>
    </w:rPr>
  </w:style>
  <w:style w:type="paragraph" w:styleId="10">
    <w:name w:val="annotation text"/>
    <w:basedOn w:val="1"/>
    <w:link w:val="81"/>
    <w:unhideWhenUsed/>
    <w:qFormat/>
    <w:uiPriority w:val="99"/>
    <w:pPr>
      <w:jc w:val="left"/>
    </w:pPr>
  </w:style>
  <w:style w:type="paragraph" w:styleId="11">
    <w:name w:val="Body Text"/>
    <w:basedOn w:val="1"/>
    <w:next w:val="1"/>
    <w:link w:val="84"/>
    <w:unhideWhenUsed/>
    <w:qFormat/>
    <w:uiPriority w:val="99"/>
    <w:pPr>
      <w:spacing w:after="120"/>
    </w:pPr>
    <w:rPr>
      <w:rFonts w:ascii="Times New Roman" w:hAnsi="Times New Roman" w:eastAsia="宋体" w:cs="Times New Roman"/>
      <w:sz w:val="28"/>
      <w:szCs w:val="24"/>
    </w:rPr>
  </w:style>
  <w:style w:type="paragraph" w:styleId="12">
    <w:name w:val="Body Text Indent"/>
    <w:basedOn w:val="1"/>
    <w:link w:val="71"/>
    <w:qFormat/>
    <w:uiPriority w:val="0"/>
    <w:pPr>
      <w:spacing w:line="200" w:lineRule="atLeast"/>
      <w:ind w:firstLine="301"/>
    </w:pPr>
    <w:rPr>
      <w:rFonts w:ascii="宋体" w:hAnsi="Courier New"/>
      <w:spacing w:val="-4"/>
      <w:sz w:val="18"/>
    </w:rPr>
  </w:style>
  <w:style w:type="paragraph" w:styleId="13">
    <w:name w:val="List 2"/>
    <w:basedOn w:val="1"/>
    <w:unhideWhenUsed/>
    <w:qFormat/>
    <w:uiPriority w:val="99"/>
    <w:pPr>
      <w:ind w:left="100" w:leftChars="200" w:hanging="200" w:hangingChars="200"/>
      <w:contextualSpacing/>
    </w:pPr>
    <w:rPr>
      <w:rFonts w:ascii="Times New Roman" w:hAnsi="Times New Roman" w:eastAsia="宋体" w:cs="Times New Roman"/>
      <w:sz w:val="28"/>
      <w:szCs w:val="24"/>
    </w:rPr>
  </w:style>
  <w:style w:type="paragraph" w:styleId="14">
    <w:name w:val="Plain Text"/>
    <w:basedOn w:val="1"/>
    <w:link w:val="56"/>
    <w:qFormat/>
    <w:uiPriority w:val="99"/>
    <w:pPr>
      <w:spacing w:before="156" w:beforeLines="50" w:after="156" w:afterLines="50" w:line="400" w:lineRule="atLeast"/>
    </w:pPr>
    <w:rPr>
      <w:rFonts w:ascii="宋体" w:hAnsi="Courier New"/>
      <w:sz w:val="24"/>
      <w:szCs w:val="24"/>
    </w:rPr>
  </w:style>
  <w:style w:type="paragraph" w:styleId="15">
    <w:name w:val="Date"/>
    <w:basedOn w:val="1"/>
    <w:next w:val="1"/>
    <w:link w:val="87"/>
    <w:qFormat/>
    <w:uiPriority w:val="0"/>
    <w:pPr>
      <w:ind w:left="2500" w:leftChars="2500"/>
    </w:pPr>
    <w:rPr>
      <w:rFonts w:ascii="Times New Roman" w:hAnsi="Times New Roman" w:eastAsia="楷体_GB2312" w:cs="Times New Roman"/>
      <w:sz w:val="32"/>
      <w:szCs w:val="20"/>
    </w:rPr>
  </w:style>
  <w:style w:type="paragraph" w:styleId="16">
    <w:name w:val="Balloon Text"/>
    <w:basedOn w:val="1"/>
    <w:link w:val="85"/>
    <w:qFormat/>
    <w:uiPriority w:val="0"/>
    <w:rPr>
      <w:rFonts w:ascii="Times New Roman" w:hAnsi="Times New Roman" w:eastAsia="宋体" w:cs="Times New Roman"/>
      <w:sz w:val="18"/>
      <w:szCs w:val="18"/>
    </w:rPr>
  </w:style>
  <w:style w:type="paragraph" w:styleId="17">
    <w:name w:val="footer"/>
    <w:basedOn w:val="1"/>
    <w:link w:val="37"/>
    <w:unhideWhenUsed/>
    <w:qFormat/>
    <w:uiPriority w:val="99"/>
    <w:pPr>
      <w:tabs>
        <w:tab w:val="center" w:pos="4153"/>
        <w:tab w:val="right" w:pos="8306"/>
      </w:tabs>
      <w:snapToGrid w:val="0"/>
      <w:jc w:val="left"/>
    </w:pPr>
    <w:rPr>
      <w:sz w:val="18"/>
      <w:szCs w:val="18"/>
    </w:rPr>
  </w:style>
  <w:style w:type="paragraph" w:styleId="18">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List"/>
    <w:basedOn w:val="1"/>
    <w:qFormat/>
    <w:uiPriority w:val="0"/>
    <w:pPr>
      <w:ind w:left="200" w:hanging="200" w:hangingChars="200"/>
    </w:pPr>
    <w:rPr>
      <w:rFonts w:ascii="Times New Roman" w:hAnsi="Times New Roman" w:eastAsia="宋体" w:cs="Times New Roman"/>
      <w:sz w:val="28"/>
      <w:szCs w:val="24"/>
    </w:rPr>
  </w:style>
  <w:style w:type="paragraph" w:styleId="20">
    <w:name w:val="Body Text 2"/>
    <w:basedOn w:val="1"/>
    <w:link w:val="73"/>
    <w:qFormat/>
    <w:uiPriority w:val="0"/>
    <w:pPr>
      <w:widowControl/>
      <w:snapToGrid w:val="0"/>
      <w:spacing w:before="50" w:after="156" w:afterLines="50" w:line="400" w:lineRule="atLeast"/>
      <w:jc w:val="left"/>
    </w:pPr>
    <w:rPr>
      <w:rFonts w:hint="eastAsia" w:ascii="宋体" w:hAnsi="宋体" w:eastAsia="宋体" w:cs="Times New Roman"/>
      <w:color w:val="000000"/>
      <w:sz w:val="24"/>
      <w:szCs w:val="24"/>
    </w:rPr>
  </w:style>
  <w:style w:type="paragraph" w:styleId="21">
    <w:name w:val="Normal (Web)"/>
    <w:basedOn w:val="1"/>
    <w:qFormat/>
    <w:uiPriority w:val="99"/>
    <w:pPr>
      <w:widowControl/>
      <w:spacing w:before="100" w:beforeAutospacing="1" w:after="100" w:afterAutospacing="1"/>
      <w:ind w:firstLine="420"/>
      <w:jc w:val="left"/>
    </w:pPr>
    <w:rPr>
      <w:rFonts w:ascii="宋体" w:hAnsi="宋体" w:eastAsia="宋体" w:cs="Times New Roman"/>
      <w:kern w:val="0"/>
      <w:sz w:val="20"/>
      <w:szCs w:val="20"/>
    </w:rPr>
  </w:style>
  <w:style w:type="paragraph" w:styleId="22">
    <w:name w:val="annotation subject"/>
    <w:basedOn w:val="10"/>
    <w:next w:val="10"/>
    <w:link w:val="57"/>
    <w:unhideWhenUsed/>
    <w:qFormat/>
    <w:uiPriority w:val="99"/>
    <w:rPr>
      <w:b/>
      <w:bCs/>
      <w:sz w:val="28"/>
      <w:szCs w:val="24"/>
    </w:rPr>
  </w:style>
  <w:style w:type="paragraph" w:styleId="23">
    <w:name w:val="Body Text First Indent 2"/>
    <w:basedOn w:val="12"/>
    <w:link w:val="89"/>
    <w:unhideWhenUsed/>
    <w:qFormat/>
    <w:uiPriority w:val="99"/>
    <w:pPr>
      <w:ind w:firstLine="420"/>
    </w:pPr>
  </w:style>
  <w:style w:type="table" w:styleId="25">
    <w:name w:val="Table Grid"/>
    <w:basedOn w:val="2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qFormat/>
    <w:uiPriority w:val="0"/>
    <w:rPr>
      <w:b/>
      <w:bCs/>
    </w:rPr>
  </w:style>
  <w:style w:type="character" w:styleId="28">
    <w:name w:val="page number"/>
    <w:basedOn w:val="26"/>
    <w:qFormat/>
    <w:uiPriority w:val="0"/>
  </w:style>
  <w:style w:type="character" w:styleId="29">
    <w:name w:val="FollowedHyperlink"/>
    <w:unhideWhenUsed/>
    <w:qFormat/>
    <w:uiPriority w:val="99"/>
    <w:rPr>
      <w:color w:val="5579A7"/>
      <w:u w:val="none"/>
    </w:rPr>
  </w:style>
  <w:style w:type="character" w:styleId="30">
    <w:name w:val="HTML Definition"/>
    <w:unhideWhenUsed/>
    <w:qFormat/>
    <w:uiPriority w:val="99"/>
    <w:rPr>
      <w:i/>
    </w:rPr>
  </w:style>
  <w:style w:type="character" w:styleId="31">
    <w:name w:val="Hyperlink"/>
    <w:qFormat/>
    <w:uiPriority w:val="0"/>
    <w:rPr>
      <w:color w:val="5579A7"/>
      <w:u w:val="none"/>
    </w:rPr>
  </w:style>
  <w:style w:type="character" w:styleId="32">
    <w:name w:val="HTML Code"/>
    <w:unhideWhenUsed/>
    <w:qFormat/>
    <w:uiPriority w:val="99"/>
    <w:rPr>
      <w:rFonts w:ascii="-apple-system" w:hAnsi="-apple-system" w:eastAsia="-apple-system" w:cs="-apple-system"/>
      <w:sz w:val="21"/>
      <w:szCs w:val="21"/>
    </w:rPr>
  </w:style>
  <w:style w:type="character" w:styleId="33">
    <w:name w:val="annotation reference"/>
    <w:unhideWhenUsed/>
    <w:qFormat/>
    <w:uiPriority w:val="99"/>
    <w:rPr>
      <w:sz w:val="21"/>
      <w:szCs w:val="21"/>
    </w:rPr>
  </w:style>
  <w:style w:type="character" w:styleId="34">
    <w:name w:val="HTML Keyboard"/>
    <w:unhideWhenUsed/>
    <w:qFormat/>
    <w:uiPriority w:val="99"/>
    <w:rPr>
      <w:rFonts w:hint="default" w:ascii="-apple-system" w:hAnsi="-apple-system" w:eastAsia="-apple-system" w:cs="-apple-system"/>
      <w:sz w:val="21"/>
      <w:szCs w:val="21"/>
    </w:rPr>
  </w:style>
  <w:style w:type="character" w:styleId="35">
    <w:name w:val="HTML Sample"/>
    <w:unhideWhenUsed/>
    <w:qFormat/>
    <w:uiPriority w:val="99"/>
    <w:rPr>
      <w:rFonts w:hint="default" w:ascii="-apple-system" w:hAnsi="-apple-system" w:eastAsia="-apple-system" w:cs="-apple-system"/>
      <w:sz w:val="21"/>
      <w:szCs w:val="21"/>
    </w:rPr>
  </w:style>
  <w:style w:type="character" w:customStyle="1" w:styleId="36">
    <w:name w:val="页眉 字符"/>
    <w:basedOn w:val="26"/>
    <w:link w:val="18"/>
    <w:qFormat/>
    <w:uiPriority w:val="99"/>
    <w:rPr>
      <w:sz w:val="18"/>
      <w:szCs w:val="18"/>
    </w:rPr>
  </w:style>
  <w:style w:type="character" w:customStyle="1" w:styleId="37">
    <w:name w:val="页脚 字符"/>
    <w:basedOn w:val="26"/>
    <w:link w:val="17"/>
    <w:qFormat/>
    <w:uiPriority w:val="99"/>
    <w:rPr>
      <w:sz w:val="18"/>
      <w:szCs w:val="18"/>
    </w:rPr>
  </w:style>
  <w:style w:type="character" w:customStyle="1" w:styleId="38">
    <w:name w:val="标题 1 字符"/>
    <w:basedOn w:val="26"/>
    <w:link w:val="3"/>
    <w:qFormat/>
    <w:uiPriority w:val="9"/>
    <w:rPr>
      <w:rFonts w:ascii="Times New Roman" w:hAnsi="Times New Roman" w:eastAsia="宋体" w:cs="Times New Roman"/>
      <w:b/>
      <w:bCs/>
      <w:kern w:val="44"/>
      <w:sz w:val="44"/>
      <w:szCs w:val="44"/>
    </w:rPr>
  </w:style>
  <w:style w:type="character" w:customStyle="1" w:styleId="39">
    <w:name w:val="标题 2 字符"/>
    <w:basedOn w:val="26"/>
    <w:link w:val="4"/>
    <w:qFormat/>
    <w:uiPriority w:val="9"/>
    <w:rPr>
      <w:rFonts w:ascii="Cambria" w:hAnsi="Cambria" w:eastAsia="宋体" w:cs="Times New Roman"/>
      <w:b/>
      <w:bCs/>
      <w:sz w:val="32"/>
      <w:szCs w:val="32"/>
    </w:rPr>
  </w:style>
  <w:style w:type="character" w:customStyle="1" w:styleId="40">
    <w:name w:val="标题 3 字符"/>
    <w:basedOn w:val="26"/>
    <w:link w:val="5"/>
    <w:qFormat/>
    <w:uiPriority w:val="9"/>
    <w:rPr>
      <w:rFonts w:ascii="Times New Roman" w:hAnsi="Times New Roman" w:eastAsia="宋体" w:cs="Times New Roman"/>
      <w:b/>
      <w:bCs/>
      <w:sz w:val="32"/>
      <w:szCs w:val="32"/>
    </w:rPr>
  </w:style>
  <w:style w:type="character" w:customStyle="1" w:styleId="41">
    <w:name w:val="jbox-icon-none"/>
    <w:qFormat/>
    <w:uiPriority w:val="0"/>
    <w:rPr>
      <w:vanish/>
    </w:rPr>
  </w:style>
  <w:style w:type="character" w:customStyle="1" w:styleId="42">
    <w:name w:val="z-窗体底端 字符"/>
    <w:link w:val="43"/>
    <w:qFormat/>
    <w:uiPriority w:val="99"/>
    <w:rPr>
      <w:rFonts w:ascii="Arial" w:hAnsi="Arial"/>
      <w:vanish/>
      <w:sz w:val="16"/>
      <w:szCs w:val="16"/>
    </w:rPr>
  </w:style>
  <w:style w:type="paragraph" w:customStyle="1" w:styleId="43">
    <w:name w:val="z-窗体底端1"/>
    <w:basedOn w:val="1"/>
    <w:next w:val="1"/>
    <w:link w:val="42"/>
    <w:unhideWhenUsed/>
    <w:qFormat/>
    <w:uiPriority w:val="99"/>
    <w:pPr>
      <w:widowControl/>
      <w:pBdr>
        <w:top w:val="single" w:color="auto" w:sz="6" w:space="1"/>
      </w:pBdr>
      <w:jc w:val="center"/>
    </w:pPr>
    <w:rPr>
      <w:rFonts w:ascii="Arial" w:hAnsi="Arial"/>
      <w:vanish/>
      <w:sz w:val="16"/>
      <w:szCs w:val="16"/>
    </w:rPr>
  </w:style>
  <w:style w:type="character" w:customStyle="1" w:styleId="44">
    <w:name w:val="文档结构图 字符"/>
    <w:link w:val="9"/>
    <w:qFormat/>
    <w:uiPriority w:val="99"/>
    <w:rPr>
      <w:rFonts w:ascii="宋体"/>
      <w:sz w:val="18"/>
      <w:szCs w:val="18"/>
    </w:rPr>
  </w:style>
  <w:style w:type="character" w:customStyle="1" w:styleId="45">
    <w:name w:val="black601"/>
    <w:qFormat/>
    <w:uiPriority w:val="0"/>
    <w:rPr>
      <w:color w:val="666666"/>
    </w:rPr>
  </w:style>
  <w:style w:type="character" w:customStyle="1" w:styleId="46">
    <w:name w:val="hour_pm"/>
    <w:basedOn w:val="26"/>
    <w:qFormat/>
    <w:uiPriority w:val="0"/>
  </w:style>
  <w:style w:type="character" w:customStyle="1" w:styleId="47">
    <w:name w:val="正文缩进 字符"/>
    <w:link w:val="7"/>
    <w:qFormat/>
    <w:uiPriority w:val="0"/>
    <w:rPr>
      <w:rFonts w:eastAsia="宋体"/>
    </w:rPr>
  </w:style>
  <w:style w:type="character" w:customStyle="1" w:styleId="48">
    <w:name w:val="标题 1 Char Char"/>
    <w:qFormat/>
    <w:uiPriority w:val="0"/>
    <w:rPr>
      <w:rFonts w:eastAsia="宋体"/>
      <w:b/>
      <w:spacing w:val="-2"/>
      <w:sz w:val="24"/>
      <w:lang w:val="en-US" w:eastAsia="zh-CN" w:bidi="ar-SA"/>
    </w:rPr>
  </w:style>
  <w:style w:type="character" w:customStyle="1" w:styleId="49">
    <w:name w:val="jbox-icon-info"/>
    <w:basedOn w:val="26"/>
    <w:qFormat/>
    <w:uiPriority w:val="0"/>
  </w:style>
  <w:style w:type="character" w:customStyle="1" w:styleId="50">
    <w:name w:val="hover9"/>
    <w:qFormat/>
    <w:uiPriority w:val="0"/>
    <w:rPr>
      <w:shd w:val="clear" w:color="auto" w:fill="EEEEEE"/>
    </w:rPr>
  </w:style>
  <w:style w:type="character" w:customStyle="1" w:styleId="51">
    <w:name w:val="maywed421"/>
    <w:qFormat/>
    <w:uiPriority w:val="0"/>
    <w:rPr>
      <w:color w:val="366FB6"/>
      <w:u w:val="none"/>
    </w:rPr>
  </w:style>
  <w:style w:type="character" w:customStyle="1" w:styleId="52">
    <w:name w:val="old"/>
    <w:qFormat/>
    <w:uiPriority w:val="0"/>
    <w:rPr>
      <w:color w:val="999999"/>
    </w:rPr>
  </w:style>
  <w:style w:type="character" w:customStyle="1" w:styleId="53">
    <w:name w:val="jbox-icon-warning"/>
    <w:basedOn w:val="26"/>
    <w:qFormat/>
    <w:uiPriority w:val="0"/>
  </w:style>
  <w:style w:type="character" w:customStyle="1" w:styleId="54">
    <w:name w:val="z-窗体顶端 字符"/>
    <w:link w:val="55"/>
    <w:qFormat/>
    <w:uiPriority w:val="99"/>
    <w:rPr>
      <w:rFonts w:ascii="Arial" w:hAnsi="Arial"/>
      <w:vanish/>
      <w:sz w:val="16"/>
      <w:szCs w:val="16"/>
    </w:rPr>
  </w:style>
  <w:style w:type="paragraph" w:customStyle="1" w:styleId="55">
    <w:name w:val="z-窗体顶端1"/>
    <w:basedOn w:val="1"/>
    <w:next w:val="1"/>
    <w:link w:val="54"/>
    <w:unhideWhenUsed/>
    <w:qFormat/>
    <w:uiPriority w:val="99"/>
    <w:pPr>
      <w:widowControl/>
      <w:pBdr>
        <w:bottom w:val="single" w:color="auto" w:sz="6" w:space="1"/>
      </w:pBdr>
      <w:jc w:val="center"/>
    </w:pPr>
    <w:rPr>
      <w:rFonts w:ascii="Arial" w:hAnsi="Arial"/>
      <w:vanish/>
      <w:sz w:val="16"/>
      <w:szCs w:val="16"/>
    </w:rPr>
  </w:style>
  <w:style w:type="character" w:customStyle="1" w:styleId="56">
    <w:name w:val="纯文本 字符1"/>
    <w:link w:val="14"/>
    <w:qFormat/>
    <w:uiPriority w:val="99"/>
    <w:rPr>
      <w:rFonts w:ascii="宋体" w:hAnsi="Courier New"/>
      <w:sz w:val="24"/>
      <w:szCs w:val="24"/>
    </w:rPr>
  </w:style>
  <w:style w:type="character" w:customStyle="1" w:styleId="57">
    <w:name w:val="批注主题 字符"/>
    <w:link w:val="22"/>
    <w:qFormat/>
    <w:uiPriority w:val="99"/>
    <w:rPr>
      <w:b/>
      <w:bCs/>
      <w:sz w:val="28"/>
      <w:szCs w:val="24"/>
    </w:rPr>
  </w:style>
  <w:style w:type="character" w:customStyle="1" w:styleId="58">
    <w:name w:val="jbox-icon-loading"/>
    <w:basedOn w:val="26"/>
    <w:qFormat/>
    <w:uiPriority w:val="0"/>
  </w:style>
  <w:style w:type="character" w:customStyle="1" w:styleId="59">
    <w:name w:val="正文文本缩进 字符"/>
    <w:qFormat/>
    <w:uiPriority w:val="0"/>
    <w:rPr>
      <w:rFonts w:ascii="宋体" w:hAnsi="Courier New"/>
      <w:spacing w:val="-4"/>
      <w:kern w:val="2"/>
      <w:sz w:val="18"/>
    </w:rPr>
  </w:style>
  <w:style w:type="character" w:customStyle="1" w:styleId="60">
    <w:name w:val="正文文本缩进 字符1"/>
    <w:qFormat/>
    <w:uiPriority w:val="0"/>
    <w:rPr>
      <w:rFonts w:ascii="宋体" w:hAnsi="Courier New"/>
      <w:spacing w:val="-4"/>
      <w:kern w:val="2"/>
      <w:sz w:val="18"/>
    </w:rPr>
  </w:style>
  <w:style w:type="character" w:customStyle="1" w:styleId="61">
    <w:name w:val="纯文本 字符"/>
    <w:qFormat/>
    <w:uiPriority w:val="99"/>
    <w:rPr>
      <w:rFonts w:ascii="宋体" w:hAnsi="Courier New"/>
      <w:kern w:val="2"/>
      <w:sz w:val="24"/>
      <w:szCs w:val="24"/>
    </w:rPr>
  </w:style>
  <w:style w:type="character" w:customStyle="1" w:styleId="62">
    <w:name w:val="jbox-icon-question"/>
    <w:basedOn w:val="26"/>
    <w:qFormat/>
    <w:uiPriority w:val="0"/>
  </w:style>
  <w:style w:type="character" w:customStyle="1" w:styleId="63">
    <w:name w:val="jbox-icon"/>
    <w:basedOn w:val="26"/>
    <w:qFormat/>
    <w:uiPriority w:val="0"/>
  </w:style>
  <w:style w:type="character" w:customStyle="1" w:styleId="64">
    <w:name w:val="纯文本 字符2"/>
    <w:qFormat/>
    <w:uiPriority w:val="99"/>
    <w:rPr>
      <w:rFonts w:ascii="宋体" w:hAnsi="Courier New"/>
      <w:kern w:val="2"/>
      <w:sz w:val="24"/>
      <w:szCs w:val="24"/>
    </w:rPr>
  </w:style>
  <w:style w:type="character" w:customStyle="1" w:styleId="65">
    <w:name w:val="hour_am"/>
    <w:basedOn w:val="26"/>
    <w:qFormat/>
    <w:uiPriority w:val="0"/>
  </w:style>
  <w:style w:type="character" w:customStyle="1" w:styleId="66">
    <w:name w:val="jbox-icon-success"/>
    <w:basedOn w:val="26"/>
    <w:qFormat/>
    <w:uiPriority w:val="0"/>
  </w:style>
  <w:style w:type="character" w:customStyle="1" w:styleId="67">
    <w:name w:val="批注文字 字符"/>
    <w:qFormat/>
    <w:uiPriority w:val="99"/>
    <w:rPr>
      <w:kern w:val="2"/>
      <w:sz w:val="28"/>
      <w:szCs w:val="24"/>
    </w:rPr>
  </w:style>
  <w:style w:type="character" w:customStyle="1" w:styleId="68">
    <w:name w:val="纯文本 Char1"/>
    <w:qFormat/>
    <w:uiPriority w:val="0"/>
    <w:rPr>
      <w:rFonts w:ascii="宋体" w:hAnsi="Courier New"/>
      <w:kern w:val="2"/>
      <w:sz w:val="21"/>
    </w:rPr>
  </w:style>
  <w:style w:type="character" w:customStyle="1" w:styleId="69">
    <w:name w:val="纯文本 Char"/>
    <w:qFormat/>
    <w:uiPriority w:val="99"/>
    <w:rPr>
      <w:rFonts w:ascii="宋体" w:hAnsi="Courier New"/>
      <w:kern w:val="2"/>
      <w:sz w:val="24"/>
      <w:szCs w:val="24"/>
    </w:rPr>
  </w:style>
  <w:style w:type="character" w:customStyle="1" w:styleId="70">
    <w:name w:val="sub_title s0"/>
    <w:basedOn w:val="26"/>
    <w:qFormat/>
    <w:uiPriority w:val="0"/>
  </w:style>
  <w:style w:type="character" w:customStyle="1" w:styleId="71">
    <w:name w:val="正文文本缩进 字符2"/>
    <w:link w:val="12"/>
    <w:qFormat/>
    <w:uiPriority w:val="0"/>
    <w:rPr>
      <w:rFonts w:ascii="宋体" w:hAnsi="Courier New"/>
      <w:spacing w:val="-4"/>
      <w:sz w:val="18"/>
    </w:rPr>
  </w:style>
  <w:style w:type="character" w:customStyle="1" w:styleId="72">
    <w:name w:val="jbox-icon-error"/>
    <w:basedOn w:val="26"/>
    <w:qFormat/>
    <w:uiPriority w:val="0"/>
  </w:style>
  <w:style w:type="character" w:customStyle="1" w:styleId="73">
    <w:name w:val="正文文本 2 字符"/>
    <w:basedOn w:val="26"/>
    <w:link w:val="20"/>
    <w:qFormat/>
    <w:uiPriority w:val="0"/>
    <w:rPr>
      <w:rFonts w:ascii="宋体" w:hAnsi="宋体" w:eastAsia="宋体" w:cs="Times New Roman"/>
      <w:color w:val="000000"/>
      <w:sz w:val="24"/>
      <w:szCs w:val="24"/>
    </w:rPr>
  </w:style>
  <w:style w:type="paragraph" w:customStyle="1" w:styleId="74">
    <w:name w:val="默认段落字体 Para Char Char Char Char Char Char Char Char Char1 Char Char Char Char"/>
    <w:basedOn w:val="1"/>
    <w:qFormat/>
    <w:uiPriority w:val="0"/>
    <w:rPr>
      <w:rFonts w:ascii="Tahoma" w:hAnsi="Tahoma" w:eastAsia="宋体" w:cs="Times New Roman"/>
      <w:sz w:val="24"/>
      <w:szCs w:val="20"/>
    </w:rPr>
  </w:style>
  <w:style w:type="paragraph" w:customStyle="1" w:styleId="75">
    <w:name w:val="xl25"/>
    <w:basedOn w:val="1"/>
    <w:qFormat/>
    <w:uiPriority w:val="0"/>
    <w:pPr>
      <w:widowControl/>
      <w:spacing w:before="100" w:beforeAutospacing="1" w:after="100" w:afterAutospacing="1"/>
      <w:jc w:val="center"/>
      <w:textAlignment w:val="center"/>
    </w:pPr>
    <w:rPr>
      <w:rFonts w:hint="eastAsia" w:ascii="楷体_GB2312" w:hAnsi="宋体" w:eastAsia="楷体_GB2312" w:cs="Times New Roman"/>
      <w:kern w:val="0"/>
      <w:sz w:val="24"/>
      <w:szCs w:val="24"/>
    </w:rPr>
  </w:style>
  <w:style w:type="paragraph" w:customStyle="1" w:styleId="76">
    <w:name w:val="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77">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78">
    <w:name w:val="z-窗体顶端 字符1"/>
    <w:basedOn w:val="26"/>
    <w:semiHidden/>
    <w:qFormat/>
    <w:uiPriority w:val="99"/>
    <w:rPr>
      <w:rFonts w:ascii="Arial" w:hAnsi="Arial" w:cs="Arial"/>
      <w:vanish/>
      <w:sz w:val="16"/>
      <w:szCs w:val="16"/>
    </w:rPr>
  </w:style>
  <w:style w:type="paragraph" w:customStyle="1" w:styleId="79">
    <w:name w:val="正文段"/>
    <w:basedOn w:val="1"/>
    <w:qFormat/>
    <w:uiPriority w:val="0"/>
    <w:pPr>
      <w:widowControl/>
      <w:snapToGrid w:val="0"/>
      <w:spacing w:after="156" w:afterLines="50"/>
      <w:ind w:firstLine="200" w:firstLineChars="200"/>
    </w:pPr>
    <w:rPr>
      <w:rFonts w:ascii="Times New Roman" w:hAnsi="Times New Roman" w:eastAsia="宋体" w:cs="Times New Roman"/>
      <w:kern w:val="0"/>
      <w:sz w:val="24"/>
      <w:szCs w:val="20"/>
    </w:rPr>
  </w:style>
  <w:style w:type="paragraph" w:customStyle="1" w:styleId="80">
    <w:name w:val="Default"/>
    <w:next w:val="77"/>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character" w:customStyle="1" w:styleId="81">
    <w:name w:val="批注文字 字符1"/>
    <w:basedOn w:val="26"/>
    <w:link w:val="10"/>
    <w:semiHidden/>
    <w:qFormat/>
    <w:uiPriority w:val="99"/>
  </w:style>
  <w:style w:type="character" w:customStyle="1" w:styleId="82">
    <w:name w:val="批注主题 字符1"/>
    <w:basedOn w:val="81"/>
    <w:semiHidden/>
    <w:qFormat/>
    <w:uiPriority w:val="99"/>
    <w:rPr>
      <w:b/>
      <w:bCs/>
    </w:rPr>
  </w:style>
  <w:style w:type="character" w:customStyle="1" w:styleId="83">
    <w:name w:val="文档结构图 字符1"/>
    <w:basedOn w:val="26"/>
    <w:semiHidden/>
    <w:qFormat/>
    <w:uiPriority w:val="99"/>
    <w:rPr>
      <w:rFonts w:ascii="Microsoft YaHei UI" w:eastAsia="Microsoft YaHei UI"/>
      <w:sz w:val="18"/>
      <w:szCs w:val="18"/>
    </w:rPr>
  </w:style>
  <w:style w:type="character" w:customStyle="1" w:styleId="84">
    <w:name w:val="正文文本 字符"/>
    <w:basedOn w:val="26"/>
    <w:link w:val="11"/>
    <w:qFormat/>
    <w:uiPriority w:val="99"/>
    <w:rPr>
      <w:rFonts w:ascii="Times New Roman" w:hAnsi="Times New Roman" w:eastAsia="宋体" w:cs="Times New Roman"/>
      <w:sz w:val="28"/>
      <w:szCs w:val="24"/>
    </w:rPr>
  </w:style>
  <w:style w:type="character" w:customStyle="1" w:styleId="85">
    <w:name w:val="批注框文本 字符"/>
    <w:basedOn w:val="26"/>
    <w:link w:val="16"/>
    <w:qFormat/>
    <w:uiPriority w:val="0"/>
    <w:rPr>
      <w:rFonts w:ascii="Times New Roman" w:hAnsi="Times New Roman" w:eastAsia="宋体" w:cs="Times New Roman"/>
      <w:sz w:val="18"/>
      <w:szCs w:val="18"/>
    </w:rPr>
  </w:style>
  <w:style w:type="character" w:customStyle="1" w:styleId="86">
    <w:name w:val="正文文本缩进 字符3"/>
    <w:basedOn w:val="26"/>
    <w:semiHidden/>
    <w:qFormat/>
    <w:uiPriority w:val="99"/>
  </w:style>
  <w:style w:type="character" w:customStyle="1" w:styleId="87">
    <w:name w:val="日期 字符"/>
    <w:basedOn w:val="26"/>
    <w:link w:val="15"/>
    <w:qFormat/>
    <w:uiPriority w:val="0"/>
    <w:rPr>
      <w:rFonts w:ascii="Times New Roman" w:hAnsi="Times New Roman" w:eastAsia="楷体_GB2312" w:cs="Times New Roman"/>
      <w:sz w:val="32"/>
      <w:szCs w:val="20"/>
    </w:rPr>
  </w:style>
  <w:style w:type="character" w:customStyle="1" w:styleId="88">
    <w:name w:val="纯文本 字符3"/>
    <w:basedOn w:val="26"/>
    <w:semiHidden/>
    <w:qFormat/>
    <w:uiPriority w:val="99"/>
    <w:rPr>
      <w:rFonts w:hAnsi="Courier New" w:cs="Courier New" w:asciiTheme="minorEastAsia"/>
    </w:rPr>
  </w:style>
  <w:style w:type="character" w:customStyle="1" w:styleId="89">
    <w:name w:val="正文文本首行缩进 2 字符"/>
    <w:basedOn w:val="86"/>
    <w:link w:val="23"/>
    <w:qFormat/>
    <w:uiPriority w:val="99"/>
    <w:rPr>
      <w:rFonts w:ascii="宋体" w:hAnsi="Courier New"/>
      <w:spacing w:val="-4"/>
      <w:sz w:val="18"/>
    </w:rPr>
  </w:style>
  <w:style w:type="character" w:customStyle="1" w:styleId="90">
    <w:name w:val="z-窗体底端 字符1"/>
    <w:basedOn w:val="26"/>
    <w:semiHidden/>
    <w:qFormat/>
    <w:uiPriority w:val="99"/>
    <w:rPr>
      <w:rFonts w:ascii="Arial" w:hAnsi="Arial" w:cs="Arial"/>
      <w:vanish/>
      <w:sz w:val="16"/>
      <w:szCs w:val="16"/>
    </w:rPr>
  </w:style>
  <w:style w:type="paragraph" w:customStyle="1" w:styleId="91">
    <w:name w:val="此正文"/>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92">
    <w:name w:val="表内文字"/>
    <w:basedOn w:val="1"/>
    <w:qFormat/>
    <w:uiPriority w:val="0"/>
    <w:pPr>
      <w:tabs>
        <w:tab w:val="left" w:pos="1418"/>
      </w:tabs>
      <w:spacing w:line="360" w:lineRule="auto"/>
      <w:jc w:val="center"/>
    </w:pPr>
    <w:rPr>
      <w:rFonts w:hint="eastAsia" w:ascii="仿宋_GB2312" w:hAnsi="Times New Roman" w:eastAsia="仿宋_GB2312" w:cs="Times New Roman"/>
      <w:spacing w:val="-20"/>
      <w:kern w:val="0"/>
      <w:sz w:val="24"/>
      <w:szCs w:val="24"/>
    </w:rPr>
  </w:style>
  <w:style w:type="paragraph" w:customStyle="1" w:styleId="93">
    <w:name w:val="正文 A"/>
    <w:qFormat/>
    <w:uiPriority w:val="0"/>
    <w:pPr>
      <w:widowControl w:val="0"/>
      <w:jc w:val="both"/>
    </w:pPr>
    <w:rPr>
      <w:rFonts w:hint="eastAsia" w:ascii="Arial Unicode MS" w:hAnsi="Arial Unicode MS" w:eastAsia="Times New Roman" w:cs="Arial Unicode MS"/>
      <w:color w:val="000000"/>
      <w:kern w:val="2"/>
      <w:sz w:val="28"/>
      <w:szCs w:val="28"/>
      <w:u w:color="000000"/>
      <w:lang w:val="en-US" w:eastAsia="zh-CN" w:bidi="ar-SA"/>
    </w:rPr>
  </w:style>
  <w:style w:type="paragraph" w:customStyle="1" w:styleId="94">
    <w:name w:val="目录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95">
    <w:name w:val="正文1"/>
    <w:qFormat/>
    <w:uiPriority w:val="0"/>
    <w:pPr>
      <w:suppressAutoHyphens/>
      <w:spacing w:after="180" w:line="312" w:lineRule="auto"/>
    </w:pPr>
    <w:rPr>
      <w:rFonts w:ascii="Helvetica Neue Light" w:hAnsi="Helvetica Neue Light" w:eastAsia="ヒラギノ角ゴ Pro W3" w:cs="Times New Roman"/>
      <w:color w:val="000000"/>
      <w:sz w:val="18"/>
      <w:lang w:val="en-US" w:eastAsia="zh-CN" w:bidi="ar-SA"/>
    </w:rPr>
  </w:style>
  <w:style w:type="paragraph" w:customStyle="1" w:styleId="96">
    <w:name w:val="Char Char Char Char1"/>
    <w:basedOn w:val="1"/>
    <w:qFormat/>
    <w:uiPriority w:val="0"/>
    <w:rPr>
      <w:rFonts w:ascii="Tahoma" w:hAnsi="Tahoma" w:eastAsia="宋体" w:cs="Times New Roman"/>
      <w:sz w:val="24"/>
      <w:szCs w:val="20"/>
    </w:rPr>
  </w:style>
  <w:style w:type="paragraph" w:customStyle="1" w:styleId="97">
    <w:name w:val="彩色列表 - 强调文字颜色 11"/>
    <w:basedOn w:val="1"/>
    <w:qFormat/>
    <w:uiPriority w:val="34"/>
    <w:pPr>
      <w:ind w:firstLine="420" w:firstLineChars="200"/>
    </w:pPr>
    <w:rPr>
      <w:rFonts w:ascii="Calibri" w:hAnsi="Calibri" w:eastAsia="宋体" w:cs="Times New Roman"/>
    </w:rPr>
  </w:style>
  <w:style w:type="paragraph" w:customStyle="1" w:styleId="98">
    <w:name w:val="Proposals body"/>
    <w:basedOn w:val="1"/>
    <w:next w:val="1"/>
    <w:qFormat/>
    <w:uiPriority w:val="0"/>
    <w:pPr>
      <w:widowControl/>
      <w:spacing w:line="460" w:lineRule="exact"/>
      <w:jc w:val="left"/>
    </w:pPr>
    <w:rPr>
      <w:rFonts w:ascii="仿宋_GB2312" w:hAnsi="Times New Roman" w:eastAsia="仿宋_GB2312" w:cs="Times New Roman"/>
      <w:snapToGrid w:val="0"/>
      <w:kern w:val="0"/>
      <w:sz w:val="24"/>
      <w:szCs w:val="24"/>
    </w:rPr>
  </w:style>
  <w:style w:type="paragraph" w:customStyle="1" w:styleId="99">
    <w:name w:val="正文2"/>
    <w:basedOn w:val="1"/>
    <w:link w:val="108"/>
    <w:qFormat/>
    <w:uiPriority w:val="0"/>
    <w:pPr>
      <w:spacing w:before="156" w:line="360" w:lineRule="auto"/>
      <w:ind w:firstLine="510" w:firstLineChars="200"/>
    </w:pPr>
    <w:rPr>
      <w:rFonts w:ascii="Times New Roman" w:hAnsi="Times New Roman" w:eastAsia="宋体" w:cs="Times New Roman"/>
      <w:sz w:val="24"/>
      <w:szCs w:val="20"/>
    </w:rPr>
  </w:style>
  <w:style w:type="paragraph" w:customStyle="1" w:styleId="100">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sz w:val="21"/>
      <w:szCs w:val="22"/>
      <w:lang w:val="en-US" w:eastAsia="zh-CN" w:bidi="ar-SA"/>
    </w:rPr>
  </w:style>
  <w:style w:type="paragraph" w:customStyle="1" w:styleId="101">
    <w:name w:val="无间距"/>
    <w:qFormat/>
    <w:uiPriority w:val="0"/>
    <w:pPr>
      <w:widowControl w:val="0"/>
      <w:jc w:val="both"/>
    </w:pPr>
    <w:rPr>
      <w:rFonts w:ascii="Calibri" w:hAnsi="Calibri" w:eastAsia="宋体" w:cs="Times New Roman"/>
      <w:kern w:val="2"/>
      <w:sz w:val="21"/>
      <w:szCs w:val="22"/>
      <w:lang w:val="en-US" w:eastAsia="zh-CN" w:bidi="ar-SA"/>
    </w:rPr>
  </w:style>
  <w:style w:type="paragraph" w:styleId="102">
    <w:name w:val="List Paragraph"/>
    <w:basedOn w:val="1"/>
    <w:qFormat/>
    <w:uiPriority w:val="34"/>
    <w:pPr>
      <w:ind w:left="720"/>
      <w:contextualSpacing/>
    </w:pPr>
    <w:rPr>
      <w:rFonts w:ascii="Times New Roman" w:hAnsi="Times New Roman" w:eastAsia="宋体" w:cs="Times New Roman"/>
      <w:sz w:val="28"/>
      <w:szCs w:val="20"/>
    </w:rPr>
  </w:style>
  <w:style w:type="paragraph" w:customStyle="1" w:styleId="103">
    <w:name w:val="List Paragraph1"/>
    <w:basedOn w:val="1"/>
    <w:qFormat/>
    <w:uiPriority w:val="0"/>
    <w:pPr>
      <w:ind w:firstLine="420" w:firstLineChars="200"/>
    </w:pPr>
    <w:rPr>
      <w:rFonts w:ascii="Times New Roman" w:hAnsi="Times New Roman" w:eastAsia="宋体" w:cs="Times New Roman"/>
      <w:szCs w:val="24"/>
    </w:rPr>
  </w:style>
  <w:style w:type="paragraph" w:customStyle="1" w:styleId="104">
    <w:name w:val="标题 10"/>
    <w:basedOn w:val="4"/>
    <w:qFormat/>
    <w:uiPriority w:val="0"/>
    <w:pPr>
      <w:jc w:val="center"/>
    </w:pPr>
    <w:rPr>
      <w:kern w:val="0"/>
    </w:rPr>
  </w:style>
  <w:style w:type="character" w:customStyle="1" w:styleId="105">
    <w:name w:val="未处理的提及1"/>
    <w:semiHidden/>
    <w:unhideWhenUsed/>
    <w:qFormat/>
    <w:uiPriority w:val="99"/>
    <w:rPr>
      <w:color w:val="605E5C"/>
      <w:shd w:val="clear" w:color="auto" w:fill="E1DFDD"/>
    </w:rPr>
  </w:style>
  <w:style w:type="character" w:customStyle="1" w:styleId="106">
    <w:name w:val="未处理的提及2"/>
    <w:basedOn w:val="26"/>
    <w:semiHidden/>
    <w:unhideWhenUsed/>
    <w:qFormat/>
    <w:uiPriority w:val="99"/>
    <w:rPr>
      <w:color w:val="605E5C"/>
      <w:shd w:val="clear" w:color="auto" w:fill="E1DFDD"/>
    </w:rPr>
  </w:style>
  <w:style w:type="character" w:customStyle="1" w:styleId="107">
    <w:name w:val="未处理的提及3"/>
    <w:basedOn w:val="26"/>
    <w:semiHidden/>
    <w:unhideWhenUsed/>
    <w:qFormat/>
    <w:uiPriority w:val="99"/>
    <w:rPr>
      <w:color w:val="605E5C"/>
      <w:shd w:val="clear" w:color="auto" w:fill="E1DFDD"/>
    </w:rPr>
  </w:style>
  <w:style w:type="character" w:customStyle="1" w:styleId="108">
    <w:name w:val="正文2 Char Char"/>
    <w:link w:val="99"/>
    <w:qFormat/>
    <w:uiPriority w:val="0"/>
    <w:rPr>
      <w:kern w:val="2"/>
      <w:sz w:val="24"/>
    </w:rPr>
  </w:style>
  <w:style w:type="table" w:customStyle="1" w:styleId="109">
    <w:name w:val="网格型1"/>
    <w:basedOn w:val="24"/>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0">
    <w:name w:val="font11"/>
    <w:basedOn w:val="26"/>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3.xml"/><Relationship Id="rId53" Type="http://schemas.microsoft.com/office/2011/relationships/people" Target="people.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48771ED-AAF5-4F08-BBE3-7B9D42BBFEA7}">
  <ds:schemaRefs/>
</ds:datastoreItem>
</file>

<file path=docProps/app.xml><?xml version="1.0" encoding="utf-8"?>
<Properties xmlns="http://schemas.openxmlformats.org/officeDocument/2006/extended-properties" xmlns:vt="http://schemas.openxmlformats.org/officeDocument/2006/docPropsVTypes">
  <Template>Normal.dotm</Template>
  <Pages>67</Pages>
  <Words>37335</Words>
  <Characters>40401</Characters>
  <Lines>1</Lines>
  <Paragraphs>1</Paragraphs>
  <TotalTime>13</TotalTime>
  <ScaleCrop>false</ScaleCrop>
  <LinksUpToDate>false</LinksUpToDate>
  <CharactersWithSpaces>41015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2021-05-13T05:24:00Z</dcterms:created>
  <dc:creator>hj j</dc:creator>
  <cp:lastModifiedBy>俞炳</cp:lastModifiedBy>
  <cp:lastPrinted>2025-05-22T00:52:00Z</cp:lastPrinted>
  <dcterms:modified xsi:type="dcterms:W3CDTF">2025-06-26T03:29:37Z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576A4876527B448390C0E2B6F3AEBF97_13</vt:lpwstr>
  </property>
  <property fmtid="{D5CDD505-2E9C-101B-9397-08002B2CF9AE}" pid="4" name="KSOTemplateDocerSaveRecord">
    <vt:lpwstr>eyJoZGlkIjoiNDA1NjJhY2YzNGY0NzY5M2ZmM2Y0ZjcwMmY2ODQ2YTYiLCJ1c2VySWQiOiIxNjEzNTQ4OTc4In0=</vt:lpwstr>
  </property>
</Properties>
</file>