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AD07F">
      <w:pPr>
        <w:adjustRightInd w:val="0"/>
        <w:snapToGrid w:val="0"/>
        <w:jc w:val="center"/>
        <w:rPr>
          <w:rFonts w:hint="eastAsia" w:ascii="仿宋" w:hAnsi="仿宋" w:eastAsia="仿宋" w:cs="仿宋"/>
          <w:b/>
          <w:color w:val="auto"/>
          <w:spacing w:val="-6"/>
          <w:sz w:val="84"/>
          <w:szCs w:val="84"/>
          <w:highlight w:val="none"/>
        </w:rPr>
      </w:pPr>
    </w:p>
    <w:p w14:paraId="1932C280">
      <w:pPr>
        <w:adjustRightInd w:val="0"/>
        <w:snapToGrid w:val="0"/>
        <w:jc w:val="center"/>
        <w:rPr>
          <w:rFonts w:hint="eastAsia" w:ascii="仿宋" w:hAnsi="仿宋" w:eastAsia="仿宋" w:cs="仿宋"/>
          <w:b/>
          <w:color w:val="auto"/>
          <w:spacing w:val="-6"/>
          <w:sz w:val="84"/>
          <w:szCs w:val="84"/>
          <w:highlight w:val="none"/>
        </w:rPr>
      </w:pPr>
    </w:p>
    <w:p w14:paraId="6B7D711E">
      <w:pPr>
        <w:adjustRightInd w:val="0"/>
        <w:snapToGrid w:val="0"/>
        <w:spacing w:line="264" w:lineRule="auto"/>
        <w:jc w:val="center"/>
        <w:rPr>
          <w:rFonts w:hint="eastAsia"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浙江省市场监督管理局</w:t>
      </w:r>
    </w:p>
    <w:p w14:paraId="63B83A61">
      <w:pPr>
        <w:adjustRightInd w:val="0"/>
        <w:snapToGrid w:val="0"/>
        <w:spacing w:line="264" w:lineRule="auto"/>
        <w:jc w:val="center"/>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84"/>
          <w:szCs w:val="84"/>
          <w:highlight w:val="none"/>
          <w:lang w:eastAsia="zh-CN"/>
        </w:rPr>
        <w:t>全省计量比对辅助工作</w:t>
      </w:r>
    </w:p>
    <w:p w14:paraId="3495C4F3">
      <w:pPr>
        <w:adjustRightInd w:val="0"/>
        <w:snapToGrid w:val="0"/>
        <w:spacing w:line="336" w:lineRule="auto"/>
        <w:jc w:val="center"/>
        <w:rPr>
          <w:rFonts w:hint="eastAsia" w:ascii="仿宋" w:hAnsi="仿宋" w:eastAsia="仿宋" w:cs="仿宋"/>
          <w:b/>
          <w:color w:val="auto"/>
          <w:spacing w:val="-6"/>
          <w:sz w:val="72"/>
          <w:szCs w:val="72"/>
          <w:highlight w:val="none"/>
        </w:rPr>
      </w:pPr>
    </w:p>
    <w:p w14:paraId="3D293D4A">
      <w:pPr>
        <w:adjustRightInd w:val="0"/>
        <w:snapToGrid w:val="0"/>
        <w:spacing w:line="288"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7FB741F4">
      <w:pPr>
        <w:widowControl/>
        <w:adjustRightInd w:val="0"/>
        <w:snapToGrid w:val="0"/>
        <w:spacing w:line="288" w:lineRule="auto"/>
        <w:ind w:right="-2"/>
        <w:jc w:val="center"/>
        <w:rPr>
          <w:rFonts w:hint="eastAsia"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6CBF0D76">
      <w:pPr>
        <w:adjustRightInd w:val="0"/>
        <w:snapToGrid w:val="0"/>
        <w:spacing w:line="288" w:lineRule="auto"/>
        <w:jc w:val="center"/>
        <w:rPr>
          <w:rFonts w:hint="eastAsia" w:ascii="仿宋" w:hAnsi="仿宋" w:eastAsia="仿宋" w:cs="仿宋"/>
          <w:b/>
          <w:color w:val="auto"/>
          <w:spacing w:val="-6"/>
          <w:sz w:val="72"/>
          <w:szCs w:val="72"/>
          <w:highlight w:val="none"/>
        </w:rPr>
      </w:pPr>
    </w:p>
    <w:p w14:paraId="145AE2BB">
      <w:pPr>
        <w:adjustRightInd w:val="0"/>
        <w:snapToGrid w:val="0"/>
        <w:spacing w:line="288" w:lineRule="auto"/>
        <w:jc w:val="center"/>
        <w:rPr>
          <w:rFonts w:hint="eastAsia" w:ascii="仿宋" w:hAnsi="仿宋" w:eastAsia="仿宋" w:cs="仿宋"/>
          <w:b/>
          <w:color w:val="auto"/>
          <w:spacing w:val="-6"/>
          <w:sz w:val="72"/>
          <w:szCs w:val="72"/>
          <w:highlight w:val="none"/>
        </w:rPr>
      </w:pPr>
    </w:p>
    <w:p w14:paraId="7DE71616">
      <w:pPr>
        <w:keepNext w:val="0"/>
        <w:keepLines w:val="0"/>
        <w:pageBreakBefore w:val="0"/>
        <w:widowControl w:val="0"/>
        <w:kinsoku/>
        <w:wordWrap/>
        <w:overflowPunct/>
        <w:topLinePunct w:val="0"/>
        <w:autoSpaceDE/>
        <w:autoSpaceDN/>
        <w:bidi w:val="0"/>
        <w:adjustRightInd w:val="0"/>
        <w:snapToGrid w:val="0"/>
        <w:spacing w:line="360" w:lineRule="auto"/>
        <w:ind w:firstLine="1615" w:firstLineChars="600"/>
        <w:textAlignment w:val="auto"/>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项目名称：</w:t>
      </w:r>
      <w:r>
        <w:rPr>
          <w:rFonts w:hint="eastAsia" w:ascii="仿宋" w:hAnsi="仿宋" w:eastAsia="仿宋" w:cs="仿宋"/>
          <w:b/>
          <w:color w:val="auto"/>
          <w:spacing w:val="-6"/>
          <w:sz w:val="28"/>
          <w:szCs w:val="28"/>
          <w:highlight w:val="none"/>
          <w:lang w:eastAsia="zh-CN"/>
        </w:rPr>
        <w:t>全省计量比对辅助工作</w:t>
      </w:r>
    </w:p>
    <w:p w14:paraId="203C1C6C">
      <w:pPr>
        <w:keepNext w:val="0"/>
        <w:keepLines w:val="0"/>
        <w:pageBreakBefore w:val="0"/>
        <w:widowControl w:val="0"/>
        <w:kinsoku/>
        <w:wordWrap/>
        <w:overflowPunct/>
        <w:topLinePunct w:val="0"/>
        <w:autoSpaceDE/>
        <w:autoSpaceDN/>
        <w:bidi w:val="0"/>
        <w:adjustRightInd w:val="0"/>
        <w:snapToGrid w:val="0"/>
        <w:spacing w:line="360" w:lineRule="auto"/>
        <w:ind w:firstLine="1615" w:firstLineChars="600"/>
        <w:textAlignment w:val="auto"/>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项目编号：</w:t>
      </w:r>
      <w:r>
        <w:rPr>
          <w:rFonts w:hint="eastAsia" w:ascii="仿宋" w:hAnsi="仿宋" w:eastAsia="仿宋" w:cs="仿宋"/>
          <w:b/>
          <w:color w:val="auto"/>
          <w:spacing w:val="-6"/>
          <w:sz w:val="28"/>
          <w:szCs w:val="28"/>
          <w:highlight w:val="none"/>
          <w:lang w:eastAsia="zh-CN"/>
        </w:rPr>
        <w:t>QSZB-Z(F)-H25086(GK)</w:t>
      </w:r>
    </w:p>
    <w:p w14:paraId="1275681B">
      <w:pPr>
        <w:keepNext w:val="0"/>
        <w:keepLines w:val="0"/>
        <w:pageBreakBefore w:val="0"/>
        <w:widowControl w:val="0"/>
        <w:kinsoku/>
        <w:wordWrap/>
        <w:overflowPunct/>
        <w:topLinePunct w:val="0"/>
        <w:autoSpaceDE/>
        <w:autoSpaceDN/>
        <w:bidi w:val="0"/>
        <w:adjustRightInd w:val="0"/>
        <w:snapToGrid w:val="0"/>
        <w:spacing w:line="360" w:lineRule="auto"/>
        <w:ind w:firstLine="1615" w:firstLineChars="600"/>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采 购 人：浙江省市场监督管理局</w:t>
      </w:r>
    </w:p>
    <w:p w14:paraId="31F906E9">
      <w:pPr>
        <w:keepNext w:val="0"/>
        <w:keepLines w:val="0"/>
        <w:pageBreakBefore w:val="0"/>
        <w:widowControl w:val="0"/>
        <w:kinsoku/>
        <w:wordWrap/>
        <w:overflowPunct/>
        <w:topLinePunct w:val="0"/>
        <w:autoSpaceDE/>
        <w:autoSpaceDN/>
        <w:bidi w:val="0"/>
        <w:adjustRightInd w:val="0"/>
        <w:snapToGrid w:val="0"/>
        <w:spacing w:line="360" w:lineRule="auto"/>
        <w:ind w:firstLine="1615" w:firstLineChars="600"/>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采购代理机构：浙江求是招标代理有限公司</w:t>
      </w:r>
    </w:p>
    <w:p w14:paraId="79B9AA22">
      <w:pPr>
        <w:keepNext w:val="0"/>
        <w:keepLines w:val="0"/>
        <w:pageBreakBefore w:val="0"/>
        <w:widowControl w:val="0"/>
        <w:kinsoku/>
        <w:wordWrap/>
        <w:overflowPunct/>
        <w:topLinePunct w:val="0"/>
        <w:autoSpaceDE/>
        <w:autoSpaceDN/>
        <w:bidi w:val="0"/>
        <w:adjustRightInd w:val="0"/>
        <w:snapToGrid w:val="0"/>
        <w:ind w:firstLine="1615" w:firstLineChars="600"/>
        <w:textAlignment w:val="auto"/>
        <w:rPr>
          <w:rFonts w:hint="eastAsia" w:ascii="仿宋" w:hAnsi="仿宋" w:eastAsia="仿宋" w:cs="仿宋"/>
          <w:b/>
          <w:color w:val="auto"/>
          <w:sz w:val="32"/>
          <w:szCs w:val="32"/>
          <w:highlight w:val="none"/>
          <w:lang w:eastAsia="zh-CN"/>
        </w:rPr>
        <w:sectPr>
          <w:headerReference r:id="rId3" w:type="default"/>
          <w:footerReference r:id="rId4" w:type="default"/>
          <w:pgSz w:w="11906" w:h="16838"/>
          <w:pgMar w:top="1440" w:right="1247" w:bottom="1440" w:left="1247" w:header="340" w:footer="850" w:gutter="0"/>
          <w:pgNumType w:start="1"/>
          <w:cols w:space="0" w:num="1"/>
          <w:docGrid w:linePitch="381" w:charSpace="0"/>
        </w:sectPr>
      </w:pPr>
      <w:r>
        <w:rPr>
          <w:rFonts w:hint="eastAsia" w:ascii="仿宋" w:hAnsi="仿宋" w:eastAsia="仿宋" w:cs="仿宋"/>
          <w:b/>
          <w:color w:val="auto"/>
          <w:spacing w:val="-6"/>
          <w:sz w:val="28"/>
          <w:szCs w:val="28"/>
          <w:highlight w:val="none"/>
        </w:rPr>
        <w:t>采购计划文号：</w:t>
      </w:r>
      <w:r>
        <w:rPr>
          <w:rFonts w:hint="eastAsia" w:ascii="仿宋" w:hAnsi="仿宋" w:eastAsia="仿宋" w:cs="仿宋"/>
          <w:b/>
          <w:color w:val="auto"/>
          <w:spacing w:val="-6"/>
          <w:sz w:val="28"/>
          <w:szCs w:val="28"/>
          <w:highlight w:val="none"/>
          <w:lang w:eastAsia="zh-CN"/>
        </w:rPr>
        <w:t>[2025]26031、26032、26033号</w:t>
      </w:r>
    </w:p>
    <w:p w14:paraId="181471CD">
      <w:pPr>
        <w:adjustRightInd w:val="0"/>
        <w:snapToGrid w:val="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57EF7E14">
      <w:pPr>
        <w:adjustRightInd w:val="0"/>
        <w:snapToGrid w:val="0"/>
        <w:jc w:val="center"/>
        <w:rPr>
          <w:rFonts w:hint="eastAsia" w:ascii="仿宋" w:hAnsi="仿宋" w:eastAsia="仿宋" w:cs="仿宋"/>
          <w:b/>
          <w:color w:val="auto"/>
          <w:spacing w:val="-6"/>
          <w:sz w:val="30"/>
          <w:szCs w:val="30"/>
          <w:highlight w:val="none"/>
        </w:rPr>
      </w:pPr>
    </w:p>
    <w:p w14:paraId="76AC3B2B">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352BB1DE">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02FA3591">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0AF5E3BF">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第四章  评标方法和评标标准</w:t>
      </w:r>
    </w:p>
    <w:p w14:paraId="4F9368E4">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767A4CAE">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4E4D2C84">
      <w:pPr>
        <w:adjustRightInd w:val="0"/>
        <w:snapToGrid w:val="0"/>
        <w:spacing w:line="360" w:lineRule="auto"/>
        <w:jc w:val="center"/>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58D42B5B">
      <w:pPr>
        <w:adjustRightInd w:val="0"/>
        <w:snapToGrid w:val="0"/>
        <w:spacing w:line="288" w:lineRule="auto"/>
        <w:jc w:val="center"/>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5A21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11C12D96">
            <w:pPr>
              <w:adjustRightInd w:val="0"/>
              <w:snapToGrid w:val="0"/>
              <w:ind w:firstLine="422" w:firstLineChars="200"/>
              <w:rPr>
                <w:rFonts w:hint="eastAsia" w:ascii="仿宋" w:hAnsi="仿宋" w:eastAsia="仿宋" w:cs="仿宋"/>
                <w:b/>
                <w:color w:val="auto"/>
                <w:szCs w:val="21"/>
                <w:highlight w:val="none"/>
              </w:rPr>
            </w:pPr>
            <w:bookmarkStart w:id="0" w:name="_Toc35393790"/>
            <w:bookmarkStart w:id="1" w:name="_Toc35393621"/>
            <w:bookmarkStart w:id="2" w:name="_Toc28359002"/>
            <w:bookmarkStart w:id="3" w:name="_Toc28359079"/>
            <w:bookmarkStart w:id="4" w:name="_Hlk24379207"/>
            <w:r>
              <w:rPr>
                <w:rFonts w:hint="eastAsia" w:ascii="仿宋" w:hAnsi="仿宋" w:eastAsia="仿宋" w:cs="仿宋"/>
                <w:b/>
                <w:color w:val="auto"/>
                <w:szCs w:val="21"/>
                <w:highlight w:val="none"/>
              </w:rPr>
              <w:t>项目概况</w:t>
            </w:r>
          </w:p>
          <w:p w14:paraId="2B1B1EEB">
            <w:pPr>
              <w:adjustRightInd w:val="0"/>
              <w:snapToGrid w:val="0"/>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全省计量比对辅助工作</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2025年06月13日下午14:00:00</w:t>
            </w:r>
            <w:r>
              <w:rPr>
                <w:rFonts w:hint="eastAsia" w:ascii="仿宋" w:hAnsi="仿宋" w:eastAsia="仿宋" w:cs="仿宋"/>
                <w:b/>
                <w:color w:val="auto"/>
                <w:szCs w:val="21"/>
                <w:highlight w:val="none"/>
              </w:rPr>
              <w:t>（北京时间）前递交（上传）投标文件。</w:t>
            </w:r>
          </w:p>
        </w:tc>
      </w:tr>
    </w:tbl>
    <w:p w14:paraId="6F137987">
      <w:pPr>
        <w:adjustRightInd w:val="0"/>
        <w:snapToGrid w:val="0"/>
        <w:spacing w:line="288" w:lineRule="auto"/>
        <w:rPr>
          <w:rFonts w:hint="eastAsia" w:ascii="仿宋" w:hAnsi="仿宋" w:eastAsia="仿宋" w:cs="仿宋"/>
          <w:b/>
          <w:color w:val="auto"/>
          <w:szCs w:val="21"/>
          <w:highlight w:val="none"/>
        </w:rPr>
      </w:pPr>
    </w:p>
    <w:p w14:paraId="43A76F14">
      <w:pPr>
        <w:adjustRightInd w:val="0"/>
        <w:snapToGrid w:val="0"/>
        <w:spacing w:line="288"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38A0AD73">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QSZB-Z(F)-H25086(GK)</w:t>
      </w:r>
    </w:p>
    <w:p w14:paraId="56F9D588">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全省计量比对辅助工作</w:t>
      </w:r>
    </w:p>
    <w:bookmarkEnd w:id="4"/>
    <w:p w14:paraId="18F31FE1">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ascii="仿宋" w:hAnsi="仿宋" w:eastAsia="仿宋" w:cs="仿宋"/>
          <w:color w:val="auto"/>
          <w:szCs w:val="21"/>
          <w:highlight w:val="none"/>
        </w:rPr>
        <w:t>预算金额（元）：</w:t>
      </w:r>
      <w:r>
        <w:rPr>
          <w:rFonts w:hint="eastAsia" w:ascii="仿宋" w:hAnsi="仿宋" w:eastAsia="仿宋" w:cs="仿宋"/>
          <w:color w:val="auto"/>
          <w:szCs w:val="21"/>
          <w:highlight w:val="none"/>
          <w:lang w:eastAsia="zh-CN"/>
        </w:rPr>
        <w:t>300000</w:t>
      </w:r>
    </w:p>
    <w:p w14:paraId="19AF0CD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最高限价（元）：/</w:t>
      </w:r>
    </w:p>
    <w:p w14:paraId="307743F3">
      <w:pPr>
        <w:adjustRightInd w:val="0"/>
        <w:snapToGrid w:val="0"/>
        <w:spacing w:line="288" w:lineRule="auto"/>
        <w:ind w:firstLine="420" w:firstLineChars="200"/>
        <w:rPr>
          <w:rFonts w:hint="eastAsia" w:ascii="仿宋" w:hAnsi="仿宋" w:eastAsia="仿宋" w:cs="仿宋"/>
          <w:color w:val="auto"/>
          <w:szCs w:val="21"/>
          <w:highlight w:val="none"/>
        </w:rPr>
      </w:pPr>
      <w:bookmarkStart w:id="5" w:name="_Toc28359003"/>
      <w:bookmarkStart w:id="6" w:name="_Toc35393791"/>
      <w:bookmarkStart w:id="7" w:name="_Toc28359080"/>
      <w:bookmarkStart w:id="8" w:name="_Toc35393622"/>
      <w:r>
        <w:rPr>
          <w:rFonts w:hint="eastAsia" w:ascii="仿宋" w:hAnsi="仿宋" w:eastAsia="仿宋" w:cs="仿宋"/>
          <w:color w:val="auto"/>
          <w:szCs w:val="21"/>
          <w:highlight w:val="none"/>
        </w:rPr>
        <w:t>采购需求：</w:t>
      </w:r>
    </w:p>
    <w:p w14:paraId="6343C4A8">
      <w:pPr>
        <w:adjustRightInd w:val="0"/>
        <w:snapToGrid w:val="0"/>
        <w:spacing w:line="288" w:lineRule="auto"/>
        <w:ind w:firstLine="420" w:firstLineChars="200"/>
        <w:rPr>
          <w:rFonts w:hint="eastAsia" w:ascii="仿宋" w:hAnsi="仿宋" w:eastAsia="仿宋" w:cs="仿宋"/>
          <w:color w:val="auto"/>
          <w:szCs w:val="21"/>
          <w:highlight w:val="none"/>
        </w:rPr>
      </w:pPr>
    </w:p>
    <w:p w14:paraId="1516C4B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szCs w:val="21"/>
          <w:highlight w:val="none"/>
        </w:rPr>
        <w:t>标项一</w:t>
      </w:r>
    </w:p>
    <w:p w14:paraId="1F21A3EC">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标项名称：</w:t>
      </w:r>
      <w:r>
        <w:rPr>
          <w:rFonts w:hint="eastAsia" w:ascii="仿宋" w:hAnsi="仿宋" w:eastAsia="仿宋" w:cs="仿宋"/>
          <w:color w:val="auto"/>
          <w:szCs w:val="21"/>
          <w:highlight w:val="none"/>
          <w:lang w:eastAsia="zh-CN"/>
        </w:rPr>
        <w:t>全省计量比对辅助工作</w:t>
      </w:r>
      <w:r>
        <w:rPr>
          <w:rFonts w:hint="eastAsia" w:ascii="仿宋" w:hAnsi="仿宋" w:eastAsia="仿宋" w:cs="仿宋"/>
          <w:color w:val="auto"/>
          <w:szCs w:val="21"/>
          <w:highlight w:val="none"/>
          <w:lang w:val="en-US" w:eastAsia="zh-CN"/>
        </w:rPr>
        <w:t>-单相交流电能表检定装置</w:t>
      </w:r>
    </w:p>
    <w:p w14:paraId="09B6336C">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数量：1</w:t>
      </w:r>
    </w:p>
    <w:p w14:paraId="15790F20">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00000</w:t>
      </w:r>
    </w:p>
    <w:p w14:paraId="169DF9F9">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简要规格描述或项目基本概况介绍、用途：实施全省市、县（市、区）两级依法设置计量检定机构单相交流电能表检定装置的计量比对，汇总分析比对结果，出具比对总结报告。存在比对结果不满意实验室的，组织二次比对。</w:t>
      </w:r>
    </w:p>
    <w:p w14:paraId="7C028C23">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4B8B1135">
      <w:pPr>
        <w:adjustRightInd w:val="0"/>
        <w:snapToGrid w:val="0"/>
        <w:spacing w:line="288" w:lineRule="auto"/>
        <w:rPr>
          <w:rFonts w:hint="eastAsia" w:ascii="仿宋" w:hAnsi="仿宋" w:eastAsia="仿宋" w:cs="仿宋"/>
          <w:color w:val="auto"/>
          <w:szCs w:val="21"/>
          <w:highlight w:val="none"/>
        </w:rPr>
      </w:pPr>
    </w:p>
    <w:p w14:paraId="3D971FA9">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rPr>
        <w:t>标项</w:t>
      </w:r>
      <w:r>
        <w:rPr>
          <w:rFonts w:hint="eastAsia" w:ascii="仿宋" w:hAnsi="仿宋" w:eastAsia="仿宋" w:cs="仿宋"/>
          <w:szCs w:val="21"/>
          <w:highlight w:val="none"/>
          <w:lang w:val="en-US" w:eastAsia="zh-CN"/>
        </w:rPr>
        <w:t>二</w:t>
      </w:r>
    </w:p>
    <w:p w14:paraId="26603C41">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标项名称：</w:t>
      </w:r>
      <w:r>
        <w:rPr>
          <w:rFonts w:hint="eastAsia" w:ascii="仿宋" w:hAnsi="仿宋" w:eastAsia="仿宋" w:cs="仿宋"/>
          <w:color w:val="auto"/>
          <w:szCs w:val="21"/>
          <w:highlight w:val="none"/>
          <w:lang w:eastAsia="zh-CN"/>
        </w:rPr>
        <w:t>全省计量比对辅助工作</w:t>
      </w:r>
      <w:r>
        <w:rPr>
          <w:rFonts w:hint="eastAsia" w:ascii="仿宋" w:hAnsi="仿宋" w:eastAsia="仿宋" w:cs="仿宋"/>
          <w:color w:val="auto"/>
          <w:szCs w:val="21"/>
          <w:highlight w:val="none"/>
          <w:lang w:val="en-US" w:eastAsia="zh-CN"/>
        </w:rPr>
        <w:t>-无创电子自动血压计检定装置</w:t>
      </w:r>
    </w:p>
    <w:p w14:paraId="655C24F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数量：1</w:t>
      </w:r>
    </w:p>
    <w:p w14:paraId="3A3739C5">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00000</w:t>
      </w:r>
    </w:p>
    <w:p w14:paraId="6C9CE777">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简要规格描述或项目基本概况介绍、用途：实施全省市、县（市、区）两级依法设置计量检定机构、专项计量授权机构无创电子自动血压计检定装置的计量比对，汇总分析比对结果，出具比对总结报告。存在比对结果不满意实验室的，组织二次比对。</w:t>
      </w:r>
    </w:p>
    <w:p w14:paraId="39B0F69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791F3184">
      <w:pPr>
        <w:adjustRightInd w:val="0"/>
        <w:snapToGrid w:val="0"/>
        <w:spacing w:line="288" w:lineRule="auto"/>
        <w:ind w:firstLine="420" w:firstLineChars="200"/>
        <w:rPr>
          <w:rFonts w:hint="eastAsia" w:ascii="仿宋" w:hAnsi="仿宋" w:eastAsia="仿宋" w:cs="仿宋"/>
          <w:color w:val="auto"/>
          <w:szCs w:val="21"/>
          <w:highlight w:val="none"/>
        </w:rPr>
      </w:pPr>
    </w:p>
    <w:p w14:paraId="061599CD">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rPr>
        <w:t>标项</w:t>
      </w:r>
      <w:r>
        <w:rPr>
          <w:rFonts w:hint="eastAsia" w:ascii="仿宋" w:hAnsi="仿宋" w:eastAsia="仿宋" w:cs="仿宋"/>
          <w:szCs w:val="21"/>
          <w:highlight w:val="none"/>
          <w:lang w:val="en-US" w:eastAsia="zh-CN"/>
        </w:rPr>
        <w:t>三</w:t>
      </w:r>
    </w:p>
    <w:p w14:paraId="29A7A559">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标项名称：</w:t>
      </w:r>
      <w:r>
        <w:rPr>
          <w:rFonts w:hint="eastAsia" w:ascii="仿宋" w:hAnsi="仿宋" w:eastAsia="仿宋" w:cs="仿宋"/>
          <w:color w:val="auto"/>
          <w:szCs w:val="21"/>
          <w:highlight w:val="none"/>
          <w:lang w:eastAsia="zh-CN"/>
        </w:rPr>
        <w:t>全省计量比对辅助工作</w:t>
      </w:r>
      <w:r>
        <w:rPr>
          <w:rFonts w:hint="eastAsia" w:ascii="仿宋" w:hAnsi="仿宋" w:eastAsia="仿宋" w:cs="仿宋"/>
          <w:color w:val="auto"/>
          <w:szCs w:val="21"/>
          <w:highlight w:val="none"/>
          <w:lang w:val="en-US" w:eastAsia="zh-CN"/>
        </w:rPr>
        <w:t>-三等量块标准装置</w:t>
      </w:r>
    </w:p>
    <w:p w14:paraId="7C817A8A">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数量：1</w:t>
      </w:r>
    </w:p>
    <w:p w14:paraId="4C10C5EC">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00000</w:t>
      </w:r>
    </w:p>
    <w:p w14:paraId="6E2408E2">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简要规格描述或项目基本概况介绍、用途：实施全省市、县（市、区）两级依法设置计量检定机构、专项计量授权机构、企事业单位</w:t>
      </w:r>
      <w:r>
        <w:rPr>
          <w:rFonts w:hint="eastAsia" w:ascii="仿宋" w:hAnsi="仿宋" w:eastAsia="仿宋" w:cs="仿宋"/>
          <w:color w:val="auto"/>
          <w:szCs w:val="21"/>
          <w:highlight w:val="none"/>
          <w:lang w:eastAsia="zh-CN"/>
        </w:rPr>
        <w:t>三等量块标准装置</w:t>
      </w:r>
      <w:r>
        <w:rPr>
          <w:rFonts w:hint="eastAsia" w:ascii="仿宋" w:hAnsi="仿宋" w:eastAsia="仿宋" w:cs="仿宋"/>
          <w:color w:val="auto"/>
          <w:szCs w:val="21"/>
          <w:highlight w:val="none"/>
        </w:rPr>
        <w:t>的计量比对，汇总分析比对结果，出具比对总结报告。存在比对结果不满意实验室的，组织二次比对。</w:t>
      </w:r>
    </w:p>
    <w:p w14:paraId="5B6AC5E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1B200217">
      <w:pPr>
        <w:adjustRightInd w:val="0"/>
        <w:snapToGrid w:val="0"/>
        <w:spacing w:line="288" w:lineRule="auto"/>
        <w:ind w:firstLine="420" w:firstLineChars="200"/>
        <w:rPr>
          <w:rFonts w:hint="eastAsia" w:ascii="仿宋" w:hAnsi="仿宋" w:eastAsia="仿宋" w:cs="仿宋"/>
          <w:color w:val="auto"/>
          <w:szCs w:val="21"/>
          <w:highlight w:val="none"/>
        </w:rPr>
      </w:pPr>
    </w:p>
    <w:p w14:paraId="4145F1BD">
      <w:pPr>
        <w:adjustRightInd w:val="0"/>
        <w:snapToGrid w:val="0"/>
        <w:spacing w:line="288" w:lineRule="auto"/>
        <w:ind w:firstLine="420" w:firstLineChars="200"/>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合同履约期限：202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年10月</w:t>
      </w:r>
      <w:r>
        <w:rPr>
          <w:rFonts w:hint="eastAsia" w:ascii="仿宋" w:hAnsi="仿宋" w:eastAsia="仿宋" w:cs="仿宋"/>
          <w:color w:val="auto"/>
          <w:szCs w:val="21"/>
          <w:highlight w:val="none"/>
          <w:lang w:val="en-US" w:eastAsia="zh-CN"/>
        </w:rPr>
        <w:t>前提交比对总结报告</w:t>
      </w:r>
    </w:p>
    <w:p w14:paraId="370AC8BA">
      <w:pPr>
        <w:adjustRightInd w:val="0"/>
        <w:snapToGrid w:val="0"/>
        <w:spacing w:line="288" w:lineRule="auto"/>
        <w:ind w:firstLine="420" w:firstLineChars="200"/>
        <w:rPr>
          <w:rFonts w:hint="eastAsia" w:ascii="仿宋" w:hAnsi="仿宋" w:eastAsia="仿宋" w:cs="仿宋"/>
          <w:b/>
          <w:color w:val="auto"/>
          <w:szCs w:val="21"/>
          <w:highlight w:val="none"/>
          <w:lang w:eastAsia="zh-CN"/>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358CCAF6">
      <w:pPr>
        <w:adjustRightInd w:val="0"/>
        <w:snapToGrid w:val="0"/>
        <w:spacing w:line="288"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5FCDC078">
      <w:pPr>
        <w:adjustRightInd w:val="0"/>
        <w:snapToGrid w:val="0"/>
        <w:spacing w:line="288" w:lineRule="auto"/>
        <w:ind w:firstLine="420" w:firstLineChars="200"/>
        <w:rPr>
          <w:rFonts w:hint="eastAsia"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5474BE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2.落实政府采购政策需满足的资格要求：无</w:t>
      </w:r>
    </w:p>
    <w:p w14:paraId="1E2E7BCB">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68404680">
      <w:pPr>
        <w:adjustRightInd w:val="0"/>
        <w:snapToGrid w:val="0"/>
        <w:spacing w:line="288" w:lineRule="auto"/>
        <w:rPr>
          <w:rFonts w:hint="eastAsia"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735F0814">
      <w:pPr>
        <w:adjustRightInd w:val="0"/>
        <w:snapToGrid w:val="0"/>
        <w:spacing w:line="288" w:lineRule="auto"/>
        <w:ind w:firstLine="420" w:firstLineChars="200"/>
        <w:rPr>
          <w:rFonts w:hint="eastAsia" w:ascii="仿宋" w:hAnsi="仿宋" w:eastAsia="仿宋" w:cs="仿宋"/>
          <w:color w:val="auto"/>
          <w:szCs w:val="21"/>
          <w:highlight w:val="none"/>
        </w:rPr>
      </w:pPr>
      <w:bookmarkStart w:id="13" w:name="_Toc28359082"/>
      <w:bookmarkStart w:id="14" w:name="_Toc35393624"/>
      <w:bookmarkStart w:id="15" w:name="_Toc28359005"/>
      <w:bookmarkStart w:id="16" w:name="_Toc35393793"/>
      <w:r>
        <w:rPr>
          <w:rFonts w:hint="eastAsia" w:ascii="仿宋" w:hAnsi="仿宋" w:eastAsia="仿宋" w:cs="仿宋"/>
          <w:color w:val="auto"/>
          <w:szCs w:val="21"/>
          <w:highlight w:val="none"/>
        </w:rPr>
        <w:t>时间：2025年</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23</w:t>
      </w:r>
      <w:r>
        <w:rPr>
          <w:rFonts w:hint="eastAsia" w:ascii="仿宋" w:hAnsi="仿宋" w:eastAsia="仿宋" w:cs="仿宋"/>
          <w:color w:val="auto"/>
          <w:szCs w:val="21"/>
          <w:highlight w:val="none"/>
        </w:rPr>
        <w:t>日至</w:t>
      </w:r>
      <w:r>
        <w:rPr>
          <w:rFonts w:hint="eastAsia" w:ascii="仿宋" w:hAnsi="仿宋" w:eastAsia="仿宋" w:cs="仿宋"/>
          <w:color w:val="auto"/>
          <w:szCs w:val="21"/>
          <w:highlight w:val="none"/>
          <w:lang w:eastAsia="zh-CN"/>
        </w:rPr>
        <w:t>2025年06月13日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5BC1D29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1D8A2CE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68097F8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008DEAE9">
      <w:pPr>
        <w:adjustRightInd w:val="0"/>
        <w:snapToGrid w:val="0"/>
        <w:spacing w:line="288"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1B3C431E">
      <w:pPr>
        <w:adjustRightInd w:val="0"/>
        <w:snapToGrid w:val="0"/>
        <w:spacing w:line="288" w:lineRule="auto"/>
        <w:ind w:firstLine="420" w:firstLineChars="200"/>
        <w:rPr>
          <w:rFonts w:hint="eastAsia"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2025年06月13日下午14:00:00</w:t>
      </w:r>
      <w:r>
        <w:rPr>
          <w:rFonts w:hint="eastAsia" w:ascii="仿宋" w:hAnsi="仿宋" w:eastAsia="仿宋" w:cs="仿宋"/>
          <w:bCs/>
          <w:color w:val="auto"/>
          <w:szCs w:val="21"/>
          <w:highlight w:val="none"/>
        </w:rPr>
        <w:t>（北京时间）</w:t>
      </w:r>
    </w:p>
    <w:p w14:paraId="6A5CDA11">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39E01810">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2025年06月13日下午14:00:00</w:t>
      </w:r>
      <w:r>
        <w:rPr>
          <w:rFonts w:hint="eastAsia" w:ascii="仿宋" w:hAnsi="仿宋" w:eastAsia="仿宋" w:cs="仿宋"/>
          <w:bCs/>
          <w:color w:val="auto"/>
          <w:szCs w:val="21"/>
          <w:highlight w:val="none"/>
        </w:rPr>
        <w:t>（北京时间）</w:t>
      </w:r>
    </w:p>
    <w:p w14:paraId="4BE670E2">
      <w:pPr>
        <w:adjustRightInd w:val="0"/>
        <w:snapToGrid w:val="0"/>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rPr>
        <w:t>政府采购云平台（https://www.zcygov.cn）/杭州市西湖区玉古路173号中田大厦21楼求是招标会议室3</w:t>
      </w:r>
    </w:p>
    <w:bookmarkEnd w:id="17"/>
    <w:p w14:paraId="5CDAD0FC">
      <w:pPr>
        <w:adjustRightInd w:val="0"/>
        <w:snapToGrid w:val="0"/>
        <w:spacing w:line="288" w:lineRule="auto"/>
        <w:rPr>
          <w:rFonts w:hint="eastAsia" w:ascii="仿宋" w:hAnsi="仿宋" w:eastAsia="仿宋" w:cs="仿宋"/>
          <w:b/>
          <w:color w:val="auto"/>
          <w:szCs w:val="21"/>
          <w:highlight w:val="none"/>
        </w:rPr>
      </w:pPr>
      <w:bookmarkStart w:id="18" w:name="_Toc28359007"/>
      <w:bookmarkStart w:id="19" w:name="_Toc35393794"/>
      <w:bookmarkStart w:id="20" w:name="_Toc35393625"/>
      <w:bookmarkStart w:id="21" w:name="_Toc28359084"/>
      <w:r>
        <w:rPr>
          <w:rFonts w:hint="eastAsia" w:ascii="仿宋" w:hAnsi="仿宋" w:eastAsia="仿宋" w:cs="仿宋"/>
          <w:b/>
          <w:color w:val="auto"/>
          <w:szCs w:val="21"/>
          <w:highlight w:val="none"/>
        </w:rPr>
        <w:t>五、公告期限</w:t>
      </w:r>
      <w:bookmarkEnd w:id="18"/>
      <w:bookmarkEnd w:id="19"/>
      <w:bookmarkEnd w:id="20"/>
      <w:bookmarkEnd w:id="21"/>
    </w:p>
    <w:p w14:paraId="3FB2CB23">
      <w:pPr>
        <w:adjustRightInd w:val="0"/>
        <w:snapToGrid w:val="0"/>
        <w:spacing w:line="288"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25618974">
      <w:pPr>
        <w:adjustRightInd w:val="0"/>
        <w:snapToGrid w:val="0"/>
        <w:spacing w:line="288" w:lineRule="auto"/>
        <w:rPr>
          <w:rFonts w:hint="eastAsia" w:ascii="仿宋" w:hAnsi="仿宋" w:eastAsia="仿宋" w:cs="仿宋"/>
          <w:b/>
          <w:color w:val="auto"/>
          <w:szCs w:val="21"/>
          <w:highlight w:val="none"/>
        </w:rPr>
      </w:pPr>
      <w:bookmarkStart w:id="22" w:name="_Toc35393795"/>
      <w:bookmarkStart w:id="23" w:name="_Toc35393626"/>
      <w:r>
        <w:rPr>
          <w:rFonts w:hint="eastAsia" w:ascii="仿宋" w:hAnsi="仿宋" w:eastAsia="仿宋" w:cs="仿宋"/>
          <w:b/>
          <w:color w:val="auto"/>
          <w:szCs w:val="21"/>
          <w:highlight w:val="none"/>
        </w:rPr>
        <w:t>六、其他补充事宜</w:t>
      </w:r>
      <w:bookmarkEnd w:id="22"/>
      <w:bookmarkEnd w:id="23"/>
    </w:p>
    <w:p w14:paraId="42EDA97D">
      <w:pPr>
        <w:adjustRightInd w:val="0"/>
        <w:snapToGrid w:val="0"/>
        <w:spacing w:line="288" w:lineRule="auto"/>
        <w:ind w:firstLine="420" w:firstLineChars="200"/>
        <w:rPr>
          <w:rFonts w:hint="eastAsia"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174797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EB6CD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77E43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（1）需要落实的政府采购政策：包括促进中小企业发展等，具体详见招标文件第三章“（九）采购项目需要落实的政府采购政策”；▲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62106FB8">
      <w:pPr>
        <w:adjustRightInd w:val="0"/>
        <w:snapToGrid w:val="0"/>
        <w:spacing w:line="288" w:lineRule="auto"/>
        <w:rPr>
          <w:rFonts w:hint="eastAsia" w:ascii="仿宋" w:hAnsi="仿宋" w:eastAsia="仿宋" w:cs="仿宋"/>
          <w:b/>
          <w:color w:val="auto"/>
          <w:szCs w:val="21"/>
          <w:highlight w:val="none"/>
        </w:rPr>
      </w:pPr>
      <w:bookmarkStart w:id="27" w:name="_Toc28359085"/>
      <w:bookmarkStart w:id="28" w:name="_Toc35393796"/>
      <w:bookmarkStart w:id="29" w:name="_Toc28359008"/>
      <w:bookmarkStart w:id="30" w:name="_Toc35393627"/>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15401C1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57D5C043">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名称：浙江省市场监督管理局</w:t>
      </w:r>
    </w:p>
    <w:p w14:paraId="6F746F13">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地址：杭州市莫干山路77号金汇大厦</w:t>
      </w:r>
    </w:p>
    <w:p w14:paraId="138E9C09">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5B1626C6">
      <w:pPr>
        <w:adjustRightInd w:val="0"/>
        <w:snapToGrid w:val="0"/>
        <w:spacing w:line="288" w:lineRule="auto"/>
        <w:ind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史老师</w:t>
      </w:r>
    </w:p>
    <w:p w14:paraId="083E872A">
      <w:pPr>
        <w:adjustRightInd w:val="0"/>
        <w:snapToGrid w:val="0"/>
        <w:spacing w:line="288" w:lineRule="auto"/>
        <w:ind w:firstLine="630" w:firstLineChars="300"/>
        <w:rPr>
          <w:rFonts w:hint="eastAsia" w:ascii="仿宋" w:hAnsi="仿宋" w:eastAsia="仿宋" w:cs="仿宋"/>
          <w:color w:val="auto"/>
          <w:szCs w:val="21"/>
          <w:highlight w:val="none"/>
          <w:lang w:val="en"/>
        </w:rPr>
      </w:pPr>
      <w:r>
        <w:rPr>
          <w:rFonts w:hint="eastAsia" w:ascii="仿宋" w:hAnsi="仿宋" w:eastAsia="仿宋" w:cs="仿宋"/>
          <w:color w:val="auto"/>
          <w:szCs w:val="21"/>
          <w:highlight w:val="none"/>
        </w:rPr>
        <w:t>项目联系方式（询问）：0571-89761418</w:t>
      </w:r>
    </w:p>
    <w:p w14:paraId="6C024DCF">
      <w:pPr>
        <w:adjustRightInd w:val="0"/>
        <w:snapToGrid w:val="0"/>
        <w:spacing w:line="288" w:lineRule="auto"/>
        <w:ind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张老师</w:t>
      </w:r>
    </w:p>
    <w:p w14:paraId="423041FC">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质疑联系方式：0571-89761411</w:t>
      </w:r>
    </w:p>
    <w:p w14:paraId="1E548D98">
      <w:pPr>
        <w:adjustRightInd w:val="0"/>
        <w:snapToGrid w:val="0"/>
        <w:spacing w:line="288" w:lineRule="auto"/>
        <w:ind w:firstLine="420" w:firstLineChars="200"/>
        <w:rPr>
          <w:rFonts w:hint="eastAsia" w:ascii="仿宋" w:hAnsi="仿宋" w:eastAsia="仿宋" w:cs="仿宋"/>
          <w:color w:val="auto"/>
          <w:szCs w:val="21"/>
          <w:highlight w:val="none"/>
        </w:rPr>
      </w:pPr>
    </w:p>
    <w:p w14:paraId="5D68C15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775C9442">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51380EDB">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地址：杭州市西湖区玉古路173号中田大厦21楼</w:t>
      </w:r>
    </w:p>
    <w:p w14:paraId="118C7ED4">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3BA565FA">
      <w:pPr>
        <w:adjustRightInd w:val="0"/>
        <w:snapToGrid w:val="0"/>
        <w:spacing w:line="288" w:lineRule="auto"/>
        <w:ind w:firstLine="630" w:firstLineChars="3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项目联系人（询问）：杨立凯、</w:t>
      </w:r>
      <w:r>
        <w:rPr>
          <w:rFonts w:hint="eastAsia" w:ascii="仿宋" w:hAnsi="仿宋" w:eastAsia="仿宋" w:cs="仿宋"/>
          <w:color w:val="auto"/>
          <w:szCs w:val="21"/>
          <w:highlight w:val="none"/>
          <w:lang w:val="en-US" w:eastAsia="zh-CN"/>
        </w:rPr>
        <w:t>冯增伟</w:t>
      </w:r>
    </w:p>
    <w:p w14:paraId="38322D2A">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0A1A9C6F">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质疑联系人：周安琪</w:t>
      </w:r>
    </w:p>
    <w:p w14:paraId="7E46B984">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5CAC4BE5">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0419A227">
      <w:pPr>
        <w:adjustRightInd w:val="0"/>
        <w:snapToGrid w:val="0"/>
        <w:spacing w:line="288" w:lineRule="auto"/>
        <w:ind w:firstLine="420" w:firstLineChars="200"/>
        <w:rPr>
          <w:rFonts w:hint="eastAsia" w:ascii="仿宋" w:hAnsi="仿宋" w:eastAsia="仿宋" w:cs="仿宋"/>
          <w:color w:val="auto"/>
          <w:szCs w:val="21"/>
          <w:highlight w:val="none"/>
        </w:rPr>
      </w:pPr>
    </w:p>
    <w:p w14:paraId="0458AD2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709EE45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1F2F232C">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14:paraId="163FE4FF">
      <w:pPr>
        <w:adjustRightInd w:val="0"/>
        <w:snapToGrid w:val="0"/>
        <w:spacing w:line="288" w:lineRule="auto"/>
        <w:ind w:firstLine="420" w:firstLineChars="200"/>
        <w:rPr>
          <w:rFonts w:hint="eastAsia" w:ascii="仿宋" w:hAnsi="仿宋" w:eastAsia="仿宋" w:cs="仿宋"/>
          <w:color w:val="auto"/>
          <w:szCs w:val="21"/>
          <w:highlight w:val="none"/>
        </w:rPr>
      </w:pPr>
    </w:p>
    <w:p w14:paraId="7BAEC2B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3A5554CA">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 400-888-4636；天谷CA 400-087-8198。</w:t>
      </w:r>
    </w:p>
    <w:p w14:paraId="2489718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9DF91AA">
      <w:pPr>
        <w:adjustRightInd w:val="0"/>
        <w:snapToGrid w:val="0"/>
        <w:spacing w:line="288"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4C31B79D">
      <w:pPr>
        <w:adjustRightInd w:val="0"/>
        <w:snapToGrid w:val="0"/>
        <w:spacing w:line="288" w:lineRule="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973"/>
        <w:gridCol w:w="5871"/>
      </w:tblGrid>
      <w:tr w14:paraId="210E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46A0F3D1">
            <w:pPr>
              <w:snapToGrid w:val="0"/>
              <w:jc w:val="center"/>
              <w:rPr>
                <w:rFonts w:hint="eastAsia"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2973" w:type="dxa"/>
            <w:vAlign w:val="center"/>
          </w:tcPr>
          <w:p w14:paraId="4EED1A65">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71" w:type="dxa"/>
            <w:vAlign w:val="center"/>
          </w:tcPr>
          <w:p w14:paraId="2A728944">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5AE8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6EB13CE6">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973" w:type="dxa"/>
            <w:vAlign w:val="center"/>
          </w:tcPr>
          <w:p w14:paraId="749B01AE">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71" w:type="dxa"/>
            <w:vAlign w:val="center"/>
          </w:tcPr>
          <w:p w14:paraId="4E42C06D">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7BC1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2F7520C5">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973" w:type="dxa"/>
            <w:vAlign w:val="center"/>
          </w:tcPr>
          <w:p w14:paraId="2F61022E">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71" w:type="dxa"/>
            <w:vAlign w:val="center"/>
          </w:tcPr>
          <w:p w14:paraId="5E657230">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40FE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3AAB4089">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973" w:type="dxa"/>
            <w:vAlign w:val="center"/>
          </w:tcPr>
          <w:p w14:paraId="6F39F882">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71" w:type="dxa"/>
            <w:vAlign w:val="center"/>
          </w:tcPr>
          <w:p w14:paraId="360292A5">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568F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2FD21424">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973" w:type="dxa"/>
            <w:vAlign w:val="center"/>
          </w:tcPr>
          <w:p w14:paraId="0F307C06">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政府采购支持创新发展</w:t>
            </w:r>
          </w:p>
        </w:tc>
        <w:tc>
          <w:tcPr>
            <w:tcW w:w="5871" w:type="dxa"/>
            <w:vAlign w:val="center"/>
          </w:tcPr>
          <w:p w14:paraId="4A1527B1">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36E6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23A6395A">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973" w:type="dxa"/>
            <w:vAlign w:val="center"/>
          </w:tcPr>
          <w:p w14:paraId="25D52DB7">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71" w:type="dxa"/>
            <w:vAlign w:val="center"/>
          </w:tcPr>
          <w:p w14:paraId="2F6C0EE7">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提供材料详见招标文件第六章“报价文件”</w:t>
            </w:r>
          </w:p>
          <w:p w14:paraId="0A12642C">
            <w:pPr>
              <w:snapToGrid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本项目属性：服务</w:t>
            </w:r>
          </w:p>
          <w:p w14:paraId="6825F633">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采购标的对应的中小企业划分标准所属行业：</w:t>
            </w:r>
            <w:r>
              <w:rPr>
                <w:rFonts w:hint="eastAsia" w:ascii="仿宋" w:hAnsi="仿宋" w:eastAsia="仿宋" w:cs="仿宋"/>
                <w:b/>
                <w:bCs/>
                <w:color w:val="auto"/>
                <w:szCs w:val="21"/>
                <w:highlight w:val="none"/>
              </w:rPr>
              <w:t>其他未列明行业</w:t>
            </w:r>
          </w:p>
          <w:p w14:paraId="650E2E6A">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6184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33E4D213">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2973" w:type="dxa"/>
            <w:vAlign w:val="center"/>
          </w:tcPr>
          <w:p w14:paraId="31B72A20">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71" w:type="dxa"/>
            <w:vAlign w:val="center"/>
          </w:tcPr>
          <w:p w14:paraId="19A5F40A">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视同小微企业，提供材料详见招标文件第六章“报价文件”。</w:t>
            </w:r>
          </w:p>
        </w:tc>
      </w:tr>
      <w:tr w14:paraId="3615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0183669D">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2973" w:type="dxa"/>
            <w:vAlign w:val="center"/>
          </w:tcPr>
          <w:p w14:paraId="049D189B">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71" w:type="dxa"/>
            <w:vAlign w:val="center"/>
          </w:tcPr>
          <w:p w14:paraId="07D89198">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视同小微企业，提供材料详见招标文件第六章“报价文件”。</w:t>
            </w:r>
          </w:p>
        </w:tc>
      </w:tr>
      <w:bookmarkEnd w:id="31"/>
    </w:tbl>
    <w:p w14:paraId="74B7AC13">
      <w:pPr>
        <w:adjustRightInd w:val="0"/>
        <w:snapToGrid w:val="0"/>
        <w:spacing w:line="288" w:lineRule="auto"/>
        <w:rPr>
          <w:rFonts w:hint="eastAsia" w:ascii="仿宋" w:hAnsi="仿宋" w:eastAsia="仿宋" w:cs="仿宋"/>
          <w:b/>
          <w:color w:val="auto"/>
          <w:spacing w:val="-4"/>
          <w:szCs w:val="21"/>
          <w:highlight w:val="none"/>
        </w:rPr>
      </w:pPr>
    </w:p>
    <w:p w14:paraId="310762E6">
      <w:pPr>
        <w:adjustRightInd w:val="0"/>
        <w:snapToGrid w:val="0"/>
        <w:spacing w:line="288" w:lineRule="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7"/>
        <w:gridCol w:w="7701"/>
      </w:tblGrid>
      <w:tr w14:paraId="51EFD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4637E496">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701" w:type="dxa"/>
            <w:tcBorders>
              <w:top w:val="single" w:color="auto" w:sz="4" w:space="0"/>
              <w:left w:val="single" w:color="auto" w:sz="4" w:space="0"/>
              <w:bottom w:val="single" w:color="auto" w:sz="4" w:space="0"/>
              <w:right w:val="single" w:color="auto" w:sz="4" w:space="0"/>
            </w:tcBorders>
            <w:vAlign w:val="center"/>
          </w:tcPr>
          <w:p w14:paraId="6AC91B44">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001FD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0CD2C210">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7701" w:type="dxa"/>
            <w:tcBorders>
              <w:top w:val="single" w:color="auto" w:sz="4" w:space="0"/>
              <w:left w:val="single" w:color="auto" w:sz="4" w:space="0"/>
              <w:bottom w:val="single" w:color="auto" w:sz="4" w:space="0"/>
              <w:right w:val="single" w:color="auto" w:sz="4" w:space="0"/>
            </w:tcBorders>
            <w:vAlign w:val="center"/>
          </w:tcPr>
          <w:p w14:paraId="7E3F01B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分两期支付：</w:t>
            </w:r>
          </w:p>
          <w:p w14:paraId="30D8781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1.第一期支付：合同签订后且收到中标人开具的符合要求的票据且具备实施条件后由采购人支付合同总金额的</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0%作为首付款；</w:t>
            </w:r>
          </w:p>
          <w:p w14:paraId="0053690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2.第二期支付：项目</w:t>
            </w:r>
            <w:r>
              <w:rPr>
                <w:rFonts w:hint="eastAsia" w:ascii="仿宋" w:hAnsi="仿宋" w:eastAsia="仿宋" w:cs="仿宋"/>
                <w:color w:val="auto"/>
                <w:szCs w:val="21"/>
                <w:highlight w:val="none"/>
                <w:lang w:eastAsia="zh-CN"/>
              </w:rPr>
              <w:t>完成并通过</w:t>
            </w:r>
            <w:r>
              <w:rPr>
                <w:rFonts w:hint="eastAsia" w:ascii="仿宋" w:hAnsi="仿宋" w:eastAsia="仿宋" w:cs="仿宋"/>
                <w:color w:val="auto"/>
                <w:szCs w:val="21"/>
                <w:highlight w:val="none"/>
              </w:rPr>
              <w:t>采购人验收合格后付清合同的剩余款项。</w:t>
            </w:r>
          </w:p>
          <w:p w14:paraId="32014F3D">
            <w:pPr>
              <w:spacing w:line="288" w:lineRule="auto"/>
              <w:rPr>
                <w:rFonts w:hint="eastAsia"/>
                <w:color w:val="auto"/>
                <w:highlight w:val="none"/>
              </w:rPr>
            </w:pPr>
            <w:r>
              <w:rPr>
                <w:rFonts w:hint="eastAsia" w:ascii="仿宋" w:hAnsi="仿宋" w:eastAsia="仿宋" w:cs="仿宋"/>
                <w:b/>
                <w:bCs/>
                <w:color w:val="auto"/>
                <w:sz w:val="18"/>
                <w:szCs w:val="18"/>
                <w:highlight w:val="none"/>
              </w:rPr>
              <w:t>备注：采购人付款前中标人须开具正式发票</w:t>
            </w:r>
            <w:r>
              <w:rPr>
                <w:rFonts w:hint="eastAsia" w:ascii="仿宋" w:hAnsi="仿宋" w:eastAsia="仿宋" w:cs="仿宋"/>
                <w:color w:val="auto"/>
                <w:szCs w:val="21"/>
                <w:highlight w:val="none"/>
              </w:rPr>
              <w:t xml:space="preserve"> </w:t>
            </w:r>
          </w:p>
        </w:tc>
      </w:tr>
      <w:tr w14:paraId="642B2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0A2E1876">
            <w:pPr>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7701" w:type="dxa"/>
            <w:tcBorders>
              <w:top w:val="single" w:color="auto" w:sz="4" w:space="0"/>
              <w:left w:val="single" w:color="auto" w:sz="4" w:space="0"/>
              <w:bottom w:val="single" w:color="auto" w:sz="4" w:space="0"/>
              <w:right w:val="single" w:color="auto" w:sz="4" w:space="0"/>
            </w:tcBorders>
            <w:vAlign w:val="center"/>
          </w:tcPr>
          <w:p w14:paraId="71373E26">
            <w:pPr>
              <w:rPr>
                <w:rFonts w:hint="eastAsia" w:ascii="仿宋" w:hAnsi="仿宋" w:eastAsia="仿宋" w:cs="仿宋"/>
                <w:color w:val="auto"/>
                <w:highlight w:val="none"/>
              </w:rPr>
            </w:pPr>
            <w:r>
              <w:rPr>
                <w:rFonts w:hint="eastAsia" w:ascii="仿宋" w:hAnsi="仿宋" w:eastAsia="仿宋" w:cs="仿宋"/>
                <w:color w:val="auto"/>
                <w:szCs w:val="21"/>
                <w:highlight w:val="none"/>
              </w:rPr>
              <w:t>无</w:t>
            </w:r>
          </w:p>
        </w:tc>
      </w:tr>
    </w:tbl>
    <w:p w14:paraId="28AF16FA">
      <w:pPr>
        <w:adjustRightInd w:val="0"/>
        <w:snapToGrid w:val="0"/>
        <w:spacing w:line="288" w:lineRule="auto"/>
        <w:rPr>
          <w:rFonts w:hint="eastAsia" w:ascii="仿宋" w:hAnsi="仿宋" w:eastAsia="仿宋" w:cs="仿宋"/>
          <w:color w:val="auto"/>
          <w:spacing w:val="-4"/>
          <w:szCs w:val="21"/>
          <w:highlight w:val="none"/>
        </w:rPr>
      </w:pPr>
    </w:p>
    <w:p w14:paraId="735858A5">
      <w:pPr>
        <w:adjustRightInd w:val="0"/>
        <w:snapToGrid w:val="0"/>
        <w:spacing w:line="288" w:lineRule="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三、服务要求</w:t>
      </w:r>
      <w:bookmarkStart w:id="32" w:name="_Hlk92271413"/>
    </w:p>
    <w:bookmarkEnd w:id="32"/>
    <w:p w14:paraId="5F211B86">
      <w:pPr>
        <w:spacing w:line="288" w:lineRule="auto"/>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color w:val="auto"/>
          <w:szCs w:val="21"/>
          <w:highlight w:val="none"/>
        </w:rPr>
        <w:t>如涉及国家规定的标准及规范、行业标准及规范、其它相关标准及规范，则按最新相关标准及规范执行，上述标准及规范如有不一致，则以更严格者为准；</w:t>
      </w:r>
    </w:p>
    <w:p w14:paraId="3C959EF2">
      <w:pPr>
        <w:pStyle w:val="38"/>
        <w:spacing w:line="288" w:lineRule="auto"/>
        <w:ind w:firstLine="422" w:firstLineChars="200"/>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bCs/>
          <w:color w:val="auto"/>
          <w:sz w:val="21"/>
          <w:szCs w:val="21"/>
          <w:highlight w:val="none"/>
        </w:rPr>
        <w:t>2.需实现的功能或者目标：</w:t>
      </w:r>
      <w:r>
        <w:rPr>
          <w:rFonts w:hint="eastAsia" w:ascii="仿宋" w:hAnsi="仿宋" w:eastAsia="仿宋" w:cs="仿宋"/>
          <w:b w:val="0"/>
          <w:bCs w:val="0"/>
          <w:color w:val="auto"/>
          <w:sz w:val="21"/>
          <w:szCs w:val="21"/>
          <w:highlight w:val="none"/>
        </w:rPr>
        <w:t>浙江省市场监督管理局根据《计量法》和《浙江省计量监督管理条例》有关要求，组织2025年全省计量比对工作</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中标人需保质保量完成</w:t>
      </w:r>
      <w:r>
        <w:rPr>
          <w:rFonts w:hint="eastAsia" w:ascii="仿宋" w:hAnsi="仿宋" w:eastAsia="仿宋" w:cs="仿宋"/>
          <w:b w:val="0"/>
          <w:bCs w:val="0"/>
          <w:color w:val="auto"/>
          <w:sz w:val="21"/>
          <w:szCs w:val="21"/>
          <w:highlight w:val="none"/>
        </w:rPr>
        <w:t>2025年全省计量比对工作</w:t>
      </w:r>
      <w:r>
        <w:rPr>
          <w:rFonts w:hint="eastAsia" w:ascii="仿宋" w:hAnsi="仿宋" w:eastAsia="仿宋" w:cs="仿宋"/>
          <w:b w:val="0"/>
          <w:bCs w:val="0"/>
          <w:color w:val="auto"/>
          <w:sz w:val="21"/>
          <w:szCs w:val="21"/>
          <w:highlight w:val="none"/>
          <w:lang w:eastAsia="zh-CN"/>
        </w:rPr>
        <w:t>；</w:t>
      </w:r>
    </w:p>
    <w:p w14:paraId="3B3A32FF">
      <w:pPr>
        <w:spacing w:line="288"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3.需满足的服务要求</w:t>
      </w:r>
    </w:p>
    <w:p w14:paraId="010D9331">
      <w:pPr>
        <w:spacing w:line="288" w:lineRule="auto"/>
        <w:ind w:firstLine="422" w:firstLineChars="200"/>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rPr>
        <w:t xml:space="preserve">3.1 </w:t>
      </w:r>
      <w:r>
        <w:rPr>
          <w:rFonts w:hint="eastAsia" w:ascii="仿宋" w:hAnsi="仿宋" w:eastAsia="仿宋" w:cs="仿宋"/>
          <w:b/>
          <w:bCs/>
          <w:color w:val="auto"/>
          <w:szCs w:val="21"/>
          <w:highlight w:val="none"/>
          <w:lang w:val="en-US" w:eastAsia="zh-CN"/>
        </w:rPr>
        <w:t>交付时间</w:t>
      </w:r>
      <w:r>
        <w:rPr>
          <w:rFonts w:hint="eastAsia" w:ascii="仿宋" w:hAnsi="仿宋" w:eastAsia="仿宋" w:cs="仿宋"/>
          <w:b/>
          <w:bCs/>
          <w:color w:val="auto"/>
          <w:szCs w:val="21"/>
          <w:highlight w:val="none"/>
        </w:rPr>
        <w:t>：</w:t>
      </w:r>
      <w:r>
        <w:rPr>
          <w:rFonts w:hint="eastAsia" w:ascii="仿宋" w:hAnsi="仿宋" w:eastAsia="仿宋" w:cs="仿宋"/>
          <w:b w:val="0"/>
          <w:bCs w:val="0"/>
          <w:color w:val="auto"/>
          <w:szCs w:val="21"/>
          <w:highlight w:val="none"/>
          <w:lang w:val="en-US" w:eastAsia="zh-CN"/>
        </w:rPr>
        <w:t>2025年</w:t>
      </w:r>
      <w:r>
        <w:rPr>
          <w:rFonts w:hint="eastAsia" w:ascii="仿宋" w:hAnsi="仿宋" w:eastAsia="仿宋" w:cs="仿宋"/>
          <w:b w:val="0"/>
          <w:bCs w:val="0"/>
          <w:color w:val="auto"/>
          <w:szCs w:val="21"/>
          <w:highlight w:val="none"/>
        </w:rPr>
        <w:t>6月制定比对方案并征求参比实验室意见，</w:t>
      </w:r>
      <w:r>
        <w:rPr>
          <w:rFonts w:hint="eastAsia" w:ascii="仿宋" w:hAnsi="仿宋" w:eastAsia="仿宋" w:cs="仿宋"/>
          <w:b w:val="0"/>
          <w:bCs w:val="0"/>
          <w:color w:val="auto"/>
          <w:szCs w:val="21"/>
          <w:highlight w:val="none"/>
          <w:lang w:val="en-US" w:eastAsia="zh-CN"/>
        </w:rPr>
        <w:t>2025年</w:t>
      </w:r>
      <w:r>
        <w:rPr>
          <w:rFonts w:hint="eastAsia" w:ascii="仿宋" w:hAnsi="仿宋" w:eastAsia="仿宋" w:cs="仿宋"/>
          <w:b w:val="0"/>
          <w:bCs w:val="0"/>
          <w:color w:val="auto"/>
          <w:szCs w:val="21"/>
          <w:highlight w:val="none"/>
        </w:rPr>
        <w:t>7月-9月实施比对，</w:t>
      </w:r>
      <w:r>
        <w:rPr>
          <w:rFonts w:hint="eastAsia" w:ascii="仿宋" w:hAnsi="仿宋" w:eastAsia="仿宋" w:cs="仿宋"/>
          <w:b w:val="0"/>
          <w:bCs w:val="0"/>
          <w:color w:val="auto"/>
          <w:szCs w:val="21"/>
          <w:highlight w:val="none"/>
          <w:lang w:val="en-US" w:eastAsia="zh-CN"/>
        </w:rPr>
        <w:t>2025年</w:t>
      </w:r>
      <w:r>
        <w:rPr>
          <w:rFonts w:hint="eastAsia" w:ascii="仿宋" w:hAnsi="仿宋" w:eastAsia="仿宋" w:cs="仿宋"/>
          <w:b w:val="0"/>
          <w:bCs w:val="0"/>
          <w:color w:val="auto"/>
          <w:szCs w:val="21"/>
          <w:highlight w:val="none"/>
        </w:rPr>
        <w:t>10月</w:t>
      </w:r>
      <w:r>
        <w:rPr>
          <w:rFonts w:hint="eastAsia" w:ascii="仿宋" w:hAnsi="仿宋" w:eastAsia="仿宋" w:cs="仿宋"/>
          <w:b w:val="0"/>
          <w:bCs w:val="0"/>
          <w:color w:val="auto"/>
          <w:szCs w:val="21"/>
          <w:highlight w:val="none"/>
          <w:lang w:val="en-US" w:eastAsia="zh-CN"/>
        </w:rPr>
        <w:t>前</w:t>
      </w:r>
      <w:r>
        <w:rPr>
          <w:rFonts w:hint="eastAsia" w:ascii="仿宋" w:hAnsi="仿宋" w:eastAsia="仿宋" w:cs="仿宋"/>
          <w:b w:val="0"/>
          <w:bCs w:val="0"/>
          <w:color w:val="auto"/>
          <w:szCs w:val="21"/>
          <w:highlight w:val="none"/>
        </w:rPr>
        <w:t>提交比对总结报告；</w:t>
      </w:r>
    </w:p>
    <w:p w14:paraId="1E4732BD">
      <w:pPr>
        <w:spacing w:line="288" w:lineRule="auto"/>
        <w:ind w:firstLine="422" w:firstLineChars="20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3.2 总体要求</w:t>
      </w:r>
    </w:p>
    <w:p w14:paraId="1C862050">
      <w:pPr>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（1）为依法设置或者授权建立的计量技术机构；</w:t>
      </w:r>
    </w:p>
    <w:p w14:paraId="7CBE0DCD">
      <w:pPr>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（2）拥有的计量标准符合全省计量比对要求，并能够在整个比对期间保证量值准确；</w:t>
      </w:r>
    </w:p>
    <w:p w14:paraId="3F968A88">
      <w:pPr>
        <w:spacing w:line="288"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（3）能够提供稳定可靠的传递标准或样品；</w:t>
      </w:r>
    </w:p>
    <w:p w14:paraId="1174DA8F">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（4）具有与所从事的计量比对工作相适应的技术人员。</w:t>
      </w:r>
    </w:p>
    <w:p w14:paraId="085076B9">
      <w:pPr>
        <w:spacing w:line="288"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lang w:val="en-US" w:eastAsia="zh-CN"/>
        </w:rPr>
        <w:t>工作</w:t>
      </w:r>
      <w:r>
        <w:rPr>
          <w:rFonts w:hint="eastAsia" w:ascii="仿宋" w:hAnsi="仿宋" w:eastAsia="仿宋" w:cs="仿宋"/>
          <w:b/>
          <w:bCs/>
          <w:color w:val="auto"/>
          <w:szCs w:val="21"/>
          <w:highlight w:val="none"/>
        </w:rPr>
        <w:t>内容</w:t>
      </w:r>
    </w:p>
    <w:p w14:paraId="25F8A77E">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w:t>
      </w:r>
      <w:r>
        <w:rPr>
          <w:rFonts w:hint="default"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lang w:val="en-US" w:eastAsia="zh-CN"/>
        </w:rPr>
        <w:t>）</w:t>
      </w:r>
      <w:r>
        <w:rPr>
          <w:rFonts w:hint="default" w:ascii="仿宋" w:hAnsi="仿宋" w:eastAsia="仿宋" w:cs="仿宋"/>
          <w:b w:val="0"/>
          <w:bCs w:val="0"/>
          <w:color w:val="auto"/>
          <w:szCs w:val="21"/>
          <w:highlight w:val="none"/>
          <w:lang w:val="en-US" w:eastAsia="zh-CN"/>
        </w:rPr>
        <w:t>主导实验室应当在全省计量比对开始前进行前期实验，包括传递标准或样品的稳定性实验和运输特性实验</w:t>
      </w:r>
      <w:r>
        <w:rPr>
          <w:rFonts w:hint="eastAsia" w:ascii="仿宋" w:hAnsi="仿宋" w:eastAsia="仿宋" w:cs="仿宋"/>
          <w:b w:val="0"/>
          <w:bCs w:val="0"/>
          <w:color w:val="auto"/>
          <w:szCs w:val="21"/>
          <w:highlight w:val="none"/>
          <w:lang w:val="en-US" w:eastAsia="zh-CN"/>
        </w:rPr>
        <w:t>；</w:t>
      </w:r>
    </w:p>
    <w:p w14:paraId="27E8EE54">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w:t>
      </w:r>
      <w:r>
        <w:rPr>
          <w:rFonts w:hint="default"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lang w:val="en-US" w:eastAsia="zh-CN"/>
        </w:rPr>
        <w:t>）</w:t>
      </w:r>
      <w:r>
        <w:rPr>
          <w:rFonts w:hint="default" w:ascii="仿宋" w:hAnsi="仿宋" w:eastAsia="仿宋" w:cs="仿宋"/>
          <w:b w:val="0"/>
          <w:bCs w:val="0"/>
          <w:color w:val="auto"/>
          <w:szCs w:val="21"/>
          <w:highlight w:val="none"/>
          <w:lang w:val="en-US" w:eastAsia="zh-CN"/>
        </w:rPr>
        <w:t>主导实验室应当根据前期实验情况起草计量比对方案，在征求全体参比实验室意见后报省局备案比对方案应当包括针对的量、目的、方法、传递标准或样品、路线及时间安排、技术要求等，并符合计量技术法规要求。无正当原因且未经省局书面同意，不得延误计量比对。</w:t>
      </w:r>
    </w:p>
    <w:p w14:paraId="463A7AEB">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w:t>
      </w:r>
      <w:r>
        <w:rPr>
          <w:rFonts w:hint="default"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lang w:val="en-US" w:eastAsia="zh-CN"/>
        </w:rPr>
        <w:t>）</w:t>
      </w:r>
      <w:r>
        <w:rPr>
          <w:rFonts w:hint="default" w:ascii="仿宋" w:hAnsi="仿宋" w:eastAsia="仿宋" w:cs="仿宋"/>
          <w:b w:val="0"/>
          <w:bCs w:val="0"/>
          <w:color w:val="auto"/>
          <w:szCs w:val="21"/>
          <w:highlight w:val="none"/>
          <w:lang w:val="en-US" w:eastAsia="zh-CN"/>
        </w:rPr>
        <w:t>在计量比对实施过程中，主导实验室不得有下列行为：</w:t>
      </w:r>
    </w:p>
    <w:p w14:paraId="5F31E987">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1）抄袭参比实验室计量比对数据，弄虚作假；</w:t>
      </w:r>
    </w:p>
    <w:p w14:paraId="51056E03">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2）与参比实验室串通，篡改计量比对数据；</w:t>
      </w:r>
    </w:p>
    <w:p w14:paraId="061C4C8D">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3）违反诚实信用和保密原则的其他行为。</w:t>
      </w:r>
    </w:p>
    <w:p w14:paraId="7EF5CBDD">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w:t>
      </w:r>
      <w:r>
        <w:rPr>
          <w:rFonts w:hint="default"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lang w:val="en-US" w:eastAsia="zh-CN"/>
        </w:rPr>
        <w:t>）</w:t>
      </w:r>
      <w:r>
        <w:rPr>
          <w:rFonts w:hint="default" w:ascii="仿宋" w:hAnsi="仿宋" w:eastAsia="仿宋" w:cs="仿宋"/>
          <w:b w:val="0"/>
          <w:bCs w:val="0"/>
          <w:color w:val="auto"/>
          <w:szCs w:val="21"/>
          <w:highlight w:val="none"/>
          <w:lang w:val="en-US" w:eastAsia="zh-CN"/>
        </w:rPr>
        <w:t>主导实验室应当根据参比实验室比对结果，起草全省计量比对总结报告，在经征求各参比实验室意见并修改完成后，按时报送省局。计量比对总结报告应当包括：</w:t>
      </w:r>
    </w:p>
    <w:p w14:paraId="32D8455C">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1）计量比对方案、比对概况及相关说明；</w:t>
      </w:r>
    </w:p>
    <w:p w14:paraId="2F27F585">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2）传递标准或样品的技术状况，包括稳定性和运输性等相关要求；</w:t>
      </w:r>
    </w:p>
    <w:p w14:paraId="20411CA5">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3）计量比对数据记录及必要的图表；</w:t>
      </w:r>
    </w:p>
    <w:p w14:paraId="79B06153">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4）计量比对结果及其不确定度分析，包括参比实验室的测量结果及其测量不确定度、计量比对参考值及其测量不确定度、参比实验室的测量结果与参考值之差及其测量不确定度；</w:t>
      </w:r>
    </w:p>
    <w:p w14:paraId="4790BE69">
      <w:pPr>
        <w:spacing w:line="288" w:lineRule="auto"/>
        <w:ind w:firstLine="420" w:firstLineChars="200"/>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5）计量比对分析及结论。</w:t>
      </w:r>
    </w:p>
    <w:p w14:paraId="5BC810F9">
      <w:pPr>
        <w:adjustRightInd w:val="0"/>
        <w:snapToGrid w:val="0"/>
        <w:spacing w:line="288" w:lineRule="auto"/>
        <w:ind w:firstLine="422" w:firstLineChars="200"/>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3.4 主要内容</w:t>
      </w:r>
    </w:p>
    <w:tbl>
      <w:tblPr>
        <w:tblStyle w:val="2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3041"/>
        <w:gridCol w:w="5873"/>
      </w:tblGrid>
      <w:tr w14:paraId="3396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65" w:type="pct"/>
            <w:tcBorders>
              <w:top w:val="single" w:color="auto" w:sz="4" w:space="0"/>
              <w:left w:val="single" w:color="auto" w:sz="4" w:space="0"/>
              <w:bottom w:val="single" w:color="auto" w:sz="4" w:space="0"/>
              <w:right w:val="single" w:color="auto" w:sz="4" w:space="0"/>
            </w:tcBorders>
            <w:vAlign w:val="center"/>
          </w:tcPr>
          <w:p w14:paraId="422FCF18">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标项</w:t>
            </w:r>
          </w:p>
        </w:tc>
        <w:tc>
          <w:tcPr>
            <w:tcW w:w="1581" w:type="pct"/>
            <w:tcBorders>
              <w:top w:val="single" w:color="auto" w:sz="4" w:space="0"/>
              <w:left w:val="single" w:color="auto" w:sz="4" w:space="0"/>
              <w:bottom w:val="single" w:color="auto" w:sz="4" w:space="0"/>
              <w:right w:val="single" w:color="auto" w:sz="4" w:space="0"/>
            </w:tcBorders>
            <w:vAlign w:val="center"/>
          </w:tcPr>
          <w:p w14:paraId="541FE67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标项内容（比对项目）</w:t>
            </w:r>
          </w:p>
        </w:tc>
        <w:tc>
          <w:tcPr>
            <w:tcW w:w="3053" w:type="pct"/>
            <w:tcBorders>
              <w:top w:val="single" w:color="auto" w:sz="4" w:space="0"/>
              <w:left w:val="single" w:color="auto" w:sz="4" w:space="0"/>
              <w:bottom w:val="single" w:color="auto" w:sz="4" w:space="0"/>
              <w:right w:val="single" w:color="auto" w:sz="4" w:space="0"/>
            </w:tcBorders>
            <w:vAlign w:val="center"/>
          </w:tcPr>
          <w:p w14:paraId="012DDA3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主要内容及要求</w:t>
            </w:r>
          </w:p>
        </w:tc>
      </w:tr>
      <w:tr w14:paraId="6A0D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65" w:type="pct"/>
            <w:tcBorders>
              <w:top w:val="single" w:color="auto" w:sz="4" w:space="0"/>
              <w:left w:val="single" w:color="auto" w:sz="4" w:space="0"/>
              <w:bottom w:val="single" w:color="auto" w:sz="4" w:space="0"/>
              <w:right w:val="single" w:color="auto" w:sz="4" w:space="0"/>
            </w:tcBorders>
            <w:vAlign w:val="center"/>
          </w:tcPr>
          <w:p w14:paraId="61EEDD04">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w:t>
            </w:r>
          </w:p>
        </w:tc>
        <w:tc>
          <w:tcPr>
            <w:tcW w:w="1581" w:type="pct"/>
            <w:tcBorders>
              <w:top w:val="single" w:color="auto" w:sz="4" w:space="0"/>
              <w:left w:val="single" w:color="auto" w:sz="4" w:space="0"/>
              <w:bottom w:val="single" w:color="auto" w:sz="4" w:space="0"/>
              <w:right w:val="single" w:color="auto" w:sz="4" w:space="0"/>
            </w:tcBorders>
            <w:vAlign w:val="center"/>
          </w:tcPr>
          <w:p w14:paraId="2EC1CE82">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单相交流电能表检定装置</w:t>
            </w:r>
          </w:p>
        </w:tc>
        <w:tc>
          <w:tcPr>
            <w:tcW w:w="3053" w:type="pct"/>
            <w:tcBorders>
              <w:top w:val="single" w:color="auto" w:sz="4" w:space="0"/>
              <w:left w:val="single" w:color="auto" w:sz="4" w:space="0"/>
              <w:bottom w:val="single" w:color="auto" w:sz="4" w:space="0"/>
              <w:right w:val="single" w:color="auto" w:sz="4" w:space="0"/>
            </w:tcBorders>
            <w:vAlign w:val="center"/>
          </w:tcPr>
          <w:p w14:paraId="401BCA8C">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实施全省市、县（市、区）两级依法设置计量检定机构单相交流电能表检定装置的计量比对，汇总分析比对结果，出具比对总结报告。</w:t>
            </w:r>
          </w:p>
          <w:p w14:paraId="09401D35">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存在比对结果不满意实验室的，组织二次比对。</w:t>
            </w:r>
          </w:p>
        </w:tc>
      </w:tr>
      <w:tr w14:paraId="155C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65" w:type="pct"/>
            <w:tcBorders>
              <w:top w:val="single" w:color="auto" w:sz="4" w:space="0"/>
              <w:left w:val="single" w:color="auto" w:sz="4" w:space="0"/>
              <w:bottom w:val="single" w:color="auto" w:sz="4" w:space="0"/>
              <w:right w:val="single" w:color="auto" w:sz="4" w:space="0"/>
            </w:tcBorders>
            <w:vAlign w:val="center"/>
          </w:tcPr>
          <w:p w14:paraId="5A1434D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w:t>
            </w:r>
          </w:p>
        </w:tc>
        <w:tc>
          <w:tcPr>
            <w:tcW w:w="1581" w:type="pct"/>
            <w:tcBorders>
              <w:top w:val="single" w:color="auto" w:sz="4" w:space="0"/>
              <w:left w:val="single" w:color="auto" w:sz="4" w:space="0"/>
              <w:bottom w:val="single" w:color="auto" w:sz="4" w:space="0"/>
              <w:right w:val="single" w:color="auto" w:sz="4" w:space="0"/>
            </w:tcBorders>
            <w:vAlign w:val="center"/>
          </w:tcPr>
          <w:p w14:paraId="513E86B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无创电子自动血压计检定装置</w:t>
            </w:r>
          </w:p>
        </w:tc>
        <w:tc>
          <w:tcPr>
            <w:tcW w:w="3053" w:type="pct"/>
            <w:tcBorders>
              <w:top w:val="single" w:color="auto" w:sz="4" w:space="0"/>
              <w:left w:val="single" w:color="auto" w:sz="4" w:space="0"/>
              <w:bottom w:val="single" w:color="auto" w:sz="4" w:space="0"/>
              <w:right w:val="single" w:color="auto" w:sz="4" w:space="0"/>
            </w:tcBorders>
            <w:vAlign w:val="center"/>
          </w:tcPr>
          <w:p w14:paraId="0D7BDEFE">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实施全省市、县（市、区）两级依法设置计量检定机构、专项计量授权机构无创电子自动血压计检定装置的计量比对，汇总分析比对结果，出具比对总结报告。</w:t>
            </w:r>
          </w:p>
          <w:p w14:paraId="1E0ABBD1">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存在比对结果不满意实验室的，组织二次比对。</w:t>
            </w:r>
          </w:p>
        </w:tc>
      </w:tr>
      <w:tr w14:paraId="37FD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65" w:type="pct"/>
            <w:tcBorders>
              <w:top w:val="single" w:color="auto" w:sz="4" w:space="0"/>
              <w:left w:val="single" w:color="auto" w:sz="4" w:space="0"/>
              <w:bottom w:val="single" w:color="auto" w:sz="4" w:space="0"/>
              <w:right w:val="single" w:color="auto" w:sz="4" w:space="0"/>
            </w:tcBorders>
            <w:vAlign w:val="center"/>
          </w:tcPr>
          <w:p w14:paraId="03A1DE89">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w:t>
            </w:r>
          </w:p>
        </w:tc>
        <w:tc>
          <w:tcPr>
            <w:tcW w:w="1581" w:type="pct"/>
            <w:tcBorders>
              <w:top w:val="single" w:color="auto" w:sz="4" w:space="0"/>
              <w:left w:val="single" w:color="auto" w:sz="4" w:space="0"/>
              <w:bottom w:val="single" w:color="auto" w:sz="4" w:space="0"/>
              <w:right w:val="single" w:color="auto" w:sz="4" w:space="0"/>
            </w:tcBorders>
            <w:vAlign w:val="center"/>
          </w:tcPr>
          <w:p w14:paraId="135FF5C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三等量块标准装置</w:t>
            </w:r>
          </w:p>
        </w:tc>
        <w:tc>
          <w:tcPr>
            <w:tcW w:w="3053" w:type="pct"/>
            <w:tcBorders>
              <w:top w:val="single" w:color="auto" w:sz="4" w:space="0"/>
              <w:left w:val="single" w:color="auto" w:sz="4" w:space="0"/>
              <w:bottom w:val="single" w:color="auto" w:sz="4" w:space="0"/>
              <w:right w:val="single" w:color="auto" w:sz="4" w:space="0"/>
            </w:tcBorders>
            <w:vAlign w:val="center"/>
          </w:tcPr>
          <w:p w14:paraId="54D11E27">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实施全省市、县（市、区）两级依法设置计量检定机构、专项计量授权机构、企事业单位</w:t>
            </w:r>
            <w:r>
              <w:rPr>
                <w:rFonts w:hint="eastAsia" w:ascii="仿宋" w:hAnsi="仿宋" w:eastAsia="仿宋" w:cs="仿宋"/>
                <w:b w:val="0"/>
                <w:bCs w:val="0"/>
                <w:color w:val="auto"/>
                <w:szCs w:val="21"/>
                <w:highlight w:val="none"/>
                <w:lang w:val="en-US" w:eastAsia="zh-CN"/>
              </w:rPr>
              <w:t>三等量块标准装置</w:t>
            </w:r>
            <w:r>
              <w:rPr>
                <w:rFonts w:hint="default" w:ascii="仿宋" w:hAnsi="仿宋" w:eastAsia="仿宋" w:cs="仿宋"/>
                <w:b w:val="0"/>
                <w:bCs w:val="0"/>
                <w:color w:val="auto"/>
                <w:szCs w:val="21"/>
                <w:highlight w:val="none"/>
                <w:lang w:val="en-US" w:eastAsia="zh-CN"/>
              </w:rPr>
              <w:t>的计量比对，汇总分析比对结果，出具比对总结报告。</w:t>
            </w:r>
          </w:p>
          <w:p w14:paraId="49166764">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存在比对结果不满意实验室的，组织二次比对。</w:t>
            </w:r>
          </w:p>
        </w:tc>
      </w:tr>
      <w:tr w14:paraId="0963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D3AA4E5">
            <w:pPr>
              <w:spacing w:line="288" w:lineRule="auto"/>
              <w:rPr>
                <w:rFonts w:hint="default" w:ascii="仿宋" w:hAnsi="仿宋" w:eastAsia="仿宋" w:cs="仿宋"/>
                <w:b w:val="0"/>
                <w:bCs w:val="0"/>
                <w:color w:val="auto"/>
                <w:szCs w:val="21"/>
                <w:highlight w:val="none"/>
                <w:lang w:val="en-US" w:eastAsia="zh-CN"/>
              </w:rPr>
            </w:pPr>
            <w:r>
              <w:rPr>
                <w:rFonts w:hint="eastAsia" w:ascii="仿宋" w:hAnsi="仿宋" w:eastAsia="仿宋" w:cs="仿宋"/>
                <w:b/>
                <w:bCs/>
                <w:color w:val="auto"/>
                <w:sz w:val="18"/>
                <w:szCs w:val="18"/>
                <w:highlight w:val="none"/>
                <w:lang w:val="en-US" w:eastAsia="zh-CN"/>
              </w:rPr>
              <w:t>注：主导实验室应在正式出具计量比对总结报告之前应组织一次由参比实验室参加的比对情况分析会议；存在比对结果“不满意”时应组织相关实验室进行二次比对。上述工作所需费用包含在合同总价中，不另行付费。</w:t>
            </w:r>
          </w:p>
        </w:tc>
      </w:tr>
    </w:tbl>
    <w:p w14:paraId="385064CA">
      <w:pPr>
        <w:adjustRightInd w:val="0"/>
        <w:snapToGrid w:val="0"/>
        <w:spacing w:line="288" w:lineRule="auto"/>
        <w:jc w:val="left"/>
        <w:rPr>
          <w:rFonts w:ascii="仿宋" w:hAnsi="仿宋" w:eastAsia="仿宋" w:cs="仿宋"/>
          <w:b/>
          <w:bCs/>
          <w:spacing w:val="-20"/>
          <w:kern w:val="0"/>
          <w:szCs w:val="21"/>
          <w:highlight w:val="none"/>
        </w:rPr>
      </w:pPr>
      <w:r>
        <w:rPr>
          <w:rFonts w:hint="eastAsia" w:ascii="仿宋" w:hAnsi="仿宋" w:eastAsia="仿宋" w:cs="仿宋"/>
          <w:b/>
          <w:bCs/>
          <w:spacing w:val="-20"/>
          <w:kern w:val="0"/>
          <w:szCs w:val="21"/>
          <w:highlight w:val="none"/>
          <w:lang w:val="en-US" w:eastAsia="zh-CN"/>
        </w:rPr>
        <w:t>备注</w:t>
      </w:r>
      <w:r>
        <w:rPr>
          <w:rFonts w:hint="eastAsia" w:ascii="仿宋" w:hAnsi="仿宋" w:eastAsia="仿宋" w:cs="仿宋"/>
          <w:b/>
          <w:bCs/>
          <w:spacing w:val="-20"/>
          <w:kern w:val="0"/>
          <w:szCs w:val="21"/>
          <w:highlight w:val="none"/>
        </w:rPr>
        <w:t>.由于标项一、二</w:t>
      </w:r>
      <w:r>
        <w:rPr>
          <w:rFonts w:hint="eastAsia" w:ascii="仿宋" w:hAnsi="仿宋" w:eastAsia="仿宋" w:cs="仿宋"/>
          <w:b/>
          <w:bCs/>
          <w:spacing w:val="-20"/>
          <w:kern w:val="0"/>
          <w:szCs w:val="21"/>
          <w:highlight w:val="none"/>
          <w:lang w:eastAsia="zh-CN"/>
        </w:rPr>
        <w:t>、</w:t>
      </w:r>
      <w:r>
        <w:rPr>
          <w:rFonts w:hint="eastAsia" w:ascii="仿宋" w:hAnsi="仿宋" w:eastAsia="仿宋" w:cs="仿宋"/>
          <w:b/>
          <w:bCs/>
          <w:spacing w:val="-20"/>
          <w:kern w:val="0"/>
          <w:szCs w:val="21"/>
          <w:highlight w:val="none"/>
          <w:lang w:val="en-US" w:eastAsia="zh-CN"/>
        </w:rPr>
        <w:t>三</w:t>
      </w:r>
      <w:r>
        <w:rPr>
          <w:rFonts w:hint="eastAsia" w:ascii="仿宋" w:hAnsi="仿宋" w:eastAsia="仿宋" w:cs="仿宋"/>
          <w:b/>
          <w:bCs/>
          <w:spacing w:val="-20"/>
          <w:kern w:val="0"/>
          <w:szCs w:val="21"/>
          <w:highlight w:val="none"/>
        </w:rPr>
        <w:t>涉及装置种类不同，同一中标人无法保障服务进度及质量，故要求同一投标人在不同标项不能兼中，各标项推荐中标候选人或确定中标人的顺序和规则详见“第三章  投标人须知 六、评  标 （六）排序与推荐”；</w:t>
      </w:r>
    </w:p>
    <w:p w14:paraId="0B911003">
      <w:pPr>
        <w:adjustRightInd w:val="0"/>
        <w:snapToGrid w:val="0"/>
        <w:spacing w:line="288" w:lineRule="auto"/>
        <w:rPr>
          <w:rFonts w:hint="eastAsia" w:ascii="仿宋" w:hAnsi="仿宋" w:eastAsia="仿宋" w:cs="仿宋"/>
          <w:b/>
          <w:bCs/>
          <w:color w:val="auto"/>
          <w:szCs w:val="21"/>
          <w:highlight w:val="none"/>
          <w:lang w:val="en-US" w:eastAsia="zh-CN"/>
        </w:rPr>
      </w:pPr>
    </w:p>
    <w:p w14:paraId="3320F2C5">
      <w:pPr>
        <w:adjustRightInd w:val="0"/>
        <w:snapToGrid w:val="0"/>
        <w:spacing w:line="288" w:lineRule="auto"/>
        <w:ind w:firstLine="422" w:firstLineChars="200"/>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3.5 其他要求</w:t>
      </w:r>
    </w:p>
    <w:p w14:paraId="2ADD8CE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（1）投标人需对项目目标、需求进行理解，对项目重难点进行分析，以确保方案的针对性、合理性、专业性；</w:t>
      </w:r>
    </w:p>
    <w:p w14:paraId="0B078A8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（2）供应商参与本项目应有完整的、可行的</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方案，对招标文件提出的技术要求予以响应；</w:t>
      </w:r>
    </w:p>
    <w:p w14:paraId="2607B33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（3）为了使项目顺利开展，投标方案应考虑包括但不仅于如下内容：</w:t>
      </w:r>
    </w:p>
    <w:p w14:paraId="278CB262">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1）项目管理制度；</w:t>
      </w:r>
    </w:p>
    <w:p w14:paraId="6C9A824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ascii="仿宋" w:hAnsi="仿宋" w:eastAsia="仿宋" w:cs="仿宋"/>
          <w:color w:val="auto"/>
          <w:szCs w:val="21"/>
          <w:highlight w:val="none"/>
        </w:rPr>
        <w:t>应急处理</w:t>
      </w:r>
      <w:r>
        <w:rPr>
          <w:rFonts w:hint="eastAsia" w:ascii="仿宋" w:hAnsi="仿宋" w:eastAsia="仿宋" w:cs="仿宋"/>
          <w:color w:val="auto"/>
          <w:szCs w:val="21"/>
          <w:highlight w:val="none"/>
        </w:rPr>
        <w:t>（</w:t>
      </w:r>
      <w:r>
        <w:rPr>
          <w:rFonts w:ascii="仿宋" w:hAnsi="仿宋" w:eastAsia="仿宋" w:cs="仿宋"/>
          <w:color w:val="auto"/>
          <w:szCs w:val="21"/>
          <w:highlight w:val="none"/>
        </w:rPr>
        <w:t>预案</w:t>
      </w:r>
      <w:r>
        <w:rPr>
          <w:rFonts w:hint="eastAsia" w:ascii="仿宋" w:hAnsi="仿宋" w:eastAsia="仿宋" w:cs="仿宋"/>
          <w:color w:val="auto"/>
          <w:szCs w:val="21"/>
          <w:highlight w:val="none"/>
        </w:rPr>
        <w:t>、</w:t>
      </w:r>
      <w:r>
        <w:rPr>
          <w:rFonts w:ascii="仿宋" w:hAnsi="仿宋" w:eastAsia="仿宋" w:cs="仿宋"/>
          <w:color w:val="auto"/>
          <w:szCs w:val="21"/>
          <w:highlight w:val="none"/>
        </w:rPr>
        <w:t>响应时间、处理时间</w:t>
      </w:r>
      <w:r>
        <w:rPr>
          <w:rFonts w:hint="eastAsia" w:ascii="仿宋" w:hAnsi="仿宋" w:eastAsia="仿宋" w:cs="仿宋"/>
          <w:color w:val="auto"/>
          <w:szCs w:val="21"/>
          <w:highlight w:val="none"/>
        </w:rPr>
        <w:t>）方案。</w:t>
      </w:r>
    </w:p>
    <w:p w14:paraId="4DA4C3CF">
      <w:pPr>
        <w:adjustRightInd w:val="0"/>
        <w:snapToGrid w:val="0"/>
        <w:spacing w:line="288"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lang w:val="en-US" w:eastAsia="zh-CN"/>
        </w:rPr>
        <w:t>6</w:t>
      </w:r>
      <w:r>
        <w:rPr>
          <w:rFonts w:hint="eastAsia" w:ascii="仿宋" w:hAnsi="仿宋" w:eastAsia="仿宋" w:cs="仿宋"/>
          <w:b/>
          <w:bCs/>
          <w:color w:val="auto"/>
          <w:szCs w:val="21"/>
          <w:highlight w:val="none"/>
        </w:rPr>
        <w:t xml:space="preserve"> 验收</w:t>
      </w:r>
    </w:p>
    <w:p w14:paraId="18A30B01">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6EA38A1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384885A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1）合同、招标文件、投标文件；</w:t>
      </w:r>
    </w:p>
    <w:p w14:paraId="1F59D7AC">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2）中标人提供的技术规格、经采购人认可的有效检验文件；</w:t>
      </w:r>
    </w:p>
    <w:p w14:paraId="79024A62">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3）中标人投标文件中提供的经采购人认可的验收标准（符合中国有关的国家、地方、行业标准）和检测办法及相应检测手段。</w:t>
      </w:r>
    </w:p>
    <w:p w14:paraId="7E299DC3">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（3）验收合格的条件</w:t>
      </w:r>
    </w:p>
    <w:p w14:paraId="5CF0FA8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1）符合招标文件及合同的要求；</w:t>
      </w:r>
    </w:p>
    <w:p w14:paraId="3A1E509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2）在服务和验收过程中发现的问题已被解决并得到采购人的认可；</w:t>
      </w:r>
    </w:p>
    <w:p w14:paraId="669DD89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3）合同中规定的所有内容均已交付；</w:t>
      </w:r>
    </w:p>
    <w:p w14:paraId="55CDDA22">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4）已通过使用单位组织的验收；</w:t>
      </w:r>
    </w:p>
    <w:p w14:paraId="3D0DD2D0">
      <w:pPr>
        <w:pStyle w:val="38"/>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5）所有相关的技术文件及资料均已提交并得到接受。</w:t>
      </w:r>
    </w:p>
    <w:p w14:paraId="7C3114B0">
      <w:pPr>
        <w:adjustRightInd w:val="0"/>
        <w:snapToGrid w:val="0"/>
        <w:spacing w:line="264" w:lineRule="auto"/>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38975FD">
      <w:pPr>
        <w:adjustRightInd w:val="0"/>
        <w:snapToGrid w:val="0"/>
        <w:spacing w:line="288" w:lineRule="auto"/>
        <w:jc w:val="center"/>
        <w:outlineLvl w:val="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564C716A">
      <w:pPr>
        <w:adjustRightInd w:val="0"/>
        <w:snapToGrid w:val="0"/>
        <w:spacing w:line="288"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741"/>
        <w:gridCol w:w="6983"/>
      </w:tblGrid>
      <w:tr w14:paraId="5548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399EDF9A">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1741" w:type="dxa"/>
            <w:vAlign w:val="center"/>
          </w:tcPr>
          <w:p w14:paraId="3E1C26AA">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6983" w:type="dxa"/>
            <w:vAlign w:val="center"/>
          </w:tcPr>
          <w:p w14:paraId="7C5FF14B">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1BE2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13AB97D2">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一、（一）</w:t>
            </w:r>
          </w:p>
        </w:tc>
        <w:tc>
          <w:tcPr>
            <w:tcW w:w="1741" w:type="dxa"/>
            <w:vAlign w:val="center"/>
          </w:tcPr>
          <w:p w14:paraId="07AED2DE">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6983" w:type="dxa"/>
            <w:vAlign w:val="center"/>
          </w:tcPr>
          <w:p w14:paraId="5466E21C">
            <w:pPr>
              <w:snapToGrid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全省计量比对辅助工作</w:t>
            </w:r>
            <w:r>
              <w:rPr>
                <w:rFonts w:hint="eastAsia" w:ascii="仿宋" w:hAnsi="仿宋" w:eastAsia="仿宋" w:cs="仿宋"/>
                <w:color w:val="auto"/>
                <w:sz w:val="18"/>
                <w:szCs w:val="18"/>
                <w:highlight w:val="none"/>
              </w:rPr>
              <w:t>的招标、评标、定标、验收、合同履约、付款等（法律、法规另有规定的，从其规定）</w:t>
            </w:r>
          </w:p>
        </w:tc>
      </w:tr>
      <w:tr w14:paraId="7EC9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7BE693A2">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一、（三）</w:t>
            </w:r>
          </w:p>
        </w:tc>
        <w:tc>
          <w:tcPr>
            <w:tcW w:w="1741" w:type="dxa"/>
            <w:vAlign w:val="center"/>
          </w:tcPr>
          <w:p w14:paraId="6E2559F2">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6983" w:type="dxa"/>
            <w:vAlign w:val="center"/>
          </w:tcPr>
          <w:p w14:paraId="0A81DC29">
            <w:pPr>
              <w:snapToGrid w:val="0"/>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027C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1066AD2D">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一、（四）</w:t>
            </w:r>
          </w:p>
        </w:tc>
        <w:tc>
          <w:tcPr>
            <w:tcW w:w="1741" w:type="dxa"/>
            <w:vAlign w:val="center"/>
          </w:tcPr>
          <w:p w14:paraId="008DC15E">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6983" w:type="dxa"/>
            <w:vAlign w:val="center"/>
          </w:tcPr>
          <w:p w14:paraId="62E5B28A">
            <w:pPr>
              <w:adjustRightInd w:val="0"/>
              <w:snapToGrid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1.不论投标结果如何，投标人均应自行承担所有与投标有关的全部费用；</w:t>
            </w:r>
          </w:p>
          <w:p w14:paraId="35C5DFBB">
            <w:pPr>
              <w:adjustRightInd w:val="0"/>
              <w:snapToGrid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2.中标人在中标通知书发出之日起七个工作日内向采购代理机构交纳代理服务费；</w:t>
            </w:r>
          </w:p>
          <w:p w14:paraId="7D318508">
            <w:pPr>
              <w:adjustRightInd w:val="0"/>
              <w:snapToGrid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7E183F9">
            <w:pPr>
              <w:adjustRightInd w:val="0"/>
              <w:snapToGrid w:val="0"/>
              <w:jc w:val="left"/>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4.收费标准：</w:t>
            </w:r>
          </w:p>
          <w:tbl>
            <w:tblPr>
              <w:tblStyle w:val="25"/>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51"/>
              <w:gridCol w:w="3533"/>
            </w:tblGrid>
            <w:tr w14:paraId="2FF05C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1851" w:type="dxa"/>
                  <w:tcMar>
                    <w:top w:w="0" w:type="dxa"/>
                    <w:left w:w="108" w:type="dxa"/>
                    <w:bottom w:w="0" w:type="dxa"/>
                    <w:right w:w="108" w:type="dxa"/>
                  </w:tcMar>
                  <w:vAlign w:val="center"/>
                </w:tcPr>
                <w:p w14:paraId="3EF18B3E">
                  <w:pPr>
                    <w:snapToGrid w:val="0"/>
                    <w:jc w:val="center"/>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中标金额（万元）</w:t>
                  </w:r>
                </w:p>
              </w:tc>
              <w:tc>
                <w:tcPr>
                  <w:tcW w:w="3533" w:type="dxa"/>
                  <w:tcMar>
                    <w:top w:w="0" w:type="dxa"/>
                    <w:left w:w="108" w:type="dxa"/>
                    <w:bottom w:w="0" w:type="dxa"/>
                    <w:right w:w="108" w:type="dxa"/>
                  </w:tcMar>
                  <w:vAlign w:val="center"/>
                </w:tcPr>
                <w:p w14:paraId="0F46B114">
                  <w:pPr>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收费标准（费率，%）</w:t>
                  </w:r>
                </w:p>
              </w:tc>
            </w:tr>
            <w:tr w14:paraId="78BC8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51" w:type="dxa"/>
                  <w:tcMar>
                    <w:top w:w="0" w:type="dxa"/>
                    <w:left w:w="108" w:type="dxa"/>
                    <w:bottom w:w="0" w:type="dxa"/>
                    <w:right w:w="108" w:type="dxa"/>
                  </w:tcMar>
                  <w:vAlign w:val="center"/>
                </w:tcPr>
                <w:p w14:paraId="1419D8BE">
                  <w:pPr>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533" w:type="dxa"/>
                  <w:tcMar>
                    <w:top w:w="0" w:type="dxa"/>
                    <w:left w:w="108" w:type="dxa"/>
                    <w:bottom w:w="0" w:type="dxa"/>
                    <w:right w:w="108" w:type="dxa"/>
                  </w:tcMar>
                  <w:vAlign w:val="center"/>
                </w:tcPr>
                <w:p w14:paraId="49AD9CB2">
                  <w:pPr>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0.9（不足壹仟伍佰元按壹仟伍佰元收取）</w:t>
                  </w:r>
                </w:p>
              </w:tc>
            </w:tr>
          </w:tbl>
          <w:p w14:paraId="50B47D06">
            <w:pPr>
              <w:adjustRightInd w:val="0"/>
              <w:snapToGrid w:val="0"/>
              <w:jc w:val="left"/>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5.投标保证金：无</w:t>
            </w:r>
          </w:p>
        </w:tc>
      </w:tr>
      <w:tr w14:paraId="137A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18FAA1F5">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一、（五）</w:t>
            </w:r>
          </w:p>
        </w:tc>
        <w:tc>
          <w:tcPr>
            <w:tcW w:w="1741" w:type="dxa"/>
            <w:vAlign w:val="center"/>
          </w:tcPr>
          <w:p w14:paraId="028E1C3D">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6983" w:type="dxa"/>
            <w:vAlign w:val="center"/>
          </w:tcPr>
          <w:p w14:paraId="7B44C850">
            <w:pPr>
              <w:adjustRightInd w:val="0"/>
              <w:snapToGrid w:val="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▲1.投标人代表是法定代表人（单位负责人、自然人本人）的提供本人身份证明；</w:t>
            </w:r>
          </w:p>
          <w:p w14:paraId="0ED9D214">
            <w:pPr>
              <w:adjustRightInd w:val="0"/>
              <w:snapToGrid w:val="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▲2.投标人代表不是法定代表人（单位负责人、自然人本人）的提供授权委托书（格式详见招标文件第六章）和授权代表社保缴纳[2025年1月（含）至今任意一月]证明；</w:t>
            </w:r>
          </w:p>
          <w:p w14:paraId="5169F105">
            <w:pPr>
              <w:adjustRightInd w:val="0"/>
              <w:snapToGrid w:val="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▲3.投标人委派不在本单位缴纳社保的人员作为授权代表的，在投标文件中说明具体原因、授权代表缴纳社保单位并附列该授权代表缴纳社保清单。</w:t>
            </w:r>
          </w:p>
        </w:tc>
      </w:tr>
      <w:tr w14:paraId="44AF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35470266">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一、（六）</w:t>
            </w:r>
          </w:p>
        </w:tc>
        <w:tc>
          <w:tcPr>
            <w:tcW w:w="1741" w:type="dxa"/>
            <w:vAlign w:val="center"/>
          </w:tcPr>
          <w:p w14:paraId="0FC22286">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6983" w:type="dxa"/>
            <w:vAlign w:val="center"/>
          </w:tcPr>
          <w:p w14:paraId="7A532D4A">
            <w:pPr>
              <w:adjustRightInd w:val="0"/>
              <w:snapToGrid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本项目接受联合体投标。</w:t>
            </w:r>
          </w:p>
          <w:p w14:paraId="5D325565">
            <w:pPr>
              <w:adjustRightInd w:val="0"/>
              <w:snapToGrid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两个以上的自然人、法人或者其他组织可以组成一个联合体，以一个供应商的身份共同参加政府采购。</w:t>
            </w:r>
          </w:p>
          <w:p w14:paraId="115380D7">
            <w:pPr>
              <w:adjustRightInd w:val="0"/>
              <w:snapToGrid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68FD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47ACBE66">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一、（七）</w:t>
            </w:r>
          </w:p>
        </w:tc>
        <w:tc>
          <w:tcPr>
            <w:tcW w:w="1741" w:type="dxa"/>
            <w:vAlign w:val="center"/>
          </w:tcPr>
          <w:p w14:paraId="272F0774">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6983" w:type="dxa"/>
            <w:vAlign w:val="center"/>
          </w:tcPr>
          <w:p w14:paraId="6796A62F">
            <w:pPr>
              <w:adjustRightInd w:val="0"/>
              <w:snapToGrid w:val="0"/>
              <w:jc w:val="left"/>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1.本项目不允许转包；</w:t>
            </w:r>
          </w:p>
          <w:p w14:paraId="63D719F9">
            <w:pPr>
              <w:adjustRightInd w:val="0"/>
              <w:snapToGrid w:val="0"/>
              <w:jc w:val="left"/>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2.本项目不允许分包，不适宜分包的理由是：保证项目完整性。</w:t>
            </w:r>
          </w:p>
        </w:tc>
      </w:tr>
      <w:tr w14:paraId="67D4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64DEDD8D">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三、（二）</w:t>
            </w:r>
          </w:p>
        </w:tc>
        <w:tc>
          <w:tcPr>
            <w:tcW w:w="1741" w:type="dxa"/>
            <w:vAlign w:val="center"/>
          </w:tcPr>
          <w:p w14:paraId="776534EE">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6983" w:type="dxa"/>
            <w:vAlign w:val="center"/>
          </w:tcPr>
          <w:p w14:paraId="4400DA19">
            <w:pPr>
              <w:adjustRightInd w:val="0"/>
              <w:snapToGrid w:val="0"/>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杭州市西湖区玉古路173号中田大厦21楼H室，浙江求是招标代理有限公司招标八部收，电话：0571-87679349，寄出后将快递单号、项目名称、公司名称、联系方式等相关信息发至zb08@qszb.net以便查收）。</w:t>
            </w:r>
          </w:p>
          <w:p w14:paraId="18A4F20D">
            <w:pPr>
              <w:adjustRightInd w:val="0"/>
              <w:snapToGrid w:val="0"/>
              <w:jc w:val="left"/>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7419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7CC3A100">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三、（五）</w:t>
            </w:r>
          </w:p>
        </w:tc>
        <w:tc>
          <w:tcPr>
            <w:tcW w:w="1741" w:type="dxa"/>
            <w:vAlign w:val="center"/>
          </w:tcPr>
          <w:p w14:paraId="07E02B50">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6983" w:type="dxa"/>
            <w:vAlign w:val="center"/>
          </w:tcPr>
          <w:p w14:paraId="0EF38E25">
            <w:pPr>
              <w:snapToGrid w:val="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1.报价应按招标文件要求的格式编制、填写报价内容，未按招标文件要求编制、填写的投标文件可能被拒绝；</w:t>
            </w:r>
          </w:p>
          <w:p w14:paraId="108F605E">
            <w:pPr>
              <w:snapToGrid w:val="0"/>
              <w:jc w:val="left"/>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2.以人民币报价；</w:t>
            </w:r>
          </w:p>
          <w:p w14:paraId="2BDA2680">
            <w:pPr>
              <w:snapToGrid w:val="0"/>
              <w:jc w:val="left"/>
              <w:rPr>
                <w:rFonts w:hint="eastAsia" w:ascii="仿宋" w:hAnsi="仿宋" w:eastAsia="仿宋" w:cs="仿宋"/>
                <w:color w:val="auto"/>
                <w:sz w:val="18"/>
                <w:szCs w:val="18"/>
                <w:highlight w:val="none"/>
              </w:rPr>
            </w:pPr>
            <w:r>
              <w:rPr>
                <w:rFonts w:hint="eastAsia" w:ascii="仿宋" w:hAnsi="仿宋" w:eastAsia="仿宋" w:cs="仿宋"/>
                <w:bCs/>
                <w:color w:val="auto"/>
                <w:sz w:val="18"/>
                <w:szCs w:val="18"/>
                <w:highlight w:val="none"/>
              </w:rPr>
              <w:t>3.投标报价是履行合同的最终价格，应包含履行所有规定服务所产生的全部费用，包括但不限于采购需求中需投标人承担的费用及潜在可能涉及的完成本项目的其它费用和政策性文件规定及合同包含的所有风险、责任和义务等一切应由采购人支付的费用；总价不为零，分项报价中部分服务单价为零的，视作已包含在总价中。</w:t>
            </w:r>
          </w:p>
          <w:p w14:paraId="679460B1">
            <w:pPr>
              <w:pStyle w:val="15"/>
              <w:adjustRightInd w:val="0"/>
              <w:snapToGrid w:val="0"/>
              <w:spacing w:before="0" w:beforeLines="0" w:after="0" w:afterLines="0" w:line="240" w:lineRule="auto"/>
              <w:jc w:val="left"/>
              <w:rPr>
                <w:rFonts w:hint="eastAsia" w:ascii="仿宋" w:hAnsi="仿宋" w:eastAsia="仿宋" w:cs="仿宋"/>
                <w:b/>
                <w:color w:val="auto"/>
                <w:sz w:val="18"/>
                <w:szCs w:val="18"/>
                <w:highlight w:val="none"/>
              </w:rPr>
            </w:pPr>
            <w:r>
              <w:rPr>
                <w:rFonts w:hint="eastAsia" w:ascii="仿宋" w:hAnsi="仿宋" w:eastAsia="仿宋" w:cs="仿宋"/>
                <w:color w:val="auto"/>
                <w:sz w:val="18"/>
                <w:szCs w:val="18"/>
                <w:highlight w:val="none"/>
              </w:rPr>
              <w:t>▲4.采购人将以合同形式有偿取得服务，不接受投标人给予的赠品、回扣或者与采购无关的其他商品、服务。</w:t>
            </w:r>
          </w:p>
        </w:tc>
      </w:tr>
      <w:tr w14:paraId="7856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2F097D02">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三、（六）</w:t>
            </w:r>
          </w:p>
        </w:tc>
        <w:tc>
          <w:tcPr>
            <w:tcW w:w="1741" w:type="dxa"/>
            <w:vAlign w:val="center"/>
          </w:tcPr>
          <w:p w14:paraId="24E114ED">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6983" w:type="dxa"/>
            <w:vAlign w:val="center"/>
          </w:tcPr>
          <w:p w14:paraId="7AC9D6E3">
            <w:pPr>
              <w:adjustRightInd w:val="0"/>
              <w:snapToGrid w:val="0"/>
              <w:jc w:val="left"/>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52DB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5027FE66">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741" w:type="dxa"/>
            <w:vAlign w:val="center"/>
          </w:tcPr>
          <w:p w14:paraId="596779B8">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w:t>
            </w:r>
          </w:p>
          <w:p w14:paraId="347850B1">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资格证明材料</w:t>
            </w:r>
          </w:p>
        </w:tc>
        <w:tc>
          <w:tcPr>
            <w:tcW w:w="6983" w:type="dxa"/>
            <w:vAlign w:val="center"/>
          </w:tcPr>
          <w:p w14:paraId="72574F14">
            <w:pPr>
              <w:snapToGrid w:val="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79E91794">
            <w:pPr>
              <w:snapToGrid w:val="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14:paraId="7EB89AA2">
            <w:pPr>
              <w:snapToGrid w:val="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14:paraId="2A0D06E8">
            <w:pPr>
              <w:snapToGrid w:val="0"/>
              <w:rPr>
                <w:rFonts w:hint="eastAsia" w:ascii="仿宋" w:hAnsi="仿宋" w:eastAsia="仿宋" w:cs="仿宋"/>
                <w:color w:val="auto"/>
                <w:spacing w:val="-6"/>
                <w:sz w:val="18"/>
                <w:szCs w:val="18"/>
                <w:highlight w:val="none"/>
              </w:rPr>
            </w:pPr>
            <w:r>
              <w:rPr>
                <w:rFonts w:hint="eastAsia" w:ascii="仿宋" w:hAnsi="仿宋" w:eastAsia="仿宋" w:cs="仿宋"/>
                <w:b/>
                <w:bCs/>
                <w:color w:val="auto"/>
                <w:spacing w:val="-6"/>
                <w:sz w:val="18"/>
                <w:szCs w:val="18"/>
                <w:highlight w:val="none"/>
              </w:rPr>
              <w:t>(3)</w:t>
            </w:r>
            <w:r>
              <w:rPr>
                <w:rFonts w:hint="eastAsia" w:ascii="仿宋" w:hAnsi="仿宋" w:eastAsia="仿宋" w:cs="仿宋"/>
                <w:b/>
                <w:bCs/>
                <w:color w:val="auto"/>
                <w:sz w:val="18"/>
                <w:szCs w:val="18"/>
                <w:highlight w:val="none"/>
              </w:rPr>
              <w:t>联合协议（若联合体投标）</w:t>
            </w:r>
          </w:p>
        </w:tc>
      </w:tr>
      <w:tr w14:paraId="7481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5DFF25FC">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五、（三）</w:t>
            </w:r>
          </w:p>
        </w:tc>
        <w:tc>
          <w:tcPr>
            <w:tcW w:w="1741" w:type="dxa"/>
            <w:vAlign w:val="center"/>
          </w:tcPr>
          <w:p w14:paraId="2419D55D">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6983" w:type="dxa"/>
            <w:vAlign w:val="center"/>
          </w:tcPr>
          <w:p w14:paraId="42EFBAE2">
            <w:pPr>
              <w:adjustRightInd w:val="0"/>
              <w:snapToGrid w:val="0"/>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25871A1B">
            <w:pPr>
              <w:adjustRightInd w:val="0"/>
              <w:snapToGrid w:val="0"/>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710E0241">
            <w:pPr>
              <w:adjustRightInd w:val="0"/>
              <w:snapToGrid w:val="0"/>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1AD44868">
            <w:pPr>
              <w:adjustRightInd w:val="0"/>
              <w:snapToGrid w:val="0"/>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33CF1DFB">
            <w:pPr>
              <w:adjustRightInd w:val="0"/>
              <w:snapToGrid w:val="0"/>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4BCD8478">
            <w:pPr>
              <w:adjustRightInd w:val="0"/>
              <w:snapToGrid w:val="0"/>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F84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262EFB4B">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741" w:type="dxa"/>
            <w:vAlign w:val="center"/>
          </w:tcPr>
          <w:p w14:paraId="763BEBA4">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评标方法和评标</w:t>
            </w:r>
          </w:p>
          <w:p w14:paraId="530E8476">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标准</w:t>
            </w:r>
          </w:p>
        </w:tc>
        <w:tc>
          <w:tcPr>
            <w:tcW w:w="6983" w:type="dxa"/>
            <w:vAlign w:val="center"/>
          </w:tcPr>
          <w:p w14:paraId="6FDE6516">
            <w:pPr>
              <w:adjustRightInd w:val="0"/>
              <w:snapToGrid w:val="0"/>
              <w:jc w:val="left"/>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详见“第四章  评标方法和评标标准”</w:t>
            </w:r>
          </w:p>
        </w:tc>
      </w:tr>
      <w:tr w14:paraId="4D44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04702C23">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七、（一）</w:t>
            </w:r>
          </w:p>
        </w:tc>
        <w:tc>
          <w:tcPr>
            <w:tcW w:w="1741" w:type="dxa"/>
            <w:vAlign w:val="center"/>
          </w:tcPr>
          <w:p w14:paraId="70EEBAFF">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6983" w:type="dxa"/>
            <w:vAlign w:val="center"/>
          </w:tcPr>
          <w:p w14:paraId="7DD6D111">
            <w:pPr>
              <w:adjustRightInd w:val="0"/>
              <w:snapToGrid w:val="0"/>
              <w:jc w:val="left"/>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5083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1" w:type="dxa"/>
            <w:vAlign w:val="center"/>
          </w:tcPr>
          <w:p w14:paraId="32F2FB3D">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七、（二）</w:t>
            </w:r>
          </w:p>
        </w:tc>
        <w:tc>
          <w:tcPr>
            <w:tcW w:w="1741" w:type="dxa"/>
            <w:vAlign w:val="center"/>
          </w:tcPr>
          <w:p w14:paraId="5C1DAAB5">
            <w:pPr>
              <w:snapToGrid w:val="0"/>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6983" w:type="dxa"/>
            <w:vAlign w:val="center"/>
          </w:tcPr>
          <w:p w14:paraId="796876B9">
            <w:pPr>
              <w:adjustRightInd w:val="0"/>
              <w:snapToGrid w:val="0"/>
              <w:jc w:val="left"/>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6BB6A1DA">
      <w:pPr>
        <w:adjustRightInd w:val="0"/>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57C6198">
      <w:pPr>
        <w:adjustRightInd w:val="0"/>
        <w:snapToGrid w:val="0"/>
        <w:spacing w:line="288" w:lineRule="auto"/>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0FCDEE3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33"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3"/>
    <w:p w14:paraId="0622349C">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（一）适用范围</w:t>
      </w:r>
    </w:p>
    <w:p w14:paraId="34837EB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全省计量比对辅助工作</w:t>
      </w:r>
      <w:r>
        <w:rPr>
          <w:rFonts w:hint="eastAsia" w:ascii="仿宋" w:hAnsi="仿宋" w:eastAsia="仿宋" w:cs="仿宋"/>
          <w:color w:val="auto"/>
          <w:spacing w:val="-6"/>
          <w:szCs w:val="21"/>
          <w:highlight w:val="none"/>
        </w:rPr>
        <w:t>的招标、评标、定标、验收、合同履约、付款等（法律、法规另有规定的，从其规定）。</w:t>
      </w:r>
    </w:p>
    <w:p w14:paraId="3AF9CB33">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（二）定义</w:t>
      </w:r>
    </w:p>
    <w:p w14:paraId="47D3812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1.“采购人”系指浙江省市场监督管理局；</w:t>
      </w:r>
    </w:p>
    <w:p w14:paraId="077C9D5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6ECD460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3.“投标人”系指响应招标、参加投标竞争的法人、其他组织或者自然人；</w:t>
      </w:r>
    </w:p>
    <w:p w14:paraId="78B8A5C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4.“书面形式”包括合同书、信件和数据电文（包括电报、电传、传真、电子数据交换和电子邮件）等可以有形地表现所载内容的形式；</w:t>
      </w:r>
    </w:p>
    <w:p w14:paraId="244E4A80">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4"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1）]，</w:t>
      </w:r>
      <w:r>
        <w:rPr>
          <w:rFonts w:hint="eastAsia" w:ascii="仿宋" w:hAnsi="仿宋" w:eastAsia="仿宋" w:cs="仿宋"/>
          <w:b/>
          <w:bCs/>
          <w:color w:val="auto"/>
          <w:spacing w:val="-6"/>
          <w:szCs w:val="21"/>
          <w:highlight w:val="none"/>
        </w:rPr>
        <w:t>招标文件对投标文件签署、盖章的要求适用于电子签名；</w:t>
      </w:r>
    </w:p>
    <w:bookmarkEnd w:id="34"/>
    <w:p w14:paraId="4C2E614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6.“▲”系指实质性要求条款，投标人应当做出实质性响应。</w:t>
      </w:r>
    </w:p>
    <w:p w14:paraId="091E91A3">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（三）招标方式</w:t>
      </w:r>
    </w:p>
    <w:p w14:paraId="28A085D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6CD10E3E">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（四）投标费用</w:t>
      </w:r>
    </w:p>
    <w:p w14:paraId="080402BB">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1.不论投标结果如何，投标人均应自行承担所有与投标有关的全部费用；</w:t>
      </w:r>
    </w:p>
    <w:p w14:paraId="437D7AD1">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2.中标人在中标通知书发出之日起七个工作日内向采购代理机构交纳代理服务费；</w:t>
      </w:r>
    </w:p>
    <w:p w14:paraId="18F64F18">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E2E3FE">
      <w:pPr>
        <w:adjustRightInd w:val="0"/>
        <w:snapToGrid w:val="0"/>
        <w:spacing w:line="288" w:lineRule="auto"/>
        <w:ind w:firstLine="424" w:firstLineChars="202"/>
        <w:jc w:val="lef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rPr>
        <w:t>收费标准：</w:t>
      </w:r>
    </w:p>
    <w:tbl>
      <w:tblPr>
        <w:tblStyle w:val="25"/>
        <w:tblW w:w="586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38"/>
        <w:gridCol w:w="4129"/>
      </w:tblGrid>
      <w:tr w14:paraId="42DAF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38" w:type="dxa"/>
            <w:tcMar>
              <w:top w:w="0" w:type="dxa"/>
              <w:left w:w="108" w:type="dxa"/>
              <w:bottom w:w="0" w:type="dxa"/>
              <w:right w:w="108" w:type="dxa"/>
            </w:tcMar>
            <w:vAlign w:val="center"/>
          </w:tcPr>
          <w:p w14:paraId="2471FE0D">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4129" w:type="dxa"/>
            <w:tcMar>
              <w:top w:w="0" w:type="dxa"/>
              <w:left w:w="108" w:type="dxa"/>
              <w:bottom w:w="0" w:type="dxa"/>
              <w:right w:w="108" w:type="dxa"/>
            </w:tcMar>
            <w:vAlign w:val="center"/>
          </w:tcPr>
          <w:p w14:paraId="170991D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290205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38" w:type="dxa"/>
            <w:tcMar>
              <w:top w:w="0" w:type="dxa"/>
              <w:left w:w="108" w:type="dxa"/>
              <w:bottom w:w="0" w:type="dxa"/>
              <w:right w:w="108" w:type="dxa"/>
            </w:tcMar>
            <w:vAlign w:val="center"/>
          </w:tcPr>
          <w:p w14:paraId="7A3413F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4129" w:type="dxa"/>
            <w:tcMar>
              <w:top w:w="0" w:type="dxa"/>
              <w:left w:w="108" w:type="dxa"/>
              <w:bottom w:w="0" w:type="dxa"/>
              <w:right w:w="108" w:type="dxa"/>
            </w:tcMar>
            <w:vAlign w:val="center"/>
          </w:tcPr>
          <w:p w14:paraId="706A7BC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0.9（不足壹仟伍佰元按壹仟伍佰元收取）</w:t>
            </w:r>
          </w:p>
        </w:tc>
      </w:tr>
    </w:tbl>
    <w:p w14:paraId="429D4086">
      <w:pPr>
        <w:adjustRightInd w:val="0"/>
        <w:snapToGrid w:val="0"/>
        <w:spacing w:line="288" w:lineRule="auto"/>
        <w:ind w:firstLine="399" w:firstLineChars="202"/>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5.投标保证金：无</w:t>
      </w:r>
    </w:p>
    <w:p w14:paraId="5C71C145">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（五）投标委托</w:t>
      </w:r>
    </w:p>
    <w:p w14:paraId="3DCAB7B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▲1.投标人代表是法定代表人（单位负责人、自然人本人）的提供本人身份证明；</w:t>
      </w:r>
    </w:p>
    <w:p w14:paraId="0D4C408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▲2.投标人代表不是法定代表人（单位负责人、自然人本人）的提供授权委托书（格式详见招标文件第六章）和授权代表社保缴纳[2025年1月（含）至今任意一月]证明；</w:t>
      </w:r>
    </w:p>
    <w:p w14:paraId="0CB7489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▲3.投标人委派不在本单位缴纳社保的人员作为授权代表的，在投标文件中说明具体原因、授权代表缴纳社保单位并附列该授权代表缴纳社保清单。</w:t>
      </w:r>
    </w:p>
    <w:p w14:paraId="5773A4A8">
      <w:pPr>
        <w:adjustRightInd w:val="0"/>
        <w:snapToGrid w:val="0"/>
        <w:spacing w:line="288" w:lineRule="auto"/>
        <w:outlineLvl w:val="2"/>
        <w:rPr>
          <w:rFonts w:hint="eastAsia" w:ascii="仿宋" w:hAnsi="仿宋" w:eastAsia="仿宋" w:cs="仿宋"/>
          <w:b/>
          <w:bCs/>
          <w:color w:val="auto"/>
          <w:szCs w:val="21"/>
          <w:highlight w:val="none"/>
        </w:rPr>
      </w:pPr>
      <w:r>
        <w:rPr>
          <w:rFonts w:hint="eastAsia" w:ascii="仿宋" w:hAnsi="仿宋" w:eastAsia="仿宋" w:cs="仿宋"/>
          <w:b/>
          <w:color w:val="auto"/>
          <w:spacing w:val="-6"/>
          <w:szCs w:val="21"/>
          <w:highlight w:val="none"/>
        </w:rPr>
        <w:t>（六）</w:t>
      </w:r>
      <w:r>
        <w:rPr>
          <w:rFonts w:hint="eastAsia" w:ascii="仿宋" w:hAnsi="仿宋" w:eastAsia="仿宋" w:cs="仿宋"/>
          <w:b/>
          <w:bCs/>
          <w:color w:val="auto"/>
          <w:szCs w:val="21"/>
          <w:highlight w:val="none"/>
        </w:rPr>
        <w:t>联合体投标</w:t>
      </w:r>
    </w:p>
    <w:p w14:paraId="38760BF1">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本项目接受联合体投标。</w:t>
      </w:r>
    </w:p>
    <w:p w14:paraId="11695AB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两个以上的自然人、法人或者其他组织可以组成一个联合体，以一个供应商的身份共同参加政府采购。</w:t>
      </w:r>
    </w:p>
    <w:p w14:paraId="4F6925B0">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12D27EB">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（七）转包与分包</w:t>
      </w:r>
    </w:p>
    <w:p w14:paraId="3D9B1BE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1.本项目不允许转包；</w:t>
      </w:r>
    </w:p>
    <w:p w14:paraId="21C4ACAD">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2.本项目不允许分包，不适宜分包的理由是：保证项目完整性。</w:t>
      </w:r>
    </w:p>
    <w:p w14:paraId="274B66CF">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（八）质疑和投诉</w:t>
      </w:r>
    </w:p>
    <w:p w14:paraId="5266868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35" w:name="_Hlk92273406"/>
      <w:r>
        <w:rPr>
          <w:rFonts w:hint="eastAsia" w:ascii="仿宋" w:hAnsi="仿宋" w:eastAsia="仿宋" w:cs="仿宋"/>
          <w:color w:val="auto"/>
          <w:spacing w:val="-6"/>
          <w:szCs w:val="21"/>
          <w:highlight w:val="none"/>
        </w:rPr>
        <w:t>1.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5"/>
    <w:p w14:paraId="00F39B47">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2.投标人提出质疑应当提交质疑函和必要的证明材料，质疑函应当包括下列内容：</w:t>
      </w:r>
    </w:p>
    <w:p w14:paraId="3E140E2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5D55498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0153D01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74C1365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73BD561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02CA27E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3A79CFF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3BF272C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4C1A15A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4.根据《政府采购质疑和投诉办法》第三十七条的规定，投诉人在全国范围12个月内三次以上投诉查无实据的，由财政部门列入不良行为记录名单。</w:t>
      </w:r>
    </w:p>
    <w:p w14:paraId="03B314C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326919F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5617FF3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01420DA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7FEA93F7">
      <w:pPr>
        <w:adjustRightInd w:val="0"/>
        <w:snapToGrid w:val="0"/>
        <w:spacing w:line="288" w:lineRule="auto"/>
        <w:outlineLvl w:val="2"/>
        <w:rPr>
          <w:rFonts w:hint="eastAsia" w:ascii="仿宋" w:hAnsi="仿宋" w:eastAsia="仿宋" w:cs="仿宋"/>
          <w:color w:val="auto"/>
          <w:szCs w:val="21"/>
          <w:highlight w:val="none"/>
        </w:rPr>
      </w:pPr>
      <w:bookmarkStart w:id="36" w:name="_Hlk92273111"/>
      <w:bookmarkStart w:id="37" w:name="_Hlk94018492"/>
      <w:r>
        <w:rPr>
          <w:rFonts w:hint="eastAsia" w:ascii="仿宋" w:hAnsi="仿宋" w:eastAsia="仿宋" w:cs="仿宋"/>
          <w:b/>
          <w:color w:val="auto"/>
          <w:spacing w:val="-6"/>
          <w:kern w:val="0"/>
          <w:szCs w:val="21"/>
          <w:highlight w:val="none"/>
        </w:rPr>
        <w:t>（九）采购项目需要落实的政府采购政策</w:t>
      </w:r>
    </w:p>
    <w:bookmarkEnd w:id="36"/>
    <w:p w14:paraId="09A67556">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1.进口产品</w:t>
      </w:r>
    </w:p>
    <w:p w14:paraId="1A7FD62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本项目原则上采购本国生产的货物、服务，不允许采购进口产品。优先采购向我国企业转让技术、与我国企业签订消化吸收再创新方案的供应商的进口产品。</w:t>
      </w:r>
    </w:p>
    <w:p w14:paraId="366BE10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74B8C73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5C61A518">
      <w:pPr>
        <w:adjustRightInd w:val="0"/>
        <w:snapToGrid w:val="0"/>
        <w:spacing w:line="288" w:lineRule="auto"/>
        <w:ind w:firstLine="398" w:firstLineChars="200"/>
        <w:jc w:val="left"/>
        <w:rPr>
          <w:rFonts w:hint="eastAsia"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2.支持绿色发展</w:t>
      </w:r>
    </w:p>
    <w:p w14:paraId="65E6852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CBAE50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388AEA50">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3.支持科技创新</w:t>
      </w:r>
    </w:p>
    <w:p w14:paraId="1229300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采购人优先采购被认定为首台套产品和“制造精品”的自主创新产品。</w:t>
      </w:r>
    </w:p>
    <w:p w14:paraId="578F516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对省级以上主管部门认定的首台套产品，自纳入《省推广应用指导目录》起3年内参加政府采购活动，视同已具备相应销售业绩，业绩分为满分。</w:t>
      </w:r>
    </w:p>
    <w:p w14:paraId="7DA58FA3">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197BFFEB">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4.支持中小企业发展</w:t>
      </w:r>
    </w:p>
    <w:p w14:paraId="04FD204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F1537D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5F5DE5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7EE0AEF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14:paraId="3DC0203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4.4 以联合体形式参加政府采购活动，联合体各方均为中小企业的，联合体视同中小企业。其中，联合体各方均为小微企业的，联合体视同小微企业。</w:t>
      </w:r>
    </w:p>
    <w:p w14:paraId="6A44F4E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2F3DF6B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组成联合体或者接受分包合同的中小企业与联合体内其他企业、分包企业之间不得存在直接控股、管理关系。</w:t>
      </w:r>
    </w:p>
    <w:p w14:paraId="1221088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专门面向中小企业采购的项目或者采购包，不再执行价格评审优惠的扶持政策。</w:t>
      </w:r>
    </w:p>
    <w:p w14:paraId="460E4C7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B6FC58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4.7 中小企业参加政府采购活动，应当出具办法规定的《中小企业声明函》，否则不得享受相关中小企业扶持政策。</w:t>
      </w:r>
    </w:p>
    <w:p w14:paraId="15212B2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40B7DE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4.8 供应商提供《中小企业声明函》内容不实的，属于提供虚假材料谋取中标，依照《中华人民共和国政府采购法》等国家有关规定追究相应责任。</w:t>
      </w:r>
    </w:p>
    <w:p w14:paraId="6FBADC1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4.9 供应商提供的《中小企业声明函》中，企业数据（如从业人员、营业收入、资产总额）有误的，采购代理机构或评标委员会可以要求供应商进行澄清、说明。但《中小企业声明函》出现下列情形的，《中小企业声明函》无效，不享受《政府采购促进中小企业发展管理办法》规定的中小企业扶持政策：</w:t>
      </w:r>
    </w:p>
    <w:p w14:paraId="6C9BFBA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（1）内容未包括全部采购标的；</w:t>
      </w:r>
    </w:p>
    <w:p w14:paraId="16FEABC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（2）未填写标的所属行业，或者填写的所属行业与招标文件明确的所属行业不一致；</w:t>
      </w:r>
    </w:p>
    <w:p w14:paraId="6B095EA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（3）未填写企业类型、填写的企业类型不明确或填写的企业类型与实际不符（即：企业类型（中型企业、小型企业或微型企业）填写错误）。</w:t>
      </w:r>
    </w:p>
    <w:p w14:paraId="5A47764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供应商声明的类型获得了本不应获得的利益（价格扣除或者资格审查通过），属于提供虚假材料。构成“提供虚假材料谋取中标的”，依法承担法律责任。</w:t>
      </w:r>
    </w:p>
    <w:p w14:paraId="54B2E6E1">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5.政府采购支持监狱企业发展</w:t>
      </w:r>
    </w:p>
    <w:p w14:paraId="4031F9C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FA0EC4F">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6.政府采购促进残疾人就业</w:t>
      </w:r>
    </w:p>
    <w:p w14:paraId="1D10C51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p>
    <w:p w14:paraId="30699DA5">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p>
    <w:p w14:paraId="6208F856">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7"/>
    <w:p w14:paraId="6D7EDB5B">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234A500">
      <w:pPr>
        <w:adjustRightInd w:val="0"/>
        <w:snapToGrid w:val="0"/>
        <w:spacing w:line="288" w:lineRule="auto"/>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31061F0B">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（一）招标文件的构成</w:t>
      </w:r>
    </w:p>
    <w:p w14:paraId="550548E2">
      <w:pPr>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157F314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1.投标邀请</w:t>
      </w:r>
    </w:p>
    <w:p w14:paraId="7317155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2.采购需求</w:t>
      </w:r>
    </w:p>
    <w:p w14:paraId="16FC6D3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3.投标人须知</w:t>
      </w:r>
    </w:p>
    <w:p w14:paraId="5AA02DC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4.评标方法和评标标准</w:t>
      </w:r>
    </w:p>
    <w:p w14:paraId="21C29E4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5.拟签订的合同文本</w:t>
      </w:r>
    </w:p>
    <w:p w14:paraId="325241B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6.投标文件格式</w:t>
      </w:r>
    </w:p>
    <w:p w14:paraId="1F60E62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7.本项目招标文件的澄清、答复、修改、补充的内容</w:t>
      </w:r>
    </w:p>
    <w:p w14:paraId="1B1AB6C8">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（二）招标文件的澄清与修改</w:t>
      </w:r>
    </w:p>
    <w:p w14:paraId="64B6B61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1.采购人或者采购代理机构可以对已发出的招标文件进行必要的澄清或者修改，澄清或者修改会在原公告发布媒体上发布澄清公告，澄清或者修改的内容为招标文件的组成部分。</w:t>
      </w:r>
    </w:p>
    <w:p w14:paraId="02B4047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518E3E7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10CEE981">
      <w:pPr>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2B07C5D9">
      <w:pPr>
        <w:adjustRightInd w:val="0"/>
        <w:snapToGrid w:val="0"/>
        <w:spacing w:line="288" w:lineRule="auto"/>
        <w:jc w:val="center"/>
        <w:outlineLvl w:val="1"/>
        <w:rPr>
          <w:rFonts w:hint="eastAsia"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03C15DB9">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（一）投标文件的组成</w:t>
      </w:r>
    </w:p>
    <w:p w14:paraId="18F4027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38"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7C7A13D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2.投标文件组成：详见“第六章  投标文件格式”目录。</w:t>
      </w:r>
    </w:p>
    <w:bookmarkEnd w:id="38"/>
    <w:p w14:paraId="2BB5E00B">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（二）投标文件的签署和份数</w:t>
      </w:r>
    </w:p>
    <w:p w14:paraId="6FB73B36">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67ED849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39" w:name="_Hlk96329183"/>
      <w:r>
        <w:rPr>
          <w:rFonts w:hint="eastAsia" w:ascii="仿宋" w:hAnsi="仿宋" w:eastAsia="仿宋" w:cs="仿宋"/>
          <w:color w:val="auto"/>
          <w:spacing w:val="-6"/>
          <w:szCs w:val="21"/>
          <w:highlight w:val="none"/>
        </w:rPr>
        <w:t>加盖公章</w:t>
      </w:r>
      <w:bookmarkEnd w:id="39"/>
      <w:r>
        <w:rPr>
          <w:rFonts w:hint="eastAsia" w:ascii="仿宋" w:hAnsi="仿宋" w:eastAsia="仿宋" w:cs="仿宋"/>
          <w:color w:val="auto"/>
          <w:spacing w:val="-6"/>
          <w:szCs w:val="21"/>
          <w:highlight w:val="none"/>
        </w:rPr>
        <w:t>，投标人应写全称；</w:t>
      </w:r>
    </w:p>
    <w:p w14:paraId="330B9F1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3.投标文件不得涂改，若有修改错漏处，须由投标人加盖公章，或者由投标人代表签名。投标文件因字迹潦草或表达不清所引起的后果由投标人负责；</w:t>
      </w:r>
    </w:p>
    <w:p w14:paraId="678A9F26">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4.投标文件份数：</w:t>
      </w:r>
    </w:p>
    <w:p w14:paraId="174790F1">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杭州市西湖区玉古路173号中田大厦21楼H室，浙江求是招标代理有限公司招标八部收，电话：0571-87679349，寄出后将快递单号、项目名称、公司名称、联系方式等相关信息发至zb08@qszb.net以便查收）。</w:t>
      </w:r>
    </w:p>
    <w:p w14:paraId="4AF65884">
      <w:pPr>
        <w:adjustRightInd w:val="0"/>
        <w:snapToGrid w:val="0"/>
        <w:spacing w:line="288" w:lineRule="auto"/>
        <w:ind w:firstLine="422"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6073A66E">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（三）投标文件的上传、递交、修改和撤回</w:t>
      </w:r>
    </w:p>
    <w:p w14:paraId="46AACE3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1.投标文件的上传、递交：</w:t>
      </w:r>
    </w:p>
    <w:p w14:paraId="6104786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6AA0A7B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▲1）投标人应在提交投标文件截止时间前将电子加密投标文件成功上传至政府采购云平台，否则投标无效；</w:t>
      </w:r>
    </w:p>
    <w:p w14:paraId="600DE46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2）电子加密投标文件成功上传后，投标人可自行打印投标文件接收回执。</w:t>
      </w:r>
    </w:p>
    <w:p w14:paraId="05A1E61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34C48E7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1）投标人在政府采购云平台完成电子加密投标文件的上传后，可以EMS或顺丰邮寄形式在提交投标文件截止时间前递交以介质（U盘）存储的数据电文形式的备份投标文件；</w:t>
      </w:r>
    </w:p>
    <w:p w14:paraId="3A2B9C1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4976FF4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▲3）通过政府采购云平台成功上传的电子加密投标文件已按时解密的，备份投标文件自动失效</w:t>
      </w:r>
      <w:bookmarkStart w:id="40" w:name="_Hlk94018616"/>
      <w:r>
        <w:rPr>
          <w:rFonts w:hint="eastAsia" w:ascii="仿宋" w:hAnsi="仿宋" w:eastAsia="仿宋" w:cs="仿宋"/>
          <w:color w:val="auto"/>
          <w:spacing w:val="-6"/>
          <w:szCs w:val="21"/>
          <w:highlight w:val="none"/>
        </w:rPr>
        <w:t>；</w:t>
      </w:r>
    </w:p>
    <w:p w14:paraId="0D5080D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▲4）投标人仅递交备份投标文件而未将电子加密投标文件成功上传至政府采购云平台的，投标无效。</w:t>
      </w:r>
    </w:p>
    <w:bookmarkEnd w:id="40"/>
    <w:p w14:paraId="3037F65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5962151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2.投标人因未在线参加开标而导致电子加密投标文件无法按时解密等一切后果由投标人自行承担；</w:t>
      </w:r>
    </w:p>
    <w:p w14:paraId="67A9946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3.投标人应按照招标文件和政府采购云平台的要求，根据投标文件的组成规定的内容及顺序通过政采云电子交易客户端（政采云投标客户端）编制加密投标文件。</w:t>
      </w:r>
    </w:p>
    <w:p w14:paraId="4E3DC943">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637698A8">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（四）投标文件的语言及计量</w:t>
      </w:r>
    </w:p>
    <w:p w14:paraId="6BF1599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80FF95D">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（五）投标报价</w:t>
      </w:r>
    </w:p>
    <w:p w14:paraId="354F913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41" w:name="_Hlk94018664"/>
      <w:r>
        <w:rPr>
          <w:rFonts w:hint="eastAsia" w:ascii="仿宋" w:hAnsi="仿宋" w:eastAsia="仿宋" w:cs="仿宋"/>
          <w:color w:val="auto"/>
          <w:spacing w:val="-6"/>
          <w:szCs w:val="21"/>
          <w:highlight w:val="none"/>
        </w:rPr>
        <w:t>1.报价应按招标文件要求的格式编制、填写报价内容，未按招标文件要求编制、填写的投标文件可能被拒绝；</w:t>
      </w:r>
    </w:p>
    <w:p w14:paraId="113C61F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2.以人民币报价；</w:t>
      </w:r>
    </w:p>
    <w:p w14:paraId="1EEEBA6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报价是履行合同的最终价格，应包含履行所有规定服务所产生的全部费用，包括但不限于采购需求中需投标人承担的费用及潜在可能涉及的完成本项目的其它费用和政策性文件规定及合同包含的所有风险、责任和义务等一切应由采购人支付的费用；总价不为零，分项报价中部分服务单价为零的，视作已包含在总价中。</w:t>
      </w:r>
    </w:p>
    <w:p w14:paraId="48A0AC7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▲4.采购人将以合同形式有偿取得服务，不接受投标人给予的赠品、回扣或者与采购无关的其他商品、服务。</w:t>
      </w:r>
    </w:p>
    <w:bookmarkEnd w:id="41"/>
    <w:p w14:paraId="7E0882F0">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（六）投标有效期</w:t>
      </w:r>
    </w:p>
    <w:p w14:paraId="7D6D69A6">
      <w:pPr>
        <w:pStyle w:val="15"/>
        <w:adjustRightInd w:val="0"/>
        <w:snapToGrid w:val="0"/>
        <w:spacing w:before="0" w:beforeLines="0" w:after="0" w:afterLines="0" w:line="288" w:lineRule="auto"/>
        <w:ind w:firstLine="396"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68C08CA9">
      <w:pPr>
        <w:widowControl/>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741690F">
      <w:pPr>
        <w:adjustRightInd w:val="0"/>
        <w:snapToGrid w:val="0"/>
        <w:spacing w:line="288" w:lineRule="auto"/>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4DB7F920">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（一）在资格审查时，如发现下列情形之一的，投标人将被视为资格审查不通过：</w:t>
      </w:r>
    </w:p>
    <w:p w14:paraId="799C2C6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1.资格证明材料不全的或者不符合招标文件要求的</w:t>
      </w:r>
    </w:p>
    <w:p w14:paraId="5F922FD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2.投标人不具备招标文件中规定的资格要求的</w:t>
      </w:r>
    </w:p>
    <w:p w14:paraId="614BD86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3.资格文件未按要求签署、盖章的</w:t>
      </w:r>
    </w:p>
    <w:p w14:paraId="6A05DE7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4.未响应招标文件“▲”标记条款要求的</w:t>
      </w:r>
    </w:p>
    <w:p w14:paraId="73FCCA80">
      <w:pPr>
        <w:adjustRightInd w:val="0"/>
        <w:snapToGrid w:val="0"/>
        <w:spacing w:line="288" w:lineRule="auto"/>
        <w:ind w:firstLine="398" w:firstLineChars="200"/>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（二）在符合性审查、商务和技术评审时，如发现下列情形之一的，投标文件将被视为无效：</w:t>
      </w:r>
    </w:p>
    <w:p w14:paraId="0DBD361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1.商务和技术文件未按要求签署、盖章的</w:t>
      </w:r>
    </w:p>
    <w:p w14:paraId="3C60097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2.未提供或未按要求提供投标函、授权委托书的</w:t>
      </w:r>
    </w:p>
    <w:p w14:paraId="3A5DEC4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3.未响应招标文件“▲”标记条款要求的</w:t>
      </w:r>
    </w:p>
    <w:p w14:paraId="039C240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4.未提供或未如实提供采购需求偏离表的</w:t>
      </w:r>
    </w:p>
    <w:p w14:paraId="66F0083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5.服务响应负偏离达到评分标准中规定数量</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2DF7E52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4BF54A4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.投标服务方案不明确（存在一个或一个以上备选/替代投标服务方案）的</w:t>
      </w:r>
    </w:p>
    <w:p w14:paraId="7862C2F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.投标文件含有采购人不能接受的附加条件的</w:t>
      </w:r>
    </w:p>
    <w:p w14:paraId="22B6B3C9">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.法律、法规和招标文件规定的其他无效情形</w:t>
      </w:r>
    </w:p>
    <w:p w14:paraId="7728FBEF">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（三）在报价评审时，如发现下列情形之一的，投标文件将被视为无效：</w:t>
      </w:r>
    </w:p>
    <w:p w14:paraId="0962EB3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1.报价文件未按要求签署、盖章的</w:t>
      </w:r>
    </w:p>
    <w:p w14:paraId="29DEF964">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2.未按照招标文件标明的币种、形式报价的</w:t>
      </w:r>
    </w:p>
    <w:p w14:paraId="1CB4ACC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3.报价内容有缺漏项或者与招标文件要求不一致的</w:t>
      </w:r>
    </w:p>
    <w:p w14:paraId="40F0F189">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4.报价超过招标文件中规定的预算金额的</w:t>
      </w:r>
    </w:p>
    <w:p w14:paraId="6540B1F4">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5.报价具有选择性的</w:t>
      </w:r>
    </w:p>
    <w:p w14:paraId="1FBE4BD2">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6.未响应招标文件“▲”标记条款要求的</w:t>
      </w:r>
    </w:p>
    <w:p w14:paraId="1D9A851E">
      <w:pPr>
        <w:widowControl/>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bookmarkStart w:id="42"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bookmarkEnd w:id="42"/>
    <w:p w14:paraId="6EA4DCD5">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（四）有下列情形之一的，视为投标人串通投标，其投标无效：</w:t>
      </w:r>
    </w:p>
    <w:p w14:paraId="71EB7D72">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1.不同投标人的投标文件由同一单位或者个人编制</w:t>
      </w:r>
    </w:p>
    <w:p w14:paraId="10A9D4C1">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2.不同投标人委托同一单位或者个人办理投标事宜</w:t>
      </w:r>
    </w:p>
    <w:p w14:paraId="39AA224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3.不同投标人的投标文件载明的项目管理成员或者联系人员为同一人</w:t>
      </w:r>
    </w:p>
    <w:p w14:paraId="2514F7F4">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4.不同投标人的投标文件异常一致或者投标报价呈规律性差异</w:t>
      </w:r>
    </w:p>
    <w:p w14:paraId="0274C379">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5.不同投标人的投标文件相互混装</w:t>
      </w:r>
    </w:p>
    <w:p w14:paraId="0A31DB75">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（五）参与同一个采购包（标项）的投标人存在下列情形之一且无法合理解释的，其投标文件无效：</w:t>
      </w:r>
    </w:p>
    <w:p w14:paraId="69CFC910">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1.不同投标人的电子投标文件上传计算机的网卡MAC地址或硬盘序列号等硬件信息相同的</w:t>
      </w:r>
    </w:p>
    <w:p w14:paraId="295BF33C">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2.上传的电子投标文件若出现使用本项目其他投标人的数字证书加密的或加盖本项目其他投标人的电子印章的</w:t>
      </w:r>
    </w:p>
    <w:p w14:paraId="1800CD3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3.不同投标人的投标文件的内容存在3处（含）以上错误一致的</w:t>
      </w:r>
    </w:p>
    <w:p w14:paraId="318FAA7D">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4.不同投标人联系人为同一人或不同联系人的联系电话一致的</w:t>
      </w:r>
    </w:p>
    <w:p w14:paraId="603E4488">
      <w:pPr>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09BBE580">
      <w:pPr>
        <w:adjustRightInd w:val="0"/>
        <w:snapToGrid w:val="0"/>
        <w:spacing w:line="288" w:lineRule="auto"/>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634B2764">
      <w:pPr>
        <w:pStyle w:val="103"/>
        <w:snapToGrid w:val="0"/>
        <w:spacing w:before="0" w:line="288" w:lineRule="auto"/>
        <w:ind w:left="0" w:firstLine="424" w:firstLineChars="201"/>
        <w:outlineLvl w:val="2"/>
        <w:rPr>
          <w:rFonts w:hint="eastAsia" w:ascii="仿宋" w:hAnsi="仿宋" w:eastAsia="仿宋" w:cs="仿宋"/>
          <w:color w:val="auto"/>
          <w:szCs w:val="21"/>
          <w:highlight w:val="none"/>
        </w:rPr>
      </w:pPr>
      <w:bookmarkStart w:id="43" w:name="_Hlk94018775"/>
      <w:r>
        <w:rPr>
          <w:rFonts w:hint="eastAsia" w:ascii="仿宋" w:hAnsi="仿宋" w:eastAsia="仿宋" w:cs="仿宋"/>
          <w:b/>
          <w:color w:val="auto"/>
          <w:szCs w:val="21"/>
          <w:highlight w:val="none"/>
        </w:rPr>
        <w:t>（一）开标</w:t>
      </w:r>
    </w:p>
    <w:p w14:paraId="7FC24CCF">
      <w:pPr>
        <w:pStyle w:val="103"/>
        <w:snapToGrid w:val="0"/>
        <w:spacing w:before="0" w:line="288" w:lineRule="auto"/>
        <w:ind w:left="0" w:firstLine="422" w:firstLineChars="201"/>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52F26CA4">
      <w:pPr>
        <w:pStyle w:val="103"/>
        <w:snapToGrid w:val="0"/>
        <w:spacing w:before="0" w:line="288" w:lineRule="auto"/>
        <w:ind w:left="0" w:firstLine="422" w:firstLineChars="201"/>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开标时，电子交易平台按开标时间自动提取所有投标文件。采购人或采购代理机构依托电子交易平台发起开始解密指令，投标人按照平台提示和招标文件的规定在半小时内完成在线解密。</w:t>
      </w:r>
    </w:p>
    <w:p w14:paraId="1D4D61D2">
      <w:pPr>
        <w:adjustRightInd w:val="0"/>
        <w:snapToGrid w:val="0"/>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0FD38820">
      <w:pPr>
        <w:pStyle w:val="103"/>
        <w:snapToGrid w:val="0"/>
        <w:spacing w:before="0" w:line="288" w:lineRule="auto"/>
        <w:ind w:left="0" w:firstLine="424" w:firstLineChars="201"/>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6A66DC94">
      <w:pPr>
        <w:adjustRightInd w:val="0"/>
        <w:snapToGrid w:val="0"/>
        <w:spacing w:line="288" w:lineRule="auto"/>
        <w:ind w:firstLine="422" w:firstLineChars="201"/>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6B5DF41C">
      <w:pPr>
        <w:pStyle w:val="102"/>
        <w:adjustRightInd w:val="0"/>
        <w:snapToGrid w:val="0"/>
        <w:spacing w:before="0" w:line="288" w:lineRule="auto"/>
        <w:ind w:firstLine="422" w:firstLineChars="20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0E191764">
      <w:pPr>
        <w:pStyle w:val="102"/>
        <w:adjustRightInd w:val="0"/>
        <w:snapToGrid w:val="0"/>
        <w:spacing w:before="0" w:line="288" w:lineRule="auto"/>
        <w:ind w:firstLine="422" w:firstLineChars="20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7BAEEC98">
      <w:pPr>
        <w:pStyle w:val="103"/>
        <w:snapToGrid w:val="0"/>
        <w:spacing w:before="0" w:line="288" w:lineRule="auto"/>
        <w:ind w:left="0" w:firstLine="424" w:firstLineChars="201"/>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3200D895">
      <w:pPr>
        <w:pStyle w:val="102"/>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5A22500D">
      <w:pPr>
        <w:pStyle w:val="102"/>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1.信用信息查询的截止时点：投标截止时间；</w:t>
      </w:r>
    </w:p>
    <w:p w14:paraId="719DD178">
      <w:pPr>
        <w:pStyle w:val="102"/>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2.查询渠道：“信用中国”（www.creditchina.gov.cn）、“中国政府采购网”（www.ccgp.gov.cn）；</w:t>
      </w:r>
    </w:p>
    <w:p w14:paraId="4CE8C1F4">
      <w:pPr>
        <w:pStyle w:val="102"/>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3.信用信息查询记录和证据留存具体方式：采购代理机构经办人和监督人员将查询网页打印、签名与其他采购文件一并保存；</w:t>
      </w:r>
    </w:p>
    <w:p w14:paraId="3453CAAE">
      <w:pPr>
        <w:pStyle w:val="102"/>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4.信用信息的使用规则：投标人被列入失信被执行人、重大税收违法案件当事人名单、政府采购严重违法失信行为记录名单的，拒绝其参与政府采购活动。</w:t>
      </w:r>
    </w:p>
    <w:p w14:paraId="39D95502">
      <w:pPr>
        <w:pStyle w:val="102"/>
        <w:adjustRightInd w:val="0"/>
        <w:snapToGrid w:val="0"/>
        <w:spacing w:before="0" w:line="288" w:lineRule="auto"/>
        <w:ind w:firstLine="424" w:firstLineChars="201"/>
        <w:rPr>
          <w:rFonts w:hint="eastAsia"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8BBBDE6">
      <w:pPr>
        <w:adjustRightInd w:val="0"/>
        <w:snapToGrid w:val="0"/>
        <w:spacing w:line="288" w:lineRule="auto"/>
        <w:ind w:firstLine="398" w:firstLineChars="200"/>
        <w:rPr>
          <w:rFonts w:hint="eastAsia" w:ascii="仿宋" w:hAnsi="仿宋" w:eastAsia="仿宋" w:cs="仿宋"/>
          <w:b/>
          <w:bCs/>
          <w:color w:val="auto"/>
          <w:spacing w:val="-6"/>
          <w:szCs w:val="21"/>
          <w:highlight w:val="none"/>
        </w:rPr>
      </w:pPr>
    </w:p>
    <w:p w14:paraId="03673728">
      <w:pPr>
        <w:adjustRightInd w:val="0"/>
        <w:snapToGrid w:val="0"/>
        <w:spacing w:line="288" w:lineRule="auto"/>
        <w:ind w:firstLine="398" w:firstLineChars="200"/>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3"/>
    <w:p w14:paraId="7C27340F">
      <w:pPr>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47EA9669">
      <w:pPr>
        <w:adjustRightInd w:val="0"/>
        <w:snapToGrid w:val="0"/>
        <w:spacing w:line="288" w:lineRule="auto"/>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6D5197EB">
      <w:pPr>
        <w:adjustRightInd w:val="0"/>
        <w:snapToGrid w:val="0"/>
        <w:spacing w:line="288" w:lineRule="auto"/>
        <w:ind w:firstLine="420" w:firstLineChars="200"/>
        <w:rPr>
          <w:rFonts w:hint="eastAsia" w:ascii="仿宋" w:hAnsi="仿宋" w:eastAsia="仿宋" w:cs="仿宋"/>
          <w:color w:val="auto"/>
          <w:kern w:val="0"/>
          <w:szCs w:val="21"/>
          <w:highlight w:val="none"/>
        </w:rPr>
      </w:pPr>
      <w:bookmarkStart w:id="44"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32A8763">
      <w:pPr>
        <w:adjustRightInd w:val="0"/>
        <w:snapToGrid w:val="0"/>
        <w:spacing w:line="288"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4"/>
    <w:p w14:paraId="7921D21B">
      <w:pPr>
        <w:adjustRightInd w:val="0"/>
        <w:snapToGrid w:val="0"/>
        <w:spacing w:line="288" w:lineRule="auto"/>
        <w:ind w:firstLine="426" w:firstLineChars="202"/>
        <w:outlineLvl w:val="2"/>
        <w:rPr>
          <w:rFonts w:hint="eastAsia" w:ascii="仿宋" w:hAnsi="仿宋" w:eastAsia="仿宋" w:cs="仿宋"/>
          <w:b/>
          <w:color w:val="auto"/>
          <w:kern w:val="0"/>
          <w:szCs w:val="21"/>
          <w:highlight w:val="none"/>
        </w:rPr>
      </w:pPr>
      <w:bookmarkStart w:id="45" w:name="_Hlk94019000"/>
      <w:r>
        <w:rPr>
          <w:rFonts w:hint="eastAsia" w:ascii="仿宋" w:hAnsi="仿宋" w:eastAsia="仿宋" w:cs="仿宋"/>
          <w:b/>
          <w:color w:val="auto"/>
          <w:kern w:val="0"/>
          <w:szCs w:val="21"/>
          <w:highlight w:val="none"/>
        </w:rPr>
        <w:t>（一）符合性审查</w:t>
      </w:r>
    </w:p>
    <w:p w14:paraId="46F19E11">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4F68CB76">
      <w:pPr>
        <w:adjustRightInd w:val="0"/>
        <w:snapToGrid w:val="0"/>
        <w:spacing w:line="288" w:lineRule="auto"/>
        <w:ind w:firstLine="426" w:firstLineChars="202"/>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36656BBE">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1DC9043E">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E8ABAF7">
      <w:pPr>
        <w:adjustRightInd w:val="0"/>
        <w:snapToGrid w:val="0"/>
        <w:spacing w:line="288" w:lineRule="auto"/>
        <w:ind w:firstLine="426" w:firstLineChars="202"/>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3F6F5950">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684F8CB9">
      <w:pPr>
        <w:adjustRightInd w:val="0"/>
        <w:snapToGrid w:val="0"/>
        <w:spacing w:line="288" w:lineRule="auto"/>
        <w:ind w:firstLine="426" w:firstLineChars="202"/>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10D7B06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3A26CB4F">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409AD01E">
      <w:pPr>
        <w:pStyle w:val="102"/>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67BB2518">
      <w:pPr>
        <w:pStyle w:val="102"/>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54246A62">
      <w:pPr>
        <w:pStyle w:val="102"/>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5F8EB583">
      <w:pPr>
        <w:pStyle w:val="102"/>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4B50A617">
      <w:pPr>
        <w:pStyle w:val="102"/>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6" w:name="_Hlk96329302"/>
      <w:r>
        <w:rPr>
          <w:rFonts w:hint="eastAsia" w:ascii="仿宋" w:hAnsi="仿宋" w:eastAsia="仿宋" w:cs="仿宋"/>
          <w:color w:val="auto"/>
          <w:kern w:val="0"/>
          <w:sz w:val="21"/>
          <w:szCs w:val="21"/>
          <w:highlight w:val="none"/>
        </w:rPr>
        <w:t>加盖公章，或者由投标人代表签名</w:t>
      </w:r>
      <w:bookmarkEnd w:id="46"/>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35F5419E">
      <w:pPr>
        <w:pStyle w:val="102"/>
        <w:adjustRightInd w:val="0"/>
        <w:snapToGrid w:val="0"/>
        <w:spacing w:before="0"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617F4D5F">
      <w:pPr>
        <w:adjustRightInd w:val="0"/>
        <w:snapToGrid w:val="0"/>
        <w:spacing w:line="288" w:lineRule="auto"/>
        <w:ind w:firstLine="426" w:firstLineChars="2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评审中出现下列情形之一的，评标委员会应当启动异常低价投标审查程序：</w:t>
      </w:r>
    </w:p>
    <w:p w14:paraId="73D79E8F">
      <w:pPr>
        <w:adjustRightInd w:val="0"/>
        <w:snapToGrid w:val="0"/>
        <w:spacing w:line="288" w:lineRule="auto"/>
        <w:ind w:firstLine="424" w:firstLineChars="202"/>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（一）投标报价低于全部通过符合性审查供应商投标报价平均值50%的，即投标报价&lt;全部通过符合性审查供应商投标报价平均值×50%；</w:t>
      </w:r>
    </w:p>
    <w:p w14:paraId="50A3A6F2">
      <w:pPr>
        <w:adjustRightInd w:val="0"/>
        <w:snapToGrid w:val="0"/>
        <w:spacing w:line="288" w:lineRule="auto"/>
        <w:ind w:firstLine="424" w:firstLineChars="202"/>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（二）投标报价低于通过符合性审查且报价次低供应商投标报价50%的，即投标报价&lt;通过符合性审查且报价次低供应商投标报价×50%；</w:t>
      </w:r>
    </w:p>
    <w:p w14:paraId="27824846">
      <w:pPr>
        <w:adjustRightInd w:val="0"/>
        <w:snapToGrid w:val="0"/>
        <w:spacing w:line="288" w:lineRule="auto"/>
        <w:ind w:firstLine="424" w:firstLineChars="202"/>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（三）投标报价低于采购项目最高限价45%的，即投标报价&lt;采购项目最高限价×45%；</w:t>
      </w:r>
    </w:p>
    <w:p w14:paraId="298B9149">
      <w:pPr>
        <w:adjustRightInd w:val="0"/>
        <w:snapToGrid w:val="0"/>
        <w:spacing w:line="288" w:lineRule="auto"/>
        <w:ind w:firstLine="424" w:firstLineChars="202"/>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（四）其他评标委员会认为供应商报价过低，有可能影响产品质量或者不能诚信履约的情形。</w:t>
      </w:r>
    </w:p>
    <w:p w14:paraId="51BD5B54">
      <w:pPr>
        <w:adjustRightInd w:val="0"/>
        <w:snapToGrid w:val="0"/>
        <w:spacing w:line="288" w:lineRule="auto"/>
        <w:ind w:firstLine="424" w:firstLineChars="202"/>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17798838">
      <w:pPr>
        <w:adjustRightInd w:val="0"/>
        <w:snapToGrid w:val="0"/>
        <w:spacing w:line="288" w:lineRule="auto"/>
        <w:ind w:firstLine="424" w:firstLineChars="202"/>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审报告中记录。</w:t>
      </w:r>
    </w:p>
    <w:p w14:paraId="3FC8D2EB">
      <w:pPr>
        <w:adjustRightInd w:val="0"/>
        <w:snapToGrid w:val="0"/>
        <w:spacing w:line="288" w:lineRule="auto"/>
        <w:ind w:firstLine="426" w:firstLineChars="202"/>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412BA5FA">
      <w:pPr>
        <w:pStyle w:val="102"/>
        <w:adjustRightInd w:val="0"/>
        <w:snapToGrid w:val="0"/>
        <w:spacing w:before="0" w:line="288"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9ABD92">
      <w:pPr>
        <w:adjustRightInd w:val="0"/>
        <w:snapToGrid w:val="0"/>
        <w:spacing w:line="288"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18B96C12">
      <w:pPr>
        <w:adjustRightInd w:val="0"/>
        <w:snapToGrid w:val="0"/>
        <w:spacing w:line="288" w:lineRule="auto"/>
        <w:ind w:firstLine="426" w:firstLineChars="202"/>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0DB55D78">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评标方法：本项目评标方法是综合评分法，具体评标方法和评标标准等详见“第四章：评标方法和评标标准”。</w:t>
      </w:r>
    </w:p>
    <w:p w14:paraId="6B06503C">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r>
        <w:rPr>
          <w:rFonts w:hint="eastAsia" w:ascii="仿宋" w:hAnsi="仿宋" w:eastAsia="仿宋" w:cs="仿宋"/>
          <w:bCs/>
          <w:color w:val="auto"/>
          <w:spacing w:val="-6"/>
          <w:szCs w:val="21"/>
          <w:highlight w:val="none"/>
          <w:lang w:val="en-US" w:eastAsia="zh-CN"/>
        </w:rPr>
        <w:t>/标项</w:t>
      </w:r>
      <w:r>
        <w:rPr>
          <w:rFonts w:hint="eastAsia" w:ascii="仿宋" w:hAnsi="仿宋" w:eastAsia="仿宋" w:cs="仿宋"/>
          <w:bCs/>
          <w:color w:val="auto"/>
          <w:spacing w:val="-6"/>
          <w:szCs w:val="21"/>
          <w:highlight w:val="none"/>
        </w:rPr>
        <w:t>。</w:t>
      </w:r>
    </w:p>
    <w:p w14:paraId="40062138">
      <w:pPr>
        <w:adjustRightInd w:val="0"/>
        <w:snapToGrid w:val="0"/>
        <w:spacing w:line="288" w:lineRule="auto"/>
        <w:ind w:firstLine="402" w:firstLineChars="20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标项一、二、三采用兼投兼评不兼中的方式，投标人可参加所有标项的投标、评标，但最多只能成为标项一、二、三</w:t>
      </w:r>
      <w:r>
        <w:rPr>
          <w:rFonts w:hint="eastAsia" w:ascii="仿宋" w:hAnsi="仿宋" w:eastAsia="仿宋" w:cs="仿宋"/>
          <w:b/>
          <w:color w:val="auto"/>
          <w:spacing w:val="-6"/>
          <w:szCs w:val="21"/>
          <w:highlight w:val="none"/>
          <w:lang w:val="en-US" w:eastAsia="zh-CN"/>
        </w:rPr>
        <w:t>中</w:t>
      </w:r>
      <w:r>
        <w:rPr>
          <w:rFonts w:hint="eastAsia" w:ascii="仿宋" w:hAnsi="仿宋" w:eastAsia="仿宋" w:cs="仿宋"/>
          <w:b/>
          <w:color w:val="auto"/>
          <w:spacing w:val="-6"/>
          <w:szCs w:val="21"/>
          <w:highlight w:val="none"/>
        </w:rPr>
        <w:t>一个标项的中标人。即1个投标人同时为2个及以上标项排名第一的中标候选人时根据标项顺序确定其中标的标项（在标项一、二、三剩余标项中上述投标人不作为中标候选人），剩余标项的中标人由对应标项排名第二的</w:t>
      </w:r>
      <w:r>
        <w:rPr>
          <w:rFonts w:hint="eastAsia" w:ascii="仿宋" w:hAnsi="仿宋" w:eastAsia="仿宋" w:cs="仿宋"/>
          <w:b/>
          <w:color w:val="auto"/>
          <w:spacing w:val="-6"/>
          <w:szCs w:val="21"/>
          <w:highlight w:val="none"/>
          <w:lang w:val="en-US" w:eastAsia="zh-CN"/>
        </w:rPr>
        <w:t>投标人</w:t>
      </w:r>
      <w:r>
        <w:rPr>
          <w:rFonts w:hint="eastAsia" w:ascii="仿宋" w:hAnsi="仿宋" w:eastAsia="仿宋" w:cs="仿宋"/>
          <w:b/>
          <w:color w:val="auto"/>
          <w:spacing w:val="-6"/>
          <w:szCs w:val="21"/>
          <w:highlight w:val="none"/>
        </w:rPr>
        <w:t>递补，依此类推直至所有标项中标人产生为止。</w:t>
      </w:r>
    </w:p>
    <w:p w14:paraId="7B90A0DA">
      <w:pPr>
        <w:adjustRightInd w:val="0"/>
        <w:snapToGrid w:val="0"/>
        <w:spacing w:line="288" w:lineRule="auto"/>
        <w:ind w:firstLine="426" w:firstLineChars="202"/>
        <w:rPr>
          <w:rFonts w:hint="eastAsia" w:ascii="仿宋" w:hAnsi="仿宋" w:eastAsia="仿宋" w:cs="仿宋"/>
          <w:b/>
          <w:color w:val="auto"/>
          <w:spacing w:val="-6"/>
          <w:szCs w:val="21"/>
          <w:highlight w:val="none"/>
        </w:rPr>
      </w:pPr>
      <w:r>
        <w:rPr>
          <w:rFonts w:hint="eastAsia" w:ascii="仿宋" w:hAnsi="仿宋" w:eastAsia="仿宋" w:cs="仿宋"/>
          <w:b/>
          <w:color w:val="auto"/>
          <w:kern w:val="0"/>
          <w:szCs w:val="21"/>
          <w:highlight w:val="none"/>
        </w:rPr>
        <w:t>说明：如N个（N≥2）标项排名第一的</w:t>
      </w:r>
      <w:r>
        <w:rPr>
          <w:rFonts w:hint="eastAsia" w:ascii="仿宋" w:hAnsi="仿宋" w:eastAsia="仿宋" w:cs="仿宋"/>
          <w:b/>
          <w:color w:val="auto"/>
          <w:spacing w:val="-6"/>
          <w:szCs w:val="21"/>
          <w:highlight w:val="none"/>
        </w:rPr>
        <w:t>中标候选人为同一家，则排序在后的标项有效投标人须≥N+2家（例：N=2则标项二有效投标人须≥4家、N=3则标项三有效投标人须≥5家），</w:t>
      </w:r>
      <w:r>
        <w:rPr>
          <w:rFonts w:hint="eastAsia" w:ascii="仿宋" w:hAnsi="仿宋" w:eastAsia="仿宋" w:cs="仿宋"/>
          <w:b/>
          <w:color w:val="auto"/>
          <w:spacing w:val="-6"/>
          <w:szCs w:val="21"/>
          <w:highlight w:val="none"/>
          <w:lang w:val="en-US" w:eastAsia="zh-CN"/>
        </w:rPr>
        <w:t>否则</w:t>
      </w:r>
      <w:bookmarkStart w:id="49" w:name="_GoBack"/>
      <w:bookmarkEnd w:id="49"/>
      <w:r>
        <w:rPr>
          <w:rFonts w:hint="eastAsia" w:ascii="仿宋" w:hAnsi="仿宋" w:eastAsia="仿宋" w:cs="仿宋"/>
          <w:b/>
          <w:color w:val="auto"/>
          <w:spacing w:val="-6"/>
          <w:szCs w:val="21"/>
          <w:highlight w:val="none"/>
        </w:rPr>
        <w:t>有效投标人不足则该标项废标。</w:t>
      </w:r>
    </w:p>
    <w:p w14:paraId="56146D75">
      <w:pPr>
        <w:adjustRightInd w:val="0"/>
        <w:snapToGrid w:val="0"/>
        <w:spacing w:line="288" w:lineRule="auto"/>
        <w:ind w:firstLine="426" w:firstLineChars="202"/>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0EB48402">
      <w:pPr>
        <w:adjustRightInd w:val="0"/>
        <w:snapToGrid w:val="0"/>
        <w:spacing w:line="288" w:lineRule="auto"/>
        <w:ind w:firstLine="424" w:firstLineChars="20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5"/>
    <w:p w14:paraId="732973C2">
      <w:pPr>
        <w:widowControl/>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7FAB91A">
      <w:pPr>
        <w:adjustRightInd w:val="0"/>
        <w:snapToGrid w:val="0"/>
        <w:spacing w:line="288" w:lineRule="auto"/>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7C82892C">
      <w:pPr>
        <w:adjustRightInd w:val="0"/>
        <w:snapToGrid w:val="0"/>
        <w:spacing w:line="288" w:lineRule="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（一）中标</w:t>
      </w:r>
    </w:p>
    <w:p w14:paraId="3C7C4D4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05238D4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2.采购代理机构自中标人确定之日起2个工作日内，公告中标结果，并发出中标通知书；</w:t>
      </w:r>
    </w:p>
    <w:p w14:paraId="36025C2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08FC1E35">
      <w:pPr>
        <w:adjustRightInd w:val="0"/>
        <w:snapToGrid w:val="0"/>
        <w:spacing w:line="288" w:lineRule="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（二）合同</w:t>
      </w:r>
    </w:p>
    <w:p w14:paraId="77B73174">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DB3667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79365D3">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76343F5">
      <w:pPr>
        <w:adjustRightInd w:val="0"/>
        <w:snapToGrid w:val="0"/>
        <w:spacing w:line="288" w:lineRule="auto"/>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248A8995">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FE46C25">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0E126329">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8DB108">
      <w:pPr>
        <w:tabs>
          <w:tab w:val="left" w:pos="0"/>
        </w:tabs>
        <w:adjustRightInd w:val="0"/>
        <w:snapToGrid w:val="0"/>
        <w:spacing w:line="288" w:lineRule="auto"/>
        <w:ind w:firstLine="422" w:firstLineChars="201"/>
        <w:rPr>
          <w:rFonts w:hint="eastAsia"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38F522">
      <w:pPr>
        <w:adjustRightInd w:val="0"/>
        <w:snapToGrid w:val="0"/>
        <w:spacing w:line="288" w:lineRule="auto"/>
        <w:ind w:firstLine="398" w:firstLineChars="20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5BC7E05">
      <w:pPr>
        <w:adjustRightInd w:val="0"/>
        <w:snapToGrid w:val="0"/>
        <w:spacing w:line="288" w:lineRule="auto"/>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43504B8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2BECBFC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01401B3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42165B8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06A0E98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09DBB28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6E32D973">
      <w:pPr>
        <w:adjustRightInd w:val="0"/>
        <w:snapToGrid w:val="0"/>
        <w:spacing w:line="288" w:lineRule="auto"/>
        <w:ind w:firstLine="396" w:firstLineChars="200"/>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6E441B46">
      <w:pPr>
        <w:adjustRightInd w:val="0"/>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79D38C0">
      <w:pPr>
        <w:adjustRightInd w:val="0"/>
        <w:snapToGrid w:val="0"/>
        <w:spacing w:line="288" w:lineRule="auto"/>
        <w:jc w:val="center"/>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z w:val="32"/>
          <w:szCs w:val="32"/>
          <w:highlight w:val="none"/>
        </w:rPr>
        <w:t>第四章  评标方法和评标标准</w:t>
      </w:r>
    </w:p>
    <w:p w14:paraId="1D73820D">
      <w:pPr>
        <w:adjustRightInd w:val="0"/>
        <w:snapToGrid w:val="0"/>
        <w:spacing w:line="288" w:lineRule="auto"/>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660406C9">
      <w:pPr>
        <w:adjustRightInd w:val="0"/>
        <w:snapToGrid w:val="0"/>
        <w:spacing w:line="288" w:lineRule="auto"/>
        <w:ind w:firstLine="396" w:firstLine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6FA4DDAF">
      <w:pPr>
        <w:adjustRightInd w:val="0"/>
        <w:snapToGrid w:val="0"/>
        <w:spacing w:line="288" w:lineRule="auto"/>
        <w:ind w:firstLine="396" w:firstLineChars="200"/>
        <w:rPr>
          <w:rFonts w:hint="eastAsia"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3BFF7A6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12DA964F">
      <w:pPr>
        <w:adjustRightInd w:val="0"/>
        <w:snapToGrid w:val="0"/>
        <w:spacing w:line="288" w:lineRule="auto"/>
        <w:outlineLvl w:val="1"/>
        <w:rPr>
          <w:rFonts w:hint="eastAsia" w:ascii="仿宋" w:hAnsi="仿宋" w:eastAsia="仿宋" w:cs="仿宋"/>
          <w:color w:val="auto"/>
          <w:szCs w:val="21"/>
          <w:highlight w:val="none"/>
        </w:rPr>
      </w:pPr>
      <w:r>
        <w:rPr>
          <w:rFonts w:hint="eastAsia" w:ascii="仿宋" w:hAnsi="仿宋" w:eastAsia="仿宋" w:cs="仿宋"/>
          <w:b/>
          <w:color w:val="auto"/>
          <w:spacing w:val="-6"/>
          <w:szCs w:val="21"/>
          <w:highlight w:val="none"/>
        </w:rPr>
        <w:t>二、评标标准</w:t>
      </w:r>
    </w:p>
    <w:tbl>
      <w:tblPr>
        <w:tblStyle w:val="2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648"/>
        <w:gridCol w:w="7452"/>
      </w:tblGrid>
      <w:tr w14:paraId="3EC7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Align w:val="center"/>
          </w:tcPr>
          <w:p w14:paraId="02328597">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48" w:type="dxa"/>
            <w:vAlign w:val="center"/>
          </w:tcPr>
          <w:p w14:paraId="4D0A7DFB">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452" w:type="dxa"/>
            <w:vAlign w:val="center"/>
          </w:tcPr>
          <w:p w14:paraId="464458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4BD4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5" w:type="dxa"/>
            <w:gridSpan w:val="3"/>
            <w:vAlign w:val="center"/>
          </w:tcPr>
          <w:p w14:paraId="2DA813EC">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价格分</w:t>
            </w:r>
          </w:p>
        </w:tc>
      </w:tr>
      <w:tr w14:paraId="27C7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05FACFDC">
            <w:pPr>
              <w:jc w:val="center"/>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投标报价</w:t>
            </w:r>
          </w:p>
        </w:tc>
        <w:tc>
          <w:tcPr>
            <w:tcW w:w="648" w:type="dxa"/>
            <w:tcBorders>
              <w:top w:val="single" w:color="auto" w:sz="4" w:space="0"/>
              <w:left w:val="single" w:color="auto" w:sz="4" w:space="0"/>
              <w:bottom w:val="single" w:color="auto" w:sz="4" w:space="0"/>
              <w:right w:val="single" w:color="auto" w:sz="4" w:space="0"/>
            </w:tcBorders>
            <w:vAlign w:val="center"/>
          </w:tcPr>
          <w:p w14:paraId="2F25A832">
            <w:pPr>
              <w:jc w:val="center"/>
              <w:rPr>
                <w:rFonts w:hint="default" w:ascii="仿宋" w:hAnsi="仿宋" w:eastAsia="仿宋" w:cs="仿宋"/>
                <w:b/>
                <w:bCs/>
                <w:color w:val="auto"/>
                <w:szCs w:val="21"/>
                <w:highlight w:val="none"/>
                <w:lang w:val="en-US"/>
              </w:rPr>
            </w:pPr>
            <w:r>
              <w:rPr>
                <w:rFonts w:hint="eastAsia" w:ascii="仿宋" w:hAnsi="仿宋" w:eastAsia="仿宋" w:cs="仿宋"/>
                <w:b/>
                <w:bCs/>
                <w:color w:val="auto"/>
                <w:sz w:val="21"/>
                <w:szCs w:val="21"/>
                <w:highlight w:val="none"/>
                <w:lang w:val="en-US" w:eastAsia="zh-CN"/>
              </w:rPr>
              <w:t>10</w:t>
            </w:r>
          </w:p>
        </w:tc>
        <w:tc>
          <w:tcPr>
            <w:tcW w:w="7452" w:type="dxa"/>
            <w:tcBorders>
              <w:top w:val="single" w:color="auto" w:sz="4" w:space="0"/>
              <w:left w:val="single" w:color="auto" w:sz="4" w:space="0"/>
              <w:bottom w:val="single" w:color="auto" w:sz="4" w:space="0"/>
              <w:right w:val="single" w:color="auto" w:sz="4" w:space="0"/>
            </w:tcBorders>
            <w:vAlign w:val="center"/>
          </w:tcPr>
          <w:p w14:paraId="58ED9E0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价格分采用低价优先法计算，即满足招标文件要求且投标价格最低的投标报价为评标基准价，其价格分为满分。其他投标人的价格分按照下列公式计算：</w:t>
            </w:r>
          </w:p>
          <w:p w14:paraId="2CDC9E8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价格分=（评标基准价/投标报价）</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100</w:t>
            </w:r>
          </w:p>
          <w:p w14:paraId="243A318F">
            <w:pPr>
              <w:rPr>
                <w:rFonts w:hint="eastAsia" w:ascii="仿宋" w:hAnsi="仿宋" w:eastAsia="仿宋" w:cs="仿宋"/>
                <w:color w:val="auto"/>
                <w:szCs w:val="21"/>
                <w:highlight w:val="none"/>
                <w:lang w:val="en-US" w:eastAsia="zh-CN"/>
              </w:rPr>
            </w:pPr>
            <w:r>
              <w:rPr>
                <w:rFonts w:hint="eastAsia" w:ascii="仿宋" w:hAnsi="仿宋" w:eastAsia="仿宋" w:cs="仿宋"/>
                <w:b/>
                <w:bCs/>
                <w:color w:val="auto"/>
                <w:sz w:val="18"/>
                <w:szCs w:val="18"/>
                <w:highlight w:val="none"/>
              </w:rPr>
              <w:t xml:space="preserve">注：本项目对符合规定的小微企业报价给予【10】%的扣除后计算价格得分。对于联合协议或者分包意向协议约定小微企业的合同份额占到合同总金额30%以上的，对联合体或者大中型企业的报价给予【4】%的扣除，用扣除后的价格参加评审。 </w:t>
            </w:r>
            <w:r>
              <w:rPr>
                <w:rFonts w:hint="eastAsia" w:ascii="仿宋" w:hAnsi="仿宋" w:eastAsia="仿宋" w:cs="仿宋"/>
                <w:color w:val="auto"/>
                <w:sz w:val="21"/>
                <w:szCs w:val="21"/>
                <w:highlight w:val="none"/>
                <w:lang w:val="en-US" w:eastAsia="zh-CN"/>
              </w:rPr>
              <w:t xml:space="preserve"> </w:t>
            </w:r>
          </w:p>
        </w:tc>
      </w:tr>
      <w:tr w14:paraId="1A8E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5" w:type="dxa"/>
            <w:gridSpan w:val="3"/>
            <w:vAlign w:val="center"/>
          </w:tcPr>
          <w:p w14:paraId="27985082">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662C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Align w:val="center"/>
          </w:tcPr>
          <w:p w14:paraId="20484F92">
            <w:pPr>
              <w:jc w:val="center"/>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648" w:type="dxa"/>
            <w:vAlign w:val="center"/>
          </w:tcPr>
          <w:p w14:paraId="792D2124">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7452" w:type="dxa"/>
            <w:vAlign w:val="center"/>
          </w:tcPr>
          <w:p w14:paraId="2BCAAEA2">
            <w:pPr>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eastAsia="zh-CN"/>
              </w:rPr>
              <w:t>[客观分]</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自2</w:t>
            </w:r>
            <w:r>
              <w:rPr>
                <w:rFonts w:hint="eastAsia" w:ascii="仿宋" w:hAnsi="仿宋" w:eastAsia="仿宋" w:cs="仿宋"/>
                <w:color w:val="auto"/>
                <w:sz w:val="21"/>
                <w:szCs w:val="21"/>
                <w:highlight w:val="none"/>
                <w:lang w:val="en-US" w:eastAsia="zh-CN"/>
              </w:rPr>
              <w:t>022</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月1日以来（以</w:t>
            </w:r>
            <w:r>
              <w:rPr>
                <w:rFonts w:hint="eastAsia" w:ascii="仿宋" w:hAnsi="仿宋" w:eastAsia="仿宋" w:cs="仿宋"/>
                <w:color w:val="auto"/>
                <w:sz w:val="21"/>
                <w:szCs w:val="21"/>
                <w:highlight w:val="none"/>
                <w:lang w:val="en-US" w:eastAsia="zh-CN"/>
              </w:rPr>
              <w:t>任务书下发或</w:t>
            </w:r>
            <w:r>
              <w:rPr>
                <w:rFonts w:hint="eastAsia" w:ascii="仿宋" w:hAnsi="仿宋" w:eastAsia="仿宋" w:cs="仿宋"/>
                <w:color w:val="auto"/>
                <w:sz w:val="21"/>
                <w:szCs w:val="21"/>
                <w:highlight w:val="none"/>
              </w:rPr>
              <w:t>合同签订时间为准）</w:t>
            </w:r>
            <w:r>
              <w:rPr>
                <w:rFonts w:hint="eastAsia" w:ascii="仿宋" w:hAnsi="仿宋" w:eastAsia="仿宋" w:cs="仿宋"/>
                <w:color w:val="auto"/>
                <w:sz w:val="21"/>
                <w:szCs w:val="21"/>
                <w:highlight w:val="none"/>
                <w:lang w:val="en-US" w:eastAsia="zh-CN"/>
              </w:rPr>
              <w:t>与采购标的同品类服务</w:t>
            </w:r>
            <w:r>
              <w:rPr>
                <w:rFonts w:hint="eastAsia" w:ascii="仿宋" w:hAnsi="仿宋" w:eastAsia="仿宋" w:cs="仿宋"/>
                <w:color w:val="auto"/>
                <w:sz w:val="21"/>
                <w:szCs w:val="21"/>
                <w:highlight w:val="none"/>
              </w:rPr>
              <w:t>业绩（</w:t>
            </w:r>
            <w:r>
              <w:rPr>
                <w:rFonts w:hint="eastAsia" w:ascii="仿宋" w:hAnsi="仿宋" w:eastAsia="仿宋" w:cs="仿宋"/>
                <w:color w:val="auto"/>
                <w:sz w:val="21"/>
                <w:szCs w:val="21"/>
                <w:highlight w:val="none"/>
                <w:lang w:val="en-US" w:eastAsia="zh-CN"/>
              </w:rPr>
              <w:t>最高1分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1分/份（以提供的任务委托书或合同扫描件为准）</w:t>
            </w:r>
          </w:p>
        </w:tc>
      </w:tr>
      <w:tr w14:paraId="4578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5" w:type="dxa"/>
            <w:gridSpan w:val="3"/>
            <w:vAlign w:val="center"/>
          </w:tcPr>
          <w:p w14:paraId="6FE4D2CD">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22BD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Align w:val="center"/>
          </w:tcPr>
          <w:p w14:paraId="18F2FA1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szCs w:val="21"/>
                <w:highlight w:val="none"/>
              </w:rPr>
              <w:t>服务响应</w:t>
            </w:r>
          </w:p>
        </w:tc>
        <w:tc>
          <w:tcPr>
            <w:tcW w:w="648" w:type="dxa"/>
            <w:vAlign w:val="center"/>
          </w:tcPr>
          <w:p w14:paraId="33EFF8A9">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b/>
                <w:bCs/>
                <w:color w:val="auto"/>
                <w:szCs w:val="21"/>
                <w:highlight w:val="none"/>
                <w:lang w:val="en-US"/>
              </w:rPr>
            </w:pPr>
            <w:r>
              <w:rPr>
                <w:rFonts w:hint="eastAsia" w:ascii="仿宋" w:hAnsi="仿宋" w:eastAsia="仿宋" w:cs="仿宋"/>
                <w:b/>
                <w:bCs/>
                <w:szCs w:val="21"/>
                <w:highlight w:val="none"/>
                <w:lang w:val="en-US" w:eastAsia="zh-CN"/>
              </w:rPr>
              <w:t>24</w:t>
            </w:r>
          </w:p>
        </w:tc>
        <w:tc>
          <w:tcPr>
            <w:tcW w:w="7452" w:type="dxa"/>
            <w:vAlign w:val="center"/>
          </w:tcPr>
          <w:p w14:paraId="17D1920B">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客观分</w:t>
            </w:r>
            <w:r>
              <w:rPr>
                <w:rFonts w:hint="eastAsia" w:ascii="仿宋" w:hAnsi="仿宋" w:eastAsia="仿宋" w:cs="仿宋"/>
                <w:b/>
                <w:bCs/>
                <w:szCs w:val="21"/>
                <w:highlight w:val="none"/>
                <w:lang w:eastAsia="zh-CN"/>
              </w:rPr>
              <w:t>]</w:t>
            </w:r>
            <w:r>
              <w:rPr>
                <w:rFonts w:hint="eastAsia" w:ascii="仿宋" w:hAnsi="仿宋" w:eastAsia="仿宋" w:cs="仿宋"/>
                <w:szCs w:val="21"/>
                <w:highlight w:val="none"/>
              </w:rPr>
              <w:t>满足或明显优于</w:t>
            </w:r>
            <w:r>
              <w:rPr>
                <w:rFonts w:hint="eastAsia" w:ascii="仿宋" w:hAnsi="仿宋" w:eastAsia="仿宋" w:cs="仿宋"/>
                <w:szCs w:val="21"/>
                <w:highlight w:val="none"/>
                <w:lang w:val="en-US" w:eastAsia="zh-CN"/>
              </w:rPr>
              <w:t>招标</w:t>
            </w:r>
            <w:r>
              <w:rPr>
                <w:rFonts w:hint="eastAsia" w:ascii="仿宋" w:hAnsi="仿宋" w:eastAsia="仿宋" w:cs="仿宋"/>
                <w:szCs w:val="21"/>
                <w:highlight w:val="none"/>
              </w:rPr>
              <w:t>文件明确的全部服务条款</w:t>
            </w:r>
            <w:r>
              <w:rPr>
                <w:rFonts w:hint="eastAsia" w:ascii="仿宋" w:hAnsi="仿宋" w:eastAsia="仿宋" w:cs="仿宋"/>
                <w:szCs w:val="21"/>
                <w:highlight w:val="none"/>
                <w:lang w:eastAsia="zh-CN"/>
              </w:rPr>
              <w:t>（</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 xml:space="preserve"> 验收 除外</w:t>
            </w:r>
            <w:r>
              <w:rPr>
                <w:rFonts w:hint="eastAsia" w:ascii="仿宋" w:hAnsi="仿宋" w:eastAsia="仿宋" w:cs="仿宋"/>
                <w:szCs w:val="21"/>
                <w:highlight w:val="none"/>
                <w:lang w:eastAsia="zh-CN"/>
              </w:rPr>
              <w:t>）</w:t>
            </w:r>
            <w:r>
              <w:rPr>
                <w:rFonts w:hint="eastAsia" w:ascii="仿宋" w:hAnsi="仿宋" w:eastAsia="仿宋" w:cs="仿宋"/>
                <w:szCs w:val="21"/>
                <w:highlight w:val="none"/>
              </w:rPr>
              <w:t>要求得</w:t>
            </w:r>
            <w:r>
              <w:rPr>
                <w:rFonts w:hint="eastAsia" w:ascii="仿宋" w:hAnsi="仿宋" w:eastAsia="仿宋" w:cs="仿宋"/>
                <w:szCs w:val="21"/>
                <w:highlight w:val="none"/>
                <w:lang w:val="en-US" w:eastAsia="zh-CN"/>
              </w:rPr>
              <w:t>24分</w:t>
            </w:r>
            <w:r>
              <w:rPr>
                <w:rFonts w:hint="eastAsia" w:ascii="仿宋" w:hAnsi="仿宋" w:eastAsia="仿宋" w:cs="仿宋"/>
                <w:szCs w:val="21"/>
                <w:highlight w:val="none"/>
              </w:rPr>
              <w:t>，低于</w:t>
            </w:r>
            <w:r>
              <w:rPr>
                <w:rFonts w:hint="eastAsia" w:ascii="仿宋" w:hAnsi="仿宋" w:eastAsia="仿宋" w:cs="仿宋"/>
                <w:szCs w:val="21"/>
                <w:highlight w:val="none"/>
                <w:lang w:val="en-US" w:eastAsia="zh-CN"/>
              </w:rPr>
              <w:t>服务</w:t>
            </w:r>
            <w:r>
              <w:rPr>
                <w:rFonts w:hint="eastAsia" w:ascii="仿宋" w:hAnsi="仿宋" w:eastAsia="仿宋" w:cs="仿宋"/>
                <w:szCs w:val="21"/>
                <w:highlight w:val="none"/>
              </w:rPr>
              <w:t>要求（负偏离）扣</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/项</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24分</w:t>
            </w:r>
            <w:r>
              <w:rPr>
                <w:rFonts w:hint="eastAsia" w:ascii="仿宋" w:hAnsi="仿宋" w:eastAsia="仿宋" w:cs="仿宋"/>
                <w:szCs w:val="21"/>
                <w:highlight w:val="none"/>
              </w:rPr>
              <w:t>起扣），</w:t>
            </w:r>
            <w:r>
              <w:rPr>
                <w:rFonts w:hint="eastAsia" w:ascii="仿宋" w:hAnsi="仿宋" w:eastAsia="仿宋" w:cs="仿宋"/>
                <w:szCs w:val="21"/>
                <w:highlight w:val="none"/>
                <w:lang w:val="en-US" w:eastAsia="zh-CN"/>
              </w:rPr>
              <w:t>负偏离≥4项投标</w:t>
            </w:r>
            <w:r>
              <w:rPr>
                <w:rFonts w:hint="eastAsia" w:ascii="仿宋" w:hAnsi="仿宋" w:eastAsia="仿宋" w:cs="仿宋"/>
                <w:szCs w:val="21"/>
                <w:highlight w:val="none"/>
              </w:rPr>
              <w:t>无效。</w:t>
            </w:r>
          </w:p>
        </w:tc>
      </w:tr>
      <w:tr w14:paraId="02C1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restart"/>
            <w:vAlign w:val="center"/>
          </w:tcPr>
          <w:p w14:paraId="6DBA977E">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服务方案</w:t>
            </w:r>
          </w:p>
        </w:tc>
        <w:tc>
          <w:tcPr>
            <w:tcW w:w="648" w:type="dxa"/>
            <w:vAlign w:val="center"/>
          </w:tcPr>
          <w:p w14:paraId="0D7E2B0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6</w:t>
            </w:r>
          </w:p>
        </w:tc>
        <w:tc>
          <w:tcPr>
            <w:tcW w:w="7452" w:type="dxa"/>
            <w:vAlign w:val="center"/>
          </w:tcPr>
          <w:p w14:paraId="1D830A31">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项目理解：</w:t>
            </w:r>
            <w:r>
              <w:rPr>
                <w:rFonts w:hint="eastAsia" w:ascii="仿宋" w:hAnsi="仿宋" w:eastAsia="仿宋" w:cs="仿宋"/>
                <w:color w:val="auto"/>
                <w:sz w:val="21"/>
                <w:szCs w:val="21"/>
                <w:highlight w:val="none"/>
              </w:rPr>
              <w:t>全面</w:t>
            </w:r>
            <w:r>
              <w:rPr>
                <w:rFonts w:hint="eastAsia" w:ascii="仿宋" w:hAnsi="仿宋" w:eastAsia="仿宋" w:cs="仿宋"/>
                <w:color w:val="auto"/>
                <w:sz w:val="21"/>
                <w:szCs w:val="21"/>
                <w:highlight w:val="none"/>
                <w:lang w:val="en-US" w:eastAsia="zh-CN"/>
              </w:rPr>
              <w:t>、充分、</w:t>
            </w:r>
            <w:r>
              <w:rPr>
                <w:rFonts w:hint="eastAsia" w:ascii="仿宋" w:hAnsi="仿宋" w:eastAsia="仿宋" w:cs="仿宋"/>
                <w:color w:val="auto"/>
                <w:szCs w:val="21"/>
                <w:highlight w:val="none"/>
              </w:rPr>
              <w:t>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color w:val="auto"/>
                <w:szCs w:val="21"/>
                <w:highlight w:val="none"/>
              </w:rPr>
              <w:t>采购标的实现及</w:t>
            </w:r>
            <w:r>
              <w:rPr>
                <w:rFonts w:hint="eastAsia" w:ascii="仿宋" w:hAnsi="仿宋" w:eastAsia="仿宋" w:cs="仿宋"/>
                <w:color w:val="auto"/>
                <w:szCs w:val="21"/>
                <w:highlight w:val="none"/>
                <w:lang w:val="en-US" w:eastAsia="zh-CN"/>
              </w:rPr>
              <w:t>合同</w:t>
            </w:r>
            <w:r>
              <w:rPr>
                <w:rFonts w:hint="eastAsia" w:ascii="仿宋" w:hAnsi="仿宋" w:eastAsia="仿宋" w:cs="仿宋"/>
                <w:color w:val="auto"/>
                <w:szCs w:val="21"/>
                <w:highlight w:val="none"/>
              </w:rPr>
              <w:t>履约</w:t>
            </w:r>
          </w:p>
          <w:p w14:paraId="30956F8F">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1.目标</w:t>
            </w:r>
            <w:r>
              <w:rPr>
                <w:rFonts w:hint="eastAsia" w:ascii="仿宋" w:hAnsi="仿宋" w:eastAsia="仿宋" w:cs="仿宋"/>
                <w:b/>
                <w:bCs/>
                <w:color w:val="auto"/>
                <w:szCs w:val="21"/>
                <w:highlight w:val="none"/>
                <w:lang w:val="en-US" w:eastAsia="zh-CN"/>
              </w:rPr>
              <w:t>（评分范围：3,2,1,0）</w:t>
            </w:r>
          </w:p>
          <w:p w14:paraId="2C40022D">
            <w:pPr>
              <w:keepNext w:val="0"/>
              <w:keepLines w:val="0"/>
              <w:pageBreakBefore w:val="0"/>
              <w:widowControl w:val="0"/>
              <w:kinsoku/>
              <w:wordWrap/>
              <w:overflowPunct/>
              <w:topLinePunct w:val="0"/>
              <w:autoSpaceDE/>
              <w:autoSpaceDN/>
              <w:bidi w:val="0"/>
              <w:snapToGrid w:val="0"/>
              <w:textAlignment w:val="auto"/>
              <w:rPr>
                <w:rFonts w:ascii="仿宋" w:hAnsi="仿宋" w:eastAsia="仿宋" w:cs="仿宋"/>
                <w:b/>
                <w:bCs/>
                <w:color w:val="auto"/>
                <w:sz w:val="18"/>
                <w:szCs w:val="18"/>
                <w:highlight w:val="none"/>
                <w:lang w:val="en-US"/>
              </w:rPr>
            </w:pPr>
            <w:r>
              <w:rPr>
                <w:rFonts w:hint="eastAsia" w:ascii="仿宋" w:hAnsi="仿宋" w:eastAsia="仿宋" w:cs="仿宋"/>
                <w:b w:val="0"/>
                <w:bCs w:val="0"/>
                <w:color w:val="auto"/>
                <w:szCs w:val="21"/>
                <w:highlight w:val="none"/>
                <w:lang w:val="en-US" w:eastAsia="zh-CN"/>
              </w:rPr>
              <w:t>2.需求</w:t>
            </w:r>
            <w:r>
              <w:rPr>
                <w:rFonts w:hint="eastAsia" w:ascii="仿宋" w:hAnsi="仿宋" w:eastAsia="仿宋" w:cs="仿宋"/>
                <w:b/>
                <w:bCs/>
                <w:color w:val="auto"/>
                <w:szCs w:val="21"/>
                <w:highlight w:val="none"/>
                <w:lang w:val="en-US" w:eastAsia="zh-CN"/>
              </w:rPr>
              <w:t>（评分范围：3,2,1,0）</w:t>
            </w:r>
          </w:p>
        </w:tc>
      </w:tr>
      <w:tr w14:paraId="63E6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29E25889">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p>
        </w:tc>
        <w:tc>
          <w:tcPr>
            <w:tcW w:w="648" w:type="dxa"/>
            <w:vAlign w:val="center"/>
          </w:tcPr>
          <w:p w14:paraId="7B63DCA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 w:val="21"/>
                <w:szCs w:val="21"/>
                <w:highlight w:val="none"/>
                <w:lang w:val="en-US" w:eastAsia="zh-CN"/>
              </w:rPr>
              <w:t>9</w:t>
            </w:r>
          </w:p>
        </w:tc>
        <w:tc>
          <w:tcPr>
            <w:tcW w:w="7452" w:type="dxa"/>
            <w:vAlign w:val="center"/>
          </w:tcPr>
          <w:p w14:paraId="200EC558">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项目分析：</w:t>
            </w:r>
            <w:r>
              <w:rPr>
                <w:rFonts w:hint="eastAsia" w:ascii="仿宋" w:hAnsi="仿宋" w:eastAsia="仿宋" w:cs="仿宋"/>
                <w:b w:val="0"/>
                <w:bCs w:val="0"/>
                <w:color w:val="auto"/>
                <w:sz w:val="21"/>
                <w:szCs w:val="21"/>
                <w:highlight w:val="none"/>
              </w:rPr>
              <w:t>全面</w:t>
            </w:r>
            <w:r>
              <w:rPr>
                <w:rFonts w:hint="eastAsia" w:ascii="仿宋" w:hAnsi="仿宋" w:eastAsia="仿宋" w:cs="仿宋"/>
                <w:b w:val="0"/>
                <w:bCs w:val="0"/>
                <w:color w:val="auto"/>
                <w:sz w:val="21"/>
                <w:szCs w:val="21"/>
                <w:highlight w:val="none"/>
                <w:lang w:val="en-US" w:eastAsia="zh-CN"/>
              </w:rPr>
              <w:t>、到位、</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p>
          <w:p w14:paraId="02BF78B0">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1.难点</w:t>
            </w:r>
            <w:r>
              <w:rPr>
                <w:rFonts w:hint="eastAsia" w:ascii="仿宋" w:hAnsi="仿宋" w:eastAsia="仿宋" w:cs="仿宋"/>
                <w:b/>
                <w:bCs/>
                <w:color w:val="auto"/>
                <w:szCs w:val="21"/>
                <w:highlight w:val="none"/>
                <w:lang w:val="en-US" w:eastAsia="zh-CN"/>
              </w:rPr>
              <w:t>（评分范围：3,2,1,0）</w:t>
            </w:r>
          </w:p>
          <w:p w14:paraId="337FA10C">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2.要点</w:t>
            </w:r>
            <w:r>
              <w:rPr>
                <w:rFonts w:hint="eastAsia" w:ascii="仿宋" w:hAnsi="仿宋" w:eastAsia="仿宋" w:cs="仿宋"/>
                <w:b/>
                <w:bCs/>
                <w:color w:val="auto"/>
                <w:szCs w:val="21"/>
                <w:highlight w:val="none"/>
                <w:lang w:val="en-US" w:eastAsia="zh-CN"/>
              </w:rPr>
              <w:t>（评分范围：3,2,1,0）</w:t>
            </w:r>
          </w:p>
          <w:p w14:paraId="5FF7328B">
            <w:pPr>
              <w:keepNext w:val="0"/>
              <w:keepLines w:val="0"/>
              <w:pageBreakBefore w:val="0"/>
              <w:widowControl w:val="0"/>
              <w:kinsoku/>
              <w:wordWrap/>
              <w:overflowPunct/>
              <w:topLinePunct w:val="0"/>
              <w:autoSpaceDE/>
              <w:autoSpaceDN/>
              <w:bidi w:val="0"/>
              <w:snapToGrid w:val="0"/>
              <w:textAlignment w:val="auto"/>
              <w:rPr>
                <w:rFonts w:ascii="仿宋" w:hAnsi="仿宋" w:eastAsia="仿宋" w:cs="仿宋"/>
                <w:b/>
                <w:bCs/>
                <w:color w:val="auto"/>
                <w:szCs w:val="21"/>
                <w:highlight w:val="none"/>
              </w:rPr>
            </w:pPr>
            <w:r>
              <w:rPr>
                <w:rFonts w:hint="eastAsia" w:ascii="仿宋" w:hAnsi="仿宋" w:eastAsia="仿宋" w:cs="仿宋"/>
                <w:b w:val="0"/>
                <w:bCs w:val="0"/>
                <w:color w:val="auto"/>
                <w:szCs w:val="21"/>
                <w:highlight w:val="none"/>
                <w:lang w:val="en-US" w:eastAsia="zh-CN"/>
              </w:rPr>
              <w:t>3.关键工作内容</w:t>
            </w:r>
            <w:r>
              <w:rPr>
                <w:rFonts w:hint="eastAsia" w:ascii="仿宋" w:hAnsi="仿宋" w:eastAsia="仿宋" w:cs="仿宋"/>
                <w:b/>
                <w:bCs/>
                <w:color w:val="auto"/>
                <w:szCs w:val="21"/>
                <w:highlight w:val="none"/>
                <w:lang w:val="en-US" w:eastAsia="zh-CN"/>
              </w:rPr>
              <w:t>（评分范围：3,2,1,0）</w:t>
            </w:r>
          </w:p>
        </w:tc>
      </w:tr>
      <w:tr w14:paraId="7E37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4546605B">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p>
        </w:tc>
        <w:tc>
          <w:tcPr>
            <w:tcW w:w="648" w:type="dxa"/>
            <w:vAlign w:val="center"/>
          </w:tcPr>
          <w:p w14:paraId="141AF86D">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rPr>
              <w:t>3</w:t>
            </w:r>
          </w:p>
        </w:tc>
        <w:tc>
          <w:tcPr>
            <w:tcW w:w="7452" w:type="dxa"/>
            <w:vAlign w:val="center"/>
          </w:tcPr>
          <w:p w14:paraId="770577C8">
            <w:pPr>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整体工作阶段及进度控制方案：合理、针对采购需求及实际特点、有利于采购标的实现及合同履约</w:t>
            </w:r>
            <w:r>
              <w:rPr>
                <w:rFonts w:hint="eastAsia" w:ascii="仿宋" w:hAnsi="仿宋" w:eastAsia="仿宋" w:cs="仿宋"/>
                <w:b/>
                <w:bCs/>
                <w:color w:val="auto"/>
                <w:szCs w:val="21"/>
                <w:highlight w:val="none"/>
              </w:rPr>
              <w:t>（评分范围：3,2,1,0）</w:t>
            </w:r>
          </w:p>
        </w:tc>
      </w:tr>
      <w:tr w14:paraId="5EA5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18E41577">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p>
        </w:tc>
        <w:tc>
          <w:tcPr>
            <w:tcW w:w="648" w:type="dxa"/>
            <w:vAlign w:val="center"/>
          </w:tcPr>
          <w:p w14:paraId="2088A54D">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rPr>
              <w:t>3</w:t>
            </w:r>
          </w:p>
        </w:tc>
        <w:tc>
          <w:tcPr>
            <w:tcW w:w="7452" w:type="dxa"/>
            <w:vAlign w:val="center"/>
          </w:tcPr>
          <w:p w14:paraId="013EFF22">
            <w:pPr>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关键时间节点把握：准确、针对采购需求及实际特点、有利于采购标的实现及合同履约</w:t>
            </w:r>
            <w:r>
              <w:rPr>
                <w:rFonts w:hint="eastAsia" w:ascii="仿宋" w:hAnsi="仿宋" w:eastAsia="仿宋" w:cs="仿宋"/>
                <w:b/>
                <w:bCs/>
                <w:color w:val="auto"/>
                <w:szCs w:val="21"/>
                <w:highlight w:val="none"/>
              </w:rPr>
              <w:t>（评分范围：3,2,1,0）</w:t>
            </w:r>
          </w:p>
        </w:tc>
      </w:tr>
      <w:tr w14:paraId="44AA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61B86FE1">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p>
        </w:tc>
        <w:tc>
          <w:tcPr>
            <w:tcW w:w="648" w:type="dxa"/>
            <w:vAlign w:val="center"/>
          </w:tcPr>
          <w:p w14:paraId="72A07022">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8</w:t>
            </w:r>
          </w:p>
        </w:tc>
        <w:tc>
          <w:tcPr>
            <w:tcW w:w="7452" w:type="dxa"/>
            <w:vAlign w:val="center"/>
          </w:tcPr>
          <w:p w14:paraId="5B39ABEB">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计量比对进行前期实验服务方案：</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p>
          <w:p w14:paraId="4057491C">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1.传递标准或样品的稳定性实验</w:t>
            </w:r>
            <w:r>
              <w:rPr>
                <w:rFonts w:hint="eastAsia" w:ascii="仿宋" w:hAnsi="仿宋" w:eastAsia="仿宋" w:cs="仿宋"/>
                <w:b/>
                <w:bCs/>
                <w:color w:val="auto"/>
                <w:szCs w:val="21"/>
                <w:highlight w:val="none"/>
                <w:lang w:val="en-US" w:eastAsia="zh-CN"/>
              </w:rPr>
              <w:t>（评分范围：4,3,2,1,0）</w:t>
            </w:r>
          </w:p>
          <w:p w14:paraId="0E93D45C">
            <w:pPr>
              <w:keepNext w:val="0"/>
              <w:keepLines w:val="0"/>
              <w:pageBreakBefore w:val="0"/>
              <w:widowControl w:val="0"/>
              <w:kinsoku/>
              <w:wordWrap/>
              <w:overflowPunct/>
              <w:topLinePunct w:val="0"/>
              <w:autoSpaceDE/>
              <w:autoSpaceDN/>
              <w:bidi w:val="0"/>
              <w:snapToGrid w:val="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val="0"/>
                <w:bCs w:val="0"/>
                <w:color w:val="auto"/>
                <w:szCs w:val="21"/>
                <w:highlight w:val="none"/>
                <w:lang w:val="en-US" w:eastAsia="zh-CN"/>
              </w:rPr>
              <w:t>2.运输特性实验</w:t>
            </w:r>
            <w:r>
              <w:rPr>
                <w:rFonts w:hint="eastAsia" w:ascii="仿宋" w:hAnsi="仿宋" w:eastAsia="仿宋" w:cs="仿宋"/>
                <w:b/>
                <w:bCs/>
                <w:color w:val="auto"/>
                <w:szCs w:val="21"/>
                <w:highlight w:val="none"/>
                <w:lang w:val="en-US" w:eastAsia="zh-CN"/>
              </w:rPr>
              <w:t>（评分范围：4,3,2,1,0）</w:t>
            </w:r>
          </w:p>
        </w:tc>
      </w:tr>
      <w:tr w14:paraId="10D5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0AFF6960">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p>
        </w:tc>
        <w:tc>
          <w:tcPr>
            <w:tcW w:w="648" w:type="dxa"/>
            <w:vAlign w:val="center"/>
          </w:tcPr>
          <w:p w14:paraId="7D563115">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9</w:t>
            </w:r>
          </w:p>
        </w:tc>
        <w:tc>
          <w:tcPr>
            <w:tcW w:w="7452" w:type="dxa"/>
            <w:vAlign w:val="center"/>
          </w:tcPr>
          <w:p w14:paraId="198CDE13">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计量比对方案设计方案：</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p>
          <w:p w14:paraId="15CC6BEE">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1.针对的量、目的、方法、传递标准或样品</w:t>
            </w:r>
            <w:r>
              <w:rPr>
                <w:rFonts w:hint="eastAsia" w:ascii="仿宋" w:hAnsi="仿宋" w:eastAsia="仿宋" w:cs="仿宋"/>
                <w:b/>
                <w:bCs/>
                <w:color w:val="auto"/>
                <w:szCs w:val="21"/>
                <w:highlight w:val="none"/>
                <w:lang w:val="en-US" w:eastAsia="zh-CN"/>
              </w:rPr>
              <w:t>（评分范围：3,2,1,0）</w:t>
            </w:r>
          </w:p>
          <w:p w14:paraId="191DC97D">
            <w:pPr>
              <w:keepNext w:val="0"/>
              <w:keepLines w:val="0"/>
              <w:pageBreakBefore w:val="0"/>
              <w:widowControl w:val="0"/>
              <w:kinsoku/>
              <w:wordWrap/>
              <w:overflowPunct/>
              <w:topLinePunct w:val="0"/>
              <w:autoSpaceDE/>
              <w:autoSpaceDN/>
              <w:bidi w:val="0"/>
              <w:snapToGrid w:val="0"/>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2.路线及时间安排</w:t>
            </w:r>
            <w:r>
              <w:rPr>
                <w:rFonts w:hint="eastAsia" w:ascii="仿宋" w:hAnsi="仿宋" w:eastAsia="仿宋" w:cs="仿宋"/>
                <w:b/>
                <w:bCs/>
                <w:color w:val="auto"/>
                <w:szCs w:val="21"/>
                <w:highlight w:val="none"/>
                <w:lang w:val="en-US" w:eastAsia="zh-CN"/>
              </w:rPr>
              <w:t>（评分范围：3,2,1,0）</w:t>
            </w:r>
          </w:p>
          <w:p w14:paraId="4D19CBF2">
            <w:pPr>
              <w:keepNext w:val="0"/>
              <w:keepLines w:val="0"/>
              <w:pageBreakBefore w:val="0"/>
              <w:widowControl w:val="0"/>
              <w:kinsoku/>
              <w:wordWrap/>
              <w:overflowPunct/>
              <w:topLinePunct w:val="0"/>
              <w:autoSpaceDE/>
              <w:autoSpaceDN/>
              <w:bidi w:val="0"/>
              <w:snapToGrid w:val="0"/>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3.技术要求</w:t>
            </w:r>
            <w:r>
              <w:rPr>
                <w:rFonts w:hint="eastAsia" w:ascii="仿宋" w:hAnsi="仿宋" w:eastAsia="仿宋" w:cs="仿宋"/>
                <w:b/>
                <w:bCs/>
                <w:color w:val="auto"/>
                <w:szCs w:val="21"/>
                <w:highlight w:val="none"/>
                <w:lang w:val="en-US" w:eastAsia="zh-CN"/>
              </w:rPr>
              <w:t>（评分范围：3,2,1,0）</w:t>
            </w:r>
          </w:p>
        </w:tc>
      </w:tr>
      <w:tr w14:paraId="0853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40A11B5C">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p>
        </w:tc>
        <w:tc>
          <w:tcPr>
            <w:tcW w:w="648" w:type="dxa"/>
            <w:vAlign w:val="center"/>
          </w:tcPr>
          <w:p w14:paraId="2A01E7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szCs w:val="21"/>
                <w:highlight w:val="none"/>
                <w:lang w:val="en-US" w:eastAsia="zh-CN"/>
              </w:rPr>
              <w:t>8</w:t>
            </w:r>
          </w:p>
        </w:tc>
        <w:tc>
          <w:tcPr>
            <w:tcW w:w="7452" w:type="dxa"/>
            <w:vAlign w:val="center"/>
          </w:tcPr>
          <w:p w14:paraId="6E307C6F">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szCs w:val="21"/>
                <w:highlight w:val="none"/>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计量比对实施方案：</w:t>
            </w:r>
            <w:r>
              <w:rPr>
                <w:rFonts w:hint="eastAsia" w:ascii="仿宋" w:hAnsi="仿宋" w:eastAsia="仿宋" w:cs="仿宋"/>
                <w:b w:val="0"/>
                <w:bCs w:val="0"/>
                <w:sz w:val="21"/>
                <w:szCs w:val="21"/>
                <w:highlight w:val="none"/>
                <w:lang w:val="en-US" w:eastAsia="zh-CN"/>
              </w:rPr>
              <w:t>专业、全面、</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有利于</w:t>
            </w:r>
            <w:r>
              <w:rPr>
                <w:rFonts w:hint="eastAsia" w:ascii="仿宋" w:hAnsi="仿宋" w:eastAsia="仿宋" w:cs="仿宋"/>
                <w:b w:val="0"/>
                <w:bCs w:val="0"/>
                <w:szCs w:val="21"/>
                <w:highlight w:val="none"/>
              </w:rPr>
              <w:t>采购标的实现及</w:t>
            </w:r>
            <w:r>
              <w:rPr>
                <w:rFonts w:hint="eastAsia" w:ascii="仿宋" w:hAnsi="仿宋" w:eastAsia="仿宋" w:cs="仿宋"/>
                <w:b w:val="0"/>
                <w:bCs w:val="0"/>
                <w:szCs w:val="21"/>
                <w:highlight w:val="none"/>
                <w:lang w:val="en-US" w:eastAsia="zh-CN"/>
              </w:rPr>
              <w:t>合同</w:t>
            </w:r>
            <w:r>
              <w:rPr>
                <w:rFonts w:hint="eastAsia" w:ascii="仿宋" w:hAnsi="仿宋" w:eastAsia="仿宋" w:cs="仿宋"/>
                <w:b w:val="0"/>
                <w:bCs w:val="0"/>
                <w:szCs w:val="21"/>
                <w:highlight w:val="none"/>
              </w:rPr>
              <w:t>履约</w:t>
            </w:r>
          </w:p>
          <w:p w14:paraId="22E5D5FF">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szCs w:val="21"/>
                <w:highlight w:val="none"/>
                <w:lang w:val="en-US" w:eastAsia="zh-CN"/>
              </w:rPr>
              <w:t>1.</w:t>
            </w:r>
            <w:r>
              <w:rPr>
                <w:rFonts w:hint="eastAsia" w:ascii="仿宋" w:hAnsi="仿宋" w:eastAsia="仿宋" w:cs="仿宋"/>
                <w:b w:val="0"/>
                <w:bCs w:val="0"/>
                <w:color w:val="auto"/>
                <w:szCs w:val="21"/>
                <w:highlight w:val="none"/>
                <w:lang w:val="en-US" w:eastAsia="zh-CN"/>
              </w:rPr>
              <w:t>实施内容、标准、流程</w:t>
            </w:r>
            <w:r>
              <w:rPr>
                <w:rFonts w:hint="eastAsia" w:ascii="仿宋" w:hAnsi="仿宋" w:eastAsia="仿宋" w:cs="仿宋"/>
                <w:b/>
                <w:bCs/>
                <w:color w:val="auto"/>
                <w:szCs w:val="21"/>
                <w:highlight w:val="none"/>
                <w:lang w:val="en-US" w:eastAsia="zh-CN"/>
              </w:rPr>
              <w:t>（评分范围：4,3,2,1,0）</w:t>
            </w:r>
          </w:p>
          <w:p w14:paraId="39B4ECF6">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2.实施质量保障措施</w:t>
            </w:r>
            <w:r>
              <w:rPr>
                <w:rFonts w:hint="eastAsia" w:ascii="仿宋" w:hAnsi="仿宋" w:eastAsia="仿宋" w:cs="仿宋"/>
                <w:b/>
                <w:bCs/>
                <w:color w:val="auto"/>
                <w:szCs w:val="21"/>
                <w:highlight w:val="none"/>
                <w:lang w:val="en-US" w:eastAsia="zh-CN"/>
              </w:rPr>
              <w:t>（评分范围：4,3,2,1,0）</w:t>
            </w:r>
          </w:p>
        </w:tc>
      </w:tr>
      <w:tr w14:paraId="5B3A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335A77E3">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p>
        </w:tc>
        <w:tc>
          <w:tcPr>
            <w:tcW w:w="648" w:type="dxa"/>
            <w:vAlign w:val="center"/>
          </w:tcPr>
          <w:p w14:paraId="0617D84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szCs w:val="21"/>
                <w:highlight w:val="none"/>
                <w:lang w:val="en-US" w:eastAsia="zh-CN"/>
              </w:rPr>
              <w:t>4</w:t>
            </w:r>
          </w:p>
        </w:tc>
        <w:tc>
          <w:tcPr>
            <w:tcW w:w="7452" w:type="dxa"/>
            <w:vAlign w:val="center"/>
          </w:tcPr>
          <w:p w14:paraId="67BA2636">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计量比对总结报告拟定方案：</w:t>
            </w:r>
            <w:r>
              <w:rPr>
                <w:rFonts w:hint="eastAsia" w:ascii="仿宋" w:hAnsi="仿宋" w:eastAsia="仿宋" w:cs="仿宋"/>
                <w:b w:val="0"/>
                <w:bCs w:val="0"/>
                <w:sz w:val="21"/>
                <w:szCs w:val="21"/>
                <w:highlight w:val="none"/>
                <w:lang w:val="en-US" w:eastAsia="zh-CN"/>
              </w:rPr>
              <w:t>专业、全面、</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有利于</w:t>
            </w:r>
            <w:r>
              <w:rPr>
                <w:rFonts w:hint="eastAsia" w:ascii="仿宋" w:hAnsi="仿宋" w:eastAsia="仿宋" w:cs="仿宋"/>
                <w:b w:val="0"/>
                <w:bCs w:val="0"/>
                <w:szCs w:val="21"/>
                <w:highlight w:val="none"/>
              </w:rPr>
              <w:t>采购标的实现及</w:t>
            </w:r>
            <w:r>
              <w:rPr>
                <w:rFonts w:hint="eastAsia" w:ascii="仿宋" w:hAnsi="仿宋" w:eastAsia="仿宋" w:cs="仿宋"/>
                <w:b w:val="0"/>
                <w:bCs w:val="0"/>
                <w:szCs w:val="21"/>
                <w:highlight w:val="none"/>
                <w:lang w:val="en-US" w:eastAsia="zh-CN"/>
              </w:rPr>
              <w:t>合同</w:t>
            </w:r>
            <w:r>
              <w:rPr>
                <w:rFonts w:hint="eastAsia" w:ascii="仿宋" w:hAnsi="仿宋" w:eastAsia="仿宋" w:cs="仿宋"/>
                <w:b w:val="0"/>
                <w:bCs w:val="0"/>
                <w:szCs w:val="21"/>
                <w:highlight w:val="none"/>
              </w:rPr>
              <w:t>履约</w:t>
            </w:r>
            <w:r>
              <w:rPr>
                <w:rFonts w:hint="eastAsia" w:ascii="仿宋" w:hAnsi="仿宋" w:eastAsia="仿宋" w:cs="仿宋"/>
                <w:b/>
                <w:bCs/>
                <w:color w:val="auto"/>
                <w:szCs w:val="21"/>
                <w:highlight w:val="none"/>
                <w:lang w:val="en-US" w:eastAsia="zh-CN"/>
              </w:rPr>
              <w:t>（评分范围：4,3,2,1,0）</w:t>
            </w:r>
          </w:p>
        </w:tc>
      </w:tr>
      <w:tr w14:paraId="0341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64AEB601">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p>
        </w:tc>
        <w:tc>
          <w:tcPr>
            <w:tcW w:w="648" w:type="dxa"/>
            <w:vAlign w:val="center"/>
          </w:tcPr>
          <w:p w14:paraId="774E664A">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szCs w:val="21"/>
                <w:highlight w:val="none"/>
                <w:lang w:val="en-US" w:eastAsia="zh-CN"/>
              </w:rPr>
              <w:t>3</w:t>
            </w:r>
          </w:p>
        </w:tc>
        <w:tc>
          <w:tcPr>
            <w:tcW w:w="7452" w:type="dxa"/>
            <w:vAlign w:val="center"/>
          </w:tcPr>
          <w:p w14:paraId="03D97A3D">
            <w:pPr>
              <w:rPr>
                <w:rFonts w:hint="eastAsia" w:ascii="仿宋" w:hAnsi="仿宋" w:eastAsia="仿宋" w:cs="仿宋"/>
                <w:b w:val="0"/>
                <w:bCs w:val="0"/>
                <w:color w:val="auto"/>
                <w:szCs w:val="21"/>
                <w:highlight w:val="none"/>
                <w:lang w:val="en-US" w:eastAsia="zh-CN"/>
              </w:rPr>
            </w:pPr>
            <w:r>
              <w:rPr>
                <w:rFonts w:hint="eastAsia" w:ascii="仿宋" w:hAnsi="仿宋" w:eastAsia="仿宋" w:cs="仿宋"/>
                <w:b/>
                <w:bCs/>
                <w:szCs w:val="21"/>
                <w:highlight w:val="none"/>
              </w:rPr>
              <w:t>[主观分]</w:t>
            </w:r>
            <w:r>
              <w:rPr>
                <w:rFonts w:hint="eastAsia" w:ascii="仿宋" w:hAnsi="仿宋" w:eastAsia="仿宋" w:cs="仿宋"/>
                <w:b w:val="0"/>
                <w:bCs w:val="0"/>
                <w:szCs w:val="21"/>
                <w:highlight w:val="none"/>
              </w:rPr>
              <w:t>计量比对分析及结论</w:t>
            </w:r>
            <w:r>
              <w:rPr>
                <w:rFonts w:hint="eastAsia" w:ascii="仿宋" w:hAnsi="仿宋" w:eastAsia="仿宋" w:cs="仿宋"/>
                <w:b w:val="0"/>
                <w:bCs w:val="0"/>
                <w:szCs w:val="21"/>
                <w:highlight w:val="none"/>
                <w:lang w:val="en-US" w:eastAsia="zh-CN"/>
              </w:rPr>
              <w:t>方案</w:t>
            </w:r>
            <w:r>
              <w:rPr>
                <w:rFonts w:hint="eastAsia" w:ascii="仿宋" w:hAnsi="仿宋" w:eastAsia="仿宋" w:cs="仿宋"/>
                <w:szCs w:val="21"/>
                <w:highlight w:val="none"/>
              </w:rPr>
              <w:t>：全面、</w:t>
            </w:r>
            <w:r>
              <w:rPr>
                <w:rFonts w:hint="eastAsia" w:ascii="仿宋" w:hAnsi="仿宋" w:eastAsia="仿宋" w:cs="仿宋"/>
                <w:szCs w:val="21"/>
                <w:highlight w:val="none"/>
                <w:lang w:val="en-US" w:eastAsia="zh-CN"/>
              </w:rPr>
              <w:t>及时、</w:t>
            </w:r>
            <w:r>
              <w:rPr>
                <w:rFonts w:hint="eastAsia" w:ascii="仿宋" w:hAnsi="仿宋" w:eastAsia="仿宋" w:cs="仿宋"/>
                <w:szCs w:val="21"/>
                <w:highlight w:val="none"/>
              </w:rPr>
              <w:t>针对采购需求及实际特点、有利于采购标的实现及合同履约</w:t>
            </w:r>
            <w:r>
              <w:rPr>
                <w:rFonts w:hint="eastAsia" w:ascii="仿宋" w:hAnsi="仿宋" w:eastAsia="仿宋" w:cs="仿宋"/>
                <w:b/>
                <w:bCs/>
                <w:color w:val="auto"/>
                <w:szCs w:val="21"/>
                <w:highlight w:val="none"/>
                <w:lang w:val="en-US" w:eastAsia="zh-CN"/>
              </w:rPr>
              <w:t>（评分范围：3,2,1,0）</w:t>
            </w:r>
          </w:p>
        </w:tc>
      </w:tr>
      <w:tr w14:paraId="0252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Align w:val="center"/>
          </w:tcPr>
          <w:p w14:paraId="65FDBAF5">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售后服务</w:t>
            </w:r>
          </w:p>
        </w:tc>
        <w:tc>
          <w:tcPr>
            <w:tcW w:w="648" w:type="dxa"/>
            <w:vAlign w:val="center"/>
          </w:tcPr>
          <w:p w14:paraId="69E96C20">
            <w:pPr>
              <w:jc w:val="center"/>
              <w:rPr>
                <w:rFonts w:hint="eastAsia" w:ascii="仿宋" w:hAnsi="仿宋" w:eastAsia="仿宋" w:cs="仿宋"/>
                <w:b/>
                <w:bCs/>
                <w:szCs w:val="21"/>
                <w:highlight w:val="none"/>
                <w:lang w:val="en-US" w:eastAsia="zh-CN"/>
              </w:rPr>
            </w:pPr>
            <w:r>
              <w:rPr>
                <w:rFonts w:hint="eastAsia" w:ascii="仿宋" w:hAnsi="仿宋" w:eastAsia="仿宋" w:cs="仿宋"/>
                <w:b/>
                <w:bCs/>
                <w:color w:val="auto"/>
                <w:szCs w:val="21"/>
                <w:highlight w:val="none"/>
              </w:rPr>
              <w:t>3</w:t>
            </w:r>
          </w:p>
        </w:tc>
        <w:tc>
          <w:tcPr>
            <w:tcW w:w="7452" w:type="dxa"/>
            <w:vAlign w:val="center"/>
          </w:tcPr>
          <w:p w14:paraId="7B8E64F7">
            <w:pPr>
              <w:rPr>
                <w:rFonts w:hint="eastAsia" w:ascii="仿宋" w:hAnsi="仿宋" w:eastAsia="仿宋" w:cs="仿宋"/>
                <w:b/>
                <w:bCs/>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售后服务方案（包括</w:t>
            </w:r>
            <w:r>
              <w:rPr>
                <w:rFonts w:hint="eastAsia" w:ascii="仿宋" w:hAnsi="仿宋" w:eastAsia="仿宋" w:cs="仿宋"/>
                <w:color w:val="auto"/>
                <w:szCs w:val="21"/>
                <w:highlight w:val="none"/>
                <w:lang w:val="en-US" w:eastAsia="zh-CN"/>
              </w:rPr>
              <w:t>二次比对</w:t>
            </w:r>
            <w:r>
              <w:rPr>
                <w:rFonts w:hint="eastAsia" w:ascii="仿宋" w:hAnsi="仿宋" w:eastAsia="仿宋" w:cs="仿宋"/>
                <w:color w:val="auto"/>
                <w:szCs w:val="21"/>
                <w:highlight w:val="none"/>
              </w:rPr>
              <w:t>、响应时间、服务方式、应急服务等）：全面、针对采购需求及实际特点、有利于采购标的实现及合同履约</w:t>
            </w:r>
            <w:r>
              <w:rPr>
                <w:rFonts w:hint="eastAsia" w:ascii="仿宋" w:hAnsi="仿宋" w:eastAsia="仿宋" w:cs="仿宋"/>
                <w:b/>
                <w:bCs/>
                <w:color w:val="auto"/>
                <w:szCs w:val="21"/>
                <w:highlight w:val="none"/>
              </w:rPr>
              <w:t>（评分范围：3,2,1,0）</w:t>
            </w:r>
          </w:p>
        </w:tc>
      </w:tr>
      <w:tr w14:paraId="7FF9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restart"/>
            <w:vAlign w:val="center"/>
          </w:tcPr>
          <w:p w14:paraId="02632DD2">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服务团队</w:t>
            </w:r>
          </w:p>
        </w:tc>
        <w:tc>
          <w:tcPr>
            <w:tcW w:w="648" w:type="dxa"/>
            <w:vAlign w:val="center"/>
          </w:tcPr>
          <w:p w14:paraId="6363283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szCs w:val="21"/>
                <w:highlight w:val="none"/>
                <w:lang w:val="en-US" w:eastAsia="zh-CN"/>
              </w:rPr>
            </w:pPr>
            <w:r>
              <w:rPr>
                <w:rFonts w:hint="eastAsia" w:ascii="仿宋" w:hAnsi="仿宋" w:eastAsia="仿宋" w:cs="仿宋"/>
                <w:b/>
                <w:bCs/>
                <w:color w:val="000000"/>
                <w:szCs w:val="21"/>
                <w:highlight w:val="none"/>
                <w:lang w:val="en-US" w:eastAsia="zh-CN"/>
              </w:rPr>
              <w:t>3</w:t>
            </w:r>
          </w:p>
        </w:tc>
        <w:tc>
          <w:tcPr>
            <w:tcW w:w="7452" w:type="dxa"/>
            <w:vAlign w:val="center"/>
          </w:tcPr>
          <w:p w14:paraId="586CC12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Cs w:val="21"/>
                <w:highlight w:val="none"/>
                <w:lang w:val="en-US" w:eastAsia="zh-CN"/>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人员数量、职责分工：充足、明确、</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有利于</w:t>
            </w:r>
            <w:r>
              <w:rPr>
                <w:rFonts w:hint="eastAsia" w:ascii="仿宋" w:hAnsi="仿宋" w:eastAsia="仿宋" w:cs="仿宋"/>
                <w:b w:val="0"/>
                <w:bCs w:val="0"/>
                <w:szCs w:val="21"/>
                <w:highlight w:val="none"/>
              </w:rPr>
              <w:t>采购标的实现及</w:t>
            </w:r>
            <w:r>
              <w:rPr>
                <w:rFonts w:hint="eastAsia" w:ascii="仿宋" w:hAnsi="仿宋" w:eastAsia="仿宋" w:cs="仿宋"/>
                <w:b w:val="0"/>
                <w:bCs w:val="0"/>
                <w:szCs w:val="21"/>
                <w:highlight w:val="none"/>
                <w:lang w:val="en-US" w:eastAsia="zh-CN"/>
              </w:rPr>
              <w:t>合同</w:t>
            </w:r>
            <w:r>
              <w:rPr>
                <w:rFonts w:hint="eastAsia" w:ascii="仿宋" w:hAnsi="仿宋" w:eastAsia="仿宋" w:cs="仿宋"/>
                <w:b w:val="0"/>
                <w:bCs w:val="0"/>
                <w:szCs w:val="21"/>
                <w:highlight w:val="none"/>
              </w:rPr>
              <w:t>履约</w:t>
            </w:r>
            <w:r>
              <w:rPr>
                <w:rFonts w:hint="eastAsia" w:ascii="仿宋" w:hAnsi="仿宋" w:eastAsia="仿宋" w:cs="仿宋"/>
                <w:b/>
                <w:bCs/>
                <w:color w:val="auto"/>
                <w:szCs w:val="21"/>
                <w:highlight w:val="none"/>
                <w:lang w:val="en-US" w:eastAsia="zh-CN"/>
              </w:rPr>
              <w:t>（评分范围：3,2,1,0）</w:t>
            </w:r>
          </w:p>
        </w:tc>
      </w:tr>
      <w:tr w14:paraId="130D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vMerge w:val="continue"/>
            <w:vAlign w:val="center"/>
          </w:tcPr>
          <w:p w14:paraId="639A5432">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b/>
                <w:bCs/>
                <w:color w:val="auto"/>
                <w:szCs w:val="21"/>
                <w:highlight w:val="none"/>
                <w:lang w:val="en-US" w:eastAsia="zh-CN"/>
              </w:rPr>
            </w:pPr>
          </w:p>
        </w:tc>
        <w:tc>
          <w:tcPr>
            <w:tcW w:w="648" w:type="dxa"/>
            <w:vAlign w:val="center"/>
          </w:tcPr>
          <w:p w14:paraId="60FD5EA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szCs w:val="21"/>
                <w:highlight w:val="none"/>
                <w:lang w:val="en-US" w:eastAsia="zh-CN"/>
              </w:rPr>
            </w:pPr>
            <w:r>
              <w:rPr>
                <w:rFonts w:hint="eastAsia" w:ascii="仿宋" w:hAnsi="仿宋" w:eastAsia="仿宋" w:cs="仿宋"/>
                <w:b/>
                <w:bCs/>
                <w:color w:val="000000"/>
                <w:szCs w:val="21"/>
                <w:highlight w:val="none"/>
                <w:lang w:val="en-US" w:eastAsia="zh-CN"/>
              </w:rPr>
              <w:t>6</w:t>
            </w:r>
          </w:p>
        </w:tc>
        <w:tc>
          <w:tcPr>
            <w:tcW w:w="7452" w:type="dxa"/>
            <w:vAlign w:val="center"/>
          </w:tcPr>
          <w:p w14:paraId="5438DBAD">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b/>
                <w:bCs/>
                <w:szCs w:val="21"/>
                <w:highlight w:val="none"/>
                <w:lang w:val="en-US" w:eastAsia="zh-CN"/>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服务团队人员</w:t>
            </w:r>
            <w:r>
              <w:rPr>
                <w:rFonts w:hint="eastAsia" w:ascii="仿宋" w:hAnsi="仿宋" w:eastAsia="仿宋" w:cs="仿宋"/>
                <w:b w:val="0"/>
                <w:bCs w:val="0"/>
                <w:szCs w:val="21"/>
                <w:highlight w:val="none"/>
                <w:lang w:val="en-US" w:eastAsia="zh-CN"/>
              </w:rPr>
              <w:t>素质（提供相关证明材料）：突出、丰富</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szCs w:val="21"/>
                <w:highlight w:val="none"/>
              </w:rPr>
              <w:t>针对采购需求及实际特点</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有利于</w:t>
            </w:r>
            <w:r>
              <w:rPr>
                <w:rFonts w:hint="eastAsia" w:ascii="仿宋" w:hAnsi="仿宋" w:eastAsia="仿宋" w:cs="仿宋"/>
                <w:b w:val="0"/>
                <w:bCs w:val="0"/>
                <w:szCs w:val="21"/>
                <w:highlight w:val="none"/>
              </w:rPr>
              <w:t>采购标的实现及</w:t>
            </w:r>
            <w:r>
              <w:rPr>
                <w:rFonts w:hint="eastAsia" w:ascii="仿宋" w:hAnsi="仿宋" w:eastAsia="仿宋" w:cs="仿宋"/>
                <w:b w:val="0"/>
                <w:bCs w:val="0"/>
                <w:szCs w:val="21"/>
                <w:highlight w:val="none"/>
                <w:lang w:val="en-US" w:eastAsia="zh-CN"/>
              </w:rPr>
              <w:t>合同</w:t>
            </w:r>
            <w:r>
              <w:rPr>
                <w:rFonts w:hint="eastAsia" w:ascii="仿宋" w:hAnsi="仿宋" w:eastAsia="仿宋" w:cs="仿宋"/>
                <w:b w:val="0"/>
                <w:bCs w:val="0"/>
                <w:szCs w:val="21"/>
                <w:highlight w:val="none"/>
              </w:rPr>
              <w:t>履约</w:t>
            </w:r>
          </w:p>
          <w:p w14:paraId="5066A522">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b w:val="0"/>
                <w:bCs w:val="0"/>
                <w:szCs w:val="21"/>
                <w:highlight w:val="none"/>
                <w:lang w:val="en-US" w:eastAsia="zh-CN"/>
              </w:rPr>
            </w:pPr>
            <w:r>
              <w:rPr>
                <w:rFonts w:hint="eastAsia" w:ascii="仿宋" w:hAnsi="仿宋" w:eastAsia="仿宋" w:cs="仿宋"/>
                <w:b w:val="0"/>
                <w:bCs w:val="0"/>
                <w:szCs w:val="21"/>
                <w:highlight w:val="none"/>
                <w:lang w:val="en-US" w:eastAsia="zh-CN"/>
              </w:rPr>
              <w:t>1.专业技术能力</w:t>
            </w:r>
            <w:r>
              <w:rPr>
                <w:rFonts w:hint="eastAsia" w:ascii="仿宋" w:hAnsi="仿宋" w:eastAsia="仿宋" w:cs="仿宋"/>
                <w:b/>
                <w:bCs/>
                <w:color w:val="auto"/>
                <w:szCs w:val="21"/>
                <w:highlight w:val="none"/>
                <w:lang w:val="en-US" w:eastAsia="zh-CN"/>
              </w:rPr>
              <w:t>（评分范围：3,2,1,0）</w:t>
            </w:r>
          </w:p>
          <w:p w14:paraId="0E08616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Cs w:val="21"/>
                <w:highlight w:val="none"/>
                <w:lang w:val="en-US" w:eastAsia="zh-CN"/>
              </w:rPr>
            </w:pPr>
            <w:r>
              <w:rPr>
                <w:rFonts w:hint="eastAsia" w:ascii="仿宋" w:hAnsi="仿宋" w:eastAsia="仿宋" w:cs="仿宋"/>
                <w:b w:val="0"/>
                <w:bCs w:val="0"/>
                <w:szCs w:val="21"/>
                <w:highlight w:val="none"/>
                <w:lang w:val="en-US" w:eastAsia="zh-CN"/>
              </w:rPr>
              <w:t>2.同类项目实施经验</w:t>
            </w:r>
            <w:r>
              <w:rPr>
                <w:rFonts w:hint="eastAsia" w:ascii="仿宋" w:hAnsi="仿宋" w:eastAsia="仿宋" w:cs="仿宋"/>
                <w:b/>
                <w:bCs/>
                <w:color w:val="auto"/>
                <w:szCs w:val="21"/>
                <w:highlight w:val="none"/>
                <w:lang w:val="en-US" w:eastAsia="zh-CN"/>
              </w:rPr>
              <w:t>（评分范围：3,2,1,0）</w:t>
            </w:r>
          </w:p>
        </w:tc>
      </w:tr>
    </w:tbl>
    <w:p w14:paraId="520957A1">
      <w:pPr>
        <w:widowControl/>
        <w:adjustRightInd w:val="0"/>
        <w:snapToGrid w:val="0"/>
        <w:spacing w:line="288" w:lineRule="auto"/>
        <w:jc w:val="center"/>
        <w:rPr>
          <w:rFonts w:hint="eastAsia" w:ascii="仿宋" w:hAnsi="仿宋" w:eastAsia="仿宋" w:cs="仿宋"/>
          <w:b/>
          <w:bCs/>
          <w:color w:val="auto"/>
          <w:spacing w:val="-6"/>
          <w:szCs w:val="21"/>
          <w:highlight w:val="none"/>
        </w:rPr>
      </w:pPr>
    </w:p>
    <w:p w14:paraId="63599BEB">
      <w:pPr>
        <w:widowControl/>
        <w:adjustRightInd w:val="0"/>
        <w:snapToGrid w:val="0"/>
        <w:spacing w:line="288" w:lineRule="auto"/>
        <w:jc w:val="cente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58665945">
      <w:pPr>
        <w:adjustRightInd w:val="0"/>
        <w:snapToGrid w:val="0"/>
        <w:spacing w:line="288" w:lineRule="auto"/>
        <w:jc w:val="center"/>
        <w:outlineLvl w:val="0"/>
        <w:rPr>
          <w:rFonts w:hint="eastAsia"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2504BBAD">
      <w:pPr>
        <w:spacing w:line="288" w:lineRule="auto"/>
        <w:jc w:val="center"/>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（本合同为合同样稿，最终稿由双方协商后确定，合同实质性内容不得更改；签订合同时删除此行）</w:t>
      </w:r>
    </w:p>
    <w:p w14:paraId="3352F05F">
      <w:pPr>
        <w:pStyle w:val="22"/>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5460" w:firstLineChars="26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合同编号：</w:t>
      </w:r>
    </w:p>
    <w:p w14:paraId="67A3CE81">
      <w:pPr>
        <w:pStyle w:val="22"/>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5460" w:firstLineChars="26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bidi="ar"/>
        </w:rPr>
        <w:t>确认书号：</w:t>
      </w:r>
      <w:r>
        <w:rPr>
          <w:rFonts w:hint="eastAsia" w:ascii="仿宋" w:hAnsi="仿宋" w:eastAsia="仿宋" w:cs="仿宋"/>
          <w:color w:val="auto"/>
          <w:sz w:val="21"/>
          <w:szCs w:val="21"/>
          <w:highlight w:val="none"/>
          <w:lang w:eastAsia="zh-CN" w:bidi="ar"/>
        </w:rPr>
        <w:t>[2025]26031、26032、26033号</w:t>
      </w:r>
    </w:p>
    <w:p w14:paraId="02C3A45E">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甲方（采购人）：浙江省市场监督管理局</w:t>
      </w:r>
    </w:p>
    <w:p w14:paraId="2DFAD13A">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乙方（供应商）：</w:t>
      </w:r>
    </w:p>
    <w:p w14:paraId="219CCCB5">
      <w:pPr>
        <w:tabs>
          <w:tab w:val="left" w:pos="0"/>
        </w:tabs>
        <w:spacing w:line="288"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甲乙双方依据《中华人民共和国民法典》《中华人民共和国政府采购法》及实施条例和相关法律法规，浙江省市场监督管理局（甲方）经过公开招标，确定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lang w:val="zh-CN"/>
        </w:rPr>
        <w:t>为服务（乙方）单位，按照平等互利原则并经双方友好协商，达成如下协议：</w:t>
      </w:r>
    </w:p>
    <w:p w14:paraId="1BE0B485">
      <w:pPr>
        <w:adjustRightInd w:val="0"/>
        <w:snapToGrid w:val="0"/>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一、基本情况</w:t>
      </w:r>
    </w:p>
    <w:p w14:paraId="27311326">
      <w:pPr>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1、项目名称：</w:t>
      </w:r>
      <w:r>
        <w:rPr>
          <w:rFonts w:hint="eastAsia" w:ascii="仿宋" w:hAnsi="仿宋" w:eastAsia="仿宋" w:cs="仿宋"/>
          <w:color w:val="auto"/>
          <w:szCs w:val="21"/>
          <w:highlight w:val="none"/>
          <w:lang w:eastAsia="zh-CN"/>
        </w:rPr>
        <w:t>全省计量比对辅助工作</w:t>
      </w:r>
    </w:p>
    <w:p w14:paraId="646287AF">
      <w:pPr>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2、服务内容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详见招标文件 第二章 采购需求</w:t>
      </w:r>
    </w:p>
    <w:p w14:paraId="033B3E9A">
      <w:pPr>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3、服务期：2025年10月前</w:t>
      </w:r>
    </w:p>
    <w:p w14:paraId="41369BB2">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4、服务标准：符合招标文件要求</w:t>
      </w:r>
    </w:p>
    <w:p w14:paraId="0D3077B7">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5、服务地点：甲方指定地点</w:t>
      </w:r>
    </w:p>
    <w:p w14:paraId="62B35873">
      <w:pPr>
        <w:spacing w:line="288"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二、合同价款及支付方式：</w:t>
      </w:r>
    </w:p>
    <w:p w14:paraId="61BEBF5E">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1、合同总价金额：（人民币大写）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圆整，（人民币小写）¥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7C8AF552">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2、付款方式：分两期支付</w:t>
      </w:r>
    </w:p>
    <w:p w14:paraId="4A6C0F5E">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（1）第一期支付：合同签订后且收到乙方开具的符合要求的票据且具备实施条件后由甲方支付合同总金额的</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0%作为首付款；</w:t>
      </w:r>
    </w:p>
    <w:p w14:paraId="268ACCBF">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（2）第二期支付：项目完成并通过</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验收合格后付清合同的剩余款项。</w:t>
      </w:r>
    </w:p>
    <w:p w14:paraId="1A3454EA">
      <w:pPr>
        <w:spacing w:line="288"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备注：甲方付款前乙方须开具正式发票</w:t>
      </w:r>
    </w:p>
    <w:p w14:paraId="41C97EE5">
      <w:pPr>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三、技术资料</w:t>
      </w:r>
    </w:p>
    <w:p w14:paraId="035CF391">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1、乙方应按招标文件规定的时间向甲方提供有关技术资料。</w:t>
      </w:r>
    </w:p>
    <w:p w14:paraId="5493711C">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BA775C">
      <w:pPr>
        <w:pStyle w:val="117"/>
        <w:spacing w:line="288" w:lineRule="auto"/>
        <w:ind w:firstLine="422" w:firstLineChars="200"/>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四、知识产权</w:t>
      </w:r>
    </w:p>
    <w:p w14:paraId="1956BE10">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乙方应保证提供服务过程中不会侵犯任何第三方的知识产权。</w:t>
      </w:r>
    </w:p>
    <w:p w14:paraId="787CDAB5">
      <w:pPr>
        <w:pStyle w:val="117"/>
        <w:spacing w:line="288" w:lineRule="auto"/>
        <w:ind w:firstLine="422" w:firstLineChars="200"/>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五、转包或分包</w:t>
      </w:r>
    </w:p>
    <w:p w14:paraId="5FF69F91">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1、本合同范围的服务，应由乙方直接供应，不得转让他人供应。</w:t>
      </w:r>
    </w:p>
    <w:p w14:paraId="08F7B14B">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2、除非得到甲方的书面同意，乙方不得将本合同范围的服务全部或部分分包给他人供应。</w:t>
      </w:r>
    </w:p>
    <w:p w14:paraId="2C07406B">
      <w:pPr>
        <w:pStyle w:val="117"/>
        <w:spacing w:line="288" w:lineRule="auto"/>
        <w:ind w:firstLine="420" w:firstLineChars="200"/>
        <w:rPr>
          <w:rFonts w:hint="eastAsia" w:ascii="仿宋" w:hAnsi="仿宋" w:eastAsia="仿宋" w:cs="仿宋"/>
          <w:b/>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3、如有转让和未经甲方同意的分包行为，甲方有权解除合同，追究乙方的违约责任。</w:t>
      </w:r>
    </w:p>
    <w:p w14:paraId="77DC5195">
      <w:pPr>
        <w:pStyle w:val="117"/>
        <w:spacing w:line="288" w:lineRule="auto"/>
        <w:ind w:firstLine="422" w:firstLineChars="200"/>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六、质量保证及后续服务</w:t>
      </w:r>
    </w:p>
    <w:p w14:paraId="79783775">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1、乙方应按招标文件规定向甲方提供服务。</w:t>
      </w:r>
    </w:p>
    <w:p w14:paraId="4ADEFD9C">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2、乙方提供的服务成果在服务质量保证期内发生故障，乙方应负责免费提供后续服务。对达不到要求者，根据实际情况，经双方协商，可按以下办法处理：</w:t>
      </w:r>
    </w:p>
    <w:p w14:paraId="6518084F">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（1）重做：由乙方承担所发生的全部费用；</w:t>
      </w:r>
    </w:p>
    <w:p w14:paraId="09558344">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（2）解除合同。</w:t>
      </w:r>
    </w:p>
    <w:p w14:paraId="2C474A1F">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3、在服务质量保证期内，乙方应对出现的质量及安全问题负责处理解决并承担一切费用。</w:t>
      </w:r>
    </w:p>
    <w:p w14:paraId="048C603A">
      <w:pPr>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七、双方责任</w:t>
      </w:r>
    </w:p>
    <w:p w14:paraId="3BA7D70F">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甲方责任：</w:t>
      </w:r>
    </w:p>
    <w:p w14:paraId="4EEFFB50">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1、检查、监督乙方服务工作的实施及制度的执行情况。</w:t>
      </w:r>
    </w:p>
    <w:p w14:paraId="55044993">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2、按招标文件要求提供相应的设施设备。</w:t>
      </w:r>
    </w:p>
    <w:p w14:paraId="6BE8AD76">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3、其他：</w:t>
      </w:r>
    </w:p>
    <w:p w14:paraId="5D20DFF8">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乙方责任：</w:t>
      </w:r>
    </w:p>
    <w:p w14:paraId="62592BEE">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1、根据有关法律法规、招标投标文件及本合同的约定，制订服务管理制度、方案，开展日常服务管理活动。</w:t>
      </w:r>
    </w:p>
    <w:p w14:paraId="03C058A9">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2、按甲方要求及时如实向甲方报告服务实施情况。</w:t>
      </w:r>
    </w:p>
    <w:p w14:paraId="1B947C95">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3、因乙方在管理中的过错或违反本合同的约定进行管理造成甲方或第三人损失的，乙方应依法承担赔偿责任。</w:t>
      </w:r>
    </w:p>
    <w:p w14:paraId="42868AB9">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4、如遇突发事件，乙方将服从甲方安排。</w:t>
      </w:r>
    </w:p>
    <w:p w14:paraId="73FAA315">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5、其他：</w:t>
      </w:r>
    </w:p>
    <w:p w14:paraId="749E81C4">
      <w:pPr>
        <w:pStyle w:val="117"/>
        <w:spacing w:line="288" w:lineRule="auto"/>
        <w:ind w:firstLine="422" w:firstLineChars="200"/>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八、违约责任</w:t>
      </w:r>
    </w:p>
    <w:p w14:paraId="0A30E422">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1、甲方无正当理由拒收接受服务的，甲方向乙方偿付合同款项百分之五作为违约金。</w:t>
      </w:r>
    </w:p>
    <w:p w14:paraId="6BA1AC81">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2、甲方无故逾期验收和办理款项支付手续的，甲方应按逾期付款总额每日万分之五向乙方支付违约金。</w:t>
      </w:r>
    </w:p>
    <w:p w14:paraId="39EDDB5B">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0925E25">
      <w:pPr>
        <w:pStyle w:val="117"/>
        <w:spacing w:line="288" w:lineRule="auto"/>
        <w:ind w:firstLine="422" w:firstLineChars="200"/>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九、不可抗力事件处理</w:t>
      </w:r>
    </w:p>
    <w:p w14:paraId="422EAF0D">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1、在合同有效期内，任何一方因不可抗力事件导致不能履行合同，则合同履行期可延长，其延长期与不可抗力影响期相同。</w:t>
      </w:r>
    </w:p>
    <w:p w14:paraId="2834008C">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2、不可抗力事件发生后，应立即通知对方，并寄送有关权威机构出具的证明。</w:t>
      </w:r>
    </w:p>
    <w:p w14:paraId="70C8B5F4">
      <w:pPr>
        <w:pStyle w:val="117"/>
        <w:spacing w:line="288" w:lineRule="auto"/>
        <w:ind w:firstLine="420" w:firstLineChars="2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3、不可抗力事件延续120天以上，双方应通过友好协商，确定是否继续履行合同。</w:t>
      </w:r>
    </w:p>
    <w:p w14:paraId="0D925195">
      <w:pPr>
        <w:adjustRightInd w:val="0"/>
        <w:snapToGrid w:val="0"/>
        <w:spacing w:line="288" w:lineRule="auto"/>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color w:val="auto"/>
          <w:szCs w:val="21"/>
          <w:highlight w:val="none"/>
        </w:rPr>
        <w:t>十、</w:t>
      </w:r>
      <w:r>
        <w:rPr>
          <w:rFonts w:hint="eastAsia" w:ascii="仿宋" w:hAnsi="仿宋" w:eastAsia="仿宋" w:cs="仿宋"/>
          <w:b/>
          <w:snapToGrid w:val="0"/>
          <w:color w:val="auto"/>
          <w:szCs w:val="21"/>
          <w:highlight w:val="none"/>
        </w:rPr>
        <w:t>保险</w:t>
      </w:r>
    </w:p>
    <w:p w14:paraId="12DB6725">
      <w:pPr>
        <w:spacing w:line="288" w:lineRule="auto"/>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1、第三者责任保险</w:t>
      </w:r>
    </w:p>
    <w:p w14:paraId="3CE557D8">
      <w:pPr>
        <w:spacing w:line="288" w:lineRule="auto"/>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乙方应对乙方人员以及第三方全权负责(如乙方应投保第三责任险)，在乙方的责任区内由于乙方原因导致自己员工或第三方的事故由乙方负责，甲方不承担任何责任。</w:t>
      </w:r>
    </w:p>
    <w:p w14:paraId="4E54AB11">
      <w:pPr>
        <w:spacing w:line="288" w:lineRule="auto"/>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2、员工人身意外</w:t>
      </w:r>
    </w:p>
    <w:p w14:paraId="3E84920E">
      <w:pPr>
        <w:spacing w:line="288" w:lineRule="auto"/>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在服务期内，乙方所有人员的事故由乙方自行全权负责(如乙方应对其员工投保人身意外险)，以保证甲方在乙方工作人员索赔时不受任何责任的约束。</w:t>
      </w:r>
    </w:p>
    <w:p w14:paraId="2F4EE56C">
      <w:pPr>
        <w:spacing w:line="288" w:lineRule="auto"/>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3、其他保险及费用</w:t>
      </w:r>
    </w:p>
    <w:p w14:paraId="63D3BFFF">
      <w:pPr>
        <w:spacing w:line="288" w:lineRule="auto"/>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乙方须按《劳动合同法》和政府有关各部门规定为全体服务人员交纳所有相关的社会保险及其他相关费用，乙方对此全权负责。</w:t>
      </w:r>
    </w:p>
    <w:p w14:paraId="38374860">
      <w:pPr>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zh-CN"/>
        </w:rPr>
        <w:t>十一、</w:t>
      </w:r>
      <w:r>
        <w:rPr>
          <w:rFonts w:hint="eastAsia" w:ascii="仿宋" w:hAnsi="仿宋" w:eastAsia="仿宋" w:cs="仿宋"/>
          <w:b/>
          <w:color w:val="auto"/>
          <w:szCs w:val="21"/>
          <w:highlight w:val="none"/>
        </w:rPr>
        <w:t>争议的解决</w:t>
      </w:r>
    </w:p>
    <w:p w14:paraId="4E72422A">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双方在执行合同中所发生的一切争议，应通过协商解决。如协商不成，可向甲方所在地法院起诉。</w:t>
      </w:r>
    </w:p>
    <w:p w14:paraId="5AB68C54">
      <w:pPr>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十二、合同的生效</w:t>
      </w:r>
    </w:p>
    <w:p w14:paraId="28A2F160">
      <w:pPr>
        <w:pStyle w:val="15"/>
        <w:adjustRightInd w:val="0"/>
        <w:snapToGrid w:val="0"/>
        <w:spacing w:before="0" w:beforeLines="0" w:after="0" w:afterLines="0"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1、合同经双方法定代表人或授权代表签字并加盖单位公章后生效。</w:t>
      </w:r>
    </w:p>
    <w:p w14:paraId="3B8A6F68">
      <w:pPr>
        <w:pStyle w:val="15"/>
        <w:adjustRightInd w:val="0"/>
        <w:snapToGrid w:val="0"/>
        <w:spacing w:before="0" w:beforeLines="0" w:after="0" w:afterLines="0"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448070C0">
      <w:pPr>
        <w:shd w:val="clear" w:color="auto" w:fill="FFFFFF"/>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3、招标文件、投标文件及评标过程中形成的文字资料、询标纪要均作为本合同的组成部分，具有同等效力。本合同未尽事宜，遵照《中华人民共和国民法典》有关条文执行。</w:t>
      </w:r>
    </w:p>
    <w:p w14:paraId="2063044B">
      <w:pPr>
        <w:pStyle w:val="15"/>
        <w:snapToGrid w:val="0"/>
        <w:spacing w:before="0" w:beforeLines="0" w:after="0" w:afterLines="0"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4、本合同一式伍份，具有同等法律效力，甲乙双方各执贰份、鉴证方执壹份。</w:t>
      </w:r>
    </w:p>
    <w:p w14:paraId="60FFC2A5">
      <w:pPr>
        <w:spacing w:line="288" w:lineRule="auto"/>
        <w:ind w:firstLine="420" w:firstLineChars="200"/>
        <w:rPr>
          <w:rFonts w:hint="eastAsia" w:ascii="仿宋" w:hAnsi="仿宋" w:eastAsia="仿宋" w:cs="仿宋"/>
          <w:color w:val="auto"/>
          <w:szCs w:val="21"/>
          <w:highlight w:val="none"/>
        </w:rPr>
      </w:pPr>
    </w:p>
    <w:p w14:paraId="3A2E9844">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甲方（盖章）：                            乙方（盖章）：</w:t>
      </w:r>
    </w:p>
    <w:p w14:paraId="069E8DE9">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                                法定代表人</w:t>
      </w:r>
    </w:p>
    <w:p w14:paraId="298DD9F8">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或受委托人（签字）：                      或受委托人（签字）：</w:t>
      </w:r>
    </w:p>
    <w:p w14:paraId="4F49B30A">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                                  联系人：</w:t>
      </w:r>
    </w:p>
    <w:p w14:paraId="3C065D89">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                                    地址：</w:t>
      </w:r>
    </w:p>
    <w:p w14:paraId="3D7D293B">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6F273AEC">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                                    传真：</w:t>
      </w:r>
    </w:p>
    <w:p w14:paraId="6FDD89BE">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04A0B0C6">
      <w:pPr>
        <w:shd w:val="clear" w:color="auto" w:fill="FFFFFF"/>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帐号：                                    帐号：</w:t>
      </w:r>
    </w:p>
    <w:p w14:paraId="760ED754">
      <w:pPr>
        <w:shd w:val="clear" w:color="auto" w:fill="FFFFFF"/>
        <w:snapToGrid w:val="0"/>
        <w:spacing w:line="288" w:lineRule="auto"/>
        <w:ind w:firstLine="420" w:firstLineChars="200"/>
        <w:rPr>
          <w:rFonts w:hint="eastAsia" w:ascii="仿宋" w:hAnsi="仿宋" w:eastAsia="仿宋" w:cs="仿宋"/>
          <w:color w:val="auto"/>
          <w:szCs w:val="21"/>
          <w:highlight w:val="none"/>
        </w:rPr>
      </w:pPr>
    </w:p>
    <w:p w14:paraId="5A1395EB">
      <w:pPr>
        <w:shd w:val="clear" w:color="auto" w:fill="FFFFFF"/>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鉴证方（盖章）</w:t>
      </w:r>
    </w:p>
    <w:p w14:paraId="7C5AF140">
      <w:pPr>
        <w:pStyle w:val="15"/>
        <w:snapToGrid w:val="0"/>
        <w:spacing w:before="0" w:beforeLines="0" w:after="0" w:afterLines="0"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法定代表人或受委托人（签字或盖章）：</w:t>
      </w:r>
    </w:p>
    <w:p w14:paraId="7818F838">
      <w:pPr>
        <w:adjustRightInd w:val="0"/>
        <w:snapToGrid w:val="0"/>
        <w:spacing w:line="288"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bidi="ar"/>
        </w:rPr>
        <w:br w:type="page"/>
      </w:r>
      <w:r>
        <w:rPr>
          <w:rFonts w:hint="eastAsia" w:ascii="仿宋" w:hAnsi="仿宋" w:eastAsia="仿宋" w:cs="仿宋"/>
          <w:b/>
          <w:color w:val="auto"/>
          <w:szCs w:val="21"/>
          <w:highlight w:val="none"/>
          <w:lang w:bidi="ar"/>
        </w:rPr>
        <w:t>合同附件：</w:t>
      </w:r>
    </w:p>
    <w:p w14:paraId="4870878E">
      <w:pPr>
        <w:snapToGrid w:val="0"/>
        <w:spacing w:line="288" w:lineRule="auto"/>
        <w:ind w:firstLine="422" w:firstLineChars="20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bidi="ar"/>
        </w:rPr>
        <w:t>廉洁协议书</w:t>
      </w:r>
    </w:p>
    <w:p w14:paraId="571A509B">
      <w:pPr>
        <w:adjustRightInd w:val="0"/>
        <w:snapToGrid w:val="0"/>
        <w:spacing w:line="288"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bidi="ar"/>
        </w:rPr>
        <w:t>甲方：</w:t>
      </w:r>
    </w:p>
    <w:p w14:paraId="31E257F3">
      <w:pPr>
        <w:adjustRightInd w:val="0"/>
        <w:snapToGrid w:val="0"/>
        <w:spacing w:line="288"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bidi="ar"/>
        </w:rPr>
        <w:t>乙方：</w:t>
      </w:r>
    </w:p>
    <w:p w14:paraId="46CC9D07">
      <w:pPr>
        <w:adjustRightInd w:val="0"/>
        <w:snapToGrid w:val="0"/>
        <w:spacing w:line="288"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lang w:bidi="ar"/>
        </w:rPr>
        <w:t>项目名称：</w:t>
      </w:r>
      <w:r>
        <w:rPr>
          <w:rFonts w:hint="eastAsia" w:ascii="仿宋" w:hAnsi="仿宋" w:eastAsia="仿宋" w:cs="仿宋"/>
          <w:color w:val="auto"/>
          <w:szCs w:val="21"/>
          <w:highlight w:val="none"/>
          <w:lang w:eastAsia="zh-CN"/>
        </w:rPr>
        <w:t>全省计量比对辅助工作</w:t>
      </w:r>
    </w:p>
    <w:p w14:paraId="75D6A9C7">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为了保持廉政自律的工作作风，防止各种不正当行为的发生，根据国家和省市有关廉政建设的各项规定，结合项目的特点，订立本协议如下：</w:t>
      </w:r>
    </w:p>
    <w:p w14:paraId="0B9E436B">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一、甲乙双方应当自觉遵守关于廉政建设的各项规定。</w:t>
      </w:r>
    </w:p>
    <w:p w14:paraId="04431442">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二、甲方及其工作人员不得以任何形式向乙方索要和收受回扣等好处费。</w:t>
      </w:r>
    </w:p>
    <w:p w14:paraId="0DB82F7B">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三、甲方工作人员应当保持与乙方的正常业务交往，不得接受乙方的现金、有价证券和贵重物品，不得在乙方报销任何应由个人支付的费用。</w:t>
      </w:r>
    </w:p>
    <w:p w14:paraId="3C604528">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四、甲方工作人员不得参加可能对公正执行公务有影响的宴请和娱乐活动。</w:t>
      </w:r>
    </w:p>
    <w:p w14:paraId="3690C0C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五、甲方工作人员不得要求接受乙方为其住房装修、婚丧嫁娶、家属和子女的工作安排以及出国等提供方便。</w:t>
      </w:r>
    </w:p>
    <w:p w14:paraId="3A11E2AB">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六、甲方工作人员不得向乙方介绍家属或者亲友从事与甲方项目有关的经济活动。</w:t>
      </w:r>
    </w:p>
    <w:p w14:paraId="66B296CA">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七、乙方应当通过正常途径开展业务工作，不得为获取某些不正当利益而向甲方工作人员赠送礼金、有价证券和贵重物品等。</w:t>
      </w:r>
    </w:p>
    <w:p w14:paraId="6612C3B2">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八、乙方不得为谋取私利擅自与甲方工作人员进行私下商谈或者达成默契。</w:t>
      </w:r>
    </w:p>
    <w:p w14:paraId="3F690EBF">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九、乙方不得以洽谈业务、签订经济合同为借口，邀请甲方工作人员外出旅游和进入高档娱乐性场所。</w:t>
      </w:r>
    </w:p>
    <w:p w14:paraId="7179A15D">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十、乙方不得为甲方和个人购置或者提供通讯工具、家电、高档办公用品等物品。</w:t>
      </w:r>
    </w:p>
    <w:p w14:paraId="16321126">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5438F1FF">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十二、甲方发现乙方有违反本协议或者采用不正当的手段行贿甲方工作人员，甲方根据具体情节和造成的后果追究乙方合同总价金额1%~5%的违约金，由此给甲方造成的损失均由乙方承担，乙方用不正当手段获取的非法所得由甲方单位予以追缴。</w:t>
      </w:r>
    </w:p>
    <w:p w14:paraId="30B3917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十三、严格执行中纪委下发的中纪发[2007]7号《中共中央纪委关于严格禁止利用职务上的便利谋取不正当利益的若干规定》。</w:t>
      </w:r>
    </w:p>
    <w:p w14:paraId="24241975">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十四、本廉政协议作为合同的附件，与合同具有同等法律效力，经协议双方签署后立即生效。</w:t>
      </w:r>
    </w:p>
    <w:p w14:paraId="366EB75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十五、本协议一式两份，甲、乙双方各执一份。</w:t>
      </w:r>
    </w:p>
    <w:p w14:paraId="53B0E944">
      <w:pPr>
        <w:adjustRightInd w:val="0"/>
        <w:snapToGrid w:val="0"/>
        <w:spacing w:line="288" w:lineRule="auto"/>
        <w:ind w:firstLine="420" w:firstLineChars="200"/>
        <w:rPr>
          <w:rFonts w:hint="eastAsia" w:ascii="仿宋" w:hAnsi="仿宋" w:eastAsia="仿宋" w:cs="仿宋"/>
          <w:color w:val="auto"/>
          <w:szCs w:val="21"/>
          <w:highlight w:val="none"/>
        </w:rPr>
      </w:pPr>
    </w:p>
    <w:p w14:paraId="5C0B2BD4">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甲方（公章）：                                     乙方（公章）：</w:t>
      </w:r>
    </w:p>
    <w:p w14:paraId="616B0C81">
      <w:pPr>
        <w:adjustRightInd w:val="0"/>
        <w:snapToGrid w:val="0"/>
        <w:spacing w:line="288" w:lineRule="auto"/>
        <w:ind w:firstLine="420" w:firstLineChars="200"/>
        <w:rPr>
          <w:rFonts w:hint="eastAsia" w:ascii="仿宋" w:hAnsi="仿宋" w:eastAsia="仿宋" w:cs="仿宋"/>
          <w:color w:val="auto"/>
          <w:szCs w:val="21"/>
          <w:highlight w:val="none"/>
        </w:rPr>
      </w:pPr>
    </w:p>
    <w:p w14:paraId="15D99889">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法定代表人：                                       法定代表人：</w:t>
      </w:r>
    </w:p>
    <w:p w14:paraId="72E32FFF">
      <w:pPr>
        <w:adjustRightInd w:val="0"/>
        <w:snapToGrid w:val="0"/>
        <w:spacing w:line="288" w:lineRule="auto"/>
        <w:ind w:firstLine="420" w:firstLineChars="200"/>
        <w:rPr>
          <w:rFonts w:hint="eastAsia" w:ascii="仿宋" w:hAnsi="仿宋" w:eastAsia="仿宋" w:cs="仿宋"/>
          <w:color w:val="auto"/>
          <w:szCs w:val="21"/>
          <w:highlight w:val="none"/>
        </w:rPr>
      </w:pPr>
    </w:p>
    <w:p w14:paraId="673F45CA">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或委托代理人：                                     或委托代理人：</w:t>
      </w:r>
    </w:p>
    <w:p w14:paraId="583A1E6B">
      <w:pPr>
        <w:adjustRightInd w:val="0"/>
        <w:snapToGrid w:val="0"/>
        <w:spacing w:line="288" w:lineRule="auto"/>
        <w:ind w:firstLine="420" w:firstLineChars="200"/>
        <w:rPr>
          <w:rFonts w:hint="eastAsia" w:ascii="仿宋" w:hAnsi="仿宋" w:eastAsia="仿宋" w:cs="仿宋"/>
          <w:color w:val="auto"/>
          <w:szCs w:val="21"/>
          <w:highlight w:val="none"/>
        </w:rPr>
      </w:pPr>
    </w:p>
    <w:p w14:paraId="5D264E21">
      <w:pPr>
        <w:adjustRightInd w:val="0"/>
        <w:snapToGrid w:val="0"/>
        <w:spacing w:line="288" w:lineRule="auto"/>
        <w:ind w:firstLine="1680" w:firstLineChars="800"/>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年    月   日                                      年    月   日</w:t>
      </w:r>
    </w:p>
    <w:p w14:paraId="3B646533">
      <w:pPr>
        <w:adjustRightInd w:val="0"/>
        <w:snapToGrid w:val="0"/>
        <w:spacing w:line="288" w:lineRule="auto"/>
        <w:ind w:firstLine="2100" w:firstLineChars="1000"/>
        <w:rPr>
          <w:rFonts w:hint="eastAsia" w:ascii="仿宋" w:hAnsi="仿宋" w:eastAsia="仿宋" w:cs="仿宋"/>
          <w:b/>
          <w:color w:val="auto"/>
          <w:sz w:val="32"/>
          <w:szCs w:val="32"/>
          <w:highlight w:val="none"/>
        </w:rPr>
      </w:pPr>
      <w:r>
        <w:rPr>
          <w:rFonts w:hint="eastAsia" w:ascii="仿宋" w:hAnsi="仿宋" w:eastAsia="仿宋" w:cs="仿宋"/>
          <w:color w:val="auto"/>
          <w:szCs w:val="21"/>
          <w:highlight w:val="none"/>
          <w:lang w:val="zh-CN"/>
        </w:rPr>
        <w:br w:type="page"/>
      </w:r>
    </w:p>
    <w:p w14:paraId="216EFA8E">
      <w:pPr>
        <w:adjustRightInd w:val="0"/>
        <w:snapToGrid w:val="0"/>
        <w:spacing w:line="288" w:lineRule="auto"/>
        <w:jc w:val="center"/>
        <w:outlineLvl w:val="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59416365">
      <w:pPr>
        <w:adjustRightInd w:val="0"/>
        <w:snapToGrid w:val="0"/>
        <w:spacing w:line="360" w:lineRule="auto"/>
        <w:rPr>
          <w:rFonts w:hint="eastAsia" w:ascii="仿宋" w:hAnsi="仿宋" w:eastAsia="仿宋" w:cs="仿宋"/>
          <w:b/>
          <w:bCs/>
          <w:color w:val="auto"/>
          <w:spacing w:val="-6"/>
          <w:sz w:val="24"/>
          <w:szCs w:val="24"/>
          <w:highlight w:val="none"/>
        </w:rPr>
      </w:pPr>
    </w:p>
    <w:p w14:paraId="02851A44">
      <w:pPr>
        <w:adjustRightInd w:val="0"/>
        <w:snapToGrid w:val="0"/>
        <w:spacing w:line="360" w:lineRule="auto"/>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0433D40A">
      <w:pPr>
        <w:adjustRightInd w:val="0"/>
        <w:snapToGrid w:val="0"/>
        <w:spacing w:line="360" w:lineRule="auto"/>
        <w:rPr>
          <w:rFonts w:hint="eastAsia" w:ascii="仿宋" w:hAnsi="仿宋" w:eastAsia="仿宋" w:cs="仿宋"/>
          <w:b/>
          <w:bCs/>
          <w:color w:val="auto"/>
          <w:spacing w:val="-6"/>
          <w:sz w:val="24"/>
          <w:szCs w:val="24"/>
          <w:highlight w:val="none"/>
        </w:rPr>
      </w:pPr>
    </w:p>
    <w:p w14:paraId="007C6079">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16AFF7EA">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59606BA6">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（1）有效的法人或者其他组织的营业执照等证明文件/自然人的身份证明</w:t>
      </w:r>
    </w:p>
    <w:p w14:paraId="2E862B66">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（2）符合参加政府采购活动应当具备的一般条件的承诺函</w:t>
      </w:r>
    </w:p>
    <w:p w14:paraId="1B428FFE">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（3）联合协议（若联合体投标）</w:t>
      </w:r>
    </w:p>
    <w:p w14:paraId="531DD74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▲联合体投标的，联合体各方均应提供（1）&amp;（2）项材料</w:t>
      </w:r>
    </w:p>
    <w:p w14:paraId="5619B610">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726BD0B1">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（1）投标函</w:t>
      </w:r>
    </w:p>
    <w:p w14:paraId="2CA10160">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（2）法定代表人（单位负责人、自然人本人）身份证明/授权委托书</w:t>
      </w:r>
    </w:p>
    <w:p w14:paraId="02FA318B">
      <w:pPr>
        <w:adjustRightInd w:val="0"/>
        <w:snapToGrid w:val="0"/>
        <w:spacing w:line="360" w:lineRule="auto"/>
        <w:ind w:firstLine="735" w:firstLineChars="350"/>
        <w:jc w:val="lef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2025年1月（含）至今任意一月</w:t>
      </w:r>
      <w:r>
        <w:rPr>
          <w:rFonts w:hint="eastAsia" w:ascii="仿宋" w:hAnsi="仿宋" w:eastAsia="仿宋" w:cs="仿宋"/>
          <w:color w:val="auto"/>
          <w:spacing w:val="-6"/>
          <w:szCs w:val="21"/>
          <w:highlight w:val="none"/>
        </w:rPr>
        <w:t>投标授权代表社保缴纳证明</w:t>
      </w:r>
    </w:p>
    <w:p w14:paraId="34625D67">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（3）采购需求偏离表</w:t>
      </w:r>
    </w:p>
    <w:p w14:paraId="7EB59E5C">
      <w:pPr>
        <w:adjustRightInd w:val="0"/>
        <w:snapToGrid w:val="0"/>
        <w:spacing w:line="360" w:lineRule="auto"/>
        <w:ind w:firstLine="396" w:firstLineChars="200"/>
        <w:jc w:val="left"/>
        <w:rPr>
          <w:rFonts w:hint="eastAsia"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bCs/>
          <w:color w:val="auto"/>
          <w:spacing w:val="-6"/>
          <w:szCs w:val="21"/>
          <w:highlight w:val="none"/>
        </w:rPr>
        <w:t>4）投标人类似合同实施情况一览表</w:t>
      </w:r>
    </w:p>
    <w:p w14:paraId="20059646">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（5）服务方案</w:t>
      </w:r>
    </w:p>
    <w:p w14:paraId="21823CF8">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rPr>
        <w:t>（6）</w:t>
      </w:r>
      <w:r>
        <w:rPr>
          <w:rFonts w:hint="eastAsia" w:ascii="仿宋" w:hAnsi="仿宋" w:eastAsia="仿宋" w:cs="仿宋"/>
          <w:color w:val="auto"/>
          <w:spacing w:val="-6"/>
          <w:szCs w:val="21"/>
          <w:highlight w:val="none"/>
          <w:lang w:val="en-US" w:eastAsia="zh-CN"/>
        </w:rPr>
        <w:t>售后服务方案</w:t>
      </w:r>
    </w:p>
    <w:p w14:paraId="4C418B6A">
      <w:pPr>
        <w:adjustRightInd w:val="0"/>
        <w:snapToGrid w:val="0"/>
        <w:spacing w:line="360" w:lineRule="auto"/>
        <w:ind w:firstLine="396" w:firstLineChars="200"/>
        <w:jc w:val="left"/>
        <w:rPr>
          <w:rFonts w:hint="eastAsia"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（6）服务团队人员一览表</w:t>
      </w:r>
    </w:p>
    <w:p w14:paraId="0228DB47">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12012610">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（1）开标一览表</w:t>
      </w:r>
    </w:p>
    <w:p w14:paraId="1F5DC60D">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（2）中小企业声明函（若属于中小企业）</w:t>
      </w:r>
    </w:p>
    <w:p w14:paraId="0196B79D">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（3）属于监狱企业的证明文件（若属于监狱企业）</w:t>
      </w:r>
    </w:p>
    <w:p w14:paraId="596D1247">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（4）残疾人福利性单位声明函（若属于残疾人福利性单位）</w:t>
      </w:r>
    </w:p>
    <w:p w14:paraId="350394EE">
      <w:pPr>
        <w:widowControl/>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C45F373">
      <w:pPr>
        <w:adjustRightInd w:val="0"/>
        <w:snapToGrid w:val="0"/>
        <w:spacing w:line="288" w:lineRule="auto"/>
        <w:jc w:val="center"/>
        <w:rPr>
          <w:rFonts w:hint="eastAsia" w:ascii="仿宋" w:hAnsi="仿宋" w:eastAsia="仿宋" w:cs="仿宋"/>
          <w:b/>
          <w:bCs/>
          <w:color w:val="auto"/>
          <w:sz w:val="84"/>
          <w:szCs w:val="84"/>
          <w:highlight w:val="none"/>
        </w:rPr>
      </w:pPr>
    </w:p>
    <w:p w14:paraId="636B5A74">
      <w:pPr>
        <w:adjustRightInd w:val="0"/>
        <w:snapToGrid w:val="0"/>
        <w:spacing w:line="288" w:lineRule="auto"/>
        <w:jc w:val="center"/>
        <w:rPr>
          <w:rFonts w:hint="eastAsia" w:ascii="仿宋" w:hAnsi="仿宋" w:eastAsia="仿宋" w:cs="仿宋"/>
          <w:b/>
          <w:bCs/>
          <w:color w:val="auto"/>
          <w:sz w:val="84"/>
          <w:szCs w:val="84"/>
          <w:highlight w:val="none"/>
        </w:rPr>
      </w:pPr>
    </w:p>
    <w:p w14:paraId="5FBD5312">
      <w:pPr>
        <w:adjustRightInd w:val="0"/>
        <w:snapToGrid w:val="0"/>
        <w:spacing w:line="288" w:lineRule="auto"/>
        <w:jc w:val="center"/>
        <w:rPr>
          <w:rFonts w:hint="eastAsia" w:ascii="仿宋" w:hAnsi="仿宋" w:eastAsia="仿宋" w:cs="仿宋"/>
          <w:b/>
          <w:bCs/>
          <w:color w:val="auto"/>
          <w:sz w:val="84"/>
          <w:szCs w:val="84"/>
          <w:highlight w:val="none"/>
        </w:rPr>
      </w:pPr>
    </w:p>
    <w:p w14:paraId="159625D5">
      <w:pPr>
        <w:adjustRightInd w:val="0"/>
        <w:snapToGrid w:val="0"/>
        <w:spacing w:line="288" w:lineRule="auto"/>
        <w:jc w:val="center"/>
        <w:rPr>
          <w:rFonts w:hint="eastAsia" w:ascii="仿宋" w:hAnsi="仿宋" w:eastAsia="仿宋" w:cs="仿宋"/>
          <w:b/>
          <w:bCs/>
          <w:color w:val="auto"/>
          <w:sz w:val="84"/>
          <w:szCs w:val="84"/>
          <w:highlight w:val="none"/>
        </w:rPr>
      </w:pPr>
    </w:p>
    <w:p w14:paraId="22978F18">
      <w:pPr>
        <w:adjustRightInd w:val="0"/>
        <w:snapToGrid w:val="0"/>
        <w:spacing w:line="288" w:lineRule="auto"/>
        <w:jc w:val="center"/>
        <w:outlineLvl w:val="1"/>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0D40BF87">
      <w:pPr>
        <w:adjustRightInd w:val="0"/>
        <w:snapToGrid w:val="0"/>
        <w:spacing w:line="288" w:lineRule="auto"/>
        <w:jc w:val="center"/>
        <w:rPr>
          <w:rFonts w:hint="eastAsia" w:ascii="仿宋" w:hAnsi="仿宋" w:eastAsia="仿宋" w:cs="仿宋"/>
          <w:b/>
          <w:bCs/>
          <w:color w:val="auto"/>
          <w:sz w:val="84"/>
          <w:szCs w:val="84"/>
          <w:highlight w:val="none"/>
        </w:rPr>
      </w:pPr>
    </w:p>
    <w:p w14:paraId="3DDE4A56">
      <w:pPr>
        <w:adjustRightInd w:val="0"/>
        <w:snapToGrid w:val="0"/>
        <w:spacing w:line="288" w:lineRule="auto"/>
        <w:jc w:val="center"/>
        <w:rPr>
          <w:rFonts w:hint="eastAsia" w:ascii="仿宋" w:hAnsi="仿宋" w:eastAsia="仿宋" w:cs="仿宋"/>
          <w:b/>
          <w:bCs/>
          <w:color w:val="auto"/>
          <w:szCs w:val="21"/>
          <w:highlight w:val="none"/>
        </w:rPr>
      </w:pPr>
      <w:bookmarkStart w:id="47" w:name="_Hlk94097338"/>
      <w:r>
        <w:rPr>
          <w:rFonts w:hint="eastAsia" w:ascii="仿宋" w:hAnsi="仿宋" w:eastAsia="仿宋" w:cs="仿宋"/>
          <w:b/>
          <w:bCs/>
          <w:color w:val="auto"/>
          <w:sz w:val="24"/>
          <w:szCs w:val="24"/>
          <w:highlight w:val="none"/>
        </w:rPr>
        <w:t>资格审查要求的资格证明材料（均需加盖公章）</w:t>
      </w:r>
      <w:bookmarkEnd w:id="47"/>
    </w:p>
    <w:p w14:paraId="0186CFD6">
      <w:pPr>
        <w:widowControl/>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F8E1670">
      <w:pPr>
        <w:adjustRightInd w:val="0"/>
        <w:snapToGrid w:val="0"/>
        <w:spacing w:line="360" w:lineRule="auto"/>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3BBE1B75">
      <w:pPr>
        <w:adjustRightInd w:val="0"/>
        <w:snapToGrid w:val="0"/>
        <w:spacing w:line="360" w:lineRule="auto"/>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（联合体投标的，联合体各方均需提供）</w:t>
      </w:r>
    </w:p>
    <w:p w14:paraId="0631579B">
      <w:pPr>
        <w:adjustRightInd w:val="0"/>
        <w:snapToGrid w:val="0"/>
        <w:spacing w:line="360" w:lineRule="auto"/>
        <w:rPr>
          <w:rFonts w:hint="eastAsia" w:ascii="仿宋" w:hAnsi="仿宋" w:eastAsia="仿宋" w:cs="仿宋"/>
          <w:color w:val="auto"/>
          <w:szCs w:val="21"/>
          <w:highlight w:val="none"/>
        </w:rPr>
      </w:pPr>
    </w:p>
    <w:p w14:paraId="2F95027F">
      <w:pPr>
        <w:adjustRightInd w:val="0"/>
        <w:snapToGrid w:val="0"/>
        <w:spacing w:line="360" w:lineRule="auto"/>
        <w:rPr>
          <w:rFonts w:hint="eastAsia" w:ascii="仿宋" w:hAnsi="仿宋" w:eastAsia="仿宋" w:cs="仿宋"/>
          <w:color w:val="auto"/>
          <w:szCs w:val="21"/>
          <w:highlight w:val="none"/>
        </w:rPr>
      </w:pPr>
    </w:p>
    <w:p w14:paraId="30F98C64">
      <w:pPr>
        <w:adjustRightInd w:val="0"/>
        <w:snapToGrid w:val="0"/>
        <w:spacing w:line="360" w:lineRule="auto"/>
        <w:rPr>
          <w:rFonts w:hint="eastAsia" w:ascii="仿宋" w:hAnsi="仿宋" w:eastAsia="仿宋" w:cs="仿宋"/>
          <w:b/>
          <w:bCs/>
          <w:color w:val="auto"/>
          <w:szCs w:val="21"/>
          <w:highlight w:val="none"/>
        </w:rPr>
      </w:pPr>
    </w:p>
    <w:p w14:paraId="2DFBD450">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1177F41F">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1.如投标人是企业（包括合伙企业），提供在工商部门注册的有效“企业法人营业执照”或“营业执照”；</w:t>
      </w:r>
    </w:p>
    <w:p w14:paraId="5F8A1319">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2.如投标人是事业单位，提供有效的“事业单位法人证书”；</w:t>
      </w:r>
    </w:p>
    <w:p w14:paraId="6E7A924F">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3.如投标人是非企业专业服务机构，提供执业许可证等证明文件；</w:t>
      </w:r>
    </w:p>
    <w:p w14:paraId="6F81D838">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4.如投标人是个体工商户，提供有效的“个体工商户营业执照”；</w:t>
      </w:r>
    </w:p>
    <w:p w14:paraId="50EA6DBA">
      <w:pPr>
        <w:adjustRightInd w:val="0"/>
        <w:snapToGrid w:val="0"/>
        <w:spacing w:line="360" w:lineRule="auto"/>
        <w:rPr>
          <w:rFonts w:hint="eastAsia"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5.如投标人是自然人，提供有效的自然人身份证明。</w:t>
      </w:r>
    </w:p>
    <w:p w14:paraId="17642B6F">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548E4036">
      <w:pPr>
        <w:adjustRightInd w:val="0"/>
        <w:snapToGrid w:val="0"/>
        <w:spacing w:line="360" w:lineRule="auto"/>
        <w:jc w:val="center"/>
        <w:outlineLvl w:val="2"/>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30F7538C">
      <w:pPr>
        <w:adjustRightInd w:val="0"/>
        <w:snapToGrid w:val="0"/>
        <w:spacing w:line="360" w:lineRule="auto"/>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（联合体投标的，联合体各方均需提供）</w:t>
      </w:r>
    </w:p>
    <w:p w14:paraId="75C320FA">
      <w:pPr>
        <w:adjustRightInd w:val="0"/>
        <w:snapToGrid w:val="0"/>
        <w:spacing w:line="360" w:lineRule="auto"/>
        <w:rPr>
          <w:rFonts w:hint="eastAsia"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致：浙江省市场监督管理局、浙江求是招标代理有限公司</w:t>
      </w:r>
    </w:p>
    <w:p w14:paraId="40D8EF73">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全省计量比对辅助工作</w:t>
      </w:r>
      <w:r>
        <w:rPr>
          <w:rFonts w:hint="eastAsia" w:ascii="仿宋" w:hAnsi="仿宋" w:eastAsia="仿宋" w:cs="仿宋"/>
          <w:color w:val="auto"/>
          <w:spacing w:val="-6"/>
          <w:szCs w:val="21"/>
          <w:highlight w:val="none"/>
        </w:rPr>
        <w:t>的采购活动并承诺如下：</w:t>
      </w:r>
    </w:p>
    <w:p w14:paraId="624D73A9">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1D56A886">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5C89C2C9">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25D7FE7A">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513D3DC7">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08FF4915">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2F6BF6E4">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244035FE">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21A87E51">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568A0B39">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3B8A5F9A">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46E6C9EA">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02545D28">
      <w:pPr>
        <w:adjustRightInd w:val="0"/>
        <w:snapToGrid w:val="0"/>
        <w:spacing w:line="360" w:lineRule="auto"/>
        <w:rPr>
          <w:rFonts w:hint="eastAsia" w:ascii="仿宋" w:hAnsi="仿宋" w:eastAsia="仿宋" w:cs="仿宋"/>
          <w:color w:val="auto"/>
          <w:szCs w:val="21"/>
          <w:highlight w:val="none"/>
        </w:rPr>
      </w:pPr>
    </w:p>
    <w:p w14:paraId="2995165E">
      <w:pPr>
        <w:adjustRightInd w:val="0"/>
        <w:snapToGrid w:val="0"/>
        <w:spacing w:line="360" w:lineRule="auto"/>
        <w:rPr>
          <w:rFonts w:hint="eastAsia" w:ascii="仿宋" w:hAnsi="仿宋" w:eastAsia="仿宋" w:cs="仿宋"/>
          <w:b/>
          <w:bCs/>
          <w:color w:val="auto"/>
          <w:spacing w:val="-6"/>
          <w:szCs w:val="21"/>
          <w:highlight w:val="none"/>
        </w:rPr>
      </w:pPr>
    </w:p>
    <w:p w14:paraId="74D7BC34">
      <w:pPr>
        <w:adjustRightInd w:val="0"/>
        <w:snapToGrid w:val="0"/>
        <w:spacing w:line="360" w:lineRule="auto"/>
        <w:rPr>
          <w:rFonts w:hint="eastAsia" w:ascii="仿宋" w:hAnsi="仿宋" w:eastAsia="仿宋" w:cs="仿宋"/>
          <w:b/>
          <w:bCs/>
          <w:color w:val="auto"/>
          <w:spacing w:val="-6"/>
          <w:szCs w:val="21"/>
          <w:highlight w:val="none"/>
        </w:rPr>
      </w:pPr>
    </w:p>
    <w:p w14:paraId="125772E0">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553D37D">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F6C6A3D">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3F6FF307">
      <w:pPr>
        <w:adjustRightInd w:val="0"/>
        <w:snapToGrid w:val="0"/>
        <w:spacing w:line="360" w:lineRule="auto"/>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联合协议</w:t>
      </w:r>
    </w:p>
    <w:p w14:paraId="2F9725D8">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（若联合体投标）</w:t>
      </w:r>
    </w:p>
    <w:p w14:paraId="731522C4">
      <w:pPr>
        <w:adjustRightInd w:val="0"/>
        <w:snapToGrid w:val="0"/>
        <w:spacing w:line="360" w:lineRule="auto"/>
        <w:jc w:val="center"/>
        <w:rPr>
          <w:rFonts w:hint="eastAsia" w:ascii="仿宋" w:hAnsi="仿宋" w:eastAsia="仿宋" w:cs="仿宋"/>
          <w:b/>
          <w:color w:val="auto"/>
          <w:spacing w:val="-6"/>
          <w:sz w:val="18"/>
          <w:szCs w:val="18"/>
          <w:highlight w:val="none"/>
        </w:rPr>
      </w:pPr>
    </w:p>
    <w:p w14:paraId="0759B116">
      <w:pPr>
        <w:adjustRightInd w:val="0"/>
        <w:snapToGrid w:val="0"/>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说明：格式见附件2</w:t>
      </w:r>
    </w:p>
    <w:p w14:paraId="0E00891A">
      <w:pPr>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2058A8D">
      <w:pPr>
        <w:adjustRightInd w:val="0"/>
        <w:snapToGrid w:val="0"/>
        <w:spacing w:line="288" w:lineRule="auto"/>
        <w:jc w:val="center"/>
        <w:rPr>
          <w:rFonts w:hint="eastAsia" w:ascii="仿宋" w:hAnsi="仿宋" w:eastAsia="仿宋" w:cs="仿宋"/>
          <w:b/>
          <w:bCs/>
          <w:color w:val="auto"/>
          <w:sz w:val="84"/>
          <w:szCs w:val="84"/>
          <w:highlight w:val="none"/>
        </w:rPr>
      </w:pPr>
    </w:p>
    <w:p w14:paraId="24251999">
      <w:pPr>
        <w:adjustRightInd w:val="0"/>
        <w:snapToGrid w:val="0"/>
        <w:spacing w:line="288" w:lineRule="auto"/>
        <w:jc w:val="center"/>
        <w:rPr>
          <w:rFonts w:hint="eastAsia" w:ascii="仿宋" w:hAnsi="仿宋" w:eastAsia="仿宋" w:cs="仿宋"/>
          <w:b/>
          <w:bCs/>
          <w:color w:val="auto"/>
          <w:sz w:val="84"/>
          <w:szCs w:val="84"/>
          <w:highlight w:val="none"/>
        </w:rPr>
      </w:pPr>
    </w:p>
    <w:p w14:paraId="5A686DF1">
      <w:pPr>
        <w:adjustRightInd w:val="0"/>
        <w:snapToGrid w:val="0"/>
        <w:spacing w:line="288" w:lineRule="auto"/>
        <w:jc w:val="center"/>
        <w:rPr>
          <w:rFonts w:hint="eastAsia" w:ascii="仿宋" w:hAnsi="仿宋" w:eastAsia="仿宋" w:cs="仿宋"/>
          <w:b/>
          <w:bCs/>
          <w:color w:val="auto"/>
          <w:sz w:val="84"/>
          <w:szCs w:val="84"/>
          <w:highlight w:val="none"/>
        </w:rPr>
      </w:pPr>
    </w:p>
    <w:p w14:paraId="35E49E1D">
      <w:pPr>
        <w:adjustRightInd w:val="0"/>
        <w:snapToGrid w:val="0"/>
        <w:spacing w:line="288" w:lineRule="auto"/>
        <w:jc w:val="center"/>
        <w:rPr>
          <w:rFonts w:hint="eastAsia" w:ascii="仿宋" w:hAnsi="仿宋" w:eastAsia="仿宋" w:cs="仿宋"/>
          <w:b/>
          <w:bCs/>
          <w:color w:val="auto"/>
          <w:sz w:val="84"/>
          <w:szCs w:val="84"/>
          <w:highlight w:val="none"/>
        </w:rPr>
      </w:pPr>
    </w:p>
    <w:p w14:paraId="2976537D">
      <w:pPr>
        <w:overflowPunct w:val="0"/>
        <w:adjustRightInd w:val="0"/>
        <w:snapToGrid w:val="0"/>
        <w:spacing w:line="288" w:lineRule="auto"/>
        <w:jc w:val="center"/>
        <w:outlineLvl w:val="1"/>
        <w:rPr>
          <w:rFonts w:hint="eastAsia"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38A3DD5C">
      <w:pPr>
        <w:widowControl/>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9765DCD">
      <w:pPr>
        <w:adjustRightInd w:val="0"/>
        <w:snapToGrid w:val="0"/>
        <w:spacing w:line="360" w:lineRule="auto"/>
        <w:jc w:val="center"/>
        <w:outlineLvl w:val="2"/>
        <w:rPr>
          <w:rFonts w:hint="eastAsia"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07F0AB5A">
      <w:pPr>
        <w:adjustRightInd w:val="0"/>
        <w:snapToGrid w:val="0"/>
        <w:spacing w:line="360" w:lineRule="auto"/>
        <w:rPr>
          <w:rFonts w:hint="eastAsia"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致：浙江省市场监督管理局、浙江求是招标代理有限公司</w:t>
      </w:r>
    </w:p>
    <w:p w14:paraId="30DC0F74">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全省计量比对辅助工作</w:t>
      </w:r>
      <w:r>
        <w:rPr>
          <w:rFonts w:hint="eastAsia" w:ascii="仿宋" w:hAnsi="仿宋" w:eastAsia="仿宋" w:cs="仿宋"/>
          <w:bCs/>
          <w:color w:val="auto"/>
          <w:spacing w:val="-6"/>
          <w:szCs w:val="21"/>
          <w:highlight w:val="none"/>
        </w:rPr>
        <w:t>项目[</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QSZB-Z(F)-H25086(GK)</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460C84F8">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485FB5B0">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3CC195D9">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10C3CC17">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2D315A51">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722018DF">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7979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2E01CD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12258F6D">
            <w:pPr>
              <w:jc w:val="center"/>
              <w:rPr>
                <w:rFonts w:hint="eastAsia" w:ascii="仿宋" w:hAnsi="仿宋" w:eastAsia="仿宋" w:cs="仿宋"/>
                <w:color w:val="auto"/>
                <w:szCs w:val="21"/>
                <w:highlight w:val="none"/>
              </w:rPr>
            </w:pPr>
          </w:p>
        </w:tc>
      </w:tr>
      <w:tr w14:paraId="76EB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8AE17A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6D1AA1A8">
            <w:pPr>
              <w:jc w:val="center"/>
              <w:rPr>
                <w:rFonts w:hint="eastAsia" w:ascii="仿宋" w:hAnsi="仿宋" w:eastAsia="仿宋" w:cs="仿宋"/>
                <w:color w:val="auto"/>
                <w:szCs w:val="21"/>
                <w:highlight w:val="none"/>
              </w:rPr>
            </w:pPr>
          </w:p>
        </w:tc>
      </w:tr>
      <w:tr w14:paraId="5698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CF30C1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32374174">
            <w:pPr>
              <w:jc w:val="center"/>
              <w:rPr>
                <w:rFonts w:hint="eastAsia" w:ascii="仿宋" w:hAnsi="仿宋" w:eastAsia="仿宋" w:cs="仿宋"/>
                <w:color w:val="auto"/>
                <w:szCs w:val="21"/>
                <w:highlight w:val="none"/>
              </w:rPr>
            </w:pPr>
          </w:p>
        </w:tc>
      </w:tr>
      <w:tr w14:paraId="24CB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6D8D39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2A63A9A5">
            <w:pPr>
              <w:jc w:val="center"/>
              <w:rPr>
                <w:rFonts w:hint="eastAsia" w:ascii="仿宋" w:hAnsi="仿宋" w:eastAsia="仿宋" w:cs="仿宋"/>
                <w:color w:val="auto"/>
                <w:szCs w:val="21"/>
                <w:highlight w:val="none"/>
              </w:rPr>
            </w:pPr>
          </w:p>
        </w:tc>
      </w:tr>
      <w:tr w14:paraId="6FC7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FF9DF2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4DE66787">
            <w:pPr>
              <w:jc w:val="center"/>
              <w:rPr>
                <w:rFonts w:hint="eastAsia" w:ascii="仿宋" w:hAnsi="仿宋" w:eastAsia="仿宋" w:cs="仿宋"/>
                <w:color w:val="auto"/>
                <w:szCs w:val="21"/>
                <w:highlight w:val="none"/>
              </w:rPr>
            </w:pPr>
          </w:p>
        </w:tc>
      </w:tr>
      <w:tr w14:paraId="1838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8A3031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7E39D9DE">
            <w:pPr>
              <w:jc w:val="center"/>
              <w:rPr>
                <w:rFonts w:hint="eastAsia" w:ascii="仿宋" w:hAnsi="仿宋" w:eastAsia="仿宋" w:cs="仿宋"/>
                <w:color w:val="auto"/>
                <w:szCs w:val="21"/>
                <w:highlight w:val="none"/>
              </w:rPr>
            </w:pPr>
          </w:p>
        </w:tc>
      </w:tr>
      <w:tr w14:paraId="00C5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677AD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608550E2">
            <w:pPr>
              <w:jc w:val="center"/>
              <w:rPr>
                <w:rFonts w:hint="eastAsia" w:ascii="仿宋" w:hAnsi="仿宋" w:eastAsia="仿宋" w:cs="仿宋"/>
                <w:color w:val="auto"/>
                <w:szCs w:val="21"/>
                <w:highlight w:val="none"/>
              </w:rPr>
            </w:pPr>
          </w:p>
        </w:tc>
      </w:tr>
    </w:tbl>
    <w:p w14:paraId="7D355E9D">
      <w:pPr>
        <w:adjustRightInd w:val="0"/>
        <w:snapToGrid w:val="0"/>
        <w:spacing w:line="360" w:lineRule="auto"/>
        <w:rPr>
          <w:rFonts w:hint="eastAsia" w:ascii="仿宋" w:hAnsi="仿宋" w:eastAsia="仿宋" w:cs="仿宋"/>
          <w:color w:val="auto"/>
          <w:spacing w:val="-6"/>
          <w:szCs w:val="21"/>
          <w:highlight w:val="none"/>
        </w:rPr>
      </w:pPr>
    </w:p>
    <w:p w14:paraId="5CA85A62">
      <w:pPr>
        <w:adjustRightInd w:val="0"/>
        <w:snapToGrid w:val="0"/>
        <w:spacing w:line="360" w:lineRule="auto"/>
        <w:rPr>
          <w:rFonts w:hint="eastAsia" w:ascii="仿宋" w:hAnsi="仿宋" w:eastAsia="仿宋" w:cs="仿宋"/>
          <w:color w:val="auto"/>
          <w:spacing w:val="-6"/>
          <w:szCs w:val="21"/>
          <w:highlight w:val="none"/>
        </w:rPr>
      </w:pPr>
    </w:p>
    <w:p w14:paraId="5DC5DEF8">
      <w:pPr>
        <w:adjustRightInd w:val="0"/>
        <w:snapToGrid w:val="0"/>
        <w:spacing w:line="360" w:lineRule="auto"/>
        <w:rPr>
          <w:rFonts w:hint="eastAsia" w:ascii="仿宋" w:hAnsi="仿宋" w:eastAsia="仿宋" w:cs="仿宋"/>
          <w:b/>
          <w:bCs/>
          <w:color w:val="auto"/>
          <w:spacing w:val="-6"/>
          <w:szCs w:val="21"/>
          <w:highlight w:val="none"/>
        </w:rPr>
      </w:pPr>
    </w:p>
    <w:p w14:paraId="05A0D0C4">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7690DC9">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253FCE2">
      <w:pPr>
        <w:widowControl/>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AED21E7">
      <w:pPr>
        <w:adjustRightInd w:val="0"/>
        <w:snapToGrid w:val="0"/>
        <w:spacing w:line="360" w:lineRule="auto"/>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1CEDB7C9">
      <w:pPr>
        <w:adjustRightInd w:val="0"/>
        <w:snapToGrid w:val="0"/>
        <w:spacing w:line="360" w:lineRule="auto"/>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p>
    <w:p w14:paraId="424A7373">
      <w:pPr>
        <w:adjustRightInd w:val="0"/>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25F4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0CBC1775">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04A6728B">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33292DB3">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61ADEA9A">
      <w:pPr>
        <w:adjustRightInd w:val="0"/>
        <w:snapToGrid w:val="0"/>
        <w:spacing w:line="360" w:lineRule="auto"/>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授权委托书</w:t>
      </w:r>
    </w:p>
    <w:p w14:paraId="6776E931">
      <w:pPr>
        <w:adjustRightInd w:val="0"/>
        <w:snapToGrid w:val="0"/>
        <w:spacing w:line="360" w:lineRule="auto"/>
        <w:jc w:val="center"/>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p>
    <w:p w14:paraId="22E12AB5">
      <w:pPr>
        <w:adjustRightInd w:val="0"/>
        <w:snapToGrid w:val="0"/>
        <w:spacing w:line="360"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致：浙江省市场监督管理局、浙江求是招标代理有限公司</w:t>
      </w:r>
    </w:p>
    <w:p w14:paraId="1B8DA9A8">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全省计量比对辅助工作</w:t>
      </w:r>
      <w:r>
        <w:rPr>
          <w:rFonts w:hint="eastAsia" w:ascii="仿宋" w:hAnsi="仿宋" w:eastAsia="仿宋" w:cs="仿宋"/>
          <w:bCs/>
          <w:color w:val="auto"/>
          <w:spacing w:val="-6"/>
          <w:szCs w:val="21"/>
          <w:highlight w:val="none"/>
        </w:rPr>
        <w:t>项目[</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QSZB-Z(F)-H25086(GK)</w:t>
      </w:r>
      <w:r>
        <w:rPr>
          <w:rFonts w:hint="eastAsia" w:ascii="仿宋" w:hAnsi="仿宋" w:eastAsia="仿宋" w:cs="仿宋"/>
          <w:bCs/>
          <w:color w:val="auto"/>
          <w:spacing w:val="-6"/>
          <w:szCs w:val="21"/>
          <w:highlight w:val="none"/>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55781F95">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6559742E">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1BA9460D">
      <w:pPr>
        <w:adjustRightInd w:val="0"/>
        <w:snapToGrid w:val="0"/>
        <w:spacing w:line="360" w:lineRule="auto"/>
        <w:ind w:firstLine="396" w:firstLineChars="200"/>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42384C61">
      <w:pPr>
        <w:adjustRightInd w:val="0"/>
        <w:snapToGrid w:val="0"/>
        <w:spacing w:line="360" w:lineRule="auto"/>
        <w:rPr>
          <w:rFonts w:hint="eastAsia" w:ascii="仿宋" w:hAnsi="仿宋" w:eastAsia="仿宋" w:cs="仿宋"/>
          <w:color w:val="auto"/>
          <w:szCs w:val="21"/>
          <w:highlight w:val="none"/>
        </w:rPr>
      </w:pPr>
    </w:p>
    <w:p w14:paraId="50E8F5C1">
      <w:pPr>
        <w:adjustRightInd w:val="0"/>
        <w:snapToGrid w:val="0"/>
        <w:spacing w:line="360" w:lineRule="auto"/>
        <w:rPr>
          <w:rFonts w:hint="eastAsia" w:ascii="仿宋" w:hAnsi="仿宋" w:eastAsia="仿宋" w:cs="仿宋"/>
          <w:b/>
          <w:bCs/>
          <w:color w:val="auto"/>
          <w:spacing w:val="-6"/>
          <w:szCs w:val="21"/>
          <w:highlight w:val="none"/>
        </w:rPr>
      </w:pPr>
    </w:p>
    <w:p w14:paraId="7E7F9792">
      <w:pPr>
        <w:adjustRightInd w:val="0"/>
        <w:snapToGrid w:val="0"/>
        <w:spacing w:line="360" w:lineRule="auto"/>
        <w:rPr>
          <w:rFonts w:hint="eastAsia" w:ascii="仿宋" w:hAnsi="仿宋" w:eastAsia="仿宋" w:cs="仿宋"/>
          <w:b/>
          <w:bCs/>
          <w:color w:val="auto"/>
          <w:spacing w:val="-6"/>
          <w:szCs w:val="21"/>
          <w:highlight w:val="none"/>
        </w:rPr>
      </w:pPr>
    </w:p>
    <w:p w14:paraId="5F1B4D7A">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A3083E1">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D1CB6A3">
      <w:pPr>
        <w:rPr>
          <w:rFonts w:hint="eastAsia" w:ascii="仿宋" w:hAnsi="仿宋" w:eastAsia="仿宋" w:cs="仿宋"/>
          <w:b/>
          <w:bCs/>
          <w:color w:val="auto"/>
          <w:sz w:val="24"/>
          <w:szCs w:val="24"/>
          <w:highlight w:val="none"/>
        </w:rPr>
      </w:pPr>
    </w:p>
    <w:p w14:paraId="6E77B32F">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说明：投标人是联合体的则联合体各成员均应在“授权委托书”上盖章（电子签名/公章）</w:t>
      </w:r>
    </w:p>
    <w:p w14:paraId="3F4AB9F5">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6675EB57">
      <w:pPr>
        <w:adjustRightInd w:val="0"/>
        <w:snapToGrid w:val="0"/>
        <w:spacing w:line="360" w:lineRule="auto"/>
        <w:jc w:val="center"/>
        <w:outlineLvl w:val="3"/>
        <w:rPr>
          <w:rFonts w:hint="eastAsia"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rPr>
        <w:t>2025年1月（含）至今任意一月投标授权代表社保缴纳证明</w:t>
      </w:r>
    </w:p>
    <w:p w14:paraId="1CF86F77">
      <w:pPr>
        <w:adjustRightInd w:val="0"/>
        <w:snapToGrid w:val="0"/>
        <w:spacing w:line="360" w:lineRule="auto"/>
        <w:jc w:val="center"/>
        <w:rPr>
          <w:rFonts w:hint="eastAsia" w:ascii="仿宋" w:hAnsi="仿宋" w:eastAsia="仿宋" w:cs="仿宋"/>
          <w:b/>
          <w:color w:val="auto"/>
          <w:spacing w:val="-6"/>
          <w:szCs w:val="21"/>
          <w:highlight w:val="none"/>
        </w:rPr>
      </w:pPr>
    </w:p>
    <w:p w14:paraId="125E4948">
      <w:pPr>
        <w:adjustRightInd w:val="0"/>
        <w:snapToGrid w:val="0"/>
        <w:spacing w:line="360" w:lineRule="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说明：投标人委派不在本单位缴纳社保的人员作为授权代表的，在投标文件中说明具体原因、授权代表缴纳社保单位并附列该授权代表缴纳社保清单。</w:t>
      </w:r>
    </w:p>
    <w:p w14:paraId="564F8576">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8729FEE">
      <w:pPr>
        <w:adjustRightInd w:val="0"/>
        <w:snapToGrid w:val="0"/>
        <w:spacing w:line="360" w:lineRule="auto"/>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0A91B5F1">
      <w:pPr>
        <w:adjustRightInd w:val="0"/>
        <w:snapToGrid w:val="0"/>
        <w:spacing w:line="360" w:lineRule="auto"/>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人：浙江省市场监督管理局</w:t>
      </w:r>
    </w:p>
    <w:p w14:paraId="421E73D6">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全省计量比对辅助工作</w:t>
      </w:r>
    </w:p>
    <w:p w14:paraId="405E4188">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QSZB-Z(F)-H25086(GK)</w:t>
      </w:r>
    </w:p>
    <w:p w14:paraId="49976521">
      <w:pPr>
        <w:adjustRightInd w:val="0"/>
        <w:snapToGrid w:val="0"/>
        <w:spacing w:line="360" w:lineRule="auto"/>
        <w:rPr>
          <w:rFonts w:hint="default" w:ascii="仿宋" w:hAnsi="仿宋" w:eastAsia="仿宋" w:cs="仿宋"/>
          <w:bCs/>
          <w:color w:val="auto"/>
          <w:spacing w:val="-6"/>
          <w:szCs w:val="21"/>
          <w:highlight w:val="none"/>
          <w:lang w:val="en-US" w:eastAsia="zh-CN"/>
        </w:rPr>
      </w:pPr>
      <w:r>
        <w:rPr>
          <w:rFonts w:hint="eastAsia" w:ascii="仿宋" w:hAnsi="仿宋" w:eastAsia="仿宋" w:cs="仿宋"/>
          <w:bCs/>
          <w:color w:val="auto"/>
          <w:spacing w:val="-6"/>
          <w:szCs w:val="21"/>
          <w:highlight w:val="none"/>
          <w:lang w:val="en-US" w:eastAsia="zh-CN"/>
        </w:rPr>
        <w:t>标    项</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val="en-US" w:eastAsia="zh-CN"/>
        </w:rPr>
        <w:t xml:space="preserve"> </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6E97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8E977EC">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0E0077D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01BC214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393AEC9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1BDD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D7B7055">
            <w:pP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采购资金的支付方式、时间、条件（具体条款详见“第二章  采购需求”中相关内容）</w:t>
            </w:r>
          </w:p>
        </w:tc>
      </w:tr>
      <w:tr w14:paraId="1D2E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7CC30A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72A6ACB7">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支付方式</w:t>
            </w:r>
          </w:p>
        </w:tc>
        <w:tc>
          <w:tcPr>
            <w:tcW w:w="2911" w:type="dxa"/>
            <w:vAlign w:val="center"/>
          </w:tcPr>
          <w:p w14:paraId="5095220B">
            <w:pPr>
              <w:rPr>
                <w:rFonts w:hint="eastAsia" w:ascii="仿宋" w:hAnsi="仿宋" w:eastAsia="仿宋" w:cs="仿宋"/>
                <w:color w:val="auto"/>
                <w:szCs w:val="21"/>
                <w:highlight w:val="none"/>
              </w:rPr>
            </w:pPr>
          </w:p>
        </w:tc>
        <w:tc>
          <w:tcPr>
            <w:tcW w:w="2407" w:type="dxa"/>
            <w:vAlign w:val="center"/>
          </w:tcPr>
          <w:p w14:paraId="59C5CEB3">
            <w:pPr>
              <w:rPr>
                <w:rFonts w:hint="eastAsia" w:ascii="仿宋" w:hAnsi="仿宋" w:eastAsia="仿宋" w:cs="仿宋"/>
                <w:color w:val="auto"/>
                <w:szCs w:val="21"/>
                <w:highlight w:val="none"/>
              </w:rPr>
            </w:pPr>
          </w:p>
        </w:tc>
      </w:tr>
      <w:tr w14:paraId="0D21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B8020A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777A3252">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支付时间及条件</w:t>
            </w:r>
          </w:p>
        </w:tc>
        <w:tc>
          <w:tcPr>
            <w:tcW w:w="2911" w:type="dxa"/>
            <w:vAlign w:val="center"/>
          </w:tcPr>
          <w:p w14:paraId="7DEFEF1E">
            <w:pPr>
              <w:rPr>
                <w:rFonts w:hint="eastAsia" w:ascii="仿宋" w:hAnsi="仿宋" w:eastAsia="仿宋" w:cs="仿宋"/>
                <w:color w:val="auto"/>
                <w:szCs w:val="21"/>
                <w:highlight w:val="none"/>
              </w:rPr>
            </w:pPr>
          </w:p>
        </w:tc>
        <w:tc>
          <w:tcPr>
            <w:tcW w:w="2407" w:type="dxa"/>
            <w:vAlign w:val="center"/>
          </w:tcPr>
          <w:p w14:paraId="0825047C">
            <w:pPr>
              <w:rPr>
                <w:rFonts w:hint="eastAsia" w:ascii="仿宋" w:hAnsi="仿宋" w:eastAsia="仿宋" w:cs="仿宋"/>
                <w:color w:val="auto"/>
                <w:szCs w:val="21"/>
                <w:highlight w:val="none"/>
              </w:rPr>
            </w:pPr>
          </w:p>
        </w:tc>
      </w:tr>
      <w:tr w14:paraId="27BC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5D0969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480" w:type="dxa"/>
            <w:vAlign w:val="center"/>
          </w:tcPr>
          <w:p w14:paraId="33A9FECF">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履约保证金</w:t>
            </w:r>
          </w:p>
        </w:tc>
        <w:tc>
          <w:tcPr>
            <w:tcW w:w="2911" w:type="dxa"/>
            <w:vAlign w:val="center"/>
          </w:tcPr>
          <w:p w14:paraId="386AB495">
            <w:pPr>
              <w:rPr>
                <w:rFonts w:hint="eastAsia" w:ascii="仿宋" w:hAnsi="仿宋" w:eastAsia="仿宋" w:cs="仿宋"/>
                <w:color w:val="auto"/>
                <w:szCs w:val="21"/>
                <w:highlight w:val="none"/>
              </w:rPr>
            </w:pPr>
          </w:p>
        </w:tc>
        <w:tc>
          <w:tcPr>
            <w:tcW w:w="2407" w:type="dxa"/>
            <w:vAlign w:val="center"/>
          </w:tcPr>
          <w:p w14:paraId="642BD8D6">
            <w:pPr>
              <w:rPr>
                <w:rFonts w:hint="eastAsia" w:ascii="仿宋" w:hAnsi="仿宋" w:eastAsia="仿宋" w:cs="仿宋"/>
                <w:color w:val="auto"/>
                <w:szCs w:val="21"/>
                <w:highlight w:val="none"/>
              </w:rPr>
            </w:pPr>
          </w:p>
        </w:tc>
      </w:tr>
      <w:tr w14:paraId="6B63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8BD8E6D">
            <w:pP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服务要求（具体条款详见“第二章  采购需求”中相关内容）</w:t>
            </w:r>
          </w:p>
        </w:tc>
      </w:tr>
      <w:tr w14:paraId="4ED5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E1FE7B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72F4F85D">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需执行的国家相关标准、行业标准、地方标准或者其他标准、规范</w:t>
            </w:r>
          </w:p>
        </w:tc>
        <w:tc>
          <w:tcPr>
            <w:tcW w:w="2911" w:type="dxa"/>
            <w:vAlign w:val="center"/>
          </w:tcPr>
          <w:p w14:paraId="31E9CFEA">
            <w:pPr>
              <w:rPr>
                <w:rFonts w:hint="eastAsia" w:ascii="仿宋" w:hAnsi="仿宋" w:eastAsia="仿宋" w:cs="仿宋"/>
                <w:color w:val="auto"/>
                <w:szCs w:val="21"/>
                <w:highlight w:val="none"/>
              </w:rPr>
            </w:pPr>
          </w:p>
        </w:tc>
        <w:tc>
          <w:tcPr>
            <w:tcW w:w="2407" w:type="dxa"/>
            <w:vAlign w:val="center"/>
          </w:tcPr>
          <w:p w14:paraId="1929C676">
            <w:pPr>
              <w:rPr>
                <w:rFonts w:hint="eastAsia" w:ascii="仿宋" w:hAnsi="仿宋" w:eastAsia="仿宋" w:cs="仿宋"/>
                <w:color w:val="auto"/>
                <w:szCs w:val="21"/>
                <w:highlight w:val="none"/>
              </w:rPr>
            </w:pPr>
          </w:p>
        </w:tc>
      </w:tr>
      <w:tr w14:paraId="5905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E8D289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285CE6C5">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需实现的功能或者目标</w:t>
            </w:r>
          </w:p>
        </w:tc>
        <w:tc>
          <w:tcPr>
            <w:tcW w:w="2911" w:type="dxa"/>
            <w:vAlign w:val="center"/>
          </w:tcPr>
          <w:p w14:paraId="0340E570">
            <w:pPr>
              <w:rPr>
                <w:rFonts w:hint="eastAsia" w:ascii="仿宋" w:hAnsi="仿宋" w:eastAsia="仿宋" w:cs="仿宋"/>
                <w:color w:val="auto"/>
                <w:szCs w:val="21"/>
                <w:highlight w:val="none"/>
              </w:rPr>
            </w:pPr>
          </w:p>
        </w:tc>
        <w:tc>
          <w:tcPr>
            <w:tcW w:w="2407" w:type="dxa"/>
            <w:vAlign w:val="center"/>
          </w:tcPr>
          <w:p w14:paraId="25725382">
            <w:pPr>
              <w:rPr>
                <w:rFonts w:hint="eastAsia" w:ascii="仿宋" w:hAnsi="仿宋" w:eastAsia="仿宋" w:cs="仿宋"/>
                <w:color w:val="auto"/>
                <w:szCs w:val="21"/>
                <w:highlight w:val="none"/>
              </w:rPr>
            </w:pPr>
          </w:p>
        </w:tc>
      </w:tr>
      <w:tr w14:paraId="128F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D3E1C9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480" w:type="dxa"/>
            <w:vAlign w:val="center"/>
          </w:tcPr>
          <w:p w14:paraId="7FD48961">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需满足的服务要求</w:t>
            </w:r>
          </w:p>
        </w:tc>
        <w:tc>
          <w:tcPr>
            <w:tcW w:w="2911" w:type="dxa"/>
            <w:vAlign w:val="center"/>
          </w:tcPr>
          <w:p w14:paraId="38B936B6">
            <w:pPr>
              <w:rPr>
                <w:rFonts w:hint="eastAsia" w:ascii="仿宋" w:hAnsi="仿宋" w:eastAsia="仿宋" w:cs="仿宋"/>
                <w:color w:val="auto"/>
                <w:szCs w:val="21"/>
                <w:highlight w:val="none"/>
              </w:rPr>
            </w:pPr>
          </w:p>
        </w:tc>
        <w:tc>
          <w:tcPr>
            <w:tcW w:w="2407" w:type="dxa"/>
            <w:vAlign w:val="center"/>
          </w:tcPr>
          <w:p w14:paraId="7948344F">
            <w:pPr>
              <w:rPr>
                <w:rFonts w:hint="eastAsia" w:ascii="仿宋" w:hAnsi="仿宋" w:eastAsia="仿宋" w:cs="仿宋"/>
                <w:color w:val="auto"/>
                <w:szCs w:val="21"/>
                <w:highlight w:val="none"/>
              </w:rPr>
            </w:pPr>
          </w:p>
        </w:tc>
      </w:tr>
      <w:tr w14:paraId="6F55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8DEF64">
            <w:pP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合同条款（具体条款详见“第五章  拟签订的合同文本”中相关内容）</w:t>
            </w:r>
          </w:p>
        </w:tc>
      </w:tr>
      <w:tr w14:paraId="172D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5E80F9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A5B06C1">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拟签订的合同文本中所有内容</w:t>
            </w:r>
          </w:p>
        </w:tc>
        <w:tc>
          <w:tcPr>
            <w:tcW w:w="2911" w:type="dxa"/>
            <w:vAlign w:val="center"/>
          </w:tcPr>
          <w:p w14:paraId="7C2CB6BF">
            <w:pPr>
              <w:rPr>
                <w:rFonts w:hint="eastAsia" w:ascii="仿宋" w:hAnsi="仿宋" w:eastAsia="仿宋" w:cs="仿宋"/>
                <w:color w:val="auto"/>
                <w:szCs w:val="21"/>
                <w:highlight w:val="none"/>
              </w:rPr>
            </w:pPr>
          </w:p>
        </w:tc>
        <w:tc>
          <w:tcPr>
            <w:tcW w:w="2407" w:type="dxa"/>
            <w:vAlign w:val="center"/>
          </w:tcPr>
          <w:p w14:paraId="53AEDC9F">
            <w:pPr>
              <w:rPr>
                <w:rFonts w:hint="eastAsia" w:ascii="仿宋" w:hAnsi="仿宋" w:eastAsia="仿宋" w:cs="仿宋"/>
                <w:color w:val="auto"/>
                <w:szCs w:val="21"/>
                <w:highlight w:val="none"/>
              </w:rPr>
            </w:pPr>
          </w:p>
        </w:tc>
      </w:tr>
    </w:tbl>
    <w:p w14:paraId="17BAD946">
      <w:pPr>
        <w:adjustRightInd w:val="0"/>
        <w:snapToGrid w:val="0"/>
        <w:spacing w:line="360" w:lineRule="auto"/>
        <w:rPr>
          <w:rFonts w:hint="eastAsia" w:ascii="仿宋" w:hAnsi="仿宋" w:eastAsia="仿宋" w:cs="仿宋"/>
          <w:color w:val="auto"/>
          <w:szCs w:val="21"/>
          <w:highlight w:val="none"/>
        </w:rPr>
      </w:pPr>
    </w:p>
    <w:p w14:paraId="6E5084A2">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D1A1579">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3CF8AE55">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2.偏离说明是指对招标文件要求存在不同之处的解释说明，偏离系指：正偏离（高于采购需求）、负偏离（低于采购需求）、无偏离（满足采购需求）；</w:t>
      </w:r>
    </w:p>
    <w:p w14:paraId="7DE88850">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47357FC1">
      <w:pPr>
        <w:adjustRightInd w:val="0"/>
        <w:snapToGrid w:val="0"/>
        <w:spacing w:line="360" w:lineRule="auto"/>
        <w:rPr>
          <w:rFonts w:hint="eastAsia" w:ascii="仿宋" w:hAnsi="仿宋" w:eastAsia="仿宋" w:cs="仿宋"/>
          <w:color w:val="auto"/>
          <w:szCs w:val="21"/>
          <w:highlight w:val="none"/>
        </w:rPr>
      </w:pPr>
    </w:p>
    <w:p w14:paraId="73926971">
      <w:pPr>
        <w:adjustRightInd w:val="0"/>
        <w:snapToGrid w:val="0"/>
        <w:spacing w:line="360" w:lineRule="auto"/>
        <w:rPr>
          <w:rFonts w:hint="eastAsia" w:ascii="仿宋" w:hAnsi="仿宋" w:eastAsia="仿宋" w:cs="仿宋"/>
          <w:color w:val="auto"/>
          <w:szCs w:val="21"/>
          <w:highlight w:val="none"/>
        </w:rPr>
      </w:pPr>
    </w:p>
    <w:p w14:paraId="5CDDA8B6">
      <w:pPr>
        <w:adjustRightInd w:val="0"/>
        <w:snapToGrid w:val="0"/>
        <w:spacing w:line="360" w:lineRule="auto"/>
        <w:rPr>
          <w:rFonts w:hint="eastAsia" w:ascii="仿宋" w:hAnsi="仿宋" w:eastAsia="仿宋" w:cs="仿宋"/>
          <w:color w:val="auto"/>
          <w:szCs w:val="21"/>
          <w:highlight w:val="none"/>
        </w:rPr>
      </w:pPr>
    </w:p>
    <w:p w14:paraId="1FB05353">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5AD0974">
      <w:pPr>
        <w:pStyle w:val="12"/>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77CFE463">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36F31C99">
      <w:pPr>
        <w:adjustRightInd w:val="0"/>
        <w:snapToGrid w:val="0"/>
        <w:spacing w:line="360" w:lineRule="auto"/>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投标人同类合同实施情况一览表</w:t>
      </w:r>
    </w:p>
    <w:tbl>
      <w:tblPr>
        <w:tblStyle w:val="25"/>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6CE0E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FB9826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40C914FD">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0D73225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23BFE737">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2C70E6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3A198C2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71CF10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AACFD7D">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B7C48D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7141DCF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50543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07CF78B">
            <w:pPr>
              <w:jc w:val="center"/>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9EF5A46">
            <w:pPr>
              <w:jc w:val="center"/>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FAFD167">
            <w:pPr>
              <w:jc w:val="center"/>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503EF23">
            <w:pPr>
              <w:jc w:val="center"/>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78150C6">
            <w:pPr>
              <w:jc w:val="center"/>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11167F5">
            <w:pPr>
              <w:jc w:val="center"/>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1B2CC4">
            <w:pPr>
              <w:jc w:val="center"/>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E90D956">
            <w:pPr>
              <w:jc w:val="center"/>
              <w:rPr>
                <w:rFonts w:hint="eastAsia" w:ascii="仿宋" w:hAnsi="仿宋" w:eastAsia="仿宋" w:cs="仿宋"/>
                <w:b/>
                <w:bCs/>
                <w:color w:val="auto"/>
                <w:szCs w:val="21"/>
                <w:highlight w:val="none"/>
              </w:rPr>
            </w:pPr>
          </w:p>
        </w:tc>
      </w:tr>
      <w:tr w14:paraId="6F6ED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036CC81">
            <w:pPr>
              <w:jc w:val="center"/>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6DDCCD3">
            <w:pPr>
              <w:jc w:val="center"/>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ABEC4F8">
            <w:pPr>
              <w:jc w:val="center"/>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8AC37BF">
            <w:pPr>
              <w:jc w:val="center"/>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90A2112">
            <w:pPr>
              <w:jc w:val="center"/>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317FF35">
            <w:pPr>
              <w:jc w:val="center"/>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1C2443A">
            <w:pPr>
              <w:jc w:val="center"/>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C66D978">
            <w:pPr>
              <w:jc w:val="center"/>
              <w:rPr>
                <w:rFonts w:hint="eastAsia" w:ascii="仿宋" w:hAnsi="仿宋" w:eastAsia="仿宋" w:cs="仿宋"/>
                <w:b/>
                <w:bCs/>
                <w:color w:val="auto"/>
                <w:szCs w:val="21"/>
                <w:highlight w:val="none"/>
              </w:rPr>
            </w:pPr>
          </w:p>
        </w:tc>
      </w:tr>
      <w:tr w14:paraId="129CB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C3BD995">
            <w:pPr>
              <w:jc w:val="center"/>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3EF191C">
            <w:pPr>
              <w:jc w:val="center"/>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312460A">
            <w:pPr>
              <w:jc w:val="center"/>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A697A46">
            <w:pPr>
              <w:jc w:val="center"/>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E09E2CE">
            <w:pPr>
              <w:jc w:val="center"/>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7A59A7">
            <w:pPr>
              <w:jc w:val="center"/>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FF568E2">
            <w:pPr>
              <w:jc w:val="center"/>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715E5C7">
            <w:pPr>
              <w:jc w:val="center"/>
              <w:rPr>
                <w:rFonts w:hint="eastAsia" w:ascii="仿宋" w:hAnsi="仿宋" w:eastAsia="仿宋" w:cs="仿宋"/>
                <w:b/>
                <w:bCs/>
                <w:color w:val="auto"/>
                <w:szCs w:val="21"/>
                <w:highlight w:val="none"/>
              </w:rPr>
            </w:pPr>
          </w:p>
        </w:tc>
      </w:tr>
      <w:tr w14:paraId="136BC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333974A">
            <w:pPr>
              <w:jc w:val="center"/>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77FF5DC">
            <w:pPr>
              <w:jc w:val="center"/>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65B9BC2">
            <w:pPr>
              <w:jc w:val="center"/>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E6349FA">
            <w:pPr>
              <w:jc w:val="center"/>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FA6CE63">
            <w:pPr>
              <w:jc w:val="center"/>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A111847">
            <w:pPr>
              <w:jc w:val="center"/>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F5F0CC">
            <w:pPr>
              <w:jc w:val="center"/>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7CE257C">
            <w:pPr>
              <w:jc w:val="center"/>
              <w:rPr>
                <w:rFonts w:hint="eastAsia" w:ascii="仿宋" w:hAnsi="仿宋" w:eastAsia="仿宋" w:cs="仿宋"/>
                <w:b/>
                <w:bCs/>
                <w:color w:val="auto"/>
                <w:szCs w:val="21"/>
                <w:highlight w:val="none"/>
              </w:rPr>
            </w:pPr>
          </w:p>
        </w:tc>
      </w:tr>
      <w:tr w14:paraId="59124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B6BEF2F">
            <w:pPr>
              <w:jc w:val="center"/>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6505ABC">
            <w:pPr>
              <w:jc w:val="center"/>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D6A2A7A">
            <w:pPr>
              <w:jc w:val="center"/>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B9E5C30">
            <w:pPr>
              <w:jc w:val="center"/>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E4ADEAD">
            <w:pPr>
              <w:jc w:val="center"/>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3D25EC2">
            <w:pPr>
              <w:jc w:val="center"/>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089CD44">
            <w:pPr>
              <w:jc w:val="center"/>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257A72F">
            <w:pPr>
              <w:jc w:val="center"/>
              <w:rPr>
                <w:rFonts w:hint="eastAsia" w:ascii="仿宋" w:hAnsi="仿宋" w:eastAsia="仿宋" w:cs="仿宋"/>
                <w:b/>
                <w:bCs/>
                <w:color w:val="auto"/>
                <w:szCs w:val="21"/>
                <w:highlight w:val="none"/>
              </w:rPr>
            </w:pPr>
          </w:p>
        </w:tc>
      </w:tr>
    </w:tbl>
    <w:p w14:paraId="4BE5AFBB">
      <w:pPr>
        <w:pStyle w:val="20"/>
        <w:spacing w:line="360" w:lineRule="auto"/>
        <w:ind w:left="420" w:hanging="420"/>
        <w:rPr>
          <w:rFonts w:hint="eastAsia" w:ascii="仿宋" w:hAnsi="仿宋" w:eastAsia="仿宋" w:cs="仿宋"/>
          <w:color w:val="auto"/>
          <w:sz w:val="21"/>
          <w:szCs w:val="21"/>
          <w:highlight w:val="none"/>
        </w:rPr>
      </w:pPr>
    </w:p>
    <w:p w14:paraId="66F2257E">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1EB45A57">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1.投标人须提供上述以合同复印件为准（合同内容无法体现的可另行提供业主证明材料）；</w:t>
      </w:r>
    </w:p>
    <w:p w14:paraId="391EF57D">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672B9A1D">
      <w:pPr>
        <w:adjustRightInd w:val="0"/>
        <w:snapToGrid w:val="0"/>
        <w:spacing w:line="360" w:lineRule="auto"/>
        <w:rPr>
          <w:rFonts w:hint="eastAsia"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208813D9">
      <w:pPr>
        <w:adjustRightInd w:val="0"/>
        <w:snapToGrid w:val="0"/>
        <w:spacing w:line="360" w:lineRule="auto"/>
        <w:rPr>
          <w:rFonts w:hint="eastAsia" w:ascii="仿宋" w:hAnsi="仿宋" w:eastAsia="仿宋" w:cs="仿宋"/>
          <w:color w:val="auto"/>
          <w:szCs w:val="21"/>
          <w:highlight w:val="none"/>
        </w:rPr>
      </w:pPr>
    </w:p>
    <w:p w14:paraId="75A9F98A">
      <w:pPr>
        <w:adjustRightInd w:val="0"/>
        <w:snapToGrid w:val="0"/>
        <w:spacing w:line="360" w:lineRule="auto"/>
        <w:rPr>
          <w:rFonts w:hint="eastAsia" w:ascii="仿宋" w:hAnsi="仿宋" w:eastAsia="仿宋" w:cs="仿宋"/>
          <w:color w:val="auto"/>
          <w:szCs w:val="21"/>
          <w:highlight w:val="none"/>
        </w:rPr>
      </w:pPr>
    </w:p>
    <w:p w14:paraId="1235F07A">
      <w:pPr>
        <w:adjustRightInd w:val="0"/>
        <w:snapToGrid w:val="0"/>
        <w:spacing w:line="360" w:lineRule="auto"/>
        <w:rPr>
          <w:rFonts w:hint="eastAsia" w:ascii="仿宋" w:hAnsi="仿宋" w:eastAsia="仿宋" w:cs="仿宋"/>
          <w:b/>
          <w:bCs/>
          <w:color w:val="auto"/>
          <w:spacing w:val="-6"/>
          <w:szCs w:val="21"/>
          <w:highlight w:val="none"/>
        </w:rPr>
      </w:pPr>
    </w:p>
    <w:p w14:paraId="77319BC7">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6DBDAAF">
      <w:pPr>
        <w:pStyle w:val="12"/>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54B2D22">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5FF1D214">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服务方案</w:t>
      </w:r>
    </w:p>
    <w:p w14:paraId="7EC44B53">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w:t>
      </w:r>
    </w:p>
    <w:p w14:paraId="6D742397">
      <w:pPr>
        <w:widowControl/>
        <w:adjustRightInd w:val="0"/>
        <w:snapToGrid w:val="0"/>
        <w:spacing w:line="360" w:lineRule="auto"/>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1.项目理解</w:t>
      </w:r>
    </w:p>
    <w:p w14:paraId="0D0A4712">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1.1 </w:t>
      </w:r>
      <w:r>
        <w:rPr>
          <w:rFonts w:hint="eastAsia" w:ascii="仿宋" w:hAnsi="仿宋" w:eastAsia="仿宋" w:cs="仿宋"/>
          <w:b/>
          <w:color w:val="auto"/>
          <w:spacing w:val="-6"/>
          <w:sz w:val="18"/>
          <w:szCs w:val="18"/>
          <w:highlight w:val="none"/>
        </w:rPr>
        <w:t>目标</w:t>
      </w:r>
    </w:p>
    <w:p w14:paraId="08AF3151">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1.2 </w:t>
      </w:r>
      <w:r>
        <w:rPr>
          <w:rFonts w:hint="eastAsia" w:ascii="仿宋" w:hAnsi="仿宋" w:eastAsia="仿宋" w:cs="仿宋"/>
          <w:b/>
          <w:color w:val="auto"/>
          <w:spacing w:val="-6"/>
          <w:sz w:val="18"/>
          <w:szCs w:val="18"/>
          <w:highlight w:val="none"/>
        </w:rPr>
        <w:t>需求</w:t>
      </w:r>
    </w:p>
    <w:p w14:paraId="6C23AC81">
      <w:pPr>
        <w:widowControl/>
        <w:adjustRightInd w:val="0"/>
        <w:snapToGrid w:val="0"/>
        <w:spacing w:line="360" w:lineRule="auto"/>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2.项目分析</w:t>
      </w:r>
    </w:p>
    <w:p w14:paraId="649C70BD">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2.1 难点</w:t>
      </w:r>
    </w:p>
    <w:p w14:paraId="7F164BF3">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lang w:val="en-US" w:eastAsia="zh-CN"/>
        </w:rPr>
        <w:t>2.2 要点</w:t>
      </w:r>
    </w:p>
    <w:p w14:paraId="648C460B">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2.3 关键工作内容</w:t>
      </w:r>
    </w:p>
    <w:p w14:paraId="2A9CCEFA">
      <w:pPr>
        <w:widowControl/>
        <w:adjustRightInd w:val="0"/>
        <w:snapToGrid w:val="0"/>
        <w:spacing w:line="360" w:lineRule="auto"/>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3.整体工作阶段及进度控制方案</w:t>
      </w:r>
    </w:p>
    <w:p w14:paraId="10AC858D">
      <w:pPr>
        <w:widowControl/>
        <w:adjustRightInd w:val="0"/>
        <w:snapToGrid w:val="0"/>
        <w:spacing w:line="360" w:lineRule="auto"/>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4</w:t>
      </w:r>
      <w:r>
        <w:rPr>
          <w:rFonts w:hint="eastAsia" w:ascii="仿宋" w:hAnsi="仿宋" w:eastAsia="仿宋" w:cs="仿宋"/>
          <w:b/>
          <w:color w:val="auto"/>
          <w:spacing w:val="-6"/>
          <w:sz w:val="18"/>
          <w:szCs w:val="18"/>
          <w:highlight w:val="none"/>
        </w:rPr>
        <w:t>.关键时间节点把握</w:t>
      </w:r>
    </w:p>
    <w:p w14:paraId="3F847A89">
      <w:pPr>
        <w:widowControl/>
        <w:adjustRightInd w:val="0"/>
        <w:snapToGrid w:val="0"/>
        <w:spacing w:line="360" w:lineRule="auto"/>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5</w:t>
      </w:r>
      <w:r>
        <w:rPr>
          <w:rFonts w:hint="eastAsia" w:ascii="仿宋" w:hAnsi="仿宋" w:eastAsia="仿宋" w:cs="仿宋"/>
          <w:b/>
          <w:color w:val="auto"/>
          <w:spacing w:val="-6"/>
          <w:sz w:val="18"/>
          <w:szCs w:val="18"/>
          <w:highlight w:val="none"/>
        </w:rPr>
        <w:t>.计量比对进行前期实验服务方案</w:t>
      </w:r>
    </w:p>
    <w:p w14:paraId="5A477C34">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5.1 传递标准或样品的稳定性实验</w:t>
      </w:r>
    </w:p>
    <w:p w14:paraId="106E53E0">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5.2 运输特性实验</w:t>
      </w:r>
    </w:p>
    <w:p w14:paraId="1D8A412D">
      <w:pPr>
        <w:widowControl/>
        <w:adjustRightInd w:val="0"/>
        <w:snapToGrid w:val="0"/>
        <w:spacing w:line="360" w:lineRule="auto"/>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6</w:t>
      </w:r>
      <w:r>
        <w:rPr>
          <w:rFonts w:hint="eastAsia" w:ascii="仿宋" w:hAnsi="仿宋" w:eastAsia="仿宋" w:cs="仿宋"/>
          <w:b/>
          <w:color w:val="auto"/>
          <w:spacing w:val="-6"/>
          <w:sz w:val="18"/>
          <w:szCs w:val="18"/>
          <w:highlight w:val="none"/>
        </w:rPr>
        <w:t>.计量比对方案设计方案</w:t>
      </w:r>
    </w:p>
    <w:p w14:paraId="49EC9276">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6.1 针对的量、目的、方法、传递标准或样品</w:t>
      </w:r>
    </w:p>
    <w:p w14:paraId="56740D86">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6.2 路线及时间安排</w:t>
      </w:r>
    </w:p>
    <w:p w14:paraId="650E6E7E">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6.3 技术要求</w:t>
      </w:r>
    </w:p>
    <w:p w14:paraId="65BE1054">
      <w:pPr>
        <w:widowControl/>
        <w:adjustRightInd w:val="0"/>
        <w:snapToGrid w:val="0"/>
        <w:spacing w:line="360" w:lineRule="auto"/>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7</w:t>
      </w:r>
      <w:r>
        <w:rPr>
          <w:rFonts w:hint="eastAsia" w:ascii="仿宋" w:hAnsi="仿宋" w:eastAsia="仿宋" w:cs="仿宋"/>
          <w:b/>
          <w:color w:val="auto"/>
          <w:spacing w:val="-6"/>
          <w:sz w:val="18"/>
          <w:szCs w:val="18"/>
          <w:highlight w:val="none"/>
        </w:rPr>
        <w:t>.计量比对方案设计方案</w:t>
      </w:r>
    </w:p>
    <w:p w14:paraId="75CC0721">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7.1 实施内容、标准、流程</w:t>
      </w:r>
    </w:p>
    <w:p w14:paraId="7B926491">
      <w:pPr>
        <w:widowControl/>
        <w:adjustRightInd w:val="0"/>
        <w:snapToGrid w:val="0"/>
        <w:spacing w:line="360" w:lineRule="auto"/>
        <w:ind w:firstLine="169" w:firstLineChars="100"/>
        <w:jc w:val="left"/>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7.2 实施质量保障措施</w:t>
      </w:r>
    </w:p>
    <w:p w14:paraId="73456A8D">
      <w:pPr>
        <w:widowControl/>
        <w:adjustRightInd w:val="0"/>
        <w:snapToGrid w:val="0"/>
        <w:spacing w:line="360" w:lineRule="auto"/>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8</w:t>
      </w:r>
      <w:r>
        <w:rPr>
          <w:rFonts w:hint="eastAsia" w:ascii="仿宋" w:hAnsi="仿宋" w:eastAsia="仿宋" w:cs="仿宋"/>
          <w:b/>
          <w:color w:val="auto"/>
          <w:spacing w:val="-6"/>
          <w:sz w:val="18"/>
          <w:szCs w:val="18"/>
          <w:highlight w:val="none"/>
        </w:rPr>
        <w:t>.计量比对总结报告拟定方案</w:t>
      </w:r>
    </w:p>
    <w:p w14:paraId="72BFB3F0">
      <w:pPr>
        <w:widowControl/>
        <w:adjustRightInd w:val="0"/>
        <w:snapToGrid w:val="0"/>
        <w:spacing w:line="360" w:lineRule="auto"/>
        <w:jc w:val="left"/>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9</w:t>
      </w:r>
      <w:r>
        <w:rPr>
          <w:rFonts w:hint="eastAsia" w:ascii="仿宋" w:hAnsi="仿宋" w:eastAsia="仿宋" w:cs="仿宋"/>
          <w:b/>
          <w:color w:val="auto"/>
          <w:spacing w:val="-6"/>
          <w:sz w:val="18"/>
          <w:szCs w:val="18"/>
          <w:highlight w:val="none"/>
        </w:rPr>
        <w:t>.计量比对分析及结论方案</w:t>
      </w:r>
    </w:p>
    <w:p w14:paraId="6122E502">
      <w:pPr>
        <w:adjustRightInd w:val="0"/>
        <w:snapToGrid w:val="0"/>
        <w:spacing w:line="360" w:lineRule="auto"/>
        <w:jc w:val="center"/>
        <w:rPr>
          <w:rFonts w:hint="eastAsia" w:ascii="仿宋" w:hAnsi="仿宋" w:eastAsia="仿宋" w:cs="仿宋"/>
          <w:b/>
          <w:bCs/>
          <w:color w:val="auto"/>
          <w:sz w:val="24"/>
          <w:szCs w:val="24"/>
          <w:highlight w:val="none"/>
        </w:rPr>
      </w:pPr>
    </w:p>
    <w:p w14:paraId="7C0C6C76">
      <w:pPr>
        <w:adjustRightInd w:val="0"/>
        <w:snapToGrid w:val="0"/>
        <w:spacing w:line="360" w:lineRule="auto"/>
        <w:jc w:val="center"/>
        <w:rPr>
          <w:rFonts w:hint="eastAsia" w:ascii="仿宋" w:hAnsi="仿宋" w:eastAsia="仿宋" w:cs="仿宋"/>
          <w:b/>
          <w:bCs/>
          <w:color w:val="auto"/>
          <w:sz w:val="24"/>
          <w:szCs w:val="24"/>
          <w:highlight w:val="none"/>
        </w:rPr>
      </w:pPr>
    </w:p>
    <w:p w14:paraId="0368BF4F">
      <w:pPr>
        <w:adjustRightInd w:val="0"/>
        <w:snapToGrid w:val="0"/>
        <w:spacing w:line="360" w:lineRule="auto"/>
        <w:jc w:val="center"/>
        <w:rPr>
          <w:rFonts w:hint="eastAsia" w:ascii="仿宋" w:hAnsi="仿宋" w:eastAsia="仿宋" w:cs="仿宋"/>
          <w:b/>
          <w:bCs/>
          <w:color w:val="auto"/>
          <w:sz w:val="24"/>
          <w:szCs w:val="24"/>
          <w:highlight w:val="none"/>
        </w:rPr>
      </w:pPr>
    </w:p>
    <w:p w14:paraId="26D019B5">
      <w:pPr>
        <w:spacing w:line="360" w:lineRule="auto"/>
        <w:jc w:val="center"/>
        <w:outlineLvl w:val="2"/>
        <w:rPr>
          <w:rFonts w:hint="default"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4"/>
          <w:highlight w:val="none"/>
          <w:lang w:val="en-US" w:eastAsia="zh-CN"/>
        </w:rPr>
        <w:t>售后服务方案</w:t>
      </w:r>
    </w:p>
    <w:p w14:paraId="40585651">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根据评分标准提供和编写（格式自拟），包括但不仅限于：二次比对、响应时间、服务方式、应急服务等</w:t>
      </w:r>
    </w:p>
    <w:p w14:paraId="6672425E">
      <w:pP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br w:type="page"/>
      </w:r>
    </w:p>
    <w:p w14:paraId="2504EAAF">
      <w:pPr>
        <w:spacing w:line="360" w:lineRule="auto"/>
        <w:jc w:val="center"/>
        <w:outlineLvl w:val="2"/>
        <w:rPr>
          <w:rFonts w:hint="eastAsia"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rPr>
        <w:t>服务团队人员一览表</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6709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F3D5BF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023" w:type="dxa"/>
            <w:vAlign w:val="center"/>
          </w:tcPr>
          <w:p w14:paraId="2156AC3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1991" w:type="dxa"/>
            <w:vAlign w:val="center"/>
          </w:tcPr>
          <w:p w14:paraId="342324C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本项目拟任岗位</w:t>
            </w:r>
          </w:p>
        </w:tc>
        <w:tc>
          <w:tcPr>
            <w:tcW w:w="872" w:type="dxa"/>
            <w:vAlign w:val="center"/>
          </w:tcPr>
          <w:p w14:paraId="3FEBC48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873" w:type="dxa"/>
            <w:vAlign w:val="center"/>
          </w:tcPr>
          <w:p w14:paraId="13955C6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1186" w:type="dxa"/>
            <w:vAlign w:val="center"/>
          </w:tcPr>
          <w:p w14:paraId="58E0A61D">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本岗年龄</w:t>
            </w:r>
          </w:p>
        </w:tc>
        <w:tc>
          <w:tcPr>
            <w:tcW w:w="819" w:type="dxa"/>
            <w:vAlign w:val="center"/>
          </w:tcPr>
          <w:p w14:paraId="52B5A44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2160" w:type="dxa"/>
            <w:vAlign w:val="center"/>
          </w:tcPr>
          <w:p w14:paraId="3F5635DD">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具有的资质证书</w:t>
            </w:r>
          </w:p>
        </w:tc>
      </w:tr>
      <w:tr w14:paraId="3BF1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31543BF">
            <w:pPr>
              <w:jc w:val="center"/>
              <w:rPr>
                <w:rFonts w:hint="eastAsia" w:ascii="仿宋" w:hAnsi="仿宋" w:eastAsia="仿宋" w:cs="仿宋"/>
                <w:color w:val="auto"/>
                <w:szCs w:val="21"/>
                <w:highlight w:val="none"/>
              </w:rPr>
            </w:pPr>
          </w:p>
        </w:tc>
        <w:tc>
          <w:tcPr>
            <w:tcW w:w="1023" w:type="dxa"/>
            <w:vAlign w:val="center"/>
          </w:tcPr>
          <w:p w14:paraId="28198979">
            <w:pPr>
              <w:jc w:val="center"/>
              <w:rPr>
                <w:rFonts w:hint="eastAsia" w:ascii="仿宋" w:hAnsi="仿宋" w:eastAsia="仿宋" w:cs="仿宋"/>
                <w:color w:val="auto"/>
                <w:szCs w:val="21"/>
                <w:highlight w:val="none"/>
              </w:rPr>
            </w:pPr>
          </w:p>
        </w:tc>
        <w:tc>
          <w:tcPr>
            <w:tcW w:w="1991" w:type="dxa"/>
            <w:vAlign w:val="center"/>
          </w:tcPr>
          <w:p w14:paraId="3436EA26">
            <w:pPr>
              <w:jc w:val="center"/>
              <w:rPr>
                <w:rFonts w:hint="eastAsia" w:ascii="仿宋" w:hAnsi="仿宋" w:eastAsia="仿宋" w:cs="仿宋"/>
                <w:color w:val="auto"/>
                <w:szCs w:val="21"/>
                <w:highlight w:val="none"/>
              </w:rPr>
            </w:pPr>
          </w:p>
        </w:tc>
        <w:tc>
          <w:tcPr>
            <w:tcW w:w="872" w:type="dxa"/>
            <w:vAlign w:val="center"/>
          </w:tcPr>
          <w:p w14:paraId="731F5553">
            <w:pPr>
              <w:jc w:val="center"/>
              <w:rPr>
                <w:rFonts w:hint="eastAsia" w:ascii="仿宋" w:hAnsi="仿宋" w:eastAsia="仿宋" w:cs="仿宋"/>
                <w:color w:val="auto"/>
                <w:szCs w:val="21"/>
                <w:highlight w:val="none"/>
              </w:rPr>
            </w:pPr>
          </w:p>
        </w:tc>
        <w:tc>
          <w:tcPr>
            <w:tcW w:w="873" w:type="dxa"/>
            <w:vAlign w:val="center"/>
          </w:tcPr>
          <w:p w14:paraId="400C04BB">
            <w:pPr>
              <w:jc w:val="center"/>
              <w:rPr>
                <w:rFonts w:hint="eastAsia" w:ascii="仿宋" w:hAnsi="仿宋" w:eastAsia="仿宋" w:cs="仿宋"/>
                <w:color w:val="auto"/>
                <w:szCs w:val="21"/>
                <w:highlight w:val="none"/>
              </w:rPr>
            </w:pPr>
          </w:p>
        </w:tc>
        <w:tc>
          <w:tcPr>
            <w:tcW w:w="1186" w:type="dxa"/>
            <w:vAlign w:val="center"/>
          </w:tcPr>
          <w:p w14:paraId="4C54C7F6">
            <w:pPr>
              <w:jc w:val="center"/>
              <w:rPr>
                <w:rFonts w:hint="eastAsia" w:ascii="仿宋" w:hAnsi="仿宋" w:eastAsia="仿宋" w:cs="仿宋"/>
                <w:color w:val="auto"/>
                <w:szCs w:val="21"/>
                <w:highlight w:val="none"/>
              </w:rPr>
            </w:pPr>
          </w:p>
        </w:tc>
        <w:tc>
          <w:tcPr>
            <w:tcW w:w="819" w:type="dxa"/>
            <w:vAlign w:val="center"/>
          </w:tcPr>
          <w:p w14:paraId="546E916A">
            <w:pPr>
              <w:jc w:val="center"/>
              <w:rPr>
                <w:rFonts w:hint="eastAsia" w:ascii="仿宋" w:hAnsi="仿宋" w:eastAsia="仿宋" w:cs="仿宋"/>
                <w:color w:val="auto"/>
                <w:szCs w:val="21"/>
                <w:highlight w:val="none"/>
              </w:rPr>
            </w:pPr>
          </w:p>
        </w:tc>
        <w:tc>
          <w:tcPr>
            <w:tcW w:w="2160" w:type="dxa"/>
            <w:vAlign w:val="center"/>
          </w:tcPr>
          <w:p w14:paraId="3E1BF9C7">
            <w:pPr>
              <w:jc w:val="center"/>
              <w:rPr>
                <w:rFonts w:hint="eastAsia" w:ascii="仿宋" w:hAnsi="仿宋" w:eastAsia="仿宋" w:cs="仿宋"/>
                <w:color w:val="auto"/>
                <w:szCs w:val="21"/>
                <w:highlight w:val="none"/>
              </w:rPr>
            </w:pPr>
          </w:p>
        </w:tc>
      </w:tr>
      <w:tr w14:paraId="544E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AD31EEC">
            <w:pPr>
              <w:jc w:val="center"/>
              <w:rPr>
                <w:rFonts w:hint="eastAsia" w:ascii="仿宋" w:hAnsi="仿宋" w:eastAsia="仿宋" w:cs="仿宋"/>
                <w:color w:val="auto"/>
                <w:szCs w:val="21"/>
                <w:highlight w:val="none"/>
              </w:rPr>
            </w:pPr>
          </w:p>
        </w:tc>
        <w:tc>
          <w:tcPr>
            <w:tcW w:w="1023" w:type="dxa"/>
            <w:vAlign w:val="center"/>
          </w:tcPr>
          <w:p w14:paraId="7709FEAA">
            <w:pPr>
              <w:jc w:val="center"/>
              <w:rPr>
                <w:rFonts w:hint="eastAsia" w:ascii="仿宋" w:hAnsi="仿宋" w:eastAsia="仿宋" w:cs="仿宋"/>
                <w:color w:val="auto"/>
                <w:szCs w:val="21"/>
                <w:highlight w:val="none"/>
              </w:rPr>
            </w:pPr>
          </w:p>
        </w:tc>
        <w:tc>
          <w:tcPr>
            <w:tcW w:w="1991" w:type="dxa"/>
            <w:vAlign w:val="center"/>
          </w:tcPr>
          <w:p w14:paraId="6AF2B595">
            <w:pPr>
              <w:jc w:val="center"/>
              <w:rPr>
                <w:rFonts w:hint="eastAsia" w:ascii="仿宋" w:hAnsi="仿宋" w:eastAsia="仿宋" w:cs="仿宋"/>
                <w:color w:val="auto"/>
                <w:szCs w:val="21"/>
                <w:highlight w:val="none"/>
              </w:rPr>
            </w:pPr>
          </w:p>
        </w:tc>
        <w:tc>
          <w:tcPr>
            <w:tcW w:w="872" w:type="dxa"/>
            <w:vAlign w:val="center"/>
          </w:tcPr>
          <w:p w14:paraId="7D40AD82">
            <w:pPr>
              <w:jc w:val="center"/>
              <w:rPr>
                <w:rFonts w:hint="eastAsia" w:ascii="仿宋" w:hAnsi="仿宋" w:eastAsia="仿宋" w:cs="仿宋"/>
                <w:color w:val="auto"/>
                <w:szCs w:val="21"/>
                <w:highlight w:val="none"/>
              </w:rPr>
            </w:pPr>
          </w:p>
        </w:tc>
        <w:tc>
          <w:tcPr>
            <w:tcW w:w="873" w:type="dxa"/>
            <w:vAlign w:val="center"/>
          </w:tcPr>
          <w:p w14:paraId="788D7AF5">
            <w:pPr>
              <w:jc w:val="center"/>
              <w:rPr>
                <w:rFonts w:hint="eastAsia" w:ascii="仿宋" w:hAnsi="仿宋" w:eastAsia="仿宋" w:cs="仿宋"/>
                <w:color w:val="auto"/>
                <w:szCs w:val="21"/>
                <w:highlight w:val="none"/>
              </w:rPr>
            </w:pPr>
          </w:p>
        </w:tc>
        <w:tc>
          <w:tcPr>
            <w:tcW w:w="1186" w:type="dxa"/>
            <w:vAlign w:val="center"/>
          </w:tcPr>
          <w:p w14:paraId="2440BC9A">
            <w:pPr>
              <w:jc w:val="center"/>
              <w:rPr>
                <w:rFonts w:hint="eastAsia" w:ascii="仿宋" w:hAnsi="仿宋" w:eastAsia="仿宋" w:cs="仿宋"/>
                <w:color w:val="auto"/>
                <w:szCs w:val="21"/>
                <w:highlight w:val="none"/>
              </w:rPr>
            </w:pPr>
          </w:p>
        </w:tc>
        <w:tc>
          <w:tcPr>
            <w:tcW w:w="819" w:type="dxa"/>
            <w:vAlign w:val="center"/>
          </w:tcPr>
          <w:p w14:paraId="08A05907">
            <w:pPr>
              <w:jc w:val="center"/>
              <w:rPr>
                <w:rFonts w:hint="eastAsia" w:ascii="仿宋" w:hAnsi="仿宋" w:eastAsia="仿宋" w:cs="仿宋"/>
                <w:color w:val="auto"/>
                <w:szCs w:val="21"/>
                <w:highlight w:val="none"/>
              </w:rPr>
            </w:pPr>
          </w:p>
        </w:tc>
        <w:tc>
          <w:tcPr>
            <w:tcW w:w="2160" w:type="dxa"/>
            <w:vAlign w:val="center"/>
          </w:tcPr>
          <w:p w14:paraId="46A0BEED">
            <w:pPr>
              <w:jc w:val="center"/>
              <w:rPr>
                <w:rFonts w:hint="eastAsia" w:ascii="仿宋" w:hAnsi="仿宋" w:eastAsia="仿宋" w:cs="仿宋"/>
                <w:color w:val="auto"/>
                <w:szCs w:val="21"/>
                <w:highlight w:val="none"/>
              </w:rPr>
            </w:pPr>
          </w:p>
        </w:tc>
      </w:tr>
      <w:tr w14:paraId="3B00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235832E">
            <w:pPr>
              <w:jc w:val="center"/>
              <w:rPr>
                <w:rFonts w:hint="eastAsia" w:ascii="仿宋" w:hAnsi="仿宋" w:eastAsia="仿宋" w:cs="仿宋"/>
                <w:color w:val="auto"/>
                <w:szCs w:val="21"/>
                <w:highlight w:val="none"/>
              </w:rPr>
            </w:pPr>
          </w:p>
        </w:tc>
        <w:tc>
          <w:tcPr>
            <w:tcW w:w="1023" w:type="dxa"/>
            <w:vAlign w:val="center"/>
          </w:tcPr>
          <w:p w14:paraId="0051A341">
            <w:pPr>
              <w:jc w:val="center"/>
              <w:rPr>
                <w:rFonts w:hint="eastAsia" w:ascii="仿宋" w:hAnsi="仿宋" w:eastAsia="仿宋" w:cs="仿宋"/>
                <w:color w:val="auto"/>
                <w:szCs w:val="21"/>
                <w:highlight w:val="none"/>
              </w:rPr>
            </w:pPr>
          </w:p>
        </w:tc>
        <w:tc>
          <w:tcPr>
            <w:tcW w:w="1991" w:type="dxa"/>
            <w:vAlign w:val="center"/>
          </w:tcPr>
          <w:p w14:paraId="62152F9B">
            <w:pPr>
              <w:jc w:val="center"/>
              <w:rPr>
                <w:rFonts w:hint="eastAsia" w:ascii="仿宋" w:hAnsi="仿宋" w:eastAsia="仿宋" w:cs="仿宋"/>
                <w:color w:val="auto"/>
                <w:szCs w:val="21"/>
                <w:highlight w:val="none"/>
              </w:rPr>
            </w:pPr>
          </w:p>
        </w:tc>
        <w:tc>
          <w:tcPr>
            <w:tcW w:w="872" w:type="dxa"/>
            <w:vAlign w:val="center"/>
          </w:tcPr>
          <w:p w14:paraId="017349F0">
            <w:pPr>
              <w:jc w:val="center"/>
              <w:rPr>
                <w:rFonts w:hint="eastAsia" w:ascii="仿宋" w:hAnsi="仿宋" w:eastAsia="仿宋" w:cs="仿宋"/>
                <w:color w:val="auto"/>
                <w:szCs w:val="21"/>
                <w:highlight w:val="none"/>
              </w:rPr>
            </w:pPr>
          </w:p>
        </w:tc>
        <w:tc>
          <w:tcPr>
            <w:tcW w:w="873" w:type="dxa"/>
            <w:vAlign w:val="center"/>
          </w:tcPr>
          <w:p w14:paraId="070FB8AE">
            <w:pPr>
              <w:jc w:val="center"/>
              <w:rPr>
                <w:rFonts w:hint="eastAsia" w:ascii="仿宋" w:hAnsi="仿宋" w:eastAsia="仿宋" w:cs="仿宋"/>
                <w:color w:val="auto"/>
                <w:szCs w:val="21"/>
                <w:highlight w:val="none"/>
              </w:rPr>
            </w:pPr>
          </w:p>
        </w:tc>
        <w:tc>
          <w:tcPr>
            <w:tcW w:w="1186" w:type="dxa"/>
            <w:vAlign w:val="center"/>
          </w:tcPr>
          <w:p w14:paraId="6F741966">
            <w:pPr>
              <w:jc w:val="center"/>
              <w:rPr>
                <w:rFonts w:hint="eastAsia" w:ascii="仿宋" w:hAnsi="仿宋" w:eastAsia="仿宋" w:cs="仿宋"/>
                <w:color w:val="auto"/>
                <w:szCs w:val="21"/>
                <w:highlight w:val="none"/>
              </w:rPr>
            </w:pPr>
          </w:p>
        </w:tc>
        <w:tc>
          <w:tcPr>
            <w:tcW w:w="819" w:type="dxa"/>
            <w:vAlign w:val="center"/>
          </w:tcPr>
          <w:p w14:paraId="684FBDB5">
            <w:pPr>
              <w:jc w:val="center"/>
              <w:rPr>
                <w:rFonts w:hint="eastAsia" w:ascii="仿宋" w:hAnsi="仿宋" w:eastAsia="仿宋" w:cs="仿宋"/>
                <w:color w:val="auto"/>
                <w:szCs w:val="21"/>
                <w:highlight w:val="none"/>
              </w:rPr>
            </w:pPr>
          </w:p>
        </w:tc>
        <w:tc>
          <w:tcPr>
            <w:tcW w:w="2160" w:type="dxa"/>
            <w:vAlign w:val="center"/>
          </w:tcPr>
          <w:p w14:paraId="43C6FCC1">
            <w:pPr>
              <w:jc w:val="center"/>
              <w:rPr>
                <w:rFonts w:hint="eastAsia" w:ascii="仿宋" w:hAnsi="仿宋" w:eastAsia="仿宋" w:cs="仿宋"/>
                <w:color w:val="auto"/>
                <w:szCs w:val="21"/>
                <w:highlight w:val="none"/>
              </w:rPr>
            </w:pPr>
          </w:p>
        </w:tc>
      </w:tr>
      <w:tr w14:paraId="2DEE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D845728">
            <w:pPr>
              <w:jc w:val="center"/>
              <w:rPr>
                <w:rFonts w:hint="eastAsia" w:ascii="仿宋" w:hAnsi="仿宋" w:eastAsia="仿宋" w:cs="仿宋"/>
                <w:color w:val="auto"/>
                <w:szCs w:val="21"/>
                <w:highlight w:val="none"/>
              </w:rPr>
            </w:pPr>
          </w:p>
        </w:tc>
        <w:tc>
          <w:tcPr>
            <w:tcW w:w="1023" w:type="dxa"/>
            <w:vAlign w:val="center"/>
          </w:tcPr>
          <w:p w14:paraId="2663368A">
            <w:pPr>
              <w:jc w:val="center"/>
              <w:rPr>
                <w:rFonts w:hint="eastAsia" w:ascii="仿宋" w:hAnsi="仿宋" w:eastAsia="仿宋" w:cs="仿宋"/>
                <w:color w:val="auto"/>
                <w:szCs w:val="21"/>
                <w:highlight w:val="none"/>
              </w:rPr>
            </w:pPr>
          </w:p>
        </w:tc>
        <w:tc>
          <w:tcPr>
            <w:tcW w:w="1991" w:type="dxa"/>
            <w:vAlign w:val="center"/>
          </w:tcPr>
          <w:p w14:paraId="233C9E0D">
            <w:pPr>
              <w:jc w:val="center"/>
              <w:rPr>
                <w:rFonts w:hint="eastAsia" w:ascii="仿宋" w:hAnsi="仿宋" w:eastAsia="仿宋" w:cs="仿宋"/>
                <w:color w:val="auto"/>
                <w:szCs w:val="21"/>
                <w:highlight w:val="none"/>
              </w:rPr>
            </w:pPr>
          </w:p>
        </w:tc>
        <w:tc>
          <w:tcPr>
            <w:tcW w:w="872" w:type="dxa"/>
            <w:vAlign w:val="center"/>
          </w:tcPr>
          <w:p w14:paraId="2C03F826">
            <w:pPr>
              <w:jc w:val="center"/>
              <w:rPr>
                <w:rFonts w:hint="eastAsia" w:ascii="仿宋" w:hAnsi="仿宋" w:eastAsia="仿宋" w:cs="仿宋"/>
                <w:color w:val="auto"/>
                <w:szCs w:val="21"/>
                <w:highlight w:val="none"/>
              </w:rPr>
            </w:pPr>
          </w:p>
        </w:tc>
        <w:tc>
          <w:tcPr>
            <w:tcW w:w="873" w:type="dxa"/>
            <w:vAlign w:val="center"/>
          </w:tcPr>
          <w:p w14:paraId="7DA360B5">
            <w:pPr>
              <w:jc w:val="center"/>
              <w:rPr>
                <w:rFonts w:hint="eastAsia" w:ascii="仿宋" w:hAnsi="仿宋" w:eastAsia="仿宋" w:cs="仿宋"/>
                <w:color w:val="auto"/>
                <w:szCs w:val="21"/>
                <w:highlight w:val="none"/>
              </w:rPr>
            </w:pPr>
          </w:p>
        </w:tc>
        <w:tc>
          <w:tcPr>
            <w:tcW w:w="1186" w:type="dxa"/>
            <w:vAlign w:val="center"/>
          </w:tcPr>
          <w:p w14:paraId="36D01390">
            <w:pPr>
              <w:jc w:val="center"/>
              <w:rPr>
                <w:rFonts w:hint="eastAsia" w:ascii="仿宋" w:hAnsi="仿宋" w:eastAsia="仿宋" w:cs="仿宋"/>
                <w:color w:val="auto"/>
                <w:szCs w:val="21"/>
                <w:highlight w:val="none"/>
              </w:rPr>
            </w:pPr>
          </w:p>
        </w:tc>
        <w:tc>
          <w:tcPr>
            <w:tcW w:w="819" w:type="dxa"/>
            <w:vAlign w:val="center"/>
          </w:tcPr>
          <w:p w14:paraId="78F777B4">
            <w:pPr>
              <w:jc w:val="center"/>
              <w:rPr>
                <w:rFonts w:hint="eastAsia" w:ascii="仿宋" w:hAnsi="仿宋" w:eastAsia="仿宋" w:cs="仿宋"/>
                <w:color w:val="auto"/>
                <w:szCs w:val="21"/>
                <w:highlight w:val="none"/>
              </w:rPr>
            </w:pPr>
          </w:p>
        </w:tc>
        <w:tc>
          <w:tcPr>
            <w:tcW w:w="2160" w:type="dxa"/>
            <w:vAlign w:val="center"/>
          </w:tcPr>
          <w:p w14:paraId="68303E10">
            <w:pPr>
              <w:jc w:val="center"/>
              <w:rPr>
                <w:rFonts w:hint="eastAsia" w:ascii="仿宋" w:hAnsi="仿宋" w:eastAsia="仿宋" w:cs="仿宋"/>
                <w:color w:val="auto"/>
                <w:szCs w:val="21"/>
                <w:highlight w:val="none"/>
              </w:rPr>
            </w:pPr>
          </w:p>
        </w:tc>
      </w:tr>
      <w:tr w14:paraId="3B90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8BD9D9C">
            <w:pPr>
              <w:jc w:val="center"/>
              <w:rPr>
                <w:rFonts w:hint="eastAsia" w:ascii="仿宋" w:hAnsi="仿宋" w:eastAsia="仿宋" w:cs="仿宋"/>
                <w:color w:val="auto"/>
                <w:szCs w:val="21"/>
                <w:highlight w:val="none"/>
              </w:rPr>
            </w:pPr>
          </w:p>
        </w:tc>
        <w:tc>
          <w:tcPr>
            <w:tcW w:w="1023" w:type="dxa"/>
            <w:vAlign w:val="center"/>
          </w:tcPr>
          <w:p w14:paraId="2745EED7">
            <w:pPr>
              <w:jc w:val="center"/>
              <w:rPr>
                <w:rFonts w:hint="eastAsia" w:ascii="仿宋" w:hAnsi="仿宋" w:eastAsia="仿宋" w:cs="仿宋"/>
                <w:color w:val="auto"/>
                <w:szCs w:val="21"/>
                <w:highlight w:val="none"/>
              </w:rPr>
            </w:pPr>
          </w:p>
        </w:tc>
        <w:tc>
          <w:tcPr>
            <w:tcW w:w="1991" w:type="dxa"/>
            <w:vAlign w:val="center"/>
          </w:tcPr>
          <w:p w14:paraId="15BB5198">
            <w:pPr>
              <w:jc w:val="center"/>
              <w:rPr>
                <w:rFonts w:hint="eastAsia" w:ascii="仿宋" w:hAnsi="仿宋" w:eastAsia="仿宋" w:cs="仿宋"/>
                <w:color w:val="auto"/>
                <w:szCs w:val="21"/>
                <w:highlight w:val="none"/>
              </w:rPr>
            </w:pPr>
          </w:p>
        </w:tc>
        <w:tc>
          <w:tcPr>
            <w:tcW w:w="872" w:type="dxa"/>
            <w:vAlign w:val="center"/>
          </w:tcPr>
          <w:p w14:paraId="56670DC7">
            <w:pPr>
              <w:jc w:val="center"/>
              <w:rPr>
                <w:rFonts w:hint="eastAsia" w:ascii="仿宋" w:hAnsi="仿宋" w:eastAsia="仿宋" w:cs="仿宋"/>
                <w:color w:val="auto"/>
                <w:szCs w:val="21"/>
                <w:highlight w:val="none"/>
              </w:rPr>
            </w:pPr>
          </w:p>
        </w:tc>
        <w:tc>
          <w:tcPr>
            <w:tcW w:w="873" w:type="dxa"/>
            <w:vAlign w:val="center"/>
          </w:tcPr>
          <w:p w14:paraId="27A3099E">
            <w:pPr>
              <w:jc w:val="center"/>
              <w:rPr>
                <w:rFonts w:hint="eastAsia" w:ascii="仿宋" w:hAnsi="仿宋" w:eastAsia="仿宋" w:cs="仿宋"/>
                <w:color w:val="auto"/>
                <w:szCs w:val="21"/>
                <w:highlight w:val="none"/>
              </w:rPr>
            </w:pPr>
          </w:p>
        </w:tc>
        <w:tc>
          <w:tcPr>
            <w:tcW w:w="1186" w:type="dxa"/>
            <w:vAlign w:val="center"/>
          </w:tcPr>
          <w:p w14:paraId="16C73B59">
            <w:pPr>
              <w:jc w:val="center"/>
              <w:rPr>
                <w:rFonts w:hint="eastAsia" w:ascii="仿宋" w:hAnsi="仿宋" w:eastAsia="仿宋" w:cs="仿宋"/>
                <w:color w:val="auto"/>
                <w:szCs w:val="21"/>
                <w:highlight w:val="none"/>
              </w:rPr>
            </w:pPr>
          </w:p>
        </w:tc>
        <w:tc>
          <w:tcPr>
            <w:tcW w:w="819" w:type="dxa"/>
            <w:vAlign w:val="center"/>
          </w:tcPr>
          <w:p w14:paraId="22FC562D">
            <w:pPr>
              <w:jc w:val="center"/>
              <w:rPr>
                <w:rFonts w:hint="eastAsia" w:ascii="仿宋" w:hAnsi="仿宋" w:eastAsia="仿宋" w:cs="仿宋"/>
                <w:color w:val="auto"/>
                <w:szCs w:val="21"/>
                <w:highlight w:val="none"/>
              </w:rPr>
            </w:pPr>
          </w:p>
        </w:tc>
        <w:tc>
          <w:tcPr>
            <w:tcW w:w="2160" w:type="dxa"/>
            <w:vAlign w:val="center"/>
          </w:tcPr>
          <w:p w14:paraId="72CDD81A">
            <w:pPr>
              <w:jc w:val="center"/>
              <w:rPr>
                <w:rFonts w:hint="eastAsia" w:ascii="仿宋" w:hAnsi="仿宋" w:eastAsia="仿宋" w:cs="仿宋"/>
                <w:color w:val="auto"/>
                <w:szCs w:val="21"/>
                <w:highlight w:val="none"/>
              </w:rPr>
            </w:pPr>
          </w:p>
        </w:tc>
      </w:tr>
      <w:tr w14:paraId="1305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AAD028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023" w:type="dxa"/>
            <w:vAlign w:val="center"/>
          </w:tcPr>
          <w:p w14:paraId="49838142">
            <w:pPr>
              <w:jc w:val="center"/>
              <w:rPr>
                <w:rFonts w:hint="eastAsia" w:ascii="仿宋" w:hAnsi="仿宋" w:eastAsia="仿宋" w:cs="仿宋"/>
                <w:color w:val="auto"/>
                <w:szCs w:val="21"/>
                <w:highlight w:val="none"/>
              </w:rPr>
            </w:pPr>
          </w:p>
        </w:tc>
        <w:tc>
          <w:tcPr>
            <w:tcW w:w="1991" w:type="dxa"/>
            <w:vAlign w:val="center"/>
          </w:tcPr>
          <w:p w14:paraId="39D55976">
            <w:pPr>
              <w:jc w:val="center"/>
              <w:rPr>
                <w:rFonts w:hint="eastAsia" w:ascii="仿宋" w:hAnsi="仿宋" w:eastAsia="仿宋" w:cs="仿宋"/>
                <w:color w:val="auto"/>
                <w:szCs w:val="21"/>
                <w:highlight w:val="none"/>
              </w:rPr>
            </w:pPr>
          </w:p>
        </w:tc>
        <w:tc>
          <w:tcPr>
            <w:tcW w:w="872" w:type="dxa"/>
            <w:vAlign w:val="center"/>
          </w:tcPr>
          <w:p w14:paraId="15267B48">
            <w:pPr>
              <w:jc w:val="center"/>
              <w:rPr>
                <w:rFonts w:hint="eastAsia" w:ascii="仿宋" w:hAnsi="仿宋" w:eastAsia="仿宋" w:cs="仿宋"/>
                <w:color w:val="auto"/>
                <w:szCs w:val="21"/>
                <w:highlight w:val="none"/>
              </w:rPr>
            </w:pPr>
          </w:p>
        </w:tc>
        <w:tc>
          <w:tcPr>
            <w:tcW w:w="873" w:type="dxa"/>
            <w:vAlign w:val="center"/>
          </w:tcPr>
          <w:p w14:paraId="6973A585">
            <w:pPr>
              <w:jc w:val="center"/>
              <w:rPr>
                <w:rFonts w:hint="eastAsia" w:ascii="仿宋" w:hAnsi="仿宋" w:eastAsia="仿宋" w:cs="仿宋"/>
                <w:color w:val="auto"/>
                <w:szCs w:val="21"/>
                <w:highlight w:val="none"/>
              </w:rPr>
            </w:pPr>
          </w:p>
        </w:tc>
        <w:tc>
          <w:tcPr>
            <w:tcW w:w="1186" w:type="dxa"/>
            <w:vAlign w:val="center"/>
          </w:tcPr>
          <w:p w14:paraId="3115C179">
            <w:pPr>
              <w:jc w:val="center"/>
              <w:rPr>
                <w:rFonts w:hint="eastAsia" w:ascii="仿宋" w:hAnsi="仿宋" w:eastAsia="仿宋" w:cs="仿宋"/>
                <w:color w:val="auto"/>
                <w:szCs w:val="21"/>
                <w:highlight w:val="none"/>
              </w:rPr>
            </w:pPr>
          </w:p>
        </w:tc>
        <w:tc>
          <w:tcPr>
            <w:tcW w:w="819" w:type="dxa"/>
            <w:vAlign w:val="center"/>
          </w:tcPr>
          <w:p w14:paraId="4E6C83D1">
            <w:pPr>
              <w:jc w:val="center"/>
              <w:rPr>
                <w:rFonts w:hint="eastAsia" w:ascii="仿宋" w:hAnsi="仿宋" w:eastAsia="仿宋" w:cs="仿宋"/>
                <w:color w:val="auto"/>
                <w:szCs w:val="21"/>
                <w:highlight w:val="none"/>
              </w:rPr>
            </w:pPr>
          </w:p>
        </w:tc>
        <w:tc>
          <w:tcPr>
            <w:tcW w:w="2160" w:type="dxa"/>
            <w:vAlign w:val="center"/>
          </w:tcPr>
          <w:p w14:paraId="478D7645">
            <w:pPr>
              <w:jc w:val="center"/>
              <w:rPr>
                <w:rFonts w:hint="eastAsia" w:ascii="仿宋" w:hAnsi="仿宋" w:eastAsia="仿宋" w:cs="仿宋"/>
                <w:color w:val="auto"/>
                <w:szCs w:val="21"/>
                <w:highlight w:val="none"/>
              </w:rPr>
            </w:pPr>
          </w:p>
        </w:tc>
      </w:tr>
    </w:tbl>
    <w:p w14:paraId="69C2FD62">
      <w:pPr>
        <w:widowControl/>
        <w:adjustRightInd w:val="0"/>
        <w:snapToGrid w:val="0"/>
        <w:spacing w:line="288" w:lineRule="auto"/>
        <w:jc w:val="left"/>
        <w:rPr>
          <w:rFonts w:hint="eastAsia" w:ascii="仿宋" w:hAnsi="仿宋" w:eastAsia="仿宋" w:cs="仿宋"/>
          <w:b/>
          <w:color w:val="auto"/>
          <w:spacing w:val="-6"/>
          <w:szCs w:val="21"/>
          <w:highlight w:val="none"/>
        </w:rPr>
      </w:pPr>
    </w:p>
    <w:p w14:paraId="0BDDEFDC">
      <w:pPr>
        <w:pStyle w:val="12"/>
        <w:ind w:firstLine="0"/>
        <w:rPr>
          <w:color w:val="auto"/>
          <w:highlight w:val="none"/>
        </w:rPr>
      </w:pPr>
      <w:r>
        <w:rPr>
          <w:rFonts w:hint="eastAsia" w:ascii="仿宋" w:hAnsi="仿宋" w:eastAsia="仿宋" w:cs="仿宋"/>
          <w:b/>
          <w:color w:val="auto"/>
          <w:spacing w:val="-6"/>
          <w:szCs w:val="18"/>
          <w:highlight w:val="none"/>
        </w:rPr>
        <w:t>注：评分标准中相关证明材料随表格一并提供</w:t>
      </w:r>
    </w:p>
    <w:p w14:paraId="412929EE">
      <w:pPr>
        <w:spacing w:line="360" w:lineRule="auto"/>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3F46F9F1">
      <w:pPr>
        <w:adjustRightInd w:val="0"/>
        <w:snapToGrid w:val="0"/>
        <w:spacing w:line="288" w:lineRule="auto"/>
        <w:jc w:val="center"/>
        <w:rPr>
          <w:rFonts w:hint="eastAsia" w:ascii="仿宋" w:hAnsi="仿宋" w:eastAsia="仿宋" w:cs="仿宋"/>
          <w:b/>
          <w:bCs/>
          <w:color w:val="auto"/>
          <w:sz w:val="84"/>
          <w:szCs w:val="84"/>
          <w:highlight w:val="none"/>
        </w:rPr>
      </w:pPr>
    </w:p>
    <w:p w14:paraId="5D0389B8">
      <w:pPr>
        <w:adjustRightInd w:val="0"/>
        <w:snapToGrid w:val="0"/>
        <w:spacing w:line="288" w:lineRule="auto"/>
        <w:jc w:val="center"/>
        <w:rPr>
          <w:rFonts w:hint="eastAsia" w:ascii="仿宋" w:hAnsi="仿宋" w:eastAsia="仿宋" w:cs="仿宋"/>
          <w:b/>
          <w:bCs/>
          <w:color w:val="auto"/>
          <w:sz w:val="84"/>
          <w:szCs w:val="84"/>
          <w:highlight w:val="none"/>
        </w:rPr>
      </w:pPr>
    </w:p>
    <w:p w14:paraId="19D879B9">
      <w:pPr>
        <w:adjustRightInd w:val="0"/>
        <w:snapToGrid w:val="0"/>
        <w:spacing w:line="288" w:lineRule="auto"/>
        <w:jc w:val="center"/>
        <w:rPr>
          <w:rFonts w:hint="eastAsia" w:ascii="仿宋" w:hAnsi="仿宋" w:eastAsia="仿宋" w:cs="仿宋"/>
          <w:b/>
          <w:bCs/>
          <w:color w:val="auto"/>
          <w:sz w:val="84"/>
          <w:szCs w:val="84"/>
          <w:highlight w:val="none"/>
        </w:rPr>
      </w:pPr>
    </w:p>
    <w:p w14:paraId="3F4BCEAF">
      <w:pPr>
        <w:adjustRightInd w:val="0"/>
        <w:snapToGrid w:val="0"/>
        <w:spacing w:line="288" w:lineRule="auto"/>
        <w:jc w:val="center"/>
        <w:rPr>
          <w:rFonts w:hint="eastAsia" w:ascii="仿宋" w:hAnsi="仿宋" w:eastAsia="仿宋" w:cs="仿宋"/>
          <w:b/>
          <w:bCs/>
          <w:color w:val="auto"/>
          <w:sz w:val="84"/>
          <w:szCs w:val="84"/>
          <w:highlight w:val="none"/>
        </w:rPr>
      </w:pPr>
    </w:p>
    <w:p w14:paraId="14B9E33C">
      <w:pPr>
        <w:overflowPunct w:val="0"/>
        <w:adjustRightInd w:val="0"/>
        <w:snapToGrid w:val="0"/>
        <w:spacing w:line="288" w:lineRule="auto"/>
        <w:jc w:val="center"/>
        <w:outlineLvl w:val="1"/>
        <w:rPr>
          <w:rFonts w:hint="eastAsia"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634CC632">
      <w:pPr>
        <w:widowControl/>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2463E97">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21391928">
      <w:pPr>
        <w:adjustRightInd w:val="0"/>
        <w:snapToGrid w:val="0"/>
        <w:spacing w:line="360" w:lineRule="auto"/>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人：浙江省市场监督管理局</w:t>
      </w:r>
    </w:p>
    <w:p w14:paraId="0DF6746C">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全省计量比对辅助工作</w:t>
      </w:r>
    </w:p>
    <w:p w14:paraId="3282F513">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QSZB-Z(F)-H25086(GK)</w:t>
      </w:r>
    </w:p>
    <w:p w14:paraId="00062AAF">
      <w:pPr>
        <w:adjustRightInd w:val="0"/>
        <w:snapToGrid w:val="0"/>
        <w:spacing w:line="360" w:lineRule="auto"/>
        <w:rPr>
          <w:rFonts w:hint="default" w:ascii="仿宋" w:hAnsi="仿宋" w:eastAsia="仿宋" w:cs="仿宋"/>
          <w:bCs/>
          <w:color w:val="auto"/>
          <w:spacing w:val="-6"/>
          <w:szCs w:val="21"/>
          <w:highlight w:val="none"/>
          <w:lang w:val="en-US" w:eastAsia="zh-CN"/>
        </w:rPr>
      </w:pPr>
      <w:r>
        <w:rPr>
          <w:rFonts w:hint="eastAsia" w:ascii="仿宋" w:hAnsi="仿宋" w:eastAsia="仿宋" w:cs="仿宋"/>
          <w:bCs/>
          <w:color w:val="auto"/>
          <w:spacing w:val="-6"/>
          <w:szCs w:val="21"/>
          <w:highlight w:val="none"/>
          <w:lang w:val="en-US" w:eastAsia="zh-CN"/>
        </w:rPr>
        <w:t>标    项</w:t>
      </w:r>
      <w:r>
        <w:rPr>
          <w:rFonts w:hint="eastAsia" w:ascii="仿宋" w:hAnsi="仿宋" w:eastAsia="仿宋" w:cs="仿宋"/>
          <w:bCs/>
          <w:color w:val="auto"/>
          <w:spacing w:val="-6"/>
          <w:szCs w:val="21"/>
          <w:highlight w:val="none"/>
        </w:rPr>
        <w:t>：</w:t>
      </w:r>
    </w:p>
    <w:tbl>
      <w:tblPr>
        <w:tblStyle w:val="25"/>
        <w:tblW w:w="96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8"/>
        <w:gridCol w:w="2260"/>
        <w:gridCol w:w="1144"/>
        <w:gridCol w:w="917"/>
        <w:gridCol w:w="806"/>
        <w:gridCol w:w="977"/>
        <w:gridCol w:w="881"/>
        <w:gridCol w:w="960"/>
        <w:gridCol w:w="1092"/>
      </w:tblGrid>
      <w:tr w14:paraId="2F045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3635D195">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1EF87751">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标的名称</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1B0EBC03">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bookmarkStart w:id="48" w:name="_Hlk177717733"/>
            <w:r>
              <w:rPr>
                <w:rFonts w:hint="eastAsia" w:ascii="仿宋" w:hAnsi="仿宋" w:eastAsia="仿宋" w:cs="仿宋"/>
                <w:b/>
                <w:bCs/>
                <w:color w:val="auto"/>
                <w:sz w:val="18"/>
                <w:szCs w:val="18"/>
                <w:highlight w:val="none"/>
              </w:rPr>
              <w:t>规格型号</w:t>
            </w:r>
          </w:p>
          <w:p w14:paraId="250822AF">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或具体服务</w:t>
            </w:r>
            <w:bookmarkEnd w:id="48"/>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2AD76622">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数量</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617FF6C3">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★品牌</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33AFC452">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★制造商</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14:paraId="684DD65E">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★产地</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6903CA7">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单价</w:t>
            </w:r>
          </w:p>
          <w:p w14:paraId="7D1E6138">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（元）</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428C46B2">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合计</w:t>
            </w:r>
          </w:p>
          <w:p w14:paraId="37A11066">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（元）</w:t>
            </w:r>
          </w:p>
        </w:tc>
      </w:tr>
      <w:tr w14:paraId="1F6D1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7206AA0D">
            <w:pPr>
              <w:jc w:val="center"/>
              <w:rPr>
                <w:rFonts w:hint="eastAsia" w:ascii="仿宋" w:hAnsi="仿宋" w:eastAsia="仿宋" w:cs="仿宋"/>
                <w:color w:val="auto"/>
                <w:sz w:val="18"/>
                <w:szCs w:val="18"/>
                <w:highlight w:val="none"/>
              </w:rPr>
            </w:pPr>
          </w:p>
        </w:tc>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63C4435C">
            <w:pPr>
              <w:jc w:val="center"/>
              <w:rPr>
                <w:rFonts w:hint="eastAsia" w:ascii="仿宋" w:hAnsi="仿宋" w:eastAsia="仿宋" w:cs="仿宋"/>
                <w:color w:val="auto"/>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57A2A9E7">
            <w:pPr>
              <w:jc w:val="center"/>
              <w:rPr>
                <w:rFonts w:hint="eastAsia" w:ascii="仿宋" w:hAnsi="仿宋" w:eastAsia="仿宋" w:cs="仿宋"/>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7221E3D4">
            <w:pPr>
              <w:jc w:val="center"/>
              <w:rPr>
                <w:rFonts w:hint="eastAsia" w:ascii="仿宋" w:hAnsi="仿宋" w:eastAsia="仿宋" w:cs="仿宋"/>
                <w:color w:val="auto"/>
                <w:sz w:val="18"/>
                <w:szCs w:val="1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14:paraId="64E7DBE2">
            <w:pPr>
              <w:jc w:val="center"/>
              <w:rPr>
                <w:rFonts w:hint="eastAsia" w:ascii="仿宋" w:hAnsi="仿宋" w:eastAsia="仿宋" w:cs="仿宋"/>
                <w:color w:val="auto"/>
                <w:sz w:val="18"/>
                <w:szCs w:val="18"/>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14:paraId="579D8F95">
            <w:pPr>
              <w:jc w:val="center"/>
              <w:rPr>
                <w:rFonts w:hint="eastAsia" w:ascii="仿宋" w:hAnsi="仿宋" w:eastAsia="仿宋" w:cs="仿宋"/>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3685D032">
            <w:pPr>
              <w:jc w:val="center"/>
              <w:rPr>
                <w:rFonts w:hint="eastAsia" w:ascii="仿宋" w:hAnsi="仿宋" w:eastAsia="仿宋" w:cs="仿宋"/>
                <w:color w:val="auto"/>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2BB595B0">
            <w:pPr>
              <w:jc w:val="center"/>
              <w:rPr>
                <w:rFonts w:hint="eastAsia" w:ascii="仿宋" w:hAnsi="仿宋" w:eastAsia="仿宋" w:cs="仿宋"/>
                <w:color w:val="auto"/>
                <w:sz w:val="18"/>
                <w:szCs w:val="18"/>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1AADDFF7">
            <w:pPr>
              <w:jc w:val="center"/>
              <w:rPr>
                <w:rFonts w:hint="eastAsia" w:ascii="仿宋" w:hAnsi="仿宋" w:eastAsia="仿宋" w:cs="仿宋"/>
                <w:color w:val="auto"/>
                <w:sz w:val="18"/>
                <w:szCs w:val="18"/>
                <w:highlight w:val="none"/>
              </w:rPr>
            </w:pPr>
          </w:p>
        </w:tc>
      </w:tr>
      <w:tr w14:paraId="015B3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5965CDBA">
            <w:pPr>
              <w:jc w:val="center"/>
              <w:rPr>
                <w:rFonts w:hint="eastAsia" w:ascii="仿宋" w:hAnsi="仿宋" w:eastAsia="仿宋" w:cs="仿宋"/>
                <w:color w:val="auto"/>
                <w:sz w:val="18"/>
                <w:szCs w:val="18"/>
                <w:highlight w:val="none"/>
              </w:rPr>
            </w:pPr>
          </w:p>
        </w:tc>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7C6BADCB">
            <w:pPr>
              <w:jc w:val="center"/>
              <w:rPr>
                <w:rFonts w:hint="eastAsia" w:ascii="仿宋" w:hAnsi="仿宋" w:eastAsia="仿宋" w:cs="仿宋"/>
                <w:color w:val="auto"/>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44B6F27A">
            <w:pPr>
              <w:jc w:val="center"/>
              <w:rPr>
                <w:rFonts w:hint="eastAsia" w:ascii="仿宋" w:hAnsi="仿宋" w:eastAsia="仿宋" w:cs="仿宋"/>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6A445199">
            <w:pPr>
              <w:jc w:val="center"/>
              <w:rPr>
                <w:rFonts w:hint="eastAsia" w:ascii="仿宋" w:hAnsi="仿宋" w:eastAsia="仿宋" w:cs="仿宋"/>
                <w:color w:val="auto"/>
                <w:sz w:val="18"/>
                <w:szCs w:val="1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14:paraId="63239FE0">
            <w:pPr>
              <w:jc w:val="center"/>
              <w:rPr>
                <w:rFonts w:hint="eastAsia" w:ascii="仿宋" w:hAnsi="仿宋" w:eastAsia="仿宋" w:cs="仿宋"/>
                <w:color w:val="auto"/>
                <w:sz w:val="18"/>
                <w:szCs w:val="18"/>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14:paraId="5546DD56">
            <w:pPr>
              <w:jc w:val="center"/>
              <w:rPr>
                <w:rFonts w:hint="eastAsia" w:ascii="仿宋" w:hAnsi="仿宋" w:eastAsia="仿宋" w:cs="仿宋"/>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4EEC8C2B">
            <w:pPr>
              <w:jc w:val="center"/>
              <w:rPr>
                <w:rFonts w:hint="eastAsia" w:ascii="仿宋" w:hAnsi="仿宋" w:eastAsia="仿宋" w:cs="仿宋"/>
                <w:color w:val="auto"/>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611EB6C1">
            <w:pPr>
              <w:jc w:val="center"/>
              <w:rPr>
                <w:rFonts w:hint="eastAsia" w:ascii="仿宋" w:hAnsi="仿宋" w:eastAsia="仿宋" w:cs="仿宋"/>
                <w:color w:val="auto"/>
                <w:sz w:val="18"/>
                <w:szCs w:val="18"/>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280DA7E9">
            <w:pPr>
              <w:jc w:val="center"/>
              <w:rPr>
                <w:rFonts w:hint="eastAsia" w:ascii="仿宋" w:hAnsi="仿宋" w:eastAsia="仿宋" w:cs="仿宋"/>
                <w:color w:val="auto"/>
                <w:sz w:val="18"/>
                <w:szCs w:val="18"/>
                <w:highlight w:val="none"/>
              </w:rPr>
            </w:pPr>
          </w:p>
        </w:tc>
      </w:tr>
      <w:tr w14:paraId="6FBED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6467876A">
            <w:pPr>
              <w:jc w:val="center"/>
              <w:rPr>
                <w:rFonts w:hint="eastAsia" w:ascii="仿宋" w:hAnsi="仿宋" w:eastAsia="仿宋" w:cs="仿宋"/>
                <w:color w:val="auto"/>
                <w:sz w:val="18"/>
                <w:szCs w:val="18"/>
                <w:highlight w:val="none"/>
              </w:rPr>
            </w:pPr>
          </w:p>
        </w:tc>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3E39F9CF">
            <w:pPr>
              <w:jc w:val="center"/>
              <w:rPr>
                <w:rFonts w:hint="eastAsia" w:ascii="仿宋" w:hAnsi="仿宋" w:eastAsia="仿宋" w:cs="仿宋"/>
                <w:color w:val="auto"/>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371FFA76">
            <w:pPr>
              <w:jc w:val="center"/>
              <w:rPr>
                <w:rFonts w:hint="eastAsia" w:ascii="仿宋" w:hAnsi="仿宋" w:eastAsia="仿宋" w:cs="仿宋"/>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6F574F39">
            <w:pPr>
              <w:jc w:val="center"/>
              <w:rPr>
                <w:rFonts w:hint="eastAsia" w:ascii="仿宋" w:hAnsi="仿宋" w:eastAsia="仿宋" w:cs="仿宋"/>
                <w:color w:val="auto"/>
                <w:sz w:val="18"/>
                <w:szCs w:val="1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14:paraId="31086E5B">
            <w:pPr>
              <w:jc w:val="center"/>
              <w:rPr>
                <w:rFonts w:hint="eastAsia" w:ascii="仿宋" w:hAnsi="仿宋" w:eastAsia="仿宋" w:cs="仿宋"/>
                <w:color w:val="auto"/>
                <w:sz w:val="18"/>
                <w:szCs w:val="18"/>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14:paraId="3BE3C2CC">
            <w:pPr>
              <w:jc w:val="center"/>
              <w:rPr>
                <w:rFonts w:hint="eastAsia" w:ascii="仿宋" w:hAnsi="仿宋" w:eastAsia="仿宋" w:cs="仿宋"/>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25FD9CB4">
            <w:pPr>
              <w:jc w:val="center"/>
              <w:rPr>
                <w:rFonts w:hint="eastAsia" w:ascii="仿宋" w:hAnsi="仿宋" w:eastAsia="仿宋" w:cs="仿宋"/>
                <w:color w:val="auto"/>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29A938DA">
            <w:pPr>
              <w:jc w:val="center"/>
              <w:rPr>
                <w:rFonts w:hint="eastAsia" w:ascii="仿宋" w:hAnsi="仿宋" w:eastAsia="仿宋" w:cs="仿宋"/>
                <w:color w:val="auto"/>
                <w:sz w:val="18"/>
                <w:szCs w:val="18"/>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425C3532">
            <w:pPr>
              <w:jc w:val="center"/>
              <w:rPr>
                <w:rFonts w:hint="eastAsia" w:ascii="仿宋" w:hAnsi="仿宋" w:eastAsia="仿宋" w:cs="仿宋"/>
                <w:color w:val="auto"/>
                <w:sz w:val="18"/>
                <w:szCs w:val="18"/>
                <w:highlight w:val="none"/>
              </w:rPr>
            </w:pPr>
          </w:p>
        </w:tc>
      </w:tr>
      <w:tr w14:paraId="49B55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3135D162">
            <w:pPr>
              <w:jc w:val="center"/>
              <w:rPr>
                <w:rFonts w:hint="eastAsia" w:ascii="仿宋" w:hAnsi="仿宋" w:eastAsia="仿宋" w:cs="仿宋"/>
                <w:color w:val="auto"/>
                <w:sz w:val="18"/>
                <w:szCs w:val="18"/>
                <w:highlight w:val="none"/>
              </w:rPr>
            </w:pPr>
          </w:p>
        </w:tc>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58BA2FC4">
            <w:pPr>
              <w:jc w:val="center"/>
              <w:rPr>
                <w:rFonts w:hint="eastAsia" w:ascii="仿宋" w:hAnsi="仿宋" w:eastAsia="仿宋" w:cs="仿宋"/>
                <w:color w:val="auto"/>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3BEBE26F">
            <w:pPr>
              <w:jc w:val="center"/>
              <w:rPr>
                <w:rFonts w:hint="eastAsia" w:ascii="仿宋" w:hAnsi="仿宋" w:eastAsia="仿宋" w:cs="仿宋"/>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5C9D05CE">
            <w:pPr>
              <w:jc w:val="center"/>
              <w:rPr>
                <w:rFonts w:hint="eastAsia" w:ascii="仿宋" w:hAnsi="仿宋" w:eastAsia="仿宋" w:cs="仿宋"/>
                <w:color w:val="auto"/>
                <w:sz w:val="18"/>
                <w:szCs w:val="1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14:paraId="772D6C0F">
            <w:pPr>
              <w:jc w:val="center"/>
              <w:rPr>
                <w:rFonts w:hint="eastAsia" w:ascii="仿宋" w:hAnsi="仿宋" w:eastAsia="仿宋" w:cs="仿宋"/>
                <w:color w:val="auto"/>
                <w:sz w:val="18"/>
                <w:szCs w:val="18"/>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14:paraId="46450A8A">
            <w:pPr>
              <w:jc w:val="center"/>
              <w:rPr>
                <w:rFonts w:hint="eastAsia" w:ascii="仿宋" w:hAnsi="仿宋" w:eastAsia="仿宋" w:cs="仿宋"/>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4ED23ECF">
            <w:pPr>
              <w:jc w:val="center"/>
              <w:rPr>
                <w:rFonts w:hint="eastAsia" w:ascii="仿宋" w:hAnsi="仿宋" w:eastAsia="仿宋" w:cs="仿宋"/>
                <w:color w:val="auto"/>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5D609D73">
            <w:pPr>
              <w:jc w:val="center"/>
              <w:rPr>
                <w:rFonts w:hint="eastAsia" w:ascii="仿宋" w:hAnsi="仿宋" w:eastAsia="仿宋" w:cs="仿宋"/>
                <w:color w:val="auto"/>
                <w:sz w:val="18"/>
                <w:szCs w:val="18"/>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5A349206">
            <w:pPr>
              <w:jc w:val="center"/>
              <w:rPr>
                <w:rFonts w:hint="eastAsia" w:ascii="仿宋" w:hAnsi="仿宋" w:eastAsia="仿宋" w:cs="仿宋"/>
                <w:color w:val="auto"/>
                <w:sz w:val="18"/>
                <w:szCs w:val="18"/>
                <w:highlight w:val="none"/>
              </w:rPr>
            </w:pPr>
          </w:p>
        </w:tc>
      </w:tr>
      <w:tr w14:paraId="674E4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26C1DCEA">
            <w:pPr>
              <w:jc w:val="center"/>
              <w:rPr>
                <w:rFonts w:hint="eastAsia" w:ascii="仿宋" w:hAnsi="仿宋" w:eastAsia="仿宋" w:cs="仿宋"/>
                <w:color w:val="auto"/>
                <w:sz w:val="18"/>
                <w:szCs w:val="18"/>
                <w:highlight w:val="none"/>
              </w:rPr>
            </w:pPr>
          </w:p>
        </w:tc>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704DB16D">
            <w:pPr>
              <w:jc w:val="center"/>
              <w:rPr>
                <w:rFonts w:hint="eastAsia" w:ascii="仿宋" w:hAnsi="仿宋" w:eastAsia="仿宋" w:cs="仿宋"/>
                <w:color w:val="auto"/>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0148110E">
            <w:pPr>
              <w:jc w:val="center"/>
              <w:rPr>
                <w:rFonts w:hint="eastAsia" w:ascii="仿宋" w:hAnsi="仿宋" w:eastAsia="仿宋" w:cs="仿宋"/>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063B330D">
            <w:pPr>
              <w:jc w:val="center"/>
              <w:rPr>
                <w:rFonts w:hint="eastAsia" w:ascii="仿宋" w:hAnsi="仿宋" w:eastAsia="仿宋" w:cs="仿宋"/>
                <w:color w:val="auto"/>
                <w:sz w:val="18"/>
                <w:szCs w:val="1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14:paraId="2AF2C362">
            <w:pPr>
              <w:jc w:val="center"/>
              <w:rPr>
                <w:rFonts w:hint="eastAsia" w:ascii="仿宋" w:hAnsi="仿宋" w:eastAsia="仿宋" w:cs="仿宋"/>
                <w:color w:val="auto"/>
                <w:sz w:val="18"/>
                <w:szCs w:val="18"/>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14:paraId="662757EA">
            <w:pPr>
              <w:jc w:val="center"/>
              <w:rPr>
                <w:rFonts w:hint="eastAsia" w:ascii="仿宋" w:hAnsi="仿宋" w:eastAsia="仿宋" w:cs="仿宋"/>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0F6C3ACD">
            <w:pPr>
              <w:jc w:val="center"/>
              <w:rPr>
                <w:rFonts w:hint="eastAsia" w:ascii="仿宋" w:hAnsi="仿宋" w:eastAsia="仿宋" w:cs="仿宋"/>
                <w:color w:val="auto"/>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4942B02C">
            <w:pPr>
              <w:jc w:val="center"/>
              <w:rPr>
                <w:rFonts w:hint="eastAsia" w:ascii="仿宋" w:hAnsi="仿宋" w:eastAsia="仿宋" w:cs="仿宋"/>
                <w:color w:val="auto"/>
                <w:sz w:val="18"/>
                <w:szCs w:val="18"/>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56C53209">
            <w:pPr>
              <w:jc w:val="center"/>
              <w:rPr>
                <w:rFonts w:hint="eastAsia" w:ascii="仿宋" w:hAnsi="仿宋" w:eastAsia="仿宋" w:cs="仿宋"/>
                <w:color w:val="auto"/>
                <w:sz w:val="18"/>
                <w:szCs w:val="18"/>
                <w:highlight w:val="none"/>
              </w:rPr>
            </w:pPr>
          </w:p>
        </w:tc>
      </w:tr>
      <w:tr w14:paraId="2511B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31646051">
            <w:pPr>
              <w:jc w:val="center"/>
              <w:rPr>
                <w:rFonts w:hint="eastAsia" w:ascii="仿宋" w:hAnsi="仿宋" w:eastAsia="仿宋" w:cs="仿宋"/>
                <w:color w:val="auto"/>
                <w:sz w:val="18"/>
                <w:szCs w:val="18"/>
                <w:highlight w:val="none"/>
              </w:rPr>
            </w:pPr>
          </w:p>
        </w:tc>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2CE3FD33">
            <w:pPr>
              <w:jc w:val="center"/>
              <w:rPr>
                <w:rFonts w:hint="eastAsia" w:ascii="仿宋" w:hAnsi="仿宋" w:eastAsia="仿宋" w:cs="仿宋"/>
                <w:color w:val="auto"/>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4EB7FAA6">
            <w:pPr>
              <w:jc w:val="center"/>
              <w:rPr>
                <w:rFonts w:hint="eastAsia" w:ascii="仿宋" w:hAnsi="仿宋" w:eastAsia="仿宋" w:cs="仿宋"/>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75AB68D0">
            <w:pPr>
              <w:jc w:val="center"/>
              <w:rPr>
                <w:rFonts w:hint="eastAsia" w:ascii="仿宋" w:hAnsi="仿宋" w:eastAsia="仿宋" w:cs="仿宋"/>
                <w:color w:val="auto"/>
                <w:sz w:val="18"/>
                <w:szCs w:val="1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14:paraId="0D89835B">
            <w:pPr>
              <w:jc w:val="center"/>
              <w:rPr>
                <w:rFonts w:hint="eastAsia" w:ascii="仿宋" w:hAnsi="仿宋" w:eastAsia="仿宋" w:cs="仿宋"/>
                <w:color w:val="auto"/>
                <w:sz w:val="18"/>
                <w:szCs w:val="18"/>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14:paraId="232E9B46">
            <w:pPr>
              <w:jc w:val="center"/>
              <w:rPr>
                <w:rFonts w:hint="eastAsia" w:ascii="仿宋" w:hAnsi="仿宋" w:eastAsia="仿宋" w:cs="仿宋"/>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1985769F">
            <w:pPr>
              <w:jc w:val="center"/>
              <w:rPr>
                <w:rFonts w:hint="eastAsia" w:ascii="仿宋" w:hAnsi="仿宋" w:eastAsia="仿宋" w:cs="仿宋"/>
                <w:color w:val="auto"/>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7D9C2A12">
            <w:pPr>
              <w:jc w:val="center"/>
              <w:rPr>
                <w:rFonts w:hint="eastAsia" w:ascii="仿宋" w:hAnsi="仿宋" w:eastAsia="仿宋" w:cs="仿宋"/>
                <w:color w:val="auto"/>
                <w:sz w:val="18"/>
                <w:szCs w:val="18"/>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78935841">
            <w:pPr>
              <w:jc w:val="center"/>
              <w:rPr>
                <w:rFonts w:hint="eastAsia" w:ascii="仿宋" w:hAnsi="仿宋" w:eastAsia="仿宋" w:cs="仿宋"/>
                <w:color w:val="auto"/>
                <w:sz w:val="18"/>
                <w:szCs w:val="18"/>
                <w:highlight w:val="none"/>
              </w:rPr>
            </w:pPr>
          </w:p>
        </w:tc>
      </w:tr>
      <w:tr w14:paraId="13BFB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025C5459">
            <w:pPr>
              <w:jc w:val="center"/>
              <w:rPr>
                <w:rFonts w:hint="eastAsia" w:ascii="仿宋" w:hAnsi="仿宋" w:eastAsia="仿宋" w:cs="仿宋"/>
                <w:color w:val="auto"/>
                <w:sz w:val="18"/>
                <w:szCs w:val="18"/>
                <w:highlight w:val="none"/>
              </w:rPr>
            </w:pPr>
          </w:p>
        </w:tc>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48109138">
            <w:pPr>
              <w:jc w:val="center"/>
              <w:rPr>
                <w:rFonts w:hint="eastAsia" w:ascii="仿宋" w:hAnsi="仿宋" w:eastAsia="仿宋" w:cs="仿宋"/>
                <w:color w:val="auto"/>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5FCEB33F">
            <w:pPr>
              <w:jc w:val="center"/>
              <w:rPr>
                <w:rFonts w:hint="eastAsia" w:ascii="仿宋" w:hAnsi="仿宋" w:eastAsia="仿宋" w:cs="仿宋"/>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7A9ED5BB">
            <w:pPr>
              <w:jc w:val="center"/>
              <w:rPr>
                <w:rFonts w:hint="eastAsia" w:ascii="仿宋" w:hAnsi="仿宋" w:eastAsia="仿宋" w:cs="仿宋"/>
                <w:color w:val="auto"/>
                <w:sz w:val="18"/>
                <w:szCs w:val="1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14:paraId="5BF776A1">
            <w:pPr>
              <w:jc w:val="center"/>
              <w:rPr>
                <w:rFonts w:hint="eastAsia" w:ascii="仿宋" w:hAnsi="仿宋" w:eastAsia="仿宋" w:cs="仿宋"/>
                <w:color w:val="auto"/>
                <w:sz w:val="18"/>
                <w:szCs w:val="18"/>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14:paraId="17B8AA51">
            <w:pPr>
              <w:jc w:val="center"/>
              <w:rPr>
                <w:rFonts w:hint="eastAsia" w:ascii="仿宋" w:hAnsi="仿宋" w:eastAsia="仿宋" w:cs="仿宋"/>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50911EEC">
            <w:pPr>
              <w:jc w:val="center"/>
              <w:rPr>
                <w:rFonts w:hint="eastAsia" w:ascii="仿宋" w:hAnsi="仿宋" w:eastAsia="仿宋" w:cs="仿宋"/>
                <w:color w:val="auto"/>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20C16290">
            <w:pPr>
              <w:jc w:val="center"/>
              <w:rPr>
                <w:rFonts w:hint="eastAsia" w:ascii="仿宋" w:hAnsi="仿宋" w:eastAsia="仿宋" w:cs="仿宋"/>
                <w:color w:val="auto"/>
                <w:sz w:val="18"/>
                <w:szCs w:val="18"/>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21E5A8DC">
            <w:pPr>
              <w:jc w:val="center"/>
              <w:rPr>
                <w:rFonts w:hint="eastAsia" w:ascii="仿宋" w:hAnsi="仿宋" w:eastAsia="仿宋" w:cs="仿宋"/>
                <w:color w:val="auto"/>
                <w:sz w:val="18"/>
                <w:szCs w:val="18"/>
                <w:highlight w:val="none"/>
              </w:rPr>
            </w:pPr>
          </w:p>
        </w:tc>
      </w:tr>
      <w:tr w14:paraId="64CC6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0B924B00">
            <w:pPr>
              <w:jc w:val="center"/>
              <w:rPr>
                <w:rFonts w:hint="eastAsia" w:ascii="仿宋" w:hAnsi="仿宋" w:eastAsia="仿宋" w:cs="仿宋"/>
                <w:color w:val="auto"/>
                <w:sz w:val="18"/>
                <w:szCs w:val="18"/>
                <w:highlight w:val="none"/>
              </w:rPr>
            </w:pPr>
          </w:p>
        </w:tc>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58D5271F">
            <w:pPr>
              <w:jc w:val="center"/>
              <w:rPr>
                <w:rFonts w:hint="eastAsia" w:ascii="仿宋" w:hAnsi="仿宋" w:eastAsia="仿宋" w:cs="仿宋"/>
                <w:color w:val="auto"/>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6FE6ECAB">
            <w:pPr>
              <w:jc w:val="center"/>
              <w:rPr>
                <w:rFonts w:hint="eastAsia" w:ascii="仿宋" w:hAnsi="仿宋" w:eastAsia="仿宋" w:cs="仿宋"/>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45F210AC">
            <w:pPr>
              <w:jc w:val="center"/>
              <w:rPr>
                <w:rFonts w:hint="eastAsia" w:ascii="仿宋" w:hAnsi="仿宋" w:eastAsia="仿宋" w:cs="仿宋"/>
                <w:color w:val="auto"/>
                <w:sz w:val="18"/>
                <w:szCs w:val="1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14:paraId="1A20E6E3">
            <w:pPr>
              <w:jc w:val="center"/>
              <w:rPr>
                <w:rFonts w:hint="eastAsia" w:ascii="仿宋" w:hAnsi="仿宋" w:eastAsia="仿宋" w:cs="仿宋"/>
                <w:color w:val="auto"/>
                <w:sz w:val="18"/>
                <w:szCs w:val="18"/>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14:paraId="367A8501">
            <w:pPr>
              <w:jc w:val="center"/>
              <w:rPr>
                <w:rFonts w:hint="eastAsia" w:ascii="仿宋" w:hAnsi="仿宋" w:eastAsia="仿宋" w:cs="仿宋"/>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67EAD1F5">
            <w:pPr>
              <w:jc w:val="center"/>
              <w:rPr>
                <w:rFonts w:hint="eastAsia" w:ascii="仿宋" w:hAnsi="仿宋" w:eastAsia="仿宋" w:cs="仿宋"/>
                <w:color w:val="auto"/>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2F6E2834">
            <w:pPr>
              <w:jc w:val="center"/>
              <w:rPr>
                <w:rFonts w:hint="eastAsia" w:ascii="仿宋" w:hAnsi="仿宋" w:eastAsia="仿宋" w:cs="仿宋"/>
                <w:color w:val="auto"/>
                <w:sz w:val="18"/>
                <w:szCs w:val="18"/>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2029AE51">
            <w:pPr>
              <w:jc w:val="center"/>
              <w:rPr>
                <w:rFonts w:hint="eastAsia" w:ascii="仿宋" w:hAnsi="仿宋" w:eastAsia="仿宋" w:cs="仿宋"/>
                <w:color w:val="auto"/>
                <w:sz w:val="18"/>
                <w:szCs w:val="18"/>
                <w:highlight w:val="none"/>
              </w:rPr>
            </w:pPr>
          </w:p>
        </w:tc>
      </w:tr>
      <w:tr w14:paraId="1E13B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1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60CF66B">
            <w:pPr>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★以下（联合体其他成员）承担的部分（如无则可不填写</w:t>
            </w:r>
            <w:r>
              <w:rPr>
                <w:rFonts w:hint="eastAsia" w:ascii="仿宋" w:hAnsi="仿宋" w:eastAsia="仿宋" w:cs="仿宋"/>
                <w:color w:val="auto"/>
                <w:sz w:val="18"/>
                <w:szCs w:val="18"/>
                <w:highlight w:val="none"/>
              </w:rPr>
              <w:t>）</w:t>
            </w:r>
          </w:p>
        </w:tc>
      </w:tr>
      <w:tr w14:paraId="5EB99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3EFE8AB5">
            <w:pPr>
              <w:jc w:val="center"/>
              <w:rPr>
                <w:rFonts w:hint="eastAsia" w:ascii="仿宋" w:hAnsi="仿宋" w:eastAsia="仿宋" w:cs="仿宋"/>
                <w:color w:val="auto"/>
                <w:sz w:val="18"/>
                <w:szCs w:val="18"/>
                <w:highlight w:val="none"/>
              </w:rPr>
            </w:pPr>
          </w:p>
        </w:tc>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02D7492A">
            <w:pPr>
              <w:jc w:val="center"/>
              <w:rPr>
                <w:rFonts w:hint="eastAsia" w:ascii="仿宋" w:hAnsi="仿宋" w:eastAsia="仿宋" w:cs="仿宋"/>
                <w:color w:val="auto"/>
                <w:sz w:val="18"/>
                <w:szCs w:val="18"/>
                <w:highlight w:val="none"/>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370B3780">
            <w:pPr>
              <w:jc w:val="center"/>
              <w:rPr>
                <w:rFonts w:hint="eastAsia" w:ascii="仿宋" w:hAnsi="仿宋" w:eastAsia="仿宋" w:cs="仿宋"/>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634FF174">
            <w:pPr>
              <w:jc w:val="center"/>
              <w:rPr>
                <w:rFonts w:hint="eastAsia" w:ascii="仿宋" w:hAnsi="仿宋" w:eastAsia="仿宋" w:cs="仿宋"/>
                <w:color w:val="auto"/>
                <w:sz w:val="18"/>
                <w:szCs w:val="18"/>
                <w:highlight w:val="none"/>
              </w:rPr>
            </w:pPr>
          </w:p>
        </w:tc>
        <w:tc>
          <w:tcPr>
            <w:tcW w:w="806" w:type="dxa"/>
            <w:tcBorders>
              <w:top w:val="single" w:color="auto" w:sz="4" w:space="0"/>
              <w:left w:val="single" w:color="auto" w:sz="4" w:space="0"/>
              <w:bottom w:val="single" w:color="auto" w:sz="4" w:space="0"/>
              <w:right w:val="single" w:color="auto" w:sz="4" w:space="0"/>
            </w:tcBorders>
            <w:shd w:val="clear" w:color="auto" w:fill="FFFFFF"/>
            <w:vAlign w:val="center"/>
          </w:tcPr>
          <w:p w14:paraId="3A064D8C">
            <w:pPr>
              <w:jc w:val="center"/>
              <w:rPr>
                <w:rFonts w:hint="eastAsia" w:ascii="仿宋" w:hAnsi="仿宋" w:eastAsia="仿宋" w:cs="仿宋"/>
                <w:color w:val="auto"/>
                <w:sz w:val="18"/>
                <w:szCs w:val="18"/>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14:paraId="3A452258">
            <w:pPr>
              <w:jc w:val="center"/>
              <w:rPr>
                <w:rFonts w:hint="eastAsia" w:ascii="仿宋" w:hAnsi="仿宋" w:eastAsia="仿宋" w:cs="仿宋"/>
                <w:color w:val="auto"/>
                <w:sz w:val="18"/>
                <w:szCs w:val="18"/>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5193BBEA">
            <w:pPr>
              <w:jc w:val="center"/>
              <w:rPr>
                <w:rFonts w:hint="eastAsia" w:ascii="仿宋" w:hAnsi="仿宋" w:eastAsia="仿宋" w:cs="仿宋"/>
                <w:color w:val="auto"/>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442703ED">
            <w:pPr>
              <w:jc w:val="center"/>
              <w:rPr>
                <w:rFonts w:hint="eastAsia" w:ascii="仿宋" w:hAnsi="仿宋" w:eastAsia="仿宋" w:cs="仿宋"/>
                <w:color w:val="auto"/>
                <w:sz w:val="18"/>
                <w:szCs w:val="18"/>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0302A430">
            <w:pPr>
              <w:jc w:val="center"/>
              <w:rPr>
                <w:rFonts w:hint="eastAsia" w:ascii="仿宋" w:hAnsi="仿宋" w:eastAsia="仿宋" w:cs="仿宋"/>
                <w:color w:val="auto"/>
                <w:sz w:val="18"/>
                <w:szCs w:val="18"/>
                <w:highlight w:val="none"/>
              </w:rPr>
            </w:pPr>
          </w:p>
        </w:tc>
      </w:tr>
      <w:tr w14:paraId="15682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9615" w:type="dxa"/>
            <w:gridSpan w:val="9"/>
            <w:tcBorders>
              <w:top w:val="single" w:color="auto" w:sz="4" w:space="0"/>
              <w:left w:val="single" w:color="auto" w:sz="4" w:space="0"/>
              <w:bottom w:val="single" w:color="auto" w:sz="4" w:space="0"/>
              <w:right w:val="single" w:color="auto" w:sz="4" w:space="0"/>
            </w:tcBorders>
            <w:vAlign w:val="center"/>
          </w:tcPr>
          <w:p w14:paraId="0BE5B04C">
            <w:pPr>
              <w:rPr>
                <w:rFonts w:hint="eastAsia" w:ascii="仿宋" w:hAnsi="仿宋" w:eastAsia="仿宋" w:cs="仿宋"/>
                <w:color w:val="auto"/>
                <w:sz w:val="18"/>
                <w:szCs w:val="18"/>
                <w:highlight w:val="none"/>
              </w:rPr>
            </w:pPr>
          </w:p>
          <w:p w14:paraId="367BFC17">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响应报价（人民币元）</w:t>
            </w:r>
          </w:p>
          <w:p w14:paraId="08B79865">
            <w:pPr>
              <w:rPr>
                <w:rFonts w:hint="eastAsia" w:ascii="仿宋" w:hAnsi="仿宋" w:eastAsia="仿宋" w:cs="仿宋"/>
                <w:color w:val="auto"/>
                <w:sz w:val="18"/>
                <w:szCs w:val="18"/>
                <w:highlight w:val="none"/>
              </w:rPr>
            </w:pPr>
          </w:p>
          <w:p w14:paraId="00460C6A">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小写：_________________________</w:t>
            </w:r>
          </w:p>
          <w:p w14:paraId="6B2834A0">
            <w:pPr>
              <w:rPr>
                <w:rFonts w:hint="eastAsia" w:ascii="仿宋" w:hAnsi="仿宋" w:eastAsia="仿宋" w:cs="仿宋"/>
                <w:b/>
                <w:bCs/>
                <w:color w:val="auto"/>
                <w:sz w:val="18"/>
                <w:szCs w:val="18"/>
                <w:highlight w:val="none"/>
              </w:rPr>
            </w:pPr>
          </w:p>
          <w:p w14:paraId="0E1D92EC">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大写：_________________________</w:t>
            </w:r>
          </w:p>
          <w:p w14:paraId="20C3E8E7">
            <w:pPr>
              <w:rPr>
                <w:rFonts w:hint="eastAsia" w:ascii="仿宋" w:hAnsi="仿宋" w:eastAsia="仿宋" w:cs="仿宋"/>
                <w:color w:val="auto"/>
                <w:sz w:val="18"/>
                <w:szCs w:val="18"/>
                <w:highlight w:val="none"/>
              </w:rPr>
            </w:pPr>
          </w:p>
        </w:tc>
      </w:tr>
    </w:tbl>
    <w:p w14:paraId="7D9FA6EC">
      <w:pPr>
        <w:adjustRightInd w:val="0"/>
        <w:snapToGrid w:val="0"/>
        <w:spacing w:line="360" w:lineRule="auto"/>
        <w:rPr>
          <w:rFonts w:hint="eastAsia" w:ascii="仿宋" w:hAnsi="仿宋" w:eastAsia="仿宋" w:cs="仿宋"/>
          <w:color w:val="auto"/>
          <w:spacing w:val="-6"/>
          <w:szCs w:val="21"/>
          <w:highlight w:val="none"/>
        </w:rPr>
      </w:pPr>
    </w:p>
    <w:p w14:paraId="1E3F5D00">
      <w:pPr>
        <w:adjustRightInd w:val="0"/>
        <w:snapToGrid w:val="0"/>
        <w:spacing w:line="360" w:lineRule="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2D321217">
      <w:pPr>
        <w:adjustRightInd w:val="0"/>
        <w:snapToGrid w:val="0"/>
        <w:spacing w:line="360" w:lineRule="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1.有关项目实施所涉及的一切费用均计入报价。</w:t>
      </w:r>
    </w:p>
    <w:p w14:paraId="2548BDC9">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4D394540">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14:paraId="1B041D52">
      <w:pPr>
        <w:adjustRightInd w:val="0"/>
        <w:snapToGrid w:val="0"/>
        <w:spacing w:line="360" w:lineRule="auto"/>
        <w:rPr>
          <w:rFonts w:hint="eastAsia" w:ascii="仿宋" w:hAnsi="仿宋" w:eastAsia="仿宋" w:cs="仿宋"/>
          <w:color w:val="auto"/>
          <w:szCs w:val="21"/>
          <w:highlight w:val="none"/>
        </w:rPr>
      </w:pPr>
    </w:p>
    <w:p w14:paraId="4A40FD9F">
      <w:pPr>
        <w:adjustRightInd w:val="0"/>
        <w:snapToGrid w:val="0"/>
        <w:spacing w:line="360" w:lineRule="auto"/>
        <w:rPr>
          <w:rFonts w:hint="eastAsia" w:ascii="仿宋" w:hAnsi="仿宋" w:eastAsia="仿宋" w:cs="仿宋"/>
          <w:color w:val="auto"/>
          <w:szCs w:val="21"/>
          <w:highlight w:val="none"/>
        </w:rPr>
      </w:pPr>
    </w:p>
    <w:p w14:paraId="202F109E">
      <w:pPr>
        <w:adjustRightInd w:val="0"/>
        <w:snapToGrid w:val="0"/>
        <w:spacing w:line="360" w:lineRule="auto"/>
        <w:rPr>
          <w:rFonts w:hint="eastAsia" w:ascii="仿宋" w:hAnsi="仿宋" w:eastAsia="仿宋" w:cs="仿宋"/>
          <w:b/>
          <w:bCs/>
          <w:color w:val="auto"/>
          <w:spacing w:val="-6"/>
          <w:szCs w:val="21"/>
          <w:highlight w:val="none"/>
        </w:rPr>
      </w:pPr>
    </w:p>
    <w:p w14:paraId="7FF5F952">
      <w:pPr>
        <w:adjustRightInd w:val="0"/>
        <w:snapToGrid w:val="0"/>
        <w:spacing w:line="360" w:lineRule="auto"/>
        <w:rPr>
          <w:rFonts w:hint="eastAsia" w:ascii="仿宋" w:hAnsi="仿宋" w:eastAsia="仿宋" w:cs="仿宋"/>
          <w:b/>
          <w:bCs/>
          <w:color w:val="auto"/>
          <w:spacing w:val="-6"/>
          <w:szCs w:val="21"/>
          <w:highlight w:val="none"/>
        </w:rPr>
      </w:pPr>
    </w:p>
    <w:p w14:paraId="736B7A12">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23783C8D">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8EC01D8">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7D883ED">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423E84F9">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（若属于中小企业）</w:t>
      </w:r>
    </w:p>
    <w:p w14:paraId="263C1F8E">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本公司（联合体）郑重声明，根据《政府采购促进中小企业发展管理办法》（财库[2020]46号）的规定，本公司（联合体）参加</w:t>
      </w:r>
      <w:r>
        <w:rPr>
          <w:rFonts w:hint="eastAsia" w:ascii="仿宋" w:hAnsi="仿宋" w:eastAsia="仿宋" w:cs="仿宋"/>
          <w:bCs/>
          <w:color w:val="auto"/>
          <w:spacing w:val="-6"/>
          <w:szCs w:val="21"/>
          <w:highlight w:val="none"/>
        </w:rPr>
        <w:t>浙江省市场监督管理局</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全省计量比对辅助工作</w:t>
      </w:r>
      <w:r>
        <w:rPr>
          <w:rFonts w:hint="eastAsia" w:ascii="仿宋" w:hAnsi="仿宋" w:eastAsia="仿宋" w:cs="仿宋"/>
          <w:bCs/>
          <w:color w:val="auto"/>
          <w:spacing w:val="-6"/>
          <w:szCs w:val="21"/>
          <w:highlight w:val="none"/>
        </w:rPr>
        <w:t>采购</w:t>
      </w:r>
      <w:r>
        <w:rPr>
          <w:rFonts w:hint="eastAsia" w:ascii="仿宋" w:hAnsi="仿宋" w:eastAsia="仿宋" w:cs="仿宋"/>
          <w:color w:val="auto"/>
          <w:szCs w:val="21"/>
          <w:highlight w:val="none"/>
        </w:rPr>
        <w:t>活动，服务全部由符合政策要求的中小企业承接。相关企业（含联合体中的中小企业）的具体情况如下：</w:t>
      </w:r>
    </w:p>
    <w:p w14:paraId="6D9D034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全省计量比对辅助工作</w:t>
      </w:r>
      <w:r>
        <w:rPr>
          <w:rFonts w:hint="eastAsia" w:ascii="仿宋" w:hAnsi="仿宋" w:eastAsia="仿宋" w:cs="仿宋"/>
          <w:color w:val="auto"/>
          <w:szCs w:val="21"/>
          <w:highlight w:val="none"/>
        </w:rPr>
        <w:t>，属于其他未列明行业；承接企业为</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p>
    <w:p w14:paraId="4D5D523C">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p>
    <w:p w14:paraId="41A3ECC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1359BCDD">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2D0EF38E">
      <w:pPr>
        <w:adjustRightInd w:val="0"/>
        <w:snapToGrid w:val="0"/>
        <w:spacing w:line="360" w:lineRule="auto"/>
        <w:ind w:firstLine="420" w:firstLineChars="200"/>
        <w:rPr>
          <w:rFonts w:hint="eastAsia" w:ascii="仿宋" w:hAnsi="仿宋" w:eastAsia="仿宋" w:cs="仿宋"/>
          <w:color w:val="auto"/>
          <w:szCs w:val="21"/>
          <w:highlight w:val="none"/>
        </w:rPr>
      </w:pPr>
    </w:p>
    <w:p w14:paraId="6708D148">
      <w:pPr>
        <w:adjustRightInd w:val="0"/>
        <w:snapToGrid w:val="0"/>
        <w:spacing w:line="360" w:lineRule="auto"/>
        <w:ind w:firstLine="420" w:firstLineChars="200"/>
        <w:rPr>
          <w:rFonts w:hint="eastAsia" w:ascii="仿宋" w:hAnsi="仿宋" w:eastAsia="仿宋" w:cs="仿宋"/>
          <w:color w:val="auto"/>
          <w:szCs w:val="21"/>
          <w:highlight w:val="none"/>
        </w:rPr>
      </w:pPr>
    </w:p>
    <w:p w14:paraId="40256B7D">
      <w:pPr>
        <w:adjustRightInd w:val="0"/>
        <w:snapToGrid w:val="0"/>
        <w:spacing w:line="360" w:lineRule="auto"/>
        <w:ind w:firstLine="420" w:firstLineChars="200"/>
        <w:rPr>
          <w:rFonts w:hint="eastAsia" w:ascii="仿宋" w:hAnsi="仿宋" w:eastAsia="仿宋" w:cs="仿宋"/>
          <w:color w:val="auto"/>
          <w:szCs w:val="21"/>
          <w:highlight w:val="none"/>
        </w:rPr>
      </w:pPr>
    </w:p>
    <w:p w14:paraId="1D6A884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23017CFB">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14:paraId="20AE3866">
      <w:pPr>
        <w:adjustRightInd w:val="0"/>
        <w:snapToGrid w:val="0"/>
        <w:spacing w:line="360" w:lineRule="auto"/>
        <w:ind w:firstLine="420" w:firstLineChars="200"/>
        <w:rPr>
          <w:rFonts w:hint="eastAsia" w:ascii="仿宋" w:hAnsi="仿宋" w:eastAsia="仿宋" w:cs="仿宋"/>
          <w:color w:val="auto"/>
          <w:szCs w:val="21"/>
          <w:highlight w:val="none"/>
        </w:rPr>
      </w:pPr>
    </w:p>
    <w:p w14:paraId="6E3FA0A9">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7827BEB2">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2883D6A7">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4A44C585">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3.承接企业，服务由中小企业承接，即提供服务的人员为中小企业依照《中华人民共和国劳动合同法》订立劳动合同的从业人员；</w:t>
      </w:r>
    </w:p>
    <w:p w14:paraId="5D36E430">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p>
    <w:p w14:paraId="6E698FB5">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5.企业类型（包括新成立企业），按照《中小企业划型标准规定》（工信部联企业〔2011〕300号）规定和招标文件中明确的标的“所属行业”，选择“中型企业、小型企业、微型企业”其中之一。</w:t>
      </w:r>
    </w:p>
    <w:p w14:paraId="1C58AB9E">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2DD9612F">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27108F9E">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72F72F6C">
      <w:pPr>
        <w:adjustRightInd w:val="0"/>
        <w:snapToGrid w:val="0"/>
        <w:spacing w:line="360" w:lineRule="auto"/>
        <w:rPr>
          <w:rFonts w:hint="eastAsia" w:ascii="仿宋" w:hAnsi="仿宋" w:eastAsia="仿宋" w:cs="仿宋"/>
          <w:color w:val="auto"/>
          <w:szCs w:val="21"/>
          <w:highlight w:val="none"/>
        </w:rPr>
      </w:pPr>
    </w:p>
    <w:p w14:paraId="17A17554">
      <w:pPr>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1F5806D6">
      <w:pPr>
        <w:widowControl/>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100B150">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2AF4E3E4">
      <w:pPr>
        <w:adjustRightInd w:val="0"/>
        <w:snapToGrid w:val="0"/>
        <w:spacing w:line="360"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03644A6C">
      <w:pPr>
        <w:adjustRightInd w:val="0"/>
        <w:snapToGrid w:val="0"/>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rPr>
        <w:t>浙江省市场监督管理局</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全省计量比对辅助工作</w:t>
      </w:r>
      <w:r>
        <w:rPr>
          <w:rFonts w:hint="eastAsia" w:ascii="仿宋" w:hAnsi="仿宋" w:eastAsia="仿宋" w:cs="仿宋"/>
          <w:color w:val="auto"/>
          <w:spacing w:val="6"/>
          <w:szCs w:val="21"/>
          <w:highlight w:val="none"/>
        </w:rPr>
        <w:t>项目采购活动由本单位提供服务。</w:t>
      </w:r>
    </w:p>
    <w:p w14:paraId="635A6FEE">
      <w:pPr>
        <w:adjustRightInd w:val="0"/>
        <w:snapToGrid w:val="0"/>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44CA6239">
      <w:pPr>
        <w:tabs>
          <w:tab w:val="left" w:pos="4860"/>
        </w:tabs>
        <w:adjustRightInd w:val="0"/>
        <w:snapToGrid w:val="0"/>
        <w:spacing w:line="360" w:lineRule="auto"/>
        <w:ind w:firstLine="444" w:firstLineChars="200"/>
        <w:rPr>
          <w:rFonts w:hint="eastAsia" w:ascii="仿宋" w:hAnsi="仿宋" w:eastAsia="仿宋" w:cs="仿宋"/>
          <w:color w:val="auto"/>
          <w:spacing w:val="6"/>
          <w:szCs w:val="21"/>
          <w:highlight w:val="none"/>
        </w:rPr>
      </w:pPr>
    </w:p>
    <w:p w14:paraId="0A5F20FD">
      <w:pPr>
        <w:tabs>
          <w:tab w:val="left" w:pos="4860"/>
        </w:tabs>
        <w:adjustRightInd w:val="0"/>
        <w:snapToGrid w:val="0"/>
        <w:spacing w:line="360" w:lineRule="auto"/>
        <w:ind w:firstLine="444" w:firstLineChars="200"/>
        <w:rPr>
          <w:rFonts w:hint="eastAsia" w:ascii="仿宋" w:hAnsi="仿宋" w:eastAsia="仿宋" w:cs="仿宋"/>
          <w:color w:val="auto"/>
          <w:spacing w:val="6"/>
          <w:szCs w:val="21"/>
          <w:highlight w:val="none"/>
        </w:rPr>
      </w:pPr>
    </w:p>
    <w:p w14:paraId="0DBFDB7E">
      <w:pPr>
        <w:tabs>
          <w:tab w:val="left" w:pos="4860"/>
        </w:tabs>
        <w:adjustRightInd w:val="0"/>
        <w:snapToGrid w:val="0"/>
        <w:spacing w:line="360" w:lineRule="auto"/>
        <w:ind w:firstLine="444" w:firstLineChars="200"/>
        <w:rPr>
          <w:rFonts w:hint="eastAsia" w:ascii="仿宋" w:hAnsi="仿宋" w:eastAsia="仿宋" w:cs="仿宋"/>
          <w:color w:val="auto"/>
          <w:spacing w:val="6"/>
          <w:szCs w:val="21"/>
          <w:highlight w:val="none"/>
        </w:rPr>
      </w:pPr>
    </w:p>
    <w:p w14:paraId="5FFAED6A">
      <w:pPr>
        <w:tabs>
          <w:tab w:val="left" w:pos="4860"/>
        </w:tabs>
        <w:adjustRightInd w:val="0"/>
        <w:snapToGrid w:val="0"/>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6218CD1B">
      <w:pPr>
        <w:tabs>
          <w:tab w:val="left" w:pos="4860"/>
        </w:tabs>
        <w:adjustRightInd w:val="0"/>
        <w:snapToGrid w:val="0"/>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04E5C13B">
      <w:pPr>
        <w:adjustRightInd w:val="0"/>
        <w:snapToGrid w:val="0"/>
        <w:spacing w:line="360" w:lineRule="auto"/>
        <w:ind w:firstLine="420" w:firstLineChars="200"/>
        <w:rPr>
          <w:rFonts w:hint="eastAsia" w:ascii="仿宋" w:hAnsi="仿宋" w:eastAsia="仿宋" w:cs="仿宋"/>
          <w:color w:val="auto"/>
          <w:szCs w:val="21"/>
          <w:highlight w:val="none"/>
        </w:rPr>
      </w:pPr>
    </w:p>
    <w:p w14:paraId="28CDFD96">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98BA736">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29ABA01D">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3FF0EAF5">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3777EBCD">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0B7F800F">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2EE6BB92">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08141EE3">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F75BC0D">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14:paraId="219A89A6">
      <w:pPr>
        <w:pStyle w:val="22"/>
        <w:shd w:val="clear" w:color="auto" w:fill="FFFFFF"/>
        <w:adjustRightInd w:val="0"/>
        <w:snapToGrid w:val="0"/>
        <w:spacing w:before="0" w:beforeAutospacing="0" w:after="0" w:afterAutospacing="0" w:line="360" w:lineRule="auto"/>
        <w:ind w:firstLine="361" w:firstLineChars="200"/>
        <w:rPr>
          <w:rFonts w:hint="eastAsia"/>
          <w:color w:val="auto"/>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744809B2">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8FB185B">
      <w:pPr>
        <w:spacing w:line="360" w:lineRule="auto"/>
        <w:outlineLvl w:val="1"/>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7DD8E162">
      <w:pPr>
        <w:adjustRightInd w:val="0"/>
        <w:snapToGrid w:val="0"/>
        <w:spacing w:line="360" w:lineRule="auto"/>
        <w:jc w:val="center"/>
        <w:outlineLvl w:val="2"/>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2ACE10F9">
      <w:pPr>
        <w:snapToGrid w:val="0"/>
        <w:spacing w:line="360" w:lineRule="auto"/>
        <w:rPr>
          <w:rFonts w:hint="eastAsia" w:ascii="仿宋" w:hAnsi="仿宋" w:eastAsia="仿宋" w:cs="仿宋"/>
          <w:color w:val="auto"/>
          <w:szCs w:val="21"/>
          <w:highlight w:val="none"/>
        </w:rPr>
      </w:pPr>
      <w:r>
        <w:rPr>
          <w:rFonts w:hint="eastAsia" w:ascii="仿宋" w:hAnsi="仿宋" w:eastAsia="仿宋" w:cs="仿宋"/>
          <w:b/>
          <w:bCs/>
          <w:color w:val="auto"/>
          <w:spacing w:val="-6"/>
          <w:szCs w:val="21"/>
          <w:highlight w:val="none"/>
        </w:rPr>
        <w:t>浙江省市场监督管理局、浙江求是招标代理有限公司</w:t>
      </w:r>
    </w:p>
    <w:p w14:paraId="4C0DCD35">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全省计量比对辅助工作</w:t>
      </w:r>
      <w:r>
        <w:rPr>
          <w:rFonts w:hint="eastAsia" w:ascii="仿宋" w:hAnsi="仿宋" w:eastAsia="仿宋" w:cs="仿宋"/>
          <w:color w:val="auto"/>
          <w:szCs w:val="21"/>
          <w:highlight w:val="none"/>
        </w:rPr>
        <w:t>项目[项目编号：</w:t>
      </w:r>
      <w:r>
        <w:rPr>
          <w:rFonts w:hint="eastAsia" w:ascii="仿宋" w:hAnsi="仿宋" w:eastAsia="仿宋" w:cs="仿宋"/>
          <w:bCs/>
          <w:color w:val="auto"/>
          <w:spacing w:val="-6"/>
          <w:szCs w:val="21"/>
          <w:highlight w:val="none"/>
          <w:lang w:eastAsia="zh-CN"/>
        </w:rPr>
        <w:t>QSZB-Z(F)-H25086(GK)</w:t>
      </w:r>
      <w:r>
        <w:rPr>
          <w:rFonts w:hint="eastAsia" w:ascii="仿宋" w:hAnsi="仿宋" w:eastAsia="仿宋" w:cs="仿宋"/>
          <w:bCs/>
          <w:color w:val="auto"/>
          <w:spacing w:val="-6"/>
          <w:szCs w:val="21"/>
          <w:highlight w:val="none"/>
        </w:rPr>
        <w:t>]</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59049E19">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4438993C">
      <w:pPr>
        <w:snapToGrid w:val="0"/>
        <w:spacing w:line="360" w:lineRule="auto"/>
        <w:ind w:firstLine="424" w:firstLineChars="202"/>
        <w:rPr>
          <w:rFonts w:hint="eastAsia" w:ascii="仿宋" w:hAnsi="仿宋" w:eastAsia="仿宋" w:cs="仿宋"/>
          <w:color w:val="auto"/>
          <w:szCs w:val="21"/>
          <w:highlight w:val="none"/>
        </w:rPr>
      </w:pPr>
    </w:p>
    <w:p w14:paraId="1BFF3149">
      <w:pP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2CCA2CAE">
      <w:pP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79CE4AB4">
      <w:pPr>
        <w:snapToGrid w:val="0"/>
        <w:spacing w:line="360" w:lineRule="auto"/>
        <w:rPr>
          <w:rFonts w:hint="eastAsia" w:ascii="仿宋" w:hAnsi="仿宋" w:eastAsia="仿宋" w:cs="仿宋"/>
          <w:b/>
          <w:bCs/>
          <w:color w:val="auto"/>
          <w:szCs w:val="21"/>
          <w:highlight w:val="none"/>
        </w:rPr>
      </w:pPr>
    </w:p>
    <w:p w14:paraId="50690045">
      <w:pP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23D1820B">
      <w:pPr>
        <w:snapToGrid w:val="0"/>
        <w:spacing w:line="360" w:lineRule="auto"/>
        <w:ind w:firstLine="843" w:firstLineChars="4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075B7C58">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5265F3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72A0ADD6">
      <w:pPr>
        <w:spacing w:line="360" w:lineRule="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4A01CB46">
      <w:pPr>
        <w:adjustRightInd w:val="0"/>
        <w:snapToGrid w:val="0"/>
        <w:spacing w:line="360" w:lineRule="auto"/>
        <w:jc w:val="center"/>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6E03E7F6">
      <w:pPr>
        <w:widowControl/>
        <w:snapToGrid w:val="0"/>
        <w:spacing w:line="360" w:lineRule="auto"/>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（以联合体形式投标的提供联合协议，项目不接受联合体投标或投标人不以联合体形式投标的则不需要提供）</w:t>
      </w:r>
    </w:p>
    <w:p w14:paraId="7868C46E">
      <w:pPr>
        <w:snapToGrid w:val="0"/>
        <w:spacing w:line="360"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全省计量比对辅助工作</w:t>
      </w:r>
      <w:r>
        <w:rPr>
          <w:rFonts w:hint="eastAsia" w:ascii="仿宋" w:hAnsi="仿宋" w:eastAsia="仿宋" w:cs="仿宋"/>
          <w:color w:val="auto"/>
          <w:kern w:val="0"/>
          <w:szCs w:val="21"/>
          <w:highlight w:val="none"/>
        </w:rPr>
        <w:t>项目</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QSZB-Z(F)-H25086(GK)</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投标。</w:t>
      </w:r>
    </w:p>
    <w:p w14:paraId="05F9E0E1">
      <w:pPr>
        <w:snapToGrid w:val="0"/>
        <w:spacing w:line="360"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37503570">
      <w:pPr>
        <w:snapToGrid w:val="0"/>
        <w:spacing w:line="360"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rPr>
        <w:t>响应</w:t>
      </w:r>
      <w:r>
        <w:rPr>
          <w:rFonts w:hint="eastAsia" w:ascii="仿宋" w:hAnsi="仿宋" w:eastAsia="仿宋" w:cs="仿宋"/>
          <w:color w:val="auto"/>
          <w:kern w:val="0"/>
          <w:szCs w:val="21"/>
          <w:highlight w:val="none"/>
          <w:lang w:val="zh-CN"/>
        </w:rPr>
        <w:t>等均对联合投标各方产生约束力。</w:t>
      </w:r>
    </w:p>
    <w:p w14:paraId="590142DE">
      <w:pPr>
        <w:snapToGrid w:val="0"/>
        <w:spacing w:line="360"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5BDD3895">
      <w:pPr>
        <w:snapToGrid w:val="0"/>
        <w:spacing w:line="360"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提供的服务由小微企业承接，其合同份额占到合同总金额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1F63D531">
      <w:pPr>
        <w:snapToGrid w:val="0"/>
        <w:spacing w:line="360"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51DB8E63">
      <w:pPr>
        <w:snapToGrid w:val="0"/>
        <w:spacing w:line="360"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06930A9D">
      <w:pPr>
        <w:snapToGrid w:val="0"/>
        <w:spacing w:line="360"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1A9D38E8">
      <w:pPr>
        <w:snapToGrid w:val="0"/>
        <w:spacing w:line="360"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20DC3677">
      <w:pPr>
        <w:snapToGrid w:val="0"/>
        <w:spacing w:line="360" w:lineRule="auto"/>
        <w:ind w:firstLine="422" w:firstLineChars="201"/>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62EEAB96">
      <w:pPr>
        <w:snapToGrid w:val="0"/>
        <w:spacing w:line="360" w:lineRule="auto"/>
        <w:ind w:firstLine="422" w:firstLineChars="201"/>
        <w:rPr>
          <w:rFonts w:hint="eastAsia" w:ascii="仿宋" w:hAnsi="仿宋" w:eastAsia="仿宋" w:cs="仿宋"/>
          <w:color w:val="auto"/>
          <w:kern w:val="0"/>
          <w:szCs w:val="21"/>
          <w:highlight w:val="none"/>
          <w:lang w:val="zh-CN"/>
        </w:rPr>
      </w:pPr>
    </w:p>
    <w:p w14:paraId="6AD519EC">
      <w:pPr>
        <w:snapToGrid w:val="0"/>
        <w:spacing w:line="360" w:lineRule="auto"/>
        <w:ind w:firstLine="422" w:firstLineChars="201"/>
        <w:rPr>
          <w:rFonts w:hint="eastAsia" w:ascii="仿宋" w:hAnsi="仿宋" w:eastAsia="仿宋" w:cs="仿宋"/>
          <w:color w:val="auto"/>
          <w:kern w:val="0"/>
          <w:szCs w:val="21"/>
          <w:highlight w:val="none"/>
          <w:lang w:val="zh-CN"/>
        </w:rPr>
      </w:pPr>
    </w:p>
    <w:p w14:paraId="2BC4DA0C">
      <w:pPr>
        <w:snapToGrid w:val="0"/>
        <w:spacing w:line="360" w:lineRule="auto"/>
        <w:ind w:firstLine="422" w:firstLineChars="201"/>
        <w:rPr>
          <w:rFonts w:hint="eastAsia" w:ascii="仿宋" w:hAnsi="仿宋" w:eastAsia="仿宋" w:cs="仿宋"/>
          <w:color w:val="auto"/>
          <w:kern w:val="0"/>
          <w:szCs w:val="21"/>
          <w:highlight w:val="none"/>
          <w:lang w:val="zh-CN"/>
        </w:rPr>
      </w:pPr>
    </w:p>
    <w:p w14:paraId="162FE17A">
      <w:pPr>
        <w:snapToGrid w:val="0"/>
        <w:spacing w:line="360" w:lineRule="auto"/>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2B1D5356">
      <w:pPr>
        <w:snapToGrid w:val="0"/>
        <w:spacing w:line="360" w:lineRule="auto"/>
        <w:rPr>
          <w:rFonts w:hint="eastAsia"/>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C00B">
    <w:pPr>
      <w:pStyle w:val="18"/>
      <w:jc w:val="both"/>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6BFE">
    <w:pPr>
      <w:pStyle w:val="18"/>
      <w:jc w:val="both"/>
      <w:rPr>
        <w:rFonts w:hint="eastAsia"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A6F6B">
                          <w:pPr>
                            <w:pStyle w:val="18"/>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20</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1A6F6B">
                    <w:pPr>
                      <w:pStyle w:val="18"/>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20</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2CAA">
    <w:pPr>
      <w:jc w:val="center"/>
      <w:rPr>
        <w:rFonts w:hint="eastAsia"/>
      </w:rPr>
    </w:pPr>
    <w:r>
      <w:rPr>
        <w:rFonts w:hint="eastAsia"/>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39CB"/>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3712"/>
    <w:rsid w:val="00154E6E"/>
    <w:rsid w:val="00160F71"/>
    <w:rsid w:val="00162355"/>
    <w:rsid w:val="00162B7F"/>
    <w:rsid w:val="001639E5"/>
    <w:rsid w:val="00164553"/>
    <w:rsid w:val="00164E88"/>
    <w:rsid w:val="00166D36"/>
    <w:rsid w:val="00167EC3"/>
    <w:rsid w:val="0017064E"/>
    <w:rsid w:val="00170DD1"/>
    <w:rsid w:val="00172304"/>
    <w:rsid w:val="00172A27"/>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1F7D"/>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27520"/>
    <w:rsid w:val="0043170C"/>
    <w:rsid w:val="004327AE"/>
    <w:rsid w:val="00433671"/>
    <w:rsid w:val="00441793"/>
    <w:rsid w:val="004430E8"/>
    <w:rsid w:val="0045480E"/>
    <w:rsid w:val="00456743"/>
    <w:rsid w:val="00456DA5"/>
    <w:rsid w:val="00457EA2"/>
    <w:rsid w:val="00461FD3"/>
    <w:rsid w:val="00462180"/>
    <w:rsid w:val="00463702"/>
    <w:rsid w:val="00463860"/>
    <w:rsid w:val="00463AF9"/>
    <w:rsid w:val="004644FC"/>
    <w:rsid w:val="004646F4"/>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D62F4"/>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2F9F"/>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521B"/>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2CC3"/>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1666E"/>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3259"/>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C86D0C"/>
    <w:rsid w:val="01E81FFF"/>
    <w:rsid w:val="01F81427"/>
    <w:rsid w:val="02012A20"/>
    <w:rsid w:val="02082BB0"/>
    <w:rsid w:val="02410BBD"/>
    <w:rsid w:val="0255631B"/>
    <w:rsid w:val="025A1D16"/>
    <w:rsid w:val="02675FA2"/>
    <w:rsid w:val="029858A5"/>
    <w:rsid w:val="02B01928"/>
    <w:rsid w:val="02DB66DE"/>
    <w:rsid w:val="02ED7EC0"/>
    <w:rsid w:val="0367195A"/>
    <w:rsid w:val="03E17F2F"/>
    <w:rsid w:val="03F04EEB"/>
    <w:rsid w:val="03F93561"/>
    <w:rsid w:val="041C048B"/>
    <w:rsid w:val="04455AED"/>
    <w:rsid w:val="04543A7E"/>
    <w:rsid w:val="046B3463"/>
    <w:rsid w:val="048B7990"/>
    <w:rsid w:val="04932572"/>
    <w:rsid w:val="04933C53"/>
    <w:rsid w:val="05156760"/>
    <w:rsid w:val="052E5413"/>
    <w:rsid w:val="05362D79"/>
    <w:rsid w:val="055F2BCB"/>
    <w:rsid w:val="05702602"/>
    <w:rsid w:val="057C1105"/>
    <w:rsid w:val="059E7BA9"/>
    <w:rsid w:val="05D34727"/>
    <w:rsid w:val="05D46751"/>
    <w:rsid w:val="05D66602"/>
    <w:rsid w:val="05F3515E"/>
    <w:rsid w:val="0619721E"/>
    <w:rsid w:val="06495BAA"/>
    <w:rsid w:val="067A5D0F"/>
    <w:rsid w:val="06887ED4"/>
    <w:rsid w:val="068E57D3"/>
    <w:rsid w:val="06D0191A"/>
    <w:rsid w:val="06FD269B"/>
    <w:rsid w:val="07023E90"/>
    <w:rsid w:val="075771EA"/>
    <w:rsid w:val="0790317A"/>
    <w:rsid w:val="07EB3C67"/>
    <w:rsid w:val="07FD4090"/>
    <w:rsid w:val="08931933"/>
    <w:rsid w:val="08A42702"/>
    <w:rsid w:val="08CC43CE"/>
    <w:rsid w:val="08E550FE"/>
    <w:rsid w:val="096609CC"/>
    <w:rsid w:val="09F27F75"/>
    <w:rsid w:val="0A270D93"/>
    <w:rsid w:val="0A3C3380"/>
    <w:rsid w:val="0A6F7309"/>
    <w:rsid w:val="0A754277"/>
    <w:rsid w:val="0A7F2E26"/>
    <w:rsid w:val="0A9926DB"/>
    <w:rsid w:val="0B1110DC"/>
    <w:rsid w:val="0B335263"/>
    <w:rsid w:val="0B4A1776"/>
    <w:rsid w:val="0B71123C"/>
    <w:rsid w:val="0B966D19"/>
    <w:rsid w:val="0BB735A2"/>
    <w:rsid w:val="0C1214DA"/>
    <w:rsid w:val="0C233579"/>
    <w:rsid w:val="0C256A5D"/>
    <w:rsid w:val="0C525A8C"/>
    <w:rsid w:val="0C786503"/>
    <w:rsid w:val="0CE265BB"/>
    <w:rsid w:val="0CE9115E"/>
    <w:rsid w:val="0D1A04C9"/>
    <w:rsid w:val="0D3C08AB"/>
    <w:rsid w:val="0D3E3F80"/>
    <w:rsid w:val="0D455837"/>
    <w:rsid w:val="0D60217F"/>
    <w:rsid w:val="0D90780B"/>
    <w:rsid w:val="0DB72A31"/>
    <w:rsid w:val="0E0272E3"/>
    <w:rsid w:val="0E3A13A6"/>
    <w:rsid w:val="0E5126E9"/>
    <w:rsid w:val="0F3516D1"/>
    <w:rsid w:val="0F583081"/>
    <w:rsid w:val="0F8D254C"/>
    <w:rsid w:val="0F995326"/>
    <w:rsid w:val="103E7503"/>
    <w:rsid w:val="10757130"/>
    <w:rsid w:val="10790FE5"/>
    <w:rsid w:val="10951221"/>
    <w:rsid w:val="109B71AD"/>
    <w:rsid w:val="10C446C9"/>
    <w:rsid w:val="11116365"/>
    <w:rsid w:val="112A7CC0"/>
    <w:rsid w:val="112B34AD"/>
    <w:rsid w:val="11AF6B97"/>
    <w:rsid w:val="11FF5827"/>
    <w:rsid w:val="12425AC4"/>
    <w:rsid w:val="12532F3F"/>
    <w:rsid w:val="127F1A55"/>
    <w:rsid w:val="12CE065A"/>
    <w:rsid w:val="13220891"/>
    <w:rsid w:val="134C3E48"/>
    <w:rsid w:val="13616B2D"/>
    <w:rsid w:val="13C67CD0"/>
    <w:rsid w:val="13CC23F4"/>
    <w:rsid w:val="140A4210"/>
    <w:rsid w:val="141F7503"/>
    <w:rsid w:val="142E0338"/>
    <w:rsid w:val="14832432"/>
    <w:rsid w:val="148B57E4"/>
    <w:rsid w:val="14DF4CF8"/>
    <w:rsid w:val="14E34758"/>
    <w:rsid w:val="156C32AB"/>
    <w:rsid w:val="157E0164"/>
    <w:rsid w:val="15D06A51"/>
    <w:rsid w:val="15E05F5F"/>
    <w:rsid w:val="15E74DD8"/>
    <w:rsid w:val="165068A2"/>
    <w:rsid w:val="166F0578"/>
    <w:rsid w:val="16E64EFA"/>
    <w:rsid w:val="17176AAE"/>
    <w:rsid w:val="17255A22"/>
    <w:rsid w:val="177A7EAB"/>
    <w:rsid w:val="17856C6C"/>
    <w:rsid w:val="179F160C"/>
    <w:rsid w:val="17A11E41"/>
    <w:rsid w:val="17CC40F0"/>
    <w:rsid w:val="17CD6721"/>
    <w:rsid w:val="17CF1B78"/>
    <w:rsid w:val="18070575"/>
    <w:rsid w:val="18090C43"/>
    <w:rsid w:val="180F13CC"/>
    <w:rsid w:val="18185587"/>
    <w:rsid w:val="188F1B48"/>
    <w:rsid w:val="1897527F"/>
    <w:rsid w:val="18AA031B"/>
    <w:rsid w:val="18C354F3"/>
    <w:rsid w:val="18FB5F15"/>
    <w:rsid w:val="192047DE"/>
    <w:rsid w:val="19477B5C"/>
    <w:rsid w:val="19770184"/>
    <w:rsid w:val="19777C04"/>
    <w:rsid w:val="1A027439"/>
    <w:rsid w:val="1A676352"/>
    <w:rsid w:val="1A7148DF"/>
    <w:rsid w:val="1A996F8F"/>
    <w:rsid w:val="1AA411C1"/>
    <w:rsid w:val="1AB31597"/>
    <w:rsid w:val="1AEA6109"/>
    <w:rsid w:val="1B066372"/>
    <w:rsid w:val="1B321622"/>
    <w:rsid w:val="1B4B3B1C"/>
    <w:rsid w:val="1BCA6B98"/>
    <w:rsid w:val="1BF73705"/>
    <w:rsid w:val="1CD221A8"/>
    <w:rsid w:val="1CFE5E04"/>
    <w:rsid w:val="1D102580"/>
    <w:rsid w:val="1D4A6188"/>
    <w:rsid w:val="1D805F2A"/>
    <w:rsid w:val="1DAA2193"/>
    <w:rsid w:val="1DAC61B7"/>
    <w:rsid w:val="1DC72953"/>
    <w:rsid w:val="1DEA06D7"/>
    <w:rsid w:val="1E511B62"/>
    <w:rsid w:val="1E7E6E04"/>
    <w:rsid w:val="1EA9678E"/>
    <w:rsid w:val="1EBA3927"/>
    <w:rsid w:val="1EEB1B44"/>
    <w:rsid w:val="1F3E36B9"/>
    <w:rsid w:val="1F8B2622"/>
    <w:rsid w:val="1F9C38D3"/>
    <w:rsid w:val="1FBC2C9C"/>
    <w:rsid w:val="1FCA02F8"/>
    <w:rsid w:val="20767551"/>
    <w:rsid w:val="20B803BF"/>
    <w:rsid w:val="214A57C8"/>
    <w:rsid w:val="215A3673"/>
    <w:rsid w:val="217575A6"/>
    <w:rsid w:val="21DB64E2"/>
    <w:rsid w:val="221C4C30"/>
    <w:rsid w:val="22A173A8"/>
    <w:rsid w:val="22A70B6C"/>
    <w:rsid w:val="22AA7E30"/>
    <w:rsid w:val="22C648B8"/>
    <w:rsid w:val="23034503"/>
    <w:rsid w:val="23C14303"/>
    <w:rsid w:val="23CB4DD1"/>
    <w:rsid w:val="23FF4622"/>
    <w:rsid w:val="24086AFE"/>
    <w:rsid w:val="243F320D"/>
    <w:rsid w:val="2489326F"/>
    <w:rsid w:val="24CD7D3C"/>
    <w:rsid w:val="250138AE"/>
    <w:rsid w:val="256A1A81"/>
    <w:rsid w:val="257C56A5"/>
    <w:rsid w:val="25CE54D7"/>
    <w:rsid w:val="26096519"/>
    <w:rsid w:val="26612121"/>
    <w:rsid w:val="26A71D48"/>
    <w:rsid w:val="26B15F84"/>
    <w:rsid w:val="270A231C"/>
    <w:rsid w:val="272B10D0"/>
    <w:rsid w:val="27432BC1"/>
    <w:rsid w:val="27791A74"/>
    <w:rsid w:val="27A61023"/>
    <w:rsid w:val="27F0275A"/>
    <w:rsid w:val="281A02BE"/>
    <w:rsid w:val="28580092"/>
    <w:rsid w:val="28757D97"/>
    <w:rsid w:val="28BC23D4"/>
    <w:rsid w:val="28D03787"/>
    <w:rsid w:val="28F563E3"/>
    <w:rsid w:val="290578B9"/>
    <w:rsid w:val="292673D8"/>
    <w:rsid w:val="29293308"/>
    <w:rsid w:val="293E5360"/>
    <w:rsid w:val="29506137"/>
    <w:rsid w:val="29822826"/>
    <w:rsid w:val="29930F11"/>
    <w:rsid w:val="29D9700E"/>
    <w:rsid w:val="2A407C2A"/>
    <w:rsid w:val="2AA10ED5"/>
    <w:rsid w:val="2ADA0518"/>
    <w:rsid w:val="2AF05838"/>
    <w:rsid w:val="2B087B04"/>
    <w:rsid w:val="2B1A17A1"/>
    <w:rsid w:val="2B4A2EDD"/>
    <w:rsid w:val="2B7F08E4"/>
    <w:rsid w:val="2B8D1B43"/>
    <w:rsid w:val="2C293EE8"/>
    <w:rsid w:val="2C921974"/>
    <w:rsid w:val="2CCA5064"/>
    <w:rsid w:val="2CCF7D4F"/>
    <w:rsid w:val="2D212596"/>
    <w:rsid w:val="2D242B88"/>
    <w:rsid w:val="2D4D13D7"/>
    <w:rsid w:val="2D4F21F6"/>
    <w:rsid w:val="2D4F2439"/>
    <w:rsid w:val="2D7B2469"/>
    <w:rsid w:val="2DAE7AA9"/>
    <w:rsid w:val="2DBE14C9"/>
    <w:rsid w:val="2DC23B73"/>
    <w:rsid w:val="2E084AD9"/>
    <w:rsid w:val="2E251D02"/>
    <w:rsid w:val="2E50003C"/>
    <w:rsid w:val="2EB035A9"/>
    <w:rsid w:val="2ECE0839"/>
    <w:rsid w:val="2F1B5E2A"/>
    <w:rsid w:val="2F2767BF"/>
    <w:rsid w:val="2F6A64D8"/>
    <w:rsid w:val="2FA10B9C"/>
    <w:rsid w:val="30362265"/>
    <w:rsid w:val="30393F2D"/>
    <w:rsid w:val="30616EA9"/>
    <w:rsid w:val="30777C65"/>
    <w:rsid w:val="30CA6C5F"/>
    <w:rsid w:val="30EC0F07"/>
    <w:rsid w:val="30EE0170"/>
    <w:rsid w:val="30F2130F"/>
    <w:rsid w:val="31085620"/>
    <w:rsid w:val="314C115E"/>
    <w:rsid w:val="31A44D82"/>
    <w:rsid w:val="31E66E9E"/>
    <w:rsid w:val="31F950A2"/>
    <w:rsid w:val="320609C3"/>
    <w:rsid w:val="32560D2E"/>
    <w:rsid w:val="326F5337"/>
    <w:rsid w:val="32B70A61"/>
    <w:rsid w:val="32BA12BD"/>
    <w:rsid w:val="32BE120D"/>
    <w:rsid w:val="32D2015C"/>
    <w:rsid w:val="33027952"/>
    <w:rsid w:val="330C0EF9"/>
    <w:rsid w:val="33105381"/>
    <w:rsid w:val="33261E23"/>
    <w:rsid w:val="33291024"/>
    <w:rsid w:val="332A7AF8"/>
    <w:rsid w:val="33506DE6"/>
    <w:rsid w:val="33A273C0"/>
    <w:rsid w:val="33A9206B"/>
    <w:rsid w:val="33FA529D"/>
    <w:rsid w:val="341A4047"/>
    <w:rsid w:val="34336813"/>
    <w:rsid w:val="34727E34"/>
    <w:rsid w:val="3517359F"/>
    <w:rsid w:val="351F03F9"/>
    <w:rsid w:val="355F0FC1"/>
    <w:rsid w:val="359615AC"/>
    <w:rsid w:val="359A6216"/>
    <w:rsid w:val="35A54CED"/>
    <w:rsid w:val="35D804D9"/>
    <w:rsid w:val="36717BDF"/>
    <w:rsid w:val="36F17277"/>
    <w:rsid w:val="371C0D8B"/>
    <w:rsid w:val="37203345"/>
    <w:rsid w:val="372B0E36"/>
    <w:rsid w:val="37534CA7"/>
    <w:rsid w:val="37571753"/>
    <w:rsid w:val="3790083E"/>
    <w:rsid w:val="379D6B2D"/>
    <w:rsid w:val="37A83DDA"/>
    <w:rsid w:val="37D824F1"/>
    <w:rsid w:val="37FFC675"/>
    <w:rsid w:val="388A0A03"/>
    <w:rsid w:val="38960FBF"/>
    <w:rsid w:val="38F0685B"/>
    <w:rsid w:val="3923276A"/>
    <w:rsid w:val="392B0ABF"/>
    <w:rsid w:val="392C1E69"/>
    <w:rsid w:val="39331197"/>
    <w:rsid w:val="39431E3F"/>
    <w:rsid w:val="396E5D7C"/>
    <w:rsid w:val="39D04FC4"/>
    <w:rsid w:val="39E42CC8"/>
    <w:rsid w:val="3A172FBE"/>
    <w:rsid w:val="3A29071D"/>
    <w:rsid w:val="3A3F6146"/>
    <w:rsid w:val="3A461688"/>
    <w:rsid w:val="3A4C0E33"/>
    <w:rsid w:val="3B0C4DFA"/>
    <w:rsid w:val="3B547968"/>
    <w:rsid w:val="3B664276"/>
    <w:rsid w:val="3B972F43"/>
    <w:rsid w:val="3BA93D77"/>
    <w:rsid w:val="3C022D13"/>
    <w:rsid w:val="3C1A2DCC"/>
    <w:rsid w:val="3C4D26C6"/>
    <w:rsid w:val="3C9D0E08"/>
    <w:rsid w:val="3D044EFC"/>
    <w:rsid w:val="3D476A8F"/>
    <w:rsid w:val="3D6C15E5"/>
    <w:rsid w:val="3E062677"/>
    <w:rsid w:val="3E3C3E33"/>
    <w:rsid w:val="3E633745"/>
    <w:rsid w:val="3E6946AD"/>
    <w:rsid w:val="3EB60CB3"/>
    <w:rsid w:val="3EBE0D9B"/>
    <w:rsid w:val="3EC436F9"/>
    <w:rsid w:val="3EC47F7D"/>
    <w:rsid w:val="3EFB063C"/>
    <w:rsid w:val="3F740895"/>
    <w:rsid w:val="3F7F04F6"/>
    <w:rsid w:val="3FB93DC6"/>
    <w:rsid w:val="400A7A69"/>
    <w:rsid w:val="4014755D"/>
    <w:rsid w:val="40253F4D"/>
    <w:rsid w:val="402A691C"/>
    <w:rsid w:val="40AF2ED8"/>
    <w:rsid w:val="40B956E1"/>
    <w:rsid w:val="40C31DD9"/>
    <w:rsid w:val="40D034BF"/>
    <w:rsid w:val="410D4941"/>
    <w:rsid w:val="41200E1E"/>
    <w:rsid w:val="416F0F72"/>
    <w:rsid w:val="417D6BDB"/>
    <w:rsid w:val="419104D9"/>
    <w:rsid w:val="41B05692"/>
    <w:rsid w:val="41C24ED2"/>
    <w:rsid w:val="41D90132"/>
    <w:rsid w:val="41EF252B"/>
    <w:rsid w:val="420D0AD7"/>
    <w:rsid w:val="422E66F3"/>
    <w:rsid w:val="42395211"/>
    <w:rsid w:val="425D46BB"/>
    <w:rsid w:val="42664BB1"/>
    <w:rsid w:val="4275164D"/>
    <w:rsid w:val="42871F0A"/>
    <w:rsid w:val="430A3262"/>
    <w:rsid w:val="43197ABC"/>
    <w:rsid w:val="438A27C8"/>
    <w:rsid w:val="43E47456"/>
    <w:rsid w:val="441309F0"/>
    <w:rsid w:val="441A7E0D"/>
    <w:rsid w:val="44310C44"/>
    <w:rsid w:val="44644583"/>
    <w:rsid w:val="446B6F5D"/>
    <w:rsid w:val="447107A7"/>
    <w:rsid w:val="4484575B"/>
    <w:rsid w:val="44A722AA"/>
    <w:rsid w:val="44AF0CED"/>
    <w:rsid w:val="44E40213"/>
    <w:rsid w:val="45572A56"/>
    <w:rsid w:val="45636883"/>
    <w:rsid w:val="45675BEC"/>
    <w:rsid w:val="457E42F3"/>
    <w:rsid w:val="460E768F"/>
    <w:rsid w:val="46101B39"/>
    <w:rsid w:val="468C293B"/>
    <w:rsid w:val="46A824B9"/>
    <w:rsid w:val="46BB170B"/>
    <w:rsid w:val="46C0371F"/>
    <w:rsid w:val="46D15968"/>
    <w:rsid w:val="46D77E7B"/>
    <w:rsid w:val="47105324"/>
    <w:rsid w:val="47510906"/>
    <w:rsid w:val="47567AEE"/>
    <w:rsid w:val="47882EEC"/>
    <w:rsid w:val="478C5485"/>
    <w:rsid w:val="4796785C"/>
    <w:rsid w:val="479E608B"/>
    <w:rsid w:val="47D94177"/>
    <w:rsid w:val="47E85B9B"/>
    <w:rsid w:val="48164F15"/>
    <w:rsid w:val="485A61E1"/>
    <w:rsid w:val="49380D36"/>
    <w:rsid w:val="49391580"/>
    <w:rsid w:val="495D70F7"/>
    <w:rsid w:val="4985062F"/>
    <w:rsid w:val="4A262AF4"/>
    <w:rsid w:val="4ADD244D"/>
    <w:rsid w:val="4B0A4380"/>
    <w:rsid w:val="4B414A2E"/>
    <w:rsid w:val="4B4C5A72"/>
    <w:rsid w:val="4B642F54"/>
    <w:rsid w:val="4B7074E5"/>
    <w:rsid w:val="4B716301"/>
    <w:rsid w:val="4B7D5F80"/>
    <w:rsid w:val="4BF3562C"/>
    <w:rsid w:val="4BF40741"/>
    <w:rsid w:val="4C411429"/>
    <w:rsid w:val="4C5E019B"/>
    <w:rsid w:val="4C7A3E2A"/>
    <w:rsid w:val="4D5C3245"/>
    <w:rsid w:val="4E397895"/>
    <w:rsid w:val="4E475085"/>
    <w:rsid w:val="4E6179A5"/>
    <w:rsid w:val="4F54289B"/>
    <w:rsid w:val="4F64249F"/>
    <w:rsid w:val="4F6E1200"/>
    <w:rsid w:val="4FCF3A38"/>
    <w:rsid w:val="4FEE189E"/>
    <w:rsid w:val="4FF5727D"/>
    <w:rsid w:val="50463BC3"/>
    <w:rsid w:val="504B2FD5"/>
    <w:rsid w:val="50945995"/>
    <w:rsid w:val="509B17BC"/>
    <w:rsid w:val="50D27564"/>
    <w:rsid w:val="50E02600"/>
    <w:rsid w:val="50EB6E9C"/>
    <w:rsid w:val="50EE3925"/>
    <w:rsid w:val="510113CF"/>
    <w:rsid w:val="51070878"/>
    <w:rsid w:val="5148519A"/>
    <w:rsid w:val="51FB1FE6"/>
    <w:rsid w:val="520909A0"/>
    <w:rsid w:val="52121B0D"/>
    <w:rsid w:val="527D4949"/>
    <w:rsid w:val="52DA5B1C"/>
    <w:rsid w:val="52E22937"/>
    <w:rsid w:val="53121571"/>
    <w:rsid w:val="532332A7"/>
    <w:rsid w:val="536C2F7E"/>
    <w:rsid w:val="539F2EE7"/>
    <w:rsid w:val="53F038EA"/>
    <w:rsid w:val="543F264E"/>
    <w:rsid w:val="54984779"/>
    <w:rsid w:val="54E160E1"/>
    <w:rsid w:val="54E23850"/>
    <w:rsid w:val="54E43457"/>
    <w:rsid w:val="55191463"/>
    <w:rsid w:val="55473849"/>
    <w:rsid w:val="554930D2"/>
    <w:rsid w:val="55A626C4"/>
    <w:rsid w:val="55C15F0B"/>
    <w:rsid w:val="55C43C6A"/>
    <w:rsid w:val="55E15287"/>
    <w:rsid w:val="565E037A"/>
    <w:rsid w:val="56724FD9"/>
    <w:rsid w:val="56AE54C4"/>
    <w:rsid w:val="56C65928"/>
    <w:rsid w:val="56C972A1"/>
    <w:rsid w:val="56CD6AB3"/>
    <w:rsid w:val="57045AA2"/>
    <w:rsid w:val="570F6E7F"/>
    <w:rsid w:val="572B7F1B"/>
    <w:rsid w:val="57793602"/>
    <w:rsid w:val="58055B79"/>
    <w:rsid w:val="585F4E34"/>
    <w:rsid w:val="58C023F9"/>
    <w:rsid w:val="58D41D8A"/>
    <w:rsid w:val="5948194C"/>
    <w:rsid w:val="595A333D"/>
    <w:rsid w:val="596A4D22"/>
    <w:rsid w:val="59BA69E3"/>
    <w:rsid w:val="59F706F5"/>
    <w:rsid w:val="5A063425"/>
    <w:rsid w:val="5A3B5D1E"/>
    <w:rsid w:val="5A417035"/>
    <w:rsid w:val="5A45279F"/>
    <w:rsid w:val="5A4B453D"/>
    <w:rsid w:val="5A522A93"/>
    <w:rsid w:val="5A661DF4"/>
    <w:rsid w:val="5A7F74DE"/>
    <w:rsid w:val="5A935F96"/>
    <w:rsid w:val="5ACF0178"/>
    <w:rsid w:val="5AF76C60"/>
    <w:rsid w:val="5B0C5D54"/>
    <w:rsid w:val="5B2402E4"/>
    <w:rsid w:val="5B763444"/>
    <w:rsid w:val="5B9D1978"/>
    <w:rsid w:val="5BA929FE"/>
    <w:rsid w:val="5BD73121"/>
    <w:rsid w:val="5C0F2617"/>
    <w:rsid w:val="5C3E17F9"/>
    <w:rsid w:val="5C4C7FFB"/>
    <w:rsid w:val="5C537D21"/>
    <w:rsid w:val="5CBD2153"/>
    <w:rsid w:val="5CFA53B0"/>
    <w:rsid w:val="5D3A6920"/>
    <w:rsid w:val="5D4A02A9"/>
    <w:rsid w:val="5D8135CC"/>
    <w:rsid w:val="5DA64C8A"/>
    <w:rsid w:val="5DE501AF"/>
    <w:rsid w:val="5DEB03AE"/>
    <w:rsid w:val="5E002DDD"/>
    <w:rsid w:val="5E071F26"/>
    <w:rsid w:val="5E23788C"/>
    <w:rsid w:val="5E551C67"/>
    <w:rsid w:val="5E566CF4"/>
    <w:rsid w:val="5E6C7908"/>
    <w:rsid w:val="5E812C6D"/>
    <w:rsid w:val="5EB86210"/>
    <w:rsid w:val="5EED05F3"/>
    <w:rsid w:val="5F064C35"/>
    <w:rsid w:val="5F41149C"/>
    <w:rsid w:val="5FD574B0"/>
    <w:rsid w:val="5FFB68ED"/>
    <w:rsid w:val="600446EC"/>
    <w:rsid w:val="600D2EE6"/>
    <w:rsid w:val="60194FC5"/>
    <w:rsid w:val="601E7EAA"/>
    <w:rsid w:val="6091207C"/>
    <w:rsid w:val="60F2100A"/>
    <w:rsid w:val="61012548"/>
    <w:rsid w:val="6147709D"/>
    <w:rsid w:val="61BE6360"/>
    <w:rsid w:val="61D0464C"/>
    <w:rsid w:val="61DB5D3A"/>
    <w:rsid w:val="61FD60DD"/>
    <w:rsid w:val="61FF23CB"/>
    <w:rsid w:val="621760F6"/>
    <w:rsid w:val="62246B60"/>
    <w:rsid w:val="62E36EC5"/>
    <w:rsid w:val="62E75EB4"/>
    <w:rsid w:val="62E81FE8"/>
    <w:rsid w:val="62E97B13"/>
    <w:rsid w:val="636F54EC"/>
    <w:rsid w:val="638E6E02"/>
    <w:rsid w:val="644F1ACD"/>
    <w:rsid w:val="64A8372F"/>
    <w:rsid w:val="64C035B4"/>
    <w:rsid w:val="64D76619"/>
    <w:rsid w:val="64FD6D44"/>
    <w:rsid w:val="65272AB2"/>
    <w:rsid w:val="653F3838"/>
    <w:rsid w:val="658D6058"/>
    <w:rsid w:val="65FC336D"/>
    <w:rsid w:val="66007761"/>
    <w:rsid w:val="662D19F1"/>
    <w:rsid w:val="66A53123"/>
    <w:rsid w:val="66F75D77"/>
    <w:rsid w:val="66F85BDC"/>
    <w:rsid w:val="66F97F7F"/>
    <w:rsid w:val="66FF2EE4"/>
    <w:rsid w:val="671F2FEE"/>
    <w:rsid w:val="67446448"/>
    <w:rsid w:val="675E1AFC"/>
    <w:rsid w:val="67861401"/>
    <w:rsid w:val="67897CFE"/>
    <w:rsid w:val="679F25C0"/>
    <w:rsid w:val="67A212D9"/>
    <w:rsid w:val="67D6545D"/>
    <w:rsid w:val="67EA44FC"/>
    <w:rsid w:val="67FF1998"/>
    <w:rsid w:val="680C374A"/>
    <w:rsid w:val="680D1D99"/>
    <w:rsid w:val="681A7759"/>
    <w:rsid w:val="6840613C"/>
    <w:rsid w:val="6876068B"/>
    <w:rsid w:val="68C97848"/>
    <w:rsid w:val="68E7433A"/>
    <w:rsid w:val="68E86ABE"/>
    <w:rsid w:val="69056BF9"/>
    <w:rsid w:val="691E67B1"/>
    <w:rsid w:val="69431270"/>
    <w:rsid w:val="69BA078D"/>
    <w:rsid w:val="69C37723"/>
    <w:rsid w:val="69E96834"/>
    <w:rsid w:val="6A0505C6"/>
    <w:rsid w:val="6A7F4F75"/>
    <w:rsid w:val="6ACA16F9"/>
    <w:rsid w:val="6AFF00CA"/>
    <w:rsid w:val="6B16774A"/>
    <w:rsid w:val="6B250CC2"/>
    <w:rsid w:val="6B494446"/>
    <w:rsid w:val="6BAB2FCD"/>
    <w:rsid w:val="6BFF5D3A"/>
    <w:rsid w:val="6C321536"/>
    <w:rsid w:val="6C492D55"/>
    <w:rsid w:val="6C777E8E"/>
    <w:rsid w:val="6C7E3126"/>
    <w:rsid w:val="6C8178B4"/>
    <w:rsid w:val="6C84727C"/>
    <w:rsid w:val="6CC346F1"/>
    <w:rsid w:val="6D272F27"/>
    <w:rsid w:val="6E2D30BE"/>
    <w:rsid w:val="6E2F78A7"/>
    <w:rsid w:val="6E3631E6"/>
    <w:rsid w:val="6E8509EA"/>
    <w:rsid w:val="6EB54E50"/>
    <w:rsid w:val="6ECE2681"/>
    <w:rsid w:val="6EF77006"/>
    <w:rsid w:val="6F48335E"/>
    <w:rsid w:val="6F656567"/>
    <w:rsid w:val="6F9441FC"/>
    <w:rsid w:val="6FB9715F"/>
    <w:rsid w:val="6FC96403"/>
    <w:rsid w:val="700D4ACD"/>
    <w:rsid w:val="705E30C9"/>
    <w:rsid w:val="708A3C8C"/>
    <w:rsid w:val="70A12054"/>
    <w:rsid w:val="70BD374B"/>
    <w:rsid w:val="71030383"/>
    <w:rsid w:val="71197B42"/>
    <w:rsid w:val="713D1393"/>
    <w:rsid w:val="71600CB0"/>
    <w:rsid w:val="7169765C"/>
    <w:rsid w:val="720811E2"/>
    <w:rsid w:val="72340F9C"/>
    <w:rsid w:val="72605D30"/>
    <w:rsid w:val="72686EF1"/>
    <w:rsid w:val="729965A8"/>
    <w:rsid w:val="72B65B08"/>
    <w:rsid w:val="72D52FCE"/>
    <w:rsid w:val="72F52C2C"/>
    <w:rsid w:val="72FA70AF"/>
    <w:rsid w:val="73087812"/>
    <w:rsid w:val="731E5707"/>
    <w:rsid w:val="737238D8"/>
    <w:rsid w:val="73A94EF7"/>
    <w:rsid w:val="73AB63BB"/>
    <w:rsid w:val="73C623CD"/>
    <w:rsid w:val="73D4787E"/>
    <w:rsid w:val="73F22348"/>
    <w:rsid w:val="746F4A04"/>
    <w:rsid w:val="7478277B"/>
    <w:rsid w:val="74BD630E"/>
    <w:rsid w:val="74CB259B"/>
    <w:rsid w:val="74FF2584"/>
    <w:rsid w:val="75407087"/>
    <w:rsid w:val="7599056E"/>
    <w:rsid w:val="75A849CA"/>
    <w:rsid w:val="75EF44CC"/>
    <w:rsid w:val="76056734"/>
    <w:rsid w:val="762D38BA"/>
    <w:rsid w:val="76363181"/>
    <w:rsid w:val="76741247"/>
    <w:rsid w:val="76F21D7B"/>
    <w:rsid w:val="7701640D"/>
    <w:rsid w:val="771A36A5"/>
    <w:rsid w:val="774152C9"/>
    <w:rsid w:val="77751EE2"/>
    <w:rsid w:val="777759EB"/>
    <w:rsid w:val="77D2110D"/>
    <w:rsid w:val="78194B43"/>
    <w:rsid w:val="78C15396"/>
    <w:rsid w:val="78CF6711"/>
    <w:rsid w:val="7901687C"/>
    <w:rsid w:val="793070F8"/>
    <w:rsid w:val="79347CC6"/>
    <w:rsid w:val="79620D19"/>
    <w:rsid w:val="796F195D"/>
    <w:rsid w:val="797E1901"/>
    <w:rsid w:val="79A11E5C"/>
    <w:rsid w:val="79D825C1"/>
    <w:rsid w:val="79FB0531"/>
    <w:rsid w:val="7A3F6AB2"/>
    <w:rsid w:val="7A5D1027"/>
    <w:rsid w:val="7A6B4218"/>
    <w:rsid w:val="7A8555FE"/>
    <w:rsid w:val="7A8F318B"/>
    <w:rsid w:val="7A971B46"/>
    <w:rsid w:val="7ADC408A"/>
    <w:rsid w:val="7AE606AF"/>
    <w:rsid w:val="7AE75F94"/>
    <w:rsid w:val="7AF409AB"/>
    <w:rsid w:val="7B133128"/>
    <w:rsid w:val="7B1959FC"/>
    <w:rsid w:val="7B1C502C"/>
    <w:rsid w:val="7B3202D1"/>
    <w:rsid w:val="7B52681B"/>
    <w:rsid w:val="7B5D131E"/>
    <w:rsid w:val="7B613154"/>
    <w:rsid w:val="7B956EA2"/>
    <w:rsid w:val="7BB34580"/>
    <w:rsid w:val="7BC44ABA"/>
    <w:rsid w:val="7BD26CFC"/>
    <w:rsid w:val="7BE91898"/>
    <w:rsid w:val="7BF60D85"/>
    <w:rsid w:val="7CFB3D35"/>
    <w:rsid w:val="7D6513F2"/>
    <w:rsid w:val="7D7C4AB4"/>
    <w:rsid w:val="7D7D75C8"/>
    <w:rsid w:val="7DB41B16"/>
    <w:rsid w:val="7DEB79E2"/>
    <w:rsid w:val="7DEF19CE"/>
    <w:rsid w:val="7DFC5027"/>
    <w:rsid w:val="7E002D54"/>
    <w:rsid w:val="7E1A04DD"/>
    <w:rsid w:val="7E74358B"/>
    <w:rsid w:val="7E7F7F16"/>
    <w:rsid w:val="7F0F534D"/>
    <w:rsid w:val="7F1046BF"/>
    <w:rsid w:val="7F524FAC"/>
    <w:rsid w:val="7F600D62"/>
    <w:rsid w:val="7FA60F96"/>
    <w:rsid w:val="7FB563F9"/>
    <w:rsid w:val="7FE05A59"/>
    <w:rsid w:val="E7E55CC2"/>
    <w:rsid w:val="FF7B9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6"/>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8"/>
    <w:link w:val="53"/>
    <w:qFormat/>
    <w:uiPriority w:val="0"/>
    <w:pPr>
      <w:ind w:firstLine="420"/>
    </w:pPr>
    <w:rPr>
      <w:rFonts w:eastAsia="宋体"/>
    </w:rPr>
  </w:style>
  <w:style w:type="paragraph" w:styleId="8">
    <w:name w:val="Body Text"/>
    <w:basedOn w:val="1"/>
    <w:next w:val="1"/>
    <w:link w:val="88"/>
    <w:unhideWhenUsed/>
    <w:qFormat/>
    <w:uiPriority w:val="99"/>
    <w:pPr>
      <w:spacing w:after="120"/>
    </w:pPr>
    <w:rPr>
      <w:rFonts w:ascii="Times New Roman" w:hAnsi="Times New Roman" w:eastAsia="宋体" w:cs="Times New Roman"/>
      <w:sz w:val="28"/>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0"/>
    <w:unhideWhenUsed/>
    <w:qFormat/>
    <w:uiPriority w:val="99"/>
    <w:rPr>
      <w:rFonts w:ascii="宋体"/>
      <w:sz w:val="18"/>
      <w:szCs w:val="18"/>
    </w:rPr>
  </w:style>
  <w:style w:type="paragraph" w:styleId="11">
    <w:name w:val="annotation text"/>
    <w:basedOn w:val="1"/>
    <w:link w:val="85"/>
    <w:unhideWhenUsed/>
    <w:qFormat/>
    <w:uiPriority w:val="99"/>
    <w:pPr>
      <w:jc w:val="left"/>
    </w:pPr>
  </w:style>
  <w:style w:type="paragraph" w:styleId="12">
    <w:name w:val="Body Text Indent"/>
    <w:basedOn w:val="1"/>
    <w:next w:val="13"/>
    <w:link w:val="77"/>
    <w:qFormat/>
    <w:uiPriority w:val="0"/>
    <w:pPr>
      <w:spacing w:line="200" w:lineRule="atLeast"/>
      <w:ind w:firstLine="301"/>
    </w:pPr>
    <w:rPr>
      <w:rFonts w:ascii="宋体" w:hAnsi="Courier New"/>
      <w:spacing w:val="-4"/>
      <w:sz w:val="18"/>
    </w:rPr>
  </w:style>
  <w:style w:type="paragraph" w:styleId="13">
    <w:name w:val="Body Text First Indent 2"/>
    <w:basedOn w:val="12"/>
    <w:link w:val="93"/>
    <w:unhideWhenUsed/>
    <w:qFormat/>
    <w:uiPriority w:val="99"/>
    <w:pPr>
      <w:ind w:firstLine="420"/>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62"/>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91"/>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9"/>
    <w:qFormat/>
    <w:uiPriority w:val="0"/>
    <w:rPr>
      <w:rFonts w:ascii="Times New Roman" w:hAnsi="Times New Roman" w:eastAsia="宋体" w:cs="Times New Roman"/>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9"/>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63"/>
    <w:unhideWhenUsed/>
    <w:qFormat/>
    <w:uiPriority w:val="99"/>
    <w:rPr>
      <w:b/>
      <w:bCs/>
      <w:sz w:val="28"/>
      <w:szCs w:val="24"/>
    </w:rPr>
  </w:style>
  <w:style w:type="paragraph" w:styleId="24">
    <w:name w:val="Body Text First Indent"/>
    <w:basedOn w:val="8"/>
    <w:next w:val="1"/>
    <w:qFormat/>
    <w:uiPriority w:val="99"/>
    <w:pPr>
      <w:ind w:firstLine="420" w:firstLineChars="100"/>
    </w:pPr>
    <w:rPr>
      <w:sz w:val="21"/>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Emphasis"/>
    <w:basedOn w:val="27"/>
    <w:qFormat/>
    <w:uiPriority w:val="20"/>
    <w:rPr>
      <w:i/>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paragraph" w:customStyle="1" w:styleId="38">
    <w:name w:val="Default"/>
    <w:next w:val="3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2">
    <w:name w:val="页眉 字符"/>
    <w:basedOn w:val="27"/>
    <w:link w:val="19"/>
    <w:qFormat/>
    <w:uiPriority w:val="99"/>
    <w:rPr>
      <w:sz w:val="18"/>
      <w:szCs w:val="18"/>
    </w:rPr>
  </w:style>
  <w:style w:type="character" w:customStyle="1" w:styleId="43">
    <w:name w:val="页脚 字符"/>
    <w:basedOn w:val="27"/>
    <w:link w:val="18"/>
    <w:qFormat/>
    <w:uiPriority w:val="99"/>
    <w:rPr>
      <w:sz w:val="18"/>
      <w:szCs w:val="18"/>
    </w:rPr>
  </w:style>
  <w:style w:type="character" w:customStyle="1" w:styleId="44">
    <w:name w:val="标题 1 字符"/>
    <w:basedOn w:val="27"/>
    <w:link w:val="2"/>
    <w:qFormat/>
    <w:uiPriority w:val="9"/>
    <w:rPr>
      <w:rFonts w:ascii="Times New Roman" w:hAnsi="Times New Roman" w:eastAsia="宋体" w:cs="Times New Roman"/>
      <w:b/>
      <w:bCs/>
      <w:kern w:val="44"/>
      <w:sz w:val="44"/>
      <w:szCs w:val="44"/>
    </w:rPr>
  </w:style>
  <w:style w:type="character" w:customStyle="1" w:styleId="45">
    <w:name w:val="标题 2 字符"/>
    <w:basedOn w:val="27"/>
    <w:link w:val="3"/>
    <w:qFormat/>
    <w:uiPriority w:val="9"/>
    <w:rPr>
      <w:rFonts w:ascii="Cambria" w:hAnsi="Cambria" w:eastAsia="宋体" w:cs="Times New Roman"/>
      <w:b/>
      <w:bCs/>
      <w:sz w:val="32"/>
      <w:szCs w:val="32"/>
    </w:rPr>
  </w:style>
  <w:style w:type="character" w:customStyle="1" w:styleId="46">
    <w:name w:val="标题 3 字符"/>
    <w:basedOn w:val="27"/>
    <w:link w:val="4"/>
    <w:qFormat/>
    <w:uiPriority w:val="9"/>
    <w:rPr>
      <w:rFonts w:ascii="Times New Roman" w:hAnsi="Times New Roman" w:eastAsia="宋体" w:cs="Times New Roman"/>
      <w:b/>
      <w:bCs/>
      <w:sz w:val="32"/>
      <w:szCs w:val="32"/>
    </w:rPr>
  </w:style>
  <w:style w:type="character" w:customStyle="1" w:styleId="47">
    <w:name w:val="jbox-icon-none"/>
    <w:qFormat/>
    <w:uiPriority w:val="0"/>
    <w:rPr>
      <w:vanish/>
    </w:rPr>
  </w:style>
  <w:style w:type="character" w:customStyle="1" w:styleId="48">
    <w:name w:val="z-窗体底端 字符"/>
    <w:link w:val="49"/>
    <w:qFormat/>
    <w:uiPriority w:val="99"/>
    <w:rPr>
      <w:rFonts w:ascii="Arial" w:hAnsi="Arial"/>
      <w:vanish/>
      <w:sz w:val="16"/>
      <w:szCs w:val="16"/>
    </w:rPr>
  </w:style>
  <w:style w:type="paragraph" w:customStyle="1" w:styleId="49">
    <w:name w:val="z-窗体底端1"/>
    <w:basedOn w:val="1"/>
    <w:next w:val="1"/>
    <w:link w:val="48"/>
    <w:unhideWhenUsed/>
    <w:qFormat/>
    <w:uiPriority w:val="99"/>
    <w:pPr>
      <w:widowControl/>
      <w:pBdr>
        <w:top w:val="single" w:color="auto" w:sz="6" w:space="1"/>
      </w:pBdr>
      <w:jc w:val="center"/>
    </w:pPr>
    <w:rPr>
      <w:rFonts w:ascii="Arial" w:hAnsi="Arial"/>
      <w:vanish/>
      <w:sz w:val="16"/>
      <w:szCs w:val="16"/>
    </w:rPr>
  </w:style>
  <w:style w:type="character" w:customStyle="1" w:styleId="50">
    <w:name w:val="文档结构图 字符"/>
    <w:link w:val="10"/>
    <w:qFormat/>
    <w:uiPriority w:val="99"/>
    <w:rPr>
      <w:rFonts w:ascii="宋体"/>
      <w:sz w:val="18"/>
      <w:szCs w:val="18"/>
    </w:rPr>
  </w:style>
  <w:style w:type="character" w:customStyle="1" w:styleId="51">
    <w:name w:val="black601"/>
    <w:qFormat/>
    <w:uiPriority w:val="0"/>
    <w:rPr>
      <w:color w:val="666666"/>
    </w:rPr>
  </w:style>
  <w:style w:type="character" w:customStyle="1" w:styleId="52">
    <w:name w:val="hour_pm"/>
    <w:basedOn w:val="27"/>
    <w:qFormat/>
    <w:uiPriority w:val="0"/>
  </w:style>
  <w:style w:type="character" w:customStyle="1" w:styleId="53">
    <w:name w:val="正文缩进 字符"/>
    <w:link w:val="7"/>
    <w:qFormat/>
    <w:uiPriority w:val="0"/>
    <w:rPr>
      <w:rFonts w:eastAsia="宋体"/>
    </w:rPr>
  </w:style>
  <w:style w:type="character" w:customStyle="1" w:styleId="54">
    <w:name w:val="标题 1 Char Char"/>
    <w:qFormat/>
    <w:uiPriority w:val="0"/>
    <w:rPr>
      <w:rFonts w:eastAsia="宋体"/>
      <w:b/>
      <w:spacing w:val="-2"/>
      <w:sz w:val="24"/>
      <w:lang w:val="en-US" w:eastAsia="zh-CN" w:bidi="ar-SA"/>
    </w:rPr>
  </w:style>
  <w:style w:type="character" w:customStyle="1" w:styleId="55">
    <w:name w:val="jbox-icon-info"/>
    <w:basedOn w:val="27"/>
    <w:qFormat/>
    <w:uiPriority w:val="0"/>
  </w:style>
  <w:style w:type="character" w:customStyle="1" w:styleId="56">
    <w:name w:val="hover9"/>
    <w:qFormat/>
    <w:uiPriority w:val="0"/>
    <w:rPr>
      <w:shd w:val="clear" w:color="auto" w:fill="EEEEEE"/>
    </w:rPr>
  </w:style>
  <w:style w:type="character" w:customStyle="1" w:styleId="57">
    <w:name w:val="maywed421"/>
    <w:qFormat/>
    <w:uiPriority w:val="0"/>
    <w:rPr>
      <w:color w:val="366FB6"/>
      <w:u w:val="none"/>
    </w:rPr>
  </w:style>
  <w:style w:type="character" w:customStyle="1" w:styleId="58">
    <w:name w:val="old"/>
    <w:qFormat/>
    <w:uiPriority w:val="0"/>
    <w:rPr>
      <w:color w:val="999999"/>
    </w:rPr>
  </w:style>
  <w:style w:type="character" w:customStyle="1" w:styleId="59">
    <w:name w:val="jbox-icon-warning"/>
    <w:basedOn w:val="27"/>
    <w:qFormat/>
    <w:uiPriority w:val="0"/>
  </w:style>
  <w:style w:type="character" w:customStyle="1" w:styleId="60">
    <w:name w:val="z-窗体顶端 字符"/>
    <w:link w:val="61"/>
    <w:qFormat/>
    <w:uiPriority w:val="99"/>
    <w:rPr>
      <w:rFonts w:ascii="Arial" w:hAnsi="Arial"/>
      <w:vanish/>
      <w:sz w:val="16"/>
      <w:szCs w:val="16"/>
    </w:rPr>
  </w:style>
  <w:style w:type="paragraph" w:customStyle="1" w:styleId="61">
    <w:name w:val="z-窗体顶端1"/>
    <w:basedOn w:val="1"/>
    <w:next w:val="1"/>
    <w:link w:val="60"/>
    <w:unhideWhenUsed/>
    <w:qFormat/>
    <w:uiPriority w:val="99"/>
    <w:pPr>
      <w:widowControl/>
      <w:pBdr>
        <w:bottom w:val="single" w:color="auto" w:sz="6" w:space="1"/>
      </w:pBdr>
      <w:jc w:val="center"/>
    </w:pPr>
    <w:rPr>
      <w:rFonts w:ascii="Arial" w:hAnsi="Arial"/>
      <w:vanish/>
      <w:sz w:val="16"/>
      <w:szCs w:val="16"/>
    </w:rPr>
  </w:style>
  <w:style w:type="character" w:customStyle="1" w:styleId="62">
    <w:name w:val="纯文本 字符1"/>
    <w:link w:val="15"/>
    <w:qFormat/>
    <w:uiPriority w:val="99"/>
    <w:rPr>
      <w:rFonts w:ascii="宋体" w:hAnsi="Courier New"/>
      <w:sz w:val="24"/>
      <w:szCs w:val="24"/>
    </w:rPr>
  </w:style>
  <w:style w:type="character" w:customStyle="1" w:styleId="63">
    <w:name w:val="批注主题 字符"/>
    <w:link w:val="23"/>
    <w:qFormat/>
    <w:uiPriority w:val="99"/>
    <w:rPr>
      <w:b/>
      <w:bCs/>
      <w:sz w:val="28"/>
      <w:szCs w:val="24"/>
    </w:rPr>
  </w:style>
  <w:style w:type="character" w:customStyle="1" w:styleId="64">
    <w:name w:val="jbox-icon-loading"/>
    <w:basedOn w:val="27"/>
    <w:qFormat/>
    <w:uiPriority w:val="0"/>
  </w:style>
  <w:style w:type="character" w:customStyle="1" w:styleId="65">
    <w:name w:val="正文文本缩进 字符"/>
    <w:qFormat/>
    <w:uiPriority w:val="0"/>
    <w:rPr>
      <w:rFonts w:ascii="宋体" w:hAnsi="Courier New"/>
      <w:spacing w:val="-4"/>
      <w:kern w:val="2"/>
      <w:sz w:val="18"/>
    </w:rPr>
  </w:style>
  <w:style w:type="character" w:customStyle="1" w:styleId="66">
    <w:name w:val="正文文本缩进 字符1"/>
    <w:qFormat/>
    <w:uiPriority w:val="0"/>
    <w:rPr>
      <w:rFonts w:ascii="宋体" w:hAnsi="Courier New"/>
      <w:spacing w:val="-4"/>
      <w:kern w:val="2"/>
      <w:sz w:val="18"/>
    </w:rPr>
  </w:style>
  <w:style w:type="character" w:customStyle="1" w:styleId="67">
    <w:name w:val="纯文本 字符"/>
    <w:qFormat/>
    <w:uiPriority w:val="99"/>
    <w:rPr>
      <w:rFonts w:ascii="宋体" w:hAnsi="Courier New"/>
      <w:kern w:val="2"/>
      <w:sz w:val="24"/>
      <w:szCs w:val="24"/>
    </w:rPr>
  </w:style>
  <w:style w:type="character" w:customStyle="1" w:styleId="68">
    <w:name w:val="jbox-icon-question"/>
    <w:basedOn w:val="27"/>
    <w:qFormat/>
    <w:uiPriority w:val="0"/>
  </w:style>
  <w:style w:type="character" w:customStyle="1" w:styleId="69">
    <w:name w:val="jbox-icon"/>
    <w:basedOn w:val="27"/>
    <w:qFormat/>
    <w:uiPriority w:val="0"/>
  </w:style>
  <w:style w:type="character" w:customStyle="1" w:styleId="70">
    <w:name w:val="纯文本 字符2"/>
    <w:qFormat/>
    <w:uiPriority w:val="99"/>
    <w:rPr>
      <w:rFonts w:ascii="宋体" w:hAnsi="Courier New"/>
      <w:kern w:val="2"/>
      <w:sz w:val="24"/>
      <w:szCs w:val="24"/>
    </w:rPr>
  </w:style>
  <w:style w:type="character" w:customStyle="1" w:styleId="71">
    <w:name w:val="hour_am"/>
    <w:basedOn w:val="27"/>
    <w:qFormat/>
    <w:uiPriority w:val="0"/>
  </w:style>
  <w:style w:type="character" w:customStyle="1" w:styleId="72">
    <w:name w:val="jbox-icon-success"/>
    <w:basedOn w:val="27"/>
    <w:qFormat/>
    <w:uiPriority w:val="0"/>
  </w:style>
  <w:style w:type="character" w:customStyle="1" w:styleId="73">
    <w:name w:val="批注文字 字符"/>
    <w:qFormat/>
    <w:uiPriority w:val="99"/>
    <w:rPr>
      <w:kern w:val="2"/>
      <w:sz w:val="28"/>
      <w:szCs w:val="24"/>
    </w:rPr>
  </w:style>
  <w:style w:type="character" w:customStyle="1" w:styleId="74">
    <w:name w:val="纯文本 Char1"/>
    <w:qFormat/>
    <w:uiPriority w:val="0"/>
    <w:rPr>
      <w:rFonts w:ascii="宋体" w:hAnsi="Courier New"/>
      <w:kern w:val="2"/>
      <w:sz w:val="21"/>
    </w:rPr>
  </w:style>
  <w:style w:type="character" w:customStyle="1" w:styleId="75">
    <w:name w:val="纯文本 Char"/>
    <w:qFormat/>
    <w:uiPriority w:val="99"/>
    <w:rPr>
      <w:rFonts w:ascii="宋体" w:hAnsi="Courier New"/>
      <w:kern w:val="2"/>
      <w:sz w:val="24"/>
      <w:szCs w:val="24"/>
    </w:rPr>
  </w:style>
  <w:style w:type="character" w:customStyle="1" w:styleId="76">
    <w:name w:val="sub_title s0"/>
    <w:basedOn w:val="27"/>
    <w:qFormat/>
    <w:uiPriority w:val="0"/>
  </w:style>
  <w:style w:type="character" w:customStyle="1" w:styleId="77">
    <w:name w:val="正文文本缩进 字符2"/>
    <w:link w:val="12"/>
    <w:qFormat/>
    <w:uiPriority w:val="0"/>
    <w:rPr>
      <w:rFonts w:ascii="宋体" w:hAnsi="Courier New"/>
      <w:spacing w:val="-4"/>
      <w:sz w:val="18"/>
    </w:rPr>
  </w:style>
  <w:style w:type="character" w:customStyle="1" w:styleId="78">
    <w:name w:val="jbox-icon-error"/>
    <w:basedOn w:val="27"/>
    <w:qFormat/>
    <w:uiPriority w:val="0"/>
  </w:style>
  <w:style w:type="character" w:customStyle="1" w:styleId="79">
    <w:name w:val="正文文本 2 字符"/>
    <w:basedOn w:val="27"/>
    <w:link w:val="21"/>
    <w:qFormat/>
    <w:uiPriority w:val="0"/>
    <w:rPr>
      <w:rFonts w:ascii="宋体" w:hAnsi="宋体" w:eastAsia="宋体" w:cs="Times New Roman"/>
      <w:color w:val="000000"/>
      <w:sz w:val="24"/>
      <w:szCs w:val="24"/>
    </w:rPr>
  </w:style>
  <w:style w:type="paragraph" w:customStyle="1" w:styleId="8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1">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2">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3">
    <w:name w:val="z-窗体顶端 字符1"/>
    <w:basedOn w:val="27"/>
    <w:semiHidden/>
    <w:qFormat/>
    <w:uiPriority w:val="99"/>
    <w:rPr>
      <w:rFonts w:ascii="Arial" w:hAnsi="Arial" w:cs="Arial"/>
      <w:vanish/>
      <w:sz w:val="16"/>
      <w:szCs w:val="16"/>
    </w:rPr>
  </w:style>
  <w:style w:type="paragraph" w:customStyle="1" w:styleId="8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5">
    <w:name w:val="批注文字 字符1"/>
    <w:basedOn w:val="27"/>
    <w:link w:val="11"/>
    <w:semiHidden/>
    <w:qFormat/>
    <w:uiPriority w:val="99"/>
  </w:style>
  <w:style w:type="character" w:customStyle="1" w:styleId="86">
    <w:name w:val="批注主题 字符1"/>
    <w:basedOn w:val="85"/>
    <w:semiHidden/>
    <w:qFormat/>
    <w:uiPriority w:val="99"/>
    <w:rPr>
      <w:b/>
      <w:bCs/>
    </w:rPr>
  </w:style>
  <w:style w:type="character" w:customStyle="1" w:styleId="87">
    <w:name w:val="文档结构图 字符1"/>
    <w:basedOn w:val="27"/>
    <w:semiHidden/>
    <w:qFormat/>
    <w:uiPriority w:val="99"/>
    <w:rPr>
      <w:rFonts w:ascii="Microsoft YaHei UI" w:eastAsia="Microsoft YaHei UI"/>
      <w:sz w:val="18"/>
      <w:szCs w:val="18"/>
    </w:rPr>
  </w:style>
  <w:style w:type="character" w:customStyle="1" w:styleId="88">
    <w:name w:val="正文文本 字符"/>
    <w:basedOn w:val="27"/>
    <w:link w:val="8"/>
    <w:qFormat/>
    <w:uiPriority w:val="99"/>
    <w:rPr>
      <w:rFonts w:ascii="Times New Roman" w:hAnsi="Times New Roman" w:eastAsia="宋体" w:cs="Times New Roman"/>
      <w:sz w:val="28"/>
      <w:szCs w:val="24"/>
    </w:rPr>
  </w:style>
  <w:style w:type="character" w:customStyle="1" w:styleId="89">
    <w:name w:val="批注框文本 字符"/>
    <w:basedOn w:val="27"/>
    <w:link w:val="17"/>
    <w:qFormat/>
    <w:uiPriority w:val="0"/>
    <w:rPr>
      <w:rFonts w:ascii="Times New Roman" w:hAnsi="Times New Roman" w:eastAsia="宋体" w:cs="Times New Roman"/>
      <w:sz w:val="18"/>
      <w:szCs w:val="18"/>
    </w:rPr>
  </w:style>
  <w:style w:type="character" w:customStyle="1" w:styleId="90">
    <w:name w:val="正文文本缩进 字符3"/>
    <w:basedOn w:val="27"/>
    <w:semiHidden/>
    <w:qFormat/>
    <w:uiPriority w:val="99"/>
  </w:style>
  <w:style w:type="character" w:customStyle="1" w:styleId="91">
    <w:name w:val="日期 字符"/>
    <w:basedOn w:val="27"/>
    <w:link w:val="16"/>
    <w:qFormat/>
    <w:uiPriority w:val="0"/>
    <w:rPr>
      <w:rFonts w:ascii="Times New Roman" w:hAnsi="Times New Roman" w:eastAsia="楷体_GB2312" w:cs="Times New Roman"/>
      <w:sz w:val="32"/>
      <w:szCs w:val="20"/>
    </w:rPr>
  </w:style>
  <w:style w:type="character" w:customStyle="1" w:styleId="92">
    <w:name w:val="纯文本 字符3"/>
    <w:basedOn w:val="27"/>
    <w:semiHidden/>
    <w:qFormat/>
    <w:uiPriority w:val="99"/>
    <w:rPr>
      <w:rFonts w:hAnsi="Courier New" w:cs="Courier New" w:asciiTheme="minorEastAsia"/>
    </w:rPr>
  </w:style>
  <w:style w:type="character" w:customStyle="1" w:styleId="93">
    <w:name w:val="正文文本首行缩进 2 字符"/>
    <w:basedOn w:val="90"/>
    <w:link w:val="13"/>
    <w:qFormat/>
    <w:uiPriority w:val="99"/>
    <w:rPr>
      <w:rFonts w:ascii="宋体" w:hAnsi="Courier New"/>
      <w:spacing w:val="-4"/>
      <w:sz w:val="18"/>
    </w:rPr>
  </w:style>
  <w:style w:type="character" w:customStyle="1" w:styleId="94">
    <w:name w:val="z-窗体底端 字符1"/>
    <w:basedOn w:val="27"/>
    <w:semiHidden/>
    <w:qFormat/>
    <w:uiPriority w:val="99"/>
    <w:rPr>
      <w:rFonts w:ascii="Arial" w:hAnsi="Arial" w:cs="Arial"/>
      <w:vanish/>
      <w:sz w:val="16"/>
      <w:szCs w:val="16"/>
    </w:rPr>
  </w:style>
  <w:style w:type="paragraph" w:customStyle="1" w:styleId="95">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6">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7">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3"/>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7"/>
    <w:semiHidden/>
    <w:unhideWhenUsed/>
    <w:qFormat/>
    <w:uiPriority w:val="99"/>
    <w:rPr>
      <w:color w:val="605E5C"/>
      <w:shd w:val="clear" w:color="auto" w:fill="E1DFDD"/>
    </w:rPr>
  </w:style>
  <w:style w:type="character" w:customStyle="1" w:styleId="110">
    <w:name w:val="未处理的提及3"/>
    <w:basedOn w:val="27"/>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paragraph" w:customStyle="1" w:styleId="112">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3">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16">
    <w:name w:val="无间隔1"/>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17">
    <w:name w:val="无间隔4"/>
    <w:qFormat/>
    <w:uiPriority w:val="0"/>
    <w:rPr>
      <w:rFonts w:ascii="Calibri" w:hAnsi="Calibri" w:eastAsia="宋体" w:cs="Times New Roman"/>
      <w:sz w:val="22"/>
      <w:szCs w:val="22"/>
      <w:lang w:val="en-US" w:eastAsia="en-US" w:bidi="ar-SA"/>
    </w:rPr>
  </w:style>
  <w:style w:type="paragraph" w:customStyle="1" w:styleId="118">
    <w:name w:val="正文一"/>
    <w:basedOn w:val="1"/>
    <w:qFormat/>
    <w:uiPriority w:val="0"/>
    <w:pPr>
      <w:widowControl/>
      <w:spacing w:line="360" w:lineRule="auto"/>
      <w:ind w:firstLine="480" w:firstLineChars="200"/>
      <w:jc w:val="left"/>
    </w:pPr>
    <w:rPr>
      <w:kern w:val="0"/>
      <w:lang w:bidi="he-IL"/>
    </w:rPr>
  </w:style>
  <w:style w:type="paragraph" w:customStyle="1" w:styleId="119">
    <w:name w:val="[Normal]"/>
    <w:qFormat/>
    <w:uiPriority w:val="99"/>
    <w:rPr>
      <w:rFonts w:ascii="宋体" w:hAnsi="宋体" w:eastAsia="宋体" w:cs="Times New Roman"/>
      <w:sz w:val="24"/>
      <w:szCs w:val="22"/>
      <w:lang w:val="zh-CN" w:eastAsia="zh-CN" w:bidi="ar-SA"/>
    </w:rPr>
  </w:style>
  <w:style w:type="paragraph" w:customStyle="1" w:styleId="120">
    <w:name w:val="A正文小四"/>
    <w:basedOn w:val="1"/>
    <w:qFormat/>
    <w:uiPriority w:val="99"/>
    <w:pPr>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27956</Words>
  <Characters>29432</Characters>
  <Lines>219</Lines>
  <Paragraphs>61</Paragraphs>
  <TotalTime>8</TotalTime>
  <ScaleCrop>false</ScaleCrop>
  <LinksUpToDate>false</LinksUpToDate>
  <CharactersWithSpaces>30264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2025-05-14T16:22:00Z</dcterms:created>
  <dc:creator>hj j</dc:creator>
  <cp:lastModifiedBy>Young..</cp:lastModifiedBy>
  <dcterms:modified xsi:type="dcterms:W3CDTF">2025-05-26T08:44:11Z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403648E233C44F8186E9CBBEBBA65947_13</vt:lpwstr>
  </property>
  <property fmtid="{D5CDD505-2E9C-101B-9397-08002B2CF9AE}" pid="4" name="KSOTemplateDocerSaveRecord">
    <vt:lpwstr>eyJoZGlkIjoiYmQ3OWFmNTlmZWFjOTZiYjc4MDhkMDU3NjEwZjk4ZTMiLCJ1c2VySWQiOiI0NjQ2NDIzODAifQ==</vt:lpwstr>
  </property>
</Properties>
</file>