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为落实政府采购政策需满足的要求：</w:t>
      </w:r>
    </w:p>
    <w:tbl>
      <w:tblPr>
        <w:tblStyle w:val="5"/>
        <w:tblW w:w="94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bookmarkStart w:id="0" w:name="_Hlk45005599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政策名称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政府采购进口产品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政府强制采购节能产品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政府优先采购节能、环保产品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政府采购促进中小企业发展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本项目采购标的类型为：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，采购标的对应的中小企业划分标准所属行业：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建筑业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中小企业划型标准：</w:t>
            </w:r>
            <w:r>
              <w:rPr>
                <w:rFonts w:hint="eastAsia" w:ascii="宋体" w:hAnsi="宋体"/>
                <w:sz w:val="21"/>
                <w:szCs w:val="21"/>
              </w:rPr>
              <w:t>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政府采购支持监狱企业发展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政府采购促进残疾人就业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</w:tc>
      </w:tr>
      <w:bookmarkEnd w:id="0"/>
    </w:tbl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5"/>
        <w:tblW w:w="94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bookmarkStart w:id="1" w:name="_Hlk45005608"/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Lines="0" w:afterLines="0" w:line="240" w:lineRule="auto"/>
              <w:rPr>
                <w:rFonts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pacing w:val="-6"/>
                <w:kern w:val="0"/>
                <w:sz w:val="21"/>
                <w:szCs w:val="21"/>
              </w:rPr>
              <w:t>合同（协议）签订前一周内，中标人向采购人缴纳壹万的履约保证金</w:t>
            </w:r>
          </w:p>
          <w:p>
            <w:pPr>
              <w:pStyle w:val="4"/>
              <w:spacing w:beforeLines="0" w:afterLines="0" w:line="240" w:lineRule="auto"/>
              <w:rPr>
                <w:rFonts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Ansi="宋体" w:cs="宋体"/>
                <w:spacing w:val="-6"/>
                <w:kern w:val="0"/>
                <w:sz w:val="21"/>
                <w:szCs w:val="21"/>
              </w:rPr>
              <w:t>2</w:t>
            </w:r>
            <w:r>
              <w:rPr>
                <w:rFonts w:hint="eastAsia" w:hAnsi="宋体" w:cs="宋体"/>
                <w:spacing w:val="-6"/>
                <w:kern w:val="0"/>
                <w:sz w:val="21"/>
                <w:szCs w:val="21"/>
              </w:rPr>
              <w:t>、如中标人原因造成合同中止，履约保证金不返还。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、如中标人不能按投标承诺和合同要求履约，采购人将有权扣除相应甚至全部履约保证金。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396" w:firstLineChars="20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单项零星维修工程完工验收合格并交付使用后，中标人将工程结（决）算资料（一式三份）交采购人初审，初审通过后交审计单位进行审计。经工程第三方造价审计后，中标人按审计金额开具等额的发票后，采购人按最终工程款的结算价一次性付清该工程的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结算方式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结算规则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1、结算金额 = 项目总价*总价折扣（项目总价=分部分项工程费+措施项目费+规费+利润+增值税）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2、采购人不预付工程款，一般每季度对规定限额以上工程项目组织集中审计1次，并按审计结果支付款项。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3、工程竣工验收合格后，经结算审计后支付结算价的100%。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4、水电费按结算金额的0.5%扣除。</w:t>
            </w:r>
          </w:p>
          <w:p>
            <w:pPr>
              <w:adjustRightInd w:val="0"/>
              <w:snapToGrid w:val="0"/>
              <w:spacing w:line="288" w:lineRule="auto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5、税金，按相关政策标准执行。</w:t>
            </w:r>
          </w:p>
        </w:tc>
      </w:tr>
      <w:bookmarkEnd w:id="1"/>
    </w:tbl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结算口径及要求：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1.计价依据：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建设工程计价规则》（2018版）、《浙江省房屋建筑与装饰工程预算定额》（2018版）、《浙江省通用安装工程预算定额》（2018版）、《浙江省市政工程预算定额》（2018版）、《浙江省园林绿化及仿古建筑工程预算定额》（2018版）及相关补充解释。政策性法规调整的口径按实计入结算；本工程采用一般计税法结算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2.取费标准：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2.1房屋建筑与装饰工程：施工组织措施费（仅计安全文明施工费、二次搬运费）、利润、企业管理费按单独装饰工程取费中值计取，规费按单独装饰工程取费计取，税金按照9%计取；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2.2安装工程：施工组织措施费（仅计安全文明施工费、二次搬运费）、利润、企业管理费按水、电、暖通、消防、智能、自控及通信安装工程取费中值计取，规费按水、电、暖通、消防、智能、自控及通信安装工程取费计取，税金按照9%计取；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2.3材料单价按施工期间正刊信息价（除税价）平均值计取，无信息价按照签证价计取；定额人工按施工期间杭州市信息价平均值计入（差价仅计算税金）。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2.4信息价指《杭州造价信息》和《浙江造价信息》中的材料信息价，信息价引用优先顺序依次为：《杭州造价信息》、《浙江造价信息》。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3、零星点工：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零星点工分技术工种和无技术工种，技术工种（含水电工、电焊工、油漆工等），1个工日为8小时，工作4小时以内为0.5个工日，工作超过4小时为1个工日，由投标人在报价时综合考虑。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4、如有其他项目费用，则以采购人书面签证的为准。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零星维修项目完成后必须按相关规定进行验收，并由使用部门或项目管理部门出具书面验收、接收文件；每项零星维修项目施工结束后，投标人在1个月内递交工程结（决）算资料交采购人，以采购人和第三方审计单位审计为准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6、各项工程要求达到最新国家民用建筑施工质量的合格标准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7、不论投标结果如何，供应商均应自行承担所有与投标有关的全部费用。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备注：由投标人对工程项目的质量、工期、安全、文明施工、机械设备等实行全面承包，并做好与和相关部门、科室的配合工作；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维修改造工作不得影响学校正常工作，需要按学校管理需要临时调整施工时间等，施工作业环境的种种不利因素均需由投标人考虑，并将所需费用包含在投标报价中。</w:t>
      </w: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pacing w:val="-6"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服务时间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合同签订之日起1年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质保期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承诺单项防水工程质保不少于3年，符合（工程施工质量验收规范）合格标准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▲质保期不满足招标文件要求的投标无效。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质量要求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0"/>
              </w:rPr>
              <w:t>符合（工程施工质量验收规范）合格标准</w:t>
            </w:r>
          </w:p>
        </w:tc>
      </w:tr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</w:t>
      </w:r>
      <w:r>
        <w:rPr>
          <w:rFonts w:ascii="宋体" w:hAnsi="宋体"/>
          <w:b/>
          <w:sz w:val="21"/>
          <w:szCs w:val="21"/>
        </w:rPr>
        <w:t>、技术要求</w:t>
      </w:r>
    </w:p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  <w:highlight w:val="yellow"/>
        </w:rPr>
      </w:pP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1</w:t>
      </w:r>
      <w:r>
        <w:rPr>
          <w:rFonts w:ascii="宋体" w:hAnsi="宋体" w:cs="宋体"/>
          <w:b/>
          <w:bCs/>
          <w:sz w:val="21"/>
          <w:szCs w:val="21"/>
        </w:rPr>
        <w:t>.</w:t>
      </w:r>
      <w:r>
        <w:rPr>
          <w:rFonts w:hint="eastAsia" w:ascii="宋体" w:hAnsi="宋体" w:cs="宋体"/>
          <w:b/>
          <w:bCs/>
          <w:sz w:val="21"/>
          <w:szCs w:val="21"/>
        </w:rPr>
        <w:t>需执行的国家相关标准、行业标准、地方标准或者其他标准、规范：</w:t>
      </w:r>
      <w:bookmarkStart w:id="2" w:name="_Hlk94018176"/>
      <w:r>
        <w:rPr>
          <w:rFonts w:hint="eastAsia" w:ascii="宋体" w:hAnsi="宋体" w:cs="宋体"/>
          <w:sz w:val="21"/>
          <w:szCs w:val="21"/>
        </w:rPr>
        <w:t>如技术要求中未注明需执行的国家相关标准、行业标准、地方标准或者其他标准、规范的，执行最新标准、规范。</w:t>
      </w:r>
      <w:bookmarkEnd w:id="2"/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pacing w:val="-4"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2.</w:t>
      </w:r>
      <w:r>
        <w:rPr>
          <w:rFonts w:hint="eastAsia" w:ascii="宋体" w:hAnsi="宋体"/>
          <w:b/>
          <w:bCs/>
          <w:spacing w:val="-4"/>
          <w:sz w:val="21"/>
          <w:szCs w:val="21"/>
        </w:rPr>
        <w:t>需满足的服务要求：</w:t>
      </w:r>
    </w:p>
    <w:p>
      <w:pPr>
        <w:adjustRightInd w:val="0"/>
        <w:snapToGrid w:val="0"/>
        <w:spacing w:line="288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（一）项目概况</w:t>
      </w:r>
    </w:p>
    <w:p>
      <w:pPr>
        <w:adjustRightInd w:val="0"/>
        <w:snapToGrid w:val="0"/>
        <w:spacing w:line="288" w:lineRule="auto"/>
        <w:ind w:firstLine="420" w:firstLineChars="200"/>
        <w:rPr>
          <w:sz w:val="21"/>
          <w:szCs w:val="20"/>
        </w:rPr>
      </w:pPr>
      <w:r>
        <w:rPr>
          <w:rFonts w:hint="eastAsia"/>
          <w:sz w:val="21"/>
          <w:szCs w:val="20"/>
        </w:rPr>
        <w:t>学院地址位于海宁市长安镇仰山路2号，总建筑面积30.1025万平方米，共包含32幢单体建筑物，于2010年逐步投入使用。本次招标的内容包括但不限于以下内容：房屋屋面、外墙、幕墙玻璃等防水维修工程，及日常的房屋建筑渗漏水维护。</w:t>
      </w:r>
    </w:p>
    <w:p>
      <w:pPr>
        <w:adjustRightInd w:val="0"/>
        <w:snapToGrid w:val="0"/>
        <w:spacing w:line="288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（二）项目服务要求   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1.总体服务要求：有能力及时、准确地提供维修服务响应及时、施工文明、安全保障、质量进度符合作业规定。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2.响应时间：投标人必须承诺，在接到采购人维修通知后，2小时内赶到现场，小修4小时内修复，其他要保证学校的正常工作，在最短时间内组织施工技术人员进场施工，并在规定时间内完成维修任务。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要求每一单项工作的进场时间和工期无条件服从采购人的需要，要求为本项目提供随叫随到的服务响应，保证维修工程及时完成，并按工程内容需要派出人数足够、专业和工种与施工内容相符，且有经验的施工管理和施工人员。如未及时到场维修或未在按采购人要求的时间内完成，则每发生一次由采购人在工程结算款中扣除1000元人民币，情节严重的，采购人可单方解除合同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投标人应确保维修选用材料的质量符合国家有关规定，不得提供冒牌及不合格产品，否则一旦查实，采购人有权取消其投标人资格，并要求赔偿相应损失。防水工程进场时应提供材料出厂合格证、检验证等技术资料，所有维修用的材料必须为合格产品，防水施工人员须持证上岗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5.采购人将对投标人进行定期考核，考核不合格的，采购人有权提前终止合同。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6.防水补漏项目完成后按规范要求及时验收，方法：（1）淋水试验；（2）一场大雨或二场中雨，以不渗漏为验收合格。在保修期内，施工方应在接到采购人维护通知24小时内派人员到现场维修。</w:t>
      </w:r>
    </w:p>
    <w:p>
      <w:pPr>
        <w:adjustRightInd w:val="0"/>
        <w:snapToGrid w:val="0"/>
        <w:spacing w:line="288" w:lineRule="auto"/>
        <w:ind w:firstLine="420" w:firstLineChars="200"/>
        <w:rPr>
          <w:sz w:val="21"/>
          <w:szCs w:val="20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</w:t>
      </w:r>
      <w:r>
        <w:rPr>
          <w:rFonts w:hint="eastAsia"/>
          <w:sz w:val="21"/>
          <w:szCs w:val="20"/>
        </w:rPr>
        <w:t>预计年维修预算为40万元。采购人不承诺在招标确定的服务期限内实施项目的多少。投标人需在投标前综合考虑该因素发生的风险，该风险一旦发生由投标人自行承担。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投标前可自行勘查现场，充分了解项目实际要求,以做出准确报价。因现场勘查不充分导致的报价缺失的由投标人自行承担，采购人不再支付额外费用。现场勘查所产生的安全风险由投标人自行承担。因目前校园疫情防控，如需现场踏勘须提前1天报备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踏勘时间：/至2022年0</w:t>
      </w:r>
      <w:r>
        <w:rPr>
          <w:rFonts w:asciiTheme="minorEastAsia" w:hAnsiTheme="minorEastAsia" w:eastAsiaTheme="minorEastAsia" w:cstheme="minorEastAsia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asciiTheme="minorEastAsia" w:hAnsiTheme="minorEastAsia" w:eastAsiaTheme="minorEastAsia" w:cstheme="minorEastAsia"/>
          <w:sz w:val="21"/>
          <w:szCs w:val="21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日（工作日），09:00-11：00，14：00-15:00</w:t>
      </w:r>
    </w:p>
    <w:p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联系人：马老师、沈老师0573-87571285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FA1E2"/>
    <w:multiLevelType w:val="singleLevel"/>
    <w:tmpl w:val="484FA1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000000"/>
    <w:rsid w:val="0E7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Plain Text"/>
    <w:basedOn w:val="1"/>
    <w:qFormat/>
    <w:uiPriority w:val="0"/>
    <w:pPr>
      <w:spacing w:beforeLines="50" w:afterLines="50" w:line="400" w:lineRule="atLeas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2022-06-01T06:58:03Z</dcterms:created>
  <dc:creator>Dellpc</dc:creator>
  <cp:lastModifiedBy>Dellpc</cp:lastModifiedBy>
  <dcterms:modified xsi:type="dcterms:W3CDTF">2022-06-01T06:58:07Z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463FF683EB6E4A1080AE1C7A81A353C6</vt:lpwstr>
  </property>
</Properties>
</file>