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bookmarkStart w:id="46" w:name="_GoBack"/>
      <w:bookmarkEnd w:id="46"/>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2022国际青年艺术周开幕片及开幕活动系列视频设计与制作、线下开幕式舞台制作等</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项目名称：2022国际青年艺术周开幕片及开幕活动系列视频设计与制作、线下开幕式舞台制作等</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QSZB-Z(F)-C22127(CS) </w:t>
      </w:r>
      <w:r>
        <w:rPr>
          <w:rFonts w:hint="eastAsia" w:ascii="楷体" w:hAnsi="楷体" w:eastAsia="楷体" w:cs="楷体"/>
          <w:b/>
          <w:bCs/>
          <w:color w:val="auto"/>
          <w:sz w:val="30"/>
          <w:szCs w:val="30"/>
          <w:highlight w:val="none"/>
        </w:rPr>
        <w:t xml:space="preserve">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ascii="楷体" w:hAnsi="楷体" w:eastAsia="楷体" w:cs="楷体"/>
          <w:b/>
          <w:bCs/>
          <w:color w:val="auto"/>
          <w:sz w:val="30"/>
          <w:szCs w:val="30"/>
          <w:highlight w:val="none"/>
        </w:rPr>
        <w:t>[2022]26646号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602" w:firstLineChars="200"/>
        <w:rPr>
          <w:rFonts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2022国际青年艺术周开幕片及开幕活动系列视频设计与制作、线下开幕式舞台搭建、制作、设备租赁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2022年</w:t>
      </w:r>
      <w:r>
        <w:rPr>
          <w:rFonts w:hint="eastAsia"/>
          <w:b/>
          <w:color w:val="auto"/>
          <w:sz w:val="21"/>
          <w:szCs w:val="21"/>
          <w:highlight w:val="none"/>
          <w:u w:val="single"/>
          <w:lang w:val="en-US" w:eastAsia="zh-CN"/>
        </w:rPr>
        <w:t>5</w:t>
      </w:r>
      <w:r>
        <w:rPr>
          <w:rFonts w:hint="eastAsia"/>
          <w:b/>
          <w:color w:val="auto"/>
          <w:sz w:val="21"/>
          <w:szCs w:val="21"/>
          <w:highlight w:val="none"/>
          <w:u w:val="single"/>
        </w:rPr>
        <w:t>月</w:t>
      </w:r>
      <w:r>
        <w:rPr>
          <w:rFonts w:hint="eastAsia"/>
          <w:b/>
          <w:color w:val="auto"/>
          <w:sz w:val="21"/>
          <w:szCs w:val="21"/>
          <w:highlight w:val="none"/>
          <w:u w:val="single"/>
          <w:lang w:val="en-US" w:eastAsia="zh-CN"/>
        </w:rPr>
        <w:t>23</w:t>
      </w:r>
      <w:r>
        <w:rPr>
          <w:rFonts w:hint="eastAsia"/>
          <w:b/>
          <w:color w:val="auto"/>
          <w:sz w:val="21"/>
          <w:szCs w:val="21"/>
          <w:highlight w:val="none"/>
          <w:u w:val="single"/>
        </w:rPr>
        <w:t>日</w:t>
      </w:r>
      <w:r>
        <w:rPr>
          <w:rFonts w:hint="eastAsia"/>
          <w:b/>
          <w:color w:val="auto"/>
          <w:sz w:val="21"/>
          <w:szCs w:val="21"/>
          <w:highlight w:val="none"/>
          <w:u w:val="single"/>
          <w:lang w:val="en-US" w:eastAsia="zh-CN"/>
        </w:rPr>
        <w:t>9</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28359002"/>
      <w:bookmarkStart w:id="1" w:name="_Toc28359079"/>
      <w:bookmarkStart w:id="2" w:name="_Toc35393621"/>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QSZB-Z(F)-C22127(CS) </w:t>
      </w:r>
      <w:r>
        <w:rPr>
          <w:rFonts w:hint="eastAsia"/>
          <w:bCs/>
          <w:color w:val="auto"/>
          <w:sz w:val="21"/>
          <w:szCs w:val="21"/>
          <w:highlight w:val="none"/>
        </w:rPr>
        <w:t xml:space="preserve">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项目名称：2022国际青年艺术周开幕片及开幕活动系列视频设计与制作、线下开幕式舞台制作等</w:t>
      </w: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color w:val="auto"/>
          <w:sz w:val="21"/>
          <w:szCs w:val="21"/>
          <w:highlight w:val="none"/>
        </w:rPr>
        <w:t>297</w:t>
      </w:r>
      <w:r>
        <w:rPr>
          <w:rFonts w:hint="eastAsia"/>
          <w:color w:val="auto"/>
          <w:sz w:val="21"/>
          <w:szCs w:val="21"/>
          <w:highlight w:val="none"/>
        </w:rPr>
        <w:t>0000元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最高限价：2160000元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合同履约期限：合同签订后，在2022年6月1日前完成开幕式现场设备租赁搭建以及相关，期间设计制作时间及制作完成时间由采购人确定。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2"/>
        <w:gridCol w:w="3376"/>
        <w:gridCol w:w="1192"/>
        <w:gridCol w:w="971"/>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36"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753"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619"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504"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585"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36"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1753"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2022国际青年艺术周开幕片及开幕活动系列视频设计与制作、线下开幕式舞台搭建、制作、设备租赁</w:t>
            </w:r>
          </w:p>
        </w:tc>
        <w:tc>
          <w:tcPr>
            <w:tcW w:w="619" w:type="pct"/>
            <w:tcBorders>
              <w:tl2br w:val="nil"/>
              <w:tr2bl w:val="nil"/>
            </w:tcBorders>
            <w:vAlign w:val="center"/>
          </w:tcPr>
          <w:p>
            <w:pPr>
              <w:spacing w:line="288" w:lineRule="auto"/>
              <w:jc w:val="center"/>
              <w:rPr>
                <w:bCs/>
                <w:color w:val="auto"/>
                <w:sz w:val="21"/>
                <w:szCs w:val="21"/>
                <w:highlight w:val="none"/>
              </w:rPr>
            </w:pPr>
            <w:r>
              <w:rPr>
                <w:rFonts w:hint="eastAsia"/>
                <w:bCs/>
                <w:color w:val="auto"/>
                <w:sz w:val="21"/>
                <w:szCs w:val="21"/>
                <w:highlight w:val="none"/>
              </w:rPr>
              <w:t>1</w:t>
            </w:r>
          </w:p>
        </w:tc>
        <w:tc>
          <w:tcPr>
            <w:tcW w:w="504" w:type="pct"/>
            <w:tcBorders>
              <w:tl2br w:val="nil"/>
              <w:tr2bl w:val="nil"/>
            </w:tcBorders>
            <w:vAlign w:val="center"/>
          </w:tcPr>
          <w:p>
            <w:pPr>
              <w:spacing w:line="288" w:lineRule="auto"/>
              <w:jc w:val="center"/>
              <w:rPr>
                <w:bCs/>
                <w:color w:val="auto"/>
                <w:sz w:val="21"/>
                <w:szCs w:val="21"/>
                <w:highlight w:val="none"/>
              </w:rPr>
            </w:pPr>
            <w:r>
              <w:rPr>
                <w:bCs/>
                <w:color w:val="auto"/>
                <w:sz w:val="21"/>
                <w:szCs w:val="21"/>
                <w:highlight w:val="none"/>
              </w:rPr>
              <w:t>项</w:t>
            </w:r>
          </w:p>
        </w:tc>
        <w:tc>
          <w:tcPr>
            <w:tcW w:w="1585"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详见采购需求</w:t>
            </w:r>
          </w:p>
        </w:tc>
      </w:tr>
    </w:tbl>
    <w:p>
      <w:pPr>
        <w:adjustRightInd w:val="0"/>
        <w:snapToGrid w:val="0"/>
        <w:spacing w:line="288" w:lineRule="auto"/>
        <w:rPr>
          <w:b/>
          <w:color w:val="auto"/>
          <w:sz w:val="21"/>
          <w:szCs w:val="21"/>
          <w:highlight w:val="none"/>
        </w:rPr>
      </w:pPr>
      <w:bookmarkStart w:id="5" w:name="_Toc35393791"/>
      <w:bookmarkStart w:id="6" w:name="_Toc28359003"/>
      <w:bookmarkStart w:id="7" w:name="_Toc35393622"/>
      <w:bookmarkStart w:id="8" w:name="_Toc28359080"/>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2.落实政府采购政策需满足的资格要求：本项目整体专门面向中小企业采购。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本项目采购标的为：服务，采购标的对应的中小企业划分标准所属行业：其他未列明行业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793"/>
      <w:bookmarkStart w:id="14" w:name="_Toc28359005"/>
      <w:bookmarkStart w:id="15" w:name="_Toc28359082"/>
      <w:bookmarkStart w:id="16" w:name="_Toc35393624"/>
      <w:r>
        <w:rPr>
          <w:rFonts w:hint="eastAsia"/>
          <w:color w:val="auto"/>
          <w:sz w:val="21"/>
          <w:szCs w:val="21"/>
          <w:highlight w:val="none"/>
        </w:rPr>
        <w:t>时间：2022年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12</w:t>
      </w:r>
      <w:r>
        <w:rPr>
          <w:rFonts w:hint="eastAsia"/>
          <w:color w:val="auto"/>
          <w:sz w:val="21"/>
          <w:szCs w:val="21"/>
          <w:highlight w:val="none"/>
        </w:rPr>
        <w:t>日至2022年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rPr>
          <w:b/>
          <w:color w:val="auto"/>
          <w:sz w:val="21"/>
          <w:szCs w:val="21"/>
          <w:highlight w:val="none"/>
        </w:rPr>
      </w:pPr>
      <w:bookmarkStart w:id="17" w:name="_Toc35393625"/>
      <w:bookmarkStart w:id="18" w:name="_Toc28359007"/>
      <w:bookmarkStart w:id="19" w:name="_Toc28359084"/>
      <w:bookmarkStart w:id="20" w:name="_Toc3539379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/杭州市西湖区玉古路173号中田大厦11楼（求是招标会议室1）</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Toc35393627"/>
      <w:bookmarkStart w:id="24" w:name="_Toc35393796"/>
      <w:bookmarkStart w:id="25" w:name="_Toc28359008"/>
      <w:bookmarkStart w:id="26" w:name="_Toc28359085"/>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bookmarkStart w:id="28" w:name="_Toc32532"/>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采购人名称：</w:t>
      </w:r>
      <w:bookmarkEnd w:id="28"/>
      <w:r>
        <w:rPr>
          <w:rFonts w:hint="eastAsia"/>
          <w:color w:val="auto"/>
          <w:sz w:val="21"/>
          <w:szCs w:val="21"/>
          <w:highlight w:val="none"/>
        </w:rPr>
        <w:t>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联系人：韩老师</w:t>
      </w:r>
    </w:p>
    <w:p>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联系方式：</w:t>
      </w:r>
      <w:r>
        <w:rPr>
          <w:rFonts w:hint="eastAsia"/>
          <w:color w:val="auto"/>
          <w:sz w:val="21"/>
          <w:szCs w:val="21"/>
          <w:highlight w:val="none"/>
          <w:lang w:eastAsia="zh-CN"/>
        </w:rPr>
        <w:t>0571-87164805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质疑联系方式：0571-86027612</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w:t>
            </w:r>
            <w:r>
              <w:rPr>
                <w:rFonts w:cs="Times New Roman"/>
                <w:color w:val="auto"/>
                <w:spacing w:val="-6"/>
                <w:sz w:val="21"/>
                <w:szCs w:val="21"/>
                <w:highlight w:val="none"/>
              </w:rPr>
              <w:t>支持创新发展</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本项目采购标的为：服务，采购标的对应的中小企业划分标准所属行业：其他未列明行业</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bookmarkEnd w:id="29"/>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，且供应商已向采购人提交银行、保险公司等金融机构出具的预付款保函的，采购人向供应商支付合同总价的4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w:t>
            </w:r>
            <w:r>
              <w:rPr>
                <w:color w:val="auto"/>
                <w:spacing w:val="-6"/>
                <w:kern w:val="0"/>
                <w:sz w:val="21"/>
                <w:szCs w:val="21"/>
                <w:highlight w:val="none"/>
              </w:rPr>
              <w:t>6</w:t>
            </w:r>
            <w:r>
              <w:rPr>
                <w:rFonts w:hint="eastAsia"/>
                <w:color w:val="auto"/>
                <w:spacing w:val="-6"/>
                <w:kern w:val="0"/>
                <w:sz w:val="21"/>
                <w:szCs w:val="21"/>
                <w:highlight w:val="none"/>
              </w:rPr>
              <w:t>0%。</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ind w:firstLine="422" w:firstLineChars="200"/>
        <w:outlineLvl w:val="1"/>
        <w:rPr>
          <w:b/>
          <w:bCs/>
          <w:color w:val="auto"/>
          <w:sz w:val="21"/>
          <w:szCs w:val="21"/>
          <w:highlight w:val="none"/>
        </w:rPr>
      </w:pPr>
      <w:r>
        <w:rPr>
          <w:rFonts w:hint="eastAsia"/>
          <w:b/>
          <w:bCs/>
          <w:color w:val="auto"/>
          <w:sz w:val="21"/>
          <w:szCs w:val="21"/>
          <w:highlight w:val="none"/>
        </w:rPr>
        <w:t>三、服务要求：</w:t>
      </w:r>
    </w:p>
    <w:p>
      <w:pPr>
        <w:pStyle w:val="2"/>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（一）基本要求</w:t>
      </w:r>
    </w:p>
    <w:p>
      <w:pPr>
        <w:pStyle w:val="26"/>
        <w:spacing w:line="288" w:lineRule="auto"/>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服务时间：</w:t>
      </w:r>
      <w:r>
        <w:rPr>
          <w:rFonts w:ascii="宋体" w:hAnsi="宋体" w:cs="宋体"/>
          <w:b/>
          <w:color w:val="auto"/>
          <w:szCs w:val="21"/>
          <w:highlight w:val="none"/>
        </w:rPr>
        <w:t>合同签订后，在202</w:t>
      </w:r>
      <w:r>
        <w:rPr>
          <w:rFonts w:hint="eastAsia" w:ascii="宋体" w:hAnsi="宋体" w:cs="宋体"/>
          <w:b/>
          <w:color w:val="auto"/>
          <w:szCs w:val="21"/>
          <w:highlight w:val="none"/>
        </w:rPr>
        <w:t>2</w:t>
      </w:r>
      <w:r>
        <w:rPr>
          <w:rFonts w:ascii="宋体" w:hAnsi="宋体" w:cs="宋体"/>
          <w:b/>
          <w:color w:val="auto"/>
          <w:szCs w:val="21"/>
          <w:highlight w:val="none"/>
        </w:rPr>
        <w:t>年6月1日前完成</w:t>
      </w:r>
      <w:r>
        <w:rPr>
          <w:rFonts w:hint="eastAsia" w:ascii="宋体" w:hAnsi="宋体" w:cs="宋体"/>
          <w:b/>
          <w:color w:val="auto"/>
          <w:szCs w:val="21"/>
          <w:highlight w:val="none"/>
        </w:rPr>
        <w:t>开幕式现场设备租赁搭建以及相关</w:t>
      </w:r>
      <w:r>
        <w:rPr>
          <w:rFonts w:ascii="宋体" w:hAnsi="宋体" w:cs="宋体"/>
          <w:b/>
          <w:color w:val="auto"/>
          <w:szCs w:val="21"/>
          <w:highlight w:val="none"/>
        </w:rPr>
        <w:t>，期间设计制作时间及制作完成时间由采购人确定。</w:t>
      </w:r>
    </w:p>
    <w:p>
      <w:pPr>
        <w:spacing w:line="288" w:lineRule="auto"/>
        <w:ind w:firstLine="422" w:firstLineChars="200"/>
        <w:rPr>
          <w:color w:val="auto"/>
          <w:highlight w:val="none"/>
        </w:rPr>
      </w:pPr>
      <w:r>
        <w:rPr>
          <w:rFonts w:hint="eastAsia"/>
          <w:b/>
          <w:color w:val="auto"/>
          <w:sz w:val="21"/>
          <w:szCs w:val="21"/>
          <w:highlight w:val="none"/>
        </w:rPr>
        <w:t>服务地点：杭州</w:t>
      </w:r>
    </w:p>
    <w:p>
      <w:pPr>
        <w:pStyle w:val="26"/>
        <w:spacing w:line="288" w:lineRule="auto"/>
        <w:ind w:firstLine="420" w:firstLineChars="200"/>
        <w:rPr>
          <w:color w:val="auto"/>
          <w:highlight w:val="none"/>
        </w:rPr>
      </w:pPr>
    </w:p>
    <w:p>
      <w:pPr>
        <w:spacing w:line="288" w:lineRule="auto"/>
        <w:ind w:firstLine="420" w:firstLineChars="200"/>
        <w:rPr>
          <w:color w:val="auto"/>
          <w:sz w:val="21"/>
          <w:szCs w:val="21"/>
          <w:highlight w:val="none"/>
        </w:rPr>
      </w:pPr>
      <w:r>
        <w:rPr>
          <w:color w:val="auto"/>
          <w:sz w:val="21"/>
          <w:szCs w:val="21"/>
          <w:highlight w:val="none"/>
        </w:rPr>
        <w:t>2022</w:t>
      </w:r>
      <w:r>
        <w:rPr>
          <w:rFonts w:hint="eastAsia"/>
          <w:color w:val="auto"/>
          <w:sz w:val="21"/>
          <w:szCs w:val="21"/>
          <w:highlight w:val="none"/>
        </w:rPr>
        <w:t>第四届之江</w:t>
      </w:r>
      <w:r>
        <w:rPr>
          <w:color w:val="auto"/>
          <w:sz w:val="21"/>
          <w:szCs w:val="21"/>
          <w:highlight w:val="none"/>
        </w:rPr>
        <w:t>国际青年艺术周开幕片及开幕活动系列视频设计与制作</w:t>
      </w:r>
      <w:r>
        <w:rPr>
          <w:rFonts w:hint="eastAsia"/>
          <w:color w:val="auto"/>
          <w:sz w:val="21"/>
          <w:szCs w:val="21"/>
          <w:highlight w:val="none"/>
        </w:rPr>
        <w:t>项目</w:t>
      </w:r>
      <w:r>
        <w:rPr>
          <w:rFonts w:hint="eastAsia"/>
          <w:color w:val="auto"/>
          <w:sz w:val="21"/>
          <w:szCs w:val="21"/>
          <w:highlight w:val="none"/>
          <w:lang w:val="zh-CN"/>
        </w:rPr>
        <w:t>（以下简称</w:t>
      </w:r>
      <w:r>
        <w:rPr>
          <w:color w:val="auto"/>
          <w:sz w:val="21"/>
          <w:szCs w:val="21"/>
          <w:highlight w:val="none"/>
        </w:rPr>
        <w:t>“</w:t>
      </w:r>
      <w:r>
        <w:rPr>
          <w:rFonts w:hint="eastAsia"/>
          <w:color w:val="auto"/>
          <w:sz w:val="21"/>
          <w:szCs w:val="21"/>
          <w:highlight w:val="none"/>
          <w:lang w:val="zh-CN"/>
        </w:rPr>
        <w:t>青艺周</w:t>
      </w:r>
      <w:r>
        <w:rPr>
          <w:color w:val="auto"/>
          <w:sz w:val="21"/>
          <w:szCs w:val="21"/>
          <w:highlight w:val="none"/>
        </w:rPr>
        <w:t>”</w:t>
      </w:r>
      <w:r>
        <w:rPr>
          <w:rFonts w:hint="eastAsia"/>
          <w:color w:val="auto"/>
          <w:sz w:val="21"/>
          <w:szCs w:val="21"/>
          <w:highlight w:val="none"/>
          <w:lang w:val="zh-CN"/>
        </w:rPr>
        <w:t>）总体部署和宗旨，充分理解诠释“生活力”主题，强化青艺周形象，做好青艺周开幕式视频内容相关制作及开幕式现场呈现等相关工作；把控开幕式视频内容出品品质，</w:t>
      </w:r>
      <w:r>
        <w:rPr>
          <w:color w:val="auto"/>
          <w:sz w:val="21"/>
          <w:szCs w:val="21"/>
          <w:highlight w:val="none"/>
          <w:lang w:val="zh-CN"/>
        </w:rPr>
        <w:t>开幕式</w:t>
      </w:r>
      <w:r>
        <w:rPr>
          <w:rFonts w:hint="eastAsia"/>
          <w:color w:val="auto"/>
          <w:sz w:val="21"/>
          <w:szCs w:val="21"/>
          <w:highlight w:val="none"/>
          <w:lang w:val="zh-CN"/>
        </w:rPr>
        <w:t>现场</w:t>
      </w:r>
      <w:r>
        <w:rPr>
          <w:color w:val="auto"/>
          <w:sz w:val="21"/>
          <w:szCs w:val="21"/>
          <w:highlight w:val="none"/>
          <w:lang w:val="zh-CN"/>
        </w:rPr>
        <w:t>方案、流程及舞台效果，符合国际化、艺术化、艺科融合的高标准要求</w:t>
      </w:r>
      <w:r>
        <w:rPr>
          <w:rFonts w:hint="eastAsia"/>
          <w:color w:val="auto"/>
          <w:sz w:val="21"/>
          <w:szCs w:val="21"/>
          <w:highlight w:val="none"/>
          <w:lang w:val="zh-CN"/>
        </w:rPr>
        <w:t>。</w:t>
      </w:r>
    </w:p>
    <w:p>
      <w:pPr>
        <w:spacing w:line="288" w:lineRule="auto"/>
        <w:ind w:firstLine="480" w:firstLineChars="200"/>
        <w:rPr>
          <w:color w:val="auto"/>
          <w:highlight w:val="none"/>
        </w:rPr>
      </w:pPr>
    </w:p>
    <w:p>
      <w:pPr>
        <w:pStyle w:val="2"/>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（二）青艺周开幕片活动系列视频设计与制作及网络平台宣推服务</w:t>
      </w:r>
    </w:p>
    <w:p>
      <w:pPr>
        <w:pStyle w:val="26"/>
        <w:spacing w:line="288" w:lineRule="auto"/>
        <w:ind w:left="0" w:firstLine="422" w:firstLineChars="200"/>
        <w:rPr>
          <w:color w:val="auto"/>
          <w:highlight w:val="none"/>
        </w:rPr>
      </w:pPr>
      <w:r>
        <w:rPr>
          <w:rFonts w:hint="eastAsia" w:ascii="宋体" w:hAnsi="宋体" w:cs="宋体"/>
          <w:b/>
          <w:color w:val="auto"/>
          <w:szCs w:val="21"/>
          <w:highlight w:val="none"/>
        </w:rPr>
        <w:t>1.服务清单，包括但不限于以下内容：</w:t>
      </w:r>
    </w:p>
    <w:tbl>
      <w:tblPr>
        <w:tblStyle w:val="19"/>
        <w:tblW w:w="4996" w:type="pct"/>
        <w:tblInd w:w="0" w:type="dxa"/>
        <w:tblLayout w:type="autofit"/>
        <w:tblCellMar>
          <w:top w:w="0" w:type="dxa"/>
          <w:left w:w="108" w:type="dxa"/>
          <w:bottom w:w="0" w:type="dxa"/>
          <w:right w:w="108" w:type="dxa"/>
        </w:tblCellMar>
      </w:tblPr>
      <w:tblGrid>
        <w:gridCol w:w="684"/>
        <w:gridCol w:w="3366"/>
        <w:gridCol w:w="3244"/>
        <w:gridCol w:w="685"/>
        <w:gridCol w:w="685"/>
        <w:gridCol w:w="956"/>
      </w:tblGrid>
      <w:tr>
        <w:tblPrEx>
          <w:tblCellMar>
            <w:top w:w="0" w:type="dxa"/>
            <w:left w:w="108" w:type="dxa"/>
            <w:bottom w:w="0" w:type="dxa"/>
            <w:right w:w="108" w:type="dxa"/>
          </w:tblCellMar>
        </w:tblPrEx>
        <w:trPr>
          <w:trHeight w:val="2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序号</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bottom"/>
              <w:rPr>
                <w:color w:val="auto"/>
                <w:sz w:val="21"/>
                <w:szCs w:val="21"/>
                <w:highlight w:val="none"/>
              </w:rPr>
            </w:pPr>
            <w:r>
              <w:rPr>
                <w:rFonts w:hint="eastAsia"/>
                <w:color w:val="auto"/>
                <w:kern w:val="0"/>
                <w:sz w:val="21"/>
                <w:szCs w:val="21"/>
                <w:highlight w:val="none"/>
                <w:lang w:bidi="ar"/>
              </w:rPr>
              <w:t>项目</w:t>
            </w:r>
          </w:p>
        </w:tc>
        <w:tc>
          <w:tcPr>
            <w:tcW w:w="1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内容</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数量</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单位</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天/周期</w:t>
            </w:r>
          </w:p>
        </w:tc>
      </w:tr>
      <w:tr>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bottom"/>
              <w:rPr>
                <w:color w:val="auto"/>
                <w:sz w:val="21"/>
                <w:szCs w:val="21"/>
                <w:highlight w:val="none"/>
              </w:rPr>
            </w:pPr>
            <w:r>
              <w:rPr>
                <w:rFonts w:hint="eastAsia"/>
                <w:color w:val="auto"/>
                <w:kern w:val="0"/>
                <w:sz w:val="21"/>
                <w:szCs w:val="21"/>
                <w:highlight w:val="none"/>
                <w:lang w:bidi="ar"/>
              </w:rPr>
              <w:t>视频内容设计制作</w:t>
            </w:r>
          </w:p>
        </w:tc>
      </w:tr>
      <w:tr>
        <w:tblPrEx>
          <w:tblCellMar>
            <w:top w:w="0" w:type="dxa"/>
            <w:left w:w="108" w:type="dxa"/>
            <w:bottom w:w="0" w:type="dxa"/>
            <w:right w:w="108" w:type="dxa"/>
          </w:tblCellMar>
        </w:tblPrEx>
        <w:trPr>
          <w:trHeight w:val="22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青艺周主题概念演绎短片“生活力-事物的远方”</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创意设计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概念设计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建模</w:t>
            </w:r>
            <w:r>
              <w:rPr>
                <w:rFonts w:hint="eastAsia"/>
                <w:color w:val="auto"/>
                <w:kern w:val="0"/>
                <w:sz w:val="21"/>
                <w:szCs w:val="21"/>
                <w:highlight w:val="none"/>
                <w:lang w:bidi="ar"/>
              </w:rPr>
              <w:br w:type="textWrapping"/>
            </w:r>
            <w:r>
              <w:rPr>
                <w:rFonts w:hint="eastAsia"/>
                <w:color w:val="auto"/>
                <w:kern w:val="0"/>
                <w:sz w:val="21"/>
                <w:szCs w:val="21"/>
                <w:highlight w:val="none"/>
                <w:lang w:bidi="ar"/>
              </w:rPr>
              <w:t>动画设计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声音设计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影像素材摄制</w:t>
            </w:r>
            <w:r>
              <w:rPr>
                <w:rFonts w:hint="eastAsia"/>
                <w:color w:val="auto"/>
                <w:kern w:val="0"/>
                <w:sz w:val="21"/>
                <w:szCs w:val="21"/>
                <w:highlight w:val="none"/>
                <w:lang w:bidi="ar"/>
              </w:rPr>
              <w:br w:type="textWrapping"/>
            </w:r>
            <w:r>
              <w:rPr>
                <w:rFonts w:hint="eastAsia"/>
                <w:color w:val="auto"/>
                <w:kern w:val="0"/>
                <w:sz w:val="21"/>
                <w:szCs w:val="21"/>
                <w:highlight w:val="none"/>
                <w:lang w:bidi="ar"/>
              </w:rPr>
              <w:t>渲染</w:t>
            </w:r>
            <w:r>
              <w:rPr>
                <w:rFonts w:hint="eastAsia"/>
                <w:color w:val="auto"/>
                <w:kern w:val="0"/>
                <w:sz w:val="21"/>
                <w:szCs w:val="21"/>
                <w:highlight w:val="none"/>
                <w:lang w:bidi="ar"/>
              </w:rPr>
              <w:br w:type="textWrapping"/>
            </w:r>
            <w:r>
              <w:rPr>
                <w:rFonts w:hint="eastAsia"/>
                <w:color w:val="auto"/>
                <w:kern w:val="0"/>
                <w:sz w:val="21"/>
                <w:szCs w:val="21"/>
                <w:highlight w:val="none"/>
                <w:lang w:bidi="ar"/>
              </w:rPr>
              <w:t>合成</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22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w:t>
            </w:r>
          </w:p>
        </w:tc>
        <w:tc>
          <w:tcPr>
            <w:tcW w:w="1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开幕式系列片一 《生活力-宇宙黎明》</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创意设计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概念设计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建模</w:t>
            </w:r>
            <w:r>
              <w:rPr>
                <w:rFonts w:hint="eastAsia"/>
                <w:color w:val="auto"/>
                <w:kern w:val="0"/>
                <w:sz w:val="21"/>
                <w:szCs w:val="21"/>
                <w:highlight w:val="none"/>
                <w:lang w:bidi="ar"/>
              </w:rPr>
              <w:br w:type="textWrapping"/>
            </w:r>
            <w:r>
              <w:rPr>
                <w:rFonts w:hint="eastAsia"/>
                <w:color w:val="auto"/>
                <w:kern w:val="0"/>
                <w:sz w:val="21"/>
                <w:szCs w:val="21"/>
                <w:highlight w:val="none"/>
                <w:lang w:bidi="ar"/>
              </w:rPr>
              <w:t>动画设计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声音设计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影像素材摄制</w:t>
            </w:r>
            <w:r>
              <w:rPr>
                <w:rFonts w:hint="eastAsia"/>
                <w:color w:val="auto"/>
                <w:kern w:val="0"/>
                <w:sz w:val="21"/>
                <w:szCs w:val="21"/>
                <w:highlight w:val="none"/>
                <w:lang w:bidi="ar"/>
              </w:rPr>
              <w:br w:type="textWrapping"/>
            </w:r>
            <w:r>
              <w:rPr>
                <w:rFonts w:hint="eastAsia"/>
                <w:color w:val="auto"/>
                <w:kern w:val="0"/>
                <w:sz w:val="21"/>
                <w:szCs w:val="21"/>
                <w:highlight w:val="none"/>
                <w:lang w:bidi="ar"/>
              </w:rPr>
              <w:t>渲染</w:t>
            </w:r>
            <w:r>
              <w:rPr>
                <w:rFonts w:hint="eastAsia"/>
                <w:color w:val="auto"/>
                <w:kern w:val="0"/>
                <w:sz w:val="21"/>
                <w:szCs w:val="21"/>
                <w:highlight w:val="none"/>
                <w:lang w:bidi="ar"/>
              </w:rPr>
              <w:br w:type="textWrapping"/>
            </w:r>
            <w:r>
              <w:rPr>
                <w:rFonts w:hint="eastAsia"/>
                <w:color w:val="auto"/>
                <w:kern w:val="0"/>
                <w:sz w:val="21"/>
                <w:szCs w:val="21"/>
                <w:highlight w:val="none"/>
                <w:lang w:bidi="ar"/>
              </w:rPr>
              <w:t>合成</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199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3</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开幕式章回视频《文明映射》</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CG3d动画视频</w:t>
            </w:r>
            <w:r>
              <w:rPr>
                <w:rFonts w:hint="eastAsia"/>
                <w:color w:val="auto"/>
                <w:kern w:val="0"/>
                <w:sz w:val="21"/>
                <w:szCs w:val="21"/>
                <w:highlight w:val="none"/>
                <w:lang w:bidi="ar"/>
              </w:rPr>
              <w:br w:type="textWrapping"/>
            </w:r>
            <w:r>
              <w:rPr>
                <w:rFonts w:hint="eastAsia"/>
                <w:color w:val="auto"/>
                <w:kern w:val="0"/>
                <w:sz w:val="21"/>
                <w:szCs w:val="21"/>
                <w:highlight w:val="none"/>
                <w:lang w:bidi="ar"/>
              </w:rPr>
              <w:t>建模</w:t>
            </w:r>
            <w:r>
              <w:rPr>
                <w:rFonts w:hint="eastAsia"/>
                <w:color w:val="auto"/>
                <w:kern w:val="0"/>
                <w:sz w:val="21"/>
                <w:szCs w:val="21"/>
                <w:highlight w:val="none"/>
                <w:lang w:bidi="ar"/>
              </w:rPr>
              <w:br w:type="textWrapping"/>
            </w:r>
            <w:r>
              <w:rPr>
                <w:rFonts w:hint="eastAsia"/>
                <w:color w:val="auto"/>
                <w:kern w:val="0"/>
                <w:sz w:val="21"/>
                <w:szCs w:val="21"/>
                <w:highlight w:val="none"/>
                <w:lang w:bidi="ar"/>
              </w:rPr>
              <w:t>动画设计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声音设计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渲染</w:t>
            </w:r>
            <w:r>
              <w:rPr>
                <w:rFonts w:hint="eastAsia"/>
                <w:color w:val="auto"/>
                <w:kern w:val="0"/>
                <w:sz w:val="21"/>
                <w:szCs w:val="21"/>
                <w:highlight w:val="none"/>
                <w:lang w:bidi="ar"/>
              </w:rPr>
              <w:br w:type="textWrapping"/>
            </w:r>
            <w:r>
              <w:rPr>
                <w:rFonts w:hint="eastAsia"/>
                <w:color w:val="auto"/>
                <w:kern w:val="0"/>
                <w:sz w:val="21"/>
                <w:szCs w:val="21"/>
                <w:highlight w:val="none"/>
                <w:lang w:bidi="ar"/>
              </w:rPr>
              <w:t>合成</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28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4</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启幕仪式动画及现场音乐制作</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firstLine="420" w:firstLineChars="200"/>
              <w:jc w:val="center"/>
              <w:rPr>
                <w:color w:val="auto"/>
                <w:sz w:val="21"/>
                <w:szCs w:val="21"/>
                <w:highlight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1995"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开幕式服装秀视效混合现实片制作</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CG3d动画视频</w:t>
            </w:r>
            <w:r>
              <w:rPr>
                <w:rFonts w:hint="eastAsia"/>
                <w:color w:val="auto"/>
                <w:kern w:val="0"/>
                <w:sz w:val="21"/>
                <w:szCs w:val="21"/>
                <w:highlight w:val="none"/>
                <w:lang w:bidi="ar"/>
              </w:rPr>
              <w:br w:type="textWrapping"/>
            </w:r>
            <w:r>
              <w:rPr>
                <w:rFonts w:hint="eastAsia"/>
                <w:color w:val="auto"/>
                <w:kern w:val="0"/>
                <w:sz w:val="21"/>
                <w:szCs w:val="21"/>
                <w:highlight w:val="none"/>
                <w:lang w:bidi="ar"/>
              </w:rPr>
              <w:t>建模</w:t>
            </w:r>
            <w:r>
              <w:rPr>
                <w:rFonts w:hint="eastAsia"/>
                <w:color w:val="auto"/>
                <w:kern w:val="0"/>
                <w:sz w:val="21"/>
                <w:szCs w:val="21"/>
                <w:highlight w:val="none"/>
                <w:lang w:bidi="ar"/>
              </w:rPr>
              <w:br w:type="textWrapping"/>
            </w:r>
            <w:r>
              <w:rPr>
                <w:rFonts w:hint="eastAsia"/>
                <w:color w:val="auto"/>
                <w:kern w:val="0"/>
                <w:sz w:val="21"/>
                <w:szCs w:val="21"/>
                <w:highlight w:val="none"/>
                <w:lang w:bidi="ar"/>
              </w:rPr>
              <w:t>动画设计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声音设计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渲染</w:t>
            </w:r>
            <w:r>
              <w:rPr>
                <w:rFonts w:hint="eastAsia"/>
                <w:color w:val="auto"/>
                <w:kern w:val="0"/>
                <w:sz w:val="21"/>
                <w:szCs w:val="21"/>
                <w:highlight w:val="none"/>
                <w:lang w:bidi="ar"/>
              </w:rPr>
              <w:br w:type="textWrapping"/>
            </w:r>
            <w:r>
              <w:rPr>
                <w:rFonts w:hint="eastAsia"/>
                <w:color w:val="auto"/>
                <w:kern w:val="0"/>
                <w:sz w:val="21"/>
                <w:szCs w:val="21"/>
                <w:highlight w:val="none"/>
                <w:lang w:bidi="ar"/>
              </w:rPr>
              <w:t>合成</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22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青艺周总宣传片合成制作</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影视后期制作</w:t>
            </w:r>
            <w:r>
              <w:rPr>
                <w:rFonts w:hint="eastAsia"/>
                <w:color w:val="auto"/>
                <w:kern w:val="0"/>
                <w:sz w:val="21"/>
                <w:szCs w:val="21"/>
                <w:highlight w:val="none"/>
                <w:lang w:bidi="ar"/>
              </w:rPr>
              <w:br w:type="textWrapping"/>
            </w:r>
            <w:r>
              <w:rPr>
                <w:rFonts w:hint="eastAsia"/>
                <w:color w:val="auto"/>
                <w:kern w:val="0"/>
                <w:sz w:val="21"/>
                <w:szCs w:val="21"/>
                <w:highlight w:val="none"/>
                <w:lang w:bidi="ar"/>
              </w:rPr>
              <w:t>特效包装</w:t>
            </w:r>
            <w:r>
              <w:rPr>
                <w:rFonts w:hint="eastAsia"/>
                <w:color w:val="auto"/>
                <w:kern w:val="0"/>
                <w:sz w:val="21"/>
                <w:szCs w:val="21"/>
                <w:highlight w:val="none"/>
                <w:lang w:bidi="ar"/>
              </w:rPr>
              <w:br w:type="textWrapping"/>
            </w:r>
            <w:r>
              <w:rPr>
                <w:rFonts w:hint="eastAsia"/>
                <w:color w:val="auto"/>
                <w:kern w:val="0"/>
                <w:sz w:val="21"/>
                <w:szCs w:val="21"/>
                <w:highlight w:val="none"/>
                <w:lang w:bidi="ar"/>
              </w:rPr>
              <w:t>动画设计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剪辑</w:t>
            </w:r>
            <w:r>
              <w:rPr>
                <w:rFonts w:hint="eastAsia"/>
                <w:color w:val="auto"/>
                <w:kern w:val="0"/>
                <w:sz w:val="21"/>
                <w:szCs w:val="21"/>
                <w:highlight w:val="none"/>
                <w:lang w:bidi="ar"/>
              </w:rPr>
              <w:br w:type="textWrapping"/>
            </w:r>
            <w:r>
              <w:rPr>
                <w:rFonts w:hint="eastAsia"/>
                <w:color w:val="auto"/>
                <w:kern w:val="0"/>
                <w:sz w:val="21"/>
                <w:szCs w:val="21"/>
                <w:highlight w:val="none"/>
                <w:lang w:bidi="ar"/>
              </w:rPr>
              <w:t>声音设计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渲染</w:t>
            </w:r>
            <w:r>
              <w:rPr>
                <w:rFonts w:hint="eastAsia"/>
                <w:color w:val="auto"/>
                <w:kern w:val="0"/>
                <w:sz w:val="21"/>
                <w:szCs w:val="21"/>
                <w:highlight w:val="none"/>
                <w:lang w:bidi="ar"/>
              </w:rPr>
              <w:br w:type="textWrapping"/>
            </w:r>
            <w:r>
              <w:rPr>
                <w:rFonts w:hint="eastAsia"/>
                <w:color w:val="auto"/>
                <w:kern w:val="0"/>
                <w:sz w:val="21"/>
                <w:szCs w:val="21"/>
                <w:highlight w:val="none"/>
                <w:lang w:bidi="ar"/>
              </w:rPr>
              <w:t>合成</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115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7</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开幕式策划设计脚本及分镜头设计</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line="288" w:lineRule="auto"/>
              <w:ind w:firstLine="420" w:firstLineChars="200"/>
              <w:jc w:val="center"/>
              <w:textAlignment w:val="center"/>
              <w:rPr>
                <w:color w:val="auto"/>
                <w:sz w:val="21"/>
                <w:szCs w:val="21"/>
                <w:highlight w:val="none"/>
              </w:rPr>
            </w:pPr>
            <w:r>
              <w:rPr>
                <w:rFonts w:hint="eastAsia"/>
                <w:color w:val="auto"/>
                <w:kern w:val="0"/>
                <w:sz w:val="21"/>
                <w:szCs w:val="21"/>
                <w:highlight w:val="none"/>
                <w:lang w:bidi="ar"/>
              </w:rPr>
              <w:br w:type="textWrapping"/>
            </w:r>
            <w:r>
              <w:rPr>
                <w:rFonts w:hint="eastAsia"/>
                <w:color w:val="auto"/>
                <w:kern w:val="0"/>
                <w:sz w:val="21"/>
                <w:szCs w:val="21"/>
                <w:highlight w:val="none"/>
                <w:lang w:bidi="ar"/>
              </w:rPr>
              <w:t>策划方案</w:t>
            </w:r>
            <w:r>
              <w:rPr>
                <w:rFonts w:hint="eastAsia"/>
                <w:color w:val="auto"/>
                <w:kern w:val="0"/>
                <w:sz w:val="21"/>
                <w:szCs w:val="21"/>
                <w:highlight w:val="none"/>
                <w:lang w:bidi="ar"/>
              </w:rPr>
              <w:br w:type="textWrapping"/>
            </w:r>
            <w:r>
              <w:rPr>
                <w:rFonts w:hint="eastAsia"/>
                <w:color w:val="auto"/>
                <w:kern w:val="0"/>
                <w:sz w:val="21"/>
                <w:szCs w:val="21"/>
                <w:highlight w:val="none"/>
                <w:lang w:bidi="ar"/>
              </w:rPr>
              <w:t>脚本设计</w:t>
            </w:r>
            <w:r>
              <w:rPr>
                <w:rFonts w:hint="eastAsia"/>
                <w:color w:val="auto"/>
                <w:kern w:val="0"/>
                <w:sz w:val="21"/>
                <w:szCs w:val="21"/>
                <w:highlight w:val="none"/>
                <w:lang w:bidi="ar"/>
              </w:rPr>
              <w:br w:type="textWrapping"/>
            </w:r>
            <w:r>
              <w:rPr>
                <w:rFonts w:hint="eastAsia"/>
                <w:color w:val="auto"/>
                <w:kern w:val="0"/>
                <w:sz w:val="21"/>
                <w:szCs w:val="21"/>
                <w:highlight w:val="none"/>
                <w:lang w:bidi="ar"/>
              </w:rPr>
              <w:t>文案</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组</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bl>
    <w:p>
      <w:pPr>
        <w:pStyle w:val="26"/>
        <w:spacing w:line="288" w:lineRule="auto"/>
        <w:ind w:left="0" w:firstLine="422" w:firstLineChars="200"/>
        <w:rPr>
          <w:rFonts w:ascii="宋体" w:hAnsi="宋体" w:cs="宋体"/>
          <w:b/>
          <w:color w:val="auto"/>
          <w:szCs w:val="21"/>
          <w:highlight w:val="none"/>
        </w:rPr>
      </w:pPr>
    </w:p>
    <w:p>
      <w:pPr>
        <w:spacing w:line="288" w:lineRule="auto"/>
        <w:ind w:firstLine="480" w:firstLineChars="200"/>
        <w:rPr>
          <w:color w:val="auto"/>
          <w:highlight w:val="none"/>
        </w:rPr>
      </w:pPr>
    </w:p>
    <w:p>
      <w:pPr>
        <w:pStyle w:val="26"/>
        <w:spacing w:line="288" w:lineRule="auto"/>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2.具体内容</w:t>
      </w:r>
    </w:p>
    <w:p>
      <w:pPr>
        <w:spacing w:line="288" w:lineRule="auto"/>
        <w:ind w:firstLine="420" w:firstLineChars="200"/>
        <w:rPr>
          <w:color w:val="auto"/>
          <w:sz w:val="21"/>
          <w:szCs w:val="21"/>
          <w:highlight w:val="none"/>
        </w:rPr>
      </w:pPr>
      <w:r>
        <w:rPr>
          <w:color w:val="auto"/>
          <w:sz w:val="21"/>
          <w:szCs w:val="21"/>
          <w:highlight w:val="none"/>
        </w:rPr>
        <w:t>A、开幕式视频内容设计制作：以打造一场以艺科融合、混合现实、沉浸式通感体验为基本设计制作思路的开幕式现场为前提，并理解抽象“现在史”主题进行一场数字科技赋能艺术教育的高能现场演绎，为现场直播、后续宣传报道做好内容输出。</w:t>
      </w:r>
    </w:p>
    <w:p>
      <w:pPr>
        <w:pStyle w:val="2"/>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a）具体工作</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1)青艺周开幕式系列视频设计、和制作服务，数量为8个左右（含制作视频的必要拍摄服务）；</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2)各类开幕式系列视频设计制作工作，</w:t>
      </w:r>
      <w:r>
        <w:rPr>
          <w:rFonts w:hint="eastAsia" w:asciiTheme="minorEastAsia" w:hAnsiTheme="minorEastAsia" w:eastAsiaTheme="minorEastAsia"/>
          <w:color w:val="auto"/>
          <w:sz w:val="21"/>
          <w:szCs w:val="21"/>
          <w:highlight w:val="none"/>
        </w:rPr>
        <w:t>见视觉内容设计制作</w:t>
      </w:r>
      <w:r>
        <w:rPr>
          <w:rFonts w:asciiTheme="minorEastAsia" w:hAnsiTheme="minorEastAsia" w:eastAsiaTheme="minorEastAsia"/>
          <w:color w:val="auto"/>
          <w:sz w:val="21"/>
          <w:szCs w:val="21"/>
          <w:highlight w:val="none"/>
        </w:rPr>
        <w:t>需求</w:t>
      </w:r>
      <w:r>
        <w:rPr>
          <w:rFonts w:hint="eastAsia" w:asciiTheme="minorEastAsia" w:hAnsiTheme="minorEastAsia" w:eastAsiaTheme="minorEastAsia"/>
          <w:color w:val="auto"/>
          <w:sz w:val="21"/>
          <w:szCs w:val="21"/>
          <w:highlight w:val="none"/>
        </w:rPr>
        <w:t>表</w:t>
      </w:r>
    </w:p>
    <w:p>
      <w:pPr>
        <w:pStyle w:val="2"/>
        <w:spacing w:line="288"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b）视频设计制作技术要求</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成片要求：高清4K，分辨率需要符合开幕式预设10块屏幕的尺寸</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①832*1040②1248*3328③416*1248④4096*2560⑤4096*1024⑥624*1040⑦624*832⑧832*1144⑨416*832⑩832*832，根据要求使用V-log模式或原色。</w:t>
      </w:r>
      <w:r>
        <w:rPr>
          <w:rFonts w:hint="eastAsia" w:asciiTheme="minorEastAsia" w:hAnsiTheme="minorEastAsia" w:eastAsiaTheme="minorEastAsia"/>
          <w:color w:val="auto"/>
          <w:sz w:val="21"/>
          <w:szCs w:val="21"/>
          <w:highlight w:val="none"/>
        </w:rPr>
        <w:t>（不低于此分辨率）</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镜头要求：画面要求干净，表现主题要充分。镜头画面运用要丰富，全景、中景、近景和特写4种景别镜头切换自然流畅；</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xml:space="preserve">声音收录或制作要求严格按照电视级标准，确保数字机在-10DB～20DB之间。不得过爆和声音过低。符合技术要求，声音要干净； </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视效要求：不得使用纯实拍画面，除非其画面满足镜头</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要求；视效画面应以3dCG画面为主，与现场状态有机融合，要求以混合现实、3dCG裸眼沉浸体验为主要输出视听效果； </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xml:space="preserve">灯光：制作过程中，对于开幕式现场场景环境光可进行编程设计，需要用辅助光源加以补充； </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有完善的3dCG设计制作及渲染团队和相关的应急能力及措施。</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对青艺周主题“现在史”有合理的理解在片中部分呈现。</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成片时长：每个视频以分钟为计，总时长不低于35分钟。</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音效标准：成片须有符合意境的背景音乐，通常为音轨并轨后左右声道的立体声输出，或特殊指定要求的国际声道标准输出；</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交付标准：MP4或MOV的电子文件格式；</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存档标准：素材及成片的备份存储为移动硬盘或存储U盘；</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系列视频内容涉及的文字、图片、音频、视频应为原创，若引用资料，需先妥善解决版权，因内容、版权出现的问题，责任由响应供应商承担；</w:t>
      </w:r>
    </w:p>
    <w:p>
      <w:pPr>
        <w:pStyle w:val="2"/>
        <w:spacing w:line="288"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保证制作的成片完整，能够体现主题主旨，并配以解说、字幕、音乐、片头、片尾以及常用特效等，结构及片长分配合理、内涵丰富，并符合国家有关技术指标和相关法律法规。</w:t>
      </w:r>
    </w:p>
    <w:p>
      <w:pPr>
        <w:pStyle w:val="25"/>
        <w:spacing w:line="288" w:lineRule="auto"/>
        <w:ind w:left="0" w:firstLine="420" w:firstLineChars="200"/>
        <w:rPr>
          <w:color w:val="auto"/>
          <w:highlight w:val="none"/>
        </w:rPr>
      </w:pPr>
    </w:p>
    <w:p>
      <w:pPr>
        <w:pStyle w:val="2"/>
        <w:spacing w:line="288"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c）样片要求</w:t>
      </w:r>
    </w:p>
    <w:p>
      <w:pPr>
        <w:pStyle w:val="2"/>
        <w:spacing w:line="288" w:lineRule="auto"/>
        <w:ind w:firstLine="422" w:firstLineChars="20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请</w:t>
      </w:r>
      <w:r>
        <w:rPr>
          <w:rFonts w:hint="eastAsia" w:asciiTheme="minorEastAsia" w:hAnsiTheme="minorEastAsia" w:eastAsiaTheme="minorEastAsia"/>
          <w:b/>
          <w:bCs/>
          <w:color w:val="auto"/>
          <w:sz w:val="21"/>
          <w:szCs w:val="21"/>
          <w:highlight w:val="none"/>
        </w:rPr>
        <w:t>供应商</w:t>
      </w:r>
      <w:r>
        <w:rPr>
          <w:rFonts w:asciiTheme="minorEastAsia" w:hAnsiTheme="minorEastAsia" w:eastAsiaTheme="minorEastAsia"/>
          <w:b/>
          <w:bCs/>
          <w:color w:val="auto"/>
          <w:sz w:val="21"/>
          <w:szCs w:val="21"/>
          <w:highlight w:val="none"/>
        </w:rPr>
        <w:t>紧扣青艺周大主题“</w:t>
      </w:r>
      <w:r>
        <w:rPr>
          <w:rFonts w:hint="eastAsia" w:asciiTheme="minorEastAsia" w:hAnsiTheme="minorEastAsia" w:eastAsiaTheme="minorEastAsia"/>
          <w:b/>
          <w:bCs/>
          <w:color w:val="auto"/>
          <w:sz w:val="21"/>
          <w:szCs w:val="21"/>
          <w:highlight w:val="none"/>
        </w:rPr>
        <w:t>生活力</w:t>
      </w:r>
      <w:r>
        <w:rPr>
          <w:rFonts w:asciiTheme="minorEastAsia" w:hAnsiTheme="minorEastAsia" w:eastAsiaTheme="minorEastAsia"/>
          <w:b/>
          <w:bCs/>
          <w:color w:val="auto"/>
          <w:sz w:val="21"/>
          <w:szCs w:val="21"/>
          <w:highlight w:val="none"/>
        </w:rPr>
        <w:t>”结合开幕式系列片拟定分主题，提供以下素材：</w:t>
      </w:r>
    </w:p>
    <w:p>
      <w:pPr>
        <w:pStyle w:val="2"/>
        <w:spacing w:line="288" w:lineRule="auto"/>
        <w:ind w:firstLine="422" w:firstLineChars="20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1</w:t>
      </w:r>
      <w:r>
        <w:rPr>
          <w:rFonts w:hint="eastAsia" w:asciiTheme="minorEastAsia" w:hAnsiTheme="minorEastAsia" w:eastAsiaTheme="minorEastAsia"/>
          <w:b/>
          <w:bCs/>
          <w:color w:val="auto"/>
          <w:sz w:val="21"/>
          <w:szCs w:val="21"/>
          <w:highlight w:val="none"/>
        </w:rPr>
        <w:t>）</w:t>
      </w:r>
      <w:r>
        <w:rPr>
          <w:rFonts w:asciiTheme="minorEastAsia" w:hAnsiTheme="minorEastAsia" w:eastAsiaTheme="minorEastAsia"/>
          <w:b/>
          <w:bCs/>
          <w:color w:val="auto"/>
          <w:sz w:val="21"/>
          <w:szCs w:val="21"/>
          <w:highlight w:val="none"/>
        </w:rPr>
        <w:t>提供一份创意策划思路，如创意、解说词等内容。</w:t>
      </w:r>
    </w:p>
    <w:p>
      <w:pPr>
        <w:pStyle w:val="2"/>
        <w:spacing w:line="288" w:lineRule="auto"/>
        <w:ind w:firstLine="422" w:firstLineChars="20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2</w:t>
      </w:r>
      <w:r>
        <w:rPr>
          <w:rFonts w:hint="eastAsia" w:asciiTheme="minorEastAsia" w:hAnsiTheme="minorEastAsia" w:eastAsiaTheme="minorEastAsia"/>
          <w:b/>
          <w:bCs/>
          <w:color w:val="auto"/>
          <w:sz w:val="21"/>
          <w:szCs w:val="21"/>
          <w:highlight w:val="none"/>
        </w:rPr>
        <w:t>）</w:t>
      </w:r>
      <w:r>
        <w:rPr>
          <w:rFonts w:asciiTheme="minorEastAsia" w:hAnsiTheme="minorEastAsia" w:eastAsiaTheme="minorEastAsia"/>
          <w:b/>
          <w:bCs/>
          <w:color w:val="auto"/>
          <w:sz w:val="21"/>
          <w:szCs w:val="21"/>
          <w:highlight w:val="none"/>
        </w:rPr>
        <w:t>按照每个开幕片系列等名称进行制作不少于20秒的样片，能体现设计和制作水准，视频、音乐、配音等效果。</w:t>
      </w:r>
    </w:p>
    <w:p>
      <w:pPr>
        <w:pStyle w:val="2"/>
        <w:spacing w:line="288" w:lineRule="auto"/>
        <w:ind w:firstLine="422" w:firstLineChars="20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3</w:t>
      </w:r>
      <w:r>
        <w:rPr>
          <w:rFonts w:hint="eastAsia" w:asciiTheme="minorEastAsia" w:hAnsiTheme="minorEastAsia" w:eastAsiaTheme="minorEastAsia"/>
          <w:b/>
          <w:bCs/>
          <w:color w:val="auto"/>
          <w:sz w:val="21"/>
          <w:szCs w:val="21"/>
          <w:highlight w:val="none"/>
        </w:rPr>
        <w:t>）</w:t>
      </w:r>
      <w:r>
        <w:rPr>
          <w:rFonts w:asciiTheme="minorEastAsia" w:hAnsiTheme="minorEastAsia" w:eastAsiaTheme="minorEastAsia"/>
          <w:b/>
          <w:bCs/>
          <w:color w:val="auto"/>
          <w:sz w:val="21"/>
          <w:szCs w:val="21"/>
          <w:highlight w:val="none"/>
        </w:rPr>
        <w:t>阐述该创意的主要优缺点，实际拍摄制作过程中的表现手法等内容</w:t>
      </w:r>
      <w:r>
        <w:rPr>
          <w:rFonts w:hint="eastAsia" w:asciiTheme="minorEastAsia" w:hAnsiTheme="minorEastAsia" w:eastAsiaTheme="minorEastAsia"/>
          <w:b/>
          <w:bCs/>
          <w:color w:val="auto"/>
          <w:sz w:val="21"/>
          <w:szCs w:val="21"/>
          <w:highlight w:val="none"/>
        </w:rPr>
        <w:t>。</w:t>
      </w:r>
    </w:p>
    <w:p>
      <w:pPr>
        <w:pStyle w:val="2"/>
        <w:spacing w:line="288" w:lineRule="auto"/>
        <w:ind w:firstLine="422" w:firstLineChars="20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4</w:t>
      </w:r>
      <w:r>
        <w:rPr>
          <w:rFonts w:hint="eastAsia" w:asciiTheme="minorEastAsia" w:hAnsiTheme="minorEastAsia" w:eastAsiaTheme="minorEastAsia"/>
          <w:b/>
          <w:bCs/>
          <w:color w:val="auto"/>
          <w:sz w:val="21"/>
          <w:szCs w:val="21"/>
          <w:highlight w:val="none"/>
        </w:rPr>
        <w:t>）</w:t>
      </w:r>
      <w:r>
        <w:rPr>
          <w:rFonts w:asciiTheme="minorEastAsia" w:hAnsiTheme="minorEastAsia" w:eastAsiaTheme="minorEastAsia"/>
          <w:b/>
          <w:bCs/>
          <w:color w:val="auto"/>
          <w:sz w:val="21"/>
          <w:szCs w:val="21"/>
          <w:highlight w:val="none"/>
        </w:rPr>
        <w:t>样片提交时间和标准：与</w:t>
      </w:r>
      <w:r>
        <w:rPr>
          <w:rFonts w:hint="eastAsia" w:asciiTheme="minorEastAsia" w:hAnsiTheme="minorEastAsia" w:eastAsiaTheme="minorEastAsia"/>
          <w:b/>
          <w:bCs/>
          <w:color w:val="auto"/>
          <w:sz w:val="21"/>
          <w:szCs w:val="21"/>
          <w:highlight w:val="none"/>
        </w:rPr>
        <w:t>响应</w:t>
      </w:r>
      <w:r>
        <w:rPr>
          <w:rFonts w:asciiTheme="minorEastAsia" w:hAnsiTheme="minorEastAsia" w:eastAsiaTheme="minorEastAsia"/>
          <w:b/>
          <w:bCs/>
          <w:color w:val="auto"/>
          <w:sz w:val="21"/>
          <w:szCs w:val="21"/>
          <w:highlight w:val="none"/>
        </w:rPr>
        <w:t>文件同时提交，且以MP4或MOV的电子文件格式提交（</w:t>
      </w:r>
      <w:r>
        <w:rPr>
          <w:rFonts w:hint="eastAsia" w:asciiTheme="minorEastAsia" w:hAnsiTheme="minorEastAsia" w:eastAsiaTheme="minorEastAsia"/>
          <w:b/>
          <w:bCs/>
          <w:color w:val="auto"/>
          <w:sz w:val="21"/>
          <w:szCs w:val="21"/>
          <w:highlight w:val="none"/>
        </w:rPr>
        <w:t>供应商</w:t>
      </w:r>
      <w:r>
        <w:rPr>
          <w:rFonts w:asciiTheme="minorEastAsia" w:hAnsiTheme="minorEastAsia" w:eastAsiaTheme="minorEastAsia"/>
          <w:b/>
          <w:bCs/>
          <w:color w:val="auto"/>
          <w:sz w:val="21"/>
          <w:szCs w:val="21"/>
          <w:highlight w:val="none"/>
        </w:rPr>
        <w:t>提供的样片采购人有权无条件保存，且不予以返回）。</w:t>
      </w:r>
    </w:p>
    <w:tbl>
      <w:tblPr>
        <w:tblStyle w:val="43"/>
        <w:tblW w:w="96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513"/>
        <w:gridCol w:w="4375"/>
        <w:gridCol w:w="812"/>
        <w:gridCol w:w="1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842" w:type="dxa"/>
            <w:tcBorders>
              <w:top w:val="single" w:color="919191" w:sz="6" w:space="0"/>
              <w:left w:val="single" w:color="919191" w:sz="6" w:space="0"/>
              <w:bottom w:val="single" w:color="919191"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13" w:type="dxa"/>
            <w:tcBorders>
              <w:top w:val="single" w:color="919191" w:sz="6" w:space="0"/>
              <w:left w:val="single" w:color="000000" w:sz="6" w:space="0"/>
              <w:bottom w:val="single" w:color="919191"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主题片名</w:t>
            </w:r>
          </w:p>
        </w:tc>
        <w:tc>
          <w:tcPr>
            <w:tcW w:w="4375" w:type="dxa"/>
            <w:tcBorders>
              <w:top w:val="single" w:color="919191" w:sz="6" w:space="0"/>
              <w:left w:val="single" w:color="000000" w:sz="6" w:space="0"/>
              <w:bottom w:val="single" w:color="919191"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c>
          <w:tcPr>
            <w:tcW w:w="812" w:type="dxa"/>
            <w:tcBorders>
              <w:top w:val="single" w:color="919191" w:sz="6" w:space="0"/>
              <w:left w:val="single" w:color="000000" w:sz="6" w:space="0"/>
              <w:bottom w:val="single" w:color="919191"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80" w:type="dxa"/>
            <w:tcBorders>
              <w:top w:val="single" w:color="919191" w:sz="6" w:space="0"/>
              <w:left w:val="single" w:color="000000" w:sz="6" w:space="0"/>
              <w:bottom w:val="single" w:color="000000" w:sz="6" w:space="0"/>
              <w:right w:val="single" w:color="919191"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s/min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jc w:val="center"/>
        </w:trPr>
        <w:tc>
          <w:tcPr>
            <w:tcW w:w="842" w:type="dxa"/>
            <w:tcBorders>
              <w:top w:val="single" w:color="919191"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1</w:t>
            </w:r>
          </w:p>
        </w:tc>
        <w:tc>
          <w:tcPr>
            <w:tcW w:w="2513" w:type="dxa"/>
            <w:tcBorders>
              <w:top w:val="single" w:color="919191"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青艺周主题概念演绎短片“生活力-事物的远方”</w:t>
            </w:r>
          </w:p>
        </w:tc>
        <w:tc>
          <w:tcPr>
            <w:tcW w:w="4375" w:type="dxa"/>
            <w:tcBorders>
              <w:top w:val="single" w:color="919191"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3dcg动画形式短片，体现系列片主题含义，音效沉浸式5.1声道创作，延续第二届青艺周开幕片片头动画风格以及内容内涵，进行契合本次主题的创作。</w:t>
            </w:r>
          </w:p>
        </w:tc>
        <w:tc>
          <w:tcPr>
            <w:tcW w:w="812" w:type="dxa"/>
            <w:tcBorders>
              <w:top w:val="single" w:color="919191"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jc w:val="center"/>
        </w:trPr>
        <w:tc>
          <w:tcPr>
            <w:tcW w:w="84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2</w:t>
            </w:r>
          </w:p>
        </w:tc>
        <w:tc>
          <w:tcPr>
            <w:tcW w:w="2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开幕式系列片一 《生活力-宇宙黎明》</w:t>
            </w:r>
          </w:p>
        </w:tc>
        <w:tc>
          <w:tcPr>
            <w:tcW w:w="4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以开幕式10块大屏为沉浸式剧场为前提，进行C4d的3d建模动画设计创作，以天文学术体系为支撑，宇宙链为虚拟空间对宇宙黎明主题进行计算机视觉计算及数字媒体艺术的表达。</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jc w:val="center"/>
        </w:trPr>
        <w:tc>
          <w:tcPr>
            <w:tcW w:w="84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3</w:t>
            </w:r>
          </w:p>
        </w:tc>
        <w:tc>
          <w:tcPr>
            <w:tcW w:w="2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开幕式章回视频《文明映射》</w:t>
            </w:r>
          </w:p>
        </w:tc>
        <w:tc>
          <w:tcPr>
            <w:tcW w:w="4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以开幕式10块大屏为沉浸式剧场为前提，进行C4d的3d建模动画设计创作，以文明与映射进行思考进行延伸，与现代史主题契合，达到混合现实xr的效果，视角、视听氛围达到通感感知。</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jc w:val="center"/>
        </w:trPr>
        <w:tc>
          <w:tcPr>
            <w:tcW w:w="84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4</w:t>
            </w:r>
          </w:p>
        </w:tc>
        <w:tc>
          <w:tcPr>
            <w:tcW w:w="2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启幕仪式动画及现场音乐制作</w:t>
            </w:r>
          </w:p>
        </w:tc>
        <w:tc>
          <w:tcPr>
            <w:tcW w:w="4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以现代舞与生活力进行思考进行延伸，与现代史主题契合，达到混合现实xr的效果，视角、视听氛围达到通感感知，对人类未来本身的思考，要有一定的抽象观念和前瞻性。</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jc w:val="center"/>
        </w:trPr>
        <w:tc>
          <w:tcPr>
            <w:tcW w:w="84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5</w:t>
            </w:r>
          </w:p>
        </w:tc>
        <w:tc>
          <w:tcPr>
            <w:tcW w:w="2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开幕式服装秀视效混合现实片制作</w:t>
            </w:r>
          </w:p>
        </w:tc>
        <w:tc>
          <w:tcPr>
            <w:tcW w:w="4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以开幕式5块大屏为沉浸式剧场为前提，进行动画设计创作，以无服装秀现场进行思考进行延伸，与服装主题结合，有多元、科幻、时尚视听氛围。</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150s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84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6</w:t>
            </w:r>
          </w:p>
        </w:tc>
        <w:tc>
          <w:tcPr>
            <w:tcW w:w="2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青艺周总宣传片合成制作</w:t>
            </w:r>
          </w:p>
        </w:tc>
        <w:tc>
          <w:tcPr>
            <w:tcW w:w="4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将开幕系列片以及青艺周主题相关素材进行蒙太奇混剪，加入必要特效包装，不刻意炫技，达到“现在史”的抽象理解，辅以旁白文案，最终输出5分钟完整版以及90s片花版。</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1</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jc w:val="center"/>
        </w:trPr>
        <w:tc>
          <w:tcPr>
            <w:tcW w:w="84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7</w:t>
            </w:r>
          </w:p>
        </w:tc>
        <w:tc>
          <w:tcPr>
            <w:tcW w:w="2513"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开幕式系列片设计脚本及分镜头</w:t>
            </w:r>
          </w:p>
        </w:tc>
        <w:tc>
          <w:tcPr>
            <w:tcW w:w="4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任选以上系列片中4个片子制作分镜头脚本，每个脚本不少于10个镜头关键帧描述。</w:t>
            </w:r>
          </w:p>
        </w:tc>
        <w:tc>
          <w:tcPr>
            <w:tcW w:w="812"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spacing w:line="288" w:lineRule="auto"/>
              <w:jc w:val="center"/>
              <w:rPr>
                <w:rFonts w:eastAsiaTheme="minorEastAsia"/>
                <w:color w:val="auto"/>
                <w:sz w:val="21"/>
                <w:szCs w:val="21"/>
                <w:highlight w:val="none"/>
              </w:rPr>
            </w:pPr>
            <w:r>
              <w:rPr>
                <w:rFonts w:hint="eastAsia" w:eastAsiaTheme="minorEastAsia"/>
                <w:color w:val="auto"/>
                <w:sz w:val="21"/>
                <w:szCs w:val="21"/>
                <w:highlight w:val="none"/>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vAlign w:val="center"/>
          </w:tcPr>
          <w:p>
            <w:pPr>
              <w:pStyle w:val="44"/>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组</w:t>
            </w:r>
          </w:p>
        </w:tc>
      </w:tr>
    </w:tbl>
    <w:p>
      <w:pPr>
        <w:pStyle w:val="25"/>
        <w:spacing w:line="288" w:lineRule="auto"/>
        <w:ind w:left="0" w:firstLine="420" w:firstLineChars="200"/>
        <w:rPr>
          <w:color w:val="auto"/>
          <w:highlight w:val="none"/>
        </w:rPr>
      </w:pPr>
      <w:r>
        <w:rPr>
          <w:rFonts w:hint="eastAsia" w:asciiTheme="minorEastAsia" w:hAnsiTheme="minorEastAsia" w:eastAsiaTheme="minorEastAsia"/>
          <w:color w:val="auto"/>
          <w:szCs w:val="21"/>
          <w:highlight w:val="none"/>
        </w:rPr>
        <w:t>B、</w:t>
      </w:r>
      <w:r>
        <w:rPr>
          <w:color w:val="auto"/>
          <w:szCs w:val="21"/>
          <w:highlight w:val="none"/>
        </w:rPr>
        <w:t xml:space="preserve">项目团队要求 </w:t>
      </w:r>
    </w:p>
    <w:p>
      <w:pPr>
        <w:spacing w:line="288" w:lineRule="auto"/>
        <w:ind w:firstLine="420" w:firstLineChars="200"/>
        <w:rPr>
          <w:color w:val="auto"/>
          <w:sz w:val="21"/>
          <w:szCs w:val="21"/>
          <w:highlight w:val="none"/>
        </w:rPr>
      </w:pPr>
      <w:r>
        <w:rPr>
          <w:rFonts w:hint="eastAsia"/>
          <w:color w:val="auto"/>
          <w:sz w:val="21"/>
          <w:szCs w:val="21"/>
          <w:highlight w:val="none"/>
        </w:rPr>
        <w:t>a</w:t>
      </w:r>
      <w:r>
        <w:rPr>
          <w:color w:val="auto"/>
          <w:sz w:val="21"/>
          <w:szCs w:val="21"/>
          <w:highlight w:val="none"/>
        </w:rPr>
        <w:t>）工作要求</w:t>
      </w:r>
    </w:p>
    <w:p>
      <w:pPr>
        <w:spacing w:line="288" w:lineRule="auto"/>
        <w:ind w:firstLine="420" w:firstLineChars="200"/>
        <w:rPr>
          <w:color w:val="auto"/>
          <w:sz w:val="21"/>
          <w:szCs w:val="21"/>
          <w:highlight w:val="none"/>
        </w:rPr>
      </w:pPr>
      <w:r>
        <w:rPr>
          <w:color w:val="auto"/>
          <w:sz w:val="21"/>
          <w:szCs w:val="21"/>
          <w:highlight w:val="none"/>
        </w:rPr>
        <w:t>1)具有专业的混合现实、3dCG、科幻影视视频制作资格和专业素养的制作团队；</w:t>
      </w:r>
    </w:p>
    <w:p>
      <w:pPr>
        <w:spacing w:line="288" w:lineRule="auto"/>
        <w:ind w:firstLine="420" w:firstLineChars="200"/>
        <w:rPr>
          <w:color w:val="auto"/>
          <w:sz w:val="21"/>
          <w:szCs w:val="21"/>
          <w:highlight w:val="none"/>
        </w:rPr>
      </w:pPr>
      <w:r>
        <w:rPr>
          <w:color w:val="auto"/>
          <w:sz w:val="21"/>
          <w:szCs w:val="21"/>
          <w:highlight w:val="none"/>
        </w:rPr>
        <w:t>2)熟悉了解相关的政治经济常识、国家税收政策、国家税收征管等方面内容；</w:t>
      </w:r>
    </w:p>
    <w:p>
      <w:pPr>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应针对本项目，组建专门的创作团队；</w:t>
      </w:r>
    </w:p>
    <w:p>
      <w:pPr>
        <w:spacing w:line="288" w:lineRule="auto"/>
        <w:ind w:firstLine="420" w:firstLineChars="200"/>
        <w:rPr>
          <w:color w:val="auto"/>
          <w:sz w:val="21"/>
          <w:szCs w:val="21"/>
          <w:highlight w:val="none"/>
        </w:rPr>
      </w:pPr>
      <w:r>
        <w:rPr>
          <w:color w:val="auto"/>
          <w:sz w:val="21"/>
          <w:szCs w:val="21"/>
          <w:highlight w:val="none"/>
        </w:rPr>
        <w:t>4)指定项目经理（1人）与采购人保持24 小时畅通联系，确保1个小时内能组织项目经理和主创人员（相对固定的团队）与采购人</w:t>
      </w:r>
      <w:r>
        <w:rPr>
          <w:rFonts w:hint="eastAsia"/>
          <w:color w:val="auto"/>
          <w:sz w:val="21"/>
          <w:szCs w:val="21"/>
          <w:highlight w:val="none"/>
        </w:rPr>
        <w:t>在线</w:t>
      </w:r>
      <w:r>
        <w:rPr>
          <w:color w:val="auto"/>
          <w:sz w:val="21"/>
          <w:szCs w:val="21"/>
          <w:highlight w:val="none"/>
        </w:rPr>
        <w:t>商谈。</w:t>
      </w:r>
    </w:p>
    <w:p>
      <w:pPr>
        <w:spacing w:line="288" w:lineRule="auto"/>
        <w:ind w:firstLine="420" w:firstLineChars="200"/>
        <w:rPr>
          <w:color w:val="auto"/>
          <w:sz w:val="21"/>
          <w:szCs w:val="21"/>
          <w:highlight w:val="none"/>
        </w:rPr>
      </w:pPr>
      <w:r>
        <w:rPr>
          <w:color w:val="auto"/>
          <w:sz w:val="21"/>
          <w:szCs w:val="21"/>
          <w:highlight w:val="none"/>
        </w:rPr>
        <w:t>5)能主动参与开幕式的前期策划，主动进行沟通，并提出有关视频设计制作的专业性建议；</w:t>
      </w:r>
    </w:p>
    <w:p>
      <w:pPr>
        <w:spacing w:line="288" w:lineRule="auto"/>
        <w:ind w:firstLine="420" w:firstLineChars="200"/>
        <w:rPr>
          <w:color w:val="auto"/>
          <w:sz w:val="21"/>
          <w:szCs w:val="21"/>
          <w:highlight w:val="none"/>
        </w:rPr>
      </w:pPr>
      <w:r>
        <w:rPr>
          <w:color w:val="auto"/>
          <w:sz w:val="21"/>
          <w:szCs w:val="21"/>
          <w:highlight w:val="none"/>
        </w:rPr>
        <w:t>6)对拍摄的内容及相关视频素材负有严格的保密责任，并保证相关视频素材不得外泄；</w:t>
      </w:r>
    </w:p>
    <w:p>
      <w:pPr>
        <w:spacing w:line="288" w:lineRule="auto"/>
        <w:ind w:firstLine="420" w:firstLineChars="200"/>
        <w:rPr>
          <w:color w:val="auto"/>
          <w:sz w:val="21"/>
          <w:szCs w:val="21"/>
          <w:highlight w:val="none"/>
        </w:rPr>
      </w:pPr>
      <w:r>
        <w:rPr>
          <w:color w:val="auto"/>
          <w:sz w:val="21"/>
          <w:szCs w:val="21"/>
          <w:highlight w:val="none"/>
        </w:rPr>
        <w:t>7)拍摄制作的所有成片及素材，能及时保障宣传所需的有关单位、相关传播媒体等机构提供符合播出技术标准的不同格式的视频素材。</w:t>
      </w:r>
    </w:p>
    <w:p>
      <w:pPr>
        <w:spacing w:line="288" w:lineRule="auto"/>
        <w:ind w:firstLine="420" w:firstLineChars="200"/>
        <w:rPr>
          <w:color w:val="auto"/>
          <w:sz w:val="21"/>
          <w:szCs w:val="21"/>
          <w:highlight w:val="none"/>
        </w:rPr>
      </w:pPr>
      <w:r>
        <w:rPr>
          <w:color w:val="auto"/>
          <w:sz w:val="21"/>
          <w:szCs w:val="21"/>
          <w:highlight w:val="none"/>
        </w:rPr>
        <w:t xml:space="preserve">8)未经采购人允许，不得擅自更换主要创作团队中的任何成员，采购人可对合作不满意的成员，提出替换要求。 </w:t>
      </w:r>
    </w:p>
    <w:p>
      <w:pPr>
        <w:spacing w:line="288" w:lineRule="auto"/>
        <w:ind w:firstLine="420" w:firstLineChars="200"/>
        <w:rPr>
          <w:color w:val="auto"/>
          <w:sz w:val="21"/>
          <w:szCs w:val="21"/>
          <w:highlight w:val="none"/>
        </w:rPr>
      </w:pPr>
      <w:r>
        <w:rPr>
          <w:color w:val="auto"/>
          <w:sz w:val="21"/>
          <w:szCs w:val="21"/>
          <w:highlight w:val="none"/>
        </w:rPr>
        <w:t>9)所有视频版权最终归采购人所有。</w:t>
      </w:r>
    </w:p>
    <w:p>
      <w:pPr>
        <w:spacing w:line="288" w:lineRule="auto"/>
        <w:ind w:firstLine="420" w:firstLineChars="200"/>
        <w:rPr>
          <w:color w:val="auto"/>
          <w:sz w:val="21"/>
          <w:szCs w:val="21"/>
          <w:highlight w:val="none"/>
        </w:rPr>
      </w:pPr>
      <w:r>
        <w:rPr>
          <w:rFonts w:hint="eastAsia"/>
          <w:color w:val="auto"/>
          <w:sz w:val="21"/>
          <w:szCs w:val="21"/>
          <w:highlight w:val="none"/>
        </w:rPr>
        <w:t>b</w:t>
      </w:r>
      <w:r>
        <w:rPr>
          <w:color w:val="auto"/>
          <w:sz w:val="21"/>
          <w:szCs w:val="21"/>
          <w:highlight w:val="none"/>
        </w:rPr>
        <w:t xml:space="preserve">）主要团队人员要求 </w:t>
      </w:r>
    </w:p>
    <w:p>
      <w:pPr>
        <w:spacing w:line="288" w:lineRule="auto"/>
        <w:ind w:firstLine="420" w:firstLineChars="200"/>
        <w:rPr>
          <w:color w:val="auto"/>
          <w:sz w:val="21"/>
          <w:szCs w:val="21"/>
          <w:highlight w:val="none"/>
        </w:rPr>
      </w:pPr>
      <w:r>
        <w:rPr>
          <w:color w:val="auto"/>
          <w:sz w:val="21"/>
          <w:szCs w:val="21"/>
          <w:highlight w:val="none"/>
        </w:rPr>
        <w:t>主创团队/导演：拥有国际电影节入围/获奖相关的背景。在近两年内独立指导过同类或相似性作品入围国际电影节，能够很好把握片子的方向、节奏，有国内前2位相关艺术院校教育背景。需有过国内外相关活动的大型开幕式视觉视频设计制作等相关案例背景。</w:t>
      </w:r>
    </w:p>
    <w:p>
      <w:pPr>
        <w:spacing w:line="288" w:lineRule="auto"/>
        <w:ind w:firstLine="420" w:firstLineChars="200"/>
        <w:rPr>
          <w:color w:val="auto"/>
          <w:sz w:val="21"/>
          <w:szCs w:val="21"/>
          <w:highlight w:val="none"/>
        </w:rPr>
      </w:pPr>
      <w:r>
        <w:rPr>
          <w:color w:val="auto"/>
          <w:sz w:val="21"/>
          <w:szCs w:val="21"/>
          <w:highlight w:val="none"/>
        </w:rPr>
        <w:t>c</w:t>
      </w:r>
      <w:r>
        <w:rPr>
          <w:rFonts w:hint="eastAsia"/>
          <w:color w:val="auto"/>
          <w:sz w:val="21"/>
          <w:szCs w:val="21"/>
          <w:highlight w:val="none"/>
        </w:rPr>
        <w:t>）</w:t>
      </w:r>
      <w:r>
        <w:rPr>
          <w:color w:val="auto"/>
          <w:sz w:val="21"/>
          <w:szCs w:val="21"/>
          <w:highlight w:val="none"/>
        </w:rPr>
        <w:t>、验收标准（成片提交形式、格式要求 ）</w:t>
      </w:r>
    </w:p>
    <w:p>
      <w:pPr>
        <w:spacing w:line="288" w:lineRule="auto"/>
        <w:ind w:firstLine="420" w:firstLineChars="200"/>
        <w:rPr>
          <w:color w:val="auto"/>
          <w:sz w:val="21"/>
          <w:szCs w:val="21"/>
          <w:highlight w:val="none"/>
        </w:rPr>
      </w:pPr>
      <w:r>
        <w:rPr>
          <w:color w:val="auto"/>
          <w:sz w:val="21"/>
          <w:szCs w:val="21"/>
          <w:highlight w:val="none"/>
        </w:rPr>
        <w:t xml:space="preserve">1.提交成片格式应无任何播放器、包含设备的要求限制，满足各类播放器、播放器材的播放。 </w:t>
      </w:r>
    </w:p>
    <w:p>
      <w:pPr>
        <w:spacing w:line="288" w:lineRule="auto"/>
        <w:ind w:firstLine="420" w:firstLineChars="200"/>
        <w:rPr>
          <w:color w:val="auto"/>
          <w:sz w:val="21"/>
          <w:szCs w:val="21"/>
          <w:highlight w:val="none"/>
        </w:rPr>
      </w:pPr>
      <w:r>
        <w:rPr>
          <w:color w:val="auto"/>
          <w:sz w:val="21"/>
          <w:szCs w:val="21"/>
          <w:highlight w:val="none"/>
        </w:rPr>
        <w:t xml:space="preserve">2.成片提交需要提供两种版本：一为无字幕版，一为中文字幕版（必要时英文配音和字幕）。 </w:t>
      </w:r>
    </w:p>
    <w:p>
      <w:pPr>
        <w:spacing w:line="288" w:lineRule="auto"/>
        <w:ind w:firstLine="420" w:firstLineChars="200"/>
        <w:rPr>
          <w:color w:val="auto"/>
          <w:sz w:val="21"/>
          <w:szCs w:val="21"/>
          <w:highlight w:val="none"/>
        </w:rPr>
      </w:pPr>
      <w:r>
        <w:rPr>
          <w:color w:val="auto"/>
          <w:sz w:val="21"/>
          <w:szCs w:val="21"/>
          <w:highlight w:val="none"/>
        </w:rPr>
        <w:t xml:space="preserve">3.成片（两种版本）及全部拍摄素材应使用移动硬盘提交，一式两份。 </w:t>
      </w:r>
    </w:p>
    <w:p>
      <w:pPr>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需配合采购人验收，且至完全达到采购人标准为止。</w:t>
      </w:r>
    </w:p>
    <w:p>
      <w:pPr>
        <w:spacing w:line="288" w:lineRule="auto"/>
        <w:ind w:firstLine="420" w:firstLineChars="200"/>
        <w:rPr>
          <w:color w:val="auto"/>
          <w:sz w:val="21"/>
          <w:szCs w:val="21"/>
          <w:highlight w:val="none"/>
        </w:rPr>
      </w:pPr>
      <w:r>
        <w:rPr>
          <w:rFonts w:hint="eastAsia"/>
          <w:color w:val="auto"/>
          <w:sz w:val="21"/>
          <w:szCs w:val="21"/>
          <w:highlight w:val="none"/>
        </w:rPr>
        <w:t>d</w:t>
      </w:r>
      <w:r>
        <w:rPr>
          <w:color w:val="auto"/>
          <w:sz w:val="21"/>
          <w:szCs w:val="21"/>
          <w:highlight w:val="none"/>
        </w:rPr>
        <w:t xml:space="preserve">)、素材提交形式、格式要求 </w:t>
      </w:r>
    </w:p>
    <w:p>
      <w:pPr>
        <w:spacing w:line="288" w:lineRule="auto"/>
        <w:ind w:firstLine="420" w:firstLineChars="200"/>
        <w:rPr>
          <w:color w:val="auto"/>
          <w:sz w:val="21"/>
          <w:szCs w:val="21"/>
          <w:highlight w:val="none"/>
        </w:rPr>
      </w:pPr>
      <w:r>
        <w:rPr>
          <w:color w:val="auto"/>
          <w:sz w:val="21"/>
          <w:szCs w:val="21"/>
          <w:highlight w:val="none"/>
        </w:rPr>
        <w:t xml:space="preserve">1.提交成片格式应无任何播放器、包含设备的要求限制，满足各类播放器、播放器材的播放。 </w:t>
      </w:r>
    </w:p>
    <w:p>
      <w:pPr>
        <w:spacing w:line="288" w:lineRule="auto"/>
        <w:ind w:firstLine="420" w:firstLineChars="200"/>
        <w:rPr>
          <w:color w:val="auto"/>
          <w:sz w:val="21"/>
          <w:szCs w:val="21"/>
          <w:highlight w:val="none"/>
        </w:rPr>
      </w:pPr>
      <w:r>
        <w:rPr>
          <w:color w:val="auto"/>
          <w:sz w:val="21"/>
          <w:szCs w:val="21"/>
          <w:highlight w:val="none"/>
        </w:rPr>
        <w:t>2.以表格的形式，列明素材清单，将全部拍摄素材提交采购方，并不得对外使用。</w:t>
      </w:r>
    </w:p>
    <w:p>
      <w:pPr>
        <w:spacing w:line="288" w:lineRule="auto"/>
        <w:ind w:firstLine="420" w:firstLineChars="200"/>
        <w:rPr>
          <w:color w:val="auto"/>
          <w:sz w:val="21"/>
          <w:szCs w:val="21"/>
          <w:highlight w:val="none"/>
        </w:rPr>
      </w:pPr>
      <w:r>
        <w:rPr>
          <w:rFonts w:hint="eastAsia"/>
          <w:color w:val="auto"/>
          <w:sz w:val="21"/>
          <w:szCs w:val="21"/>
          <w:highlight w:val="none"/>
        </w:rPr>
        <w:t>e</w:t>
      </w:r>
      <w:r>
        <w:rPr>
          <w:color w:val="auto"/>
          <w:sz w:val="21"/>
          <w:szCs w:val="21"/>
          <w:highlight w:val="none"/>
        </w:rPr>
        <w:t>)、保密约定</w:t>
      </w:r>
    </w:p>
    <w:p>
      <w:pPr>
        <w:spacing w:line="288" w:lineRule="auto"/>
        <w:ind w:firstLine="420" w:firstLineChars="200"/>
        <w:rPr>
          <w:color w:val="auto"/>
          <w:sz w:val="21"/>
          <w:szCs w:val="21"/>
          <w:highlight w:val="none"/>
        </w:rPr>
      </w:pPr>
      <w:r>
        <w:rPr>
          <w:rFonts w:hint="eastAsia"/>
          <w:color w:val="auto"/>
          <w:sz w:val="21"/>
          <w:szCs w:val="21"/>
          <w:highlight w:val="none"/>
        </w:rPr>
        <w:t>供应商</w:t>
      </w:r>
      <w:r>
        <w:rPr>
          <w:color w:val="auto"/>
          <w:sz w:val="21"/>
          <w:szCs w:val="21"/>
          <w:highlight w:val="none"/>
        </w:rPr>
        <w:t>需与采购人签订保密约定，若</w:t>
      </w:r>
      <w:r>
        <w:rPr>
          <w:rFonts w:hint="eastAsia"/>
          <w:color w:val="auto"/>
          <w:sz w:val="21"/>
          <w:szCs w:val="21"/>
          <w:highlight w:val="none"/>
        </w:rPr>
        <w:t>供应商</w:t>
      </w:r>
      <w:r>
        <w:rPr>
          <w:color w:val="auto"/>
          <w:sz w:val="21"/>
          <w:szCs w:val="21"/>
          <w:highlight w:val="none"/>
        </w:rPr>
        <w:t>未经采购人书面授权并出具授权书，擅自将本项目拍摄的内容或与采购人相关的一切事项透露给第三方，采购人有权追究其法律责任，并承担一切政治和经济责任。</w:t>
      </w:r>
    </w:p>
    <w:p>
      <w:pPr>
        <w:pStyle w:val="2"/>
        <w:spacing w:line="288" w:lineRule="auto"/>
        <w:ind w:firstLine="480" w:firstLineChars="200"/>
        <w:rPr>
          <w:color w:val="auto"/>
          <w:highlight w:val="none"/>
        </w:rPr>
      </w:pPr>
    </w:p>
    <w:p>
      <w:pPr>
        <w:pStyle w:val="2"/>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（三）线下开幕式现场搭建及设备租赁</w:t>
      </w:r>
    </w:p>
    <w:p>
      <w:pPr>
        <w:pStyle w:val="26"/>
        <w:spacing w:line="288" w:lineRule="auto"/>
        <w:ind w:left="0" w:firstLine="422" w:firstLineChars="200"/>
        <w:rPr>
          <w:color w:val="auto"/>
          <w:highlight w:val="none"/>
        </w:rPr>
      </w:pPr>
      <w:r>
        <w:rPr>
          <w:rFonts w:hint="eastAsia" w:ascii="宋体" w:hAnsi="宋体" w:cs="宋体"/>
          <w:b/>
          <w:color w:val="auto"/>
          <w:szCs w:val="21"/>
          <w:highlight w:val="none"/>
        </w:rPr>
        <w:t>1.服务清单，包括但不限于以下内容：</w:t>
      </w:r>
    </w:p>
    <w:tbl>
      <w:tblPr>
        <w:tblStyle w:val="19"/>
        <w:tblW w:w="5000" w:type="pct"/>
        <w:tblInd w:w="0" w:type="dxa"/>
        <w:tblLayout w:type="autofit"/>
        <w:tblCellMar>
          <w:top w:w="0" w:type="dxa"/>
          <w:left w:w="108" w:type="dxa"/>
          <w:bottom w:w="0" w:type="dxa"/>
          <w:right w:w="108" w:type="dxa"/>
        </w:tblCellMar>
      </w:tblPr>
      <w:tblGrid>
        <w:gridCol w:w="946"/>
        <w:gridCol w:w="2346"/>
        <w:gridCol w:w="3576"/>
        <w:gridCol w:w="946"/>
        <w:gridCol w:w="952"/>
        <w:gridCol w:w="862"/>
      </w:tblGrid>
      <w:tr>
        <w:tblPrEx>
          <w:tblCellMar>
            <w:top w:w="0" w:type="dxa"/>
            <w:left w:w="108" w:type="dxa"/>
            <w:bottom w:w="0" w:type="dxa"/>
            <w:right w:w="108" w:type="dxa"/>
          </w:tblCellMar>
        </w:tblPrEx>
        <w:trPr>
          <w:trHeight w:val="405"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jc w:val="center"/>
              <w:rPr>
                <w:color w:val="auto"/>
                <w:sz w:val="21"/>
                <w:szCs w:val="21"/>
                <w:highlight w:val="none"/>
              </w:rPr>
            </w:pPr>
            <w:r>
              <w:rPr>
                <w:rFonts w:hint="eastAsia"/>
                <w:color w:val="auto"/>
                <w:sz w:val="21"/>
                <w:szCs w:val="21"/>
                <w:highlight w:val="none"/>
              </w:rPr>
              <w:t>序号</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内容</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说明</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单位</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周期/天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数量</w:t>
            </w:r>
          </w:p>
        </w:tc>
      </w:tr>
      <w:tr>
        <w:tblPrEx>
          <w:tblCellMar>
            <w:top w:w="0" w:type="dxa"/>
            <w:left w:w="108" w:type="dxa"/>
            <w:bottom w:w="0" w:type="dxa"/>
            <w:right w:w="108" w:type="dxa"/>
          </w:tblCellMar>
        </w:tblPrEx>
        <w:trPr>
          <w:trHeight w:val="300" w:hRule="atLeast"/>
        </w:trPr>
        <w:tc>
          <w:tcPr>
            <w:tcW w:w="175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88" w:lineRule="auto"/>
              <w:textAlignment w:val="top"/>
              <w:rPr>
                <w:color w:val="auto"/>
                <w:sz w:val="21"/>
                <w:szCs w:val="21"/>
                <w:highlight w:val="none"/>
              </w:rPr>
            </w:pPr>
            <w:r>
              <w:rPr>
                <w:rFonts w:hint="eastAsia"/>
                <w:color w:val="auto"/>
                <w:kern w:val="0"/>
                <w:sz w:val="21"/>
                <w:szCs w:val="21"/>
                <w:highlight w:val="none"/>
                <w:lang w:bidi="ar"/>
              </w:rPr>
              <w:t>一、视频部分</w:t>
            </w:r>
          </w:p>
        </w:tc>
        <w:tc>
          <w:tcPr>
            <w:tcW w:w="324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88" w:lineRule="auto"/>
              <w:ind w:firstLine="420" w:firstLineChars="200"/>
              <w:jc w:val="center"/>
              <w:textAlignment w:val="top"/>
              <w:rPr>
                <w:color w:val="auto"/>
                <w:kern w:val="0"/>
                <w:sz w:val="21"/>
                <w:szCs w:val="21"/>
                <w:highlight w:val="none"/>
                <w:lang w:bidi="ar"/>
              </w:rPr>
            </w:pPr>
          </w:p>
        </w:tc>
      </w:tr>
      <w:tr>
        <w:tblPrEx>
          <w:tblCellMar>
            <w:top w:w="0" w:type="dxa"/>
            <w:left w:w="108" w:type="dxa"/>
            <w:bottom w:w="0" w:type="dxa"/>
            <w:right w:w="108" w:type="dxa"/>
          </w:tblCellMar>
        </w:tblPrEx>
        <w:trPr>
          <w:trHeight w:val="352"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w:t>
            </w:r>
          </w:p>
        </w:tc>
        <w:tc>
          <w:tcPr>
            <w:tcW w:w="124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LED （P3)户外</w:t>
            </w:r>
          </w:p>
        </w:tc>
        <w:tc>
          <w:tcPr>
            <w:tcW w:w="18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主屏 7*16+3*8</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136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地屏 4*16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64</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3</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1-3号侧屏</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4*5+16*6+2*6-2*2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126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4</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6-10号侧屏</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5*3+3*4+4*2+4*4+4*5-4.5</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66.5</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5</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播控系统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V8+H8主备双系统</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w:t>
            </w:r>
          </w:p>
        </w:tc>
      </w:tr>
      <w:tr>
        <w:tblPrEx>
          <w:tblCellMar>
            <w:top w:w="0" w:type="dxa"/>
            <w:left w:w="108" w:type="dxa"/>
            <w:bottom w:w="0" w:type="dxa"/>
            <w:right w:w="108" w:type="dxa"/>
          </w:tblCellMar>
        </w:tblPrEx>
        <w:trPr>
          <w:trHeight w:val="300" w:hRule="atLeast"/>
        </w:trPr>
        <w:tc>
          <w:tcPr>
            <w:tcW w:w="175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88" w:lineRule="auto"/>
              <w:textAlignment w:val="top"/>
              <w:rPr>
                <w:color w:val="auto"/>
                <w:sz w:val="21"/>
                <w:szCs w:val="21"/>
                <w:highlight w:val="none"/>
              </w:rPr>
            </w:pPr>
            <w:r>
              <w:rPr>
                <w:rFonts w:hint="eastAsia"/>
                <w:color w:val="auto"/>
                <w:kern w:val="0"/>
                <w:sz w:val="21"/>
                <w:szCs w:val="21"/>
                <w:highlight w:val="none"/>
                <w:lang w:bidi="ar"/>
              </w:rPr>
              <w:t>二、灯光部分</w:t>
            </w:r>
          </w:p>
        </w:tc>
        <w:tc>
          <w:tcPr>
            <w:tcW w:w="324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88" w:lineRule="auto"/>
              <w:ind w:firstLine="420" w:firstLineChars="200"/>
              <w:jc w:val="center"/>
              <w:textAlignment w:val="top"/>
              <w:rPr>
                <w:color w:val="auto"/>
                <w:kern w:val="0"/>
                <w:sz w:val="21"/>
                <w:szCs w:val="21"/>
                <w:highlight w:val="none"/>
                <w:lang w:bidi="ar"/>
              </w:rPr>
            </w:pP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w:t>
            </w:r>
          </w:p>
        </w:tc>
        <w:tc>
          <w:tcPr>
            <w:tcW w:w="124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光束灯</w:t>
            </w:r>
          </w:p>
        </w:tc>
        <w:tc>
          <w:tcPr>
            <w:tcW w:w="18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ACME-380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sz w:val="21"/>
                <w:szCs w:val="21"/>
                <w:highlight w:val="none"/>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78</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染色帕灯</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LQE-5403 outdoor</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142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3</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切割灯</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ACME-XP1000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82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4</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频闪灯</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ACME-1080</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5</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激光灯条</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ACME-LS608 RGB</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50</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6</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追光灯</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DAGE-380W</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7</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灯光控台</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grandMA2 Full-size+NPU实时备份</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8</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户外烟饼</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9</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电源系统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RGB室外防水系统</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3</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10</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信号系统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广州韵鹏光电隔离系统</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12</w:t>
            </w:r>
          </w:p>
        </w:tc>
      </w:tr>
      <w:tr>
        <w:tblPrEx>
          <w:tblCellMar>
            <w:top w:w="0" w:type="dxa"/>
            <w:left w:w="108" w:type="dxa"/>
            <w:bottom w:w="0" w:type="dxa"/>
            <w:right w:w="108" w:type="dxa"/>
          </w:tblCellMar>
        </w:tblPrEx>
        <w:trPr>
          <w:trHeight w:val="300" w:hRule="atLeast"/>
        </w:trPr>
        <w:tc>
          <w:tcPr>
            <w:tcW w:w="175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88" w:lineRule="auto"/>
              <w:textAlignment w:val="top"/>
              <w:rPr>
                <w:color w:val="auto"/>
                <w:sz w:val="21"/>
                <w:szCs w:val="21"/>
                <w:highlight w:val="none"/>
              </w:rPr>
            </w:pPr>
            <w:r>
              <w:rPr>
                <w:rFonts w:hint="eastAsia"/>
                <w:color w:val="auto"/>
                <w:kern w:val="0"/>
                <w:sz w:val="21"/>
                <w:szCs w:val="21"/>
                <w:highlight w:val="none"/>
                <w:lang w:bidi="ar"/>
              </w:rPr>
              <w:t>三、音响部分</w:t>
            </w:r>
          </w:p>
        </w:tc>
        <w:tc>
          <w:tcPr>
            <w:tcW w:w="324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88" w:lineRule="auto"/>
              <w:ind w:firstLine="420" w:firstLineChars="200"/>
              <w:jc w:val="center"/>
              <w:textAlignment w:val="top"/>
              <w:rPr>
                <w:color w:val="auto"/>
                <w:kern w:val="0"/>
                <w:sz w:val="21"/>
                <w:szCs w:val="21"/>
                <w:highlight w:val="none"/>
                <w:lang w:bidi="ar"/>
              </w:rPr>
            </w:pP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主扩单元喇叭</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ZSOUND  LA-110（单十寸喇叭单元）</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4</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主扩单元喇叭</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ZSOUND LA-212(双十二寸喇叭单元）</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3</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主扩低音喇叭</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ZSOUND SS2(双十八寸喇叭单元）</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8</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4</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舞台前置</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ZSOUND-M15（单十五寸喇叭单元）</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5</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无线手持话筒</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SHURE UR4D+UR2+BETA58A(频段L3E)</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6</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电容话筒</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艾卓立 CM1小震膜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4</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7</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数字调音台</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YAMAHA-CL5+接口箱</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8</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播放器</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MACbook PRO</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9</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话筒支架</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SoungKing</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w:t>
            </w:r>
          </w:p>
        </w:tc>
      </w:tr>
      <w:tr>
        <w:tblPrEx>
          <w:tblCellMar>
            <w:top w:w="0" w:type="dxa"/>
            <w:left w:w="108" w:type="dxa"/>
            <w:bottom w:w="0" w:type="dxa"/>
            <w:right w:w="108" w:type="dxa"/>
          </w:tblCellMar>
        </w:tblPrEx>
        <w:trPr>
          <w:trHeight w:val="351"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10</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电力系统</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RGB室外防水系统</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300" w:hRule="atLeast"/>
        </w:trPr>
        <w:tc>
          <w:tcPr>
            <w:tcW w:w="175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88" w:lineRule="auto"/>
              <w:textAlignment w:val="top"/>
              <w:rPr>
                <w:color w:val="auto"/>
                <w:sz w:val="21"/>
                <w:szCs w:val="21"/>
                <w:highlight w:val="none"/>
              </w:rPr>
            </w:pPr>
            <w:r>
              <w:rPr>
                <w:rFonts w:hint="eastAsia"/>
                <w:color w:val="auto"/>
                <w:kern w:val="0"/>
                <w:sz w:val="21"/>
                <w:szCs w:val="21"/>
                <w:highlight w:val="none"/>
                <w:lang w:bidi="ar"/>
              </w:rPr>
              <w:t>四、结构部分</w:t>
            </w:r>
          </w:p>
        </w:tc>
        <w:tc>
          <w:tcPr>
            <w:tcW w:w="324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88" w:lineRule="auto"/>
              <w:ind w:firstLine="420" w:firstLineChars="200"/>
              <w:jc w:val="center"/>
              <w:textAlignment w:val="top"/>
              <w:rPr>
                <w:color w:val="auto"/>
                <w:kern w:val="0"/>
                <w:sz w:val="21"/>
                <w:szCs w:val="21"/>
                <w:highlight w:val="none"/>
                <w:lang w:bidi="ar"/>
              </w:rPr>
            </w:pP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雷亚架</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60</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A区高台雷亚</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3</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A区高台板（含铺板）</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平方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102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4</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A区舞台</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平方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54</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5</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A区台阶</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11</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6</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B区舞台（含铺板）</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平方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27</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7</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B区台阶</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4</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8</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C区高台雷亚</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8</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9</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C区高台板（含铺板）</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平方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10</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C区台阶</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11</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G区舞台（含台阶）</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平方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8</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D/E看台</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平方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252</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13</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D/E看台台阶</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个</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16</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14</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1*2扣板</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20</w:t>
            </w:r>
          </w:p>
        </w:tc>
      </w:tr>
      <w:tr>
        <w:tblPrEx>
          <w:tblCellMar>
            <w:top w:w="0" w:type="dxa"/>
            <w:left w:w="108" w:type="dxa"/>
            <w:bottom w:w="0" w:type="dxa"/>
            <w:right w:w="108" w:type="dxa"/>
          </w:tblCellMar>
        </w:tblPrEx>
        <w:trPr>
          <w:trHeight w:val="300" w:hRule="atLeast"/>
        </w:trPr>
        <w:tc>
          <w:tcPr>
            <w:tcW w:w="513" w:type="pct"/>
            <w:tcBorders>
              <w:top w:val="nil"/>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15</w:t>
            </w:r>
          </w:p>
        </w:tc>
        <w:tc>
          <w:tcPr>
            <w:tcW w:w="124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图纸设计深化</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r>
      <w:tr>
        <w:tblPrEx>
          <w:tblCellMar>
            <w:top w:w="0" w:type="dxa"/>
            <w:left w:w="108" w:type="dxa"/>
            <w:bottom w:w="0" w:type="dxa"/>
            <w:right w:w="108" w:type="dxa"/>
          </w:tblCellMar>
        </w:tblPrEx>
        <w:trPr>
          <w:trHeight w:val="300" w:hRule="atLeast"/>
        </w:trPr>
        <w:tc>
          <w:tcPr>
            <w:tcW w:w="1753"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88" w:lineRule="auto"/>
              <w:textAlignment w:val="top"/>
              <w:rPr>
                <w:color w:val="auto"/>
                <w:sz w:val="21"/>
                <w:szCs w:val="21"/>
                <w:highlight w:val="none"/>
              </w:rPr>
            </w:pPr>
            <w:r>
              <w:rPr>
                <w:rFonts w:hint="eastAsia"/>
                <w:color w:val="auto"/>
                <w:kern w:val="0"/>
                <w:sz w:val="21"/>
                <w:szCs w:val="21"/>
                <w:highlight w:val="none"/>
                <w:lang w:bidi="ar"/>
              </w:rPr>
              <w:t>五、其它部分</w:t>
            </w:r>
          </w:p>
        </w:tc>
        <w:tc>
          <w:tcPr>
            <w:tcW w:w="3246"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88" w:lineRule="auto"/>
              <w:ind w:firstLine="420" w:firstLineChars="200"/>
              <w:jc w:val="center"/>
              <w:textAlignment w:val="top"/>
              <w:rPr>
                <w:color w:val="auto"/>
                <w:kern w:val="0"/>
                <w:sz w:val="21"/>
                <w:szCs w:val="21"/>
                <w:highlight w:val="none"/>
                <w:lang w:bidi="ar"/>
              </w:rPr>
            </w:pPr>
          </w:p>
        </w:tc>
      </w:tr>
      <w:tr>
        <w:tblPrEx>
          <w:tblCellMar>
            <w:top w:w="0" w:type="dxa"/>
            <w:left w:w="108" w:type="dxa"/>
            <w:bottom w:w="0" w:type="dxa"/>
            <w:right w:w="108" w:type="dxa"/>
          </w:tblCellMar>
        </w:tblPrEx>
        <w:trPr>
          <w:trHeight w:val="24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124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沙发条形凳子</w:t>
            </w:r>
          </w:p>
        </w:tc>
        <w:tc>
          <w:tcPr>
            <w:tcW w:w="1825"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张</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183</w:t>
            </w:r>
          </w:p>
        </w:tc>
      </w:tr>
      <w:tr>
        <w:tblPrEx>
          <w:tblCellMar>
            <w:top w:w="0" w:type="dxa"/>
            <w:left w:w="108" w:type="dxa"/>
            <w:bottom w:w="0" w:type="dxa"/>
            <w:right w:w="108" w:type="dxa"/>
          </w:tblCellMar>
        </w:tblPrEx>
        <w:trPr>
          <w:trHeight w:val="24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VIP贵宾沙发</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张</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20</w:t>
            </w:r>
          </w:p>
        </w:tc>
      </w:tr>
      <w:tr>
        <w:tblPrEx>
          <w:tblCellMar>
            <w:top w:w="0" w:type="dxa"/>
            <w:left w:w="108" w:type="dxa"/>
            <w:bottom w:w="0" w:type="dxa"/>
            <w:right w:w="108" w:type="dxa"/>
          </w:tblCellMar>
        </w:tblPrEx>
        <w:trPr>
          <w:trHeight w:val="300"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1"/>
                <w:szCs w:val="21"/>
                <w:highlight w:val="none"/>
              </w:rPr>
            </w:pPr>
            <w:r>
              <w:rPr>
                <w:rFonts w:hint="eastAsia"/>
                <w:color w:val="auto"/>
                <w:kern w:val="0"/>
                <w:sz w:val="21"/>
                <w:szCs w:val="21"/>
                <w:highlight w:val="none"/>
                <w:lang w:bidi="ar"/>
              </w:rPr>
              <w:t>3</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秀道部分</w:t>
            </w:r>
          </w:p>
        </w:tc>
        <w:tc>
          <w:tcPr>
            <w:tcW w:w="18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8" w:lineRule="auto"/>
              <w:ind w:firstLine="420" w:firstLineChars="200"/>
              <w:jc w:val="center"/>
              <w:rPr>
                <w:color w:val="auto"/>
                <w:sz w:val="21"/>
                <w:szCs w:val="21"/>
                <w:highlight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top"/>
              <w:rPr>
                <w:color w:val="auto"/>
                <w:sz w:val="21"/>
                <w:szCs w:val="21"/>
                <w:highlight w:val="none"/>
              </w:rPr>
            </w:pPr>
            <w:r>
              <w:rPr>
                <w:rFonts w:hint="eastAsia"/>
                <w:color w:val="auto"/>
                <w:kern w:val="0"/>
                <w:sz w:val="21"/>
                <w:szCs w:val="21"/>
                <w:highlight w:val="none"/>
                <w:lang w:bidi="ar"/>
              </w:rPr>
              <w:t>1</w:t>
            </w:r>
          </w:p>
        </w:tc>
      </w:tr>
    </w:tbl>
    <w:p>
      <w:pPr>
        <w:pStyle w:val="6"/>
        <w:spacing w:line="288" w:lineRule="auto"/>
        <w:ind w:firstLineChars="200"/>
        <w:rPr>
          <w:color w:val="auto"/>
          <w:highlight w:val="none"/>
        </w:rPr>
      </w:pPr>
    </w:p>
    <w:p>
      <w:pPr>
        <w:pStyle w:val="26"/>
        <w:spacing w:line="288" w:lineRule="auto"/>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2.具体内容</w:t>
      </w:r>
    </w:p>
    <w:p>
      <w:pPr>
        <w:pStyle w:val="6"/>
        <w:spacing w:line="288" w:lineRule="auto"/>
        <w:ind w:firstLineChars="200"/>
        <w:rPr>
          <w:color w:val="auto"/>
          <w:highlight w:val="none"/>
        </w:rPr>
      </w:pPr>
      <w:r>
        <w:rPr>
          <w:color w:val="auto"/>
          <w:highlight w:val="none"/>
        </w:rPr>
        <w:t>A、坚持“多元媒介与视觉</w:t>
      </w:r>
      <w:r>
        <w:rPr>
          <w:rFonts w:hint="eastAsia"/>
          <w:color w:val="auto"/>
          <w:highlight w:val="none"/>
        </w:rPr>
        <w:t>数字内容</w:t>
      </w:r>
      <w:r>
        <w:rPr>
          <w:color w:val="auto"/>
          <w:highlight w:val="none"/>
        </w:rPr>
        <w:t>相结合”的整体</w:t>
      </w:r>
      <w:r>
        <w:rPr>
          <w:rFonts w:hint="eastAsia"/>
          <w:color w:val="auto"/>
          <w:highlight w:val="none"/>
        </w:rPr>
        <w:t>呈现</w:t>
      </w:r>
      <w:r>
        <w:rPr>
          <w:color w:val="auto"/>
          <w:highlight w:val="none"/>
        </w:rPr>
        <w:t>理念，策划部署青艺周开幕式活动中的舞美实现效果与开幕内容的兼容度配合，提出合理的开幕式方案及建议，营造青艺周举办的良好氛围。以打造一场以艺科融合、混合现实、沉浸式通感体验为基本要求的舞美设计搭建思路为前提，理解 “</w:t>
      </w:r>
      <w:r>
        <w:rPr>
          <w:rFonts w:hint="eastAsia"/>
          <w:color w:val="auto"/>
          <w:highlight w:val="none"/>
        </w:rPr>
        <w:t>生活力</w:t>
      </w:r>
      <w:r>
        <w:rPr>
          <w:color w:val="auto"/>
          <w:highlight w:val="none"/>
        </w:rPr>
        <w:t>”主题进行一场数字科技赋能艺术教育的高能现场演绎，为现场直播、后续宣传报道做好内容输出的线下载体。</w:t>
      </w:r>
    </w:p>
    <w:p>
      <w:pPr>
        <w:pStyle w:val="6"/>
        <w:spacing w:line="288" w:lineRule="auto"/>
        <w:ind w:firstLineChars="200"/>
        <w:rPr>
          <w:color w:val="auto"/>
          <w:highlight w:val="none"/>
        </w:rPr>
      </w:pPr>
      <w:r>
        <w:rPr>
          <w:rFonts w:hint="eastAsia"/>
          <w:color w:val="auto"/>
          <w:highlight w:val="none"/>
        </w:rPr>
        <w:t>B</w:t>
      </w:r>
      <w:r>
        <w:rPr>
          <w:color w:val="auto"/>
          <w:highlight w:val="none"/>
        </w:rPr>
        <w:t>、具体工作：</w:t>
      </w:r>
    </w:p>
    <w:p>
      <w:pPr>
        <w:pStyle w:val="6"/>
        <w:spacing w:line="288" w:lineRule="auto"/>
        <w:ind w:firstLineChars="200"/>
        <w:rPr>
          <w:color w:val="auto"/>
          <w:highlight w:val="none"/>
        </w:rPr>
      </w:pPr>
      <w:r>
        <w:rPr>
          <w:color w:val="auto"/>
          <w:highlight w:val="none"/>
        </w:rPr>
        <w:t>1</w:t>
      </w:r>
      <w:r>
        <w:rPr>
          <w:rFonts w:hint="eastAsia"/>
          <w:color w:val="auto"/>
          <w:highlight w:val="none"/>
        </w:rPr>
        <w:t>）</w:t>
      </w:r>
      <w:r>
        <w:rPr>
          <w:color w:val="auto"/>
          <w:highlight w:val="none"/>
        </w:rPr>
        <w:t>负责开幕式 舞台舞美设计、灯光方案、混合现实技术支持及落地支持方案。</w:t>
      </w:r>
    </w:p>
    <w:p>
      <w:pPr>
        <w:pStyle w:val="6"/>
        <w:spacing w:line="288" w:lineRule="auto"/>
        <w:ind w:firstLineChars="200"/>
        <w:rPr>
          <w:color w:val="auto"/>
          <w:highlight w:val="none"/>
        </w:rPr>
      </w:pPr>
      <w:r>
        <w:rPr>
          <w:color w:val="auto"/>
          <w:highlight w:val="none"/>
        </w:rPr>
        <w:t>2</w:t>
      </w:r>
      <w:r>
        <w:rPr>
          <w:rFonts w:hint="eastAsia"/>
          <w:color w:val="auto"/>
          <w:highlight w:val="none"/>
        </w:rPr>
        <w:t>）</w:t>
      </w:r>
      <w:r>
        <w:rPr>
          <w:color w:val="auto"/>
          <w:highlight w:val="none"/>
        </w:rPr>
        <w:t>负责开幕式舞台搭建及设备租赁工作。</w:t>
      </w:r>
    </w:p>
    <w:p>
      <w:pPr>
        <w:pStyle w:val="6"/>
        <w:spacing w:line="288" w:lineRule="auto"/>
        <w:ind w:firstLineChars="200"/>
        <w:rPr>
          <w:color w:val="auto"/>
          <w:highlight w:val="none"/>
        </w:rPr>
      </w:pPr>
      <w:r>
        <w:rPr>
          <w:color w:val="auto"/>
          <w:highlight w:val="none"/>
        </w:rPr>
        <w:t>3</w:t>
      </w:r>
      <w:r>
        <w:rPr>
          <w:rFonts w:hint="eastAsia"/>
          <w:color w:val="auto"/>
          <w:highlight w:val="none"/>
        </w:rPr>
        <w:t>）</w:t>
      </w:r>
      <w:r>
        <w:rPr>
          <w:color w:val="auto"/>
          <w:highlight w:val="none"/>
        </w:rPr>
        <w:t>负责开幕式就视频内容进行编程、混合现实灯光及真人表演的设计配合。</w:t>
      </w:r>
    </w:p>
    <w:p>
      <w:pPr>
        <w:pStyle w:val="6"/>
        <w:spacing w:line="288" w:lineRule="auto"/>
        <w:ind w:firstLineChars="200"/>
        <w:rPr>
          <w:color w:val="auto"/>
          <w:highlight w:val="none"/>
        </w:rPr>
      </w:pPr>
      <w:r>
        <w:rPr>
          <w:color w:val="auto"/>
          <w:highlight w:val="none"/>
        </w:rPr>
        <w:t>4</w:t>
      </w:r>
      <w:r>
        <w:rPr>
          <w:rFonts w:hint="eastAsia"/>
          <w:color w:val="auto"/>
          <w:highlight w:val="none"/>
        </w:rPr>
        <w:t>）</w:t>
      </w:r>
      <w:r>
        <w:rPr>
          <w:color w:val="auto"/>
          <w:highlight w:val="none"/>
        </w:rPr>
        <w:t>配合做好开幕式流程方案；</w:t>
      </w:r>
    </w:p>
    <w:p>
      <w:pPr>
        <w:pStyle w:val="6"/>
        <w:spacing w:line="288" w:lineRule="auto"/>
        <w:ind w:firstLineChars="200"/>
        <w:rPr>
          <w:color w:val="auto"/>
          <w:highlight w:val="none"/>
        </w:rPr>
      </w:pPr>
      <w:r>
        <w:rPr>
          <w:rFonts w:hint="eastAsia"/>
          <w:color w:val="auto"/>
          <w:highlight w:val="none"/>
        </w:rPr>
        <w:t>C</w:t>
      </w:r>
      <w:r>
        <w:rPr>
          <w:color w:val="auto"/>
          <w:highlight w:val="none"/>
        </w:rPr>
        <w:t>、技术要求</w:t>
      </w:r>
    </w:p>
    <w:p>
      <w:pPr>
        <w:pStyle w:val="6"/>
        <w:spacing w:line="288" w:lineRule="auto"/>
        <w:ind w:firstLineChars="200"/>
        <w:rPr>
          <w:color w:val="auto"/>
          <w:highlight w:val="none"/>
        </w:rPr>
      </w:pPr>
      <w:r>
        <w:rPr>
          <w:color w:val="auto"/>
          <w:highlight w:val="none"/>
        </w:rPr>
        <w:t>舞美方案要求</w:t>
      </w:r>
    </w:p>
    <w:p>
      <w:pPr>
        <w:pStyle w:val="6"/>
        <w:spacing w:line="288" w:lineRule="auto"/>
        <w:ind w:firstLineChars="200"/>
        <w:rPr>
          <w:color w:val="auto"/>
          <w:highlight w:val="none"/>
        </w:rPr>
      </w:pPr>
      <w:r>
        <w:rPr>
          <w:color w:val="auto"/>
          <w:highlight w:val="none"/>
        </w:rPr>
        <w:t>请</w:t>
      </w:r>
      <w:r>
        <w:rPr>
          <w:rFonts w:hint="eastAsia"/>
          <w:color w:val="auto"/>
          <w:highlight w:val="none"/>
        </w:rPr>
        <w:t>供应商</w:t>
      </w:r>
      <w:r>
        <w:rPr>
          <w:color w:val="auto"/>
          <w:highlight w:val="none"/>
        </w:rPr>
        <w:t>紧扣青艺周大主题“</w:t>
      </w:r>
      <w:r>
        <w:rPr>
          <w:rFonts w:hint="eastAsia"/>
          <w:color w:val="auto"/>
          <w:highlight w:val="none"/>
        </w:rPr>
        <w:t>生活力</w:t>
      </w:r>
      <w:r>
        <w:rPr>
          <w:color w:val="auto"/>
          <w:highlight w:val="none"/>
        </w:rPr>
        <w:t>”结合开幕式系列片进行开幕式舞美方案设计，提供以下素材：</w:t>
      </w:r>
    </w:p>
    <w:p>
      <w:pPr>
        <w:pStyle w:val="6"/>
        <w:spacing w:line="288" w:lineRule="auto"/>
        <w:ind w:firstLineChars="200"/>
        <w:rPr>
          <w:color w:val="auto"/>
          <w:highlight w:val="none"/>
        </w:rPr>
      </w:pPr>
      <w:r>
        <w:rPr>
          <w:color w:val="auto"/>
          <w:highlight w:val="none"/>
        </w:rPr>
        <w:t>1</w:t>
      </w:r>
      <w:r>
        <w:rPr>
          <w:rFonts w:hint="eastAsia"/>
          <w:color w:val="auto"/>
          <w:highlight w:val="none"/>
        </w:rPr>
        <w:t>）</w:t>
      </w:r>
      <w:r>
        <w:rPr>
          <w:color w:val="auto"/>
          <w:highlight w:val="none"/>
        </w:rPr>
        <w:t>提供一份开幕式舞美创意策划思路，如创意、解说词等内容。</w:t>
      </w:r>
    </w:p>
    <w:p>
      <w:pPr>
        <w:pStyle w:val="6"/>
        <w:spacing w:line="288" w:lineRule="auto"/>
        <w:ind w:firstLineChars="200"/>
        <w:rPr>
          <w:color w:val="auto"/>
          <w:highlight w:val="none"/>
        </w:rPr>
      </w:pPr>
      <w:r>
        <w:rPr>
          <w:color w:val="auto"/>
          <w:highlight w:val="none"/>
        </w:rPr>
        <w:t>2</w:t>
      </w:r>
      <w:r>
        <w:rPr>
          <w:rFonts w:hint="eastAsia"/>
          <w:color w:val="auto"/>
          <w:highlight w:val="none"/>
        </w:rPr>
        <w:t>）</w:t>
      </w:r>
      <w:r>
        <w:rPr>
          <w:color w:val="auto"/>
          <w:highlight w:val="none"/>
        </w:rPr>
        <w:t>按照开幕式节目清单进行开幕式流程设计，并提供方案。</w:t>
      </w:r>
    </w:p>
    <w:p>
      <w:pPr>
        <w:pStyle w:val="6"/>
        <w:spacing w:line="288" w:lineRule="auto"/>
        <w:ind w:firstLineChars="200"/>
        <w:rPr>
          <w:color w:val="auto"/>
          <w:highlight w:val="none"/>
        </w:rPr>
      </w:pPr>
      <w:r>
        <w:rPr>
          <w:color w:val="auto"/>
          <w:highlight w:val="none"/>
        </w:rPr>
        <w:t>3</w:t>
      </w:r>
      <w:r>
        <w:rPr>
          <w:rFonts w:hint="eastAsia"/>
          <w:color w:val="auto"/>
          <w:highlight w:val="none"/>
        </w:rPr>
        <w:t>）</w:t>
      </w:r>
      <w:r>
        <w:rPr>
          <w:color w:val="auto"/>
          <w:highlight w:val="none"/>
        </w:rPr>
        <w:t>方案提交时间和标准：</w:t>
      </w:r>
      <w:r>
        <w:rPr>
          <w:rFonts w:hint="eastAsia"/>
          <w:color w:val="auto"/>
          <w:highlight w:val="none"/>
        </w:rPr>
        <w:t>体现在响应文件中</w:t>
      </w:r>
      <w:r>
        <w:rPr>
          <w:color w:val="auto"/>
          <w:highlight w:val="none"/>
        </w:rPr>
        <w:t>，并附上舞美设计详细方案，要求考虑到混合现实XR，多维沉浸现场效果。</w:t>
      </w:r>
    </w:p>
    <w:p>
      <w:pPr>
        <w:pStyle w:val="2"/>
        <w:spacing w:line="288" w:lineRule="auto"/>
        <w:ind w:firstLine="422" w:firstLineChars="200"/>
        <w:rPr>
          <w:rFonts w:ascii="宋体" w:hAnsi="宋体" w:cs="宋体"/>
          <w:b/>
          <w:color w:val="auto"/>
          <w:sz w:val="21"/>
          <w:szCs w:val="21"/>
          <w:highlight w:val="none"/>
        </w:rPr>
      </w:pPr>
    </w:p>
    <w:p>
      <w:pPr>
        <w:pStyle w:val="2"/>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（四）模特演员演出及工作人员</w:t>
      </w:r>
    </w:p>
    <w:p>
      <w:pPr>
        <w:pStyle w:val="26"/>
        <w:spacing w:line="288" w:lineRule="auto"/>
        <w:ind w:left="0" w:firstLine="422" w:firstLineChars="200"/>
        <w:rPr>
          <w:color w:val="auto"/>
          <w:highlight w:val="none"/>
        </w:rPr>
      </w:pPr>
      <w:r>
        <w:rPr>
          <w:rFonts w:hint="eastAsia" w:ascii="宋体" w:hAnsi="宋体" w:cs="宋体"/>
          <w:b/>
          <w:color w:val="auto"/>
          <w:szCs w:val="21"/>
          <w:highlight w:val="none"/>
        </w:rPr>
        <w:t>1.服务清单，包括但不限于以下内容：</w:t>
      </w:r>
    </w:p>
    <w:tbl>
      <w:tblPr>
        <w:tblStyle w:val="19"/>
        <w:tblW w:w="4999" w:type="pct"/>
        <w:jc w:val="center"/>
        <w:tblLayout w:type="autofit"/>
        <w:tblCellMar>
          <w:top w:w="0" w:type="dxa"/>
          <w:left w:w="108" w:type="dxa"/>
          <w:bottom w:w="0" w:type="dxa"/>
          <w:right w:w="108" w:type="dxa"/>
        </w:tblCellMar>
      </w:tblPr>
      <w:tblGrid>
        <w:gridCol w:w="755"/>
        <w:gridCol w:w="3397"/>
        <w:gridCol w:w="1408"/>
        <w:gridCol w:w="2033"/>
        <w:gridCol w:w="2033"/>
      </w:tblGrid>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8" w:lineRule="auto"/>
              <w:jc w:val="center"/>
              <w:rPr>
                <w:color w:val="auto"/>
                <w:sz w:val="20"/>
                <w:szCs w:val="20"/>
                <w:highlight w:val="none"/>
              </w:rPr>
            </w:pPr>
            <w:r>
              <w:rPr>
                <w:rFonts w:hint="eastAsia"/>
                <w:color w:val="auto"/>
                <w:sz w:val="20"/>
                <w:szCs w:val="20"/>
                <w:highlight w:val="none"/>
              </w:rPr>
              <w:t>序号</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内容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数量</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单位</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kern w:val="0"/>
                <w:sz w:val="20"/>
                <w:szCs w:val="20"/>
                <w:highlight w:val="none"/>
                <w:lang w:bidi="ar"/>
              </w:rPr>
            </w:pPr>
            <w:r>
              <w:rPr>
                <w:rFonts w:hint="eastAsia"/>
                <w:color w:val="auto"/>
                <w:kern w:val="0"/>
                <w:sz w:val="20"/>
                <w:szCs w:val="20"/>
                <w:highlight w:val="none"/>
                <w:lang w:bidi="ar"/>
              </w:rPr>
              <w:t>备注</w:t>
            </w:r>
          </w:p>
        </w:tc>
      </w:tr>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1</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模特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50</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人</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00" w:firstLineChars="200"/>
              <w:jc w:val="center"/>
              <w:textAlignment w:val="center"/>
              <w:rPr>
                <w:color w:val="auto"/>
                <w:kern w:val="0"/>
                <w:sz w:val="20"/>
                <w:szCs w:val="20"/>
                <w:highlight w:val="none"/>
                <w:lang w:bidi="ar"/>
              </w:rPr>
            </w:pPr>
          </w:p>
        </w:tc>
      </w:tr>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2</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化妆、造型/模特、演员</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58</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人</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00" w:firstLineChars="200"/>
              <w:jc w:val="center"/>
              <w:textAlignment w:val="center"/>
              <w:rPr>
                <w:color w:val="auto"/>
                <w:kern w:val="0"/>
                <w:sz w:val="20"/>
                <w:szCs w:val="20"/>
                <w:highlight w:val="none"/>
                <w:lang w:bidi="ar"/>
              </w:rPr>
            </w:pPr>
          </w:p>
        </w:tc>
      </w:tr>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3</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秀导、助理组</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组</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00" w:firstLineChars="200"/>
              <w:jc w:val="center"/>
              <w:textAlignment w:val="center"/>
              <w:rPr>
                <w:color w:val="auto"/>
                <w:kern w:val="0"/>
                <w:sz w:val="20"/>
                <w:szCs w:val="20"/>
                <w:highlight w:val="none"/>
                <w:lang w:bidi="ar"/>
              </w:rPr>
            </w:pPr>
          </w:p>
        </w:tc>
      </w:tr>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4</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交通</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2</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趟</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00" w:firstLineChars="200"/>
              <w:jc w:val="center"/>
              <w:textAlignment w:val="center"/>
              <w:rPr>
                <w:color w:val="auto"/>
                <w:kern w:val="0"/>
                <w:sz w:val="20"/>
                <w:szCs w:val="20"/>
                <w:highlight w:val="none"/>
                <w:lang w:bidi="ar"/>
              </w:rPr>
            </w:pPr>
          </w:p>
        </w:tc>
      </w:tr>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5</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餐饮（中、晚）</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200</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份</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00" w:firstLineChars="200"/>
              <w:jc w:val="center"/>
              <w:textAlignment w:val="center"/>
              <w:rPr>
                <w:color w:val="auto"/>
                <w:kern w:val="0"/>
                <w:sz w:val="20"/>
                <w:szCs w:val="20"/>
                <w:highlight w:val="none"/>
                <w:lang w:bidi="ar"/>
              </w:rPr>
            </w:pPr>
          </w:p>
        </w:tc>
      </w:tr>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6</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提前彩排演员模特</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16</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人</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00" w:firstLineChars="200"/>
              <w:jc w:val="center"/>
              <w:textAlignment w:val="center"/>
              <w:rPr>
                <w:color w:val="auto"/>
                <w:kern w:val="0"/>
                <w:sz w:val="20"/>
                <w:szCs w:val="20"/>
                <w:highlight w:val="none"/>
                <w:lang w:bidi="ar"/>
              </w:rPr>
            </w:pPr>
          </w:p>
        </w:tc>
      </w:tr>
      <w:tr>
        <w:tblPrEx>
          <w:tblCellMar>
            <w:top w:w="0" w:type="dxa"/>
            <w:left w:w="108" w:type="dxa"/>
            <w:bottom w:w="0" w:type="dxa"/>
            <w:right w:w="108" w:type="dxa"/>
          </w:tblCellMar>
        </w:tblPrEx>
        <w:trPr>
          <w:trHeight w:val="240" w:hRule="atLeast"/>
          <w:jc w:val="center"/>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7</w:t>
            </w:r>
          </w:p>
        </w:tc>
        <w:tc>
          <w:tcPr>
            <w:tcW w:w="1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临采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1</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jc w:val="center"/>
              <w:textAlignment w:val="center"/>
              <w:rPr>
                <w:color w:val="auto"/>
                <w:sz w:val="20"/>
                <w:szCs w:val="20"/>
                <w:highlight w:val="none"/>
              </w:rPr>
            </w:pPr>
            <w:r>
              <w:rPr>
                <w:rFonts w:hint="eastAsia"/>
                <w:color w:val="auto"/>
                <w:kern w:val="0"/>
                <w:sz w:val="20"/>
                <w:szCs w:val="20"/>
                <w:highlight w:val="none"/>
                <w:lang w:bidi="ar"/>
              </w:rPr>
              <w:t>项</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00" w:firstLineChars="200"/>
              <w:jc w:val="center"/>
              <w:textAlignment w:val="center"/>
              <w:rPr>
                <w:color w:val="auto"/>
                <w:kern w:val="0"/>
                <w:sz w:val="20"/>
                <w:szCs w:val="20"/>
                <w:highlight w:val="none"/>
                <w:lang w:bidi="ar"/>
              </w:rPr>
            </w:pPr>
          </w:p>
        </w:tc>
      </w:tr>
    </w:tbl>
    <w:p>
      <w:pPr>
        <w:pStyle w:val="6"/>
        <w:spacing w:line="288" w:lineRule="auto"/>
        <w:ind w:firstLineChars="200"/>
        <w:rPr>
          <w:color w:val="auto"/>
          <w:highlight w:val="none"/>
        </w:rPr>
      </w:pPr>
    </w:p>
    <w:p>
      <w:pPr>
        <w:pStyle w:val="26"/>
        <w:spacing w:line="288" w:lineRule="auto"/>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2.具体内容</w:t>
      </w:r>
    </w:p>
    <w:p>
      <w:pPr>
        <w:pStyle w:val="6"/>
        <w:spacing w:line="288" w:lineRule="auto"/>
        <w:ind w:firstLineChars="200"/>
        <w:rPr>
          <w:color w:val="auto"/>
          <w:highlight w:val="none"/>
        </w:rPr>
      </w:pPr>
      <w:r>
        <w:rPr>
          <w:color w:val="auto"/>
          <w:highlight w:val="none"/>
        </w:rPr>
        <w:t>1</w:t>
      </w:r>
      <w:r>
        <w:rPr>
          <w:rFonts w:hint="eastAsia"/>
          <w:color w:val="auto"/>
          <w:highlight w:val="none"/>
        </w:rPr>
        <w:t>）</w:t>
      </w:r>
      <w:r>
        <w:rPr>
          <w:color w:val="auto"/>
          <w:highlight w:val="none"/>
        </w:rPr>
        <w:t>负责服装秀节目导演、彩排、模特、化妆等相关工作</w:t>
      </w:r>
    </w:p>
    <w:p>
      <w:pPr>
        <w:pStyle w:val="6"/>
        <w:rPr>
          <w:color w:val="auto"/>
          <w:highlight w:val="none"/>
        </w:rPr>
      </w:pPr>
    </w:p>
    <w:p>
      <w:pPr>
        <w:spacing w:line="288" w:lineRule="auto"/>
        <w:rPr>
          <w:b/>
          <w:color w:val="auto"/>
          <w:sz w:val="21"/>
          <w:szCs w:val="21"/>
          <w:highlight w:val="none"/>
        </w:rPr>
      </w:pPr>
      <w:r>
        <w:rPr>
          <w:rFonts w:hint="eastAsia"/>
          <w:b/>
          <w:color w:val="auto"/>
          <w:sz w:val="21"/>
          <w:szCs w:val="21"/>
          <w:highlight w:val="none"/>
        </w:rPr>
        <w:t>注：</w:t>
      </w:r>
    </w:p>
    <w:p>
      <w:pPr>
        <w:pStyle w:val="33"/>
        <w:numPr>
          <w:ilvl w:val="0"/>
          <w:numId w:val="1"/>
        </w:numPr>
        <w:adjustRightInd w:val="0"/>
        <w:snapToGrid w:val="0"/>
        <w:spacing w:line="288" w:lineRule="auto"/>
        <w:ind w:firstLineChars="0"/>
        <w:rPr>
          <w:b/>
          <w:color w:val="auto"/>
          <w:sz w:val="21"/>
          <w:szCs w:val="21"/>
          <w:highlight w:val="none"/>
        </w:rPr>
      </w:pPr>
      <w:r>
        <w:rPr>
          <w:rFonts w:hint="eastAsia"/>
          <w:b/>
          <w:color w:val="auto"/>
          <w:sz w:val="21"/>
          <w:szCs w:val="21"/>
          <w:highlight w:val="none"/>
        </w:rPr>
        <w:t>如服务要求中未特别注明需执行的国家相关标准、行业标准、地方标准或者其他标准、规范，则统一执行最新标准、规范。</w:t>
      </w:r>
    </w:p>
    <w:p>
      <w:pPr>
        <w:pStyle w:val="18"/>
        <w:rPr>
          <w:color w:val="auto"/>
          <w:highlight w:val="none"/>
        </w:rPr>
      </w:pP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2022国际青年艺术周开幕片及开幕活动系列视频设计与制作、线下开幕式舞台搭建、制作、设备租赁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bookmarkEnd w:id="31"/>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2022国际青年艺术周开幕片及开幕活动系列视频设计与制作、线下开幕式舞台搭建、制作、设备租赁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3" w:name="_Hlk92273406"/>
      <w:bookmarkStart w:id="3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3"/>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4"/>
    <w:p>
      <w:pPr>
        <w:adjustRightInd w:val="0"/>
        <w:snapToGrid w:val="0"/>
        <w:spacing w:line="288" w:lineRule="auto"/>
        <w:outlineLvl w:val="2"/>
        <w:rPr>
          <w:b/>
          <w:color w:val="auto"/>
          <w:spacing w:val="-6"/>
          <w:kern w:val="0"/>
          <w:sz w:val="21"/>
          <w:szCs w:val="21"/>
          <w:highlight w:val="none"/>
        </w:rPr>
      </w:pPr>
      <w:bookmarkStart w:id="3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5"/>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ind w:firstLine="396" w:firstLineChars="200"/>
        <w:jc w:val="left"/>
        <w:rPr>
          <w:rFonts w:cs="Times New Roman"/>
          <w:color w:val="auto"/>
          <w:spacing w:val="-6"/>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6" w:name="_Hlk96329193"/>
      <w:r>
        <w:rPr>
          <w:rFonts w:hint="eastAsia"/>
          <w:color w:val="auto"/>
          <w:sz w:val="21"/>
          <w:szCs w:val="21"/>
          <w:highlight w:val="none"/>
        </w:rPr>
        <w:t>，供应商应写全称。</w:t>
      </w:r>
      <w:bookmarkEnd w:id="36"/>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pStyle w:val="11"/>
        <w:adjustRightInd w:val="0"/>
        <w:snapToGrid w:val="0"/>
        <w:spacing w:before="0" w:beforeLines="0" w:after="0" w:afterLines="0" w:line="288" w:lineRule="auto"/>
        <w:ind w:firstLine="420" w:firstLineChars="200"/>
        <w:jc w:val="left"/>
        <w:rPr>
          <w:rFonts w:hAnsi="宋体" w:eastAsia="宋体"/>
          <w:color w:val="auto"/>
          <w:sz w:val="21"/>
          <w:szCs w:val="21"/>
          <w:highlight w:val="none"/>
        </w:rPr>
      </w:pPr>
      <w:r>
        <w:rPr>
          <w:rFonts w:hint="eastAsia" w:hAnsi="宋体" w:eastAsia="宋体" w:cs="宋体"/>
          <w:color w:val="auto"/>
          <w:sz w:val="21"/>
          <w:szCs w:val="21"/>
          <w:highlight w:val="none"/>
        </w:rPr>
        <w:t>▲4</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采购人将以合同形式有偿取得货物或服务，不接受供应商给予的赠品、回扣或者与采购无关的其他商品、服务</w:t>
      </w:r>
      <w:r>
        <w:rPr>
          <w:rFonts w:hAnsi="宋体" w:eastAsia="宋体" w:cs="宋体"/>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2" w:firstLineChars="201"/>
        <w:jc w:val="left"/>
        <w:rPr>
          <w:rFonts w:cs="Arial"/>
          <w:color w:val="auto"/>
          <w:kern w:val="0"/>
          <w:sz w:val="21"/>
          <w:szCs w:val="21"/>
          <w:highlight w:val="none"/>
        </w:rPr>
      </w:pPr>
      <w:r>
        <w:rPr>
          <w:rFonts w:cs="Arial"/>
          <w:color w:val="auto"/>
          <w:kern w:val="0"/>
          <w:sz w:val="21"/>
          <w:szCs w:val="21"/>
          <w:highlight w:val="none"/>
        </w:rPr>
        <w:t>信用信息查询渠道及截止时间：采购机构将通过“信用中国”网站(www.creditchina.gov.cn)、中国政府采购网(www.ccgp.gov.cn)渠道查询供应商</w:t>
      </w:r>
      <w:r>
        <w:rPr>
          <w:rFonts w:hint="eastAsia" w:cs="Arial"/>
          <w:color w:val="auto"/>
          <w:kern w:val="0"/>
          <w:sz w:val="21"/>
          <w:szCs w:val="21"/>
          <w:highlight w:val="none"/>
        </w:rPr>
        <w:t>响应</w:t>
      </w:r>
      <w:r>
        <w:rPr>
          <w:rFonts w:cs="Arial"/>
          <w:color w:val="auto"/>
          <w:kern w:val="0"/>
          <w:sz w:val="21"/>
          <w:szCs w:val="21"/>
          <w:highlight w:val="none"/>
        </w:rPr>
        <w:t>截止时间当天的信用记录。</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37"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cs="Times New Roman"/>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二、评审标准</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color w:val="auto"/>
                <w:spacing w:val="-6"/>
                <w:sz w:val="21"/>
                <w:szCs w:val="21"/>
                <w:highlight w:val="none"/>
              </w:rPr>
            </w:pPr>
            <w:bookmarkStart w:id="38" w:name="_Hlk81817387"/>
            <w:r>
              <w:rPr>
                <w:rFonts w:hint="eastAsia"/>
                <w:b/>
                <w:color w:val="auto"/>
                <w:spacing w:val="-6"/>
                <w:sz w:val="21"/>
                <w:szCs w:val="21"/>
                <w:highlight w:val="none"/>
              </w:rPr>
              <w:t>评审因素</w:t>
            </w:r>
          </w:p>
        </w:tc>
        <w:tc>
          <w:tcPr>
            <w:tcW w:w="709" w:type="dxa"/>
            <w:vAlign w:val="center"/>
          </w:tcPr>
          <w:p>
            <w:pPr>
              <w:jc w:val="center"/>
              <w:rPr>
                <w:b/>
                <w:color w:val="auto"/>
                <w:spacing w:val="-6"/>
                <w:sz w:val="21"/>
                <w:szCs w:val="21"/>
                <w:highlight w:val="none"/>
              </w:rPr>
            </w:pPr>
            <w:r>
              <w:rPr>
                <w:rFonts w:hint="eastAsia"/>
                <w:b/>
                <w:color w:val="auto"/>
                <w:spacing w:val="-6"/>
                <w:sz w:val="21"/>
                <w:szCs w:val="21"/>
                <w:highlight w:val="none"/>
              </w:rPr>
              <w:t>分值</w:t>
            </w:r>
          </w:p>
        </w:tc>
        <w:tc>
          <w:tcPr>
            <w:tcW w:w="7087" w:type="dxa"/>
            <w:vAlign w:val="center"/>
          </w:tcPr>
          <w:p>
            <w:pPr>
              <w:pStyle w:val="38"/>
              <w:spacing w:line="240" w:lineRule="auto"/>
              <w:rPr>
                <w:rFonts w:hint="default" w:ascii="宋体" w:eastAsia="宋体"/>
                <w:b/>
                <w:color w:val="auto"/>
                <w:spacing w:val="-6"/>
                <w:sz w:val="21"/>
                <w:szCs w:val="21"/>
                <w:highlight w:val="none"/>
              </w:rPr>
            </w:pPr>
            <w:r>
              <w:rPr>
                <w:rFonts w:asci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8"/>
              <w:spacing w:line="240" w:lineRule="auto"/>
              <w:jc w:val="both"/>
              <w:rPr>
                <w:rFonts w:hint="default" w:ascii="宋体" w:eastAsia="宋体"/>
                <w:color w:val="auto"/>
                <w:spacing w:val="-6"/>
                <w:sz w:val="21"/>
                <w:szCs w:val="21"/>
                <w:highlight w:val="none"/>
              </w:rPr>
            </w:pPr>
            <w:r>
              <w:rPr>
                <w:rFonts w:ascii="宋体" w:eastAsia="宋体"/>
                <w:b/>
                <w:bCs/>
                <w:color w:val="auto"/>
                <w:spacing w:val="-6"/>
                <w:kern w:val="2"/>
                <w:sz w:val="21"/>
                <w:szCs w:val="21"/>
                <w:highlight w:val="none"/>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磋商响应报价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10</w:t>
            </w:r>
          </w:p>
        </w:tc>
        <w:tc>
          <w:tcPr>
            <w:tcW w:w="7087" w:type="dxa"/>
            <w:tcBorders>
              <w:top w:val="single" w:color="auto" w:sz="4" w:space="0"/>
              <w:left w:val="single" w:color="auto" w:sz="4" w:space="0"/>
              <w:bottom w:val="single" w:color="auto" w:sz="4" w:space="0"/>
              <w:right w:val="single" w:color="auto" w:sz="4" w:space="0"/>
            </w:tcBorders>
            <w:vAlign w:val="center"/>
          </w:tcPr>
          <w:p>
            <w:pPr>
              <w:pStyle w:val="9"/>
              <w:ind w:firstLine="0"/>
              <w:rPr>
                <w:rFonts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价格分采用低价优先法计算，即满足磋商文件要求且磋商响应报价最低的报价为磋商基准价，其他磋商响应供应商的价格分按照下列公式计算：</w:t>
            </w:r>
          </w:p>
          <w:p>
            <w:pPr>
              <w:rPr>
                <w:color w:val="auto"/>
                <w:spacing w:val="-6"/>
                <w:sz w:val="21"/>
                <w:szCs w:val="21"/>
                <w:highlight w:val="none"/>
              </w:rPr>
            </w:pPr>
            <w:r>
              <w:rPr>
                <w:rFonts w:hint="eastAsia"/>
                <w:color w:val="auto"/>
                <w:spacing w:val="-6"/>
                <w:sz w:val="21"/>
                <w:szCs w:val="21"/>
                <w:highlight w:val="none"/>
              </w:rPr>
              <w:t>价格分=（磋商基准价/磋商响应报价）×10%×100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8"/>
              <w:spacing w:line="240" w:lineRule="auto"/>
              <w:jc w:val="both"/>
              <w:rPr>
                <w:rFonts w:hint="default" w:ascii="宋体" w:eastAsia="宋体"/>
                <w:b/>
                <w:color w:val="auto"/>
                <w:spacing w:val="-6"/>
                <w:sz w:val="21"/>
                <w:szCs w:val="21"/>
                <w:highlight w:val="none"/>
              </w:rPr>
            </w:pPr>
            <w:r>
              <w:rPr>
                <w:rFonts w:ascii="宋体" w:eastAsia="宋体"/>
                <w:b/>
                <w:color w:val="auto"/>
                <w:spacing w:val="-6"/>
                <w:sz w:val="21"/>
                <w:szCs w:val="21"/>
                <w:highlight w:val="none"/>
              </w:rPr>
              <w:t>商务分（3分）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z w:val="21"/>
                <w:szCs w:val="21"/>
                <w:highlight w:val="none"/>
              </w:rPr>
              <w:t>体系认证</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2</w:t>
            </w:r>
          </w:p>
        </w:tc>
        <w:tc>
          <w:tcPr>
            <w:tcW w:w="7087" w:type="dxa"/>
            <w:vAlign w:val="center"/>
          </w:tcPr>
          <w:p>
            <w:pPr>
              <w:rPr>
                <w:color w:val="auto"/>
                <w:spacing w:val="-6"/>
                <w:sz w:val="21"/>
                <w:szCs w:val="21"/>
                <w:highlight w:val="none"/>
              </w:rPr>
            </w:pPr>
            <w:r>
              <w:rPr>
                <w:rFonts w:hint="eastAsia"/>
                <w:color w:val="auto"/>
                <w:sz w:val="21"/>
                <w:szCs w:val="21"/>
                <w:highlight w:val="none"/>
              </w:rPr>
              <w:t>供应商具有有效的质量管理体系认证证书的得2分（响应文件中提供复印件，不提供不得分，原件备查）。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z w:val="21"/>
                <w:szCs w:val="21"/>
                <w:highlight w:val="none"/>
              </w:rPr>
              <w:t>业绩</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1</w:t>
            </w:r>
          </w:p>
        </w:tc>
        <w:tc>
          <w:tcPr>
            <w:tcW w:w="7087" w:type="dxa"/>
            <w:vAlign w:val="center"/>
          </w:tcPr>
          <w:p>
            <w:pPr>
              <w:rPr>
                <w:color w:val="auto"/>
                <w:spacing w:val="-6"/>
                <w:sz w:val="21"/>
                <w:szCs w:val="21"/>
                <w:highlight w:val="none"/>
              </w:rPr>
            </w:pPr>
            <w:r>
              <w:rPr>
                <w:rFonts w:hint="eastAsia"/>
                <w:color w:val="auto"/>
                <w:sz w:val="21"/>
                <w:szCs w:val="21"/>
                <w:highlight w:val="none"/>
              </w:rPr>
              <w:t>供应商自2019年1月1日以来（以合同签订时间为准）同类项目业绩（以提供的合同复印件为准）：每提供1份合同业绩得0.5分，最高得1分。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9"/>
              <w:spacing w:line="240" w:lineRule="auto"/>
              <w:ind w:firstLine="0"/>
              <w:rPr>
                <w:rFonts w:hAnsi="宋体"/>
                <w:color w:val="auto"/>
                <w:spacing w:val="-6"/>
                <w:sz w:val="21"/>
                <w:szCs w:val="21"/>
                <w:highlight w:val="none"/>
              </w:rPr>
            </w:pPr>
            <w:r>
              <w:rPr>
                <w:rFonts w:hint="eastAsia" w:hAnsi="宋体"/>
                <w:b/>
                <w:color w:val="auto"/>
                <w:spacing w:val="-6"/>
                <w:sz w:val="21"/>
                <w:szCs w:val="21"/>
                <w:highlight w:val="none"/>
              </w:rPr>
              <w:t>技术分</w:t>
            </w:r>
            <w:r>
              <w:rPr>
                <w:rFonts w:hAnsi="宋体"/>
                <w:b/>
                <w:color w:val="auto"/>
                <w:spacing w:val="-6"/>
                <w:sz w:val="21"/>
                <w:szCs w:val="21"/>
                <w:highlight w:val="none"/>
              </w:rPr>
              <w:t>（</w:t>
            </w:r>
            <w:r>
              <w:rPr>
                <w:rFonts w:hint="eastAsia" w:hAnsi="宋体"/>
                <w:b/>
                <w:color w:val="auto"/>
                <w:spacing w:val="-6"/>
                <w:sz w:val="21"/>
                <w:szCs w:val="21"/>
                <w:highlight w:val="none"/>
              </w:rPr>
              <w:t>87</w:t>
            </w:r>
            <w:r>
              <w:rPr>
                <w:rFonts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spacing w:line="288" w:lineRule="auto"/>
              <w:jc w:val="center"/>
              <w:rPr>
                <w:color w:val="auto"/>
                <w:spacing w:val="-6"/>
                <w:sz w:val="21"/>
                <w:szCs w:val="21"/>
                <w:highlight w:val="none"/>
              </w:rPr>
            </w:pPr>
            <w:r>
              <w:rPr>
                <w:rFonts w:hint="eastAsia"/>
                <w:b/>
                <w:bCs/>
                <w:color w:val="auto"/>
                <w:sz w:val="21"/>
                <w:szCs w:val="21"/>
                <w:highlight w:val="none"/>
              </w:rPr>
              <w:t>技术响应程度</w:t>
            </w:r>
          </w:p>
        </w:tc>
        <w:tc>
          <w:tcPr>
            <w:tcW w:w="709"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7</w:t>
            </w:r>
          </w:p>
        </w:tc>
        <w:tc>
          <w:tcPr>
            <w:tcW w:w="7087"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不符合（负偏离）技术要求中标注“▲”条款（不可偏离）的响应无效；</w:t>
            </w:r>
          </w:p>
          <w:p>
            <w:pPr>
              <w:adjustRightInd w:val="0"/>
              <w:snapToGrid w:val="0"/>
              <w:spacing w:line="288" w:lineRule="auto"/>
              <w:rPr>
                <w:color w:val="auto"/>
                <w:sz w:val="21"/>
                <w:szCs w:val="21"/>
                <w:highlight w:val="none"/>
              </w:rPr>
            </w:pPr>
            <w:r>
              <w:rPr>
                <w:rFonts w:hint="eastAsia"/>
                <w:color w:val="auto"/>
                <w:sz w:val="21"/>
                <w:szCs w:val="21"/>
                <w:highlight w:val="none"/>
              </w:rPr>
              <w:t>满足磋商文件明确的全部技术条款要求的</w:t>
            </w:r>
            <w:r>
              <w:rPr>
                <w:rFonts w:hint="eastAsia" w:cs="Times New Roman"/>
                <w:color w:val="auto"/>
                <w:sz w:val="21"/>
                <w:szCs w:val="21"/>
                <w:highlight w:val="none"/>
              </w:rPr>
              <w:t>该项得满分</w:t>
            </w:r>
            <w:r>
              <w:rPr>
                <w:rFonts w:hint="eastAsia"/>
                <w:color w:val="auto"/>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技术条款低于技术要求（负偏离）的每项扣1分；</w:t>
            </w:r>
          </w:p>
          <w:p>
            <w:pPr>
              <w:adjustRightInd w:val="0"/>
              <w:snapToGrid w:val="0"/>
              <w:spacing w:line="288" w:lineRule="auto"/>
              <w:rPr>
                <w:color w:val="auto"/>
                <w:sz w:val="21"/>
                <w:szCs w:val="21"/>
                <w:highlight w:val="none"/>
              </w:rPr>
            </w:pPr>
            <w:r>
              <w:rPr>
                <w:rFonts w:hint="eastAsia"/>
                <w:color w:val="auto"/>
                <w:sz w:val="21"/>
                <w:szCs w:val="21"/>
                <w:highlight w:val="none"/>
              </w:rPr>
              <w:t>负偏离8项及以上的响应无效。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pacing w:val="-6"/>
                <w:sz w:val="21"/>
                <w:szCs w:val="21"/>
                <w:highlight w:val="none"/>
              </w:rPr>
              <w:t>视觉整体策划与创意方案</w:t>
            </w:r>
          </w:p>
        </w:tc>
        <w:tc>
          <w:tcPr>
            <w:tcW w:w="709" w:type="dxa"/>
            <w:vAlign w:val="center"/>
          </w:tcPr>
          <w:p>
            <w:pPr>
              <w:jc w:val="center"/>
              <w:rPr>
                <w:b/>
                <w:bCs/>
                <w:color w:val="auto"/>
                <w:spacing w:val="-6"/>
                <w:sz w:val="21"/>
                <w:szCs w:val="21"/>
                <w:highlight w:val="none"/>
              </w:rPr>
            </w:pPr>
            <w:r>
              <w:rPr>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rPr>
              <w:t>视觉整体策划与创意方案的合理性、可行性及与</w:t>
            </w:r>
            <w:r>
              <w:rPr>
                <w:rFonts w:hint="eastAsia"/>
                <w:color w:val="auto"/>
                <w:spacing w:val="-6"/>
                <w:sz w:val="21"/>
                <w:szCs w:val="21"/>
                <w:highlight w:val="none"/>
              </w:rPr>
              <w:t>青艺周主题的契合度。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z w:val="21"/>
                <w:szCs w:val="21"/>
                <w:highlight w:val="none"/>
              </w:rPr>
            </w:pPr>
            <w:r>
              <w:rPr>
                <w:color w:val="auto"/>
                <w:spacing w:val="-6"/>
                <w:sz w:val="21"/>
                <w:szCs w:val="21"/>
                <w:highlight w:val="none"/>
              </w:rPr>
              <w:t>策划部署青艺周开幕式活动中的舞美效果</w:t>
            </w:r>
            <w:r>
              <w:rPr>
                <w:rFonts w:hint="eastAsia"/>
                <w:color w:val="auto"/>
                <w:spacing w:val="-6"/>
                <w:sz w:val="21"/>
                <w:szCs w:val="21"/>
                <w:highlight w:val="none"/>
              </w:rPr>
              <w:t>与</w:t>
            </w:r>
            <w:r>
              <w:rPr>
                <w:color w:val="auto"/>
                <w:spacing w:val="-6"/>
                <w:sz w:val="21"/>
                <w:szCs w:val="21"/>
                <w:highlight w:val="none"/>
              </w:rPr>
              <w:t>开幕内容的兼容度配合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pacing w:val="-6"/>
                <w:sz w:val="21"/>
                <w:szCs w:val="21"/>
                <w:highlight w:val="none"/>
              </w:rPr>
              <w:t>视频拍摄</w:t>
            </w:r>
          </w:p>
        </w:tc>
        <w:tc>
          <w:tcPr>
            <w:tcW w:w="709" w:type="dxa"/>
            <w:vAlign w:val="center"/>
          </w:tcPr>
          <w:p>
            <w:pPr>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snapToGrid w:val="0"/>
              <w:spacing w:line="288" w:lineRule="auto"/>
              <w:textAlignment w:val="baseline"/>
              <w:rPr>
                <w:color w:val="auto"/>
                <w:sz w:val="21"/>
                <w:szCs w:val="21"/>
                <w:highlight w:val="none"/>
              </w:rPr>
            </w:pPr>
            <w:r>
              <w:rPr>
                <w:rFonts w:hint="eastAsia"/>
                <w:color w:val="auto"/>
                <w:spacing w:val="-6"/>
                <w:sz w:val="21"/>
                <w:szCs w:val="21"/>
                <w:highlight w:val="none"/>
              </w:rPr>
              <w:t>项目拍摄进度安排、各时间节点完成的目标。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snapToGrid w:val="0"/>
              <w:spacing w:line="288" w:lineRule="auto"/>
              <w:textAlignment w:val="baseline"/>
              <w:rPr>
                <w:color w:val="auto"/>
                <w:sz w:val="21"/>
                <w:szCs w:val="21"/>
                <w:highlight w:val="none"/>
              </w:rPr>
            </w:pPr>
            <w:r>
              <w:rPr>
                <w:rFonts w:hint="eastAsia"/>
                <w:color w:val="auto"/>
                <w:spacing w:val="-6"/>
                <w:sz w:val="21"/>
                <w:szCs w:val="21"/>
                <w:highlight w:val="none"/>
              </w:rPr>
              <w:t>视频后期相关处理方案，包括但不限于</w:t>
            </w:r>
            <w:r>
              <w:rPr>
                <w:rFonts w:hint="eastAsia"/>
                <w:color w:val="auto"/>
                <w:kern w:val="0"/>
                <w:sz w:val="21"/>
                <w:szCs w:val="21"/>
                <w:highlight w:val="none"/>
              </w:rPr>
              <w:t>画面调色、人像美化、字幕添加、二维等后期特效处理。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pacing w:val="-6"/>
                <w:sz w:val="21"/>
                <w:szCs w:val="21"/>
                <w:highlight w:val="none"/>
              </w:rPr>
            </w:pPr>
            <w:r>
              <w:rPr>
                <w:color w:val="auto"/>
                <w:sz w:val="21"/>
                <w:szCs w:val="21"/>
                <w:highlight w:val="none"/>
              </w:rPr>
              <w:t>根据</w:t>
            </w:r>
            <w:r>
              <w:rPr>
                <w:rFonts w:hint="eastAsia"/>
                <w:color w:val="auto"/>
                <w:spacing w:val="-6"/>
                <w:sz w:val="21"/>
                <w:szCs w:val="21"/>
                <w:highlight w:val="none"/>
              </w:rPr>
              <w:t>磋商响应供应商</w:t>
            </w:r>
            <w:r>
              <w:rPr>
                <w:color w:val="auto"/>
                <w:sz w:val="21"/>
                <w:szCs w:val="21"/>
                <w:highlight w:val="none"/>
              </w:rPr>
              <w:t>拟投入本项目</w:t>
            </w:r>
            <w:r>
              <w:rPr>
                <w:rFonts w:hint="eastAsia"/>
                <w:color w:val="auto"/>
                <w:sz w:val="21"/>
                <w:szCs w:val="21"/>
                <w:highlight w:val="none"/>
              </w:rPr>
              <w:t>宣传片</w:t>
            </w:r>
            <w:r>
              <w:rPr>
                <w:color w:val="auto"/>
                <w:sz w:val="21"/>
                <w:szCs w:val="21"/>
                <w:highlight w:val="none"/>
              </w:rPr>
              <w:t>拍摄器材的先进性及完成本项目所需器材的配置程度。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pacing w:val="-6"/>
                <w:sz w:val="21"/>
                <w:szCs w:val="21"/>
                <w:highlight w:val="none"/>
              </w:rPr>
              <w:t>设备运行方案</w:t>
            </w: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rPr>
              <w:t>保证租赁设备质量的技术方案和措施，根据方案是否严密，措施是否得力。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rPr>
              <w:t>租赁设备安装、调试、验收的方案和措施，根据方案和措施是否科学有效。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pacing w:val="-6"/>
                <w:sz w:val="21"/>
                <w:szCs w:val="21"/>
                <w:highlight w:val="none"/>
              </w:rPr>
              <w:t>模特演员方案</w:t>
            </w: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4</w:t>
            </w:r>
          </w:p>
        </w:tc>
        <w:tc>
          <w:tcPr>
            <w:tcW w:w="7087" w:type="dxa"/>
            <w:vAlign w:val="center"/>
          </w:tcPr>
          <w:p>
            <w:pPr>
              <w:rPr>
                <w:color w:val="auto"/>
                <w:sz w:val="21"/>
                <w:szCs w:val="21"/>
                <w:highlight w:val="none"/>
              </w:rPr>
            </w:pPr>
            <w:r>
              <w:rPr>
                <w:rFonts w:hint="eastAsia"/>
                <w:color w:val="auto"/>
                <w:sz w:val="21"/>
                <w:szCs w:val="21"/>
                <w:highlight w:val="none"/>
              </w:rPr>
              <w:t>模特演员选取与</w:t>
            </w:r>
            <w:r>
              <w:rPr>
                <w:rFonts w:hint="eastAsia"/>
                <w:color w:val="auto"/>
                <w:spacing w:val="-6"/>
                <w:sz w:val="21"/>
                <w:szCs w:val="21"/>
                <w:highlight w:val="none"/>
              </w:rPr>
              <w:t>青艺周主题的契合度、表现力等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2</w:t>
            </w:r>
          </w:p>
        </w:tc>
        <w:tc>
          <w:tcPr>
            <w:tcW w:w="7087" w:type="dxa"/>
            <w:vAlign w:val="center"/>
          </w:tcPr>
          <w:p>
            <w:pPr>
              <w:rPr>
                <w:color w:val="auto"/>
                <w:sz w:val="21"/>
                <w:szCs w:val="21"/>
                <w:highlight w:val="none"/>
              </w:rPr>
            </w:pPr>
            <w:r>
              <w:rPr>
                <w:rFonts w:hint="eastAsia"/>
                <w:color w:val="auto"/>
                <w:sz w:val="21"/>
                <w:szCs w:val="21"/>
                <w:highlight w:val="none"/>
              </w:rPr>
              <w:t>演出人员及工作人员的食宿安排及后勤保障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应急及安全保障等</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应急方案、安全保障（包括但不限于应急管理组织机构及保障活动参与人员人身与财物安全的措施等)，其中应急方案（5分），安全保障措施（5分）。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拟投入人员</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项目负责人的经验、资历、资质情况（5分）。</w:t>
            </w:r>
          </w:p>
          <w:p>
            <w:pPr>
              <w:rPr>
                <w:color w:val="auto"/>
                <w:sz w:val="21"/>
                <w:szCs w:val="21"/>
                <w:highlight w:val="none"/>
              </w:rPr>
            </w:pPr>
            <w:r>
              <w:rPr>
                <w:rFonts w:hint="eastAsia"/>
                <w:color w:val="auto"/>
                <w:sz w:val="21"/>
                <w:szCs w:val="21"/>
                <w:highlight w:val="none"/>
              </w:rPr>
              <w:t>项目组人员的配备是否合理、有无类似经验、资质情况等（5分）。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合理化建议和改进措施</w:t>
            </w:r>
          </w:p>
        </w:tc>
        <w:tc>
          <w:tcPr>
            <w:tcW w:w="709"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4</w:t>
            </w:r>
          </w:p>
        </w:tc>
        <w:tc>
          <w:tcPr>
            <w:tcW w:w="7087" w:type="dxa"/>
            <w:vAlign w:val="center"/>
          </w:tcPr>
          <w:p>
            <w:pPr>
              <w:adjustRightInd w:val="0"/>
              <w:snapToGrid w:val="0"/>
              <w:rPr>
                <w:color w:val="auto"/>
                <w:sz w:val="21"/>
                <w:szCs w:val="21"/>
                <w:highlight w:val="none"/>
              </w:rPr>
            </w:pPr>
            <w:r>
              <w:rPr>
                <w:rFonts w:hint="eastAsia"/>
                <w:color w:val="auto"/>
                <w:sz w:val="21"/>
                <w:szCs w:val="21"/>
                <w:highlight w:val="none"/>
              </w:rPr>
              <w:t>根据</w:t>
            </w:r>
            <w:r>
              <w:rPr>
                <w:rFonts w:hint="eastAsia"/>
                <w:bCs/>
                <w:color w:val="auto"/>
                <w:spacing w:val="-6"/>
                <w:sz w:val="21"/>
                <w:szCs w:val="21"/>
                <w:highlight w:val="none"/>
              </w:rPr>
              <w:t>供应商</w:t>
            </w:r>
            <w:r>
              <w:rPr>
                <w:rFonts w:hint="eastAsia"/>
                <w:color w:val="auto"/>
                <w:sz w:val="21"/>
                <w:szCs w:val="21"/>
                <w:highlight w:val="none"/>
              </w:rPr>
              <w:t>对本项目的合理化建议和改进措施的合理性，可行性。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z w:val="21"/>
                <w:szCs w:val="21"/>
                <w:highlight w:val="none"/>
              </w:rPr>
            </w:pPr>
            <w:r>
              <w:rPr>
                <w:rFonts w:hint="eastAsia"/>
                <w:b/>
                <w:bCs/>
                <w:color w:val="auto"/>
                <w:sz w:val="21"/>
                <w:szCs w:val="21"/>
                <w:highlight w:val="none"/>
              </w:rPr>
              <w:t>样片演示</w:t>
            </w:r>
          </w:p>
        </w:tc>
        <w:tc>
          <w:tcPr>
            <w:tcW w:w="709" w:type="dxa"/>
            <w:vAlign w:val="center"/>
          </w:tcPr>
          <w:p>
            <w:pPr>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rPr>
                <w:color w:val="auto"/>
                <w:sz w:val="21"/>
                <w:szCs w:val="21"/>
                <w:highlight w:val="none"/>
              </w:rPr>
            </w:pPr>
            <w:r>
              <w:rPr>
                <w:rFonts w:hint="eastAsia" w:cs="Times New Roman"/>
                <w:color w:val="auto"/>
                <w:sz w:val="21"/>
                <w:szCs w:val="21"/>
                <w:highlight w:val="none"/>
              </w:rPr>
              <w:t>样片</w:t>
            </w:r>
            <w:r>
              <w:rPr>
                <w:rFonts w:hint="eastAsia" w:cs="Times New Roman"/>
                <w:color w:val="auto"/>
                <w:sz w:val="21"/>
                <w:szCs w:val="21"/>
                <w:highlight w:val="none"/>
                <w:lang w:val="zh-CN"/>
              </w:rPr>
              <w:t>紧扣青艺周大主题“现在史”结合开幕式系列片</w:t>
            </w:r>
            <w:r>
              <w:rPr>
                <w:rFonts w:hint="eastAsia" w:cs="Times New Roman"/>
                <w:color w:val="auto"/>
                <w:sz w:val="21"/>
                <w:szCs w:val="21"/>
                <w:highlight w:val="none"/>
              </w:rPr>
              <w:t>的紧密程度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z w:val="21"/>
                <w:szCs w:val="21"/>
                <w:highlight w:val="none"/>
              </w:rPr>
            </w:pPr>
          </w:p>
        </w:tc>
        <w:tc>
          <w:tcPr>
            <w:tcW w:w="709" w:type="dxa"/>
            <w:vAlign w:val="center"/>
          </w:tcPr>
          <w:p>
            <w:pPr>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rPr>
                <w:color w:val="auto"/>
                <w:sz w:val="21"/>
                <w:szCs w:val="21"/>
                <w:highlight w:val="none"/>
              </w:rPr>
            </w:pPr>
            <w:r>
              <w:rPr>
                <w:rFonts w:hint="eastAsia" w:cs="Times New Roman"/>
                <w:color w:val="auto"/>
                <w:sz w:val="21"/>
                <w:szCs w:val="21"/>
                <w:highlight w:val="none"/>
                <w:lang w:val="zh-CN"/>
              </w:rPr>
              <w:t>开幕式舞美创意策划思路</w:t>
            </w:r>
            <w:r>
              <w:rPr>
                <w:rFonts w:hint="eastAsia"/>
                <w:color w:val="auto"/>
                <w:sz w:val="21"/>
                <w:szCs w:val="21"/>
                <w:highlight w:val="none"/>
              </w:rPr>
              <w:t>与采购需求的符合程度，细节处理的流畅性等。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z w:val="21"/>
                <w:szCs w:val="21"/>
                <w:highlight w:val="none"/>
              </w:rPr>
            </w:pPr>
          </w:p>
        </w:tc>
        <w:tc>
          <w:tcPr>
            <w:tcW w:w="709" w:type="dxa"/>
            <w:vAlign w:val="center"/>
          </w:tcPr>
          <w:p>
            <w:pPr>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rPr>
                <w:color w:val="auto"/>
                <w:sz w:val="21"/>
                <w:szCs w:val="21"/>
                <w:highlight w:val="none"/>
              </w:rPr>
            </w:pPr>
            <w:r>
              <w:rPr>
                <w:rFonts w:hint="eastAsia" w:cs="Times New Roman"/>
                <w:color w:val="auto"/>
                <w:sz w:val="21"/>
                <w:szCs w:val="21"/>
                <w:highlight w:val="none"/>
                <w:lang w:val="zh-CN"/>
              </w:rPr>
              <w:t>开幕式流程设计</w:t>
            </w:r>
            <w:r>
              <w:rPr>
                <w:rFonts w:hint="eastAsia"/>
                <w:color w:val="auto"/>
                <w:sz w:val="21"/>
                <w:szCs w:val="21"/>
                <w:highlight w:val="none"/>
              </w:rPr>
              <w:t>与采购需求的符合程度，细节处理的流畅性等。</w:t>
            </w:r>
          </w:p>
        </w:tc>
      </w:tr>
    </w:tbl>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p>
    <w:bookmarkEnd w:id="38"/>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项目名称：2022国际青年艺术周开幕片及开幕活动系列视频设计与制作、线下开幕式舞台制作等</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 xml:space="preserve">QSZB-Z(F)-C22127(CS) </w:t>
      </w:r>
      <w:r>
        <w:rPr>
          <w:rFonts w:hint="eastAsia" w:cs="Times New Roman"/>
          <w:b/>
          <w:bCs/>
          <w:color w:val="auto"/>
          <w:spacing w:val="-6"/>
          <w:sz w:val="21"/>
          <w:szCs w:val="21"/>
          <w:highlight w:val="none"/>
        </w:rPr>
        <w:t xml:space="preserve">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采购计划文号：[2022]26646号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spacing w:line="300" w:lineRule="auto"/>
        <w:ind w:firstLine="420" w:firstLineChars="200"/>
        <w:rPr>
          <w:color w:val="auto"/>
          <w:sz w:val="21"/>
          <w:szCs w:val="21"/>
          <w:highlight w:val="none"/>
        </w:rPr>
      </w:pPr>
      <w:r>
        <w:rPr>
          <w:rFonts w:hint="eastAsia"/>
          <w:color w:val="auto"/>
          <w:sz w:val="21"/>
          <w:szCs w:val="21"/>
          <w:highlight w:val="none"/>
        </w:rPr>
        <w:t>经采购代理机构对</w:t>
      </w:r>
      <w:r>
        <w:rPr>
          <w:rFonts w:hint="eastAsia"/>
          <w:color w:val="auto"/>
          <w:sz w:val="21"/>
          <w:szCs w:val="21"/>
          <w:highlight w:val="none"/>
          <w:u w:val="single"/>
        </w:rPr>
        <w:t xml:space="preserve"> 2022国际青年艺术周开幕片及开幕活动系列视频设计与制作、线下开幕式舞台搭建、制作、设备租赁 </w:t>
      </w:r>
      <w:r>
        <w:rPr>
          <w:rFonts w:hint="eastAsia"/>
          <w:color w:val="auto"/>
          <w:sz w:val="21"/>
          <w:szCs w:val="21"/>
          <w:highlight w:val="none"/>
        </w:rPr>
        <w:t>采购项目通过</w:t>
      </w:r>
      <w:r>
        <w:rPr>
          <w:color w:val="auto"/>
          <w:sz w:val="21"/>
          <w:szCs w:val="21"/>
          <w:highlight w:val="none"/>
          <w:u w:val="single"/>
        </w:rPr>
        <w:t xml:space="preserve"> 竞争性磋商</w:t>
      </w:r>
      <w:r>
        <w:rPr>
          <w:rFonts w:hint="eastAsia"/>
          <w:color w:val="auto"/>
          <w:sz w:val="21"/>
          <w:szCs w:val="21"/>
          <w:highlight w:val="none"/>
          <w:u w:val="single"/>
        </w:rPr>
        <w:t xml:space="preserve"> </w:t>
      </w:r>
      <w:r>
        <w:rPr>
          <w:rFonts w:hint="eastAsia"/>
          <w:color w:val="auto"/>
          <w:sz w:val="21"/>
          <w:szCs w:val="21"/>
          <w:highlight w:val="none"/>
        </w:rPr>
        <w:t>方式采购，确定</w:t>
      </w:r>
      <w:r>
        <w:rPr>
          <w:rFonts w:hint="eastAsia"/>
          <w:color w:val="auto"/>
          <w:spacing w:val="-6"/>
          <w:sz w:val="21"/>
          <w:szCs w:val="21"/>
          <w:highlight w:val="none"/>
          <w:u w:val="single"/>
        </w:rPr>
        <w:t xml:space="preserve">   </w:t>
      </w:r>
      <w:r>
        <w:rPr>
          <w:rFonts w:hint="eastAsia"/>
          <w:color w:val="auto"/>
          <w:sz w:val="21"/>
          <w:szCs w:val="21"/>
          <w:highlight w:val="none"/>
        </w:rPr>
        <w:t>为成交单位，甲、乙双方友好协商，达成以下条款：</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一</w:t>
      </w:r>
      <w:r>
        <w:rPr>
          <w:rFonts w:hint="eastAsia" w:hAnsi="宋体"/>
          <w:b/>
          <w:color w:val="auto"/>
          <w:sz w:val="21"/>
          <w:szCs w:val="21"/>
          <w:highlight w:val="none"/>
        </w:rPr>
        <w:t>：</w:t>
      </w:r>
      <w:r>
        <w:rPr>
          <w:rFonts w:hAnsi="宋体"/>
          <w:b/>
          <w:color w:val="auto"/>
          <w:sz w:val="21"/>
          <w:szCs w:val="21"/>
          <w:highlight w:val="none"/>
        </w:rPr>
        <w:t>服务内容和要求</w:t>
      </w:r>
    </w:p>
    <w:p>
      <w:pPr>
        <w:snapToGrid w:val="0"/>
        <w:spacing w:line="288" w:lineRule="auto"/>
        <w:ind w:firstLine="420" w:firstLineChars="200"/>
        <w:rPr>
          <w:color w:val="auto"/>
          <w:sz w:val="21"/>
          <w:szCs w:val="21"/>
          <w:highlight w:val="none"/>
        </w:rPr>
      </w:pPr>
      <w:r>
        <w:rPr>
          <w:rFonts w:hint="eastAsia"/>
          <w:color w:val="auto"/>
          <w:sz w:val="21"/>
          <w:szCs w:val="21"/>
          <w:highlight w:val="none"/>
        </w:rPr>
        <w:t>1.</w:t>
      </w:r>
    </w:p>
    <w:p>
      <w:pPr>
        <w:snapToGrid w:val="0"/>
        <w:spacing w:line="288" w:lineRule="auto"/>
        <w:ind w:firstLine="420" w:firstLineChars="200"/>
        <w:rPr>
          <w:color w:val="auto"/>
          <w:sz w:val="21"/>
          <w:szCs w:val="21"/>
          <w:highlight w:val="none"/>
        </w:rPr>
      </w:pPr>
      <w:r>
        <w:rPr>
          <w:rFonts w:hint="eastAsia"/>
          <w:color w:val="auto"/>
          <w:sz w:val="21"/>
          <w:szCs w:val="21"/>
          <w:highlight w:val="none"/>
        </w:rPr>
        <w:t>2.</w:t>
      </w:r>
    </w:p>
    <w:p>
      <w:pPr>
        <w:snapToGrid w:val="0"/>
        <w:spacing w:line="288"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二</w:t>
      </w:r>
      <w:r>
        <w:rPr>
          <w:rFonts w:hint="eastAsia" w:hAnsi="宋体"/>
          <w:b/>
          <w:color w:val="auto"/>
          <w:sz w:val="21"/>
          <w:szCs w:val="21"/>
          <w:highlight w:val="none"/>
        </w:rPr>
        <w:t>：</w:t>
      </w:r>
      <w:r>
        <w:rPr>
          <w:rFonts w:hAnsi="宋体"/>
          <w:b/>
          <w:color w:val="auto"/>
          <w:sz w:val="21"/>
          <w:szCs w:val="21"/>
          <w:highlight w:val="none"/>
        </w:rPr>
        <w:t>合同履行时间、履行地点和合同金额</w:t>
      </w:r>
    </w:p>
    <w:p>
      <w:pPr>
        <w:snapToGrid w:val="0"/>
        <w:spacing w:line="288" w:lineRule="auto"/>
        <w:ind w:firstLine="420" w:firstLineChars="200"/>
        <w:rPr>
          <w:color w:val="auto"/>
          <w:sz w:val="21"/>
          <w:szCs w:val="21"/>
          <w:highlight w:val="none"/>
        </w:rPr>
      </w:pPr>
      <w:r>
        <w:rPr>
          <w:rFonts w:hint="eastAsia"/>
          <w:color w:val="auto"/>
          <w:sz w:val="21"/>
          <w:szCs w:val="21"/>
          <w:highlight w:val="none"/>
        </w:rPr>
        <w:t>1.履行时间：</w:t>
      </w:r>
      <w:r>
        <w:rPr>
          <w:rFonts w:hint="eastAsia"/>
          <w:color w:val="auto"/>
          <w:sz w:val="21"/>
          <w:szCs w:val="21"/>
          <w:highlight w:val="none"/>
          <w:u w:val="single"/>
        </w:rPr>
        <w:t xml:space="preserve">                </w:t>
      </w:r>
      <w:r>
        <w:rPr>
          <w:rFonts w:hint="eastAsia"/>
          <w:color w:val="auto"/>
          <w:sz w:val="21"/>
          <w:szCs w:val="21"/>
          <w:highlight w:val="none"/>
        </w:rPr>
        <w:t xml:space="preserve">； </w:t>
      </w:r>
    </w:p>
    <w:p>
      <w:pPr>
        <w:snapToGrid w:val="0"/>
        <w:spacing w:line="288" w:lineRule="auto"/>
        <w:ind w:firstLine="420" w:firstLineChars="200"/>
        <w:rPr>
          <w:color w:val="auto"/>
          <w:sz w:val="21"/>
          <w:szCs w:val="21"/>
          <w:highlight w:val="none"/>
        </w:rPr>
      </w:pPr>
      <w:r>
        <w:rPr>
          <w:rFonts w:hint="eastAsia"/>
          <w:color w:val="auto"/>
          <w:sz w:val="21"/>
          <w:szCs w:val="21"/>
          <w:highlight w:val="none"/>
        </w:rPr>
        <w:t>2.履行地点：</w:t>
      </w:r>
      <w:r>
        <w:rPr>
          <w:rFonts w:hint="eastAsia"/>
          <w:color w:val="auto"/>
          <w:sz w:val="21"/>
          <w:szCs w:val="21"/>
          <w:highlight w:val="none"/>
          <w:u w:val="single"/>
        </w:rPr>
        <w:t xml:space="preserve">                </w:t>
      </w:r>
      <w:r>
        <w:rPr>
          <w:rFonts w:hint="eastAsia"/>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3.本合同金额为（大写）：</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元）人民币。本合同的价款为含税价。</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三</w:t>
      </w:r>
      <w:r>
        <w:rPr>
          <w:rFonts w:hint="eastAsia" w:hAnsi="宋体"/>
          <w:b/>
          <w:color w:val="auto"/>
          <w:sz w:val="21"/>
          <w:szCs w:val="21"/>
          <w:highlight w:val="none"/>
        </w:rPr>
        <w:t>：</w:t>
      </w:r>
      <w:r>
        <w:rPr>
          <w:rFonts w:hAnsi="宋体"/>
          <w:b/>
          <w:color w:val="auto"/>
          <w:sz w:val="21"/>
          <w:szCs w:val="21"/>
          <w:highlight w:val="none"/>
        </w:rPr>
        <w:t>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规定的时间向甲方提供有关技术资料。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.未经</w:t>
      </w:r>
      <w:r>
        <w:rPr>
          <w:rFonts w:hAnsi="宋体"/>
          <w:color w:val="auto"/>
          <w:sz w:val="21"/>
          <w:szCs w:val="21"/>
          <w:highlight w:val="none"/>
        </w:rPr>
        <w:t>甲方事先书面同意，乙方不得将</w:t>
      </w:r>
      <w:r>
        <w:rPr>
          <w:rFonts w:hint="eastAsia" w:hAnsi="宋体"/>
          <w:color w:val="auto"/>
          <w:sz w:val="21"/>
          <w:szCs w:val="21"/>
          <w:highlight w:val="none"/>
        </w:rPr>
        <w:t>与本合同及有关的</w:t>
      </w:r>
      <w:r>
        <w:rPr>
          <w:rFonts w:hAnsi="宋体"/>
          <w:color w:val="auto"/>
          <w:sz w:val="21"/>
          <w:szCs w:val="21"/>
          <w:highlight w:val="none"/>
        </w:rPr>
        <w:t>任何合同条文、规格、计划、图纸、样品或资料提供给</w:t>
      </w:r>
      <w:r>
        <w:rPr>
          <w:rFonts w:hint="eastAsia" w:hAnsi="宋体"/>
          <w:color w:val="auto"/>
          <w:sz w:val="21"/>
          <w:szCs w:val="21"/>
          <w:highlight w:val="none"/>
        </w:rPr>
        <w:t>任何第三方</w:t>
      </w:r>
      <w:r>
        <w:rPr>
          <w:rFonts w:hAnsi="宋体"/>
          <w:color w:val="auto"/>
          <w:sz w:val="21"/>
          <w:szCs w:val="21"/>
          <w:highlight w:val="none"/>
        </w:rPr>
        <w:t>。即使向履行本合同有关的人员提供，也应注意保密并限于履行合同的必需范围。</w:t>
      </w:r>
    </w:p>
    <w:p>
      <w:pPr>
        <w:pStyle w:val="11"/>
        <w:snapToGrid w:val="0"/>
        <w:spacing w:before="0" w:beforeLines="0" w:after="0" w:afterLines="0" w:line="288" w:lineRule="auto"/>
        <w:ind w:firstLine="420" w:firstLineChars="200"/>
        <w:rPr>
          <w:rFonts w:hAnsi="宋体"/>
          <w:bCs/>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乙方应保证提供服务过程中不会侵犯任何第三方的知识产权</w:t>
      </w:r>
      <w:r>
        <w:rPr>
          <w:rFonts w:hint="eastAsia" w:hAnsi="宋体"/>
          <w:bCs/>
          <w:color w:val="auto"/>
          <w:sz w:val="21"/>
          <w:szCs w:val="21"/>
          <w:highlight w:val="none"/>
        </w:rPr>
        <w:t>，否则甲方有权解除本合同，拒绝支付合同价款，并要求乙方赔偿所有损失。</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四：转包或分包</w:t>
      </w:r>
    </w:p>
    <w:p>
      <w:pPr>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方直接完成，不得转让给任何第三方；</w:t>
      </w:r>
    </w:p>
    <w:p>
      <w:pPr>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.除非得到甲方的书面同意，</w:t>
      </w:r>
      <w:r>
        <w:rPr>
          <w:color w:val="auto"/>
          <w:sz w:val="21"/>
          <w:szCs w:val="21"/>
          <w:highlight w:val="none"/>
        </w:rPr>
        <w:t>乙</w:t>
      </w:r>
      <w:r>
        <w:rPr>
          <w:rFonts w:hint="eastAsia"/>
          <w:color w:val="auto"/>
          <w:sz w:val="21"/>
          <w:szCs w:val="21"/>
          <w:highlight w:val="none"/>
        </w:rPr>
        <w:t>方不得将本合同范围的服务全部或部分转包分包给任何第三方完成；</w:t>
      </w:r>
    </w:p>
    <w:p>
      <w:pPr>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.乙方转让或转包分包的，甲方有权解除合同和拒付（或要求乙方退还）合同价款，并没收履约保证金和追究乙方的违约责任。</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五：</w:t>
      </w:r>
      <w:r>
        <w:rPr>
          <w:rFonts w:hAnsi="宋体"/>
          <w:b/>
          <w:color w:val="auto"/>
          <w:sz w:val="21"/>
          <w:szCs w:val="21"/>
          <w:highlight w:val="none"/>
        </w:rPr>
        <w:t>款项支付</w:t>
      </w:r>
    </w:p>
    <w:p>
      <w:pPr>
        <w:pStyle w:val="11"/>
        <w:snapToGrid w:val="0"/>
        <w:spacing w:before="0" w:beforeLines="0" w:after="0" w:afterLines="0" w:line="288" w:lineRule="auto"/>
        <w:ind w:firstLine="420"/>
        <w:rPr>
          <w:rFonts w:hAnsi="宋体" w:cs="宋体"/>
          <w:b/>
          <w:bCs/>
          <w:color w:val="auto"/>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，且乙方已向甲方提交银行、保险公司等金融机构出具的预付款保函的，甲方向乙方支付合同总价的4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%；项目履约完成，经甲方验收合格后，收到发票后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，甲方向乙方支付合同总价的</w:t>
      </w:r>
      <w:r>
        <w:rPr>
          <w:color w:val="auto"/>
          <w:spacing w:val="-6"/>
          <w:kern w:val="0"/>
          <w:sz w:val="21"/>
          <w:szCs w:val="21"/>
          <w:highlight w:val="none"/>
        </w:rPr>
        <w:t>6</w:t>
      </w:r>
      <w:r>
        <w:rPr>
          <w:rFonts w:hint="eastAsia"/>
          <w:color w:val="auto"/>
          <w:spacing w:val="-6"/>
          <w:kern w:val="0"/>
          <w:sz w:val="21"/>
          <w:szCs w:val="21"/>
          <w:highlight w:val="none"/>
        </w:rPr>
        <w:t>0%。</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质量保证及后续服务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规定向甲方提供服务。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验收不合格的，或在服务质量保证期内出现问题</w:t>
      </w:r>
      <w:r>
        <w:rPr>
          <w:rFonts w:hAnsi="宋体"/>
          <w:color w:val="auto"/>
          <w:sz w:val="21"/>
          <w:szCs w:val="21"/>
          <w:highlight w:val="none"/>
        </w:rPr>
        <w:t>，乙方应负责免费提供后续服务。</w:t>
      </w:r>
      <w:r>
        <w:rPr>
          <w:rFonts w:hint="eastAsia" w:hAnsi="宋体"/>
          <w:color w:val="auto"/>
          <w:sz w:val="21"/>
          <w:szCs w:val="21"/>
          <w:highlight w:val="none"/>
        </w:rPr>
        <w:t>对达不到服务要求的，根据实际情况，甲方有权自行选择以下办法处理：</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重做：由乙方承担所发生的全部费用</w:t>
      </w:r>
      <w:r>
        <w:rPr>
          <w:rFonts w:hint="eastAsia" w:hAnsi="宋体"/>
          <w:color w:val="auto"/>
          <w:sz w:val="21"/>
          <w:szCs w:val="21"/>
          <w:highlight w:val="none"/>
        </w:rPr>
        <w:t>，并承担所有损失</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解除合同</w:t>
      </w:r>
      <w:r>
        <w:rPr>
          <w:rFonts w:hint="eastAsia" w:hAnsi="宋体"/>
          <w:color w:val="auto"/>
          <w:sz w:val="21"/>
          <w:szCs w:val="21"/>
          <w:highlight w:val="none"/>
        </w:rPr>
        <w:t>：甲方拒付（或要求乙方退还）合同价款</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4.在服务质量保证期内，乙方应对出现的质量及安全问题负责处理解决并承担一切费用。</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七：</w:t>
      </w:r>
      <w:r>
        <w:rPr>
          <w:rFonts w:hAnsi="宋体"/>
          <w:b/>
          <w:color w:val="auto"/>
          <w:sz w:val="21"/>
          <w:szCs w:val="21"/>
          <w:highlight w:val="none"/>
        </w:rPr>
        <w:t>违约责任</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w:t>
      </w:r>
      <w:r>
        <w:rPr>
          <w:rFonts w:hint="eastAsia" w:hAnsi="宋体"/>
          <w:color w:val="auto"/>
          <w:sz w:val="21"/>
          <w:szCs w:val="21"/>
          <w:highlight w:val="none"/>
        </w:rPr>
        <w:t>绝</w:t>
      </w:r>
      <w:r>
        <w:rPr>
          <w:rFonts w:hAnsi="宋体"/>
          <w:color w:val="auto"/>
          <w:sz w:val="21"/>
          <w:szCs w:val="21"/>
          <w:highlight w:val="none"/>
        </w:rPr>
        <w:t>接受服务的，甲方</w:t>
      </w:r>
      <w:r>
        <w:rPr>
          <w:rFonts w:hint="eastAsia" w:hAnsi="宋体"/>
          <w:color w:val="auto"/>
          <w:sz w:val="21"/>
          <w:szCs w:val="21"/>
          <w:highlight w:val="none"/>
        </w:rPr>
        <w:t>应</w:t>
      </w:r>
      <w:r>
        <w:rPr>
          <w:rFonts w:hAnsi="宋体"/>
          <w:color w:val="auto"/>
          <w:sz w:val="21"/>
          <w:szCs w:val="21"/>
          <w:highlight w:val="none"/>
        </w:rPr>
        <w:t>向乙方</w:t>
      </w:r>
      <w:r>
        <w:rPr>
          <w:rFonts w:hint="eastAsia" w:hAnsi="宋体"/>
          <w:color w:val="auto"/>
          <w:sz w:val="21"/>
          <w:szCs w:val="21"/>
          <w:highlight w:val="none"/>
        </w:rPr>
        <w:t>支</w:t>
      </w:r>
      <w:r>
        <w:rPr>
          <w:rFonts w:hAnsi="宋体"/>
          <w:color w:val="auto"/>
          <w:sz w:val="21"/>
          <w:szCs w:val="21"/>
          <w:highlight w:val="none"/>
        </w:rPr>
        <w:t>付合同</w:t>
      </w:r>
      <w:r>
        <w:rPr>
          <w:rFonts w:hint="eastAsia" w:hAnsi="宋体"/>
          <w:color w:val="auto"/>
          <w:sz w:val="21"/>
          <w:szCs w:val="21"/>
          <w:highlight w:val="none"/>
        </w:rPr>
        <w:t>总价款</w:t>
      </w:r>
      <w:r>
        <w:rPr>
          <w:rFonts w:hAnsi="宋体"/>
          <w:color w:val="auto"/>
          <w:sz w:val="21"/>
          <w:szCs w:val="21"/>
          <w:highlight w:val="none"/>
        </w:rPr>
        <w:t>百分之五</w:t>
      </w:r>
      <w:r>
        <w:rPr>
          <w:rFonts w:hint="eastAsia" w:hAnsi="宋体"/>
          <w:color w:val="auto"/>
          <w:sz w:val="21"/>
          <w:szCs w:val="21"/>
          <w:highlight w:val="none"/>
        </w:rPr>
        <w:t>的</w:t>
      </w:r>
      <w:r>
        <w:rPr>
          <w:rFonts w:hAnsi="宋体"/>
          <w:color w:val="auto"/>
          <w:sz w:val="21"/>
          <w:szCs w:val="21"/>
          <w:highlight w:val="none"/>
        </w:rPr>
        <w:t>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w:t>
      </w:r>
      <w:r>
        <w:rPr>
          <w:rFonts w:hint="eastAsia" w:hAnsi="宋体"/>
          <w:color w:val="auto"/>
          <w:sz w:val="21"/>
          <w:szCs w:val="21"/>
          <w:highlight w:val="none"/>
        </w:rPr>
        <w:t>逾期</w:t>
      </w:r>
      <w:r>
        <w:rPr>
          <w:rFonts w:hAnsi="宋体"/>
          <w:color w:val="auto"/>
          <w:sz w:val="21"/>
          <w:szCs w:val="21"/>
          <w:highlight w:val="none"/>
        </w:rPr>
        <w:t>付款的</w:t>
      </w:r>
      <w:r>
        <w:rPr>
          <w:rFonts w:hint="eastAsia" w:hAnsi="宋体"/>
          <w:color w:val="auto"/>
          <w:sz w:val="21"/>
          <w:szCs w:val="21"/>
          <w:highlight w:val="none"/>
        </w:rPr>
        <w:t>，</w:t>
      </w:r>
      <w:r>
        <w:rPr>
          <w:rFonts w:hAnsi="宋体"/>
          <w:color w:val="auto"/>
          <w:sz w:val="21"/>
          <w:szCs w:val="21"/>
          <w:highlight w:val="none"/>
        </w:rPr>
        <w:t>应按逾期付款</w:t>
      </w:r>
      <w:r>
        <w:rPr>
          <w:rFonts w:hint="eastAsia" w:hAnsi="宋体"/>
          <w:color w:val="auto"/>
          <w:sz w:val="21"/>
          <w:szCs w:val="21"/>
          <w:highlight w:val="none"/>
        </w:rPr>
        <w:t>金</w:t>
      </w:r>
      <w:r>
        <w:rPr>
          <w:rFonts w:hAnsi="宋体"/>
          <w:color w:val="auto"/>
          <w:sz w:val="21"/>
          <w:szCs w:val="21"/>
          <w:highlight w:val="none"/>
        </w:rPr>
        <w:t>额</w:t>
      </w:r>
      <w:r>
        <w:rPr>
          <w:rFonts w:hint="eastAsia" w:hAnsi="宋体"/>
          <w:color w:val="auto"/>
          <w:sz w:val="21"/>
          <w:szCs w:val="21"/>
          <w:highlight w:val="none"/>
        </w:rPr>
        <w:t>的</w:t>
      </w:r>
      <w:r>
        <w:rPr>
          <w:rFonts w:hAnsi="宋体"/>
          <w:color w:val="auto"/>
          <w:sz w:val="21"/>
          <w:szCs w:val="21"/>
          <w:highlight w:val="none"/>
        </w:rPr>
        <w:t>万分之五每</w:t>
      </w:r>
      <w:r>
        <w:rPr>
          <w:rFonts w:hint="eastAsia" w:hAnsi="宋体"/>
          <w:color w:val="auto"/>
          <w:sz w:val="21"/>
          <w:szCs w:val="21"/>
          <w:highlight w:val="none"/>
        </w:rPr>
        <w:t>日</w:t>
      </w:r>
      <w:r>
        <w:rPr>
          <w:rFonts w:hAnsi="宋体"/>
          <w:color w:val="auto"/>
          <w:sz w:val="21"/>
          <w:szCs w:val="21"/>
          <w:highlight w:val="none"/>
        </w:rPr>
        <w:t>支付违约金。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w:t>
      </w:r>
      <w:r>
        <w:rPr>
          <w:rFonts w:hint="eastAsia" w:hAnsi="宋体"/>
          <w:color w:val="auto"/>
          <w:sz w:val="21"/>
          <w:szCs w:val="21"/>
          <w:highlight w:val="none"/>
        </w:rPr>
        <w:t>逾期履行合同义务的，应按合同总价款的</w:t>
      </w:r>
      <w:r>
        <w:rPr>
          <w:rFonts w:hAnsi="宋体"/>
          <w:color w:val="auto"/>
          <w:sz w:val="21"/>
          <w:szCs w:val="21"/>
          <w:highlight w:val="none"/>
        </w:rPr>
        <w:t>千分之六</w:t>
      </w:r>
      <w:r>
        <w:rPr>
          <w:rFonts w:hint="eastAsia" w:hAnsi="宋体"/>
          <w:color w:val="auto"/>
          <w:sz w:val="21"/>
          <w:szCs w:val="21"/>
          <w:highlight w:val="none"/>
        </w:rPr>
        <w:t>每日支付</w:t>
      </w:r>
      <w:r>
        <w:rPr>
          <w:rFonts w:hAnsi="宋体"/>
          <w:color w:val="auto"/>
          <w:sz w:val="21"/>
          <w:szCs w:val="21"/>
          <w:highlight w:val="none"/>
        </w:rPr>
        <w:t>违约金。乙方</w:t>
      </w:r>
      <w:r>
        <w:rPr>
          <w:rFonts w:hint="eastAsia" w:hAnsi="宋体"/>
          <w:color w:val="auto"/>
          <w:sz w:val="21"/>
          <w:szCs w:val="21"/>
          <w:highlight w:val="none"/>
        </w:rPr>
        <w:t>逾期</w:t>
      </w:r>
      <w:r>
        <w:rPr>
          <w:rFonts w:hAnsi="宋体"/>
          <w:color w:val="auto"/>
          <w:sz w:val="21"/>
          <w:szCs w:val="21"/>
          <w:highlight w:val="none"/>
        </w:rPr>
        <w:t>10个工作日</w:t>
      </w:r>
      <w:r>
        <w:rPr>
          <w:rFonts w:hint="eastAsia" w:hAnsi="宋体"/>
          <w:color w:val="auto"/>
          <w:sz w:val="21"/>
          <w:szCs w:val="21"/>
          <w:highlight w:val="none"/>
        </w:rPr>
        <w:t>及以上履行合同义务的</w:t>
      </w:r>
      <w:r>
        <w:rPr>
          <w:rFonts w:hAnsi="宋体"/>
          <w:color w:val="auto"/>
          <w:sz w:val="21"/>
          <w:szCs w:val="21"/>
          <w:highlight w:val="none"/>
        </w:rPr>
        <w:t>，甲方</w:t>
      </w:r>
      <w:r>
        <w:rPr>
          <w:rFonts w:hint="eastAsia" w:hAnsi="宋体"/>
          <w:color w:val="auto"/>
          <w:sz w:val="21"/>
          <w:szCs w:val="21"/>
          <w:highlight w:val="none"/>
        </w:rPr>
        <w:t>有权</w:t>
      </w:r>
      <w:r>
        <w:rPr>
          <w:rFonts w:hAnsi="宋体"/>
          <w:color w:val="auto"/>
          <w:sz w:val="21"/>
          <w:szCs w:val="21"/>
          <w:highlight w:val="none"/>
        </w:rPr>
        <w:t>解除本合同，</w:t>
      </w:r>
      <w:r>
        <w:rPr>
          <w:rFonts w:hint="eastAsia" w:hAnsi="宋体"/>
          <w:color w:val="auto"/>
          <w:sz w:val="21"/>
          <w:szCs w:val="21"/>
          <w:highlight w:val="none"/>
        </w:rPr>
        <w:t>并拒付（或要求乙方退还）合同价款，</w:t>
      </w:r>
      <w:r>
        <w:rPr>
          <w:rFonts w:hAnsi="宋体"/>
          <w:color w:val="auto"/>
          <w:sz w:val="21"/>
          <w:szCs w:val="21"/>
          <w:highlight w:val="none"/>
        </w:rPr>
        <w:t>乙方应</w:t>
      </w:r>
      <w:r>
        <w:rPr>
          <w:rFonts w:hint="eastAsia" w:hAnsi="宋体"/>
          <w:color w:val="auto"/>
          <w:sz w:val="21"/>
          <w:szCs w:val="21"/>
          <w:highlight w:val="none"/>
        </w:rPr>
        <w:t>按</w:t>
      </w:r>
      <w:r>
        <w:rPr>
          <w:rFonts w:hAnsi="宋体"/>
          <w:color w:val="auto"/>
          <w:sz w:val="21"/>
          <w:szCs w:val="21"/>
          <w:highlight w:val="none"/>
        </w:rPr>
        <w:t>合同总</w:t>
      </w:r>
      <w:r>
        <w:rPr>
          <w:rFonts w:hint="eastAsia" w:hAnsi="宋体"/>
          <w:color w:val="auto"/>
          <w:sz w:val="21"/>
          <w:szCs w:val="21"/>
          <w:highlight w:val="none"/>
        </w:rPr>
        <w:t>价款的6</w:t>
      </w:r>
      <w:r>
        <w:rPr>
          <w:rFonts w:hAnsi="宋体"/>
          <w:color w:val="auto"/>
          <w:sz w:val="21"/>
          <w:szCs w:val="21"/>
          <w:highlight w:val="none"/>
        </w:rPr>
        <w:t>%</w:t>
      </w:r>
      <w:r>
        <w:rPr>
          <w:rFonts w:hint="eastAsia" w:hAnsi="宋体"/>
          <w:color w:val="auto"/>
          <w:sz w:val="21"/>
          <w:szCs w:val="21"/>
          <w:highlight w:val="none"/>
        </w:rPr>
        <w:t>向甲方支付</w:t>
      </w:r>
      <w:r>
        <w:rPr>
          <w:rFonts w:hAnsi="宋体"/>
          <w:color w:val="auto"/>
          <w:sz w:val="21"/>
          <w:szCs w:val="21"/>
          <w:highlight w:val="none"/>
        </w:rPr>
        <w:t>违约金，造成甲方损失的，乙方</w:t>
      </w:r>
      <w:r>
        <w:rPr>
          <w:rFonts w:hint="eastAsia" w:hAnsi="宋体"/>
          <w:color w:val="auto"/>
          <w:sz w:val="21"/>
          <w:szCs w:val="21"/>
          <w:highlight w:val="none"/>
        </w:rPr>
        <w:t>应</w:t>
      </w:r>
      <w:r>
        <w:rPr>
          <w:rFonts w:hAnsi="宋体"/>
          <w:color w:val="auto"/>
          <w:sz w:val="21"/>
          <w:szCs w:val="21"/>
          <w:highlight w:val="none"/>
        </w:rPr>
        <w:t xml:space="preserve">承担赔偿责任。 </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八：争议的解决</w:t>
      </w:r>
    </w:p>
    <w:p>
      <w:pPr>
        <w:spacing w:line="288" w:lineRule="auto"/>
        <w:ind w:right="26" w:rightChars="11" w:firstLine="396" w:firstLineChars="200"/>
        <w:rPr>
          <w:color w:val="auto"/>
          <w:spacing w:val="-6"/>
          <w:sz w:val="21"/>
          <w:highlight w:val="none"/>
        </w:rPr>
      </w:pPr>
      <w:r>
        <w:rPr>
          <w:rFonts w:hint="eastAsia"/>
          <w:color w:val="auto"/>
          <w:spacing w:val="-6"/>
          <w:sz w:val="21"/>
          <w:highlight w:val="none"/>
        </w:rPr>
        <w:t>本合同未尽事宜由三方协商解决，如协商不成，三方同意将本合同引起的争议提交杭州仲裁委员会仲裁解决，仲裁为终局。</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九：合同的生效</w:t>
      </w:r>
    </w:p>
    <w:p>
      <w:pPr>
        <w:spacing w:line="288" w:lineRule="auto"/>
        <w:ind w:firstLine="396" w:firstLineChars="200"/>
        <w:rPr>
          <w:color w:val="auto"/>
          <w:spacing w:val="-6"/>
          <w:sz w:val="21"/>
          <w:highlight w:val="none"/>
        </w:rPr>
      </w:pPr>
      <w:r>
        <w:rPr>
          <w:rFonts w:hint="eastAsia"/>
          <w:color w:val="auto"/>
          <w:spacing w:val="-6"/>
          <w:sz w:val="21"/>
          <w:highlight w:val="none"/>
        </w:rPr>
        <w:t>1.合同经三方法定代表人或授权代表签字并加盖单位公章后生效。</w:t>
      </w:r>
    </w:p>
    <w:p>
      <w:pPr>
        <w:spacing w:line="288" w:lineRule="auto"/>
        <w:ind w:firstLine="396" w:firstLineChars="200"/>
        <w:rPr>
          <w:color w:val="auto"/>
          <w:spacing w:val="-6"/>
          <w:sz w:val="21"/>
          <w:highlight w:val="none"/>
        </w:rPr>
      </w:pPr>
      <w:r>
        <w:rPr>
          <w:rFonts w:hint="eastAsia"/>
          <w:color w:val="auto"/>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color w:val="auto"/>
          <w:spacing w:val="-6"/>
          <w:sz w:val="21"/>
          <w:highlight w:val="none"/>
        </w:rPr>
      </w:pPr>
      <w:r>
        <w:rPr>
          <w:rFonts w:hint="eastAsia"/>
          <w:color w:val="auto"/>
          <w:spacing w:val="-6"/>
          <w:sz w:val="21"/>
          <w:highlight w:val="none"/>
        </w:rPr>
        <w:t>3.本合同未尽事宜，遵照《合同法》有关条文执行。</w:t>
      </w:r>
    </w:p>
    <w:p>
      <w:pPr>
        <w:spacing w:line="288" w:lineRule="auto"/>
        <w:ind w:firstLine="396" w:firstLineChars="200"/>
        <w:rPr>
          <w:color w:val="auto"/>
          <w:spacing w:val="-6"/>
          <w:sz w:val="21"/>
          <w:highlight w:val="none"/>
        </w:rPr>
      </w:pPr>
      <w:r>
        <w:rPr>
          <w:rFonts w:hint="eastAsia"/>
          <w:color w:val="auto"/>
          <w:spacing w:val="-6"/>
          <w:sz w:val="21"/>
          <w:highlight w:val="none"/>
        </w:rPr>
        <w:t>4.本合同一式五份，乙方、采购代理机构各执壹份，甲方执叁份。</w:t>
      </w:r>
    </w:p>
    <w:p>
      <w:pPr>
        <w:spacing w:line="288" w:lineRule="auto"/>
        <w:ind w:firstLine="398" w:firstLineChars="200"/>
        <w:rPr>
          <w:b/>
          <w:color w:val="auto"/>
          <w:spacing w:val="-6"/>
          <w:sz w:val="21"/>
          <w:highlight w:val="none"/>
        </w:rPr>
      </w:pPr>
      <w:r>
        <w:rPr>
          <w:rFonts w:hint="eastAsia"/>
          <w:b/>
          <w:color w:val="auto"/>
          <w:spacing w:val="-6"/>
          <w:sz w:val="21"/>
          <w:highlight w:val="none"/>
        </w:rPr>
        <w:t>5.与本合同有关公开招标文件、响应文件及记录同本合同具有同等法律效果。</w:t>
      </w:r>
    </w:p>
    <w:p>
      <w:pPr>
        <w:adjustRightInd w:val="0"/>
        <w:snapToGrid w:val="0"/>
        <w:spacing w:line="288" w:lineRule="auto"/>
        <w:rPr>
          <w:rFonts w:cs="Times New Roman"/>
          <w:color w:val="auto"/>
          <w:spacing w:val="-6"/>
          <w:sz w:val="21"/>
          <w:szCs w:val="21"/>
          <w:highlight w:val="none"/>
        </w:rPr>
      </w:pP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39"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4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41" w:name="OLE_LINK13"/>
      <w:bookmarkStart w:id="42" w:name="OLE_LINK14"/>
      <w:r>
        <w:rPr>
          <w:rFonts w:hint="eastAsia"/>
          <w:color w:val="auto"/>
          <w:sz w:val="21"/>
          <w:szCs w:val="21"/>
          <w:highlight w:val="none"/>
        </w:rPr>
        <w:t>3）残疾人福利性单位声明函</w:t>
      </w:r>
      <w:bookmarkEnd w:id="41"/>
      <w:bookmarkEnd w:id="42"/>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bookmarkEnd w:id="4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43"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3"/>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44" w:name="_Hlk94097338"/>
      <w:r>
        <w:rPr>
          <w:rFonts w:hint="eastAsia"/>
          <w:b/>
          <w:bCs/>
          <w:color w:val="auto"/>
          <w:sz w:val="21"/>
          <w:szCs w:val="21"/>
          <w:highlight w:val="none"/>
        </w:rPr>
        <w:t>资格审查要求的资格证明材料(均需加盖公章)</w:t>
      </w:r>
    </w:p>
    <w:bookmarkEnd w:id="44"/>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rPr>
        <w:t>服务</w:t>
      </w:r>
      <w:r>
        <w:rPr>
          <w:b/>
          <w:bCs/>
          <w:color w:val="auto"/>
          <w:sz w:val="21"/>
          <w:szCs w:val="21"/>
          <w:highlight w:val="none"/>
        </w:rPr>
        <w:t>）</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rFonts w:cs="Times New Roman"/>
          <w:i/>
          <w:color w:val="auto"/>
          <w:sz w:val="21"/>
          <w:szCs w:val="21"/>
          <w:highlight w:val="none"/>
          <w:u w:val="single"/>
        </w:rPr>
      </w:pPr>
      <w:r>
        <w:rPr>
          <w:rFonts w:hint="eastAsia" w:cs="Times New Roman"/>
          <w:i/>
          <w:color w:val="auto"/>
          <w:sz w:val="21"/>
          <w:szCs w:val="21"/>
          <w:highlight w:val="none"/>
          <w:u w:val="single"/>
        </w:rPr>
        <w:t>1</w:t>
      </w:r>
      <w:r>
        <w:rPr>
          <w:rFonts w:cs="Times New Roman"/>
          <w:i/>
          <w:color w:val="auto"/>
          <w:sz w:val="21"/>
          <w:szCs w:val="21"/>
          <w:highlight w:val="none"/>
          <w:u w:val="single"/>
        </w:rPr>
        <w:t>.（标的名称），属于（采购文件中明确的所属行业）；</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hint="eastAsia" w:cs="Times New Roman"/>
          <w:i/>
          <w:color w:val="auto"/>
          <w:sz w:val="21"/>
          <w:szCs w:val="21"/>
          <w:highlight w:val="none"/>
          <w:u w:val="single"/>
        </w:rPr>
        <w:t>2</w:t>
      </w:r>
      <w:r>
        <w:rPr>
          <w:rFonts w:cs="Times New Roman"/>
          <w:i/>
          <w:color w:val="auto"/>
          <w:sz w:val="21"/>
          <w:szCs w:val="21"/>
          <w:highlight w:val="none"/>
          <w:u w:val="single"/>
        </w:rPr>
        <w:t>.（标的名称）</w:t>
      </w:r>
      <w:r>
        <w:rPr>
          <w:rFonts w:cs="Times New Roman"/>
          <w:color w:val="auto"/>
          <w:sz w:val="21"/>
          <w:szCs w:val="21"/>
          <w:highlight w:val="none"/>
        </w:rPr>
        <w:t>，属于</w:t>
      </w:r>
      <w:r>
        <w:rPr>
          <w:rFonts w:cs="Times New Roman"/>
          <w:i/>
          <w:color w:val="auto"/>
          <w:sz w:val="21"/>
          <w:szCs w:val="21"/>
          <w:highlight w:val="none"/>
        </w:rPr>
        <w:t>（</w:t>
      </w:r>
      <w:r>
        <w:rPr>
          <w:rFonts w:cs="Times New Roman"/>
          <w:i/>
          <w:color w:val="auto"/>
          <w:sz w:val="21"/>
          <w:szCs w:val="21"/>
          <w:highlight w:val="none"/>
          <w:u w:val="single"/>
        </w:rPr>
        <w:t>采购文件中明确的所属行业）</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企业名称（盖章）：</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《中小企业声明函》填写不全的，视为未提供《中小企业声明函》（从业人员、营业收入、资产总额在中小企业划型标准规定中不涉及的除外），不享受价格优惠。</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项目名称：2022国际青年艺术周开幕片及开幕活动系列视频设计与制作、线下开幕式舞台制作等项目编号：</w:t>
      </w:r>
      <w:r>
        <w:rPr>
          <w:rFonts w:hint="eastAsia"/>
          <w:color w:val="auto"/>
          <w:sz w:val="21"/>
          <w:szCs w:val="21"/>
          <w:highlight w:val="none"/>
          <w:lang w:eastAsia="zh-CN"/>
        </w:rPr>
        <w:t xml:space="preserve">QSZB-Z(F)-C22127(CS) </w:t>
      </w:r>
      <w:r>
        <w:rPr>
          <w:rFonts w:hint="eastAsia"/>
          <w:color w:val="auto"/>
          <w:sz w:val="21"/>
          <w:szCs w:val="21"/>
          <w:highlight w:val="none"/>
        </w:rPr>
        <w:t xml:space="preserve">  </w:t>
      </w:r>
    </w:p>
    <w:tbl>
      <w:tblPr>
        <w:tblStyle w:val="19"/>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中国美术学院2022国际青年艺术周开幕片及开幕活动系列视频设计与制作、线下开幕式舞台搭建、制作、设备租赁</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QSZB-Z(F)-C22127(CS)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pPr>
              <w:adjustRightInd w:val="0"/>
              <w:snapToGrid w:val="0"/>
              <w:spacing w:line="288" w:lineRule="auto"/>
              <w:rPr>
                <w:rFonts w:cs="Times New Roman"/>
                <w:color w:val="auto"/>
                <w:spacing w:val="-6"/>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r>
        <w:rPr>
          <w:rFonts w:hint="eastAsia"/>
          <w:color w:val="auto"/>
          <w:sz w:val="21"/>
          <w:szCs w:val="21"/>
          <w:highlight w:val="none"/>
        </w:rPr>
        <w:t>致：中国美术学院、浙江求是招标代理有限公司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中国美术学院2022国际青年艺术周开幕片及开幕活动系列视频设计与制作、线下开幕式舞台搭建、制作、设备租赁标项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2020年12月（含）以后任意一月社保缴纳证明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法定代表人身份证明：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）2020年12月（含）以后任意一月的供应商授权代表社保缴纳证明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26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w:t>
            </w:r>
          </w:p>
        </w:tc>
        <w:tc>
          <w:tcPr>
            <w:tcW w:w="12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43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89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c>
          <w:tcPr>
            <w:tcW w:w="99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71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采购人联系人</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项目名称：2022国际青年艺术周开幕片及开幕活动系列视频设计与制作、线下开幕式舞台制作等项目编号：</w:t>
      </w:r>
      <w:r>
        <w:rPr>
          <w:rFonts w:hint="eastAsia"/>
          <w:color w:val="auto"/>
          <w:sz w:val="21"/>
          <w:szCs w:val="21"/>
          <w:highlight w:val="none"/>
          <w:lang w:eastAsia="zh-CN"/>
        </w:rPr>
        <w:t xml:space="preserve">QSZB-Z(F)-C22127(CS) </w:t>
      </w:r>
      <w:r>
        <w:rPr>
          <w:rFonts w:hint="eastAsia"/>
          <w:color w:val="auto"/>
          <w:sz w:val="21"/>
          <w:szCs w:val="21"/>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45"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（7）供应商需要说明的其他文件和材料。</w:t>
      </w:r>
      <w:bookmarkEnd w:id="45"/>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附件2</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3%的扣除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b/>
          <w:color w:val="auto"/>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359EB"/>
    <w:multiLevelType w:val="multilevel"/>
    <w:tmpl w:val="6AE359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45877"/>
    <w:rsid w:val="00052BA5"/>
    <w:rsid w:val="00062697"/>
    <w:rsid w:val="00071F0A"/>
    <w:rsid w:val="000767D0"/>
    <w:rsid w:val="00081FB8"/>
    <w:rsid w:val="00083A4C"/>
    <w:rsid w:val="00084812"/>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74F6"/>
    <w:rsid w:val="000F7F44"/>
    <w:rsid w:val="00110E4C"/>
    <w:rsid w:val="0012475B"/>
    <w:rsid w:val="00127812"/>
    <w:rsid w:val="0013073F"/>
    <w:rsid w:val="001407E0"/>
    <w:rsid w:val="001409BF"/>
    <w:rsid w:val="00142487"/>
    <w:rsid w:val="00145F4F"/>
    <w:rsid w:val="00146C91"/>
    <w:rsid w:val="00147FE2"/>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36A6"/>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545"/>
    <w:rsid w:val="001F4C52"/>
    <w:rsid w:val="001F5B84"/>
    <w:rsid w:val="001F6FC6"/>
    <w:rsid w:val="0020197B"/>
    <w:rsid w:val="00203B7E"/>
    <w:rsid w:val="0020567E"/>
    <w:rsid w:val="00207647"/>
    <w:rsid w:val="00223344"/>
    <w:rsid w:val="002244D1"/>
    <w:rsid w:val="0022560D"/>
    <w:rsid w:val="00236087"/>
    <w:rsid w:val="002365FC"/>
    <w:rsid w:val="00246483"/>
    <w:rsid w:val="00257623"/>
    <w:rsid w:val="00260A9F"/>
    <w:rsid w:val="00261053"/>
    <w:rsid w:val="00261627"/>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7DC5"/>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3B4B"/>
    <w:rsid w:val="003B7308"/>
    <w:rsid w:val="003C00F7"/>
    <w:rsid w:val="003D2A8D"/>
    <w:rsid w:val="003D5885"/>
    <w:rsid w:val="003E0C7F"/>
    <w:rsid w:val="003E3619"/>
    <w:rsid w:val="003F18D5"/>
    <w:rsid w:val="0040087E"/>
    <w:rsid w:val="00403DFF"/>
    <w:rsid w:val="0040692C"/>
    <w:rsid w:val="00406E33"/>
    <w:rsid w:val="00410205"/>
    <w:rsid w:val="004114B7"/>
    <w:rsid w:val="00411C4F"/>
    <w:rsid w:val="00414B48"/>
    <w:rsid w:val="00421745"/>
    <w:rsid w:val="00422DE4"/>
    <w:rsid w:val="004235BA"/>
    <w:rsid w:val="0043243E"/>
    <w:rsid w:val="00436610"/>
    <w:rsid w:val="004373B0"/>
    <w:rsid w:val="00437E88"/>
    <w:rsid w:val="004407A1"/>
    <w:rsid w:val="00440B7D"/>
    <w:rsid w:val="0044631C"/>
    <w:rsid w:val="00447307"/>
    <w:rsid w:val="00447892"/>
    <w:rsid w:val="0045716B"/>
    <w:rsid w:val="00460410"/>
    <w:rsid w:val="00462F48"/>
    <w:rsid w:val="00467FA3"/>
    <w:rsid w:val="0047650F"/>
    <w:rsid w:val="00477C08"/>
    <w:rsid w:val="0048411A"/>
    <w:rsid w:val="004A7850"/>
    <w:rsid w:val="004B27EF"/>
    <w:rsid w:val="004B5D4B"/>
    <w:rsid w:val="004C0583"/>
    <w:rsid w:val="004C28D6"/>
    <w:rsid w:val="004C519D"/>
    <w:rsid w:val="004C5538"/>
    <w:rsid w:val="004C66FD"/>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92B94"/>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EB3"/>
    <w:rsid w:val="005F1491"/>
    <w:rsid w:val="005F54EF"/>
    <w:rsid w:val="00602E69"/>
    <w:rsid w:val="00604B99"/>
    <w:rsid w:val="00605A26"/>
    <w:rsid w:val="00623375"/>
    <w:rsid w:val="00630726"/>
    <w:rsid w:val="00631899"/>
    <w:rsid w:val="00632793"/>
    <w:rsid w:val="006366F0"/>
    <w:rsid w:val="00647F07"/>
    <w:rsid w:val="006576BA"/>
    <w:rsid w:val="00660F95"/>
    <w:rsid w:val="00665775"/>
    <w:rsid w:val="00676C52"/>
    <w:rsid w:val="00680911"/>
    <w:rsid w:val="00680A5B"/>
    <w:rsid w:val="006A039B"/>
    <w:rsid w:val="006A5664"/>
    <w:rsid w:val="006A5A5D"/>
    <w:rsid w:val="006B4656"/>
    <w:rsid w:val="006C1D47"/>
    <w:rsid w:val="006C3481"/>
    <w:rsid w:val="006D3BAA"/>
    <w:rsid w:val="006D5F21"/>
    <w:rsid w:val="006D7283"/>
    <w:rsid w:val="006E5749"/>
    <w:rsid w:val="006F277C"/>
    <w:rsid w:val="006F46B6"/>
    <w:rsid w:val="0070138B"/>
    <w:rsid w:val="00705EF5"/>
    <w:rsid w:val="00707602"/>
    <w:rsid w:val="00707B60"/>
    <w:rsid w:val="00711714"/>
    <w:rsid w:val="00712984"/>
    <w:rsid w:val="0071599A"/>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96C19"/>
    <w:rsid w:val="007A2CA3"/>
    <w:rsid w:val="007B160C"/>
    <w:rsid w:val="007C0AB9"/>
    <w:rsid w:val="007C2F9C"/>
    <w:rsid w:val="007C537A"/>
    <w:rsid w:val="007D1444"/>
    <w:rsid w:val="007D2661"/>
    <w:rsid w:val="007E240F"/>
    <w:rsid w:val="007E681D"/>
    <w:rsid w:val="007F2E8B"/>
    <w:rsid w:val="00800ABA"/>
    <w:rsid w:val="00800FCE"/>
    <w:rsid w:val="00810FA6"/>
    <w:rsid w:val="008133A4"/>
    <w:rsid w:val="00814C63"/>
    <w:rsid w:val="008316E0"/>
    <w:rsid w:val="00840283"/>
    <w:rsid w:val="00840FE7"/>
    <w:rsid w:val="00841ADD"/>
    <w:rsid w:val="00843675"/>
    <w:rsid w:val="00851510"/>
    <w:rsid w:val="008634FB"/>
    <w:rsid w:val="008639D0"/>
    <w:rsid w:val="00882EE8"/>
    <w:rsid w:val="0089463E"/>
    <w:rsid w:val="008A34A6"/>
    <w:rsid w:val="008B218D"/>
    <w:rsid w:val="008B3601"/>
    <w:rsid w:val="008B6837"/>
    <w:rsid w:val="008B71DF"/>
    <w:rsid w:val="008C688F"/>
    <w:rsid w:val="008D5940"/>
    <w:rsid w:val="008D737F"/>
    <w:rsid w:val="008D741F"/>
    <w:rsid w:val="008E0CE8"/>
    <w:rsid w:val="008E337A"/>
    <w:rsid w:val="008E4BFF"/>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B67"/>
    <w:rsid w:val="00953C5E"/>
    <w:rsid w:val="00957D35"/>
    <w:rsid w:val="009637F6"/>
    <w:rsid w:val="009653D9"/>
    <w:rsid w:val="00966E9D"/>
    <w:rsid w:val="00967418"/>
    <w:rsid w:val="00981D3A"/>
    <w:rsid w:val="009875B5"/>
    <w:rsid w:val="00993DBA"/>
    <w:rsid w:val="009949B7"/>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3906"/>
    <w:rsid w:val="00A35229"/>
    <w:rsid w:val="00A40AAC"/>
    <w:rsid w:val="00A42750"/>
    <w:rsid w:val="00A42C00"/>
    <w:rsid w:val="00A5406E"/>
    <w:rsid w:val="00A549DF"/>
    <w:rsid w:val="00A6088B"/>
    <w:rsid w:val="00A64554"/>
    <w:rsid w:val="00A732F4"/>
    <w:rsid w:val="00A73C39"/>
    <w:rsid w:val="00A76EBE"/>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E7AEE"/>
    <w:rsid w:val="00AF26F2"/>
    <w:rsid w:val="00AF74F9"/>
    <w:rsid w:val="00B02F83"/>
    <w:rsid w:val="00B04CC6"/>
    <w:rsid w:val="00B058CE"/>
    <w:rsid w:val="00B06C53"/>
    <w:rsid w:val="00B102AE"/>
    <w:rsid w:val="00B10592"/>
    <w:rsid w:val="00B13329"/>
    <w:rsid w:val="00B13F59"/>
    <w:rsid w:val="00B145EA"/>
    <w:rsid w:val="00B17697"/>
    <w:rsid w:val="00B22B41"/>
    <w:rsid w:val="00B22FD3"/>
    <w:rsid w:val="00B255CB"/>
    <w:rsid w:val="00B273E5"/>
    <w:rsid w:val="00B27D5F"/>
    <w:rsid w:val="00B34DE9"/>
    <w:rsid w:val="00B35964"/>
    <w:rsid w:val="00B3599C"/>
    <w:rsid w:val="00B368F7"/>
    <w:rsid w:val="00B43EB1"/>
    <w:rsid w:val="00B44156"/>
    <w:rsid w:val="00B461A3"/>
    <w:rsid w:val="00B46901"/>
    <w:rsid w:val="00B47E39"/>
    <w:rsid w:val="00B60372"/>
    <w:rsid w:val="00B700A7"/>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1071"/>
    <w:rsid w:val="00BD48DF"/>
    <w:rsid w:val="00BD4A95"/>
    <w:rsid w:val="00BD6DF5"/>
    <w:rsid w:val="00BF12A4"/>
    <w:rsid w:val="00BF16BF"/>
    <w:rsid w:val="00BF7858"/>
    <w:rsid w:val="00C00275"/>
    <w:rsid w:val="00C06714"/>
    <w:rsid w:val="00C06A4F"/>
    <w:rsid w:val="00C127D1"/>
    <w:rsid w:val="00C16A0C"/>
    <w:rsid w:val="00C23F1B"/>
    <w:rsid w:val="00C31136"/>
    <w:rsid w:val="00C32739"/>
    <w:rsid w:val="00C419D0"/>
    <w:rsid w:val="00C43452"/>
    <w:rsid w:val="00C43EC7"/>
    <w:rsid w:val="00C55C7A"/>
    <w:rsid w:val="00C57C91"/>
    <w:rsid w:val="00C6057A"/>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06474"/>
    <w:rsid w:val="00D1097C"/>
    <w:rsid w:val="00D116CB"/>
    <w:rsid w:val="00D145C9"/>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38EB"/>
    <w:rsid w:val="00DA499E"/>
    <w:rsid w:val="00DA6115"/>
    <w:rsid w:val="00DA66D7"/>
    <w:rsid w:val="00DB0427"/>
    <w:rsid w:val="00DB252D"/>
    <w:rsid w:val="00DB7001"/>
    <w:rsid w:val="00DD03A9"/>
    <w:rsid w:val="00DD08CA"/>
    <w:rsid w:val="00DD2AFA"/>
    <w:rsid w:val="00DD3361"/>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6AFE"/>
    <w:rsid w:val="00E26F8C"/>
    <w:rsid w:val="00E30E42"/>
    <w:rsid w:val="00E3206B"/>
    <w:rsid w:val="00E36D93"/>
    <w:rsid w:val="00E370E0"/>
    <w:rsid w:val="00E408C3"/>
    <w:rsid w:val="00E5038C"/>
    <w:rsid w:val="00E51DCB"/>
    <w:rsid w:val="00E565AC"/>
    <w:rsid w:val="00E66BFD"/>
    <w:rsid w:val="00E702BC"/>
    <w:rsid w:val="00E7371B"/>
    <w:rsid w:val="00E9083B"/>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51E5"/>
    <w:rsid w:val="00F26B94"/>
    <w:rsid w:val="00F31217"/>
    <w:rsid w:val="00F31415"/>
    <w:rsid w:val="00F40CB5"/>
    <w:rsid w:val="00F516FE"/>
    <w:rsid w:val="00F549EC"/>
    <w:rsid w:val="00F54B3E"/>
    <w:rsid w:val="00F5586F"/>
    <w:rsid w:val="00F60635"/>
    <w:rsid w:val="00F62803"/>
    <w:rsid w:val="00F64962"/>
    <w:rsid w:val="00F742BF"/>
    <w:rsid w:val="00F75E1B"/>
    <w:rsid w:val="00F77744"/>
    <w:rsid w:val="00F80014"/>
    <w:rsid w:val="00F80F99"/>
    <w:rsid w:val="00F82E7E"/>
    <w:rsid w:val="00F9106A"/>
    <w:rsid w:val="00F94DF0"/>
    <w:rsid w:val="00F958B4"/>
    <w:rsid w:val="00FA1F1C"/>
    <w:rsid w:val="00FB1975"/>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BD5A5A"/>
    <w:rsid w:val="08D10BEF"/>
    <w:rsid w:val="094474E0"/>
    <w:rsid w:val="0949141E"/>
    <w:rsid w:val="095639A6"/>
    <w:rsid w:val="095A626C"/>
    <w:rsid w:val="09D842F7"/>
    <w:rsid w:val="0A104C02"/>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B16C5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AA4067"/>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24677"/>
    <w:rsid w:val="18F37C5C"/>
    <w:rsid w:val="190D2A36"/>
    <w:rsid w:val="191C5EFD"/>
    <w:rsid w:val="19295D46"/>
    <w:rsid w:val="19311F7B"/>
    <w:rsid w:val="19335297"/>
    <w:rsid w:val="195041F3"/>
    <w:rsid w:val="198978FC"/>
    <w:rsid w:val="19BE5EE1"/>
    <w:rsid w:val="19D115FD"/>
    <w:rsid w:val="19F84096"/>
    <w:rsid w:val="1A477CEF"/>
    <w:rsid w:val="1AAF3421"/>
    <w:rsid w:val="1AB23249"/>
    <w:rsid w:val="1AC828CA"/>
    <w:rsid w:val="1AE20BCB"/>
    <w:rsid w:val="1AE2213E"/>
    <w:rsid w:val="1B855CC2"/>
    <w:rsid w:val="1B8B535C"/>
    <w:rsid w:val="1BA573C0"/>
    <w:rsid w:val="1BCB0252"/>
    <w:rsid w:val="1C0D34A1"/>
    <w:rsid w:val="1C3E597F"/>
    <w:rsid w:val="1C814F53"/>
    <w:rsid w:val="1C843709"/>
    <w:rsid w:val="1C911CFB"/>
    <w:rsid w:val="1C940833"/>
    <w:rsid w:val="1C9814DF"/>
    <w:rsid w:val="1D4A6348"/>
    <w:rsid w:val="1D5C4ECD"/>
    <w:rsid w:val="1D63527C"/>
    <w:rsid w:val="1D6A3946"/>
    <w:rsid w:val="1D8628BB"/>
    <w:rsid w:val="1D920ECB"/>
    <w:rsid w:val="1DD259C3"/>
    <w:rsid w:val="1DDD0826"/>
    <w:rsid w:val="1E654A1D"/>
    <w:rsid w:val="1E6A19B1"/>
    <w:rsid w:val="1E7F799F"/>
    <w:rsid w:val="1E9F662A"/>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097234"/>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4D3DC5"/>
    <w:rsid w:val="2E7942E2"/>
    <w:rsid w:val="2F0F13BF"/>
    <w:rsid w:val="2F0F2FF0"/>
    <w:rsid w:val="2F0F3ED9"/>
    <w:rsid w:val="2F5D35AA"/>
    <w:rsid w:val="2F713FC3"/>
    <w:rsid w:val="30116C8D"/>
    <w:rsid w:val="302B091D"/>
    <w:rsid w:val="302F07D9"/>
    <w:rsid w:val="30376BB9"/>
    <w:rsid w:val="307A6BF4"/>
    <w:rsid w:val="31186EB7"/>
    <w:rsid w:val="3148427E"/>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41740"/>
    <w:rsid w:val="35D76993"/>
    <w:rsid w:val="35EB4CF7"/>
    <w:rsid w:val="35F425D5"/>
    <w:rsid w:val="35FF42F7"/>
    <w:rsid w:val="36553987"/>
    <w:rsid w:val="36E466D7"/>
    <w:rsid w:val="371840E5"/>
    <w:rsid w:val="37551903"/>
    <w:rsid w:val="37A25A49"/>
    <w:rsid w:val="37C41E89"/>
    <w:rsid w:val="380C4385"/>
    <w:rsid w:val="387A477C"/>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670585"/>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5F09AF"/>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8AE7F32"/>
    <w:rsid w:val="494657B0"/>
    <w:rsid w:val="49DD655A"/>
    <w:rsid w:val="4A152D6C"/>
    <w:rsid w:val="4A155F64"/>
    <w:rsid w:val="4A307C3D"/>
    <w:rsid w:val="4A561635"/>
    <w:rsid w:val="4A685300"/>
    <w:rsid w:val="4A855391"/>
    <w:rsid w:val="4A915CC1"/>
    <w:rsid w:val="4AA61B68"/>
    <w:rsid w:val="4AB77A00"/>
    <w:rsid w:val="4AF06DC5"/>
    <w:rsid w:val="4B0A6344"/>
    <w:rsid w:val="4B1A6ED1"/>
    <w:rsid w:val="4B1C60E9"/>
    <w:rsid w:val="4BBA2B01"/>
    <w:rsid w:val="4BF800DC"/>
    <w:rsid w:val="4C590C5D"/>
    <w:rsid w:val="4C5D1D5A"/>
    <w:rsid w:val="4D3F1D0A"/>
    <w:rsid w:val="4D562539"/>
    <w:rsid w:val="4D644AE4"/>
    <w:rsid w:val="4D6B732C"/>
    <w:rsid w:val="4D864E8F"/>
    <w:rsid w:val="4D9B2A2A"/>
    <w:rsid w:val="4DBE7DFA"/>
    <w:rsid w:val="4DC10903"/>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62080"/>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A12EE7"/>
    <w:rsid w:val="53E4448B"/>
    <w:rsid w:val="54220E32"/>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8365D"/>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C24E9F"/>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7F1CD3"/>
    <w:rsid w:val="63F818AF"/>
    <w:rsid w:val="64097F81"/>
    <w:rsid w:val="642928A3"/>
    <w:rsid w:val="643F5712"/>
    <w:rsid w:val="64474946"/>
    <w:rsid w:val="648038A6"/>
    <w:rsid w:val="648864C8"/>
    <w:rsid w:val="64AC0F65"/>
    <w:rsid w:val="64AC4D21"/>
    <w:rsid w:val="64DE6188"/>
    <w:rsid w:val="64EA3740"/>
    <w:rsid w:val="651B20F1"/>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60678E"/>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781E55"/>
    <w:rsid w:val="6E981498"/>
    <w:rsid w:val="6EDD44D5"/>
    <w:rsid w:val="6EE53D65"/>
    <w:rsid w:val="6F0462AF"/>
    <w:rsid w:val="6F5B536E"/>
    <w:rsid w:val="6F6C5A34"/>
    <w:rsid w:val="6F862021"/>
    <w:rsid w:val="6FDB67F5"/>
    <w:rsid w:val="6FEB7F4E"/>
    <w:rsid w:val="701B7A5A"/>
    <w:rsid w:val="70580981"/>
    <w:rsid w:val="70710D73"/>
    <w:rsid w:val="7075449C"/>
    <w:rsid w:val="7093328D"/>
    <w:rsid w:val="70B94757"/>
    <w:rsid w:val="70CF457E"/>
    <w:rsid w:val="71493E4B"/>
    <w:rsid w:val="722A7E86"/>
    <w:rsid w:val="723356D8"/>
    <w:rsid w:val="723B1117"/>
    <w:rsid w:val="724F76A0"/>
    <w:rsid w:val="725F7831"/>
    <w:rsid w:val="726208DF"/>
    <w:rsid w:val="727B04D4"/>
    <w:rsid w:val="727B4099"/>
    <w:rsid w:val="72A94047"/>
    <w:rsid w:val="730B3575"/>
    <w:rsid w:val="73734FD6"/>
    <w:rsid w:val="73A83D47"/>
    <w:rsid w:val="73AF252F"/>
    <w:rsid w:val="73EE04C5"/>
    <w:rsid w:val="740E4978"/>
    <w:rsid w:val="745844E5"/>
    <w:rsid w:val="74694643"/>
    <w:rsid w:val="74BC7852"/>
    <w:rsid w:val="74CE1CE7"/>
    <w:rsid w:val="750A4D76"/>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7EC0191"/>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CD69D7"/>
    <w:rsid w:val="7CD64B89"/>
    <w:rsid w:val="7CFD1F85"/>
    <w:rsid w:val="7D1136F7"/>
    <w:rsid w:val="7D851B58"/>
    <w:rsid w:val="7DCD0FCE"/>
    <w:rsid w:val="7E2010C6"/>
    <w:rsid w:val="7E4F352C"/>
    <w:rsid w:val="7E7C6572"/>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420"/>
    </w:pPr>
    <w:rPr>
      <w:sz w:val="21"/>
      <w:szCs w:val="20"/>
    </w:rPr>
  </w:style>
  <w:style w:type="paragraph" w:styleId="7">
    <w:name w:val="annotation text"/>
    <w:basedOn w:val="1"/>
    <w:link w:val="28"/>
    <w:unhideWhenUsed/>
    <w:qFormat/>
    <w:uiPriority w:val="99"/>
    <w:pPr>
      <w:jc w:val="left"/>
    </w:pPr>
    <w:rPr>
      <w:rFonts w:ascii="Times New Roman" w:hAnsi="Times New Roman" w:cs="Times New Roman"/>
      <w:sz w:val="28"/>
    </w:rPr>
  </w:style>
  <w:style w:type="paragraph" w:styleId="8">
    <w:name w:val="Body Text"/>
    <w:basedOn w:val="1"/>
    <w:next w:val="1"/>
    <w:unhideWhenUsed/>
    <w:qFormat/>
    <w:uiPriority w:val="99"/>
    <w:pPr>
      <w:spacing w:after="120"/>
    </w:pPr>
    <w:rPr>
      <w:rFonts w:ascii="Times New Roman" w:hAnsi="Times New Roman" w:cs="Times New Roman"/>
      <w:sz w:val="28"/>
    </w:rPr>
  </w:style>
  <w:style w:type="paragraph" w:styleId="9">
    <w:name w:val="Body Text Indent"/>
    <w:basedOn w:val="1"/>
    <w:next w:val="10"/>
    <w:link w:val="29"/>
    <w:qFormat/>
    <w:uiPriority w:val="0"/>
    <w:pPr>
      <w:spacing w:line="200" w:lineRule="atLeast"/>
      <w:ind w:firstLine="301"/>
    </w:pPr>
    <w:rPr>
      <w:rFonts w:hAnsi="Courier New" w:cs="Times New Roman"/>
      <w:spacing w:val="-4"/>
      <w:sz w:val="18"/>
      <w:szCs w:val="20"/>
    </w:rPr>
  </w:style>
  <w:style w:type="paragraph" w:styleId="10">
    <w:name w:val="envelope return"/>
    <w:basedOn w:val="1"/>
    <w:qFormat/>
    <w:uiPriority w:val="0"/>
    <w:pPr>
      <w:snapToGrid w:val="0"/>
    </w:pPr>
    <w:rPr>
      <w:rFonts w:ascii="Arial" w:hAnsi="Arial"/>
    </w:rPr>
  </w:style>
  <w:style w:type="paragraph" w:styleId="11">
    <w:name w:val="Plain Text"/>
    <w:basedOn w:val="1"/>
    <w:link w:val="36"/>
    <w:qFormat/>
    <w:uiPriority w:val="99"/>
    <w:pPr>
      <w:spacing w:before="156" w:beforeLines="50" w:after="156" w:afterLines="50" w:line="400" w:lineRule="atLeast"/>
    </w:pPr>
    <w:rPr>
      <w:rFonts w:hAnsi="Courier New" w:eastAsiaTheme="minorEastAsia" w:cstheme="minorBidi"/>
    </w:rPr>
  </w:style>
  <w:style w:type="paragraph" w:styleId="12">
    <w:name w:val="Balloon Text"/>
    <w:basedOn w:val="1"/>
    <w:link w:val="27"/>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widowControl/>
      <w:spacing w:before="100" w:beforeAutospacing="1" w:after="100" w:afterAutospacing="1"/>
      <w:jc w:val="left"/>
    </w:pPr>
    <w:rPr>
      <w:kern w:val="0"/>
    </w:rPr>
  </w:style>
  <w:style w:type="paragraph" w:styleId="16">
    <w:name w:val="annotation subject"/>
    <w:basedOn w:val="7"/>
    <w:next w:val="7"/>
    <w:link w:val="37"/>
    <w:semiHidden/>
    <w:unhideWhenUsed/>
    <w:qFormat/>
    <w:uiPriority w:val="0"/>
    <w:rPr>
      <w:rFonts w:ascii="宋体" w:hAnsi="宋体" w:cs="宋体"/>
      <w:b/>
      <w:bCs/>
      <w:sz w:val="24"/>
    </w:rPr>
  </w:style>
  <w:style w:type="paragraph" w:styleId="17">
    <w:name w:val="Body Text First Indent"/>
    <w:basedOn w:val="8"/>
    <w:next w:val="1"/>
    <w:qFormat/>
    <w:uiPriority w:val="0"/>
    <w:pPr>
      <w:ind w:firstLine="420" w:firstLineChars="100"/>
    </w:pPr>
    <w:rPr>
      <w:kern w:val="0"/>
      <w:sz w:val="21"/>
      <w:szCs w:val="21"/>
    </w:rPr>
  </w:style>
  <w:style w:type="paragraph" w:styleId="18">
    <w:name w:val="Body Text First Indent 2"/>
    <w:basedOn w:val="9"/>
    <w:next w:val="1"/>
    <w:unhideWhenUsed/>
    <w:qFormat/>
    <w:uiPriority w:val="99"/>
    <w:pPr>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eastAsia="Arial"/>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paragraph" w:customStyle="1" w:styleId="25">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7">
    <w:name w:val="批注框文本 字符"/>
    <w:basedOn w:val="21"/>
    <w:link w:val="12"/>
    <w:qFormat/>
    <w:uiPriority w:val="0"/>
    <w:rPr>
      <w:rFonts w:ascii="宋体" w:hAnsi="宋体" w:cs="宋体"/>
      <w:kern w:val="2"/>
      <w:sz w:val="18"/>
      <w:szCs w:val="18"/>
    </w:rPr>
  </w:style>
  <w:style w:type="character" w:customStyle="1" w:styleId="28">
    <w:name w:val="批注文字 字符"/>
    <w:basedOn w:val="21"/>
    <w:link w:val="7"/>
    <w:qFormat/>
    <w:uiPriority w:val="99"/>
    <w:rPr>
      <w:kern w:val="2"/>
      <w:sz w:val="28"/>
      <w:szCs w:val="24"/>
    </w:rPr>
  </w:style>
  <w:style w:type="character" w:customStyle="1" w:styleId="29">
    <w:name w:val="正文文本缩进 字符1"/>
    <w:link w:val="9"/>
    <w:qFormat/>
    <w:uiPriority w:val="0"/>
    <w:rPr>
      <w:rFonts w:ascii="宋体" w:hAnsi="Courier New"/>
      <w:spacing w:val="-4"/>
      <w:kern w:val="2"/>
      <w:sz w:val="18"/>
    </w:rPr>
  </w:style>
  <w:style w:type="character" w:customStyle="1" w:styleId="30">
    <w:name w:val="正文文本缩进 字符"/>
    <w:basedOn w:val="21"/>
    <w:qFormat/>
    <w:uiPriority w:val="0"/>
    <w:rPr>
      <w:rFonts w:ascii="宋体" w:hAnsi="宋体" w:cs="宋体"/>
      <w:kern w:val="2"/>
      <w:sz w:val="24"/>
      <w:szCs w:val="24"/>
    </w:rPr>
  </w:style>
  <w:style w:type="character" w:customStyle="1" w:styleId="31">
    <w:name w:val="正文文本缩进 字符2"/>
    <w:qFormat/>
    <w:uiPriority w:val="0"/>
    <w:rPr>
      <w:rFonts w:ascii="宋体" w:hAnsi="Courier New"/>
      <w:spacing w:val="-4"/>
      <w:kern w:val="2"/>
      <w:sz w:val="18"/>
    </w:rPr>
  </w:style>
  <w:style w:type="character" w:customStyle="1" w:styleId="32">
    <w:name w:val="未处理的提及1"/>
    <w:basedOn w:val="21"/>
    <w:semiHidden/>
    <w:unhideWhenUsed/>
    <w:qFormat/>
    <w:uiPriority w:val="99"/>
    <w:rPr>
      <w:color w:val="605E5C"/>
      <w:shd w:val="clear" w:color="auto" w:fill="E1DFDD"/>
    </w:rPr>
  </w:style>
  <w:style w:type="paragraph" w:styleId="33">
    <w:name w:val="List Paragraph"/>
    <w:basedOn w:val="1"/>
    <w:qFormat/>
    <w:uiPriority w:val="99"/>
    <w:pPr>
      <w:ind w:firstLine="420" w:firstLineChars="200"/>
    </w:pPr>
  </w:style>
  <w:style w:type="character" w:customStyle="1" w:styleId="34">
    <w:name w:val="页脚 字符"/>
    <w:basedOn w:val="21"/>
    <w:link w:val="13"/>
    <w:qFormat/>
    <w:uiPriority w:val="99"/>
    <w:rPr>
      <w:rFonts w:ascii="宋体" w:hAnsi="宋体" w:cs="宋体"/>
      <w:kern w:val="2"/>
      <w:sz w:val="18"/>
      <w:szCs w:val="24"/>
    </w:rPr>
  </w:style>
  <w:style w:type="character" w:customStyle="1" w:styleId="35">
    <w:name w:val="纯文本 字符"/>
    <w:basedOn w:val="21"/>
    <w:qFormat/>
    <w:uiPriority w:val="0"/>
    <w:rPr>
      <w:rFonts w:hAnsi="Courier New" w:cs="Courier New" w:asciiTheme="minorEastAsia" w:eastAsiaTheme="minorEastAsia"/>
      <w:kern w:val="2"/>
      <w:sz w:val="24"/>
      <w:szCs w:val="24"/>
    </w:rPr>
  </w:style>
  <w:style w:type="character" w:customStyle="1" w:styleId="36">
    <w:name w:val="纯文本 字符1"/>
    <w:link w:val="11"/>
    <w:qFormat/>
    <w:uiPriority w:val="99"/>
    <w:rPr>
      <w:rFonts w:ascii="宋体" w:hAnsi="Courier New" w:eastAsiaTheme="minorEastAsia" w:cstheme="minorBidi"/>
      <w:kern w:val="2"/>
      <w:sz w:val="24"/>
      <w:szCs w:val="24"/>
    </w:rPr>
  </w:style>
  <w:style w:type="character" w:customStyle="1" w:styleId="37">
    <w:name w:val="批注主题 字符"/>
    <w:basedOn w:val="28"/>
    <w:link w:val="16"/>
    <w:semiHidden/>
    <w:qFormat/>
    <w:uiPriority w:val="0"/>
    <w:rPr>
      <w:rFonts w:ascii="宋体" w:hAnsi="宋体" w:cs="宋体"/>
      <w:b/>
      <w:bCs/>
      <w:kern w:val="2"/>
      <w:sz w:val="24"/>
      <w:szCs w:val="24"/>
    </w:rPr>
  </w:style>
  <w:style w:type="paragraph" w:customStyle="1" w:styleId="38">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39">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1">
    <w:name w:val="font21"/>
    <w:basedOn w:val="21"/>
    <w:qFormat/>
    <w:uiPriority w:val="0"/>
    <w:rPr>
      <w:rFonts w:hint="eastAsia" w:ascii="宋体" w:hAnsi="宋体" w:eastAsia="宋体" w:cs="宋体"/>
      <w:color w:val="000000"/>
      <w:sz w:val="20"/>
      <w:szCs w:val="20"/>
      <w:u w:val="none"/>
    </w:rPr>
  </w:style>
  <w:style w:type="paragraph" w:customStyle="1" w:styleId="42">
    <w:name w:val="默认"/>
    <w:qFormat/>
    <w:uiPriority w:val="0"/>
    <w:rPr>
      <w:rFonts w:ascii="Helvetica Neue" w:hAnsi="Helvetica Neue" w:eastAsia="Arial Unicode MS" w:cs="Arial Unicode MS"/>
      <w:color w:val="000000"/>
      <w:sz w:val="22"/>
      <w:szCs w:val="22"/>
      <w:lang w:val="en-US" w:eastAsia="zh-CN" w:bidi="ar-SA"/>
    </w:rPr>
  </w:style>
  <w:style w:type="table" w:customStyle="1" w:styleId="43">
    <w:name w:val="Table Normal"/>
    <w:qFormat/>
    <w:uiPriority w:val="0"/>
    <w:rPr>
      <w:rFonts w:eastAsiaTheme="minorEastAsia"/>
    </w:rPr>
    <w:tblPr>
      <w:tblCellMar>
        <w:top w:w="0" w:type="dxa"/>
        <w:left w:w="0" w:type="dxa"/>
        <w:bottom w:w="0" w:type="dxa"/>
        <w:right w:w="0" w:type="dxa"/>
      </w:tblCellMar>
    </w:tblPr>
  </w:style>
  <w:style w:type="paragraph" w:customStyle="1" w:styleId="44">
    <w:name w:val="表格样式 2"/>
    <w:qFormat/>
    <w:uiPriority w:val="0"/>
    <w:rPr>
      <w:rFonts w:ascii="Helvetica Neue" w:hAnsi="Helvetica Neue" w:eastAsia="Helvetica Neue" w:cs="Helvetica Neue"/>
      <w:color w:val="000000"/>
      <w:lang w:val="en-US" w:eastAsia="zh-CN" w:bidi="ar-SA"/>
    </w:rPr>
  </w:style>
  <w:style w:type="paragraph" w:customStyle="1" w:styleId="45">
    <w:name w:val="修订1"/>
    <w:hidden/>
    <w:semiHidden/>
    <w:qFormat/>
    <w:uiPriority w:val="99"/>
    <w:rPr>
      <w:rFonts w:ascii="宋体" w:hAnsi="宋体" w:eastAsia="宋体" w:cs="宋体"/>
      <w:kern w:val="2"/>
      <w:sz w:val="24"/>
      <w:szCs w:val="24"/>
      <w:lang w:val="en-US" w:eastAsia="zh-CN" w:bidi="ar-SA"/>
    </w:rPr>
  </w:style>
  <w:style w:type="paragraph" w:customStyle="1" w:styleId="46">
    <w:name w:val="Revision"/>
    <w:hidden/>
    <w:semiHidden/>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D2334-617C-0445-85AA-B62D4107BD19}">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26405</Characters>
  <Lines>220</Lines>
  <Paragraphs>61</Paragraphs>
  <TotalTime>0</TotalTime>
  <ScaleCrop>false</ScaleCrop>
  <LinksUpToDate>false</LinksUpToDate>
  <CharactersWithSpaces>30976</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2022-03-21T02:56:00Z</dcterms:created>
  <dc:creator>Administrator</dc:creator>
  <cp:lastModifiedBy>A-day</cp:lastModifiedBy>
  <cp:lastPrinted>2020-04-01T05:56:00Z</cp:lastPrinted>
  <dcterms:modified xsi:type="dcterms:W3CDTF">2022-05-19T04:08:51Z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1FEA08D6CC1646EA9AB55F3690B74F08</vt:lpwstr>
  </property>
</Properties>
</file>