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r>
        <w:rPr>
          <w:rFonts w:ascii="楷体" w:hAnsi="楷体" w:eastAsia="楷体" w:cs="Times New Roman"/>
          <w:b/>
          <w:color w:val="auto"/>
          <w:spacing w:val="-6"/>
          <w:sz w:val="44"/>
          <w:szCs w:val="44"/>
          <w:highlight w:val="none"/>
        </w:rPr>
        <w:softHyphen/>
      </w: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2022年青艺周公共媒体推广、活动</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pStyle w:val="2"/>
        <w:rPr>
          <w:color w:val="auto"/>
          <w:highlight w:val="none"/>
        </w:rPr>
      </w:pPr>
    </w:p>
    <w:p>
      <w:pPr>
        <w:pStyle w:val="2"/>
        <w:rPr>
          <w:rFonts w:ascii="楷体" w:hAnsi="楷体" w:eastAsia="楷体" w:cs="楷体"/>
          <w:b/>
          <w:bCs/>
          <w:color w:val="auto"/>
          <w:sz w:val="36"/>
          <w:szCs w:val="36"/>
          <w:highlight w:val="none"/>
        </w:rPr>
      </w:pPr>
    </w:p>
    <w:p>
      <w:pPr>
        <w:pStyle w:val="3"/>
        <w:rPr>
          <w:color w:val="auto"/>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2022年青艺周公共媒体推广、活动</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QSZB-Z(F)-C22128(CS)</w:t>
      </w:r>
      <w:r>
        <w:rPr>
          <w:rFonts w:hint="eastAsia" w:ascii="楷体" w:hAnsi="楷体" w:eastAsia="楷体" w:cs="楷体"/>
          <w:b/>
          <w:bCs/>
          <w:color w:val="auto"/>
          <w:sz w:val="30"/>
          <w:szCs w:val="30"/>
          <w:highlight w:val="none"/>
        </w:rPr>
        <w:t xml:space="preserve">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lang w:eastAsia="zh-CN"/>
        </w:rPr>
        <w:t>[2022]26701号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602" w:firstLineChars="200"/>
        <w:rPr>
          <w:rFonts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2022年青艺周公共媒体推广、活动</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5</w:t>
      </w:r>
      <w:r>
        <w:rPr>
          <w:rFonts w:hint="eastAsia"/>
          <w:b/>
          <w:color w:val="auto"/>
          <w:sz w:val="21"/>
          <w:szCs w:val="21"/>
          <w:highlight w:val="none"/>
          <w:u w:val="single"/>
        </w:rPr>
        <w:t>月</w:t>
      </w:r>
      <w:r>
        <w:rPr>
          <w:rFonts w:hint="eastAsia"/>
          <w:b/>
          <w:color w:val="auto"/>
          <w:sz w:val="21"/>
          <w:szCs w:val="21"/>
          <w:highlight w:val="none"/>
          <w:u w:val="single"/>
          <w:lang w:val="en-US" w:eastAsia="zh-CN"/>
        </w:rPr>
        <w:t>23</w:t>
      </w:r>
      <w:r>
        <w:rPr>
          <w:rFonts w:hint="eastAsia"/>
          <w:b/>
          <w:color w:val="auto"/>
          <w:sz w:val="21"/>
          <w:szCs w:val="21"/>
          <w:highlight w:val="none"/>
          <w:u w:val="single"/>
        </w:rPr>
        <w:t>日</w:t>
      </w:r>
      <w:r>
        <w:rPr>
          <w:rFonts w:hint="eastAsia"/>
          <w:b/>
          <w:color w:val="auto"/>
          <w:sz w:val="21"/>
          <w:szCs w:val="21"/>
          <w:highlight w:val="none"/>
          <w:u w:val="single"/>
          <w:lang w:val="en-US" w:eastAsia="zh-CN"/>
        </w:rPr>
        <w:t>9</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35393790"/>
      <w:bookmarkStart w:id="1" w:name="_Toc28359079"/>
      <w:bookmarkStart w:id="2" w:name="_Toc35393621"/>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QSZB-Z(F)-C22128(CS)</w:t>
      </w:r>
      <w:r>
        <w:rPr>
          <w:rFonts w:hint="eastAsia"/>
          <w:bCs/>
          <w:color w:val="auto"/>
          <w:sz w:val="21"/>
          <w:szCs w:val="21"/>
          <w:highlight w:val="none"/>
        </w:rPr>
        <w:t xml:space="preserve">  </w:t>
      </w:r>
    </w:p>
    <w:p>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2022年青艺周公共媒体推广、活动</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88750</w:t>
      </w:r>
      <w:r>
        <w:rPr>
          <w:rFonts w:hint="eastAsia"/>
          <w:color w:val="auto"/>
          <w:sz w:val="21"/>
          <w:szCs w:val="21"/>
          <w:highlight w:val="none"/>
        </w:rPr>
        <w:t>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88750</w:t>
      </w:r>
      <w:r>
        <w:rPr>
          <w:rFonts w:hint="eastAsia"/>
          <w:color w:val="auto"/>
          <w:sz w:val="21"/>
          <w:szCs w:val="21"/>
          <w:highlight w:val="none"/>
        </w:rPr>
        <w:t>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合同履约期限：合同签订后，在202</w:t>
      </w:r>
      <w:r>
        <w:rPr>
          <w:rFonts w:hint="eastAsia"/>
          <w:color w:val="auto"/>
          <w:sz w:val="21"/>
          <w:szCs w:val="21"/>
          <w:highlight w:val="none"/>
          <w:lang w:val="en-US" w:eastAsia="zh-CN"/>
        </w:rPr>
        <w:t>2</w:t>
      </w:r>
      <w:r>
        <w:rPr>
          <w:rFonts w:hint="eastAsia"/>
          <w:color w:val="auto"/>
          <w:sz w:val="21"/>
          <w:szCs w:val="21"/>
          <w:highlight w:val="none"/>
        </w:rPr>
        <w:t>年6月1日前完成</w:t>
      </w:r>
      <w:r>
        <w:rPr>
          <w:rFonts w:hint="eastAsia"/>
          <w:color w:val="auto"/>
          <w:sz w:val="21"/>
          <w:szCs w:val="21"/>
          <w:highlight w:val="none"/>
          <w:lang w:eastAsia="zh-CN"/>
        </w:rPr>
        <w:t>媒体推广、活动</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2"/>
        <w:gridCol w:w="3376"/>
        <w:gridCol w:w="1192"/>
        <w:gridCol w:w="971"/>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36"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753"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619"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504" w:type="pct"/>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585" w:type="pct"/>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36" w:type="pct"/>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1753" w:type="pct"/>
            <w:tcBorders>
              <w:right w:val="single" w:color="auto" w:sz="4" w:space="0"/>
              <w:tl2br w:val="nil"/>
              <w:tr2bl w:val="nil"/>
            </w:tcBorders>
            <w:vAlign w:val="center"/>
          </w:tcPr>
          <w:p>
            <w:pPr>
              <w:adjustRightInd w:val="0"/>
              <w:snapToGrid w:val="0"/>
              <w:spacing w:line="288" w:lineRule="auto"/>
              <w:jc w:val="center"/>
              <w:rPr>
                <w:rFonts w:hint="eastAsia" w:eastAsia="宋体"/>
                <w:bCs/>
                <w:color w:val="auto"/>
                <w:sz w:val="21"/>
                <w:szCs w:val="21"/>
                <w:highlight w:val="none"/>
                <w:lang w:eastAsia="zh-CN"/>
              </w:rPr>
            </w:pPr>
            <w:r>
              <w:rPr>
                <w:rFonts w:hint="eastAsia"/>
                <w:color w:val="auto"/>
                <w:sz w:val="21"/>
                <w:szCs w:val="21"/>
                <w:highlight w:val="none"/>
                <w:lang w:eastAsia="zh-CN"/>
              </w:rPr>
              <w:t>2022年青艺周公共媒体推广、活动</w:t>
            </w:r>
          </w:p>
        </w:tc>
        <w:tc>
          <w:tcPr>
            <w:tcW w:w="619" w:type="pct"/>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504" w:type="pct"/>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1585" w:type="pct"/>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r>
    </w:tbl>
    <w:p>
      <w:pPr>
        <w:adjustRightInd w:val="0"/>
        <w:snapToGrid w:val="0"/>
        <w:spacing w:line="288" w:lineRule="auto"/>
        <w:rPr>
          <w:b/>
          <w:color w:val="auto"/>
          <w:sz w:val="21"/>
          <w:szCs w:val="21"/>
          <w:highlight w:val="none"/>
        </w:rPr>
      </w:pPr>
      <w:bookmarkStart w:id="5" w:name="_Toc28359080"/>
      <w:bookmarkStart w:id="6" w:name="_Toc28359003"/>
      <w:bookmarkStart w:id="7" w:name="_Toc35393791"/>
      <w:bookmarkStart w:id="8" w:name="_Toc35393622"/>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2.落实政府采购政策需满足的资格要求：本项目整体专门面向中小企业采购。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本项目采购标的为：服务，采购标的对应的中小企业划分标准所属行业：其他未列明行业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624"/>
      <w:bookmarkStart w:id="14" w:name="_Toc35393793"/>
      <w:bookmarkStart w:id="15" w:name="_Toc28359082"/>
      <w:bookmarkStart w:id="16" w:name="_Toc28359005"/>
      <w:r>
        <w:rPr>
          <w:rFonts w:hint="eastAsia"/>
          <w:color w:val="auto"/>
          <w:sz w:val="21"/>
          <w:szCs w:val="21"/>
          <w:highlight w:val="none"/>
        </w:rPr>
        <w:t>时间：2022年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12</w:t>
      </w:r>
      <w:r>
        <w:rPr>
          <w:rFonts w:hint="eastAsia"/>
          <w:color w:val="auto"/>
          <w:sz w:val="21"/>
          <w:szCs w:val="21"/>
          <w:highlight w:val="none"/>
        </w:rPr>
        <w:t>日至2022年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23</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p>
    <w:p>
      <w:pPr>
        <w:adjustRightInd w:val="0"/>
        <w:snapToGrid w:val="0"/>
        <w:spacing w:line="288" w:lineRule="auto"/>
        <w:rPr>
          <w:b/>
          <w:color w:val="auto"/>
          <w:sz w:val="21"/>
          <w:szCs w:val="21"/>
          <w:highlight w:val="none"/>
        </w:rPr>
      </w:pPr>
      <w:bookmarkStart w:id="17" w:name="_Toc28359084"/>
      <w:bookmarkStart w:id="18" w:name="_Toc35393794"/>
      <w:bookmarkStart w:id="19" w:name="_Toc28359007"/>
      <w:bookmarkStart w:id="20" w:name="_Toc35393625"/>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5</w:t>
      </w:r>
      <w:r>
        <w:rPr>
          <w:rFonts w:hint="eastAsia"/>
          <w:bCs/>
          <w:color w:val="auto"/>
          <w:sz w:val="21"/>
          <w:szCs w:val="21"/>
          <w:highlight w:val="none"/>
        </w:rPr>
        <w:t>月</w:t>
      </w:r>
      <w:r>
        <w:rPr>
          <w:rFonts w:hint="eastAsia"/>
          <w:bCs/>
          <w:color w:val="auto"/>
          <w:sz w:val="21"/>
          <w:szCs w:val="21"/>
          <w:highlight w:val="none"/>
          <w:lang w:val="en-US" w:eastAsia="zh-CN"/>
        </w:rPr>
        <w:t>23</w:t>
      </w:r>
      <w:r>
        <w:rPr>
          <w:rFonts w:hint="eastAsia"/>
          <w:bCs/>
          <w:color w:val="auto"/>
          <w:sz w:val="21"/>
          <w:szCs w:val="21"/>
          <w:highlight w:val="none"/>
        </w:rPr>
        <w:t>日</w:t>
      </w:r>
      <w:r>
        <w:rPr>
          <w:rFonts w:hint="eastAsia"/>
          <w:bCs/>
          <w:color w:val="auto"/>
          <w:sz w:val="21"/>
          <w:szCs w:val="21"/>
          <w:highlight w:val="none"/>
          <w:lang w:val="en-US" w:eastAsia="zh-CN"/>
        </w:rPr>
        <w:t>9</w:t>
      </w:r>
      <w:r>
        <w:rPr>
          <w:rFonts w:hint="eastAsia"/>
          <w:bCs/>
          <w:color w:val="auto"/>
          <w:sz w:val="21"/>
          <w:szCs w:val="21"/>
          <w:highlight w:val="none"/>
        </w:rPr>
        <w:t>:30:00（北京时间）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（网址）：政府采购云平台（https://login.zcygov.cn）</w:t>
      </w:r>
      <w:r>
        <w:rPr>
          <w:rFonts w:hint="eastAsia" w:cs="Times New Roman"/>
          <w:color w:val="auto"/>
          <w:sz w:val="21"/>
          <w:szCs w:val="21"/>
          <w:highlight w:val="none"/>
        </w:rPr>
        <w:t>/杭州市西湖区玉古路173号中田大厦11楼（求是招标会议室1）</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Toc35393796"/>
      <w:bookmarkStart w:id="24" w:name="_Toc35393627"/>
      <w:bookmarkStart w:id="25" w:name="_Toc28359085"/>
      <w:bookmarkStart w:id="26"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7"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424" w:firstLineChars="202"/>
        <w:rPr>
          <w:color w:val="auto"/>
          <w:sz w:val="21"/>
          <w:szCs w:val="21"/>
          <w:highlight w:val="none"/>
        </w:rPr>
      </w:pPr>
      <w:bookmarkStart w:id="28" w:name="_Toc32532"/>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采购人名称：</w:t>
      </w:r>
      <w:bookmarkEnd w:id="28"/>
      <w:r>
        <w:rPr>
          <w:rFonts w:hint="eastAsia"/>
          <w:color w:val="auto"/>
          <w:sz w:val="21"/>
          <w:szCs w:val="21"/>
          <w:highlight w:val="none"/>
        </w:rPr>
        <w:t>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联系人：韩老师</w:t>
      </w:r>
    </w:p>
    <w:p>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联系方式：</w:t>
      </w:r>
      <w:bookmarkStart w:id="46" w:name="_GoBack"/>
      <w:bookmarkEnd w:id="46"/>
      <w:r>
        <w:rPr>
          <w:rFonts w:hint="eastAsia"/>
          <w:color w:val="auto"/>
          <w:sz w:val="21"/>
          <w:szCs w:val="21"/>
          <w:highlight w:val="none"/>
          <w:lang w:eastAsia="zh-CN"/>
        </w:rPr>
        <w:t>0571-87164805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w:t>
            </w:r>
            <w:r>
              <w:rPr>
                <w:rFonts w:cs="Times New Roman"/>
                <w:color w:val="auto"/>
                <w:spacing w:val="-6"/>
                <w:sz w:val="21"/>
                <w:szCs w:val="21"/>
                <w:highlight w:val="none"/>
              </w:rPr>
              <w:t>支持创新发展</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本项目采购标的为：服务，采购标的对应的中小企业划分标准所属行业：其他未列明行业</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提供材料详见招标文件第六章“资格文件”</w:t>
            </w:r>
          </w:p>
        </w:tc>
      </w:tr>
      <w:bookmarkEnd w:id="29"/>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9"/>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，且供应商已向采购人提交银行、保险公司等金融机构出具的预付款保函的，采购人向供应商支付合同总价的4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w:t>
            </w:r>
            <w:r>
              <w:rPr>
                <w:color w:val="auto"/>
                <w:spacing w:val="-6"/>
                <w:kern w:val="0"/>
                <w:sz w:val="21"/>
                <w:szCs w:val="21"/>
                <w:highlight w:val="none"/>
              </w:rPr>
              <w:t>6</w:t>
            </w:r>
            <w:r>
              <w:rPr>
                <w:rFonts w:hint="eastAsia"/>
                <w:color w:val="auto"/>
                <w:spacing w:val="-6"/>
                <w:kern w:val="0"/>
                <w:sz w:val="21"/>
                <w:szCs w:val="21"/>
                <w:highlight w:val="none"/>
              </w:rPr>
              <w:t>0%。</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w:t>
      </w:r>
    </w:p>
    <w:p>
      <w:pPr>
        <w:pStyle w:val="2"/>
        <w:spacing w:line="300" w:lineRule="auto"/>
        <w:rPr>
          <w:rFonts w:ascii="宋体" w:hAnsi="宋体" w:cs="宋体"/>
          <w:b/>
          <w:color w:val="auto"/>
          <w:sz w:val="21"/>
          <w:szCs w:val="21"/>
          <w:highlight w:val="none"/>
        </w:rPr>
      </w:pPr>
      <w:r>
        <w:rPr>
          <w:rFonts w:hint="eastAsia" w:ascii="宋体" w:hAnsi="宋体" w:cs="宋体"/>
          <w:b/>
          <w:color w:val="auto"/>
          <w:sz w:val="21"/>
          <w:szCs w:val="21"/>
          <w:highlight w:val="none"/>
        </w:rPr>
        <w:t>（一）基本要求</w:t>
      </w:r>
    </w:p>
    <w:p>
      <w:pPr>
        <w:pStyle w:val="25"/>
        <w:ind w:left="0"/>
        <w:rPr>
          <w:rFonts w:ascii="宋体" w:hAnsi="宋体" w:cs="宋体"/>
          <w:b/>
          <w:color w:val="auto"/>
          <w:szCs w:val="21"/>
          <w:highlight w:val="none"/>
        </w:rPr>
      </w:pPr>
      <w:r>
        <w:rPr>
          <w:rFonts w:hint="eastAsia" w:ascii="宋体" w:hAnsi="宋体" w:cs="宋体"/>
          <w:b/>
          <w:color w:val="auto"/>
          <w:szCs w:val="21"/>
          <w:highlight w:val="none"/>
        </w:rPr>
        <w:t>服务时间：合同签订后，在202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年6月1日前完成</w:t>
      </w:r>
      <w:r>
        <w:rPr>
          <w:rFonts w:hint="eastAsia" w:ascii="宋体" w:hAnsi="宋体" w:cs="宋体"/>
          <w:b/>
          <w:color w:val="auto"/>
          <w:szCs w:val="21"/>
          <w:highlight w:val="none"/>
          <w:lang w:eastAsia="zh-CN"/>
        </w:rPr>
        <w:t>媒体推广、活动</w:t>
      </w:r>
      <w:r>
        <w:rPr>
          <w:rFonts w:hint="eastAsia" w:ascii="宋体" w:hAnsi="宋体" w:cs="宋体"/>
          <w:b/>
          <w:color w:val="auto"/>
          <w:szCs w:val="21"/>
          <w:highlight w:val="none"/>
        </w:rPr>
        <w:t>。</w:t>
      </w:r>
    </w:p>
    <w:p>
      <w:pPr>
        <w:rPr>
          <w:color w:val="auto"/>
          <w:highlight w:val="none"/>
        </w:rPr>
      </w:pPr>
      <w:r>
        <w:rPr>
          <w:rFonts w:hint="eastAsia"/>
          <w:b/>
          <w:color w:val="auto"/>
          <w:sz w:val="21"/>
          <w:szCs w:val="21"/>
          <w:highlight w:val="none"/>
        </w:rPr>
        <w:t>服务地点：杭州</w:t>
      </w:r>
    </w:p>
    <w:p>
      <w:pPr>
        <w:pStyle w:val="25"/>
        <w:rPr>
          <w:color w:val="auto"/>
          <w:highlight w:val="none"/>
        </w:rPr>
      </w:pPr>
    </w:p>
    <w:p>
      <w:pPr>
        <w:pStyle w:val="25"/>
        <w:ind w:left="0"/>
        <w:rPr>
          <w:color w:val="auto"/>
          <w:highlight w:val="none"/>
        </w:rPr>
      </w:pPr>
      <w:r>
        <w:rPr>
          <w:rFonts w:hint="eastAsia" w:ascii="宋体" w:hAnsi="宋体" w:cs="宋体"/>
          <w:b/>
          <w:color w:val="auto"/>
          <w:sz w:val="21"/>
          <w:szCs w:val="21"/>
          <w:highlight w:val="none"/>
        </w:rPr>
        <w:t>（二）</w:t>
      </w:r>
      <w:r>
        <w:rPr>
          <w:rFonts w:hint="eastAsia" w:ascii="宋体" w:hAnsi="宋体" w:cs="宋体"/>
          <w:b/>
          <w:color w:val="auto"/>
          <w:szCs w:val="21"/>
          <w:highlight w:val="none"/>
        </w:rPr>
        <w:t>服务清单，包括但不限于以下内容：</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0"/>
        <w:gridCol w:w="699"/>
        <w:gridCol w:w="3089"/>
        <w:gridCol w:w="3736"/>
        <w:gridCol w:w="65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63" w:type="pct"/>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c>
          <w:tcPr>
            <w:tcW w:w="16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63"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地铁沿线媒体设计费</w:t>
            </w:r>
          </w:p>
        </w:tc>
        <w:tc>
          <w:tcPr>
            <w:tcW w:w="16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地铁、公交媒体策划与设计</w:t>
            </w: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整体形象策划与设计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6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605"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美院象山站媒体设计</w:t>
            </w: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美院象山站品牌主题墙画面内容设计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6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605"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美院象山站12封灯箱内容设计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6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605"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吴山广场站媒体设计</w:t>
            </w: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吴山广场站品牌主题墙画面内容设计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6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605"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吴山广场站12封灯箱内容设计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6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6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武林广场站媒体设计</w:t>
            </w: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武林广场站梯顶贴画面内容设计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6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6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公交车（单层巴士）媒体设计</w:t>
            </w:r>
          </w:p>
        </w:tc>
        <w:tc>
          <w:tcPr>
            <w:tcW w:w="19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公交车（单层巴士）画面内容设计</w:t>
            </w:r>
          </w:p>
        </w:tc>
        <w:tc>
          <w:tcPr>
            <w:tcW w:w="34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pPr>
        <w:adjustRightInd w:val="0"/>
        <w:snapToGrid w:val="0"/>
        <w:spacing w:line="288" w:lineRule="auto"/>
        <w:ind w:firstLine="420"/>
        <w:rPr>
          <w:rFonts w:hint="eastAsia"/>
          <w:color w:val="auto"/>
          <w:highlight w:val="none"/>
          <w:lang w:bidi="ar"/>
        </w:rPr>
      </w:pP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650"/>
        <w:gridCol w:w="2000"/>
        <w:gridCol w:w="1338"/>
        <w:gridCol w:w="2475"/>
        <w:gridCol w:w="712"/>
        <w:gridCol w:w="9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37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77"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982" w:type="pct"/>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媒体形式</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407"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时间</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37"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地铁沿线媒体发布</w:t>
            </w:r>
          </w:p>
        </w:tc>
        <w:tc>
          <w:tcPr>
            <w:tcW w:w="1039"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地铁沿线媒体发布</w:t>
            </w:r>
          </w:p>
        </w:tc>
        <w:tc>
          <w:tcPr>
            <w:tcW w:w="695"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美院象山站</w:t>
            </w:r>
          </w:p>
        </w:tc>
        <w:tc>
          <w:tcPr>
            <w:tcW w:w="12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品牌主题墙（大型墙贴）</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371</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4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37"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039"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95"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12封灯箱</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37"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039"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95"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吴山广场站</w:t>
            </w:r>
          </w:p>
        </w:tc>
        <w:tc>
          <w:tcPr>
            <w:tcW w:w="12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品牌主题墙（大型墙贴）</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4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37"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039"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95"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12封灯箱</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4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37"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039"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69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武林广场站</w:t>
            </w:r>
          </w:p>
        </w:tc>
        <w:tc>
          <w:tcPr>
            <w:tcW w:w="12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梯顶贴（大型墙贴）</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4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374"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3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公交车</w:t>
            </w:r>
          </w:p>
        </w:tc>
        <w:tc>
          <w:tcPr>
            <w:tcW w:w="1039"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公交车(单层巴士)</w:t>
            </w:r>
          </w:p>
        </w:tc>
        <w:tc>
          <w:tcPr>
            <w:tcW w:w="69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媒体定制</w:t>
            </w:r>
          </w:p>
        </w:tc>
        <w:tc>
          <w:tcPr>
            <w:tcW w:w="128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A++标准款</w:t>
            </w:r>
          </w:p>
        </w:tc>
        <w:tc>
          <w:tcPr>
            <w:tcW w:w="37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路线</w:t>
            </w:r>
          </w:p>
        </w:tc>
        <w:tc>
          <w:tcPr>
            <w:tcW w:w="40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pStyle w:val="2"/>
        <w:rPr>
          <w:rFonts w:hint="eastAsia"/>
          <w:color w:val="auto"/>
          <w:highlight w:val="none"/>
        </w:rPr>
      </w:pPr>
    </w:p>
    <w:tbl>
      <w:tblPr>
        <w:tblStyle w:val="19"/>
        <w:tblW w:w="5000" w:type="pct"/>
        <w:tblInd w:w="0" w:type="dxa"/>
        <w:shd w:val="clear" w:color="auto" w:fill="auto"/>
        <w:tblLayout w:type="fixed"/>
        <w:tblCellMar>
          <w:top w:w="0" w:type="dxa"/>
          <w:left w:w="108" w:type="dxa"/>
          <w:bottom w:w="0" w:type="dxa"/>
          <w:right w:w="108" w:type="dxa"/>
        </w:tblCellMar>
      </w:tblPr>
      <w:tblGrid>
        <w:gridCol w:w="732"/>
        <w:gridCol w:w="1388"/>
        <w:gridCol w:w="2875"/>
        <w:gridCol w:w="2893"/>
        <w:gridCol w:w="682"/>
        <w:gridCol w:w="1058"/>
      </w:tblGrid>
      <w:tr>
        <w:tblPrEx>
          <w:shd w:val="clear" w:color="auto" w:fill="auto"/>
          <w:tblCellMar>
            <w:top w:w="0" w:type="dxa"/>
            <w:left w:w="108" w:type="dxa"/>
            <w:bottom w:w="0" w:type="dxa"/>
            <w:right w:w="108" w:type="dxa"/>
          </w:tblCellMar>
        </w:tblPrEx>
        <w:trPr>
          <w:trHeight w:val="57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毕业生导师、团体及学生个人号直播、视频推广</w:t>
            </w:r>
          </w:p>
        </w:tc>
        <w:tc>
          <w:tcPr>
            <w:tcW w:w="1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毕业生导师、团体及学生个人号直播、视频制作</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整体内容创意与策划</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视频分平台内容创作与设计</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视频制作</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人次</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毕业生导师、团体及学生个人号直播、视频推广</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视频分平台投放与推广</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人次/4平台</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志愿者费用</w:t>
            </w:r>
          </w:p>
        </w:tc>
        <w:tc>
          <w:tcPr>
            <w:tcW w:w="14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志愿者费用</w:t>
            </w: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劳务费</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人次</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餐饮</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人次</w:t>
            </w:r>
          </w:p>
        </w:tc>
      </w:tr>
      <w:tr>
        <w:tblPrEx>
          <w:shd w:val="clear" w:color="auto" w:fill="auto"/>
          <w:tblCellMar>
            <w:top w:w="0" w:type="dxa"/>
            <w:left w:w="108" w:type="dxa"/>
            <w:bottom w:w="0" w:type="dxa"/>
            <w:right w:w="108" w:type="dxa"/>
          </w:tblCellMar>
        </w:tblPrEx>
        <w:trPr>
          <w:trHeight w:val="49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4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交通补贴</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人次</w:t>
            </w:r>
          </w:p>
        </w:tc>
      </w:tr>
    </w:tbl>
    <w:p>
      <w:pPr>
        <w:pStyle w:val="2"/>
        <w:rPr>
          <w:rFonts w:hint="eastAsia"/>
          <w:color w:val="auto"/>
          <w:highlight w:val="none"/>
          <w:lang w:bidi="ar"/>
        </w:rPr>
      </w:pPr>
    </w:p>
    <w:p>
      <w:pPr>
        <w:pStyle w:val="6"/>
        <w:ind w:firstLine="0"/>
        <w:rPr>
          <w:rFonts w:hint="eastAsia"/>
          <w:color w:val="auto"/>
          <w:highlight w:val="none"/>
        </w:rPr>
      </w:pPr>
    </w:p>
    <w:p>
      <w:pPr>
        <w:spacing w:line="288" w:lineRule="auto"/>
        <w:rPr>
          <w:b/>
          <w:color w:val="auto"/>
          <w:sz w:val="21"/>
          <w:szCs w:val="21"/>
          <w:highlight w:val="none"/>
        </w:rPr>
      </w:pPr>
      <w:r>
        <w:rPr>
          <w:rFonts w:hint="eastAsia"/>
          <w:b/>
          <w:color w:val="auto"/>
          <w:sz w:val="21"/>
          <w:szCs w:val="21"/>
          <w:highlight w:val="none"/>
        </w:rPr>
        <w:t>注：</w:t>
      </w:r>
    </w:p>
    <w:p>
      <w:pPr>
        <w:pStyle w:val="32"/>
        <w:numPr>
          <w:ilvl w:val="0"/>
          <w:numId w:val="1"/>
        </w:numPr>
        <w:adjustRightInd w:val="0"/>
        <w:snapToGrid w:val="0"/>
        <w:spacing w:line="288" w:lineRule="auto"/>
        <w:ind w:firstLineChars="0"/>
        <w:rPr>
          <w:b/>
          <w:color w:val="auto"/>
          <w:sz w:val="21"/>
          <w:szCs w:val="21"/>
          <w:highlight w:val="none"/>
        </w:rPr>
      </w:pPr>
      <w:r>
        <w:rPr>
          <w:rFonts w:hint="eastAsia"/>
          <w:b/>
          <w:color w:val="auto"/>
          <w:sz w:val="21"/>
          <w:szCs w:val="21"/>
          <w:highlight w:val="none"/>
        </w:rPr>
        <w:t>如服务要求中未特别注明需执行的国家相关标准、行业标准、地方标准或者其他标准、规范，则统一执行最新标准、规范。</w:t>
      </w:r>
    </w:p>
    <w:p>
      <w:pPr>
        <w:pStyle w:val="18"/>
        <w:rPr>
          <w:color w:val="auto"/>
          <w:highlight w:val="none"/>
        </w:rPr>
      </w:pPr>
    </w:p>
    <w:p>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w:t>
            </w:r>
            <w:r>
              <w:rPr>
                <w:rFonts w:hint="eastAsia"/>
                <w:color w:val="auto"/>
                <w:sz w:val="21"/>
                <w:szCs w:val="21"/>
                <w:highlight w:val="none"/>
                <w:lang w:eastAsia="zh-CN"/>
              </w:rPr>
              <w:t>2022年青艺周公共媒体推广、活动</w:t>
            </w:r>
            <w:r>
              <w:rPr>
                <w:rFonts w:hint="eastAsia"/>
                <w:color w:val="auto"/>
                <w:sz w:val="21"/>
                <w:szCs w:val="21"/>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bookmarkEnd w:id="31"/>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采购人将以合同形式有偿取得货物或服务，不接受供应商给予的赠品、回扣或者与采购无关的其他商品、服务</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供应商应仔细阅读磋商文件的所有内容，按照磋商文件的要求提交响应文件，并对所提供的全部资料的真实性承担法律责任。</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w:t>
      </w:r>
      <w:r>
        <w:rPr>
          <w:rFonts w:hint="eastAsia"/>
          <w:color w:val="auto"/>
          <w:sz w:val="21"/>
          <w:szCs w:val="21"/>
          <w:highlight w:val="none"/>
          <w:lang w:eastAsia="zh-CN"/>
        </w:rPr>
        <w:t>2022年青艺周公共媒体推广、活动</w:t>
      </w:r>
      <w:r>
        <w:rPr>
          <w:rFonts w:hint="eastAsia"/>
          <w:color w:val="auto"/>
          <w:sz w:val="21"/>
          <w:szCs w:val="21"/>
          <w:highlight w:val="none"/>
        </w:rPr>
        <w:t>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33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33" w:name="_Hlk92273406"/>
      <w:bookmarkStart w:id="3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4"/>
    <w:p>
      <w:pPr>
        <w:adjustRightInd w:val="0"/>
        <w:snapToGrid w:val="0"/>
        <w:spacing w:line="288" w:lineRule="auto"/>
        <w:outlineLvl w:val="2"/>
        <w:rPr>
          <w:b/>
          <w:color w:val="auto"/>
          <w:spacing w:val="-6"/>
          <w:kern w:val="0"/>
          <w:sz w:val="21"/>
          <w:szCs w:val="21"/>
          <w:highlight w:val="none"/>
        </w:rPr>
      </w:pPr>
      <w:bookmarkStart w:id="3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35"/>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ind w:firstLine="396" w:firstLineChars="200"/>
        <w:jc w:val="left"/>
        <w:rPr>
          <w:rFonts w:cs="Times New Roman"/>
          <w:color w:val="auto"/>
          <w:spacing w:val="-6"/>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36" w:name="_Hlk96329193"/>
      <w:r>
        <w:rPr>
          <w:rFonts w:hint="eastAsia"/>
          <w:color w:val="auto"/>
          <w:sz w:val="21"/>
          <w:szCs w:val="21"/>
          <w:highlight w:val="none"/>
        </w:rPr>
        <w:t>，供应商应写全称。</w:t>
      </w:r>
      <w:bookmarkEnd w:id="36"/>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pStyle w:val="11"/>
        <w:adjustRightInd w:val="0"/>
        <w:snapToGrid w:val="0"/>
        <w:spacing w:before="0" w:beforeLines="0" w:after="0" w:afterLines="0" w:line="288" w:lineRule="auto"/>
        <w:ind w:firstLine="420" w:firstLineChars="200"/>
        <w:jc w:val="left"/>
        <w:rPr>
          <w:rFonts w:hAnsi="宋体" w:eastAsia="宋体"/>
          <w:color w:val="auto"/>
          <w:sz w:val="21"/>
          <w:szCs w:val="21"/>
          <w:highlight w:val="none"/>
        </w:rPr>
      </w:pPr>
      <w:r>
        <w:rPr>
          <w:rFonts w:hint="eastAsia" w:hAnsi="宋体" w:eastAsia="宋体" w:cs="宋体"/>
          <w:color w:val="auto"/>
          <w:sz w:val="21"/>
          <w:szCs w:val="21"/>
          <w:highlight w:val="none"/>
        </w:rPr>
        <w:t>▲4</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采购人将以合同形式有偿取得货物或服务，不接受供应商给予的赠品、回扣或者与采购无关的其他商品、服务</w:t>
      </w:r>
      <w:r>
        <w:rPr>
          <w:rFonts w:hAnsi="宋体" w:eastAsia="宋体" w:cs="宋体"/>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未响应磋商文件“▲”标记条款要求的，响应无效。</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2" w:firstLineChars="201"/>
        <w:jc w:val="left"/>
        <w:rPr>
          <w:rFonts w:cs="Arial"/>
          <w:color w:val="auto"/>
          <w:kern w:val="0"/>
          <w:sz w:val="21"/>
          <w:szCs w:val="21"/>
          <w:highlight w:val="none"/>
        </w:rPr>
      </w:pPr>
      <w:r>
        <w:rPr>
          <w:rFonts w:cs="Arial"/>
          <w:color w:val="auto"/>
          <w:kern w:val="0"/>
          <w:sz w:val="21"/>
          <w:szCs w:val="21"/>
          <w:highlight w:val="none"/>
        </w:rPr>
        <w:t>信用信息查询渠道及截止时间：采购机构将通过“信用中国”网站(www.creditchina.gov.cn)、中国政府采购网(www.ccgp.gov.cn)渠道查询供应商</w:t>
      </w:r>
      <w:r>
        <w:rPr>
          <w:rFonts w:hint="eastAsia" w:cs="Arial"/>
          <w:color w:val="auto"/>
          <w:kern w:val="0"/>
          <w:sz w:val="21"/>
          <w:szCs w:val="21"/>
          <w:highlight w:val="none"/>
        </w:rPr>
        <w:t>响应</w:t>
      </w:r>
      <w:r>
        <w:rPr>
          <w:rFonts w:cs="Arial"/>
          <w:color w:val="auto"/>
          <w:kern w:val="0"/>
          <w:sz w:val="21"/>
          <w:szCs w:val="21"/>
          <w:highlight w:val="none"/>
        </w:rPr>
        <w:t>截止时间当天的信用记录。</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信用信息查询记录和证据留存的具体方式：现场查询的供应商的信用记录、查询结果经确认后将与采购文件一起存档。</w:t>
      </w:r>
    </w:p>
    <w:p>
      <w:pPr>
        <w:adjustRightInd w:val="0"/>
        <w:snapToGrid w:val="0"/>
        <w:spacing w:line="288" w:lineRule="auto"/>
        <w:ind w:firstLine="422" w:firstLineChars="201"/>
        <w:rPr>
          <w:rFonts w:cs="Arial"/>
          <w:color w:val="auto"/>
          <w:kern w:val="0"/>
          <w:sz w:val="21"/>
          <w:szCs w:val="21"/>
          <w:highlight w:val="none"/>
        </w:rPr>
      </w:pPr>
      <w:r>
        <w:rPr>
          <w:rFonts w:cs="Arial"/>
          <w:color w:val="auto"/>
          <w:kern w:val="0"/>
          <w:sz w:val="21"/>
          <w:szCs w:val="21"/>
          <w:highlight w:val="none"/>
        </w:rPr>
        <w:t>信用信息的使用规则：经查询列入失信被执行人名单、重大税收违法案件当事人名单、政府采购严重违法失信行为记录名单的供应商将被拒绝参与政府采购活动。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37"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7"/>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r>
        <w:rPr>
          <w:rFonts w:hint="eastAsia" w:cs="Times New Roman"/>
          <w:bCs/>
          <w:color w:val="auto"/>
          <w:spacing w:val="-6"/>
          <w:sz w:val="21"/>
          <w:szCs w:val="21"/>
          <w:highlight w:val="none"/>
        </w:rPr>
        <w:t>出现并列第一名时由采购人确认成交供应商或采购人授权磋商小组按抽签方式确认成交供应商。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二、评审标准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2" w:type="dxa"/>
            <w:vAlign w:val="center"/>
          </w:tcPr>
          <w:p>
            <w:pPr>
              <w:jc w:val="center"/>
              <w:rPr>
                <w:b/>
                <w:color w:val="auto"/>
                <w:spacing w:val="-6"/>
                <w:sz w:val="21"/>
                <w:szCs w:val="21"/>
                <w:highlight w:val="none"/>
              </w:rPr>
            </w:pPr>
            <w:bookmarkStart w:id="38" w:name="_Hlk81817387"/>
            <w:r>
              <w:rPr>
                <w:rFonts w:hint="eastAsia"/>
                <w:b/>
                <w:color w:val="auto"/>
                <w:spacing w:val="-6"/>
                <w:sz w:val="21"/>
                <w:szCs w:val="21"/>
                <w:highlight w:val="none"/>
              </w:rPr>
              <w:t>评审因素</w:t>
            </w:r>
          </w:p>
        </w:tc>
        <w:tc>
          <w:tcPr>
            <w:tcW w:w="709" w:type="dxa"/>
            <w:vAlign w:val="center"/>
          </w:tcPr>
          <w:p>
            <w:pPr>
              <w:jc w:val="center"/>
              <w:rPr>
                <w:b/>
                <w:color w:val="auto"/>
                <w:spacing w:val="-6"/>
                <w:sz w:val="21"/>
                <w:szCs w:val="21"/>
                <w:highlight w:val="none"/>
              </w:rPr>
            </w:pPr>
            <w:r>
              <w:rPr>
                <w:rFonts w:hint="eastAsia"/>
                <w:b/>
                <w:color w:val="auto"/>
                <w:spacing w:val="-6"/>
                <w:sz w:val="21"/>
                <w:szCs w:val="21"/>
                <w:highlight w:val="none"/>
              </w:rPr>
              <w:t>分值</w:t>
            </w:r>
          </w:p>
        </w:tc>
        <w:tc>
          <w:tcPr>
            <w:tcW w:w="7087" w:type="dxa"/>
            <w:vAlign w:val="center"/>
          </w:tcPr>
          <w:p>
            <w:pPr>
              <w:pStyle w:val="37"/>
              <w:spacing w:line="240" w:lineRule="auto"/>
              <w:rPr>
                <w:rFonts w:hint="default" w:ascii="宋体" w:eastAsia="宋体"/>
                <w:b/>
                <w:color w:val="auto"/>
                <w:spacing w:val="-6"/>
                <w:sz w:val="21"/>
                <w:szCs w:val="21"/>
                <w:highlight w:val="none"/>
              </w:rPr>
            </w:pPr>
            <w:r>
              <w:rPr>
                <w:rFonts w:asci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7"/>
              <w:spacing w:line="240" w:lineRule="auto"/>
              <w:jc w:val="both"/>
              <w:rPr>
                <w:rFonts w:hint="default" w:ascii="宋体" w:eastAsia="宋体"/>
                <w:color w:val="auto"/>
                <w:spacing w:val="-6"/>
                <w:sz w:val="21"/>
                <w:szCs w:val="21"/>
                <w:highlight w:val="none"/>
              </w:rPr>
            </w:pPr>
            <w:r>
              <w:rPr>
                <w:rFonts w:ascii="宋体" w:eastAsia="宋体"/>
                <w:b/>
                <w:bCs/>
                <w:color w:val="auto"/>
                <w:spacing w:val="-6"/>
                <w:kern w:val="2"/>
                <w:sz w:val="21"/>
                <w:szCs w:val="21"/>
                <w:highlight w:val="none"/>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
                <w:bCs/>
                <w:color w:val="auto"/>
                <w:spacing w:val="-6"/>
                <w:sz w:val="21"/>
                <w:szCs w:val="21"/>
                <w:highlight w:val="none"/>
              </w:rPr>
            </w:pPr>
            <w:r>
              <w:rPr>
                <w:rFonts w:hint="eastAsia"/>
                <w:b/>
                <w:bCs/>
                <w:color w:val="auto"/>
                <w:spacing w:val="-6"/>
                <w:sz w:val="21"/>
                <w:szCs w:val="21"/>
                <w:highlight w:val="none"/>
              </w:rPr>
              <w:t>10</w:t>
            </w:r>
          </w:p>
        </w:tc>
        <w:tc>
          <w:tcPr>
            <w:tcW w:w="7087" w:type="dxa"/>
            <w:tcBorders>
              <w:top w:val="single" w:color="auto" w:sz="4" w:space="0"/>
              <w:left w:val="single" w:color="auto" w:sz="4" w:space="0"/>
              <w:bottom w:val="single" w:color="auto" w:sz="4" w:space="0"/>
              <w:right w:val="single" w:color="auto" w:sz="4" w:space="0"/>
            </w:tcBorders>
            <w:vAlign w:val="center"/>
          </w:tcPr>
          <w:p>
            <w:pPr>
              <w:pStyle w:val="9"/>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价格分采用低价优先法计算，即满足磋商文件要求且磋商响应报价最低的报价为磋商基准价，其他磋商响应供应商的价格分按照下列公式计算：</w:t>
            </w:r>
          </w:p>
          <w:p>
            <w:pPr>
              <w:rPr>
                <w:color w:val="auto"/>
                <w:spacing w:val="-6"/>
                <w:sz w:val="21"/>
                <w:szCs w:val="21"/>
                <w:highlight w:val="none"/>
              </w:rPr>
            </w:pPr>
            <w:r>
              <w:rPr>
                <w:rFonts w:hint="eastAsia"/>
                <w:color w:val="auto"/>
                <w:spacing w:val="-6"/>
                <w:sz w:val="21"/>
                <w:szCs w:val="21"/>
                <w:highlight w:val="none"/>
              </w:rPr>
              <w:t>价格分=（磋商基准价/磋商响应报价）×10%×100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37"/>
              <w:spacing w:line="240" w:lineRule="auto"/>
              <w:jc w:val="both"/>
              <w:rPr>
                <w:rFonts w:hint="default" w:ascii="宋体" w:eastAsia="宋体"/>
                <w:b/>
                <w:color w:val="auto"/>
                <w:spacing w:val="-6"/>
                <w:sz w:val="21"/>
                <w:szCs w:val="21"/>
                <w:highlight w:val="none"/>
              </w:rPr>
            </w:pPr>
            <w:r>
              <w:rPr>
                <w:rFonts w:ascii="宋体" w:eastAsia="宋体"/>
                <w:b/>
                <w:color w:val="auto"/>
                <w:spacing w:val="-6"/>
                <w:sz w:val="21"/>
                <w:szCs w:val="21"/>
                <w:highlight w:val="none"/>
              </w:rPr>
              <w:t>商务分（3分）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z w:val="21"/>
                <w:szCs w:val="21"/>
                <w:highlight w:val="none"/>
              </w:rPr>
              <w:t>体系认证</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2</w:t>
            </w:r>
          </w:p>
        </w:tc>
        <w:tc>
          <w:tcPr>
            <w:tcW w:w="7087" w:type="dxa"/>
            <w:vAlign w:val="center"/>
          </w:tcPr>
          <w:p>
            <w:pPr>
              <w:rPr>
                <w:color w:val="auto"/>
                <w:spacing w:val="-6"/>
                <w:sz w:val="21"/>
                <w:szCs w:val="21"/>
                <w:highlight w:val="none"/>
              </w:rPr>
            </w:pPr>
            <w:r>
              <w:rPr>
                <w:rFonts w:hint="eastAsia"/>
                <w:color w:val="auto"/>
                <w:sz w:val="21"/>
                <w:szCs w:val="21"/>
                <w:highlight w:val="none"/>
              </w:rPr>
              <w:t>供应商具有有效的质量管理体系认证证书的得2分（响应文件中提供复印件，不提供不得分，原件备查）。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pacing w:val="-6"/>
                <w:sz w:val="21"/>
                <w:szCs w:val="21"/>
                <w:highlight w:val="none"/>
              </w:rPr>
            </w:pPr>
            <w:r>
              <w:rPr>
                <w:rFonts w:hint="eastAsia"/>
                <w:b/>
                <w:bCs/>
                <w:color w:val="auto"/>
                <w:sz w:val="21"/>
                <w:szCs w:val="21"/>
                <w:highlight w:val="none"/>
              </w:rPr>
              <w:t>业绩</w:t>
            </w:r>
          </w:p>
        </w:tc>
        <w:tc>
          <w:tcPr>
            <w:tcW w:w="709" w:type="dxa"/>
            <w:vAlign w:val="center"/>
          </w:tcPr>
          <w:p>
            <w:pPr>
              <w:jc w:val="center"/>
              <w:rPr>
                <w:b/>
                <w:bCs/>
                <w:color w:val="auto"/>
                <w:spacing w:val="-6"/>
                <w:sz w:val="21"/>
                <w:szCs w:val="21"/>
                <w:highlight w:val="none"/>
              </w:rPr>
            </w:pPr>
            <w:r>
              <w:rPr>
                <w:rFonts w:hint="eastAsia"/>
                <w:b/>
                <w:bCs/>
                <w:color w:val="auto"/>
                <w:sz w:val="21"/>
                <w:szCs w:val="21"/>
                <w:highlight w:val="none"/>
              </w:rPr>
              <w:t>1</w:t>
            </w:r>
          </w:p>
        </w:tc>
        <w:tc>
          <w:tcPr>
            <w:tcW w:w="7087" w:type="dxa"/>
            <w:vAlign w:val="center"/>
          </w:tcPr>
          <w:p>
            <w:pPr>
              <w:rPr>
                <w:color w:val="auto"/>
                <w:spacing w:val="-6"/>
                <w:sz w:val="21"/>
                <w:szCs w:val="21"/>
                <w:highlight w:val="none"/>
              </w:rPr>
            </w:pPr>
            <w:r>
              <w:rPr>
                <w:rFonts w:hint="eastAsia"/>
                <w:color w:val="auto"/>
                <w:sz w:val="21"/>
                <w:szCs w:val="21"/>
                <w:highlight w:val="none"/>
              </w:rPr>
              <w:t>供应商自2019年1月1日以来（以合同签订时间为准）同类项目业绩（以提供的合同复印件为准）：每提供1份合同业绩得0.5分，最高得1分。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vAlign w:val="center"/>
          </w:tcPr>
          <w:p>
            <w:pPr>
              <w:pStyle w:val="9"/>
              <w:spacing w:line="240" w:lineRule="auto"/>
              <w:ind w:firstLine="0"/>
              <w:rPr>
                <w:rFonts w:hAnsi="宋体"/>
                <w:color w:val="auto"/>
                <w:spacing w:val="-6"/>
                <w:sz w:val="21"/>
                <w:szCs w:val="21"/>
                <w:highlight w:val="none"/>
              </w:rPr>
            </w:pPr>
            <w:r>
              <w:rPr>
                <w:rFonts w:hint="eastAsia" w:hAnsi="宋体"/>
                <w:b/>
                <w:color w:val="auto"/>
                <w:spacing w:val="-6"/>
                <w:sz w:val="21"/>
                <w:szCs w:val="21"/>
                <w:highlight w:val="none"/>
              </w:rPr>
              <w:t>技术分</w:t>
            </w:r>
            <w:r>
              <w:rPr>
                <w:rFonts w:hAnsi="宋体"/>
                <w:b/>
                <w:color w:val="auto"/>
                <w:spacing w:val="-6"/>
                <w:sz w:val="21"/>
                <w:szCs w:val="21"/>
                <w:highlight w:val="none"/>
              </w:rPr>
              <w:t>（</w:t>
            </w:r>
            <w:r>
              <w:rPr>
                <w:rFonts w:hint="eastAsia" w:hAnsi="宋体"/>
                <w:b/>
                <w:color w:val="auto"/>
                <w:spacing w:val="-6"/>
                <w:sz w:val="21"/>
                <w:szCs w:val="21"/>
                <w:highlight w:val="none"/>
              </w:rPr>
              <w:t>87</w:t>
            </w:r>
            <w:r>
              <w:rPr>
                <w:rFonts w:hAnsi="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spacing w:line="288" w:lineRule="auto"/>
              <w:jc w:val="center"/>
              <w:rPr>
                <w:color w:val="auto"/>
                <w:spacing w:val="-6"/>
                <w:sz w:val="21"/>
                <w:szCs w:val="21"/>
                <w:highlight w:val="none"/>
              </w:rPr>
            </w:pPr>
            <w:r>
              <w:rPr>
                <w:rFonts w:hint="eastAsia"/>
                <w:b/>
                <w:bCs/>
                <w:color w:val="auto"/>
                <w:sz w:val="21"/>
                <w:szCs w:val="21"/>
                <w:highlight w:val="none"/>
              </w:rPr>
              <w:t>技术响应程度</w:t>
            </w:r>
          </w:p>
        </w:tc>
        <w:tc>
          <w:tcPr>
            <w:tcW w:w="709"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7</w:t>
            </w:r>
          </w:p>
        </w:tc>
        <w:tc>
          <w:tcPr>
            <w:tcW w:w="7087"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不符合（负偏离）技术要求中标注“▲”条款（不可偏离）的响应无效；</w:t>
            </w:r>
          </w:p>
          <w:p>
            <w:pPr>
              <w:adjustRightInd w:val="0"/>
              <w:snapToGrid w:val="0"/>
              <w:spacing w:line="288" w:lineRule="auto"/>
              <w:rPr>
                <w:color w:val="auto"/>
                <w:sz w:val="21"/>
                <w:szCs w:val="21"/>
                <w:highlight w:val="none"/>
              </w:rPr>
            </w:pPr>
            <w:r>
              <w:rPr>
                <w:rFonts w:hint="eastAsia"/>
                <w:color w:val="auto"/>
                <w:sz w:val="21"/>
                <w:szCs w:val="21"/>
                <w:highlight w:val="none"/>
              </w:rPr>
              <w:t>满足磋商文件明确的全部技术条款要求的</w:t>
            </w:r>
            <w:r>
              <w:rPr>
                <w:rFonts w:hint="eastAsia" w:cs="Times New Roman"/>
                <w:color w:val="auto"/>
                <w:sz w:val="21"/>
                <w:szCs w:val="21"/>
                <w:highlight w:val="none"/>
              </w:rPr>
              <w:t>该项得满分</w:t>
            </w:r>
            <w:r>
              <w:rPr>
                <w:rFonts w:hint="eastAsia"/>
                <w:color w:val="auto"/>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t>技术条款低于技术要求（负偏离）的每项扣1分；</w:t>
            </w:r>
          </w:p>
          <w:p>
            <w:pPr>
              <w:adjustRightInd w:val="0"/>
              <w:snapToGrid w:val="0"/>
              <w:spacing w:line="288" w:lineRule="auto"/>
              <w:rPr>
                <w:color w:val="auto"/>
                <w:sz w:val="21"/>
                <w:szCs w:val="21"/>
                <w:highlight w:val="none"/>
              </w:rPr>
            </w:pPr>
            <w:r>
              <w:rPr>
                <w:rFonts w:hint="eastAsia"/>
                <w:color w:val="auto"/>
                <w:sz w:val="21"/>
                <w:szCs w:val="21"/>
                <w:highlight w:val="none"/>
              </w:rPr>
              <w:t>负偏离8项及以上的响应无效。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rFonts w:hint="default"/>
                <w:b/>
                <w:bCs/>
                <w:color w:val="auto"/>
                <w:spacing w:val="-6"/>
                <w:sz w:val="21"/>
                <w:szCs w:val="21"/>
                <w:highlight w:val="none"/>
                <w:lang w:val="en-US"/>
              </w:rPr>
            </w:pPr>
            <w:r>
              <w:rPr>
                <w:rFonts w:hint="eastAsia"/>
                <w:b/>
                <w:bCs/>
                <w:color w:val="auto"/>
                <w:spacing w:val="-6"/>
                <w:sz w:val="21"/>
                <w:szCs w:val="21"/>
                <w:highlight w:val="none"/>
                <w:lang w:val="en-US" w:eastAsia="zh-CN"/>
              </w:rPr>
              <w:t>服务方案</w:t>
            </w:r>
          </w:p>
        </w:tc>
        <w:tc>
          <w:tcPr>
            <w:tcW w:w="709" w:type="dxa"/>
            <w:vAlign w:val="center"/>
          </w:tcPr>
          <w:p>
            <w:pPr>
              <w:jc w:val="center"/>
              <w:rPr>
                <w:b/>
                <w:bCs/>
                <w:color w:val="auto"/>
                <w:spacing w:val="-6"/>
                <w:sz w:val="21"/>
                <w:szCs w:val="21"/>
                <w:highlight w:val="none"/>
              </w:rPr>
            </w:pPr>
            <w:r>
              <w:rPr>
                <w:b/>
                <w:bCs/>
                <w:color w:val="auto"/>
                <w:spacing w:val="-6"/>
                <w:sz w:val="21"/>
                <w:szCs w:val="21"/>
                <w:highlight w:val="none"/>
              </w:rPr>
              <w:t>5</w:t>
            </w:r>
          </w:p>
        </w:tc>
        <w:tc>
          <w:tcPr>
            <w:tcW w:w="7087" w:type="dxa"/>
            <w:vAlign w:val="center"/>
          </w:tcPr>
          <w:p>
            <w:pPr>
              <w:rPr>
                <w:color w:val="auto"/>
                <w:sz w:val="21"/>
                <w:szCs w:val="21"/>
                <w:highlight w:val="none"/>
              </w:rPr>
            </w:pPr>
            <w:r>
              <w:rPr>
                <w:rFonts w:hint="eastAsia"/>
                <w:color w:val="auto"/>
                <w:sz w:val="21"/>
                <w:szCs w:val="21"/>
                <w:highlight w:val="none"/>
                <w:lang w:eastAsia="zh-CN"/>
              </w:rPr>
              <w:t>公共媒体推广</w:t>
            </w:r>
            <w:r>
              <w:rPr>
                <w:rFonts w:hint="eastAsia"/>
                <w:color w:val="auto"/>
                <w:sz w:val="21"/>
                <w:szCs w:val="21"/>
                <w:highlight w:val="none"/>
              </w:rPr>
              <w:t>的合理性、可行性及与</w:t>
            </w:r>
            <w:r>
              <w:rPr>
                <w:rFonts w:hint="eastAsia"/>
                <w:color w:val="auto"/>
                <w:spacing w:val="-6"/>
                <w:sz w:val="21"/>
                <w:szCs w:val="21"/>
                <w:highlight w:val="none"/>
              </w:rPr>
              <w:t>青艺周主题的契合度。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rFonts w:hint="eastAsia"/>
                <w:b/>
                <w:bCs/>
                <w:color w:val="auto"/>
                <w:spacing w:val="-6"/>
                <w:sz w:val="21"/>
                <w:szCs w:val="21"/>
                <w:highlight w:val="none"/>
                <w:lang w:eastAsia="zh-CN"/>
              </w:rPr>
            </w:pPr>
          </w:p>
        </w:tc>
        <w:tc>
          <w:tcPr>
            <w:tcW w:w="709" w:type="dxa"/>
            <w:vAlign w:val="center"/>
          </w:tcPr>
          <w:p>
            <w:pPr>
              <w:jc w:val="center"/>
              <w:rPr>
                <w:rFonts w:hint="eastAsia" w:eastAsia="宋体"/>
                <w:b/>
                <w:bCs/>
                <w:color w:val="auto"/>
                <w:spacing w:val="-6"/>
                <w:sz w:val="21"/>
                <w:szCs w:val="21"/>
                <w:highlight w:val="none"/>
                <w:lang w:val="en-US" w:eastAsia="zh-CN"/>
              </w:rPr>
            </w:pPr>
            <w:r>
              <w:rPr>
                <w:rFonts w:hint="eastAsia"/>
                <w:b/>
                <w:bCs/>
                <w:color w:val="auto"/>
                <w:spacing w:val="-6"/>
                <w:sz w:val="21"/>
                <w:szCs w:val="21"/>
                <w:highlight w:val="none"/>
                <w:lang w:val="en-US" w:eastAsia="zh-CN"/>
              </w:rPr>
              <w:t>5</w:t>
            </w:r>
          </w:p>
        </w:tc>
        <w:tc>
          <w:tcPr>
            <w:tcW w:w="7087" w:type="dxa"/>
            <w:vAlign w:val="center"/>
          </w:tcPr>
          <w:p>
            <w:pPr>
              <w:rPr>
                <w:rFonts w:hint="eastAsia"/>
                <w:color w:val="auto"/>
                <w:spacing w:val="-6"/>
                <w:sz w:val="21"/>
                <w:szCs w:val="21"/>
                <w:highlight w:val="none"/>
              </w:rPr>
            </w:pPr>
            <w:r>
              <w:rPr>
                <w:rFonts w:hint="eastAsia" w:eastAsia="宋体"/>
                <w:b w:val="0"/>
                <w:bCs w:val="0"/>
                <w:color w:val="auto"/>
                <w:spacing w:val="-6"/>
                <w:sz w:val="21"/>
                <w:szCs w:val="21"/>
                <w:highlight w:val="none"/>
                <w:lang w:eastAsia="zh-CN"/>
              </w:rPr>
              <w:t>公共媒体活动</w:t>
            </w:r>
            <w:r>
              <w:rPr>
                <w:rFonts w:hint="eastAsia"/>
                <w:color w:val="auto"/>
                <w:sz w:val="21"/>
                <w:szCs w:val="21"/>
                <w:highlight w:val="none"/>
              </w:rPr>
              <w:t>的合理性、可行性及与</w:t>
            </w:r>
            <w:r>
              <w:rPr>
                <w:rFonts w:hint="eastAsia"/>
                <w:color w:val="auto"/>
                <w:spacing w:val="-6"/>
                <w:sz w:val="21"/>
                <w:szCs w:val="21"/>
                <w:highlight w:val="none"/>
              </w:rPr>
              <w:t>青艺周主题的契合度。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rFonts w:hint="eastAsia"/>
                <w:b/>
                <w:bCs/>
                <w:color w:val="auto"/>
                <w:spacing w:val="-6"/>
                <w:sz w:val="21"/>
                <w:szCs w:val="21"/>
                <w:highlight w:val="none"/>
                <w:lang w:eastAsia="zh-CN"/>
              </w:rPr>
            </w:pPr>
          </w:p>
        </w:tc>
        <w:tc>
          <w:tcPr>
            <w:tcW w:w="709" w:type="dxa"/>
            <w:vAlign w:val="center"/>
          </w:tcPr>
          <w:p>
            <w:pPr>
              <w:jc w:val="center"/>
              <w:rPr>
                <w:rFonts w:hint="default"/>
                <w:b/>
                <w:bCs/>
                <w:color w:val="auto"/>
                <w:spacing w:val="-6"/>
                <w:sz w:val="21"/>
                <w:szCs w:val="21"/>
                <w:highlight w:val="none"/>
                <w:lang w:val="en-US" w:eastAsia="zh-CN"/>
              </w:rPr>
            </w:pPr>
            <w:r>
              <w:rPr>
                <w:rFonts w:hint="eastAsia"/>
                <w:b/>
                <w:bCs/>
                <w:color w:val="auto"/>
                <w:spacing w:val="-6"/>
                <w:sz w:val="21"/>
                <w:szCs w:val="21"/>
                <w:highlight w:val="none"/>
                <w:lang w:val="en-US" w:eastAsia="zh-CN"/>
              </w:rPr>
              <w:t>5</w:t>
            </w:r>
          </w:p>
        </w:tc>
        <w:tc>
          <w:tcPr>
            <w:tcW w:w="7087" w:type="dxa"/>
            <w:vAlign w:val="center"/>
          </w:tcPr>
          <w:p>
            <w:pPr>
              <w:rPr>
                <w:rFonts w:hint="default" w:eastAsia="宋体"/>
                <w:b w:val="0"/>
                <w:bCs w:val="0"/>
                <w:color w:val="auto"/>
                <w:spacing w:val="-6"/>
                <w:sz w:val="21"/>
                <w:szCs w:val="21"/>
                <w:highlight w:val="none"/>
                <w:lang w:val="en-US" w:eastAsia="zh-CN"/>
              </w:rPr>
            </w:pPr>
            <w:r>
              <w:rPr>
                <w:rFonts w:hint="eastAsia" w:eastAsia="宋体"/>
                <w:b w:val="0"/>
                <w:bCs w:val="0"/>
                <w:color w:val="auto"/>
                <w:spacing w:val="-6"/>
                <w:sz w:val="21"/>
                <w:szCs w:val="21"/>
                <w:highlight w:val="none"/>
                <w:lang w:eastAsia="zh-CN"/>
              </w:rPr>
              <w:t>公交车媒体定制</w:t>
            </w:r>
            <w:r>
              <w:rPr>
                <w:rFonts w:hint="eastAsia"/>
                <w:b w:val="0"/>
                <w:bCs w:val="0"/>
                <w:color w:val="auto"/>
                <w:spacing w:val="-6"/>
                <w:sz w:val="21"/>
                <w:szCs w:val="21"/>
                <w:highlight w:val="none"/>
                <w:lang w:val="en-US" w:eastAsia="zh-CN"/>
              </w:rPr>
              <w:t>线路的实施和落地方案。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rFonts w:hint="eastAsia"/>
                <w:b/>
                <w:bCs/>
                <w:color w:val="auto"/>
                <w:spacing w:val="-6"/>
                <w:sz w:val="21"/>
                <w:szCs w:val="21"/>
                <w:highlight w:val="none"/>
                <w:lang w:eastAsia="zh-CN"/>
              </w:rPr>
            </w:pPr>
          </w:p>
        </w:tc>
        <w:tc>
          <w:tcPr>
            <w:tcW w:w="709" w:type="dxa"/>
            <w:vAlign w:val="center"/>
          </w:tcPr>
          <w:p>
            <w:pPr>
              <w:jc w:val="center"/>
              <w:rPr>
                <w:rFonts w:hint="default"/>
                <w:b/>
                <w:bCs/>
                <w:color w:val="auto"/>
                <w:spacing w:val="-6"/>
                <w:sz w:val="21"/>
                <w:szCs w:val="21"/>
                <w:highlight w:val="none"/>
                <w:lang w:val="en-US" w:eastAsia="zh-CN"/>
              </w:rPr>
            </w:pPr>
            <w:r>
              <w:rPr>
                <w:rFonts w:hint="eastAsia"/>
                <w:b/>
                <w:bCs/>
                <w:color w:val="auto"/>
                <w:spacing w:val="-6"/>
                <w:sz w:val="21"/>
                <w:szCs w:val="21"/>
                <w:highlight w:val="none"/>
                <w:lang w:val="en-US" w:eastAsia="zh-CN"/>
              </w:rPr>
              <w:t>5</w:t>
            </w:r>
          </w:p>
        </w:tc>
        <w:tc>
          <w:tcPr>
            <w:tcW w:w="7087" w:type="dxa"/>
            <w:vAlign w:val="center"/>
          </w:tcPr>
          <w:p>
            <w:pPr>
              <w:rPr>
                <w:rFonts w:hint="default" w:eastAsia="宋体"/>
                <w:b w:val="0"/>
                <w:bCs w:val="0"/>
                <w:color w:val="auto"/>
                <w:spacing w:val="-6"/>
                <w:sz w:val="21"/>
                <w:szCs w:val="21"/>
                <w:highlight w:val="none"/>
                <w:lang w:val="en-US" w:eastAsia="zh-CN"/>
              </w:rPr>
            </w:pPr>
            <w:r>
              <w:rPr>
                <w:rFonts w:hint="eastAsia" w:eastAsia="宋体"/>
                <w:b w:val="0"/>
                <w:bCs w:val="0"/>
                <w:color w:val="auto"/>
                <w:spacing w:val="-6"/>
                <w:sz w:val="21"/>
                <w:szCs w:val="21"/>
                <w:highlight w:val="none"/>
                <w:lang w:eastAsia="zh-CN"/>
              </w:rPr>
              <w:t>个人号直播、视频推广</w:t>
            </w:r>
            <w:r>
              <w:rPr>
                <w:rFonts w:hint="eastAsia"/>
                <w:b w:val="0"/>
                <w:bCs w:val="0"/>
                <w:color w:val="auto"/>
                <w:spacing w:val="-6"/>
                <w:sz w:val="21"/>
                <w:szCs w:val="21"/>
                <w:highlight w:val="none"/>
                <w:lang w:val="en-US" w:eastAsia="zh-CN"/>
              </w:rPr>
              <w:t>方案的实施和落地。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rFonts w:hint="eastAsia" w:ascii="宋体" w:hAnsi="宋体" w:eastAsia="宋体" w:cs="宋体"/>
                <w:b/>
                <w:bCs/>
                <w:color w:val="auto"/>
                <w:spacing w:val="-6"/>
                <w:kern w:val="2"/>
                <w:sz w:val="21"/>
                <w:szCs w:val="21"/>
                <w:highlight w:val="none"/>
                <w:lang w:val="en-US" w:eastAsia="zh-CN" w:bidi="ar-SA"/>
              </w:rPr>
            </w:pPr>
            <w:r>
              <w:rPr>
                <w:rFonts w:hint="eastAsia"/>
                <w:b/>
                <w:bCs/>
                <w:color w:val="auto"/>
                <w:spacing w:val="-6"/>
                <w:sz w:val="21"/>
                <w:szCs w:val="21"/>
                <w:highlight w:val="none"/>
                <w:lang w:val="en-US" w:eastAsia="zh-CN"/>
              </w:rPr>
              <w:t>15</w:t>
            </w:r>
          </w:p>
        </w:tc>
        <w:tc>
          <w:tcPr>
            <w:tcW w:w="7087" w:type="dxa"/>
            <w:vAlign w:val="center"/>
          </w:tcPr>
          <w:p>
            <w:pPr>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根据采购人项目类型针对性服务方案是否专业、切实可行、高效务实，其中服务项目和标准（5分），工作方法（5分），现场组织安排等（5分）。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vAlign w:val="center"/>
          </w:tcPr>
          <w:p>
            <w:pPr>
              <w:jc w:val="center"/>
              <w:rPr>
                <w:b/>
                <w:bCs/>
                <w:color w:val="auto"/>
                <w:spacing w:val="-6"/>
                <w:sz w:val="21"/>
                <w:szCs w:val="21"/>
                <w:highlight w:val="none"/>
              </w:rPr>
            </w:pPr>
            <w:r>
              <w:rPr>
                <w:rFonts w:hint="eastAsia"/>
                <w:b/>
                <w:bCs/>
                <w:color w:val="auto"/>
                <w:spacing w:val="-6"/>
                <w:sz w:val="21"/>
                <w:szCs w:val="21"/>
                <w:highlight w:val="none"/>
              </w:rPr>
              <w:t>设计及制作</w:t>
            </w: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rFonts w:hint="eastAsia" w:eastAsia="宋体"/>
                <w:color w:val="auto"/>
                <w:spacing w:val="-6"/>
                <w:sz w:val="21"/>
                <w:szCs w:val="21"/>
                <w:highlight w:val="none"/>
                <w:lang w:eastAsia="zh-CN"/>
              </w:rPr>
            </w:pPr>
            <w:r>
              <w:rPr>
                <w:rFonts w:hint="eastAsia"/>
                <w:color w:val="auto"/>
                <w:sz w:val="21"/>
                <w:szCs w:val="21"/>
                <w:highlight w:val="none"/>
              </w:rPr>
              <w:t>地铁沿线媒体设计新颖、独特创新、符合本次国际青年艺术周主题等</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rFonts w:hint="eastAsia" w:eastAsia="宋体"/>
                <w:color w:val="auto"/>
                <w:spacing w:val="-6"/>
                <w:sz w:val="21"/>
                <w:szCs w:val="21"/>
                <w:highlight w:val="none"/>
                <w:lang w:eastAsia="zh-CN"/>
              </w:rPr>
            </w:pPr>
            <w:r>
              <w:rPr>
                <w:rFonts w:hint="eastAsia"/>
                <w:color w:val="auto"/>
                <w:sz w:val="21"/>
                <w:szCs w:val="21"/>
                <w:highlight w:val="none"/>
              </w:rPr>
              <w:t>地铁沿线媒体物料等物品制作是否精美、优质</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vAlign w:val="center"/>
          </w:tcPr>
          <w:p>
            <w:pPr>
              <w:jc w:val="center"/>
              <w:rPr>
                <w:b/>
                <w:bCs/>
                <w:color w:val="auto"/>
                <w:spacing w:val="-6"/>
                <w:sz w:val="21"/>
                <w:szCs w:val="21"/>
                <w:highlight w:val="none"/>
              </w:rPr>
            </w:pPr>
          </w:p>
        </w:tc>
        <w:tc>
          <w:tcPr>
            <w:tcW w:w="709" w:type="dxa"/>
            <w:vAlign w:val="center"/>
          </w:tcPr>
          <w:p>
            <w:pPr>
              <w:jc w:val="center"/>
              <w:rPr>
                <w:b/>
                <w:bCs/>
                <w:color w:val="auto"/>
                <w:spacing w:val="-6"/>
                <w:sz w:val="21"/>
                <w:szCs w:val="21"/>
                <w:highlight w:val="none"/>
              </w:rPr>
            </w:pPr>
            <w:r>
              <w:rPr>
                <w:rFonts w:hint="eastAsia"/>
                <w:b/>
                <w:bCs/>
                <w:color w:val="auto"/>
                <w:spacing w:val="-6"/>
                <w:sz w:val="21"/>
                <w:szCs w:val="21"/>
                <w:highlight w:val="none"/>
              </w:rPr>
              <w:t>5</w:t>
            </w:r>
          </w:p>
        </w:tc>
        <w:tc>
          <w:tcPr>
            <w:tcW w:w="7087" w:type="dxa"/>
            <w:vAlign w:val="center"/>
          </w:tcPr>
          <w:p>
            <w:pPr>
              <w:rPr>
                <w:rFonts w:hint="default" w:eastAsia="宋体"/>
                <w:color w:val="auto"/>
                <w:sz w:val="21"/>
                <w:szCs w:val="21"/>
                <w:highlight w:val="none"/>
                <w:lang w:val="en-US" w:eastAsia="zh-CN"/>
              </w:rPr>
            </w:pPr>
            <w:r>
              <w:rPr>
                <w:rFonts w:hint="eastAsia"/>
                <w:color w:val="auto"/>
                <w:sz w:val="21"/>
                <w:szCs w:val="21"/>
                <w:highlight w:val="none"/>
              </w:rPr>
              <w:t>地铁沿线媒体物料</w:t>
            </w:r>
            <w:r>
              <w:rPr>
                <w:rFonts w:hint="eastAsia"/>
                <w:color w:val="auto"/>
                <w:sz w:val="21"/>
                <w:szCs w:val="21"/>
                <w:highlight w:val="none"/>
                <w:lang w:val="en-US" w:eastAsia="zh-CN"/>
              </w:rPr>
              <w:t>到位安装情况，保障物料完整措施等。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运维服务</w:t>
            </w:r>
          </w:p>
        </w:tc>
        <w:tc>
          <w:tcPr>
            <w:tcW w:w="709" w:type="dxa"/>
            <w:vAlign w:val="center"/>
          </w:tcPr>
          <w:p>
            <w:pPr>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7087" w:type="dxa"/>
            <w:vAlign w:val="center"/>
          </w:tcPr>
          <w:p>
            <w:pPr>
              <w:rPr>
                <w:rFonts w:hint="eastAsia" w:ascii="宋体" w:hAnsi="宋体" w:eastAsia="宋体" w:cs="宋体"/>
                <w:color w:val="auto"/>
                <w:kern w:val="2"/>
                <w:sz w:val="21"/>
                <w:szCs w:val="21"/>
                <w:highlight w:val="none"/>
                <w:lang w:val="en-US" w:eastAsia="zh-CN" w:bidi="ar-SA"/>
              </w:rPr>
            </w:pPr>
            <w:r>
              <w:rPr>
                <w:rFonts w:hint="eastAsia"/>
                <w:bCs/>
                <w:color w:val="auto"/>
                <w:spacing w:val="-6"/>
                <w:sz w:val="21"/>
                <w:szCs w:val="21"/>
                <w:highlight w:val="none"/>
              </w:rPr>
              <w:t>供应商</w:t>
            </w:r>
            <w:r>
              <w:rPr>
                <w:rFonts w:hint="eastAsia"/>
                <w:color w:val="auto"/>
                <w:sz w:val="21"/>
                <w:szCs w:val="21"/>
                <w:highlight w:val="none"/>
              </w:rPr>
              <w:t>的运维服务力量及技术支持情况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应急及安全保障等</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应急方案、安全保障（包括但不限于应急管理组织机构及保障活动参与人员人身与财物安全的措施等)，其中应急方案（5分），安全保障措施（5分）。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jc w:val="center"/>
              <w:rPr>
                <w:b/>
                <w:bCs/>
                <w:color w:val="auto"/>
                <w:sz w:val="21"/>
                <w:szCs w:val="21"/>
                <w:highlight w:val="none"/>
              </w:rPr>
            </w:pPr>
            <w:r>
              <w:rPr>
                <w:rFonts w:hint="eastAsia"/>
                <w:b/>
                <w:bCs/>
                <w:color w:val="auto"/>
                <w:sz w:val="21"/>
                <w:szCs w:val="21"/>
                <w:highlight w:val="none"/>
              </w:rPr>
              <w:t>拟投入人员</w:t>
            </w:r>
          </w:p>
        </w:tc>
        <w:tc>
          <w:tcPr>
            <w:tcW w:w="709" w:type="dxa"/>
            <w:vAlign w:val="center"/>
          </w:tcPr>
          <w:p>
            <w:pPr>
              <w:jc w:val="center"/>
              <w:rPr>
                <w:b/>
                <w:bCs/>
                <w:color w:val="auto"/>
                <w:sz w:val="21"/>
                <w:szCs w:val="21"/>
                <w:highlight w:val="none"/>
              </w:rPr>
            </w:pPr>
            <w:r>
              <w:rPr>
                <w:rFonts w:hint="eastAsia"/>
                <w:b/>
                <w:bCs/>
                <w:color w:val="auto"/>
                <w:sz w:val="21"/>
                <w:szCs w:val="21"/>
                <w:highlight w:val="none"/>
              </w:rPr>
              <w:t>10</w:t>
            </w:r>
          </w:p>
        </w:tc>
        <w:tc>
          <w:tcPr>
            <w:tcW w:w="7087" w:type="dxa"/>
            <w:vAlign w:val="center"/>
          </w:tcPr>
          <w:p>
            <w:pPr>
              <w:rPr>
                <w:color w:val="auto"/>
                <w:sz w:val="21"/>
                <w:szCs w:val="21"/>
                <w:highlight w:val="none"/>
              </w:rPr>
            </w:pPr>
            <w:r>
              <w:rPr>
                <w:rFonts w:hint="eastAsia"/>
                <w:color w:val="auto"/>
                <w:sz w:val="21"/>
                <w:szCs w:val="21"/>
                <w:highlight w:val="none"/>
              </w:rPr>
              <w:t>项目负责人的经验、资历、资质情况（5分）。</w:t>
            </w:r>
          </w:p>
          <w:p>
            <w:pPr>
              <w:rPr>
                <w:color w:val="auto"/>
                <w:sz w:val="21"/>
                <w:szCs w:val="21"/>
                <w:highlight w:val="none"/>
              </w:rPr>
            </w:pPr>
            <w:r>
              <w:rPr>
                <w:rFonts w:hint="eastAsia"/>
                <w:color w:val="auto"/>
                <w:sz w:val="21"/>
                <w:szCs w:val="21"/>
                <w:highlight w:val="none"/>
              </w:rPr>
              <w:t>项目组人员的配备是否合理、有无类似经验、资质情况等（5分）。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合理化建议和改进措施</w:t>
            </w:r>
          </w:p>
        </w:tc>
        <w:tc>
          <w:tcPr>
            <w:tcW w:w="709"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5</w:t>
            </w:r>
          </w:p>
        </w:tc>
        <w:tc>
          <w:tcPr>
            <w:tcW w:w="7087" w:type="dxa"/>
            <w:vAlign w:val="center"/>
          </w:tcPr>
          <w:p>
            <w:pPr>
              <w:adjustRightInd w:val="0"/>
              <w:snapToGrid w:val="0"/>
              <w:rPr>
                <w:color w:val="auto"/>
                <w:sz w:val="21"/>
                <w:szCs w:val="21"/>
                <w:highlight w:val="none"/>
              </w:rPr>
            </w:pPr>
            <w:r>
              <w:rPr>
                <w:rFonts w:hint="eastAsia"/>
                <w:color w:val="auto"/>
                <w:sz w:val="21"/>
                <w:szCs w:val="21"/>
                <w:highlight w:val="none"/>
              </w:rPr>
              <w:t>根据</w:t>
            </w:r>
            <w:r>
              <w:rPr>
                <w:rFonts w:hint="eastAsia"/>
                <w:bCs/>
                <w:color w:val="auto"/>
                <w:spacing w:val="-6"/>
                <w:sz w:val="21"/>
                <w:szCs w:val="21"/>
                <w:highlight w:val="none"/>
              </w:rPr>
              <w:t>供应商</w:t>
            </w:r>
            <w:r>
              <w:rPr>
                <w:rFonts w:hint="eastAsia"/>
                <w:color w:val="auto"/>
                <w:sz w:val="21"/>
                <w:szCs w:val="21"/>
                <w:highlight w:val="none"/>
              </w:rPr>
              <w:t>对本项目的合理化建议和改进措施的合理性，可行性。</w:t>
            </w:r>
          </w:p>
        </w:tc>
      </w:tr>
    </w:tbl>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bookmarkEnd w:id="38"/>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2022年青艺周公共媒体推广、活动</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QSZB-Z(F)-C22128(CS)</w:t>
      </w:r>
      <w:r>
        <w:rPr>
          <w:rFonts w:hint="eastAsia" w:cs="Times New Roman"/>
          <w:b/>
          <w:bCs/>
          <w:color w:val="auto"/>
          <w:spacing w:val="-6"/>
          <w:sz w:val="21"/>
          <w:szCs w:val="21"/>
          <w:highlight w:val="none"/>
        </w:rPr>
        <w:t xml:space="preserve">  </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采购计划文号：</w:t>
      </w:r>
      <w:r>
        <w:rPr>
          <w:rFonts w:hint="eastAsia" w:cs="Times New Roman"/>
          <w:b/>
          <w:bCs/>
          <w:color w:val="auto"/>
          <w:spacing w:val="-6"/>
          <w:sz w:val="21"/>
          <w:szCs w:val="21"/>
          <w:highlight w:val="none"/>
          <w:lang w:eastAsia="zh-CN"/>
        </w:rPr>
        <w:t>[2022]26701号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spacing w:line="300" w:lineRule="auto"/>
        <w:ind w:firstLine="420" w:firstLineChars="200"/>
        <w:rPr>
          <w:color w:val="auto"/>
          <w:sz w:val="21"/>
          <w:szCs w:val="21"/>
          <w:highlight w:val="none"/>
        </w:rPr>
      </w:pPr>
      <w:r>
        <w:rPr>
          <w:rFonts w:hint="eastAsia"/>
          <w:color w:val="auto"/>
          <w:sz w:val="21"/>
          <w:szCs w:val="21"/>
          <w:highlight w:val="none"/>
        </w:rPr>
        <w:t>经采购代理机构对</w:t>
      </w:r>
      <w:r>
        <w:rPr>
          <w:rFonts w:hint="eastAsia"/>
          <w:color w:val="auto"/>
          <w:sz w:val="21"/>
          <w:szCs w:val="21"/>
          <w:highlight w:val="none"/>
          <w:u w:val="single"/>
        </w:rPr>
        <w:t xml:space="preserve"> </w:t>
      </w:r>
      <w:r>
        <w:rPr>
          <w:rFonts w:hint="eastAsia"/>
          <w:color w:val="auto"/>
          <w:sz w:val="21"/>
          <w:szCs w:val="21"/>
          <w:highlight w:val="none"/>
          <w:u w:val="single"/>
          <w:lang w:eastAsia="zh-CN"/>
        </w:rPr>
        <w:t>2022年青艺周公共媒体推广、活动</w:t>
      </w:r>
      <w:r>
        <w:rPr>
          <w:rFonts w:hint="eastAsia"/>
          <w:color w:val="auto"/>
          <w:sz w:val="21"/>
          <w:szCs w:val="21"/>
          <w:highlight w:val="none"/>
          <w:u w:val="single"/>
        </w:rPr>
        <w:t xml:space="preserve"> </w:t>
      </w:r>
      <w:r>
        <w:rPr>
          <w:rFonts w:hint="eastAsia"/>
          <w:color w:val="auto"/>
          <w:sz w:val="21"/>
          <w:szCs w:val="21"/>
          <w:highlight w:val="none"/>
        </w:rPr>
        <w:t>采购项目通过</w:t>
      </w:r>
      <w:r>
        <w:rPr>
          <w:color w:val="auto"/>
          <w:sz w:val="21"/>
          <w:szCs w:val="21"/>
          <w:highlight w:val="none"/>
          <w:u w:val="single"/>
        </w:rPr>
        <w:t xml:space="preserve"> 竞争性磋商</w:t>
      </w:r>
      <w:r>
        <w:rPr>
          <w:rFonts w:hint="eastAsia"/>
          <w:color w:val="auto"/>
          <w:sz w:val="21"/>
          <w:szCs w:val="21"/>
          <w:highlight w:val="none"/>
          <w:u w:val="single"/>
        </w:rPr>
        <w:t xml:space="preserve"> </w:t>
      </w:r>
      <w:r>
        <w:rPr>
          <w:rFonts w:hint="eastAsia"/>
          <w:color w:val="auto"/>
          <w:sz w:val="21"/>
          <w:szCs w:val="21"/>
          <w:highlight w:val="none"/>
        </w:rPr>
        <w:t>方式采购，确定</w:t>
      </w:r>
      <w:r>
        <w:rPr>
          <w:rFonts w:hint="eastAsia"/>
          <w:color w:val="auto"/>
          <w:spacing w:val="-6"/>
          <w:sz w:val="21"/>
          <w:szCs w:val="21"/>
          <w:highlight w:val="none"/>
          <w:u w:val="single"/>
        </w:rPr>
        <w:t xml:space="preserve">   </w:t>
      </w:r>
      <w:r>
        <w:rPr>
          <w:rFonts w:hint="eastAsia"/>
          <w:color w:val="auto"/>
          <w:sz w:val="21"/>
          <w:szCs w:val="21"/>
          <w:highlight w:val="none"/>
        </w:rPr>
        <w:t>为成交单位，甲、乙双方友好协商，达成以下条款：</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一</w:t>
      </w:r>
      <w:r>
        <w:rPr>
          <w:rFonts w:hint="eastAsia" w:hAnsi="宋体"/>
          <w:b/>
          <w:color w:val="auto"/>
          <w:sz w:val="21"/>
          <w:szCs w:val="21"/>
          <w:highlight w:val="none"/>
        </w:rPr>
        <w:t>：</w:t>
      </w:r>
      <w:r>
        <w:rPr>
          <w:rFonts w:hAnsi="宋体"/>
          <w:b/>
          <w:color w:val="auto"/>
          <w:sz w:val="21"/>
          <w:szCs w:val="21"/>
          <w:highlight w:val="none"/>
        </w:rPr>
        <w:t>服务内容和要求</w:t>
      </w:r>
    </w:p>
    <w:p>
      <w:pPr>
        <w:snapToGrid w:val="0"/>
        <w:spacing w:line="288" w:lineRule="auto"/>
        <w:ind w:firstLine="420" w:firstLineChars="200"/>
        <w:rPr>
          <w:color w:val="auto"/>
          <w:sz w:val="21"/>
          <w:szCs w:val="21"/>
          <w:highlight w:val="none"/>
        </w:rPr>
      </w:pPr>
      <w:r>
        <w:rPr>
          <w:rFonts w:hint="eastAsia"/>
          <w:color w:val="auto"/>
          <w:sz w:val="21"/>
          <w:szCs w:val="21"/>
          <w:highlight w:val="none"/>
        </w:rPr>
        <w:t>1.</w:t>
      </w:r>
    </w:p>
    <w:p>
      <w:pPr>
        <w:snapToGrid w:val="0"/>
        <w:spacing w:line="288" w:lineRule="auto"/>
        <w:ind w:firstLine="420" w:firstLineChars="200"/>
        <w:rPr>
          <w:color w:val="auto"/>
          <w:sz w:val="21"/>
          <w:szCs w:val="21"/>
          <w:highlight w:val="none"/>
        </w:rPr>
      </w:pPr>
      <w:r>
        <w:rPr>
          <w:rFonts w:hint="eastAsia"/>
          <w:color w:val="auto"/>
          <w:sz w:val="21"/>
          <w:szCs w:val="21"/>
          <w:highlight w:val="none"/>
        </w:rPr>
        <w:t>2.</w:t>
      </w:r>
    </w:p>
    <w:p>
      <w:pPr>
        <w:snapToGrid w:val="0"/>
        <w:spacing w:line="288" w:lineRule="auto"/>
        <w:ind w:firstLine="420" w:firstLineChars="200"/>
        <w:rPr>
          <w:color w:val="auto"/>
          <w:sz w:val="21"/>
          <w:szCs w:val="21"/>
          <w:highlight w:val="none"/>
        </w:rPr>
      </w:pPr>
      <w:r>
        <w:rPr>
          <w:rFonts w:hint="eastAsia"/>
          <w:color w:val="auto"/>
          <w:sz w:val="21"/>
          <w:szCs w:val="21"/>
          <w:highlight w:val="none"/>
        </w:rPr>
        <w:t>3.</w:t>
      </w:r>
      <w:r>
        <w:rPr>
          <w:color w:val="auto"/>
          <w:sz w:val="21"/>
          <w:szCs w:val="21"/>
          <w:highlight w:val="none"/>
        </w:rPr>
        <w:t>……</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二</w:t>
      </w:r>
      <w:r>
        <w:rPr>
          <w:rFonts w:hint="eastAsia" w:hAnsi="宋体"/>
          <w:b/>
          <w:color w:val="auto"/>
          <w:sz w:val="21"/>
          <w:szCs w:val="21"/>
          <w:highlight w:val="none"/>
        </w:rPr>
        <w:t>：</w:t>
      </w:r>
      <w:r>
        <w:rPr>
          <w:rFonts w:hAnsi="宋体"/>
          <w:b/>
          <w:color w:val="auto"/>
          <w:sz w:val="21"/>
          <w:szCs w:val="21"/>
          <w:highlight w:val="none"/>
        </w:rPr>
        <w:t>合同履行时间、履行地点和合同金额</w:t>
      </w:r>
    </w:p>
    <w:p>
      <w:pPr>
        <w:snapToGrid w:val="0"/>
        <w:spacing w:line="288" w:lineRule="auto"/>
        <w:ind w:firstLine="420" w:firstLineChars="200"/>
        <w:rPr>
          <w:color w:val="auto"/>
          <w:sz w:val="21"/>
          <w:szCs w:val="21"/>
          <w:highlight w:val="none"/>
        </w:rPr>
      </w:pPr>
      <w:r>
        <w:rPr>
          <w:rFonts w:hint="eastAsia"/>
          <w:color w:val="auto"/>
          <w:sz w:val="21"/>
          <w:szCs w:val="21"/>
          <w:highlight w:val="none"/>
        </w:rPr>
        <w:t>1.履行时间：</w:t>
      </w:r>
      <w:r>
        <w:rPr>
          <w:rFonts w:hint="eastAsia"/>
          <w:color w:val="auto"/>
          <w:sz w:val="21"/>
          <w:szCs w:val="21"/>
          <w:highlight w:val="none"/>
          <w:u w:val="single"/>
        </w:rPr>
        <w:t xml:space="preserve">                </w:t>
      </w:r>
      <w:r>
        <w:rPr>
          <w:rFonts w:hint="eastAsia"/>
          <w:color w:val="auto"/>
          <w:sz w:val="21"/>
          <w:szCs w:val="21"/>
          <w:highlight w:val="none"/>
        </w:rPr>
        <w:t xml:space="preserve">； </w:t>
      </w:r>
    </w:p>
    <w:p>
      <w:pPr>
        <w:snapToGrid w:val="0"/>
        <w:spacing w:line="288" w:lineRule="auto"/>
        <w:ind w:firstLine="420" w:firstLineChars="200"/>
        <w:rPr>
          <w:color w:val="auto"/>
          <w:sz w:val="21"/>
          <w:szCs w:val="21"/>
          <w:highlight w:val="none"/>
        </w:rPr>
      </w:pPr>
      <w:r>
        <w:rPr>
          <w:rFonts w:hint="eastAsia"/>
          <w:color w:val="auto"/>
          <w:sz w:val="21"/>
          <w:szCs w:val="21"/>
          <w:highlight w:val="none"/>
        </w:rPr>
        <w:t>2.履行地点：</w:t>
      </w:r>
      <w:r>
        <w:rPr>
          <w:rFonts w:hint="eastAsia"/>
          <w:color w:val="auto"/>
          <w:sz w:val="21"/>
          <w:szCs w:val="21"/>
          <w:highlight w:val="none"/>
          <w:u w:val="single"/>
        </w:rPr>
        <w:t xml:space="preserve">                </w:t>
      </w:r>
      <w:r>
        <w:rPr>
          <w:rFonts w:hint="eastAsia"/>
          <w:color w:val="auto"/>
          <w:sz w:val="21"/>
          <w:szCs w:val="21"/>
          <w:highlight w:val="none"/>
        </w:rPr>
        <w:t>；</w:t>
      </w:r>
    </w:p>
    <w:p>
      <w:pPr>
        <w:snapToGrid w:val="0"/>
        <w:spacing w:line="288" w:lineRule="auto"/>
        <w:ind w:firstLine="420" w:firstLineChars="200"/>
        <w:rPr>
          <w:color w:val="auto"/>
          <w:sz w:val="21"/>
          <w:szCs w:val="21"/>
          <w:highlight w:val="none"/>
        </w:rPr>
      </w:pPr>
      <w:r>
        <w:rPr>
          <w:rFonts w:hint="eastAsia"/>
          <w:color w:val="auto"/>
          <w:sz w:val="21"/>
          <w:szCs w:val="21"/>
          <w:highlight w:val="none"/>
        </w:rPr>
        <w:t>3.本合同金额为（大写）：</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u w:val="single"/>
        </w:rPr>
        <w:t xml:space="preserve">            </w:t>
      </w:r>
      <w:r>
        <w:rPr>
          <w:rFonts w:hint="eastAsia"/>
          <w:color w:val="auto"/>
          <w:sz w:val="21"/>
          <w:szCs w:val="21"/>
          <w:highlight w:val="none"/>
        </w:rPr>
        <w:t>元）人民币。本合同的价款为含税价。</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Ansi="宋体"/>
          <w:b/>
          <w:color w:val="auto"/>
          <w:sz w:val="21"/>
          <w:szCs w:val="21"/>
          <w:highlight w:val="none"/>
        </w:rPr>
        <w:t>三</w:t>
      </w:r>
      <w:r>
        <w:rPr>
          <w:rFonts w:hint="eastAsia" w:hAnsi="宋体"/>
          <w:b/>
          <w:color w:val="auto"/>
          <w:sz w:val="21"/>
          <w:szCs w:val="21"/>
          <w:highlight w:val="none"/>
        </w:rPr>
        <w:t>：</w:t>
      </w:r>
      <w:r>
        <w:rPr>
          <w:rFonts w:hAnsi="宋体"/>
          <w:b/>
          <w:color w:val="auto"/>
          <w:sz w:val="21"/>
          <w:szCs w:val="21"/>
          <w:highlight w:val="none"/>
        </w:rPr>
        <w:t>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规定的时间向甲方提供有关技术资料。</w:t>
      </w:r>
    </w:p>
    <w:p>
      <w:pPr>
        <w:pStyle w:val="11"/>
        <w:snapToGrid w:val="0"/>
        <w:spacing w:before="0" w:beforeLines="0" w:after="0" w:afterLines="0" w:line="288"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.未经</w:t>
      </w:r>
      <w:r>
        <w:rPr>
          <w:rFonts w:hAnsi="宋体"/>
          <w:color w:val="auto"/>
          <w:sz w:val="21"/>
          <w:szCs w:val="21"/>
          <w:highlight w:val="none"/>
        </w:rPr>
        <w:t>甲方事先书面同意，乙方不得将</w:t>
      </w:r>
      <w:r>
        <w:rPr>
          <w:rFonts w:hint="eastAsia" w:hAnsi="宋体"/>
          <w:color w:val="auto"/>
          <w:sz w:val="21"/>
          <w:szCs w:val="21"/>
          <w:highlight w:val="none"/>
        </w:rPr>
        <w:t>与本合同及有关的</w:t>
      </w:r>
      <w:r>
        <w:rPr>
          <w:rFonts w:hAnsi="宋体"/>
          <w:color w:val="auto"/>
          <w:sz w:val="21"/>
          <w:szCs w:val="21"/>
          <w:highlight w:val="none"/>
        </w:rPr>
        <w:t>任何合同条文、规格、计划、图纸、样品或资料提供给</w:t>
      </w:r>
      <w:r>
        <w:rPr>
          <w:rFonts w:hint="eastAsia" w:hAnsi="宋体"/>
          <w:color w:val="auto"/>
          <w:sz w:val="21"/>
          <w:szCs w:val="21"/>
          <w:highlight w:val="none"/>
        </w:rPr>
        <w:t>任何第三方</w:t>
      </w:r>
      <w:r>
        <w:rPr>
          <w:rFonts w:hAnsi="宋体"/>
          <w:color w:val="auto"/>
          <w:sz w:val="21"/>
          <w:szCs w:val="21"/>
          <w:highlight w:val="none"/>
        </w:rPr>
        <w:t>。即使向履行本合同有关的人员提供，也应注意保密并限于履行合同的必需范围。</w:t>
      </w:r>
    </w:p>
    <w:p>
      <w:pPr>
        <w:pStyle w:val="11"/>
        <w:snapToGrid w:val="0"/>
        <w:spacing w:before="0" w:beforeLines="0" w:after="0" w:afterLines="0" w:line="288" w:lineRule="auto"/>
        <w:ind w:firstLine="420" w:firstLineChars="200"/>
        <w:rPr>
          <w:rFonts w:hAnsi="宋体"/>
          <w:bCs/>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乙方应保证提供服务过程中不会侵犯任何第三方的知识产权</w:t>
      </w:r>
      <w:r>
        <w:rPr>
          <w:rFonts w:hint="eastAsia" w:hAnsi="宋体"/>
          <w:bCs/>
          <w:color w:val="auto"/>
          <w:sz w:val="21"/>
          <w:szCs w:val="21"/>
          <w:highlight w:val="none"/>
        </w:rPr>
        <w:t>，否则甲方有权解除本合同，拒绝支付合同价款，并要求乙方赔偿所有损失。</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四：转包或分包</w:t>
      </w:r>
    </w:p>
    <w:p>
      <w:pPr>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方直接完成，不得转让给任何第三方；</w:t>
      </w:r>
    </w:p>
    <w:p>
      <w:pPr>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pPr>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.乙方转让或转包分包的，甲方有权解除合同和拒付（或要求乙方退还）合同价款，并没收履约保证金和追究乙方的违约责任。</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款项支付</w:t>
      </w:r>
    </w:p>
    <w:p>
      <w:pPr>
        <w:pStyle w:val="11"/>
        <w:snapToGrid w:val="0"/>
        <w:spacing w:before="0" w:beforeLines="0" w:after="0" w:afterLines="0" w:line="288" w:lineRule="auto"/>
        <w:ind w:firstLine="420"/>
        <w:rPr>
          <w:rFonts w:hAnsi="宋体" w:cs="宋体"/>
          <w:b/>
          <w:bCs/>
          <w:color w:val="auto"/>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，且乙方已向甲方提交银行、保险公司等金融机构出具的预付款保函的，甲方向乙方支付合同总价的4</w:t>
      </w:r>
      <w:r>
        <w:rPr>
          <w:color w:val="auto"/>
          <w:spacing w:val="-6"/>
          <w:kern w:val="0"/>
          <w:sz w:val="21"/>
          <w:szCs w:val="21"/>
          <w:highlight w:val="none"/>
        </w:rPr>
        <w:t>0</w:t>
      </w:r>
      <w:r>
        <w:rPr>
          <w:rFonts w:hint="eastAsia"/>
          <w:color w:val="auto"/>
          <w:spacing w:val="-6"/>
          <w:kern w:val="0"/>
          <w:sz w:val="21"/>
          <w:szCs w:val="21"/>
          <w:highlight w:val="none"/>
        </w:rPr>
        <w:t>%；项目履约完成，经甲方验收合格后，收到发票后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，甲方向乙方支付合同总价的</w:t>
      </w:r>
      <w:r>
        <w:rPr>
          <w:color w:val="auto"/>
          <w:spacing w:val="-6"/>
          <w:kern w:val="0"/>
          <w:sz w:val="21"/>
          <w:szCs w:val="21"/>
          <w:highlight w:val="none"/>
        </w:rPr>
        <w:t>6</w:t>
      </w:r>
      <w:r>
        <w:rPr>
          <w:rFonts w:hint="eastAsia"/>
          <w:color w:val="auto"/>
          <w:spacing w:val="-6"/>
          <w:kern w:val="0"/>
          <w:sz w:val="21"/>
          <w:szCs w:val="21"/>
          <w:highlight w:val="none"/>
        </w:rPr>
        <w:t>0%。</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质量保证及后续服务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乙方应按</w:t>
      </w:r>
      <w:r>
        <w:rPr>
          <w:rFonts w:hint="eastAsia" w:hAnsi="宋体"/>
          <w:color w:val="auto"/>
          <w:sz w:val="21"/>
          <w:szCs w:val="21"/>
          <w:highlight w:val="none"/>
        </w:rPr>
        <w:t>公开招标文件</w:t>
      </w:r>
      <w:r>
        <w:rPr>
          <w:rFonts w:hAnsi="宋体"/>
          <w:color w:val="auto"/>
          <w:sz w:val="21"/>
          <w:szCs w:val="21"/>
          <w:highlight w:val="none"/>
        </w:rPr>
        <w:t>规定向甲方提供服务。</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乙方提供的服务成果</w:t>
      </w:r>
      <w:r>
        <w:rPr>
          <w:rFonts w:hint="eastAsia" w:hAnsi="宋体"/>
          <w:color w:val="auto"/>
          <w:sz w:val="21"/>
          <w:szCs w:val="21"/>
          <w:highlight w:val="none"/>
        </w:rPr>
        <w:t>验收不合格的，或在服务质量保证期内出现问题</w:t>
      </w:r>
      <w:r>
        <w:rPr>
          <w:rFonts w:hAnsi="宋体"/>
          <w:color w:val="auto"/>
          <w:sz w:val="21"/>
          <w:szCs w:val="21"/>
          <w:highlight w:val="none"/>
        </w:rPr>
        <w:t>，乙方应负责免费提供后续服务。</w:t>
      </w:r>
      <w:r>
        <w:rPr>
          <w:rFonts w:hint="eastAsia" w:hAnsi="宋体"/>
          <w:color w:val="auto"/>
          <w:sz w:val="21"/>
          <w:szCs w:val="21"/>
          <w:highlight w:val="none"/>
        </w:rPr>
        <w:t>对达不到服务要求的，根据实际情况，甲方有权自行选择以下办法处理：</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重做：由乙方承担所发生的全部费用</w:t>
      </w:r>
      <w:r>
        <w:rPr>
          <w:rFonts w:hint="eastAsia" w:hAnsi="宋体"/>
          <w:color w:val="auto"/>
          <w:sz w:val="21"/>
          <w:szCs w:val="21"/>
          <w:highlight w:val="none"/>
        </w:rPr>
        <w:t>，并承担所有损失</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解除合同</w:t>
      </w:r>
      <w:r>
        <w:rPr>
          <w:rFonts w:hint="eastAsia" w:hAnsi="宋体"/>
          <w:color w:val="auto"/>
          <w:sz w:val="21"/>
          <w:szCs w:val="21"/>
          <w:highlight w:val="none"/>
        </w:rPr>
        <w:t>：甲方拒付（或要求乙方退还）合同价款</w:t>
      </w:r>
      <w:r>
        <w:rPr>
          <w:rFonts w:hAnsi="宋体"/>
          <w:color w:val="auto"/>
          <w:sz w:val="21"/>
          <w:szCs w:val="21"/>
          <w:highlight w:val="none"/>
        </w:rPr>
        <w:t>。</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4.在服务质量保证期内，乙方应对出现的质量及安全问题负责处理解决并承担一切费用。</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违约责任</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Ansi="宋体"/>
          <w:color w:val="auto"/>
          <w:sz w:val="21"/>
          <w:szCs w:val="21"/>
          <w:highlight w:val="none"/>
        </w:rPr>
        <w:t>甲方无正当理由拒</w:t>
      </w:r>
      <w:r>
        <w:rPr>
          <w:rFonts w:hint="eastAsia" w:hAnsi="宋体"/>
          <w:color w:val="auto"/>
          <w:sz w:val="21"/>
          <w:szCs w:val="21"/>
          <w:highlight w:val="none"/>
        </w:rPr>
        <w:t>绝</w:t>
      </w:r>
      <w:r>
        <w:rPr>
          <w:rFonts w:hAnsi="宋体"/>
          <w:color w:val="auto"/>
          <w:sz w:val="21"/>
          <w:szCs w:val="21"/>
          <w:highlight w:val="none"/>
        </w:rPr>
        <w:t>接受服务的，甲方</w:t>
      </w:r>
      <w:r>
        <w:rPr>
          <w:rFonts w:hint="eastAsia" w:hAnsi="宋体"/>
          <w:color w:val="auto"/>
          <w:sz w:val="21"/>
          <w:szCs w:val="21"/>
          <w:highlight w:val="none"/>
        </w:rPr>
        <w:t>应</w:t>
      </w:r>
      <w:r>
        <w:rPr>
          <w:rFonts w:hAnsi="宋体"/>
          <w:color w:val="auto"/>
          <w:sz w:val="21"/>
          <w:szCs w:val="21"/>
          <w:highlight w:val="none"/>
        </w:rPr>
        <w:t>向乙方</w:t>
      </w:r>
      <w:r>
        <w:rPr>
          <w:rFonts w:hint="eastAsia" w:hAnsi="宋体"/>
          <w:color w:val="auto"/>
          <w:sz w:val="21"/>
          <w:szCs w:val="21"/>
          <w:highlight w:val="none"/>
        </w:rPr>
        <w:t>支</w:t>
      </w:r>
      <w:r>
        <w:rPr>
          <w:rFonts w:hAnsi="宋体"/>
          <w:color w:val="auto"/>
          <w:sz w:val="21"/>
          <w:szCs w:val="21"/>
          <w:highlight w:val="none"/>
        </w:rPr>
        <w:t>付合同</w:t>
      </w:r>
      <w:r>
        <w:rPr>
          <w:rFonts w:hint="eastAsia" w:hAnsi="宋体"/>
          <w:color w:val="auto"/>
          <w:sz w:val="21"/>
          <w:szCs w:val="21"/>
          <w:highlight w:val="none"/>
        </w:rPr>
        <w:t>总价款</w:t>
      </w:r>
      <w:r>
        <w:rPr>
          <w:rFonts w:hAnsi="宋体"/>
          <w:color w:val="auto"/>
          <w:sz w:val="21"/>
          <w:szCs w:val="21"/>
          <w:highlight w:val="none"/>
        </w:rPr>
        <w:t>百分之五</w:t>
      </w:r>
      <w:r>
        <w:rPr>
          <w:rFonts w:hint="eastAsia" w:hAnsi="宋体"/>
          <w:color w:val="auto"/>
          <w:sz w:val="21"/>
          <w:szCs w:val="21"/>
          <w:highlight w:val="none"/>
        </w:rPr>
        <w:t>的</w:t>
      </w:r>
      <w:r>
        <w:rPr>
          <w:rFonts w:hAnsi="宋体"/>
          <w:color w:val="auto"/>
          <w:sz w:val="21"/>
          <w:szCs w:val="21"/>
          <w:highlight w:val="none"/>
        </w:rPr>
        <w:t>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w:t>
      </w:r>
      <w:r>
        <w:rPr>
          <w:rFonts w:hint="eastAsia" w:hAnsi="宋体"/>
          <w:color w:val="auto"/>
          <w:sz w:val="21"/>
          <w:szCs w:val="21"/>
          <w:highlight w:val="none"/>
        </w:rPr>
        <w:t>逾期</w:t>
      </w:r>
      <w:r>
        <w:rPr>
          <w:rFonts w:hAnsi="宋体"/>
          <w:color w:val="auto"/>
          <w:sz w:val="21"/>
          <w:szCs w:val="21"/>
          <w:highlight w:val="none"/>
        </w:rPr>
        <w:t>付款的</w:t>
      </w:r>
      <w:r>
        <w:rPr>
          <w:rFonts w:hint="eastAsia" w:hAnsi="宋体"/>
          <w:color w:val="auto"/>
          <w:sz w:val="21"/>
          <w:szCs w:val="21"/>
          <w:highlight w:val="none"/>
        </w:rPr>
        <w:t>，</w:t>
      </w:r>
      <w:r>
        <w:rPr>
          <w:rFonts w:hAnsi="宋体"/>
          <w:color w:val="auto"/>
          <w:sz w:val="21"/>
          <w:szCs w:val="21"/>
          <w:highlight w:val="none"/>
        </w:rPr>
        <w:t>应按逾期付款</w:t>
      </w:r>
      <w:r>
        <w:rPr>
          <w:rFonts w:hint="eastAsia" w:hAnsi="宋体"/>
          <w:color w:val="auto"/>
          <w:sz w:val="21"/>
          <w:szCs w:val="21"/>
          <w:highlight w:val="none"/>
        </w:rPr>
        <w:t>金</w:t>
      </w:r>
      <w:r>
        <w:rPr>
          <w:rFonts w:hAnsi="宋体"/>
          <w:color w:val="auto"/>
          <w:sz w:val="21"/>
          <w:szCs w:val="21"/>
          <w:highlight w:val="none"/>
        </w:rPr>
        <w:t>额</w:t>
      </w:r>
      <w:r>
        <w:rPr>
          <w:rFonts w:hint="eastAsia" w:hAnsi="宋体"/>
          <w:color w:val="auto"/>
          <w:sz w:val="21"/>
          <w:szCs w:val="21"/>
          <w:highlight w:val="none"/>
        </w:rPr>
        <w:t>的</w:t>
      </w:r>
      <w:r>
        <w:rPr>
          <w:rFonts w:hAnsi="宋体"/>
          <w:color w:val="auto"/>
          <w:sz w:val="21"/>
          <w:szCs w:val="21"/>
          <w:highlight w:val="none"/>
        </w:rPr>
        <w:t>万分之五每</w:t>
      </w:r>
      <w:r>
        <w:rPr>
          <w:rFonts w:hint="eastAsia" w:hAnsi="宋体"/>
          <w:color w:val="auto"/>
          <w:sz w:val="21"/>
          <w:szCs w:val="21"/>
          <w:highlight w:val="none"/>
        </w:rPr>
        <w:t>日</w:t>
      </w:r>
      <w:r>
        <w:rPr>
          <w:rFonts w:hAnsi="宋体"/>
          <w:color w:val="auto"/>
          <w:sz w:val="21"/>
          <w:szCs w:val="21"/>
          <w:highlight w:val="none"/>
        </w:rPr>
        <w:t>支付违约金。</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乙方</w:t>
      </w:r>
      <w:r>
        <w:rPr>
          <w:rFonts w:hint="eastAsia" w:hAnsi="宋体"/>
          <w:color w:val="auto"/>
          <w:sz w:val="21"/>
          <w:szCs w:val="21"/>
          <w:highlight w:val="none"/>
        </w:rPr>
        <w:t>逾期履行合同义务的，应按合同总价款的</w:t>
      </w:r>
      <w:r>
        <w:rPr>
          <w:rFonts w:hAnsi="宋体"/>
          <w:color w:val="auto"/>
          <w:sz w:val="21"/>
          <w:szCs w:val="21"/>
          <w:highlight w:val="none"/>
        </w:rPr>
        <w:t>千分之六</w:t>
      </w:r>
      <w:r>
        <w:rPr>
          <w:rFonts w:hint="eastAsia" w:hAnsi="宋体"/>
          <w:color w:val="auto"/>
          <w:sz w:val="21"/>
          <w:szCs w:val="21"/>
          <w:highlight w:val="none"/>
        </w:rPr>
        <w:t>每日支付</w:t>
      </w:r>
      <w:r>
        <w:rPr>
          <w:rFonts w:hAnsi="宋体"/>
          <w:color w:val="auto"/>
          <w:sz w:val="21"/>
          <w:szCs w:val="21"/>
          <w:highlight w:val="none"/>
        </w:rPr>
        <w:t>违约金。乙方</w:t>
      </w:r>
      <w:r>
        <w:rPr>
          <w:rFonts w:hint="eastAsia" w:hAnsi="宋体"/>
          <w:color w:val="auto"/>
          <w:sz w:val="21"/>
          <w:szCs w:val="21"/>
          <w:highlight w:val="none"/>
        </w:rPr>
        <w:t>逾期</w:t>
      </w:r>
      <w:r>
        <w:rPr>
          <w:rFonts w:hAnsi="宋体"/>
          <w:color w:val="auto"/>
          <w:sz w:val="21"/>
          <w:szCs w:val="21"/>
          <w:highlight w:val="none"/>
        </w:rPr>
        <w:t>10个工作日</w:t>
      </w:r>
      <w:r>
        <w:rPr>
          <w:rFonts w:hint="eastAsia" w:hAnsi="宋体"/>
          <w:color w:val="auto"/>
          <w:sz w:val="21"/>
          <w:szCs w:val="21"/>
          <w:highlight w:val="none"/>
        </w:rPr>
        <w:t>及以上履行合同义务的</w:t>
      </w:r>
      <w:r>
        <w:rPr>
          <w:rFonts w:hAnsi="宋体"/>
          <w:color w:val="auto"/>
          <w:sz w:val="21"/>
          <w:szCs w:val="21"/>
          <w:highlight w:val="none"/>
        </w:rPr>
        <w:t>，甲方</w:t>
      </w:r>
      <w:r>
        <w:rPr>
          <w:rFonts w:hint="eastAsia" w:hAnsi="宋体"/>
          <w:color w:val="auto"/>
          <w:sz w:val="21"/>
          <w:szCs w:val="21"/>
          <w:highlight w:val="none"/>
        </w:rPr>
        <w:t>有权</w:t>
      </w:r>
      <w:r>
        <w:rPr>
          <w:rFonts w:hAnsi="宋体"/>
          <w:color w:val="auto"/>
          <w:sz w:val="21"/>
          <w:szCs w:val="21"/>
          <w:highlight w:val="none"/>
        </w:rPr>
        <w:t>解除本合同，</w:t>
      </w:r>
      <w:r>
        <w:rPr>
          <w:rFonts w:hint="eastAsia" w:hAnsi="宋体"/>
          <w:color w:val="auto"/>
          <w:sz w:val="21"/>
          <w:szCs w:val="21"/>
          <w:highlight w:val="none"/>
        </w:rPr>
        <w:t>并拒付（或要求乙方退还）合同价款，</w:t>
      </w:r>
      <w:r>
        <w:rPr>
          <w:rFonts w:hAnsi="宋体"/>
          <w:color w:val="auto"/>
          <w:sz w:val="21"/>
          <w:szCs w:val="21"/>
          <w:highlight w:val="none"/>
        </w:rPr>
        <w:t>乙方应</w:t>
      </w:r>
      <w:r>
        <w:rPr>
          <w:rFonts w:hint="eastAsia" w:hAnsi="宋体"/>
          <w:color w:val="auto"/>
          <w:sz w:val="21"/>
          <w:szCs w:val="21"/>
          <w:highlight w:val="none"/>
        </w:rPr>
        <w:t>按</w:t>
      </w:r>
      <w:r>
        <w:rPr>
          <w:rFonts w:hAnsi="宋体"/>
          <w:color w:val="auto"/>
          <w:sz w:val="21"/>
          <w:szCs w:val="21"/>
          <w:highlight w:val="none"/>
        </w:rPr>
        <w:t>合同总</w:t>
      </w:r>
      <w:r>
        <w:rPr>
          <w:rFonts w:hint="eastAsia" w:hAnsi="宋体"/>
          <w:color w:val="auto"/>
          <w:sz w:val="21"/>
          <w:szCs w:val="21"/>
          <w:highlight w:val="none"/>
        </w:rPr>
        <w:t>价款的6</w:t>
      </w:r>
      <w:r>
        <w:rPr>
          <w:rFonts w:hAnsi="宋体"/>
          <w:color w:val="auto"/>
          <w:sz w:val="21"/>
          <w:szCs w:val="21"/>
          <w:highlight w:val="none"/>
        </w:rPr>
        <w:t>%</w:t>
      </w:r>
      <w:r>
        <w:rPr>
          <w:rFonts w:hint="eastAsia" w:hAnsi="宋体"/>
          <w:color w:val="auto"/>
          <w:sz w:val="21"/>
          <w:szCs w:val="21"/>
          <w:highlight w:val="none"/>
        </w:rPr>
        <w:t>向甲方支付</w:t>
      </w:r>
      <w:r>
        <w:rPr>
          <w:rFonts w:hAnsi="宋体"/>
          <w:color w:val="auto"/>
          <w:sz w:val="21"/>
          <w:szCs w:val="21"/>
          <w:highlight w:val="none"/>
        </w:rPr>
        <w:t>违约金，造成甲方损失的，乙方</w:t>
      </w:r>
      <w:r>
        <w:rPr>
          <w:rFonts w:hint="eastAsia" w:hAnsi="宋体"/>
          <w:color w:val="auto"/>
          <w:sz w:val="21"/>
          <w:szCs w:val="21"/>
          <w:highlight w:val="none"/>
        </w:rPr>
        <w:t>应</w:t>
      </w:r>
      <w:r>
        <w:rPr>
          <w:rFonts w:hAnsi="宋体"/>
          <w:color w:val="auto"/>
          <w:sz w:val="21"/>
          <w:szCs w:val="21"/>
          <w:highlight w:val="none"/>
        </w:rPr>
        <w:t xml:space="preserve">承担赔偿责任。 </w:t>
      </w:r>
    </w:p>
    <w:p>
      <w:pPr>
        <w:pStyle w:val="11"/>
        <w:snapToGrid w:val="0"/>
        <w:spacing w:before="0" w:beforeLines="0" w:after="0" w:afterLines="0" w:line="288" w:lineRule="auto"/>
        <w:ind w:firstLine="420" w:firstLineChars="200"/>
        <w:rPr>
          <w:rFonts w:hAnsi="宋体"/>
          <w:color w:val="auto"/>
          <w:sz w:val="21"/>
          <w:szCs w:val="21"/>
          <w:highlight w:val="none"/>
        </w:rPr>
      </w:pPr>
      <w:r>
        <w:rPr>
          <w:rFonts w:hint="eastAsia" w:hAnsi="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八：争议的解决</w:t>
      </w:r>
    </w:p>
    <w:p>
      <w:pPr>
        <w:spacing w:line="288" w:lineRule="auto"/>
        <w:ind w:right="26" w:rightChars="11" w:firstLine="396" w:firstLineChars="200"/>
        <w:rPr>
          <w:color w:val="auto"/>
          <w:spacing w:val="-6"/>
          <w:sz w:val="21"/>
          <w:highlight w:val="none"/>
        </w:rPr>
      </w:pPr>
      <w:r>
        <w:rPr>
          <w:rFonts w:hint="eastAsia"/>
          <w:color w:val="auto"/>
          <w:spacing w:val="-6"/>
          <w:sz w:val="21"/>
          <w:highlight w:val="none"/>
        </w:rPr>
        <w:t>本合同未尽事宜由三方协商解决，如协商不成，三方同意将本合同引起的争议提交杭州仲裁委员会仲裁解决，仲裁为终局。</w:t>
      </w:r>
    </w:p>
    <w:p>
      <w:pPr>
        <w:pStyle w:val="11"/>
        <w:snapToGrid w:val="0"/>
        <w:spacing w:before="0" w:beforeLines="0" w:after="0" w:afterLines="0" w:line="288" w:lineRule="auto"/>
        <w:ind w:firstLine="422" w:firstLineChars="200"/>
        <w:rPr>
          <w:rFonts w:hAnsi="宋体"/>
          <w:b/>
          <w:color w:val="auto"/>
          <w:sz w:val="21"/>
          <w:szCs w:val="21"/>
          <w:highlight w:val="none"/>
        </w:rPr>
      </w:pPr>
      <w:r>
        <w:rPr>
          <w:rFonts w:hint="eastAsia" w:hAnsi="宋体"/>
          <w:b/>
          <w:color w:val="auto"/>
          <w:sz w:val="21"/>
          <w:szCs w:val="21"/>
          <w:highlight w:val="none"/>
        </w:rPr>
        <w:t>九：合同的生效</w:t>
      </w:r>
    </w:p>
    <w:p>
      <w:pPr>
        <w:spacing w:line="288" w:lineRule="auto"/>
        <w:ind w:firstLine="396" w:firstLineChars="200"/>
        <w:rPr>
          <w:color w:val="auto"/>
          <w:spacing w:val="-6"/>
          <w:sz w:val="21"/>
          <w:highlight w:val="none"/>
        </w:rPr>
      </w:pPr>
      <w:r>
        <w:rPr>
          <w:rFonts w:hint="eastAsia"/>
          <w:color w:val="auto"/>
          <w:spacing w:val="-6"/>
          <w:sz w:val="21"/>
          <w:highlight w:val="none"/>
        </w:rPr>
        <w:t>1.合同经三方法定代表人或授权代表签字并加盖单位公章后生效。</w:t>
      </w:r>
    </w:p>
    <w:p>
      <w:pPr>
        <w:spacing w:line="288" w:lineRule="auto"/>
        <w:ind w:firstLine="396" w:firstLineChars="200"/>
        <w:rPr>
          <w:color w:val="auto"/>
          <w:spacing w:val="-6"/>
          <w:sz w:val="21"/>
          <w:highlight w:val="none"/>
        </w:rPr>
      </w:pPr>
      <w:r>
        <w:rPr>
          <w:rFonts w:hint="eastAsia"/>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color w:val="auto"/>
          <w:spacing w:val="-6"/>
          <w:sz w:val="21"/>
          <w:highlight w:val="none"/>
        </w:rPr>
      </w:pPr>
      <w:r>
        <w:rPr>
          <w:rFonts w:hint="eastAsia"/>
          <w:color w:val="auto"/>
          <w:spacing w:val="-6"/>
          <w:sz w:val="21"/>
          <w:highlight w:val="none"/>
        </w:rPr>
        <w:t>3.本合同未尽事宜，遵照《合同法》有关条文执行。</w:t>
      </w:r>
    </w:p>
    <w:p>
      <w:pPr>
        <w:spacing w:line="288" w:lineRule="auto"/>
        <w:ind w:firstLine="396" w:firstLineChars="200"/>
        <w:rPr>
          <w:color w:val="auto"/>
          <w:spacing w:val="-6"/>
          <w:sz w:val="21"/>
          <w:highlight w:val="none"/>
        </w:rPr>
      </w:pPr>
      <w:r>
        <w:rPr>
          <w:rFonts w:hint="eastAsia"/>
          <w:color w:val="auto"/>
          <w:spacing w:val="-6"/>
          <w:sz w:val="21"/>
          <w:highlight w:val="none"/>
        </w:rPr>
        <w:t>4.本合同一式五份，乙方、采购代理机构各执壹份，甲方执叁份。</w:t>
      </w:r>
    </w:p>
    <w:p>
      <w:pPr>
        <w:spacing w:line="288" w:lineRule="auto"/>
        <w:ind w:firstLine="398" w:firstLineChars="200"/>
        <w:rPr>
          <w:b/>
          <w:color w:val="auto"/>
          <w:spacing w:val="-6"/>
          <w:sz w:val="21"/>
          <w:highlight w:val="none"/>
        </w:rPr>
      </w:pPr>
      <w:r>
        <w:rPr>
          <w:rFonts w:hint="eastAsia"/>
          <w:b/>
          <w:color w:val="auto"/>
          <w:spacing w:val="-6"/>
          <w:sz w:val="21"/>
          <w:highlight w:val="none"/>
        </w:rPr>
        <w:t>5.与本合同有关公开招标文件、响应文件及记录同本合同具有同等法律效果。</w:t>
      </w:r>
    </w:p>
    <w:p>
      <w:pPr>
        <w:adjustRightInd w:val="0"/>
        <w:snapToGrid w:val="0"/>
        <w:spacing w:line="288" w:lineRule="auto"/>
        <w:rPr>
          <w:rFonts w:cs="Times New Roman"/>
          <w:color w:val="auto"/>
          <w:spacing w:val="-6"/>
          <w:sz w:val="21"/>
          <w:szCs w:val="21"/>
          <w:highlight w:val="none"/>
        </w:rPr>
      </w:pP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39"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4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color w:val="auto"/>
          <w:sz w:val="21"/>
          <w:szCs w:val="21"/>
          <w:highlight w:val="none"/>
        </w:rPr>
        <w:t>1）中小企业声明函（若属于中小企业）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2）属于监狱企业的证明文件（若属于监狱企业）</w:t>
      </w:r>
    </w:p>
    <w:p>
      <w:pPr>
        <w:adjustRightInd w:val="0"/>
        <w:snapToGrid w:val="0"/>
        <w:spacing w:line="288" w:lineRule="auto"/>
        <w:ind w:firstLine="420" w:firstLineChars="200"/>
        <w:rPr>
          <w:b/>
          <w:bCs/>
          <w:color w:val="auto"/>
          <w:sz w:val="21"/>
          <w:szCs w:val="21"/>
          <w:highlight w:val="none"/>
        </w:rPr>
      </w:pPr>
      <w:bookmarkStart w:id="41" w:name="OLE_LINK13"/>
      <w:bookmarkStart w:id="42" w:name="OLE_LINK14"/>
      <w:r>
        <w:rPr>
          <w:rFonts w:hint="eastAsia"/>
          <w:color w:val="auto"/>
          <w:sz w:val="21"/>
          <w:szCs w:val="21"/>
          <w:highlight w:val="none"/>
        </w:rPr>
        <w:t>3）残疾人福利性单位声明函</w:t>
      </w:r>
      <w:bookmarkEnd w:id="41"/>
      <w:bookmarkEnd w:id="42"/>
      <w:r>
        <w:rPr>
          <w:rFonts w:hint="eastAsia"/>
          <w:color w:val="auto"/>
          <w:sz w:val="21"/>
          <w:szCs w:val="21"/>
          <w:highlight w:val="none"/>
        </w:rPr>
        <w:t>（若属于残疾人福利性单位）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bookmarkEnd w:id="4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43"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43"/>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44" w:name="_Hlk94097338"/>
      <w:r>
        <w:rPr>
          <w:rFonts w:hint="eastAsia"/>
          <w:b/>
          <w:bCs/>
          <w:color w:val="auto"/>
          <w:sz w:val="21"/>
          <w:szCs w:val="21"/>
          <w:highlight w:val="none"/>
        </w:rPr>
        <w:t>资格审查要求的资格证明材料(均需加盖公章)</w:t>
      </w:r>
    </w:p>
    <w:bookmarkEnd w:id="44"/>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288"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w:t>
      </w:r>
      <w:r>
        <w:rPr>
          <w:rFonts w:hint="eastAsia"/>
          <w:b/>
          <w:bCs/>
          <w:color w:val="auto"/>
          <w:sz w:val="21"/>
          <w:szCs w:val="21"/>
          <w:highlight w:val="none"/>
        </w:rPr>
        <w:t>服务</w:t>
      </w:r>
      <w:r>
        <w:rPr>
          <w:b/>
          <w:bCs/>
          <w:color w:val="auto"/>
          <w:sz w:val="21"/>
          <w:szCs w:val="21"/>
          <w:highlight w:val="none"/>
        </w:rPr>
        <w:t>）</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采购活动，服务全部由符合政策要求的中小企业承接。相关企业的具体情况如下：</w:t>
      </w:r>
    </w:p>
    <w:p>
      <w:pPr>
        <w:adjustRightInd w:val="0"/>
        <w:snapToGrid w:val="0"/>
        <w:spacing w:line="288" w:lineRule="auto"/>
        <w:ind w:firstLine="495" w:firstLineChars="236"/>
        <w:rPr>
          <w:rFonts w:cs="Times New Roman"/>
          <w:i/>
          <w:color w:val="auto"/>
          <w:sz w:val="21"/>
          <w:szCs w:val="21"/>
          <w:highlight w:val="none"/>
          <w:u w:val="single"/>
        </w:rPr>
      </w:pPr>
      <w:r>
        <w:rPr>
          <w:rFonts w:hint="eastAsia" w:cs="Times New Roman"/>
          <w:i/>
          <w:color w:val="auto"/>
          <w:sz w:val="21"/>
          <w:szCs w:val="21"/>
          <w:highlight w:val="none"/>
          <w:u w:val="single"/>
        </w:rPr>
        <w:t>1</w:t>
      </w:r>
      <w:r>
        <w:rPr>
          <w:rFonts w:cs="Times New Roman"/>
          <w:i/>
          <w:color w:val="auto"/>
          <w:sz w:val="21"/>
          <w:szCs w:val="21"/>
          <w:highlight w:val="none"/>
          <w:u w:val="single"/>
        </w:rPr>
        <w:t>.（标的名称），属于（采购文件中明确的所属行业）；</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hint="eastAsia" w:cs="Times New Roman"/>
          <w:i/>
          <w:color w:val="auto"/>
          <w:sz w:val="21"/>
          <w:szCs w:val="21"/>
          <w:highlight w:val="none"/>
          <w:u w:val="single"/>
        </w:rPr>
        <w:t>2</w:t>
      </w:r>
      <w:r>
        <w:rPr>
          <w:rFonts w:cs="Times New Roman"/>
          <w:i/>
          <w:color w:val="auto"/>
          <w:sz w:val="21"/>
          <w:szCs w:val="21"/>
          <w:highlight w:val="none"/>
          <w:u w:val="single"/>
        </w:rPr>
        <w:t>.（标的名称）</w:t>
      </w:r>
      <w:r>
        <w:rPr>
          <w:rFonts w:cs="Times New Roman"/>
          <w:color w:val="auto"/>
          <w:sz w:val="21"/>
          <w:szCs w:val="21"/>
          <w:highlight w:val="none"/>
        </w:rPr>
        <w:t>，属于</w:t>
      </w:r>
      <w:r>
        <w:rPr>
          <w:rFonts w:cs="Times New Roman"/>
          <w:i/>
          <w:color w:val="auto"/>
          <w:sz w:val="21"/>
          <w:szCs w:val="21"/>
          <w:highlight w:val="none"/>
        </w:rPr>
        <w:t>（</w:t>
      </w:r>
      <w:r>
        <w:rPr>
          <w:rFonts w:cs="Times New Roman"/>
          <w:i/>
          <w:color w:val="auto"/>
          <w:sz w:val="21"/>
          <w:szCs w:val="21"/>
          <w:highlight w:val="none"/>
          <w:u w:val="single"/>
        </w:rPr>
        <w:t>采购文件中明确的所属行业）</w:t>
      </w:r>
      <w:r>
        <w:rPr>
          <w:rFonts w:cs="Times New Roman"/>
          <w:color w:val="auto"/>
          <w:sz w:val="21"/>
          <w:szCs w:val="21"/>
          <w:highlight w:val="none"/>
        </w:rPr>
        <w:t>；承建（承接）企业为</w:t>
      </w:r>
      <w:r>
        <w:rPr>
          <w:rFonts w:cs="Times New Roman"/>
          <w:i/>
          <w:color w:val="auto"/>
          <w:sz w:val="21"/>
          <w:szCs w:val="21"/>
          <w:highlight w:val="none"/>
          <w:u w:val="single"/>
        </w:rPr>
        <w:t>（企业名称）</w:t>
      </w:r>
      <w:r>
        <w:rPr>
          <w:rFonts w:cs="Times New Roman"/>
          <w:color w:val="auto"/>
          <w:sz w:val="21"/>
          <w:szCs w:val="21"/>
          <w:highlight w:val="none"/>
        </w:rPr>
        <w:t>，从业人员</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人，营业收入为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万元，资产总额为</w:t>
      </w:r>
      <w:r>
        <w:rPr>
          <w:rFonts w:cs="Times New Roman"/>
          <w:color w:val="auto"/>
          <w:sz w:val="21"/>
          <w:szCs w:val="21"/>
          <w:highlight w:val="none"/>
          <w:u w:val="single"/>
        </w:rPr>
        <w:t xml:space="preserve"> </w:t>
      </w:r>
      <w:r>
        <w:rPr>
          <w:rFonts w:cs="Times New Roman"/>
          <w:color w:val="auto"/>
          <w:sz w:val="21"/>
          <w:szCs w:val="21"/>
          <w:highlight w:val="none"/>
          <w:u w:val="single"/>
        </w:rPr>
        <w:tab/>
      </w:r>
      <w:r>
        <w:rPr>
          <w:rFonts w:cs="Times New Roman"/>
          <w:color w:val="auto"/>
          <w:sz w:val="21"/>
          <w:szCs w:val="21"/>
          <w:highlight w:val="none"/>
        </w:rPr>
        <w:t>万元，属于</w:t>
      </w:r>
      <w:r>
        <w:rPr>
          <w:rFonts w:cs="Times New Roman"/>
          <w:i/>
          <w:color w:val="auto"/>
          <w:sz w:val="21"/>
          <w:szCs w:val="21"/>
          <w:highlight w:val="none"/>
          <w:u w:val="single"/>
        </w:rPr>
        <w:t>（中型企业、小型企业、微型企业）</w:t>
      </w: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企业名称（盖章）：</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《中小企业声明函》填写不全的，视为未提供《中小企业声明函》（从业人员、营业收入、资产总额在中小企业划型标准规定中不涉及的除外），不享受价格优惠。</w:t>
      </w:r>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15"/>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2022年青艺周公共媒体推广、活动</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QSZB-Z(F)-C22128(CS)</w:t>
      </w:r>
      <w:r>
        <w:rPr>
          <w:rFonts w:hint="eastAsia"/>
          <w:color w:val="auto"/>
          <w:sz w:val="21"/>
          <w:szCs w:val="21"/>
          <w:highlight w:val="none"/>
        </w:rPr>
        <w:t xml:space="preserve">  </w:t>
      </w:r>
    </w:p>
    <w:tbl>
      <w:tblPr>
        <w:tblStyle w:val="1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w:t>
      </w:r>
      <w:r>
        <w:rPr>
          <w:rFonts w:hint="eastAsia" w:cs="Times New Roman"/>
          <w:bCs/>
          <w:color w:val="auto"/>
          <w:spacing w:val="-6"/>
          <w:sz w:val="21"/>
          <w:szCs w:val="21"/>
          <w:highlight w:val="none"/>
          <w:u w:val="single"/>
          <w:lang w:eastAsia="zh-CN"/>
        </w:rPr>
        <w:t>2022年青艺周公共媒体推广、活动</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QSZB-Z(F)-C22128(CS)</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联系人：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职务：</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手机：</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电子邮箱：</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c>
          <w:tcPr>
            <w:tcW w:w="6808" w:type="dxa"/>
          </w:tcPr>
          <w:p>
            <w:pPr>
              <w:adjustRightInd w:val="0"/>
              <w:snapToGrid w:val="0"/>
              <w:spacing w:line="288" w:lineRule="auto"/>
              <w:rPr>
                <w:rFonts w:cs="Times New Roman"/>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银行账号：</w:t>
            </w:r>
          </w:p>
        </w:tc>
        <w:tc>
          <w:tcPr>
            <w:tcW w:w="6808" w:type="dxa"/>
          </w:tcPr>
          <w:p>
            <w:pPr>
              <w:adjustRightInd w:val="0"/>
              <w:snapToGrid w:val="0"/>
              <w:spacing w:line="288" w:lineRule="auto"/>
              <w:rPr>
                <w:rFonts w:cs="Times New Roman"/>
                <w:color w:val="auto"/>
                <w:spacing w:val="-6"/>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w:t>
      </w:r>
      <w:r>
        <w:rPr>
          <w:rFonts w:hint="eastAsia" w:cs="Times New Roman"/>
          <w:bCs/>
          <w:color w:val="auto"/>
          <w:spacing w:val="-6"/>
          <w:sz w:val="21"/>
          <w:szCs w:val="21"/>
          <w:highlight w:val="none"/>
          <w:lang w:eastAsia="zh-CN"/>
        </w:rPr>
        <w:t>2022年青艺周公共媒体推广、活动</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2020年12月（含）以后任意一月社保缴纳证明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法定代表人身份证明：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授权代表身份证明：</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）2020年12月（含）以后任意一月的供应商授权代表社保缴纳证明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26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w:t>
            </w:r>
          </w:p>
        </w:tc>
        <w:tc>
          <w:tcPr>
            <w:tcW w:w="12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项目名称</w:t>
            </w:r>
          </w:p>
        </w:tc>
        <w:tc>
          <w:tcPr>
            <w:tcW w:w="143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25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合同金额</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（万元）</w:t>
            </w:r>
          </w:p>
        </w:tc>
        <w:tc>
          <w:tcPr>
            <w:tcW w:w="89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附件页码</w:t>
            </w:r>
          </w:p>
        </w:tc>
        <w:tc>
          <w:tcPr>
            <w:tcW w:w="995"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合同签订时间</w:t>
            </w:r>
          </w:p>
        </w:tc>
        <w:tc>
          <w:tcPr>
            <w:tcW w:w="1718"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采购人联系人</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sz w:val="21"/>
                <w:szCs w:val="21"/>
                <w:highlight w:val="none"/>
              </w:rPr>
            </w:pPr>
          </w:p>
        </w:tc>
        <w:tc>
          <w:tcPr>
            <w:tcW w:w="1268" w:type="dxa"/>
            <w:vAlign w:val="center"/>
          </w:tcPr>
          <w:p>
            <w:pPr>
              <w:adjustRightInd w:val="0"/>
              <w:snapToGrid w:val="0"/>
              <w:spacing w:line="288" w:lineRule="auto"/>
              <w:jc w:val="center"/>
              <w:rPr>
                <w:color w:val="auto"/>
                <w:sz w:val="21"/>
                <w:szCs w:val="21"/>
                <w:highlight w:val="none"/>
              </w:rPr>
            </w:pPr>
          </w:p>
        </w:tc>
        <w:tc>
          <w:tcPr>
            <w:tcW w:w="1282" w:type="dxa"/>
            <w:vAlign w:val="center"/>
          </w:tcPr>
          <w:p>
            <w:pPr>
              <w:adjustRightInd w:val="0"/>
              <w:snapToGrid w:val="0"/>
              <w:spacing w:line="288" w:lineRule="auto"/>
              <w:jc w:val="center"/>
              <w:rPr>
                <w:color w:val="auto"/>
                <w:sz w:val="21"/>
                <w:szCs w:val="21"/>
                <w:highlight w:val="none"/>
              </w:rPr>
            </w:pPr>
          </w:p>
        </w:tc>
        <w:tc>
          <w:tcPr>
            <w:tcW w:w="1432" w:type="dxa"/>
            <w:vAlign w:val="center"/>
          </w:tcPr>
          <w:p>
            <w:pPr>
              <w:adjustRightInd w:val="0"/>
              <w:snapToGrid w:val="0"/>
              <w:spacing w:line="288" w:lineRule="auto"/>
              <w:jc w:val="center"/>
              <w:rPr>
                <w:color w:val="auto"/>
                <w:sz w:val="21"/>
                <w:szCs w:val="21"/>
                <w:highlight w:val="none"/>
              </w:rPr>
            </w:pPr>
          </w:p>
        </w:tc>
        <w:tc>
          <w:tcPr>
            <w:tcW w:w="1256" w:type="dxa"/>
            <w:vAlign w:val="center"/>
          </w:tcPr>
          <w:p>
            <w:pPr>
              <w:adjustRightInd w:val="0"/>
              <w:snapToGrid w:val="0"/>
              <w:spacing w:line="288" w:lineRule="auto"/>
              <w:jc w:val="center"/>
              <w:rPr>
                <w:color w:val="auto"/>
                <w:sz w:val="21"/>
                <w:szCs w:val="21"/>
                <w:highlight w:val="none"/>
              </w:rPr>
            </w:pPr>
          </w:p>
        </w:tc>
        <w:tc>
          <w:tcPr>
            <w:tcW w:w="899" w:type="dxa"/>
            <w:vAlign w:val="center"/>
          </w:tcPr>
          <w:p>
            <w:pPr>
              <w:adjustRightInd w:val="0"/>
              <w:snapToGrid w:val="0"/>
              <w:spacing w:line="288" w:lineRule="auto"/>
              <w:jc w:val="center"/>
              <w:rPr>
                <w:color w:val="auto"/>
                <w:sz w:val="21"/>
                <w:szCs w:val="21"/>
                <w:highlight w:val="none"/>
              </w:rPr>
            </w:pPr>
          </w:p>
        </w:tc>
        <w:tc>
          <w:tcPr>
            <w:tcW w:w="995" w:type="dxa"/>
            <w:vAlign w:val="center"/>
          </w:tcPr>
          <w:p>
            <w:pPr>
              <w:adjustRightInd w:val="0"/>
              <w:snapToGrid w:val="0"/>
              <w:spacing w:line="288" w:lineRule="auto"/>
              <w:jc w:val="center"/>
              <w:rPr>
                <w:color w:val="auto"/>
                <w:sz w:val="21"/>
                <w:szCs w:val="21"/>
                <w:highlight w:val="none"/>
              </w:rPr>
            </w:pPr>
          </w:p>
        </w:tc>
        <w:tc>
          <w:tcPr>
            <w:tcW w:w="1718"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2022年青艺周公共媒体推广、活动</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QSZB-Z(F)-C22128(CS)</w:t>
      </w:r>
      <w:r>
        <w:rPr>
          <w:rFonts w:hint="eastAsia"/>
          <w:color w:val="auto"/>
          <w:sz w:val="21"/>
          <w:szCs w:val="21"/>
          <w:highlight w:val="non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spacing w:line="288" w:lineRule="auto"/>
              <w:jc w:val="center"/>
              <w:rPr>
                <w:color w:val="auto"/>
                <w:sz w:val="21"/>
                <w:szCs w:val="21"/>
                <w:highlight w:val="none"/>
              </w:rPr>
            </w:pPr>
          </w:p>
        </w:tc>
        <w:tc>
          <w:tcPr>
            <w:tcW w:w="2911" w:type="dxa"/>
            <w:vAlign w:val="center"/>
          </w:tcPr>
          <w:p>
            <w:pPr>
              <w:adjustRightInd w:val="0"/>
              <w:snapToGrid w:val="0"/>
              <w:spacing w:line="288" w:lineRule="auto"/>
              <w:jc w:val="center"/>
              <w:rPr>
                <w:color w:val="auto"/>
                <w:sz w:val="21"/>
                <w:szCs w:val="21"/>
                <w:highlight w:val="none"/>
              </w:rPr>
            </w:pPr>
          </w:p>
        </w:tc>
        <w:tc>
          <w:tcPr>
            <w:tcW w:w="2407" w:type="dxa"/>
            <w:vAlign w:val="center"/>
          </w:tcPr>
          <w:p>
            <w:pPr>
              <w:adjustRightInd w:val="0"/>
              <w:snapToGrid w:val="0"/>
              <w:spacing w:line="288" w:lineRule="auto"/>
              <w:jc w:val="center"/>
              <w:rPr>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45"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（7）供应商需要说明的其他文件和材料。</w:t>
      </w:r>
      <w:bookmarkEnd w:id="45"/>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附件2</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3%的扣除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adjustRightInd w:val="0"/>
        <w:snapToGrid w:val="0"/>
        <w:spacing w:line="288" w:lineRule="auto"/>
        <w:rPr>
          <w:b/>
          <w:color w:val="auto"/>
          <w:spacing w:val="-6"/>
          <w:sz w:val="21"/>
          <w:szCs w:val="21"/>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359EB"/>
    <w:multiLevelType w:val="multilevel"/>
    <w:tmpl w:val="6AE359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E0E20"/>
    <w:rsid w:val="00000FE0"/>
    <w:rsid w:val="00002968"/>
    <w:rsid w:val="00003692"/>
    <w:rsid w:val="00003FFC"/>
    <w:rsid w:val="0000672B"/>
    <w:rsid w:val="00017F85"/>
    <w:rsid w:val="00020F6F"/>
    <w:rsid w:val="00021B54"/>
    <w:rsid w:val="00021E52"/>
    <w:rsid w:val="0002527B"/>
    <w:rsid w:val="00026204"/>
    <w:rsid w:val="0002684E"/>
    <w:rsid w:val="00031B39"/>
    <w:rsid w:val="00033A1D"/>
    <w:rsid w:val="00052BA5"/>
    <w:rsid w:val="00071F0A"/>
    <w:rsid w:val="000767D0"/>
    <w:rsid w:val="00081FB8"/>
    <w:rsid w:val="00083A4C"/>
    <w:rsid w:val="00084812"/>
    <w:rsid w:val="000871AF"/>
    <w:rsid w:val="00087AA4"/>
    <w:rsid w:val="000908FB"/>
    <w:rsid w:val="0009587C"/>
    <w:rsid w:val="000A693B"/>
    <w:rsid w:val="000A7653"/>
    <w:rsid w:val="000B0AFC"/>
    <w:rsid w:val="000B2063"/>
    <w:rsid w:val="000B22A6"/>
    <w:rsid w:val="000B6DC3"/>
    <w:rsid w:val="000C354C"/>
    <w:rsid w:val="000C5B13"/>
    <w:rsid w:val="000D70AF"/>
    <w:rsid w:val="000E1952"/>
    <w:rsid w:val="000E6023"/>
    <w:rsid w:val="000F6819"/>
    <w:rsid w:val="000F74F6"/>
    <w:rsid w:val="000F7F44"/>
    <w:rsid w:val="00110E4C"/>
    <w:rsid w:val="0012475B"/>
    <w:rsid w:val="00127812"/>
    <w:rsid w:val="0013073F"/>
    <w:rsid w:val="001407E0"/>
    <w:rsid w:val="001409BF"/>
    <w:rsid w:val="00142487"/>
    <w:rsid w:val="0014452E"/>
    <w:rsid w:val="00145F4F"/>
    <w:rsid w:val="00146C91"/>
    <w:rsid w:val="001608A6"/>
    <w:rsid w:val="001629F2"/>
    <w:rsid w:val="0016331E"/>
    <w:rsid w:val="001705C9"/>
    <w:rsid w:val="00174FAC"/>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90B03"/>
    <w:rsid w:val="00294B8C"/>
    <w:rsid w:val="00297341"/>
    <w:rsid w:val="002A0D65"/>
    <w:rsid w:val="002A143E"/>
    <w:rsid w:val="002A2B06"/>
    <w:rsid w:val="002A497A"/>
    <w:rsid w:val="002A7800"/>
    <w:rsid w:val="002B00EC"/>
    <w:rsid w:val="002B6EDB"/>
    <w:rsid w:val="002C5BEB"/>
    <w:rsid w:val="002C7B80"/>
    <w:rsid w:val="002D5B1A"/>
    <w:rsid w:val="002E42D3"/>
    <w:rsid w:val="002E4A55"/>
    <w:rsid w:val="002E77E1"/>
    <w:rsid w:val="002F0A74"/>
    <w:rsid w:val="002F39B2"/>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7DC5"/>
    <w:rsid w:val="003544E6"/>
    <w:rsid w:val="003554CF"/>
    <w:rsid w:val="003574D9"/>
    <w:rsid w:val="0036448F"/>
    <w:rsid w:val="003715FC"/>
    <w:rsid w:val="0037467E"/>
    <w:rsid w:val="003866DD"/>
    <w:rsid w:val="003875B9"/>
    <w:rsid w:val="00391308"/>
    <w:rsid w:val="00393A98"/>
    <w:rsid w:val="00395B34"/>
    <w:rsid w:val="00395EE3"/>
    <w:rsid w:val="00396158"/>
    <w:rsid w:val="00396C6A"/>
    <w:rsid w:val="003A29CB"/>
    <w:rsid w:val="003A3B4B"/>
    <w:rsid w:val="003B7308"/>
    <w:rsid w:val="003C00F7"/>
    <w:rsid w:val="003D2A8D"/>
    <w:rsid w:val="003D5885"/>
    <w:rsid w:val="003E0C7F"/>
    <w:rsid w:val="003E3619"/>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716B"/>
    <w:rsid w:val="00460410"/>
    <w:rsid w:val="00462F48"/>
    <w:rsid w:val="00467FA3"/>
    <w:rsid w:val="0047650F"/>
    <w:rsid w:val="00477C08"/>
    <w:rsid w:val="0048411A"/>
    <w:rsid w:val="00487FA3"/>
    <w:rsid w:val="004A7850"/>
    <w:rsid w:val="004B27EF"/>
    <w:rsid w:val="004B43AB"/>
    <w:rsid w:val="004B5D4B"/>
    <w:rsid w:val="004C0583"/>
    <w:rsid w:val="004C10D2"/>
    <w:rsid w:val="004C28D6"/>
    <w:rsid w:val="004C519D"/>
    <w:rsid w:val="004C5538"/>
    <w:rsid w:val="004D29E5"/>
    <w:rsid w:val="004E0163"/>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BAA"/>
    <w:rsid w:val="005A7876"/>
    <w:rsid w:val="005B0747"/>
    <w:rsid w:val="005B2FD9"/>
    <w:rsid w:val="005B3646"/>
    <w:rsid w:val="005C3708"/>
    <w:rsid w:val="005C3F3F"/>
    <w:rsid w:val="005C5996"/>
    <w:rsid w:val="005C76EF"/>
    <w:rsid w:val="005D7140"/>
    <w:rsid w:val="005E1447"/>
    <w:rsid w:val="005E392F"/>
    <w:rsid w:val="005E541A"/>
    <w:rsid w:val="005E606B"/>
    <w:rsid w:val="005F0EB3"/>
    <w:rsid w:val="005F1491"/>
    <w:rsid w:val="005F54EF"/>
    <w:rsid w:val="00602E69"/>
    <w:rsid w:val="00604B99"/>
    <w:rsid w:val="00605A26"/>
    <w:rsid w:val="00616EEB"/>
    <w:rsid w:val="00623375"/>
    <w:rsid w:val="00630726"/>
    <w:rsid w:val="00631899"/>
    <w:rsid w:val="00632793"/>
    <w:rsid w:val="006366F0"/>
    <w:rsid w:val="00647F07"/>
    <w:rsid w:val="006576BA"/>
    <w:rsid w:val="00660F95"/>
    <w:rsid w:val="00665775"/>
    <w:rsid w:val="00676C52"/>
    <w:rsid w:val="00680911"/>
    <w:rsid w:val="00680A5B"/>
    <w:rsid w:val="006A039B"/>
    <w:rsid w:val="006A5664"/>
    <w:rsid w:val="006A5A5D"/>
    <w:rsid w:val="006B4656"/>
    <w:rsid w:val="006C1D47"/>
    <w:rsid w:val="006C3481"/>
    <w:rsid w:val="006D3BAA"/>
    <w:rsid w:val="006D7283"/>
    <w:rsid w:val="006E5749"/>
    <w:rsid w:val="006F277C"/>
    <w:rsid w:val="006F46B6"/>
    <w:rsid w:val="0070138B"/>
    <w:rsid w:val="00705EF5"/>
    <w:rsid w:val="00707602"/>
    <w:rsid w:val="00707B60"/>
    <w:rsid w:val="00711714"/>
    <w:rsid w:val="00712984"/>
    <w:rsid w:val="0071599A"/>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6ACF"/>
    <w:rsid w:val="007873F4"/>
    <w:rsid w:val="007904D7"/>
    <w:rsid w:val="00791767"/>
    <w:rsid w:val="007A2CA3"/>
    <w:rsid w:val="007B160C"/>
    <w:rsid w:val="007B606B"/>
    <w:rsid w:val="007C2F9C"/>
    <w:rsid w:val="007C537A"/>
    <w:rsid w:val="007D1444"/>
    <w:rsid w:val="007D2661"/>
    <w:rsid w:val="007E240F"/>
    <w:rsid w:val="007E681D"/>
    <w:rsid w:val="007F10BF"/>
    <w:rsid w:val="007F2E8B"/>
    <w:rsid w:val="007F4804"/>
    <w:rsid w:val="00800ABA"/>
    <w:rsid w:val="00800FCE"/>
    <w:rsid w:val="00810FA6"/>
    <w:rsid w:val="008133A4"/>
    <w:rsid w:val="00814C63"/>
    <w:rsid w:val="00822876"/>
    <w:rsid w:val="008316E0"/>
    <w:rsid w:val="00840283"/>
    <w:rsid w:val="00840FE7"/>
    <w:rsid w:val="00841ADD"/>
    <w:rsid w:val="00843675"/>
    <w:rsid w:val="00851510"/>
    <w:rsid w:val="008634FB"/>
    <w:rsid w:val="008639D0"/>
    <w:rsid w:val="00882EE8"/>
    <w:rsid w:val="008A34A6"/>
    <w:rsid w:val="008B218D"/>
    <w:rsid w:val="008B6837"/>
    <w:rsid w:val="008B71DF"/>
    <w:rsid w:val="008C688F"/>
    <w:rsid w:val="008D5940"/>
    <w:rsid w:val="008D737F"/>
    <w:rsid w:val="008D741F"/>
    <w:rsid w:val="008E0CE8"/>
    <w:rsid w:val="008E337A"/>
    <w:rsid w:val="008E4BFF"/>
    <w:rsid w:val="008F22D6"/>
    <w:rsid w:val="008F5B6A"/>
    <w:rsid w:val="008F6F9B"/>
    <w:rsid w:val="009023DD"/>
    <w:rsid w:val="00904B25"/>
    <w:rsid w:val="009132BA"/>
    <w:rsid w:val="00914148"/>
    <w:rsid w:val="00915C23"/>
    <w:rsid w:val="00920D1A"/>
    <w:rsid w:val="00925E18"/>
    <w:rsid w:val="0092726D"/>
    <w:rsid w:val="00936D8A"/>
    <w:rsid w:val="00937430"/>
    <w:rsid w:val="00946CA8"/>
    <w:rsid w:val="00950B67"/>
    <w:rsid w:val="00953C5E"/>
    <w:rsid w:val="00957D35"/>
    <w:rsid w:val="009637F6"/>
    <w:rsid w:val="009653D9"/>
    <w:rsid w:val="00966E9D"/>
    <w:rsid w:val="00967418"/>
    <w:rsid w:val="00981D3A"/>
    <w:rsid w:val="009875B5"/>
    <w:rsid w:val="00993DBA"/>
    <w:rsid w:val="009949B7"/>
    <w:rsid w:val="009B0344"/>
    <w:rsid w:val="009B0494"/>
    <w:rsid w:val="009B2D3E"/>
    <w:rsid w:val="009B355A"/>
    <w:rsid w:val="009B35EF"/>
    <w:rsid w:val="009B4C50"/>
    <w:rsid w:val="009B750B"/>
    <w:rsid w:val="009D152F"/>
    <w:rsid w:val="009D42DC"/>
    <w:rsid w:val="009D5682"/>
    <w:rsid w:val="009D5E5D"/>
    <w:rsid w:val="009D6591"/>
    <w:rsid w:val="009D7233"/>
    <w:rsid w:val="009E290A"/>
    <w:rsid w:val="009E3823"/>
    <w:rsid w:val="009E4C1D"/>
    <w:rsid w:val="00A03AD8"/>
    <w:rsid w:val="00A07A45"/>
    <w:rsid w:val="00A142D1"/>
    <w:rsid w:val="00A22CF0"/>
    <w:rsid w:val="00A2408D"/>
    <w:rsid w:val="00A249C0"/>
    <w:rsid w:val="00A30675"/>
    <w:rsid w:val="00A33906"/>
    <w:rsid w:val="00A35229"/>
    <w:rsid w:val="00A40AAC"/>
    <w:rsid w:val="00A42750"/>
    <w:rsid w:val="00A42C00"/>
    <w:rsid w:val="00A549DF"/>
    <w:rsid w:val="00A6088B"/>
    <w:rsid w:val="00A64554"/>
    <w:rsid w:val="00A732F4"/>
    <w:rsid w:val="00A73C39"/>
    <w:rsid w:val="00A76EBE"/>
    <w:rsid w:val="00A819DE"/>
    <w:rsid w:val="00A81A32"/>
    <w:rsid w:val="00A82257"/>
    <w:rsid w:val="00A86E0A"/>
    <w:rsid w:val="00A9606B"/>
    <w:rsid w:val="00A96BAB"/>
    <w:rsid w:val="00AA0EF3"/>
    <w:rsid w:val="00AA1886"/>
    <w:rsid w:val="00AA31FE"/>
    <w:rsid w:val="00AA3A8D"/>
    <w:rsid w:val="00AA6460"/>
    <w:rsid w:val="00AB018B"/>
    <w:rsid w:val="00AB05B7"/>
    <w:rsid w:val="00AB2659"/>
    <w:rsid w:val="00AB4295"/>
    <w:rsid w:val="00AB5BA0"/>
    <w:rsid w:val="00AC1688"/>
    <w:rsid w:val="00AC20C7"/>
    <w:rsid w:val="00AC2671"/>
    <w:rsid w:val="00AC6367"/>
    <w:rsid w:val="00AC6923"/>
    <w:rsid w:val="00AD3EB3"/>
    <w:rsid w:val="00AE244D"/>
    <w:rsid w:val="00AE7769"/>
    <w:rsid w:val="00AE786C"/>
    <w:rsid w:val="00AE7AEE"/>
    <w:rsid w:val="00AF26F2"/>
    <w:rsid w:val="00AF74F9"/>
    <w:rsid w:val="00B02F83"/>
    <w:rsid w:val="00B04CC6"/>
    <w:rsid w:val="00B058CE"/>
    <w:rsid w:val="00B06C53"/>
    <w:rsid w:val="00B102AE"/>
    <w:rsid w:val="00B10592"/>
    <w:rsid w:val="00B13329"/>
    <w:rsid w:val="00B13F59"/>
    <w:rsid w:val="00B145EA"/>
    <w:rsid w:val="00B22B41"/>
    <w:rsid w:val="00B255CB"/>
    <w:rsid w:val="00B273E5"/>
    <w:rsid w:val="00B27D5F"/>
    <w:rsid w:val="00B34DE9"/>
    <w:rsid w:val="00B35964"/>
    <w:rsid w:val="00B3599C"/>
    <w:rsid w:val="00B368F7"/>
    <w:rsid w:val="00B43EB1"/>
    <w:rsid w:val="00B44156"/>
    <w:rsid w:val="00B461A3"/>
    <w:rsid w:val="00B46901"/>
    <w:rsid w:val="00B60372"/>
    <w:rsid w:val="00B700A7"/>
    <w:rsid w:val="00B75F72"/>
    <w:rsid w:val="00B76572"/>
    <w:rsid w:val="00B80B79"/>
    <w:rsid w:val="00B8265D"/>
    <w:rsid w:val="00B82769"/>
    <w:rsid w:val="00B83D54"/>
    <w:rsid w:val="00BA1344"/>
    <w:rsid w:val="00BA20EE"/>
    <w:rsid w:val="00BA23C3"/>
    <w:rsid w:val="00BA5574"/>
    <w:rsid w:val="00BA5B33"/>
    <w:rsid w:val="00BB537B"/>
    <w:rsid w:val="00BC0A2A"/>
    <w:rsid w:val="00BC0C37"/>
    <w:rsid w:val="00BC60C5"/>
    <w:rsid w:val="00BC69B9"/>
    <w:rsid w:val="00BD1071"/>
    <w:rsid w:val="00BD48DF"/>
    <w:rsid w:val="00BD4A95"/>
    <w:rsid w:val="00BD6DF5"/>
    <w:rsid w:val="00BF12A4"/>
    <w:rsid w:val="00BF16BF"/>
    <w:rsid w:val="00BF7858"/>
    <w:rsid w:val="00C00275"/>
    <w:rsid w:val="00C06714"/>
    <w:rsid w:val="00C06A4F"/>
    <w:rsid w:val="00C127D1"/>
    <w:rsid w:val="00C16A0C"/>
    <w:rsid w:val="00C23F1B"/>
    <w:rsid w:val="00C31136"/>
    <w:rsid w:val="00C32739"/>
    <w:rsid w:val="00C409EC"/>
    <w:rsid w:val="00C419D0"/>
    <w:rsid w:val="00C43452"/>
    <w:rsid w:val="00C43EC7"/>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1097C"/>
    <w:rsid w:val="00D116CB"/>
    <w:rsid w:val="00D14D9B"/>
    <w:rsid w:val="00D150C5"/>
    <w:rsid w:val="00D15194"/>
    <w:rsid w:val="00D15DBD"/>
    <w:rsid w:val="00D15F6A"/>
    <w:rsid w:val="00D24E07"/>
    <w:rsid w:val="00D27DC0"/>
    <w:rsid w:val="00D32C35"/>
    <w:rsid w:val="00D3372B"/>
    <w:rsid w:val="00D358FB"/>
    <w:rsid w:val="00D37F05"/>
    <w:rsid w:val="00D44ACC"/>
    <w:rsid w:val="00D45C73"/>
    <w:rsid w:val="00D45F06"/>
    <w:rsid w:val="00D5473A"/>
    <w:rsid w:val="00D549C3"/>
    <w:rsid w:val="00D57999"/>
    <w:rsid w:val="00D63B7F"/>
    <w:rsid w:val="00D6455C"/>
    <w:rsid w:val="00D6559F"/>
    <w:rsid w:val="00D66B50"/>
    <w:rsid w:val="00D70BAD"/>
    <w:rsid w:val="00D722AC"/>
    <w:rsid w:val="00D80A2C"/>
    <w:rsid w:val="00D87236"/>
    <w:rsid w:val="00D91A7B"/>
    <w:rsid w:val="00D92F42"/>
    <w:rsid w:val="00D930C1"/>
    <w:rsid w:val="00D938F4"/>
    <w:rsid w:val="00D96E37"/>
    <w:rsid w:val="00DA38EB"/>
    <w:rsid w:val="00DA4676"/>
    <w:rsid w:val="00DA499E"/>
    <w:rsid w:val="00DA6115"/>
    <w:rsid w:val="00DA66D7"/>
    <w:rsid w:val="00DB0427"/>
    <w:rsid w:val="00DB252D"/>
    <w:rsid w:val="00DB7001"/>
    <w:rsid w:val="00DC7855"/>
    <w:rsid w:val="00DD03A9"/>
    <w:rsid w:val="00DD08CA"/>
    <w:rsid w:val="00DD2AFA"/>
    <w:rsid w:val="00DD3361"/>
    <w:rsid w:val="00DD6BD6"/>
    <w:rsid w:val="00DD6C5E"/>
    <w:rsid w:val="00DE0018"/>
    <w:rsid w:val="00DE276C"/>
    <w:rsid w:val="00DE402D"/>
    <w:rsid w:val="00DF07C2"/>
    <w:rsid w:val="00DF205A"/>
    <w:rsid w:val="00DF3A0D"/>
    <w:rsid w:val="00DF40BC"/>
    <w:rsid w:val="00DF4C43"/>
    <w:rsid w:val="00DF5142"/>
    <w:rsid w:val="00E02718"/>
    <w:rsid w:val="00E02BC1"/>
    <w:rsid w:val="00E03F07"/>
    <w:rsid w:val="00E06FA8"/>
    <w:rsid w:val="00E07963"/>
    <w:rsid w:val="00E12310"/>
    <w:rsid w:val="00E17C9D"/>
    <w:rsid w:val="00E26AFE"/>
    <w:rsid w:val="00E26F8C"/>
    <w:rsid w:val="00E30E42"/>
    <w:rsid w:val="00E3206B"/>
    <w:rsid w:val="00E36D93"/>
    <w:rsid w:val="00E370E0"/>
    <w:rsid w:val="00E5038C"/>
    <w:rsid w:val="00E51DCB"/>
    <w:rsid w:val="00E53AA7"/>
    <w:rsid w:val="00E565AC"/>
    <w:rsid w:val="00E66BFD"/>
    <w:rsid w:val="00E702BC"/>
    <w:rsid w:val="00E7371B"/>
    <w:rsid w:val="00E9083B"/>
    <w:rsid w:val="00E92EC6"/>
    <w:rsid w:val="00E9327B"/>
    <w:rsid w:val="00E97A1F"/>
    <w:rsid w:val="00EA2CC6"/>
    <w:rsid w:val="00EA7038"/>
    <w:rsid w:val="00EC0E91"/>
    <w:rsid w:val="00EC2506"/>
    <w:rsid w:val="00EC5481"/>
    <w:rsid w:val="00ED1063"/>
    <w:rsid w:val="00ED3169"/>
    <w:rsid w:val="00ED52F0"/>
    <w:rsid w:val="00ED5C3B"/>
    <w:rsid w:val="00ED5D79"/>
    <w:rsid w:val="00EE0537"/>
    <w:rsid w:val="00EE2A48"/>
    <w:rsid w:val="00F018F6"/>
    <w:rsid w:val="00F02D14"/>
    <w:rsid w:val="00F04D51"/>
    <w:rsid w:val="00F05A5D"/>
    <w:rsid w:val="00F0780F"/>
    <w:rsid w:val="00F116E5"/>
    <w:rsid w:val="00F15219"/>
    <w:rsid w:val="00F171A7"/>
    <w:rsid w:val="00F251E5"/>
    <w:rsid w:val="00F26B94"/>
    <w:rsid w:val="00F31217"/>
    <w:rsid w:val="00F31415"/>
    <w:rsid w:val="00F40CB5"/>
    <w:rsid w:val="00F54B3E"/>
    <w:rsid w:val="00F5586F"/>
    <w:rsid w:val="00F60635"/>
    <w:rsid w:val="00F62803"/>
    <w:rsid w:val="00F64962"/>
    <w:rsid w:val="00F742BF"/>
    <w:rsid w:val="00F75E1B"/>
    <w:rsid w:val="00F80014"/>
    <w:rsid w:val="00F80F99"/>
    <w:rsid w:val="00F824DA"/>
    <w:rsid w:val="00F9106A"/>
    <w:rsid w:val="00F94DF0"/>
    <w:rsid w:val="00FA1F1C"/>
    <w:rsid w:val="00FB1975"/>
    <w:rsid w:val="00FC0DF7"/>
    <w:rsid w:val="00FD21A7"/>
    <w:rsid w:val="00FD5B27"/>
    <w:rsid w:val="00FE036D"/>
    <w:rsid w:val="00FE23A5"/>
    <w:rsid w:val="00FE35AF"/>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104C02"/>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B16C5B"/>
    <w:rsid w:val="0FE412F8"/>
    <w:rsid w:val="10210889"/>
    <w:rsid w:val="10356A35"/>
    <w:rsid w:val="10AC3582"/>
    <w:rsid w:val="10D1632A"/>
    <w:rsid w:val="11070506"/>
    <w:rsid w:val="111050C4"/>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AA4067"/>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D24677"/>
    <w:rsid w:val="18F37C5C"/>
    <w:rsid w:val="190D2A36"/>
    <w:rsid w:val="191C5EFD"/>
    <w:rsid w:val="19295D46"/>
    <w:rsid w:val="19311F7B"/>
    <w:rsid w:val="19335297"/>
    <w:rsid w:val="195041F3"/>
    <w:rsid w:val="198978FC"/>
    <w:rsid w:val="19BE5EE1"/>
    <w:rsid w:val="19D115FD"/>
    <w:rsid w:val="19F84096"/>
    <w:rsid w:val="1A477CEF"/>
    <w:rsid w:val="1AAF3421"/>
    <w:rsid w:val="1AB23249"/>
    <w:rsid w:val="1AC828CA"/>
    <w:rsid w:val="1AE20BCB"/>
    <w:rsid w:val="1AE2213E"/>
    <w:rsid w:val="1B855CC2"/>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9F662A"/>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878B1"/>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5ED419A"/>
    <w:rsid w:val="26035BEC"/>
    <w:rsid w:val="26043654"/>
    <w:rsid w:val="26091EBB"/>
    <w:rsid w:val="262B40F9"/>
    <w:rsid w:val="26547AE8"/>
    <w:rsid w:val="269A2C67"/>
    <w:rsid w:val="26E525E4"/>
    <w:rsid w:val="26E60A65"/>
    <w:rsid w:val="27097234"/>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9EE5AE7"/>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5B0850"/>
    <w:rsid w:val="2C665C52"/>
    <w:rsid w:val="2C7F3A5D"/>
    <w:rsid w:val="2C863241"/>
    <w:rsid w:val="2CDC7E42"/>
    <w:rsid w:val="2CF652E7"/>
    <w:rsid w:val="2D1153A4"/>
    <w:rsid w:val="2D614DC2"/>
    <w:rsid w:val="2DA22BE2"/>
    <w:rsid w:val="2E2758AF"/>
    <w:rsid w:val="2E3F744B"/>
    <w:rsid w:val="2E4D3DC5"/>
    <w:rsid w:val="2E7942E2"/>
    <w:rsid w:val="2F0F13BF"/>
    <w:rsid w:val="2F0F2FF0"/>
    <w:rsid w:val="2F0F3ED9"/>
    <w:rsid w:val="2F5D35AA"/>
    <w:rsid w:val="2F713FC3"/>
    <w:rsid w:val="30116C8D"/>
    <w:rsid w:val="302B091D"/>
    <w:rsid w:val="302F07D9"/>
    <w:rsid w:val="30376BB9"/>
    <w:rsid w:val="307A6BF4"/>
    <w:rsid w:val="31186EB7"/>
    <w:rsid w:val="3148427E"/>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82695"/>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9633A9"/>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670585"/>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5F09AF"/>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8AE7F32"/>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864E8F"/>
    <w:rsid w:val="4D9B2A2A"/>
    <w:rsid w:val="4DBE7DFA"/>
    <w:rsid w:val="4DC10903"/>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2D267F"/>
    <w:rsid w:val="507239EE"/>
    <w:rsid w:val="5088341F"/>
    <w:rsid w:val="50AD2A54"/>
    <w:rsid w:val="50BA7E57"/>
    <w:rsid w:val="50D81BF7"/>
    <w:rsid w:val="50E9335E"/>
    <w:rsid w:val="51013988"/>
    <w:rsid w:val="51162080"/>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8365D"/>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5FC24E9F"/>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7F1CD3"/>
    <w:rsid w:val="63F818AF"/>
    <w:rsid w:val="64097F81"/>
    <w:rsid w:val="642928A3"/>
    <w:rsid w:val="643F5712"/>
    <w:rsid w:val="64474946"/>
    <w:rsid w:val="648864C8"/>
    <w:rsid w:val="64AC0F65"/>
    <w:rsid w:val="64AC4D21"/>
    <w:rsid w:val="64DE6188"/>
    <w:rsid w:val="64EA3740"/>
    <w:rsid w:val="651B20F1"/>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60678E"/>
    <w:rsid w:val="687F52E8"/>
    <w:rsid w:val="68822D00"/>
    <w:rsid w:val="689E6E93"/>
    <w:rsid w:val="68C04240"/>
    <w:rsid w:val="68FA3F01"/>
    <w:rsid w:val="691D3E24"/>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580981"/>
    <w:rsid w:val="70710D73"/>
    <w:rsid w:val="7075449C"/>
    <w:rsid w:val="7093328D"/>
    <w:rsid w:val="70B94757"/>
    <w:rsid w:val="70CF457E"/>
    <w:rsid w:val="71493E4B"/>
    <w:rsid w:val="71A14605"/>
    <w:rsid w:val="722A7E86"/>
    <w:rsid w:val="723356D8"/>
    <w:rsid w:val="723B1117"/>
    <w:rsid w:val="724F76A0"/>
    <w:rsid w:val="725F7831"/>
    <w:rsid w:val="726208DF"/>
    <w:rsid w:val="727B04D4"/>
    <w:rsid w:val="727B4099"/>
    <w:rsid w:val="72A94047"/>
    <w:rsid w:val="730B3575"/>
    <w:rsid w:val="73734FD6"/>
    <w:rsid w:val="73A83D47"/>
    <w:rsid w:val="73AF252F"/>
    <w:rsid w:val="73EE04C5"/>
    <w:rsid w:val="740E4978"/>
    <w:rsid w:val="745844E5"/>
    <w:rsid w:val="74694643"/>
    <w:rsid w:val="74CE1CE7"/>
    <w:rsid w:val="750A4D76"/>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CD69D7"/>
    <w:rsid w:val="7CD64B89"/>
    <w:rsid w:val="7CFD1F85"/>
    <w:rsid w:val="7D1136F7"/>
    <w:rsid w:val="7D851B58"/>
    <w:rsid w:val="7DCD0FCE"/>
    <w:rsid w:val="7E2010C6"/>
    <w:rsid w:val="7E4F352C"/>
    <w:rsid w:val="7E7C6572"/>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420"/>
    </w:pPr>
    <w:rPr>
      <w:sz w:val="21"/>
      <w:szCs w:val="20"/>
    </w:rPr>
  </w:style>
  <w:style w:type="paragraph" w:styleId="7">
    <w:name w:val="annotation text"/>
    <w:basedOn w:val="1"/>
    <w:link w:val="27"/>
    <w:unhideWhenUsed/>
    <w:qFormat/>
    <w:uiPriority w:val="99"/>
    <w:pPr>
      <w:jc w:val="left"/>
    </w:pPr>
    <w:rPr>
      <w:rFonts w:ascii="Times New Roman" w:hAnsi="Times New Roman" w:cs="Times New Roman"/>
      <w:sz w:val="28"/>
    </w:rPr>
  </w:style>
  <w:style w:type="paragraph" w:styleId="8">
    <w:name w:val="Body Text"/>
    <w:basedOn w:val="1"/>
    <w:next w:val="1"/>
    <w:unhideWhenUsed/>
    <w:qFormat/>
    <w:uiPriority w:val="99"/>
    <w:pPr>
      <w:spacing w:after="120"/>
    </w:pPr>
    <w:rPr>
      <w:rFonts w:ascii="Times New Roman" w:hAnsi="Times New Roman" w:cs="Times New Roman"/>
      <w:sz w:val="28"/>
    </w:rPr>
  </w:style>
  <w:style w:type="paragraph" w:styleId="9">
    <w:name w:val="Body Text Indent"/>
    <w:basedOn w:val="1"/>
    <w:next w:val="10"/>
    <w:link w:val="28"/>
    <w:qFormat/>
    <w:uiPriority w:val="0"/>
    <w:pPr>
      <w:spacing w:line="200" w:lineRule="atLeast"/>
      <w:ind w:firstLine="301"/>
    </w:pPr>
    <w:rPr>
      <w:rFonts w:hAnsi="Courier New" w:cs="Times New Roman"/>
      <w:spacing w:val="-4"/>
      <w:sz w:val="18"/>
      <w:szCs w:val="20"/>
    </w:rPr>
  </w:style>
  <w:style w:type="paragraph" w:styleId="10">
    <w:name w:val="envelope return"/>
    <w:basedOn w:val="1"/>
    <w:qFormat/>
    <w:uiPriority w:val="0"/>
    <w:pPr>
      <w:snapToGrid w:val="0"/>
    </w:pPr>
    <w:rPr>
      <w:rFonts w:ascii="Arial" w:hAnsi="Arial"/>
    </w:rPr>
  </w:style>
  <w:style w:type="paragraph" w:styleId="11">
    <w:name w:val="Plain Text"/>
    <w:basedOn w:val="1"/>
    <w:link w:val="35"/>
    <w:qFormat/>
    <w:uiPriority w:val="99"/>
    <w:pPr>
      <w:spacing w:before="156" w:beforeLines="50" w:after="156" w:afterLines="50" w:line="400" w:lineRule="atLeast"/>
    </w:pPr>
    <w:rPr>
      <w:rFonts w:hAnsi="Courier New" w:eastAsiaTheme="minorEastAsia" w:cstheme="minorBidi"/>
    </w:rPr>
  </w:style>
  <w:style w:type="paragraph" w:styleId="12">
    <w:name w:val="Balloon Text"/>
    <w:basedOn w:val="1"/>
    <w:link w:val="26"/>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unhideWhenUsed/>
    <w:qFormat/>
    <w:uiPriority w:val="99"/>
    <w:pPr>
      <w:widowControl/>
      <w:spacing w:before="100" w:beforeAutospacing="1" w:after="100" w:afterAutospacing="1"/>
      <w:jc w:val="left"/>
    </w:pPr>
    <w:rPr>
      <w:kern w:val="0"/>
    </w:rPr>
  </w:style>
  <w:style w:type="paragraph" w:styleId="16">
    <w:name w:val="annotation subject"/>
    <w:basedOn w:val="7"/>
    <w:next w:val="7"/>
    <w:link w:val="36"/>
    <w:semiHidden/>
    <w:unhideWhenUsed/>
    <w:qFormat/>
    <w:uiPriority w:val="0"/>
    <w:rPr>
      <w:rFonts w:ascii="宋体" w:hAnsi="宋体" w:cs="宋体"/>
      <w:b/>
      <w:bCs/>
      <w:sz w:val="24"/>
    </w:rPr>
  </w:style>
  <w:style w:type="paragraph" w:styleId="17">
    <w:name w:val="Body Text First Indent"/>
    <w:basedOn w:val="8"/>
    <w:next w:val="1"/>
    <w:qFormat/>
    <w:uiPriority w:val="0"/>
    <w:pPr>
      <w:ind w:firstLine="420" w:firstLineChars="100"/>
    </w:pPr>
    <w:rPr>
      <w:kern w:val="0"/>
      <w:sz w:val="21"/>
      <w:szCs w:val="21"/>
    </w:rPr>
  </w:style>
  <w:style w:type="paragraph" w:styleId="18">
    <w:name w:val="Body Text First Indent 2"/>
    <w:basedOn w:val="9"/>
    <w:next w:val="1"/>
    <w:unhideWhenUsed/>
    <w:qFormat/>
    <w:uiPriority w:val="99"/>
    <w:pPr>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rPr>
      <w:rFonts w:eastAsia="Arial"/>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批注框文本字符"/>
    <w:basedOn w:val="21"/>
    <w:link w:val="12"/>
    <w:qFormat/>
    <w:uiPriority w:val="0"/>
    <w:rPr>
      <w:rFonts w:ascii="宋体" w:hAnsi="宋体" w:cs="宋体"/>
      <w:kern w:val="2"/>
      <w:sz w:val="18"/>
      <w:szCs w:val="18"/>
    </w:rPr>
  </w:style>
  <w:style w:type="character" w:customStyle="1" w:styleId="27">
    <w:name w:val="批注文字字符"/>
    <w:basedOn w:val="21"/>
    <w:link w:val="7"/>
    <w:qFormat/>
    <w:uiPriority w:val="99"/>
    <w:rPr>
      <w:kern w:val="2"/>
      <w:sz w:val="28"/>
      <w:szCs w:val="24"/>
    </w:rPr>
  </w:style>
  <w:style w:type="character" w:customStyle="1" w:styleId="28">
    <w:name w:val="正文文本缩进字符"/>
    <w:link w:val="9"/>
    <w:qFormat/>
    <w:uiPriority w:val="0"/>
    <w:rPr>
      <w:rFonts w:ascii="宋体" w:hAnsi="Courier New"/>
      <w:spacing w:val="-4"/>
      <w:kern w:val="2"/>
      <w:sz w:val="18"/>
    </w:rPr>
  </w:style>
  <w:style w:type="character" w:customStyle="1" w:styleId="29">
    <w:name w:val="正文文本缩进 字符"/>
    <w:basedOn w:val="21"/>
    <w:qFormat/>
    <w:uiPriority w:val="0"/>
    <w:rPr>
      <w:rFonts w:ascii="宋体" w:hAnsi="宋体" w:cs="宋体"/>
      <w:kern w:val="2"/>
      <w:sz w:val="24"/>
      <w:szCs w:val="24"/>
    </w:rPr>
  </w:style>
  <w:style w:type="character" w:customStyle="1" w:styleId="30">
    <w:name w:val="正文文本缩进 字符2"/>
    <w:qFormat/>
    <w:uiPriority w:val="0"/>
    <w:rPr>
      <w:rFonts w:ascii="宋体" w:hAnsi="Courier New"/>
      <w:spacing w:val="-4"/>
      <w:kern w:val="2"/>
      <w:sz w:val="18"/>
    </w:rPr>
  </w:style>
  <w:style w:type="character" w:customStyle="1" w:styleId="31">
    <w:name w:val="未处理的提及1"/>
    <w:basedOn w:val="21"/>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页脚字符"/>
    <w:basedOn w:val="21"/>
    <w:link w:val="13"/>
    <w:qFormat/>
    <w:uiPriority w:val="99"/>
    <w:rPr>
      <w:rFonts w:ascii="宋体" w:hAnsi="宋体" w:cs="宋体"/>
      <w:kern w:val="2"/>
      <w:sz w:val="18"/>
      <w:szCs w:val="24"/>
    </w:rPr>
  </w:style>
  <w:style w:type="character" w:customStyle="1" w:styleId="34">
    <w:name w:val="纯文本 字符"/>
    <w:basedOn w:val="21"/>
    <w:qFormat/>
    <w:uiPriority w:val="0"/>
    <w:rPr>
      <w:rFonts w:hAnsi="Courier New" w:cs="Courier New" w:asciiTheme="minorEastAsia" w:eastAsiaTheme="minorEastAsia"/>
      <w:kern w:val="2"/>
      <w:sz w:val="24"/>
      <w:szCs w:val="24"/>
    </w:rPr>
  </w:style>
  <w:style w:type="character" w:customStyle="1" w:styleId="35">
    <w:name w:val="纯文本字符"/>
    <w:link w:val="11"/>
    <w:qFormat/>
    <w:uiPriority w:val="99"/>
    <w:rPr>
      <w:rFonts w:ascii="宋体" w:hAnsi="Courier New" w:eastAsiaTheme="minorEastAsia" w:cstheme="minorBidi"/>
      <w:kern w:val="2"/>
      <w:sz w:val="24"/>
      <w:szCs w:val="24"/>
    </w:rPr>
  </w:style>
  <w:style w:type="character" w:customStyle="1" w:styleId="36">
    <w:name w:val="批注主题字符"/>
    <w:basedOn w:val="27"/>
    <w:link w:val="16"/>
    <w:semiHidden/>
    <w:qFormat/>
    <w:uiPriority w:val="0"/>
    <w:rPr>
      <w:rFonts w:ascii="宋体" w:hAnsi="宋体" w:cs="宋体"/>
      <w:b/>
      <w:bCs/>
      <w:kern w:val="2"/>
      <w:sz w:val="24"/>
      <w:szCs w:val="24"/>
    </w:rPr>
  </w:style>
  <w:style w:type="paragraph" w:customStyle="1" w:styleId="37">
    <w:name w:val="表内文字"/>
    <w:basedOn w:val="1"/>
    <w:qFormat/>
    <w:uiPriority w:val="0"/>
    <w:pPr>
      <w:tabs>
        <w:tab w:val="left" w:pos="1418"/>
      </w:tabs>
      <w:spacing w:line="360" w:lineRule="auto"/>
      <w:jc w:val="center"/>
    </w:pPr>
    <w:rPr>
      <w:rFonts w:hint="eastAsia" w:ascii="仿宋_GB2312" w:eastAsia="仿宋_GB2312"/>
      <w:spacing w:val="-20"/>
      <w:kern w:val="0"/>
    </w:rPr>
  </w:style>
  <w:style w:type="paragraph" w:customStyle="1" w:styleId="38">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40">
    <w:name w:val="font2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8F31D-7CB2-2C42-98A4-ACE34929A013}">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4253</Words>
  <Characters>24248</Characters>
  <Lines>202</Lines>
  <Paragraphs>56</Paragraphs>
  <TotalTime>0</TotalTime>
  <ScaleCrop>false</ScaleCrop>
  <LinksUpToDate>false</LinksUpToDate>
  <CharactersWithSpaces>28445</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2022-05-10T12:46:00Z</dcterms:created>
  <dc:creator>Administrator</dc:creator>
  <cp:lastModifiedBy>A-day</cp:lastModifiedBy>
  <cp:lastPrinted>2020-04-01T05:56:00Z</cp:lastPrinted>
  <dcterms:modified xsi:type="dcterms:W3CDTF">2022-05-19T04:08:52Z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1FEA08D6CC1646EA9AB55F3690B74F08</vt:lpwstr>
  </property>
</Properties>
</file>