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after="120" w:afterLines="50" w:line="288" w:lineRule="auto"/>
        <w:ind w:left="238"/>
        <w:jc w:val="center"/>
        <w:rPr>
          <w:rFonts w:ascii="宋体" w:hAnsi="宋体"/>
          <w:b/>
          <w:spacing w:val="-6"/>
          <w:sz w:val="32"/>
          <w:szCs w:val="32"/>
        </w:rPr>
      </w:pPr>
      <w:r>
        <w:rPr>
          <w:rFonts w:hint="eastAsia" w:ascii="宋体" w:hAnsi="宋体"/>
          <w:b/>
          <w:spacing w:val="-6"/>
          <w:sz w:val="32"/>
          <w:szCs w:val="32"/>
        </w:rPr>
        <w:t>采购需求</w:t>
      </w:r>
    </w:p>
    <w:p>
      <w:pPr>
        <w:spacing w:line="288" w:lineRule="auto"/>
        <w:rPr>
          <w:rFonts w:ascii="宋体" w:hAnsi="宋体"/>
          <w:b/>
          <w:sz w:val="21"/>
          <w:szCs w:val="21"/>
        </w:rPr>
      </w:pPr>
      <w:bookmarkStart w:id="0" w:name="_Hlk72418626"/>
      <w:r>
        <w:rPr>
          <w:rFonts w:hint="eastAsia" w:ascii="宋体" w:hAnsi="宋体"/>
          <w:b/>
          <w:sz w:val="21"/>
          <w:szCs w:val="21"/>
        </w:rPr>
        <w:t>一</w:t>
      </w:r>
      <w:r>
        <w:rPr>
          <w:rFonts w:ascii="宋体" w:hAnsi="宋体"/>
          <w:b/>
          <w:sz w:val="21"/>
          <w:szCs w:val="21"/>
        </w:rPr>
        <w:t>、</w:t>
      </w:r>
      <w:r>
        <w:rPr>
          <w:rFonts w:hint="eastAsia" w:ascii="宋体" w:hAnsi="宋体"/>
          <w:b/>
          <w:sz w:val="21"/>
          <w:szCs w:val="21"/>
        </w:rPr>
        <w:t>采购资金的支付方式：</w:t>
      </w:r>
    </w:p>
    <w:tbl>
      <w:tblPr>
        <w:tblStyle w:val="4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7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spacing w:val="-6"/>
                <w:sz w:val="21"/>
                <w:szCs w:val="21"/>
              </w:rPr>
            </w:pPr>
            <w:r>
              <w:rPr>
                <w:rFonts w:hint="eastAsia" w:cs="Times New Roman"/>
                <w:b/>
                <w:color w:val="auto"/>
                <w:spacing w:val="-6"/>
                <w:sz w:val="21"/>
                <w:szCs w:val="21"/>
                <w:highlight w:val="none"/>
              </w:rPr>
              <w:t>▲付款方式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合同生效以及具备实施条件后</w:t>
            </w:r>
            <w:r>
              <w:rPr>
                <w:color w:val="auto"/>
                <w:spacing w:val="-6"/>
                <w:kern w:val="0"/>
                <w:sz w:val="21"/>
                <w:szCs w:val="21"/>
                <w:highlight w:val="none"/>
              </w:rPr>
              <w:t>7个工作日内</w:t>
            </w:r>
            <w:r>
              <w:rPr>
                <w:rFonts w:hint="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，且供应商已向采购人提交银行、保险公司等金融机构出具的预付款保函的，采购人向供应商支付合同总价的4</w:t>
            </w:r>
            <w:r>
              <w:rPr>
                <w:color w:val="auto"/>
                <w:spacing w:val="-6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%；项目履约完成，经采购人验收合格后，收到发票后</w:t>
            </w:r>
            <w:r>
              <w:rPr>
                <w:color w:val="auto"/>
                <w:spacing w:val="-6"/>
                <w:kern w:val="0"/>
                <w:sz w:val="21"/>
                <w:szCs w:val="21"/>
                <w:highlight w:val="none"/>
              </w:rPr>
              <w:t>7个工作日内</w:t>
            </w:r>
            <w:r>
              <w:rPr>
                <w:rFonts w:hint="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，采购人向供应商支付合同总价的</w:t>
            </w:r>
            <w:r>
              <w:rPr>
                <w:color w:val="auto"/>
                <w:spacing w:val="-6"/>
                <w:kern w:val="0"/>
                <w:sz w:val="21"/>
                <w:szCs w:val="21"/>
                <w:highlight w:val="none"/>
              </w:rPr>
              <w:t>6</w:t>
            </w:r>
            <w:r>
              <w:rPr>
                <w:rFonts w:hint="eastAsia"/>
                <w:color w:val="auto"/>
                <w:spacing w:val="-6"/>
                <w:kern w:val="0"/>
                <w:sz w:val="21"/>
                <w:szCs w:val="21"/>
                <w:highlight w:val="none"/>
              </w:rPr>
              <w:t>0%。</w:t>
            </w:r>
          </w:p>
        </w:tc>
      </w:tr>
    </w:tbl>
    <w:p>
      <w:pPr>
        <w:spacing w:line="288" w:lineRule="auto"/>
        <w:rPr>
          <w:rFonts w:ascii="宋体" w:hAnsi="宋体"/>
          <w:b/>
          <w:sz w:val="21"/>
          <w:szCs w:val="21"/>
        </w:rPr>
      </w:pPr>
    </w:p>
    <w:bookmarkEnd w:id="0"/>
    <w:p>
      <w:pPr>
        <w:adjustRightInd w:val="0"/>
        <w:snapToGrid w:val="0"/>
        <w:spacing w:line="288" w:lineRule="auto"/>
        <w:ind w:left="238" w:hanging="238" w:hangingChars="113"/>
        <w:outlineLvl w:val="1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二</w:t>
      </w:r>
      <w:r>
        <w:rPr>
          <w:rFonts w:ascii="宋体" w:hAnsi="宋体"/>
          <w:b/>
          <w:sz w:val="21"/>
          <w:szCs w:val="21"/>
        </w:rPr>
        <w:t>、</w:t>
      </w:r>
      <w:r>
        <w:rPr>
          <w:rFonts w:hint="eastAsia" w:ascii="宋体" w:hAnsi="宋体"/>
          <w:b/>
          <w:sz w:val="21"/>
          <w:szCs w:val="21"/>
        </w:rPr>
        <w:t>服务</w:t>
      </w:r>
      <w:r>
        <w:rPr>
          <w:rFonts w:ascii="宋体" w:hAnsi="宋体"/>
          <w:b/>
          <w:sz w:val="21"/>
          <w:szCs w:val="21"/>
        </w:rPr>
        <w:t>要求：</w:t>
      </w:r>
    </w:p>
    <w:p>
      <w:pPr>
        <w:pStyle w:val="2"/>
        <w:spacing w:line="300" w:lineRule="auto"/>
        <w:rPr>
          <w:rFonts w:ascii="宋体" w:hAnsi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 w:val="21"/>
          <w:szCs w:val="21"/>
          <w:highlight w:val="none"/>
        </w:rPr>
        <w:t>（一）基本要求</w:t>
      </w:r>
    </w:p>
    <w:p>
      <w:pPr>
        <w:pStyle w:val="6"/>
        <w:ind w:left="0"/>
        <w:rPr>
          <w:rFonts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服务时间：合同签订后，在202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年6月1日前完成</w:t>
      </w:r>
      <w:r>
        <w:rPr>
          <w:rFonts w:hint="eastAsia" w:ascii="宋体" w:hAnsi="宋体" w:cs="宋体"/>
          <w:b/>
          <w:color w:val="auto"/>
          <w:szCs w:val="21"/>
          <w:highlight w:val="none"/>
          <w:lang w:eastAsia="zh-CN"/>
        </w:rPr>
        <w:t>媒体推广、活动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。</w:t>
      </w:r>
    </w:p>
    <w:p>
      <w:pPr>
        <w:rPr>
          <w:color w:val="auto"/>
          <w:highlight w:val="none"/>
        </w:rPr>
      </w:pPr>
      <w:r>
        <w:rPr>
          <w:rFonts w:hint="eastAsia"/>
          <w:b/>
          <w:color w:val="auto"/>
          <w:sz w:val="21"/>
          <w:szCs w:val="21"/>
          <w:highlight w:val="none"/>
        </w:rPr>
        <w:t>服务地点：杭州</w:t>
      </w:r>
    </w:p>
    <w:p>
      <w:pPr>
        <w:pStyle w:val="6"/>
        <w:rPr>
          <w:color w:val="auto"/>
          <w:highlight w:val="none"/>
        </w:rPr>
      </w:pPr>
    </w:p>
    <w:p>
      <w:pPr>
        <w:pStyle w:val="6"/>
        <w:ind w:left="0"/>
        <w:rPr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sz w:val="21"/>
          <w:szCs w:val="21"/>
          <w:highlight w:val="none"/>
        </w:rPr>
        <w:t>（二）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服务清单，包括但不限于以下内容：</w:t>
      </w:r>
    </w:p>
    <w:tbl>
      <w:tblPr>
        <w:tblStyle w:val="4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422"/>
        <w:gridCol w:w="2898"/>
        <w:gridCol w:w="3517"/>
        <w:gridCol w:w="631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地铁沿线媒体设计费</w:t>
            </w:r>
          </w:p>
        </w:tc>
        <w:tc>
          <w:tcPr>
            <w:tcW w:w="1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地铁、公交媒体策划与设计</w:t>
            </w:r>
          </w:p>
        </w:tc>
        <w:tc>
          <w:tcPr>
            <w:tcW w:w="19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整体形象策划与设计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3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5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美院象山站媒体设计</w:t>
            </w:r>
          </w:p>
        </w:tc>
        <w:tc>
          <w:tcPr>
            <w:tcW w:w="19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美院象山站品牌主题墙画面内容设计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63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美院象山站12封灯箱内容设计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63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5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吴山广场站媒体设计</w:t>
            </w:r>
          </w:p>
        </w:tc>
        <w:tc>
          <w:tcPr>
            <w:tcW w:w="19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吴山广场站品牌主题墙画面内容设计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63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吴山广场站12封灯箱内容设计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63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武林广场站媒体设计</w:t>
            </w:r>
          </w:p>
        </w:tc>
        <w:tc>
          <w:tcPr>
            <w:tcW w:w="19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武林广场站梯顶贴画面内容设计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63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公交车（单层巴士）媒体设计</w:t>
            </w:r>
          </w:p>
        </w:tc>
        <w:tc>
          <w:tcPr>
            <w:tcW w:w="19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公交车（单层巴士）画面内容设计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</w:tr>
    </w:tbl>
    <w:p>
      <w:pPr>
        <w:adjustRightInd w:val="0"/>
        <w:snapToGrid w:val="0"/>
        <w:spacing w:line="288" w:lineRule="auto"/>
        <w:ind w:firstLine="420"/>
        <w:rPr>
          <w:rFonts w:hint="eastAsia"/>
          <w:color w:val="auto"/>
          <w:highlight w:val="none"/>
          <w:lang w:bidi="ar"/>
        </w:rPr>
      </w:pPr>
    </w:p>
    <w:tbl>
      <w:tblPr>
        <w:tblStyle w:val="4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575"/>
        <w:gridCol w:w="1770"/>
        <w:gridCol w:w="1184"/>
        <w:gridCol w:w="2191"/>
        <w:gridCol w:w="630"/>
        <w:gridCol w:w="830"/>
        <w:gridCol w:w="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7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82" w:type="pct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媒体形式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时间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(4周)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地铁沿线媒体发布</w:t>
            </w:r>
          </w:p>
        </w:tc>
        <w:tc>
          <w:tcPr>
            <w:tcW w:w="1039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地铁沿线媒体发布</w:t>
            </w:r>
          </w:p>
        </w:tc>
        <w:tc>
          <w:tcPr>
            <w:tcW w:w="695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美院象山站</w:t>
            </w:r>
          </w:p>
        </w:tc>
        <w:tc>
          <w:tcPr>
            <w:tcW w:w="12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品牌主题墙（大型墙贴）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371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3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12封灯箱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3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5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吴山广场站</w:t>
            </w:r>
          </w:p>
        </w:tc>
        <w:tc>
          <w:tcPr>
            <w:tcW w:w="12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品牌主题墙（大型墙贴）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415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3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12封灯箱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3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武林广场站</w:t>
            </w:r>
          </w:p>
        </w:tc>
        <w:tc>
          <w:tcPr>
            <w:tcW w:w="12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梯顶贴（大型墙贴）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公交车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公交车(单层巴士)</w:t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媒体定制</w:t>
            </w:r>
          </w:p>
        </w:tc>
        <w:tc>
          <w:tcPr>
            <w:tcW w:w="12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A++标准款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路线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2"/>
        <w:rPr>
          <w:rFonts w:hint="eastAsia"/>
          <w:color w:val="auto"/>
          <w:highlight w:val="none"/>
        </w:rPr>
      </w:pPr>
    </w:p>
    <w:tbl>
      <w:tblPr>
        <w:tblStyle w:val="4"/>
        <w:tblW w:w="5000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29"/>
        <w:gridCol w:w="2545"/>
        <w:gridCol w:w="2561"/>
        <w:gridCol w:w="604"/>
        <w:gridCol w:w="93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毕业生导师、团体及学生个人号直播、视频推广</w:t>
            </w:r>
          </w:p>
        </w:tc>
        <w:tc>
          <w:tcPr>
            <w:tcW w:w="14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毕业生导师、团体及学生个人号直播、视频制作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整体内容创意与策划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视频分平台内容创作与设计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视频制作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毕业生导师、团体及学生个人号直播、视频推广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视频分平台投放与推广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人次/4平台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志愿者费用</w:t>
            </w:r>
          </w:p>
        </w:tc>
        <w:tc>
          <w:tcPr>
            <w:tcW w:w="14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志愿者费用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劳务费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餐饮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交通补贴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人次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NDVmZGVkMzM5NGIyYzAzYzM1YzM3YzU3NDM0OTEifQ=="/>
  </w:docVars>
  <w:rsids>
    <w:rsidRoot w:val="239D7832"/>
    <w:rsid w:val="239D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6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2022-05-24T01:07:00Z</dcterms:created>
  <dc:creator>optiPlex 7070</dc:creator>
  <cp:lastModifiedBy>optiPlex 7070</cp:lastModifiedBy>
  <dcterms:modified xsi:type="dcterms:W3CDTF">2022-05-24T01:07:13Z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CB7B313E7B284D88A0E6FA5A54989827</vt:lpwstr>
  </property>
</Properties>
</file>